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DD7CF"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EE4162" w:rsidRPr="004726FE">
        <w:rPr>
          <w:rFonts w:ascii="Palatino Linotype" w:eastAsia="Palatino Linotype" w:hAnsi="Palatino Linotype" w:cs="Palatino Linotype"/>
          <w:b/>
          <w:sz w:val="22"/>
          <w:szCs w:val="22"/>
        </w:rPr>
        <w:t>veinte</w:t>
      </w:r>
      <w:r w:rsidRPr="004726FE">
        <w:rPr>
          <w:rFonts w:ascii="Palatino Linotype" w:eastAsia="Palatino Linotype" w:hAnsi="Palatino Linotype" w:cs="Palatino Linotype"/>
          <w:b/>
          <w:sz w:val="22"/>
          <w:szCs w:val="22"/>
        </w:rPr>
        <w:t xml:space="preserve"> de </w:t>
      </w:r>
      <w:r w:rsidR="00AA114E" w:rsidRPr="004726FE">
        <w:rPr>
          <w:rFonts w:ascii="Palatino Linotype" w:eastAsia="Palatino Linotype" w:hAnsi="Palatino Linotype" w:cs="Palatino Linotype"/>
          <w:b/>
          <w:sz w:val="22"/>
          <w:szCs w:val="22"/>
        </w:rPr>
        <w:t>agosto</w:t>
      </w:r>
      <w:r w:rsidR="0078769C" w:rsidRPr="004726FE">
        <w:rPr>
          <w:rFonts w:ascii="Palatino Linotype" w:eastAsia="Palatino Linotype" w:hAnsi="Palatino Linotype" w:cs="Palatino Linotype"/>
          <w:b/>
          <w:sz w:val="22"/>
          <w:szCs w:val="22"/>
        </w:rPr>
        <w:t xml:space="preserve"> de dos mil veinticinco.</w:t>
      </w:r>
    </w:p>
    <w:p w14:paraId="37ED0387" w14:textId="77777777" w:rsidR="00422AF6" w:rsidRPr="004726FE" w:rsidRDefault="00422AF6">
      <w:pPr>
        <w:spacing w:line="360" w:lineRule="auto"/>
        <w:ind w:right="49"/>
        <w:jc w:val="both"/>
        <w:rPr>
          <w:rFonts w:ascii="Palatino Linotype" w:eastAsia="Palatino Linotype" w:hAnsi="Palatino Linotype" w:cs="Palatino Linotype"/>
          <w:sz w:val="22"/>
          <w:szCs w:val="22"/>
        </w:rPr>
      </w:pPr>
    </w:p>
    <w:p w14:paraId="1AAD1EFF"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 xml:space="preserve">VISTO </w:t>
      </w:r>
      <w:r w:rsidRPr="004726FE">
        <w:rPr>
          <w:rFonts w:ascii="Palatino Linotype" w:eastAsia="Palatino Linotype" w:hAnsi="Palatino Linotype" w:cs="Palatino Linotype"/>
          <w:sz w:val="22"/>
          <w:szCs w:val="22"/>
        </w:rPr>
        <w:t xml:space="preserve">el expediente relativo al recurso de revisión </w:t>
      </w:r>
      <w:r w:rsidR="006B7439" w:rsidRPr="004726FE">
        <w:rPr>
          <w:rFonts w:ascii="Palatino Linotype" w:eastAsia="Palatino Linotype" w:hAnsi="Palatino Linotype" w:cs="Palatino Linotype"/>
          <w:b/>
          <w:sz w:val="22"/>
          <w:szCs w:val="22"/>
        </w:rPr>
        <w:t>04839/INFOEM/IP/RR/2025</w:t>
      </w:r>
      <w:r w:rsidRPr="004726FE">
        <w:rPr>
          <w:rFonts w:ascii="Palatino Linotype" w:eastAsia="Palatino Linotype" w:hAnsi="Palatino Linotype" w:cs="Palatino Linotype"/>
          <w:b/>
          <w:sz w:val="22"/>
          <w:szCs w:val="22"/>
        </w:rPr>
        <w:t xml:space="preserve">, </w:t>
      </w:r>
      <w:r w:rsidRPr="004726FE">
        <w:rPr>
          <w:rFonts w:ascii="Palatino Linotype" w:eastAsia="Palatino Linotype" w:hAnsi="Palatino Linotype" w:cs="Palatino Linotype"/>
          <w:sz w:val="22"/>
          <w:szCs w:val="22"/>
        </w:rPr>
        <w:t xml:space="preserve">interpuesto por </w:t>
      </w:r>
      <w:r w:rsidR="006B7439" w:rsidRPr="004726FE">
        <w:rPr>
          <w:rFonts w:ascii="Palatino Linotype" w:eastAsia="Palatino Linotype" w:hAnsi="Palatino Linotype" w:cs="Palatino Linotype"/>
          <w:b/>
          <w:sz w:val="22"/>
          <w:szCs w:val="22"/>
        </w:rPr>
        <w:t>Un Usuario que no proporcionó su nombre</w:t>
      </w:r>
      <w:r w:rsidRPr="004726FE">
        <w:rPr>
          <w:rFonts w:ascii="Palatino Linotype" w:eastAsia="Palatino Linotype" w:hAnsi="Palatino Linotype" w:cs="Palatino Linotype"/>
          <w:sz w:val="22"/>
          <w:szCs w:val="22"/>
        </w:rPr>
        <w:t xml:space="preserve">, en lo sucesivo la parte </w:t>
      </w:r>
      <w:r w:rsidRPr="004726FE">
        <w:rPr>
          <w:rFonts w:ascii="Palatino Linotype" w:eastAsia="Palatino Linotype" w:hAnsi="Palatino Linotype" w:cs="Palatino Linotype"/>
          <w:b/>
          <w:sz w:val="22"/>
          <w:szCs w:val="22"/>
        </w:rPr>
        <w:t>Recurrente</w:t>
      </w:r>
      <w:r w:rsidRPr="004726FE">
        <w:rPr>
          <w:rFonts w:ascii="Palatino Linotype" w:eastAsia="Palatino Linotype" w:hAnsi="Palatino Linotype" w:cs="Palatino Linotype"/>
          <w:sz w:val="22"/>
          <w:szCs w:val="22"/>
        </w:rPr>
        <w:t xml:space="preserve">, en contra de la respuesta a la solicitud de información por parte del </w:t>
      </w:r>
      <w:r w:rsidR="006B7439" w:rsidRPr="004726FE">
        <w:rPr>
          <w:rFonts w:ascii="Palatino Linotype" w:eastAsia="Palatino Linotype" w:hAnsi="Palatino Linotype" w:cs="Palatino Linotype"/>
          <w:b/>
          <w:sz w:val="22"/>
          <w:szCs w:val="22"/>
        </w:rPr>
        <w:t>Poder Judicial</w:t>
      </w:r>
      <w:r w:rsidRPr="004726FE">
        <w:rPr>
          <w:rFonts w:ascii="Palatino Linotype" w:eastAsia="Palatino Linotype" w:hAnsi="Palatino Linotype" w:cs="Palatino Linotype"/>
          <w:sz w:val="22"/>
          <w:szCs w:val="22"/>
        </w:rPr>
        <w:t xml:space="preserve">, en lo sucesivo el </w:t>
      </w:r>
      <w:r w:rsidRPr="004726FE">
        <w:rPr>
          <w:rFonts w:ascii="Palatino Linotype" w:eastAsia="Palatino Linotype" w:hAnsi="Palatino Linotype" w:cs="Palatino Linotype"/>
          <w:b/>
          <w:sz w:val="22"/>
          <w:szCs w:val="22"/>
        </w:rPr>
        <w:t xml:space="preserve">Sujeto Obligado; </w:t>
      </w:r>
      <w:r w:rsidRPr="004726FE">
        <w:rPr>
          <w:rFonts w:ascii="Palatino Linotype" w:eastAsia="Palatino Linotype" w:hAnsi="Palatino Linotype" w:cs="Palatino Linotype"/>
          <w:sz w:val="22"/>
          <w:szCs w:val="22"/>
        </w:rPr>
        <w:t>se procede a dictar la presente resolución, con base en lo siguiente.</w:t>
      </w:r>
    </w:p>
    <w:p w14:paraId="7E8AE504" w14:textId="77777777" w:rsidR="006B7439" w:rsidRPr="004726FE" w:rsidRDefault="006B7439">
      <w:pPr>
        <w:spacing w:line="360" w:lineRule="auto"/>
        <w:ind w:right="49"/>
        <w:jc w:val="both"/>
        <w:rPr>
          <w:rFonts w:ascii="Palatino Linotype" w:eastAsia="Palatino Linotype" w:hAnsi="Palatino Linotype" w:cs="Palatino Linotype"/>
          <w:sz w:val="22"/>
          <w:szCs w:val="22"/>
        </w:rPr>
      </w:pPr>
    </w:p>
    <w:p w14:paraId="3180B620" w14:textId="77777777" w:rsidR="00422AF6" w:rsidRPr="004726FE" w:rsidRDefault="0067296C">
      <w:pPr>
        <w:spacing w:line="360" w:lineRule="auto"/>
        <w:ind w:right="49"/>
        <w:jc w:val="center"/>
        <w:rPr>
          <w:rFonts w:ascii="Palatino Linotype" w:eastAsia="Palatino Linotype" w:hAnsi="Palatino Linotype" w:cs="Palatino Linotype"/>
          <w:b/>
          <w:sz w:val="22"/>
          <w:szCs w:val="22"/>
        </w:rPr>
      </w:pPr>
      <w:r w:rsidRPr="004726FE">
        <w:rPr>
          <w:rFonts w:ascii="Palatino Linotype" w:eastAsia="Palatino Linotype" w:hAnsi="Palatino Linotype" w:cs="Palatino Linotype"/>
          <w:b/>
          <w:sz w:val="22"/>
          <w:szCs w:val="22"/>
        </w:rPr>
        <w:t>I.</w:t>
      </w:r>
      <w:r w:rsidRPr="004726FE">
        <w:rPr>
          <w:rFonts w:ascii="Palatino Linotype" w:eastAsia="Palatino Linotype" w:hAnsi="Palatino Linotype" w:cs="Palatino Linotype"/>
          <w:b/>
          <w:sz w:val="22"/>
          <w:szCs w:val="22"/>
        </w:rPr>
        <w:tab/>
        <w:t>A N T E C E D E N T E S</w:t>
      </w:r>
    </w:p>
    <w:p w14:paraId="31D7C437" w14:textId="77777777" w:rsidR="00422AF6" w:rsidRPr="004726FE" w:rsidRDefault="00422AF6">
      <w:pPr>
        <w:spacing w:line="360" w:lineRule="auto"/>
        <w:ind w:right="49"/>
        <w:jc w:val="both"/>
        <w:rPr>
          <w:rFonts w:ascii="Palatino Linotype" w:eastAsia="Palatino Linotype" w:hAnsi="Palatino Linotype" w:cs="Palatino Linotype"/>
          <w:sz w:val="22"/>
          <w:szCs w:val="22"/>
        </w:rPr>
      </w:pPr>
    </w:p>
    <w:p w14:paraId="3D8F3C9C" w14:textId="77777777" w:rsidR="00422AF6" w:rsidRPr="004726FE" w:rsidRDefault="0067296C">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1.</w:t>
      </w:r>
      <w:r w:rsidRPr="004726FE">
        <w:rPr>
          <w:rFonts w:ascii="Palatino Linotype" w:eastAsia="Palatino Linotype" w:hAnsi="Palatino Linotype" w:cs="Palatino Linotype"/>
          <w:sz w:val="22"/>
          <w:szCs w:val="22"/>
        </w:rPr>
        <w:t xml:space="preserve"> </w:t>
      </w:r>
      <w:r w:rsidRPr="004726FE">
        <w:rPr>
          <w:rFonts w:ascii="Palatino Linotype" w:eastAsia="Palatino Linotype" w:hAnsi="Palatino Linotype" w:cs="Palatino Linotype"/>
          <w:b/>
          <w:sz w:val="22"/>
          <w:szCs w:val="22"/>
        </w:rPr>
        <w:t xml:space="preserve">Solicitud de Acceso a la Información. El </w:t>
      </w:r>
      <w:r w:rsidR="006B7439" w:rsidRPr="004726FE">
        <w:rPr>
          <w:rFonts w:ascii="Palatino Linotype" w:eastAsia="Palatino Linotype" w:hAnsi="Palatino Linotype" w:cs="Palatino Linotype"/>
          <w:b/>
          <w:sz w:val="22"/>
          <w:szCs w:val="22"/>
        </w:rPr>
        <w:t>seis</w:t>
      </w:r>
      <w:r w:rsidRPr="004726FE">
        <w:rPr>
          <w:rFonts w:ascii="Palatino Linotype" w:eastAsia="Palatino Linotype" w:hAnsi="Palatino Linotype" w:cs="Palatino Linotype"/>
          <w:b/>
          <w:sz w:val="22"/>
          <w:szCs w:val="22"/>
        </w:rPr>
        <w:t xml:space="preserve"> de </w:t>
      </w:r>
      <w:r w:rsidR="0017685E" w:rsidRPr="004726FE">
        <w:rPr>
          <w:rFonts w:ascii="Palatino Linotype" w:eastAsia="Palatino Linotype" w:hAnsi="Palatino Linotype" w:cs="Palatino Linotype"/>
          <w:b/>
          <w:sz w:val="22"/>
          <w:szCs w:val="22"/>
        </w:rPr>
        <w:t>abril</w:t>
      </w:r>
      <w:r w:rsidRPr="004726FE">
        <w:rPr>
          <w:rFonts w:ascii="Palatino Linotype" w:eastAsia="Palatino Linotype" w:hAnsi="Palatino Linotype" w:cs="Palatino Linotype"/>
          <w:b/>
          <w:sz w:val="22"/>
          <w:szCs w:val="22"/>
        </w:rPr>
        <w:t xml:space="preserve"> de dos mil veinticinco</w:t>
      </w:r>
      <w:r w:rsidRPr="004726FE">
        <w:rPr>
          <w:rFonts w:ascii="Palatino Linotype" w:eastAsia="Palatino Linotype" w:hAnsi="Palatino Linotype" w:cs="Palatino Linotype"/>
          <w:sz w:val="22"/>
          <w:szCs w:val="22"/>
        </w:rPr>
        <w:t xml:space="preserve">, </w:t>
      </w:r>
      <w:r w:rsidRPr="004726FE">
        <w:rPr>
          <w:rFonts w:ascii="Palatino Linotype" w:eastAsia="Palatino Linotype" w:hAnsi="Palatino Linotype" w:cs="Palatino Linotype"/>
          <w:b/>
          <w:sz w:val="22"/>
          <w:szCs w:val="22"/>
        </w:rPr>
        <w:t>LA PARTE</w:t>
      </w:r>
      <w:r w:rsidRPr="004726FE">
        <w:rPr>
          <w:rFonts w:ascii="Palatino Linotype" w:eastAsia="Palatino Linotype" w:hAnsi="Palatino Linotype" w:cs="Palatino Linotype"/>
          <w:sz w:val="22"/>
          <w:szCs w:val="22"/>
        </w:rPr>
        <w:t xml:space="preserve"> </w:t>
      </w:r>
      <w:r w:rsidRPr="004726FE">
        <w:rPr>
          <w:rFonts w:ascii="Palatino Linotype" w:eastAsia="Palatino Linotype" w:hAnsi="Palatino Linotype" w:cs="Palatino Linotype"/>
          <w:b/>
          <w:sz w:val="22"/>
          <w:szCs w:val="22"/>
        </w:rPr>
        <w:t>RECURRENTE</w:t>
      </w:r>
      <w:r w:rsidRPr="004726FE">
        <w:rPr>
          <w:rFonts w:ascii="Palatino Linotype" w:eastAsia="Palatino Linotype" w:hAnsi="Palatino Linotype" w:cs="Palatino Linotype"/>
          <w:sz w:val="22"/>
          <w:szCs w:val="22"/>
        </w:rPr>
        <w:t xml:space="preserve"> formuló solicitud de acceso a información pública a través del </w:t>
      </w:r>
      <w:r w:rsidRPr="004726FE">
        <w:rPr>
          <w:rFonts w:ascii="Palatino Linotype" w:eastAsia="Palatino Linotype" w:hAnsi="Palatino Linotype" w:cs="Palatino Linotype"/>
          <w:b/>
          <w:sz w:val="22"/>
          <w:szCs w:val="22"/>
        </w:rPr>
        <w:t>SAIMEX</w:t>
      </w:r>
      <w:r w:rsidR="006B7439" w:rsidRPr="004726FE">
        <w:rPr>
          <w:rFonts w:ascii="Palatino Linotype" w:eastAsia="Palatino Linotype" w:hAnsi="Palatino Linotype" w:cs="Palatino Linotype"/>
          <w:b/>
          <w:sz w:val="22"/>
          <w:szCs w:val="22"/>
        </w:rPr>
        <w:t>; sin embargo, al ser día inhábil, se tuvo por presentada el siete de abril de la misma anualidad</w:t>
      </w:r>
      <w:r w:rsidR="00B94935" w:rsidRPr="004726FE">
        <w:rPr>
          <w:rFonts w:ascii="Palatino Linotype" w:eastAsia="Palatino Linotype" w:hAnsi="Palatino Linotype" w:cs="Palatino Linotype"/>
          <w:sz w:val="22"/>
          <w:szCs w:val="22"/>
        </w:rPr>
        <w:t>, en la</w:t>
      </w:r>
      <w:r w:rsidRPr="004726FE">
        <w:rPr>
          <w:rFonts w:ascii="Palatino Linotype" w:eastAsia="Palatino Linotype" w:hAnsi="Palatino Linotype" w:cs="Palatino Linotype"/>
          <w:sz w:val="22"/>
          <w:szCs w:val="22"/>
        </w:rPr>
        <w:t xml:space="preserve"> que requirió lo siguiente:</w:t>
      </w:r>
    </w:p>
    <w:p w14:paraId="3B150337" w14:textId="77777777" w:rsidR="00422AF6" w:rsidRPr="004726FE" w:rsidRDefault="00422AF6">
      <w:pPr>
        <w:spacing w:line="360" w:lineRule="auto"/>
        <w:jc w:val="both"/>
        <w:rPr>
          <w:rFonts w:ascii="Palatino Linotype" w:eastAsia="Palatino Linotype" w:hAnsi="Palatino Linotype" w:cs="Palatino Linotype"/>
          <w:sz w:val="22"/>
          <w:szCs w:val="22"/>
        </w:rPr>
      </w:pPr>
    </w:p>
    <w:p w14:paraId="302926F4" w14:textId="77777777" w:rsidR="00B94935" w:rsidRPr="004726FE" w:rsidRDefault="00B94935" w:rsidP="00B94935">
      <w:pPr>
        <w:pStyle w:val="Prrafodelista"/>
        <w:numPr>
          <w:ilvl w:val="0"/>
          <w:numId w:val="15"/>
        </w:numPr>
        <w:spacing w:line="360" w:lineRule="auto"/>
        <w:ind w:left="426" w:right="49"/>
        <w:jc w:val="both"/>
        <w:rPr>
          <w:rFonts w:ascii="Palatino Linotype" w:eastAsia="Palatino Linotype" w:hAnsi="Palatino Linotype" w:cs="Palatino Linotype"/>
          <w:b/>
          <w:sz w:val="22"/>
          <w:szCs w:val="22"/>
        </w:rPr>
      </w:pPr>
      <w:bookmarkStart w:id="0" w:name="_heading=h.1fob9te" w:colFirst="0" w:colLast="0"/>
      <w:bookmarkStart w:id="1" w:name="_heading=h.3znysh7" w:colFirst="0" w:colLast="0"/>
      <w:bookmarkEnd w:id="0"/>
      <w:bookmarkEnd w:id="1"/>
      <w:r w:rsidRPr="004726FE">
        <w:rPr>
          <w:rFonts w:ascii="Palatino Linotype" w:eastAsia="Palatino Linotype" w:hAnsi="Palatino Linotype" w:cs="Palatino Linotype"/>
          <w:b/>
          <w:sz w:val="22"/>
          <w:szCs w:val="22"/>
        </w:rPr>
        <w:t>00</w:t>
      </w:r>
      <w:r w:rsidR="006B7439" w:rsidRPr="004726FE">
        <w:rPr>
          <w:rFonts w:ascii="Palatino Linotype" w:eastAsia="Palatino Linotype" w:hAnsi="Palatino Linotype" w:cs="Palatino Linotype"/>
          <w:b/>
          <w:sz w:val="22"/>
          <w:szCs w:val="22"/>
        </w:rPr>
        <w:t>354</w:t>
      </w:r>
      <w:r w:rsidRPr="004726FE">
        <w:rPr>
          <w:rFonts w:ascii="Palatino Linotype" w:eastAsia="Palatino Linotype" w:hAnsi="Palatino Linotype" w:cs="Palatino Linotype"/>
          <w:b/>
          <w:sz w:val="22"/>
          <w:szCs w:val="22"/>
        </w:rPr>
        <w:t>/</w:t>
      </w:r>
      <w:r w:rsidR="006B7439" w:rsidRPr="004726FE">
        <w:rPr>
          <w:rFonts w:ascii="Palatino Linotype" w:eastAsia="Palatino Linotype" w:hAnsi="Palatino Linotype" w:cs="Palatino Linotype"/>
          <w:b/>
          <w:sz w:val="22"/>
          <w:szCs w:val="22"/>
        </w:rPr>
        <w:t>PJUDICI</w:t>
      </w:r>
      <w:r w:rsidRPr="004726FE">
        <w:rPr>
          <w:rFonts w:ascii="Palatino Linotype" w:eastAsia="Palatino Linotype" w:hAnsi="Palatino Linotype" w:cs="Palatino Linotype"/>
          <w:b/>
          <w:sz w:val="22"/>
          <w:szCs w:val="22"/>
        </w:rPr>
        <w:t>/IP/2025</w:t>
      </w:r>
    </w:p>
    <w:p w14:paraId="35C82D8B" w14:textId="77777777" w:rsidR="00422AF6" w:rsidRPr="004726FE" w:rsidRDefault="00B94935" w:rsidP="00ED16F4">
      <w:pPr>
        <w:spacing w:line="360" w:lineRule="auto"/>
        <w:ind w:left="567" w:right="843"/>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sz w:val="22"/>
          <w:szCs w:val="22"/>
        </w:rPr>
        <w:tab/>
      </w:r>
      <w:r w:rsidRPr="004726FE">
        <w:rPr>
          <w:rFonts w:ascii="Palatino Linotype" w:eastAsia="Palatino Linotype" w:hAnsi="Palatino Linotype" w:cs="Palatino Linotype"/>
          <w:i/>
          <w:sz w:val="22"/>
          <w:szCs w:val="22"/>
        </w:rPr>
        <w:t>"</w:t>
      </w:r>
      <w:r w:rsidR="006B7439" w:rsidRPr="004726FE">
        <w:rPr>
          <w:rFonts w:ascii="Palatino Linotype" w:eastAsia="Palatino Linotype" w:hAnsi="Palatino Linotype" w:cs="Palatino Linotype"/>
          <w:i/>
          <w:sz w:val="22"/>
          <w:szCs w:val="22"/>
        </w:rPr>
        <w:t xml:space="preserve">Solicito en versión pública de manera completa el expediente 169/2008 del Segundo Juzgado Familiar de Toluca, relativo al juicio sucesorio </w:t>
      </w:r>
      <w:proofErr w:type="spellStart"/>
      <w:r w:rsidR="006B7439" w:rsidRPr="004726FE">
        <w:rPr>
          <w:rFonts w:ascii="Palatino Linotype" w:eastAsia="Palatino Linotype" w:hAnsi="Palatino Linotype" w:cs="Palatino Linotype"/>
          <w:i/>
          <w:sz w:val="22"/>
          <w:szCs w:val="22"/>
        </w:rPr>
        <w:t>intestamentario</w:t>
      </w:r>
      <w:proofErr w:type="spellEnd"/>
      <w:r w:rsidRPr="004726FE">
        <w:rPr>
          <w:rFonts w:ascii="Palatino Linotype" w:eastAsia="Palatino Linotype" w:hAnsi="Palatino Linotype" w:cs="Palatino Linotype"/>
          <w:i/>
          <w:sz w:val="22"/>
          <w:szCs w:val="22"/>
        </w:rPr>
        <w:t>”</w:t>
      </w:r>
    </w:p>
    <w:p w14:paraId="5B87EB3C" w14:textId="77777777" w:rsidR="00B94935" w:rsidRPr="004726FE" w:rsidRDefault="00B94935" w:rsidP="00B94935">
      <w:pPr>
        <w:spacing w:line="360" w:lineRule="auto"/>
        <w:ind w:left="567" w:right="843"/>
        <w:jc w:val="both"/>
        <w:rPr>
          <w:rFonts w:ascii="Palatino Linotype" w:eastAsia="Palatino Linotype" w:hAnsi="Palatino Linotype" w:cs="Palatino Linotype"/>
          <w:i/>
          <w:sz w:val="22"/>
          <w:szCs w:val="22"/>
        </w:rPr>
      </w:pPr>
    </w:p>
    <w:p w14:paraId="0858506A"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Modalidad elegida para la entrega de la información:</w:t>
      </w:r>
      <w:r w:rsidRPr="004726FE">
        <w:rPr>
          <w:rFonts w:ascii="Palatino Linotype" w:eastAsia="Palatino Linotype" w:hAnsi="Palatino Linotype" w:cs="Palatino Linotype"/>
          <w:sz w:val="22"/>
          <w:szCs w:val="22"/>
        </w:rPr>
        <w:t xml:space="preserve"> a través del Sistema de Acceso a la Información Mexiquense (SAIMEX).</w:t>
      </w:r>
    </w:p>
    <w:p w14:paraId="3F11B066" w14:textId="77777777" w:rsidR="00422AF6" w:rsidRPr="004726FE" w:rsidRDefault="00422AF6">
      <w:pPr>
        <w:spacing w:line="360" w:lineRule="auto"/>
        <w:jc w:val="both"/>
        <w:rPr>
          <w:rFonts w:ascii="Palatino Linotype" w:eastAsia="Palatino Linotype" w:hAnsi="Palatino Linotype" w:cs="Palatino Linotype"/>
          <w:sz w:val="22"/>
          <w:szCs w:val="22"/>
        </w:rPr>
      </w:pPr>
    </w:p>
    <w:p w14:paraId="24A9143F" w14:textId="77777777" w:rsidR="00422AF6" w:rsidRPr="004726FE" w:rsidRDefault="0017685E">
      <w:pPr>
        <w:widowControl w:val="0"/>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2</w:t>
      </w:r>
      <w:r w:rsidR="0067296C" w:rsidRPr="004726FE">
        <w:rPr>
          <w:rFonts w:ascii="Palatino Linotype" w:eastAsia="Palatino Linotype" w:hAnsi="Palatino Linotype" w:cs="Palatino Linotype"/>
          <w:b/>
          <w:sz w:val="22"/>
          <w:szCs w:val="22"/>
        </w:rPr>
        <w:t>. Respuesta.</w:t>
      </w:r>
      <w:r w:rsidR="0067296C" w:rsidRPr="004726FE">
        <w:rPr>
          <w:rFonts w:ascii="Palatino Linotype" w:eastAsia="Palatino Linotype" w:hAnsi="Palatino Linotype" w:cs="Palatino Linotype"/>
          <w:sz w:val="22"/>
          <w:szCs w:val="22"/>
        </w:rPr>
        <w:t xml:space="preserve"> El </w:t>
      </w:r>
      <w:r w:rsidR="006B7439" w:rsidRPr="004726FE">
        <w:rPr>
          <w:rFonts w:ascii="Palatino Linotype" w:eastAsia="Palatino Linotype" w:hAnsi="Palatino Linotype" w:cs="Palatino Linotype"/>
          <w:b/>
          <w:sz w:val="22"/>
          <w:szCs w:val="22"/>
        </w:rPr>
        <w:t>nueve</w:t>
      </w:r>
      <w:r w:rsidR="0067296C" w:rsidRPr="004726FE">
        <w:rPr>
          <w:rFonts w:ascii="Palatino Linotype" w:eastAsia="Palatino Linotype" w:hAnsi="Palatino Linotype" w:cs="Palatino Linotype"/>
          <w:sz w:val="22"/>
          <w:szCs w:val="22"/>
        </w:rPr>
        <w:t xml:space="preserve"> </w:t>
      </w:r>
      <w:r w:rsidR="0067296C" w:rsidRPr="004726FE">
        <w:rPr>
          <w:rFonts w:ascii="Palatino Linotype" w:eastAsia="Palatino Linotype" w:hAnsi="Palatino Linotype" w:cs="Palatino Linotype"/>
          <w:b/>
          <w:sz w:val="22"/>
          <w:szCs w:val="22"/>
        </w:rPr>
        <w:t xml:space="preserve">de </w:t>
      </w:r>
      <w:r w:rsidR="006B7439" w:rsidRPr="004726FE">
        <w:rPr>
          <w:rFonts w:ascii="Palatino Linotype" w:eastAsia="Palatino Linotype" w:hAnsi="Palatino Linotype" w:cs="Palatino Linotype"/>
          <w:b/>
          <w:sz w:val="22"/>
          <w:szCs w:val="22"/>
        </w:rPr>
        <w:t>abril</w:t>
      </w:r>
      <w:r w:rsidR="0067296C" w:rsidRPr="004726FE">
        <w:rPr>
          <w:rFonts w:ascii="Palatino Linotype" w:eastAsia="Palatino Linotype" w:hAnsi="Palatino Linotype" w:cs="Palatino Linotype"/>
          <w:b/>
          <w:sz w:val="22"/>
          <w:szCs w:val="22"/>
        </w:rPr>
        <w:t xml:space="preserve"> de dos mil veinticinco</w:t>
      </w:r>
      <w:r w:rsidR="0067296C" w:rsidRPr="004726FE">
        <w:rPr>
          <w:rFonts w:ascii="Palatino Linotype" w:eastAsia="Palatino Linotype" w:hAnsi="Palatino Linotype" w:cs="Palatino Linotype"/>
          <w:sz w:val="22"/>
          <w:szCs w:val="22"/>
        </w:rPr>
        <w:t xml:space="preserve">, el Sujeto Obligado dio respuesta a la solicitud </w:t>
      </w:r>
      <w:r w:rsidR="00494C60" w:rsidRPr="004726FE">
        <w:rPr>
          <w:rFonts w:ascii="Palatino Linotype" w:eastAsia="Palatino Linotype" w:hAnsi="Palatino Linotype" w:cs="Palatino Linotype"/>
          <w:sz w:val="22"/>
          <w:szCs w:val="22"/>
        </w:rPr>
        <w:t xml:space="preserve">adjuntando el documento electrónico denominado </w:t>
      </w:r>
      <w:r w:rsidR="00494C60" w:rsidRPr="004726FE">
        <w:rPr>
          <w:rFonts w:ascii="Palatino Linotype" w:eastAsia="Palatino Linotype" w:hAnsi="Palatino Linotype" w:cs="Palatino Linotype"/>
          <w:b/>
          <w:sz w:val="22"/>
          <w:szCs w:val="22"/>
        </w:rPr>
        <w:t>RESPUESTA 354-2025.pdf</w:t>
      </w:r>
      <w:r w:rsidR="00494C60" w:rsidRPr="004726FE">
        <w:rPr>
          <w:rFonts w:ascii="Palatino Linotype" w:eastAsia="Palatino Linotype" w:hAnsi="Palatino Linotype" w:cs="Palatino Linotype"/>
          <w:sz w:val="22"/>
          <w:szCs w:val="22"/>
        </w:rPr>
        <w:t xml:space="preserve"> cuyo </w:t>
      </w:r>
      <w:r w:rsidR="00494C60" w:rsidRPr="004726FE">
        <w:rPr>
          <w:rFonts w:ascii="Palatino Linotype" w:eastAsia="Palatino Linotype" w:hAnsi="Palatino Linotype" w:cs="Palatino Linotype"/>
          <w:sz w:val="22"/>
          <w:szCs w:val="22"/>
        </w:rPr>
        <w:lastRenderedPageBreak/>
        <w:t>contenido es de conocimiento de las partes, por lo que será analizado en el considerando Correspondiente.</w:t>
      </w:r>
    </w:p>
    <w:p w14:paraId="057A6A8A" w14:textId="77777777" w:rsidR="00802E2D" w:rsidRPr="004726FE" w:rsidRDefault="00802E2D">
      <w:pPr>
        <w:widowControl w:val="0"/>
        <w:spacing w:line="360" w:lineRule="auto"/>
        <w:jc w:val="both"/>
        <w:rPr>
          <w:rFonts w:ascii="Palatino Linotype" w:eastAsia="Palatino Linotype" w:hAnsi="Palatino Linotype" w:cs="Palatino Linotype"/>
          <w:sz w:val="22"/>
          <w:szCs w:val="22"/>
        </w:rPr>
      </w:pPr>
    </w:p>
    <w:p w14:paraId="4455E5B5" w14:textId="77777777" w:rsidR="00422AF6" w:rsidRPr="004726FE" w:rsidRDefault="0017685E">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3</w:t>
      </w:r>
      <w:r w:rsidR="0067296C" w:rsidRPr="004726FE">
        <w:rPr>
          <w:rFonts w:ascii="Palatino Linotype" w:eastAsia="Palatino Linotype" w:hAnsi="Palatino Linotype" w:cs="Palatino Linotype"/>
          <w:b/>
          <w:sz w:val="22"/>
          <w:szCs w:val="22"/>
        </w:rPr>
        <w:t xml:space="preserve">. Del Recurso de Revisión. </w:t>
      </w:r>
      <w:r w:rsidR="0067296C" w:rsidRPr="004726FE">
        <w:rPr>
          <w:rFonts w:ascii="Palatino Linotype" w:eastAsia="Palatino Linotype" w:hAnsi="Palatino Linotype" w:cs="Palatino Linotype"/>
          <w:sz w:val="22"/>
          <w:szCs w:val="22"/>
        </w:rPr>
        <w:t>Inconforme con la respuesta del</w:t>
      </w:r>
      <w:r w:rsidR="0067296C" w:rsidRPr="004726FE">
        <w:rPr>
          <w:rFonts w:ascii="Palatino Linotype" w:eastAsia="Palatino Linotype" w:hAnsi="Palatino Linotype" w:cs="Palatino Linotype"/>
          <w:b/>
          <w:sz w:val="22"/>
          <w:szCs w:val="22"/>
        </w:rPr>
        <w:t xml:space="preserve"> SUJETO OBLIGADO, </w:t>
      </w:r>
      <w:r w:rsidR="003E1B93" w:rsidRPr="004726FE">
        <w:rPr>
          <w:rFonts w:ascii="Palatino Linotype" w:eastAsia="Palatino Linotype" w:hAnsi="Palatino Linotype" w:cs="Palatino Linotype"/>
          <w:sz w:val="22"/>
          <w:szCs w:val="22"/>
        </w:rPr>
        <w:t xml:space="preserve">en </w:t>
      </w:r>
      <w:r w:rsidR="003E1B93" w:rsidRPr="004726FE">
        <w:rPr>
          <w:rFonts w:ascii="Palatino Linotype" w:eastAsia="Palatino Linotype" w:hAnsi="Palatino Linotype" w:cs="Palatino Linotype"/>
          <w:b/>
          <w:sz w:val="22"/>
          <w:szCs w:val="22"/>
        </w:rPr>
        <w:t>veint</w:t>
      </w:r>
      <w:r w:rsidR="00494C60" w:rsidRPr="004726FE">
        <w:rPr>
          <w:rFonts w:ascii="Palatino Linotype" w:eastAsia="Palatino Linotype" w:hAnsi="Palatino Linotype" w:cs="Palatino Linotype"/>
          <w:b/>
          <w:sz w:val="22"/>
          <w:szCs w:val="22"/>
        </w:rPr>
        <w:t>isiete</w:t>
      </w:r>
      <w:r w:rsidR="0067296C" w:rsidRPr="004726FE">
        <w:rPr>
          <w:rFonts w:ascii="Palatino Linotype" w:eastAsia="Palatino Linotype" w:hAnsi="Palatino Linotype" w:cs="Palatino Linotype"/>
          <w:sz w:val="22"/>
          <w:szCs w:val="22"/>
        </w:rPr>
        <w:t xml:space="preserve"> </w:t>
      </w:r>
      <w:r w:rsidR="0067296C" w:rsidRPr="004726FE">
        <w:rPr>
          <w:rFonts w:ascii="Palatino Linotype" w:eastAsia="Palatino Linotype" w:hAnsi="Palatino Linotype" w:cs="Palatino Linotype"/>
          <w:b/>
          <w:sz w:val="22"/>
          <w:szCs w:val="22"/>
        </w:rPr>
        <w:t xml:space="preserve">de </w:t>
      </w:r>
      <w:r w:rsidR="00494C60" w:rsidRPr="004726FE">
        <w:rPr>
          <w:rFonts w:ascii="Palatino Linotype" w:eastAsia="Palatino Linotype" w:hAnsi="Palatino Linotype" w:cs="Palatino Linotype"/>
          <w:b/>
          <w:sz w:val="22"/>
          <w:szCs w:val="22"/>
        </w:rPr>
        <w:t>abril</w:t>
      </w:r>
      <w:r w:rsidR="0067296C" w:rsidRPr="004726FE">
        <w:rPr>
          <w:rFonts w:ascii="Palatino Linotype" w:eastAsia="Palatino Linotype" w:hAnsi="Palatino Linotype" w:cs="Palatino Linotype"/>
          <w:b/>
          <w:sz w:val="22"/>
          <w:szCs w:val="22"/>
        </w:rPr>
        <w:t xml:space="preserve"> de dos mil veinticinco, LA PARTE RECURRENTE </w:t>
      </w:r>
      <w:r w:rsidR="0067296C" w:rsidRPr="004726FE">
        <w:rPr>
          <w:rFonts w:ascii="Palatino Linotype" w:eastAsia="Palatino Linotype" w:hAnsi="Palatino Linotype" w:cs="Palatino Linotype"/>
          <w:sz w:val="22"/>
          <w:szCs w:val="22"/>
        </w:rPr>
        <w:t>interpuso el recurso de revisión</w:t>
      </w:r>
      <w:r w:rsidR="00494C60" w:rsidRPr="004726FE">
        <w:rPr>
          <w:rFonts w:ascii="Palatino Linotype" w:eastAsia="Palatino Linotype" w:hAnsi="Palatino Linotype" w:cs="Palatino Linotype"/>
          <w:sz w:val="22"/>
          <w:szCs w:val="22"/>
        </w:rPr>
        <w:t xml:space="preserve">; sin embargo, al ser día inhábil, se tuvo por presentado el </w:t>
      </w:r>
      <w:r w:rsidR="00494C60" w:rsidRPr="004726FE">
        <w:rPr>
          <w:rFonts w:ascii="Palatino Linotype" w:eastAsia="Palatino Linotype" w:hAnsi="Palatino Linotype" w:cs="Palatino Linotype"/>
          <w:b/>
          <w:sz w:val="22"/>
          <w:szCs w:val="22"/>
        </w:rPr>
        <w:t>veintiocho de abril</w:t>
      </w:r>
      <w:r w:rsidR="00494C60" w:rsidRPr="004726FE">
        <w:rPr>
          <w:rFonts w:ascii="Palatino Linotype" w:eastAsia="Palatino Linotype" w:hAnsi="Palatino Linotype" w:cs="Palatino Linotype"/>
          <w:sz w:val="22"/>
          <w:szCs w:val="22"/>
        </w:rPr>
        <w:t xml:space="preserve"> de la misma anualidad,</w:t>
      </w:r>
      <w:r w:rsidR="0067296C" w:rsidRPr="004726FE">
        <w:rPr>
          <w:rFonts w:ascii="Palatino Linotype" w:eastAsia="Palatino Linotype" w:hAnsi="Palatino Linotype" w:cs="Palatino Linotype"/>
          <w:sz w:val="22"/>
          <w:szCs w:val="22"/>
        </w:rPr>
        <w:t xml:space="preserve"> mediante el cual y manifestó lo siguiente: </w:t>
      </w:r>
    </w:p>
    <w:p w14:paraId="2E5A25B9" w14:textId="77777777" w:rsidR="001624D4" w:rsidRPr="004726FE" w:rsidRDefault="001624D4">
      <w:pPr>
        <w:spacing w:line="360" w:lineRule="auto"/>
        <w:jc w:val="both"/>
        <w:rPr>
          <w:rFonts w:ascii="Palatino Linotype" w:eastAsia="Palatino Linotype" w:hAnsi="Palatino Linotype" w:cs="Palatino Linotype"/>
          <w:sz w:val="22"/>
          <w:szCs w:val="22"/>
        </w:rPr>
      </w:pPr>
    </w:p>
    <w:p w14:paraId="5366034C" w14:textId="77777777" w:rsidR="00422AF6" w:rsidRPr="004726FE" w:rsidRDefault="0067296C" w:rsidP="00494C60">
      <w:pPr>
        <w:pStyle w:val="Prrafodelista"/>
        <w:numPr>
          <w:ilvl w:val="0"/>
          <w:numId w:val="8"/>
        </w:numPr>
        <w:spacing w:line="360" w:lineRule="auto"/>
        <w:ind w:right="560"/>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t>Acto Impugnado:</w:t>
      </w:r>
      <w:r w:rsidRPr="004726FE">
        <w:rPr>
          <w:rFonts w:ascii="Palatino Linotype" w:eastAsia="Palatino Linotype" w:hAnsi="Palatino Linotype" w:cs="Palatino Linotype"/>
          <w:i/>
          <w:sz w:val="22"/>
          <w:szCs w:val="22"/>
        </w:rPr>
        <w:t xml:space="preserve"> “</w:t>
      </w:r>
      <w:r w:rsidR="00494C60" w:rsidRPr="004726FE">
        <w:rPr>
          <w:rFonts w:ascii="Palatino Linotype" w:eastAsia="Palatino Linotype" w:hAnsi="Palatino Linotype" w:cs="Palatino Linotype"/>
          <w:i/>
          <w:sz w:val="22"/>
          <w:szCs w:val="22"/>
        </w:rPr>
        <w:t>La respuesta del Sujeto Obligado a mi solicitud</w:t>
      </w:r>
      <w:r w:rsidRPr="004726FE">
        <w:rPr>
          <w:rFonts w:ascii="Palatino Linotype" w:eastAsia="Palatino Linotype" w:hAnsi="Palatino Linotype" w:cs="Palatino Linotype"/>
          <w:i/>
          <w:sz w:val="22"/>
          <w:szCs w:val="22"/>
        </w:rPr>
        <w:t>”</w:t>
      </w:r>
      <w:r w:rsidR="003E1B93" w:rsidRPr="004726FE">
        <w:rPr>
          <w:rFonts w:ascii="Palatino Linotype" w:eastAsia="Palatino Linotype" w:hAnsi="Palatino Linotype" w:cs="Palatino Linotype"/>
          <w:i/>
          <w:sz w:val="22"/>
          <w:szCs w:val="22"/>
        </w:rPr>
        <w:t>.</w:t>
      </w:r>
    </w:p>
    <w:p w14:paraId="0B995354" w14:textId="77777777" w:rsidR="00422AF6" w:rsidRPr="004726FE" w:rsidRDefault="0067296C" w:rsidP="000873AC">
      <w:pPr>
        <w:pStyle w:val="Prrafodelista"/>
        <w:numPr>
          <w:ilvl w:val="0"/>
          <w:numId w:val="8"/>
        </w:numPr>
        <w:spacing w:line="360" w:lineRule="auto"/>
        <w:ind w:right="560"/>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t>Motivo de inconformidad:</w:t>
      </w:r>
      <w:r w:rsidRPr="004726FE">
        <w:rPr>
          <w:rFonts w:ascii="Palatino Linotype" w:eastAsia="Palatino Linotype" w:hAnsi="Palatino Linotype" w:cs="Palatino Linotype"/>
          <w:i/>
          <w:sz w:val="22"/>
          <w:szCs w:val="22"/>
        </w:rPr>
        <w:t xml:space="preserve"> “</w:t>
      </w:r>
      <w:r w:rsidR="000873AC" w:rsidRPr="004726FE">
        <w:rPr>
          <w:rFonts w:ascii="Palatino Linotype" w:eastAsia="Palatino Linotype" w:hAnsi="Palatino Linotype" w:cs="Palatino Linotype"/>
          <w:i/>
          <w:sz w:val="22"/>
          <w:szCs w:val="22"/>
        </w:rPr>
        <w:t>Es evidente que el Sujeto Obligado se limita a entregar una respuesta sin congruencia con lo solicitado, ya que en ningún momento adjunta el expediente solicitado y me envía a una página de versiones públicas de sentencias, sin embargo mi sentencia de interés no está publicada en dicho sistema ni mucho menos todo el expediente EN VERSIÓN PÚBLICA, ya que no estoy requiriendo acceder a datos personales, por lo cual, solicito se revoque dicha determinación.</w:t>
      </w:r>
      <w:r w:rsidRPr="004726FE">
        <w:rPr>
          <w:rFonts w:ascii="Palatino Linotype" w:eastAsia="Palatino Linotype" w:hAnsi="Palatino Linotype" w:cs="Palatino Linotype"/>
          <w:i/>
          <w:sz w:val="22"/>
          <w:szCs w:val="22"/>
        </w:rPr>
        <w:t>”</w:t>
      </w:r>
      <w:r w:rsidR="003E1B93" w:rsidRPr="004726FE">
        <w:rPr>
          <w:rFonts w:ascii="Palatino Linotype" w:eastAsia="Palatino Linotype" w:hAnsi="Palatino Linotype" w:cs="Palatino Linotype"/>
          <w:i/>
          <w:sz w:val="22"/>
          <w:szCs w:val="22"/>
        </w:rPr>
        <w:t>.</w:t>
      </w:r>
    </w:p>
    <w:p w14:paraId="141E7364" w14:textId="77777777" w:rsidR="001624D4" w:rsidRPr="004726FE" w:rsidRDefault="001624D4">
      <w:pPr>
        <w:spacing w:line="360" w:lineRule="auto"/>
        <w:ind w:left="142" w:right="560"/>
        <w:jc w:val="both"/>
        <w:rPr>
          <w:rFonts w:ascii="Palatino Linotype" w:eastAsia="Palatino Linotype" w:hAnsi="Palatino Linotype" w:cs="Palatino Linotype"/>
          <w:i/>
          <w:sz w:val="22"/>
          <w:szCs w:val="22"/>
        </w:rPr>
      </w:pPr>
    </w:p>
    <w:p w14:paraId="6F3D8DCE" w14:textId="77777777" w:rsidR="00422AF6" w:rsidRPr="004726FE" w:rsidRDefault="00B94935">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4</w:t>
      </w:r>
      <w:r w:rsidR="0067296C" w:rsidRPr="004726FE">
        <w:rPr>
          <w:rFonts w:ascii="Palatino Linotype" w:eastAsia="Palatino Linotype" w:hAnsi="Palatino Linotype" w:cs="Palatino Linotype"/>
          <w:b/>
          <w:sz w:val="22"/>
          <w:szCs w:val="22"/>
        </w:rPr>
        <w:t xml:space="preserve">. Turno. </w:t>
      </w:r>
      <w:r w:rsidR="0067296C" w:rsidRPr="004726F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6B7439" w:rsidRPr="004726FE">
        <w:rPr>
          <w:rFonts w:ascii="Palatino Linotype" w:eastAsia="Palatino Linotype" w:hAnsi="Palatino Linotype" w:cs="Palatino Linotype"/>
          <w:b/>
          <w:sz w:val="22"/>
          <w:szCs w:val="22"/>
        </w:rPr>
        <w:t>04839/INFOEM/IP/RR/2025</w:t>
      </w:r>
      <w:r w:rsidR="0067296C" w:rsidRPr="004726FE">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67296C" w:rsidRPr="004726FE">
        <w:rPr>
          <w:rFonts w:ascii="Palatino Linotype" w:eastAsia="Palatino Linotype" w:hAnsi="Palatino Linotype" w:cs="Palatino Linotype"/>
          <w:b/>
          <w:sz w:val="22"/>
          <w:szCs w:val="22"/>
        </w:rPr>
        <w:t>Guadalupe Ramírez Peña</w:t>
      </w:r>
      <w:r w:rsidR="0067296C" w:rsidRPr="004726FE">
        <w:rPr>
          <w:rFonts w:ascii="Palatino Linotype" w:eastAsia="Palatino Linotype" w:hAnsi="Palatino Linotype" w:cs="Palatino Linotype"/>
          <w:sz w:val="22"/>
          <w:szCs w:val="22"/>
        </w:rPr>
        <w:t>, para su análisis, estudio, elaboración del proyecto y presentación ante el Pleno de este Instituto.</w:t>
      </w:r>
    </w:p>
    <w:p w14:paraId="277606CE" w14:textId="77777777" w:rsidR="00422AF6" w:rsidRPr="004726FE" w:rsidRDefault="00422AF6">
      <w:pPr>
        <w:spacing w:line="360" w:lineRule="auto"/>
        <w:jc w:val="both"/>
        <w:rPr>
          <w:rFonts w:ascii="Palatino Linotype" w:eastAsia="Palatino Linotype" w:hAnsi="Palatino Linotype" w:cs="Palatino Linotype"/>
          <w:sz w:val="22"/>
          <w:szCs w:val="22"/>
        </w:rPr>
      </w:pPr>
    </w:p>
    <w:p w14:paraId="75EFE71F" w14:textId="77777777" w:rsidR="00422AF6" w:rsidRPr="004726FE" w:rsidRDefault="00B94935">
      <w:pPr>
        <w:spacing w:line="360" w:lineRule="auto"/>
        <w:jc w:val="both"/>
        <w:rPr>
          <w:rFonts w:ascii="Palatino Linotype" w:eastAsia="Palatino Linotype" w:hAnsi="Palatino Linotype" w:cs="Palatino Linotype"/>
          <w:b/>
          <w:sz w:val="22"/>
          <w:szCs w:val="22"/>
        </w:rPr>
      </w:pPr>
      <w:r w:rsidRPr="004726FE">
        <w:rPr>
          <w:rFonts w:ascii="Palatino Linotype" w:eastAsia="Palatino Linotype" w:hAnsi="Palatino Linotype" w:cs="Palatino Linotype"/>
          <w:b/>
          <w:sz w:val="22"/>
          <w:szCs w:val="22"/>
        </w:rPr>
        <w:t>5</w:t>
      </w:r>
      <w:r w:rsidR="0067296C" w:rsidRPr="004726FE">
        <w:rPr>
          <w:rFonts w:ascii="Palatino Linotype" w:eastAsia="Palatino Linotype" w:hAnsi="Palatino Linotype" w:cs="Palatino Linotype"/>
          <w:b/>
          <w:sz w:val="22"/>
          <w:szCs w:val="22"/>
        </w:rPr>
        <w:t xml:space="preserve">. Admisión. </w:t>
      </w:r>
      <w:r w:rsidR="0067296C" w:rsidRPr="004726FE">
        <w:rPr>
          <w:rFonts w:ascii="Palatino Linotype" w:eastAsia="Palatino Linotype" w:hAnsi="Palatino Linotype" w:cs="Palatino Linotype"/>
          <w:sz w:val="22"/>
          <w:szCs w:val="22"/>
        </w:rPr>
        <w:t xml:space="preserve">El </w:t>
      </w:r>
      <w:r w:rsidR="00EE4162" w:rsidRPr="004726FE">
        <w:rPr>
          <w:rFonts w:ascii="Palatino Linotype" w:eastAsia="Palatino Linotype" w:hAnsi="Palatino Linotype" w:cs="Palatino Linotype"/>
          <w:b/>
          <w:sz w:val="22"/>
          <w:szCs w:val="22"/>
        </w:rPr>
        <w:t>dos</w:t>
      </w:r>
      <w:r w:rsidR="0067296C" w:rsidRPr="004726FE">
        <w:rPr>
          <w:rFonts w:ascii="Palatino Linotype" w:eastAsia="Palatino Linotype" w:hAnsi="Palatino Linotype" w:cs="Palatino Linotype"/>
          <w:sz w:val="22"/>
          <w:szCs w:val="22"/>
        </w:rPr>
        <w:t xml:space="preserve"> </w:t>
      </w:r>
      <w:r w:rsidR="0067296C" w:rsidRPr="004726FE">
        <w:rPr>
          <w:rFonts w:ascii="Palatino Linotype" w:eastAsia="Palatino Linotype" w:hAnsi="Palatino Linotype" w:cs="Palatino Linotype"/>
          <w:b/>
          <w:sz w:val="22"/>
          <w:szCs w:val="22"/>
        </w:rPr>
        <w:t xml:space="preserve">de </w:t>
      </w:r>
      <w:r w:rsidR="00EE4162" w:rsidRPr="004726FE">
        <w:rPr>
          <w:rFonts w:ascii="Palatino Linotype" w:eastAsia="Palatino Linotype" w:hAnsi="Palatino Linotype" w:cs="Palatino Linotype"/>
          <w:b/>
          <w:sz w:val="22"/>
          <w:szCs w:val="22"/>
        </w:rPr>
        <w:t>mayo</w:t>
      </w:r>
      <w:r w:rsidR="002C08AB" w:rsidRPr="004726FE">
        <w:rPr>
          <w:rFonts w:ascii="Palatino Linotype" w:eastAsia="Palatino Linotype" w:hAnsi="Palatino Linotype" w:cs="Palatino Linotype"/>
          <w:b/>
          <w:sz w:val="22"/>
          <w:szCs w:val="22"/>
        </w:rPr>
        <w:t xml:space="preserve"> </w:t>
      </w:r>
      <w:r w:rsidR="0067296C" w:rsidRPr="004726FE">
        <w:rPr>
          <w:rFonts w:ascii="Palatino Linotype" w:eastAsia="Palatino Linotype" w:hAnsi="Palatino Linotype" w:cs="Palatino Linotype"/>
          <w:b/>
          <w:sz w:val="22"/>
          <w:szCs w:val="22"/>
        </w:rPr>
        <w:t>de dos mil veinticinco</w:t>
      </w:r>
      <w:r w:rsidR="0067296C" w:rsidRPr="004726FE">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w:t>
      </w:r>
      <w:r w:rsidR="00F06653" w:rsidRPr="004726FE">
        <w:rPr>
          <w:rFonts w:ascii="Palatino Linotype" w:eastAsia="Palatino Linotype" w:hAnsi="Palatino Linotype" w:cs="Palatino Linotype"/>
          <w:sz w:val="22"/>
          <w:szCs w:val="22"/>
        </w:rPr>
        <w:t>e México y Municipios, se admitió</w:t>
      </w:r>
      <w:r w:rsidR="0067296C" w:rsidRPr="004726FE">
        <w:rPr>
          <w:rFonts w:ascii="Palatino Linotype" w:eastAsia="Palatino Linotype" w:hAnsi="Palatino Linotype" w:cs="Palatino Linotype"/>
          <w:sz w:val="22"/>
          <w:szCs w:val="22"/>
        </w:rPr>
        <w:t xml:space="preserve"> a trámite </w:t>
      </w:r>
      <w:r w:rsidR="00F06653" w:rsidRPr="004726FE">
        <w:rPr>
          <w:rFonts w:ascii="Palatino Linotype" w:eastAsia="Palatino Linotype" w:hAnsi="Palatino Linotype" w:cs="Palatino Linotype"/>
          <w:sz w:val="22"/>
          <w:szCs w:val="22"/>
        </w:rPr>
        <w:t>el</w:t>
      </w:r>
      <w:r w:rsidR="0067296C" w:rsidRPr="004726FE">
        <w:rPr>
          <w:rFonts w:ascii="Palatino Linotype" w:eastAsia="Palatino Linotype" w:hAnsi="Palatino Linotype" w:cs="Palatino Linotype"/>
          <w:sz w:val="22"/>
          <w:szCs w:val="22"/>
        </w:rPr>
        <w:t xml:space="preserve"> recurso de revisión</w:t>
      </w:r>
      <w:r w:rsidR="0067296C" w:rsidRPr="004726FE">
        <w:rPr>
          <w:rFonts w:ascii="Palatino Linotype" w:eastAsia="Palatino Linotype" w:hAnsi="Palatino Linotype" w:cs="Palatino Linotype"/>
          <w:b/>
          <w:sz w:val="22"/>
          <w:szCs w:val="22"/>
        </w:rPr>
        <w:t>.</w:t>
      </w:r>
    </w:p>
    <w:p w14:paraId="0F828BBF" w14:textId="77777777" w:rsidR="00422AF6" w:rsidRPr="004726FE" w:rsidRDefault="00422AF6">
      <w:pPr>
        <w:spacing w:line="360" w:lineRule="auto"/>
        <w:jc w:val="both"/>
        <w:rPr>
          <w:rFonts w:ascii="Palatino Linotype" w:eastAsia="Palatino Linotype" w:hAnsi="Palatino Linotype" w:cs="Palatino Linotype"/>
          <w:b/>
          <w:sz w:val="22"/>
          <w:szCs w:val="22"/>
        </w:rPr>
      </w:pPr>
    </w:p>
    <w:p w14:paraId="1E37DF0D" w14:textId="77777777" w:rsidR="002C08AB" w:rsidRPr="004726FE" w:rsidRDefault="00B94935">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6</w:t>
      </w:r>
      <w:r w:rsidR="0067296C" w:rsidRPr="004726FE">
        <w:rPr>
          <w:rFonts w:ascii="Palatino Linotype" w:eastAsia="Palatino Linotype" w:hAnsi="Palatino Linotype" w:cs="Palatino Linotype"/>
          <w:b/>
          <w:sz w:val="22"/>
          <w:szCs w:val="22"/>
        </w:rPr>
        <w:t>. Manifestaciones.</w:t>
      </w:r>
      <w:r w:rsidR="0067296C" w:rsidRPr="004726FE">
        <w:rPr>
          <w:rFonts w:ascii="Palatino Linotype" w:eastAsia="Palatino Linotype" w:hAnsi="Palatino Linotype" w:cs="Palatino Linotype"/>
          <w:sz w:val="22"/>
          <w:szCs w:val="22"/>
        </w:rPr>
        <w:t xml:space="preserve"> </w:t>
      </w:r>
      <w:r w:rsidR="000849C2" w:rsidRPr="004726FE">
        <w:rPr>
          <w:rFonts w:ascii="Palatino Linotype" w:eastAsia="Palatino Linotype" w:hAnsi="Palatino Linotype" w:cs="Palatino Linotype"/>
          <w:sz w:val="22"/>
          <w:szCs w:val="22"/>
        </w:rPr>
        <w:t>De las constancias que obran en el expediente electrónico d</w:t>
      </w:r>
      <w:r w:rsidR="002C08AB" w:rsidRPr="004726FE">
        <w:rPr>
          <w:rFonts w:ascii="Palatino Linotype" w:eastAsia="Palatino Linotype" w:hAnsi="Palatino Linotype" w:cs="Palatino Linotype"/>
          <w:sz w:val="22"/>
          <w:szCs w:val="22"/>
        </w:rPr>
        <w:t>el SAIMEX, se advierte que</w:t>
      </w:r>
      <w:r w:rsidR="000849C2" w:rsidRPr="004726FE">
        <w:rPr>
          <w:rFonts w:ascii="Palatino Linotype" w:eastAsia="Palatino Linotype" w:hAnsi="Palatino Linotype" w:cs="Palatino Linotype"/>
          <w:sz w:val="22"/>
          <w:szCs w:val="22"/>
        </w:rPr>
        <w:t xml:space="preserve"> el Sujeto Obligado </w:t>
      </w:r>
      <w:r w:rsidR="002C08AB" w:rsidRPr="004726FE">
        <w:rPr>
          <w:rFonts w:ascii="Palatino Linotype" w:eastAsia="Palatino Linotype" w:hAnsi="Palatino Linotype" w:cs="Palatino Linotype"/>
          <w:sz w:val="22"/>
          <w:szCs w:val="22"/>
        </w:rPr>
        <w:t xml:space="preserve">remitió el informe justificado el </w:t>
      </w:r>
      <w:r w:rsidR="002C08AB" w:rsidRPr="004726FE">
        <w:rPr>
          <w:rFonts w:ascii="Palatino Linotype" w:eastAsia="Palatino Linotype" w:hAnsi="Palatino Linotype" w:cs="Palatino Linotype"/>
          <w:b/>
          <w:sz w:val="22"/>
          <w:szCs w:val="22"/>
        </w:rPr>
        <w:t>catorce de mayo de dos mil veinticinco</w:t>
      </w:r>
      <w:r w:rsidR="002C08AB" w:rsidRPr="004726FE">
        <w:rPr>
          <w:rFonts w:ascii="Palatino Linotype" w:eastAsia="Palatino Linotype" w:hAnsi="Palatino Linotype" w:cs="Palatino Linotype"/>
          <w:sz w:val="22"/>
          <w:szCs w:val="22"/>
        </w:rPr>
        <w:t xml:space="preserve">, a través del documento electrónico denominado </w:t>
      </w:r>
      <w:r w:rsidR="002C08AB" w:rsidRPr="004726FE">
        <w:rPr>
          <w:rFonts w:ascii="Palatino Linotype" w:eastAsia="Palatino Linotype" w:hAnsi="Palatino Linotype" w:cs="Palatino Linotype"/>
          <w:b/>
          <w:sz w:val="22"/>
          <w:szCs w:val="22"/>
        </w:rPr>
        <w:t xml:space="preserve">Informe </w:t>
      </w:r>
      <w:proofErr w:type="spellStart"/>
      <w:r w:rsidR="002C08AB" w:rsidRPr="004726FE">
        <w:rPr>
          <w:rFonts w:ascii="Palatino Linotype" w:eastAsia="Palatino Linotype" w:hAnsi="Palatino Linotype" w:cs="Palatino Linotype"/>
          <w:b/>
          <w:sz w:val="22"/>
          <w:szCs w:val="22"/>
        </w:rPr>
        <w:t>Justif</w:t>
      </w:r>
      <w:proofErr w:type="spellEnd"/>
      <w:r w:rsidR="002C08AB" w:rsidRPr="004726FE">
        <w:rPr>
          <w:rFonts w:ascii="Palatino Linotype" w:eastAsia="Palatino Linotype" w:hAnsi="Palatino Linotype" w:cs="Palatino Linotype"/>
          <w:b/>
          <w:sz w:val="22"/>
          <w:szCs w:val="22"/>
        </w:rPr>
        <w:t xml:space="preserve"> RR 04839 </w:t>
      </w:r>
      <w:proofErr w:type="gramStart"/>
      <w:r w:rsidR="002C08AB" w:rsidRPr="004726FE">
        <w:rPr>
          <w:rFonts w:ascii="Palatino Linotype" w:eastAsia="Palatino Linotype" w:hAnsi="Palatino Linotype" w:cs="Palatino Linotype"/>
          <w:b/>
          <w:sz w:val="22"/>
          <w:szCs w:val="22"/>
        </w:rPr>
        <w:t>25.pdf;,</w:t>
      </w:r>
      <w:proofErr w:type="gramEnd"/>
      <w:r w:rsidR="002C08AB" w:rsidRPr="004726FE">
        <w:rPr>
          <w:rFonts w:ascii="Palatino Linotype" w:eastAsia="Palatino Linotype" w:hAnsi="Palatino Linotype" w:cs="Palatino Linotype"/>
          <w:b/>
          <w:sz w:val="22"/>
          <w:szCs w:val="22"/>
        </w:rPr>
        <w:t xml:space="preserve"> </w:t>
      </w:r>
      <w:r w:rsidR="002C08AB" w:rsidRPr="004726FE">
        <w:rPr>
          <w:rFonts w:ascii="Palatino Linotype" w:eastAsia="Palatino Linotype" w:hAnsi="Palatino Linotype" w:cs="Palatino Linotype"/>
          <w:sz w:val="22"/>
          <w:szCs w:val="22"/>
        </w:rPr>
        <w:t xml:space="preserve">cuyo contenido se puso a disposición del Recurrente el </w:t>
      </w:r>
      <w:r w:rsidR="002C08AB" w:rsidRPr="004726FE">
        <w:rPr>
          <w:rFonts w:ascii="Palatino Linotype" w:eastAsia="Palatino Linotype" w:hAnsi="Palatino Linotype" w:cs="Palatino Linotype"/>
          <w:b/>
          <w:sz w:val="22"/>
          <w:szCs w:val="22"/>
        </w:rPr>
        <w:t>once d</w:t>
      </w:r>
      <w:r w:rsidR="00CA1A88" w:rsidRPr="004726FE">
        <w:rPr>
          <w:rFonts w:ascii="Palatino Linotype" w:eastAsia="Palatino Linotype" w:hAnsi="Palatino Linotype" w:cs="Palatino Linotype"/>
          <w:b/>
          <w:sz w:val="22"/>
          <w:szCs w:val="22"/>
        </w:rPr>
        <w:t>e agosto de dos mil veinticinco</w:t>
      </w:r>
      <w:r w:rsidR="00CA1A88" w:rsidRPr="004726FE">
        <w:rPr>
          <w:rFonts w:ascii="Palatino Linotype" w:eastAsia="Palatino Linotype" w:hAnsi="Palatino Linotype" w:cs="Palatino Linotype"/>
          <w:sz w:val="22"/>
          <w:szCs w:val="22"/>
        </w:rPr>
        <w:t>; sin embargo, su contenido será analizado en el Considerando correspondiente.</w:t>
      </w:r>
    </w:p>
    <w:p w14:paraId="6074C632" w14:textId="77777777" w:rsidR="002C08AB" w:rsidRPr="004726FE" w:rsidRDefault="002C08AB">
      <w:pPr>
        <w:spacing w:line="360" w:lineRule="auto"/>
        <w:jc w:val="both"/>
        <w:rPr>
          <w:rFonts w:ascii="Palatino Linotype" w:eastAsia="Palatino Linotype" w:hAnsi="Palatino Linotype" w:cs="Palatino Linotype"/>
          <w:sz w:val="22"/>
          <w:szCs w:val="22"/>
        </w:rPr>
      </w:pPr>
    </w:p>
    <w:p w14:paraId="7AE44926" w14:textId="77777777" w:rsidR="00286C79" w:rsidRPr="004726FE" w:rsidRDefault="00286C79" w:rsidP="00286C7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7</w:t>
      </w:r>
      <w:r w:rsidR="00CA1A88" w:rsidRPr="004726FE">
        <w:rPr>
          <w:rFonts w:ascii="Palatino Linotype" w:eastAsia="Palatino Linotype" w:hAnsi="Palatino Linotype" w:cs="Palatino Linotype"/>
          <w:b/>
          <w:sz w:val="22"/>
          <w:szCs w:val="22"/>
        </w:rPr>
        <w:t>. Ampliación de plazo. El once</w:t>
      </w:r>
      <w:r w:rsidRPr="004726FE">
        <w:rPr>
          <w:rFonts w:ascii="Palatino Linotype" w:eastAsia="Palatino Linotype" w:hAnsi="Palatino Linotype" w:cs="Palatino Linotype"/>
          <w:b/>
          <w:sz w:val="22"/>
          <w:szCs w:val="22"/>
        </w:rPr>
        <w:t xml:space="preserve"> de agosto de dos mil veinticinco</w:t>
      </w:r>
      <w:r w:rsidRPr="004726FE">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22D7209B" w14:textId="77777777" w:rsidR="00286C79" w:rsidRPr="004726FE" w:rsidRDefault="00286C79" w:rsidP="00286C7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20AA011"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CAB8A22"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 </w:t>
      </w:r>
    </w:p>
    <w:p w14:paraId="3BDF3203"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C8E79FF"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 </w:t>
      </w:r>
    </w:p>
    <w:p w14:paraId="00EB34D6"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569955" w14:textId="77777777" w:rsidR="00422AF6" w:rsidRPr="004726FE" w:rsidRDefault="00422AF6">
      <w:pPr>
        <w:spacing w:line="360" w:lineRule="auto"/>
        <w:ind w:right="49"/>
        <w:jc w:val="both"/>
        <w:rPr>
          <w:rFonts w:ascii="Palatino Linotype" w:eastAsia="Palatino Linotype" w:hAnsi="Palatino Linotype" w:cs="Palatino Linotype"/>
          <w:sz w:val="22"/>
          <w:szCs w:val="22"/>
        </w:rPr>
      </w:pPr>
    </w:p>
    <w:p w14:paraId="4745366F"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5461C7C" w14:textId="77777777" w:rsidR="00422AF6" w:rsidRPr="004726FE" w:rsidRDefault="00422AF6">
      <w:pPr>
        <w:spacing w:line="360" w:lineRule="auto"/>
        <w:ind w:right="49"/>
        <w:jc w:val="both"/>
        <w:rPr>
          <w:rFonts w:ascii="Palatino Linotype" w:eastAsia="Palatino Linotype" w:hAnsi="Palatino Linotype" w:cs="Palatino Linotype"/>
          <w:sz w:val="22"/>
          <w:szCs w:val="22"/>
        </w:rPr>
      </w:pPr>
    </w:p>
    <w:p w14:paraId="2DBFAAEC"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D0CEC76" w14:textId="77777777" w:rsidR="00422AF6" w:rsidRPr="004726FE" w:rsidRDefault="00422AF6">
      <w:pPr>
        <w:spacing w:line="360" w:lineRule="auto"/>
        <w:ind w:right="49"/>
        <w:jc w:val="both"/>
        <w:rPr>
          <w:rFonts w:ascii="Palatino Linotype" w:eastAsia="Palatino Linotype" w:hAnsi="Palatino Linotype" w:cs="Palatino Linotype"/>
          <w:sz w:val="22"/>
          <w:szCs w:val="22"/>
        </w:rPr>
      </w:pPr>
    </w:p>
    <w:p w14:paraId="63D844B4" w14:textId="77777777" w:rsidR="00422AF6" w:rsidRPr="004726FE" w:rsidRDefault="0067296C">
      <w:pPr>
        <w:tabs>
          <w:tab w:val="left" w:pos="709"/>
        </w:tabs>
        <w:spacing w:line="360" w:lineRule="auto"/>
        <w:ind w:left="567" w:right="560"/>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a)    Complejidad del asunto:</w:t>
      </w:r>
      <w:r w:rsidRPr="004726FE">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7AD0A56C" w14:textId="77777777" w:rsidR="00422AF6" w:rsidRPr="004726FE" w:rsidRDefault="0067296C">
      <w:pPr>
        <w:tabs>
          <w:tab w:val="left" w:pos="709"/>
        </w:tabs>
        <w:spacing w:line="360" w:lineRule="auto"/>
        <w:ind w:left="567" w:right="560"/>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b)   Actividad Procesal del interesado</w:t>
      </w:r>
      <w:r w:rsidRPr="004726FE">
        <w:rPr>
          <w:rFonts w:ascii="Palatino Linotype" w:eastAsia="Palatino Linotype" w:hAnsi="Palatino Linotype" w:cs="Palatino Linotype"/>
          <w:sz w:val="22"/>
          <w:szCs w:val="22"/>
        </w:rPr>
        <w:t>: Acciones u omisiones del interesado.</w:t>
      </w:r>
    </w:p>
    <w:p w14:paraId="31671FFD" w14:textId="77777777" w:rsidR="00422AF6" w:rsidRPr="004726FE" w:rsidRDefault="0067296C">
      <w:pPr>
        <w:tabs>
          <w:tab w:val="left" w:pos="851"/>
        </w:tabs>
        <w:spacing w:line="360" w:lineRule="auto"/>
        <w:ind w:left="567" w:right="560"/>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c)  Conducta de la Autoridad:</w:t>
      </w:r>
      <w:r w:rsidRPr="004726FE">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5C42FB35" w14:textId="77777777" w:rsidR="00422AF6" w:rsidRPr="004726FE" w:rsidRDefault="0067296C">
      <w:pPr>
        <w:tabs>
          <w:tab w:val="left" w:pos="851"/>
        </w:tabs>
        <w:spacing w:line="360" w:lineRule="auto"/>
        <w:ind w:left="567" w:right="560"/>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d) La afectación generada en la situación jurídica de la persona involucrada en el proceso:</w:t>
      </w:r>
      <w:r w:rsidRPr="004726FE">
        <w:rPr>
          <w:rFonts w:ascii="Palatino Linotype" w:eastAsia="Palatino Linotype" w:hAnsi="Palatino Linotype" w:cs="Palatino Linotype"/>
          <w:sz w:val="22"/>
          <w:szCs w:val="22"/>
        </w:rPr>
        <w:t xml:space="preserve"> Violación a sus derechos humanos.</w:t>
      </w:r>
    </w:p>
    <w:p w14:paraId="10AC1957" w14:textId="77777777" w:rsidR="00422AF6" w:rsidRPr="004726FE" w:rsidRDefault="00422AF6">
      <w:pPr>
        <w:spacing w:line="360" w:lineRule="auto"/>
        <w:ind w:right="49"/>
        <w:jc w:val="both"/>
        <w:rPr>
          <w:rFonts w:ascii="Palatino Linotype" w:eastAsia="Palatino Linotype" w:hAnsi="Palatino Linotype" w:cs="Palatino Linotype"/>
          <w:sz w:val="22"/>
          <w:szCs w:val="22"/>
        </w:rPr>
      </w:pPr>
    </w:p>
    <w:p w14:paraId="3554E676"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51A1E21"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 </w:t>
      </w:r>
    </w:p>
    <w:p w14:paraId="260282A0"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4726FE">
        <w:rPr>
          <w:rFonts w:ascii="Palatino Linotype" w:eastAsia="Palatino Linotype" w:hAnsi="Palatino Linotype" w:cs="Palatino Linotype"/>
          <w:b/>
          <w:sz w:val="22"/>
          <w:szCs w:val="22"/>
        </w:rPr>
        <w:t xml:space="preserve">TÉRMINOS PROCESALES. PARA DETERMINAR SI UN FUNCIONARIO JUDICIAL ACTUÓ INDEBIDAMENTE POR NO </w:t>
      </w:r>
      <w:r w:rsidRPr="004726FE">
        <w:rPr>
          <w:rFonts w:ascii="Palatino Linotype" w:eastAsia="Palatino Linotype" w:hAnsi="Palatino Linotype" w:cs="Palatino Linotype"/>
          <w:b/>
          <w:sz w:val="22"/>
          <w:szCs w:val="22"/>
        </w:rPr>
        <w:lastRenderedPageBreak/>
        <w:t>RESPETARLOS SE DEBE ATENDER AL PRESUPUESTO QUE CONSIDERÓ EL LEGISLADOR AL FIJARLOS Y LAS CARACTERÍSTICAS DEL CASO.”</w:t>
      </w:r>
      <w:r w:rsidRPr="004726FE">
        <w:rPr>
          <w:rFonts w:ascii="Palatino Linotype" w:eastAsia="Palatino Linotype" w:hAnsi="Palatino Linotype" w:cs="Palatino Linotype"/>
          <w:sz w:val="22"/>
          <w:szCs w:val="22"/>
        </w:rPr>
        <w:t>, visible en la Gaceta del Seminario Judicial de la Federación con el registro digital 205635.</w:t>
      </w:r>
    </w:p>
    <w:p w14:paraId="4959F52A"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 </w:t>
      </w:r>
    </w:p>
    <w:p w14:paraId="1B1F1936"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316F500" w14:textId="77777777" w:rsidR="00422AF6" w:rsidRPr="004726FE" w:rsidRDefault="00422AF6">
      <w:pPr>
        <w:spacing w:line="360" w:lineRule="auto"/>
        <w:ind w:right="49"/>
        <w:jc w:val="both"/>
        <w:rPr>
          <w:rFonts w:ascii="Palatino Linotype" w:eastAsia="Palatino Linotype" w:hAnsi="Palatino Linotype" w:cs="Palatino Linotype"/>
          <w:sz w:val="22"/>
          <w:szCs w:val="22"/>
        </w:rPr>
      </w:pPr>
    </w:p>
    <w:p w14:paraId="72C1C64E"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EE19F37" w14:textId="77777777" w:rsidR="00422AF6" w:rsidRPr="004726FE" w:rsidRDefault="00422AF6">
      <w:pPr>
        <w:spacing w:line="360" w:lineRule="auto"/>
        <w:ind w:right="49"/>
        <w:jc w:val="both"/>
        <w:rPr>
          <w:rFonts w:ascii="Palatino Linotype" w:eastAsia="Palatino Linotype" w:hAnsi="Palatino Linotype" w:cs="Palatino Linotype"/>
          <w:sz w:val="22"/>
          <w:szCs w:val="22"/>
        </w:rPr>
      </w:pPr>
    </w:p>
    <w:p w14:paraId="00A5C4A5" w14:textId="77777777" w:rsidR="00422AF6" w:rsidRPr="004726FE" w:rsidRDefault="0067296C">
      <w:pPr>
        <w:spacing w:line="360" w:lineRule="auto"/>
        <w:ind w:left="567" w:right="560"/>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4726FE">
        <w:rPr>
          <w:rFonts w:ascii="Palatino Linotype" w:eastAsia="Palatino Linotype" w:hAnsi="Palatino Linotype" w:cs="Palatino Linotype"/>
          <w:sz w:val="22"/>
          <w:szCs w:val="22"/>
        </w:rPr>
        <w:t xml:space="preserve"> consultable en el Seminario Judicial de la Federación y su gaceta, con el registro digital 2002351.</w:t>
      </w:r>
    </w:p>
    <w:p w14:paraId="7275A23D" w14:textId="77777777" w:rsidR="00422AF6" w:rsidRPr="004726FE" w:rsidRDefault="0067296C">
      <w:pPr>
        <w:spacing w:line="360" w:lineRule="auto"/>
        <w:ind w:left="567" w:right="560"/>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4726FE">
        <w:rPr>
          <w:rFonts w:ascii="Palatino Linotype" w:eastAsia="Palatino Linotype" w:hAnsi="Palatino Linotype" w:cs="Palatino Linotype"/>
          <w:sz w:val="22"/>
          <w:szCs w:val="22"/>
        </w:rPr>
        <w:t xml:space="preserve"> visible en el Seminario Judicial de la Federación y su gaceta, con el registro digital 2002350.</w:t>
      </w:r>
    </w:p>
    <w:p w14:paraId="25DDF620" w14:textId="77777777" w:rsidR="00422AF6" w:rsidRPr="004726FE" w:rsidRDefault="00422AF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F37E14C" w14:textId="77777777" w:rsidR="00422AF6" w:rsidRPr="004726FE" w:rsidRDefault="006729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de carácter excepcional. </w:t>
      </w:r>
    </w:p>
    <w:p w14:paraId="2DCAF8E0" w14:textId="77777777" w:rsidR="00286C79" w:rsidRPr="004726FE" w:rsidRDefault="00286C7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EBA822A" w14:textId="595C9150" w:rsidR="00286C79" w:rsidRPr="004726FE" w:rsidRDefault="00286C79" w:rsidP="00286C7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8. Cierre de instrucción</w:t>
      </w:r>
      <w:r w:rsidRPr="004726FE">
        <w:rPr>
          <w:rFonts w:ascii="Palatino Linotype" w:eastAsia="Palatino Linotype" w:hAnsi="Palatino Linotype" w:cs="Palatino Linotype"/>
          <w:sz w:val="22"/>
          <w:szCs w:val="22"/>
        </w:rPr>
        <w:t xml:space="preserve">. En fecha </w:t>
      </w:r>
      <w:r w:rsidR="00CB6FB8" w:rsidRPr="004726FE">
        <w:rPr>
          <w:rFonts w:ascii="Palatino Linotype" w:eastAsia="Palatino Linotype" w:hAnsi="Palatino Linotype" w:cs="Palatino Linotype"/>
          <w:b/>
          <w:sz w:val="22"/>
          <w:szCs w:val="22"/>
        </w:rPr>
        <w:t>dieciocho</w:t>
      </w:r>
      <w:r w:rsidRPr="004726FE">
        <w:rPr>
          <w:rFonts w:ascii="Palatino Linotype" w:eastAsia="Palatino Linotype" w:hAnsi="Palatino Linotype" w:cs="Palatino Linotype"/>
          <w:b/>
          <w:sz w:val="22"/>
          <w:szCs w:val="22"/>
        </w:rPr>
        <w:t xml:space="preserve"> de agosto de dos mil veinticinco</w:t>
      </w:r>
      <w:r w:rsidRPr="004726FE">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 </w:t>
      </w:r>
    </w:p>
    <w:p w14:paraId="34206877" w14:textId="77777777" w:rsidR="00422AF6" w:rsidRPr="004726FE" w:rsidRDefault="00422A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546396"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727D60D5" w14:textId="77777777" w:rsidR="00422AF6" w:rsidRPr="004726FE" w:rsidRDefault="00422AF6">
      <w:pPr>
        <w:spacing w:line="360" w:lineRule="auto"/>
        <w:ind w:right="49"/>
        <w:jc w:val="both"/>
        <w:rPr>
          <w:rFonts w:ascii="Palatino Linotype" w:eastAsia="Palatino Linotype" w:hAnsi="Palatino Linotype" w:cs="Palatino Linotype"/>
          <w:sz w:val="22"/>
          <w:szCs w:val="22"/>
        </w:rPr>
      </w:pPr>
    </w:p>
    <w:p w14:paraId="4EF8C86F" w14:textId="77777777" w:rsidR="00422AF6" w:rsidRPr="004726FE" w:rsidRDefault="0067296C">
      <w:pPr>
        <w:spacing w:line="360" w:lineRule="auto"/>
        <w:ind w:right="49"/>
        <w:jc w:val="center"/>
        <w:rPr>
          <w:rFonts w:ascii="Palatino Linotype" w:eastAsia="Palatino Linotype" w:hAnsi="Palatino Linotype" w:cs="Palatino Linotype"/>
          <w:b/>
          <w:sz w:val="22"/>
          <w:szCs w:val="22"/>
        </w:rPr>
      </w:pPr>
      <w:r w:rsidRPr="004726FE">
        <w:rPr>
          <w:rFonts w:ascii="Palatino Linotype" w:eastAsia="Palatino Linotype" w:hAnsi="Palatino Linotype" w:cs="Palatino Linotype"/>
          <w:b/>
          <w:sz w:val="22"/>
          <w:szCs w:val="22"/>
        </w:rPr>
        <w:t>II.</w:t>
      </w:r>
      <w:r w:rsidRPr="004726FE">
        <w:rPr>
          <w:rFonts w:ascii="Palatino Linotype" w:eastAsia="Palatino Linotype" w:hAnsi="Palatino Linotype" w:cs="Palatino Linotype"/>
          <w:b/>
          <w:sz w:val="22"/>
          <w:szCs w:val="22"/>
        </w:rPr>
        <w:tab/>
        <w:t>C O N S I D E R A N D O:</w:t>
      </w:r>
    </w:p>
    <w:p w14:paraId="392E2A4F" w14:textId="77777777" w:rsidR="00422AF6" w:rsidRPr="004726FE" w:rsidRDefault="00422AF6">
      <w:pPr>
        <w:spacing w:line="360" w:lineRule="auto"/>
        <w:ind w:right="49"/>
        <w:jc w:val="both"/>
        <w:rPr>
          <w:rFonts w:ascii="Palatino Linotype" w:eastAsia="Palatino Linotype" w:hAnsi="Palatino Linotype" w:cs="Palatino Linotype"/>
          <w:sz w:val="22"/>
          <w:szCs w:val="22"/>
        </w:rPr>
      </w:pPr>
    </w:p>
    <w:p w14:paraId="3B19E653" w14:textId="77777777" w:rsidR="00422AF6" w:rsidRPr="004726FE" w:rsidRDefault="0067296C">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Primero. Competencia.</w:t>
      </w:r>
      <w:r w:rsidRPr="004726F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BA5DEE2" w14:textId="77777777" w:rsidR="00422AF6" w:rsidRPr="004726FE" w:rsidRDefault="0067296C">
      <w:pPr>
        <w:spacing w:before="240" w:after="240"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lastRenderedPageBreak/>
        <w:t xml:space="preserve">Segundo. Oportunidad y Procedibilidad del Recurso de Revisión. </w:t>
      </w:r>
      <w:r w:rsidRPr="004726FE">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564710C" w14:textId="77777777" w:rsidR="00422AF6" w:rsidRPr="004726FE" w:rsidRDefault="0067296C">
      <w:pPr>
        <w:spacing w:before="240" w:after="240"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0951B766" w14:textId="77777777" w:rsidR="00422AF6" w:rsidRPr="004726FE" w:rsidRDefault="0067296C">
      <w:pPr>
        <w:spacing w:line="360" w:lineRule="auto"/>
        <w:ind w:left="851" w:right="900"/>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t xml:space="preserve">“Artículo 178. </w:t>
      </w:r>
      <w:r w:rsidRPr="004726FE">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EF575F6" w14:textId="77777777" w:rsidR="00422AF6" w:rsidRPr="004726FE" w:rsidRDefault="0067296C">
      <w:pPr>
        <w:spacing w:before="240" w:after="240"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4726FE">
        <w:rPr>
          <w:rFonts w:ascii="Palatino Linotype" w:eastAsia="Palatino Linotype" w:hAnsi="Palatino Linotype" w:cs="Palatino Linotype"/>
          <w:b/>
          <w:sz w:val="22"/>
          <w:szCs w:val="22"/>
        </w:rPr>
        <w:t>SUJETO OBLIGADO</w:t>
      </w:r>
      <w:r w:rsidRPr="004726FE">
        <w:rPr>
          <w:rFonts w:ascii="Palatino Linotype" w:eastAsia="Palatino Linotype" w:hAnsi="Palatino Linotype" w:cs="Palatino Linotype"/>
          <w:sz w:val="22"/>
          <w:szCs w:val="22"/>
        </w:rPr>
        <w:t xml:space="preserve"> remitió la respuesta a la solicitud de información </w:t>
      </w:r>
      <w:r w:rsidR="004718C5" w:rsidRPr="004726FE">
        <w:rPr>
          <w:rFonts w:ascii="Palatino Linotype" w:eastAsia="Palatino Linotype" w:hAnsi="Palatino Linotype" w:cs="Palatino Linotype"/>
          <w:sz w:val="22"/>
          <w:szCs w:val="22"/>
        </w:rPr>
        <w:t xml:space="preserve">el día </w:t>
      </w:r>
      <w:r w:rsidR="00CA1A88" w:rsidRPr="004726FE">
        <w:rPr>
          <w:rFonts w:ascii="Palatino Linotype" w:eastAsia="Palatino Linotype" w:hAnsi="Palatino Linotype" w:cs="Palatino Linotype"/>
          <w:b/>
          <w:sz w:val="22"/>
          <w:szCs w:val="22"/>
        </w:rPr>
        <w:t>nueve</w:t>
      </w:r>
      <w:r w:rsidR="00E6083A" w:rsidRPr="004726FE">
        <w:rPr>
          <w:rFonts w:ascii="Palatino Linotype" w:eastAsia="Palatino Linotype" w:hAnsi="Palatino Linotype" w:cs="Palatino Linotype"/>
          <w:b/>
          <w:sz w:val="22"/>
          <w:szCs w:val="22"/>
        </w:rPr>
        <w:t xml:space="preserve"> </w:t>
      </w:r>
      <w:r w:rsidRPr="004726FE">
        <w:rPr>
          <w:rFonts w:ascii="Palatino Linotype" w:eastAsia="Palatino Linotype" w:hAnsi="Palatino Linotype" w:cs="Palatino Linotype"/>
          <w:b/>
          <w:sz w:val="22"/>
          <w:szCs w:val="22"/>
        </w:rPr>
        <w:t xml:space="preserve">de </w:t>
      </w:r>
      <w:r w:rsidR="00CA1A88" w:rsidRPr="004726FE">
        <w:rPr>
          <w:rFonts w:ascii="Palatino Linotype" w:eastAsia="Palatino Linotype" w:hAnsi="Palatino Linotype" w:cs="Palatino Linotype"/>
          <w:b/>
          <w:sz w:val="22"/>
          <w:szCs w:val="22"/>
        </w:rPr>
        <w:t>abril</w:t>
      </w:r>
      <w:r w:rsidRPr="004726FE">
        <w:rPr>
          <w:rFonts w:ascii="Palatino Linotype" w:eastAsia="Palatino Linotype" w:hAnsi="Palatino Linotype" w:cs="Palatino Linotype"/>
          <w:b/>
          <w:sz w:val="22"/>
          <w:szCs w:val="22"/>
        </w:rPr>
        <w:t xml:space="preserve"> de dos mil veinticinco, </w:t>
      </w:r>
      <w:r w:rsidRPr="004726FE">
        <w:rPr>
          <w:rFonts w:ascii="Palatino Linotype" w:eastAsia="Palatino Linotype" w:hAnsi="Palatino Linotype" w:cs="Palatino Linotype"/>
          <w:sz w:val="22"/>
          <w:szCs w:val="22"/>
        </w:rPr>
        <w:t xml:space="preserve">mientras que el recurso de revisión interpuesto por la parte </w:t>
      </w:r>
      <w:r w:rsidRPr="004726FE">
        <w:rPr>
          <w:rFonts w:ascii="Palatino Linotype" w:eastAsia="Palatino Linotype" w:hAnsi="Palatino Linotype" w:cs="Palatino Linotype"/>
          <w:b/>
          <w:sz w:val="22"/>
          <w:szCs w:val="22"/>
        </w:rPr>
        <w:t>RECURRENTE</w:t>
      </w:r>
      <w:r w:rsidRPr="004726FE">
        <w:rPr>
          <w:rFonts w:ascii="Palatino Linotype" w:eastAsia="Palatino Linotype" w:hAnsi="Palatino Linotype" w:cs="Palatino Linotype"/>
          <w:sz w:val="22"/>
          <w:szCs w:val="22"/>
        </w:rPr>
        <w:t>, se tuv</w:t>
      </w:r>
      <w:r w:rsidR="004718C5" w:rsidRPr="004726FE">
        <w:rPr>
          <w:rFonts w:ascii="Palatino Linotype" w:eastAsia="Palatino Linotype" w:hAnsi="Palatino Linotype" w:cs="Palatino Linotype"/>
          <w:sz w:val="22"/>
          <w:szCs w:val="22"/>
        </w:rPr>
        <w:t>o</w:t>
      </w:r>
      <w:r w:rsidRPr="004726FE">
        <w:rPr>
          <w:rFonts w:ascii="Palatino Linotype" w:eastAsia="Palatino Linotype" w:hAnsi="Palatino Linotype" w:cs="Palatino Linotype"/>
          <w:sz w:val="22"/>
          <w:szCs w:val="22"/>
        </w:rPr>
        <w:t xml:space="preserve"> por presentado el </w:t>
      </w:r>
      <w:r w:rsidR="008D607E" w:rsidRPr="004726FE">
        <w:rPr>
          <w:rFonts w:ascii="Palatino Linotype" w:eastAsia="Palatino Linotype" w:hAnsi="Palatino Linotype" w:cs="Palatino Linotype"/>
          <w:b/>
          <w:sz w:val="22"/>
          <w:szCs w:val="22"/>
        </w:rPr>
        <w:t>veint</w:t>
      </w:r>
      <w:r w:rsidR="00CA1A88" w:rsidRPr="004726FE">
        <w:rPr>
          <w:rFonts w:ascii="Palatino Linotype" w:eastAsia="Palatino Linotype" w:hAnsi="Palatino Linotype" w:cs="Palatino Linotype"/>
          <w:b/>
          <w:sz w:val="22"/>
          <w:szCs w:val="22"/>
        </w:rPr>
        <w:t>iocho</w:t>
      </w:r>
      <w:r w:rsidRPr="004726FE">
        <w:rPr>
          <w:rFonts w:ascii="Palatino Linotype" w:eastAsia="Palatino Linotype" w:hAnsi="Palatino Linotype" w:cs="Palatino Linotype"/>
          <w:b/>
          <w:sz w:val="22"/>
          <w:szCs w:val="22"/>
        </w:rPr>
        <w:t xml:space="preserve"> de </w:t>
      </w:r>
      <w:r w:rsidR="00CA1A88" w:rsidRPr="004726FE">
        <w:rPr>
          <w:rFonts w:ascii="Palatino Linotype" w:eastAsia="Palatino Linotype" w:hAnsi="Palatino Linotype" w:cs="Palatino Linotype"/>
          <w:b/>
          <w:sz w:val="22"/>
          <w:szCs w:val="22"/>
        </w:rPr>
        <w:t>abril</w:t>
      </w:r>
      <w:r w:rsidRPr="004726FE">
        <w:rPr>
          <w:rFonts w:ascii="Palatino Linotype" w:eastAsia="Palatino Linotype" w:hAnsi="Palatino Linotype" w:cs="Palatino Linotype"/>
          <w:b/>
          <w:sz w:val="22"/>
          <w:szCs w:val="22"/>
        </w:rPr>
        <w:t xml:space="preserve"> del año dos mil veinticinco</w:t>
      </w:r>
      <w:r w:rsidRPr="004726FE">
        <w:rPr>
          <w:rFonts w:ascii="Palatino Linotype" w:eastAsia="Palatino Linotype" w:hAnsi="Palatino Linotype" w:cs="Palatino Linotype"/>
          <w:sz w:val="22"/>
          <w:szCs w:val="22"/>
        </w:rPr>
        <w:t xml:space="preserve">; esto es, al </w:t>
      </w:r>
      <w:r w:rsidR="00CA1A88" w:rsidRPr="004726FE">
        <w:rPr>
          <w:rFonts w:ascii="Palatino Linotype" w:eastAsia="Palatino Linotype" w:hAnsi="Palatino Linotype" w:cs="Palatino Linotype"/>
          <w:b/>
          <w:sz w:val="22"/>
          <w:szCs w:val="22"/>
        </w:rPr>
        <w:t>octavo</w:t>
      </w:r>
      <w:r w:rsidRPr="004726FE">
        <w:rPr>
          <w:rFonts w:ascii="Palatino Linotype" w:eastAsia="Palatino Linotype" w:hAnsi="Palatino Linotype" w:cs="Palatino Linotype"/>
          <w:b/>
          <w:sz w:val="22"/>
          <w:szCs w:val="22"/>
        </w:rPr>
        <w:t xml:space="preserve"> día hábil </w:t>
      </w:r>
      <w:r w:rsidRPr="004726FE">
        <w:rPr>
          <w:rFonts w:ascii="Palatino Linotype" w:eastAsia="Palatino Linotype" w:hAnsi="Palatino Linotype" w:cs="Palatino Linotype"/>
          <w:sz w:val="22"/>
          <w:szCs w:val="22"/>
        </w:rPr>
        <w:t>siguiente al que se tuvo conocimiento de la respuesta respectivamente.</w:t>
      </w:r>
    </w:p>
    <w:p w14:paraId="49BB10CB" w14:textId="77777777" w:rsidR="006379D6" w:rsidRPr="004726FE" w:rsidRDefault="006379D6" w:rsidP="006379D6">
      <w:pPr>
        <w:spacing w:before="240" w:after="240"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Por cuanto hace a la procedibilidad del recurso de revisión, es de suma importancia señalar que la parte </w:t>
      </w:r>
      <w:r w:rsidRPr="004726FE">
        <w:rPr>
          <w:rFonts w:ascii="Palatino Linotype" w:eastAsia="Palatino Linotype" w:hAnsi="Palatino Linotype" w:cs="Palatino Linotype"/>
          <w:b/>
          <w:sz w:val="22"/>
          <w:szCs w:val="22"/>
        </w:rPr>
        <w:t>RECURRENTE</w:t>
      </w:r>
      <w:r w:rsidRPr="004726FE">
        <w:rPr>
          <w:rFonts w:ascii="Palatino Linotype" w:eastAsia="Palatino Linotype" w:hAnsi="Palatino Linotype" w:cs="Palatino Linotype"/>
          <w:sz w:val="22"/>
          <w:szCs w:val="22"/>
        </w:rPr>
        <w:t>, no proporcionó su nombre</w:t>
      </w:r>
      <w:r w:rsidRPr="004726FE">
        <w:rPr>
          <w:rFonts w:ascii="Palatino Linotype" w:eastAsia="Palatino Linotype" w:hAnsi="Palatino Linotype" w:cs="Palatino Linotype"/>
          <w:b/>
          <w:sz w:val="22"/>
          <w:szCs w:val="22"/>
        </w:rPr>
        <w:t>,</w:t>
      </w:r>
      <w:r w:rsidRPr="004726FE">
        <w:rPr>
          <w:rFonts w:ascii="Palatino Linotype" w:eastAsia="Palatino Linotype" w:hAnsi="Palatino Linotype" w:cs="Palatino Linotype"/>
          <w:sz w:val="22"/>
          <w:szCs w:val="22"/>
        </w:rPr>
        <w:t xml:space="preserve"> como se advierte en el detalle de seguimiento del SAIMEX, no obstante el no proporcionar nombre</w:t>
      </w:r>
      <w:r w:rsidRPr="004726FE">
        <w:rPr>
          <w:rFonts w:ascii="Palatino Linotype" w:eastAsia="Palatino Linotype" w:hAnsi="Palatino Linotype" w:cs="Palatino Linotype"/>
          <w:strike/>
          <w:sz w:val="22"/>
          <w:szCs w:val="22"/>
        </w:rPr>
        <w:t xml:space="preserve"> </w:t>
      </w:r>
      <w:r w:rsidRPr="004726FE">
        <w:rPr>
          <w:rFonts w:ascii="Palatino Linotype" w:eastAsia="Palatino Linotype" w:hAnsi="Palatino Linotype" w:cs="Palatino Linotype"/>
          <w:sz w:val="22"/>
          <w:szCs w:val="22"/>
        </w:rPr>
        <w:t xml:space="preserve">no es motivo para archivar la solicitud de acceso a la información pública como concluida, conforme a lo previsto en el </w:t>
      </w:r>
      <w:r w:rsidRPr="004726FE">
        <w:rPr>
          <w:rFonts w:ascii="Palatino Linotype" w:eastAsia="Palatino Linotype" w:hAnsi="Palatino Linotype" w:cs="Palatino Linotype"/>
          <w:sz w:val="22"/>
          <w:szCs w:val="22"/>
        </w:rPr>
        <w:lastRenderedPageBreak/>
        <w:t>artículo 155, penúltimo párrafo de la Ley de Transparencia y Acceso a la Información Pública del Estado de México y Municipios que establece lo siguiente:</w:t>
      </w:r>
    </w:p>
    <w:p w14:paraId="28801EF4" w14:textId="77777777" w:rsidR="006379D6" w:rsidRPr="004726FE" w:rsidRDefault="006379D6" w:rsidP="006379D6">
      <w:pPr>
        <w:spacing w:before="240" w:after="240"/>
        <w:ind w:left="851" w:right="902"/>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w:t>
      </w:r>
      <w:r w:rsidRPr="004726FE">
        <w:rPr>
          <w:rFonts w:ascii="Palatino Linotype" w:eastAsia="Palatino Linotype" w:hAnsi="Palatino Linotype" w:cs="Palatino Linotype"/>
          <w:b/>
          <w:i/>
          <w:sz w:val="22"/>
          <w:szCs w:val="22"/>
        </w:rPr>
        <w:t xml:space="preserve">Las solicitudes </w:t>
      </w:r>
      <w:r w:rsidRPr="004726FE">
        <w:rPr>
          <w:rFonts w:ascii="Palatino Linotype" w:eastAsia="Palatino Linotype" w:hAnsi="Palatino Linotype" w:cs="Palatino Linotype"/>
          <w:i/>
          <w:sz w:val="22"/>
          <w:szCs w:val="22"/>
        </w:rPr>
        <w:t xml:space="preserve">anónimas, con </w:t>
      </w:r>
      <w:r w:rsidRPr="004726FE">
        <w:rPr>
          <w:rFonts w:ascii="Palatino Linotype" w:eastAsia="Palatino Linotype" w:hAnsi="Palatino Linotype" w:cs="Palatino Linotype"/>
          <w:b/>
          <w:i/>
          <w:sz w:val="22"/>
          <w:szCs w:val="22"/>
        </w:rPr>
        <w:t>nombre incompleto o seudónimo</w:t>
      </w:r>
      <w:r w:rsidRPr="004726FE">
        <w:rPr>
          <w:rFonts w:ascii="Palatino Linotype" w:eastAsia="Palatino Linotype" w:hAnsi="Palatino Linotype" w:cs="Palatino Linotype"/>
          <w:i/>
          <w:sz w:val="22"/>
          <w:szCs w:val="22"/>
        </w:rPr>
        <w:t xml:space="preserve"> </w:t>
      </w:r>
      <w:r w:rsidRPr="004726FE">
        <w:rPr>
          <w:rFonts w:ascii="Palatino Linotype" w:eastAsia="Palatino Linotype" w:hAnsi="Palatino Linotype" w:cs="Palatino Linotype"/>
          <w:b/>
          <w:i/>
          <w:sz w:val="22"/>
          <w:szCs w:val="22"/>
        </w:rPr>
        <w:t>serán procedentes para su trámite por parte del sujeto obligado ante quien se presente</w:t>
      </w:r>
      <w:r w:rsidRPr="004726FE">
        <w:rPr>
          <w:rFonts w:ascii="Palatino Linotype" w:eastAsia="Palatino Linotype" w:hAnsi="Palatino Linotype" w:cs="Palatino Linotype"/>
          <w:i/>
          <w:sz w:val="22"/>
          <w:szCs w:val="22"/>
        </w:rPr>
        <w:t>. No podrá requerirse información adicional con motivo del nombre proporcionado por el solicitante."(Sic)</w:t>
      </w:r>
    </w:p>
    <w:p w14:paraId="56303CFF" w14:textId="77777777" w:rsidR="006379D6" w:rsidRPr="004726FE" w:rsidRDefault="006379D6" w:rsidP="006379D6">
      <w:pPr>
        <w:spacing w:before="240" w:after="240"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3A0F1FC" w14:textId="7B17B78F" w:rsidR="00422AF6" w:rsidRPr="004726FE" w:rsidRDefault="0067296C">
      <w:pPr>
        <w:spacing w:before="240" w:after="240"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w:t>
      </w:r>
      <w:r w:rsidR="003B1E6A" w:rsidRPr="004726FE">
        <w:rPr>
          <w:rFonts w:ascii="Palatino Linotype" w:eastAsia="Palatino Linotype" w:hAnsi="Palatino Linotype" w:cs="Palatino Linotype"/>
          <w:sz w:val="22"/>
          <w:szCs w:val="22"/>
        </w:rPr>
        <w:t xml:space="preserve"> y VI </w:t>
      </w:r>
      <w:r w:rsidR="004718C5" w:rsidRPr="004726FE">
        <w:rPr>
          <w:rFonts w:ascii="Palatino Linotype" w:eastAsia="Palatino Linotype" w:hAnsi="Palatino Linotype" w:cs="Palatino Linotype"/>
          <w:sz w:val="22"/>
          <w:szCs w:val="22"/>
        </w:rPr>
        <w:t xml:space="preserve"> </w:t>
      </w:r>
      <w:r w:rsidRPr="004726FE">
        <w:rPr>
          <w:rFonts w:ascii="Palatino Linotype" w:eastAsia="Palatino Linotype" w:hAnsi="Palatino Linotype" w:cs="Palatino Linotype"/>
          <w:sz w:val="22"/>
          <w:szCs w:val="22"/>
        </w:rPr>
        <w:t>de la ley de la materia, que a la letra dice:</w:t>
      </w:r>
    </w:p>
    <w:p w14:paraId="207000E1" w14:textId="77777777" w:rsidR="00422AF6" w:rsidRPr="004726FE" w:rsidRDefault="0067296C" w:rsidP="003B1E6A">
      <w:pPr>
        <w:spacing w:line="360" w:lineRule="auto"/>
        <w:ind w:left="567" w:right="1041"/>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w:t>
      </w:r>
      <w:r w:rsidRPr="004726FE">
        <w:rPr>
          <w:rFonts w:ascii="Palatino Linotype" w:eastAsia="Palatino Linotype" w:hAnsi="Palatino Linotype" w:cs="Palatino Linotype"/>
          <w:b/>
          <w:i/>
          <w:sz w:val="22"/>
          <w:szCs w:val="22"/>
        </w:rPr>
        <w:t xml:space="preserve">Artículo 179. </w:t>
      </w:r>
      <w:r w:rsidRPr="004726F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3DE714A" w14:textId="77777777" w:rsidR="004718C5" w:rsidRPr="004726FE" w:rsidRDefault="004718C5" w:rsidP="003B1E6A">
      <w:pPr>
        <w:pStyle w:val="Prrafodelista"/>
        <w:numPr>
          <w:ilvl w:val="0"/>
          <w:numId w:val="7"/>
        </w:numPr>
        <w:spacing w:line="360" w:lineRule="auto"/>
        <w:ind w:left="851" w:right="1041" w:hanging="284"/>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La negativa de la información </w:t>
      </w:r>
    </w:p>
    <w:p w14:paraId="07ACC42E" w14:textId="5A314821" w:rsidR="00422AF6" w:rsidRPr="004726FE" w:rsidRDefault="0067296C" w:rsidP="003B1E6A">
      <w:pPr>
        <w:spacing w:line="360" w:lineRule="auto"/>
        <w:ind w:left="567" w:right="1041"/>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w:t>
      </w:r>
    </w:p>
    <w:p w14:paraId="57E9F404" w14:textId="290C76A3" w:rsidR="003B1E6A" w:rsidRPr="004726FE" w:rsidRDefault="003B1E6A" w:rsidP="003B1E6A">
      <w:pPr>
        <w:spacing w:line="360" w:lineRule="auto"/>
        <w:ind w:left="567" w:right="1041"/>
        <w:jc w:val="both"/>
        <w:rPr>
          <w:rFonts w:ascii="Palatino Linotype" w:hAnsi="Palatino Linotype"/>
          <w:i/>
          <w:sz w:val="22"/>
          <w:szCs w:val="22"/>
        </w:rPr>
      </w:pPr>
      <w:r w:rsidRPr="004726FE">
        <w:rPr>
          <w:rFonts w:ascii="Palatino Linotype" w:hAnsi="Palatino Linotype"/>
          <w:i/>
          <w:sz w:val="22"/>
          <w:szCs w:val="22"/>
        </w:rPr>
        <w:t>VI. La entrega de información que no corresponda con lo solicitado;</w:t>
      </w:r>
    </w:p>
    <w:p w14:paraId="5E3025A7" w14:textId="5A210C1B" w:rsidR="003B1E6A" w:rsidRPr="004726FE" w:rsidRDefault="003B1E6A" w:rsidP="003B1E6A">
      <w:pPr>
        <w:spacing w:line="360" w:lineRule="auto"/>
        <w:ind w:left="567" w:right="1041"/>
        <w:jc w:val="both"/>
        <w:rPr>
          <w:rFonts w:ascii="Palatino Linotype" w:eastAsia="Palatino Linotype" w:hAnsi="Palatino Linotype" w:cs="Palatino Linotype"/>
          <w:i/>
          <w:sz w:val="22"/>
          <w:szCs w:val="22"/>
        </w:rPr>
      </w:pPr>
      <w:r w:rsidRPr="004726FE">
        <w:rPr>
          <w:rFonts w:ascii="Palatino Linotype" w:hAnsi="Palatino Linotype"/>
          <w:i/>
          <w:sz w:val="22"/>
          <w:szCs w:val="22"/>
        </w:rPr>
        <w:t>…</w:t>
      </w:r>
    </w:p>
    <w:p w14:paraId="09EED734" w14:textId="77777777" w:rsidR="00422AF6" w:rsidRPr="004726FE" w:rsidRDefault="0067296C">
      <w:pPr>
        <w:spacing w:before="240" w:after="240"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 xml:space="preserve">Tercero. Materia de la revisión. </w:t>
      </w:r>
      <w:r w:rsidRPr="004726FE">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726FE">
        <w:rPr>
          <w:rFonts w:ascii="Palatino Linotype" w:eastAsia="Palatino Linotype" w:hAnsi="Palatino Linotype" w:cs="Palatino Linotype"/>
          <w:b/>
          <w:sz w:val="22"/>
          <w:szCs w:val="22"/>
        </w:rPr>
        <w:t xml:space="preserve">verificar si la respuesta otorgada por el Sujeto Obligado es adecuada y suficiente para satisfacer el derecho de </w:t>
      </w:r>
      <w:r w:rsidRPr="004726FE">
        <w:rPr>
          <w:rFonts w:ascii="Palatino Linotype" w:eastAsia="Palatino Linotype" w:hAnsi="Palatino Linotype" w:cs="Palatino Linotype"/>
          <w:b/>
          <w:sz w:val="22"/>
          <w:szCs w:val="22"/>
        </w:rPr>
        <w:lastRenderedPageBreak/>
        <w:t xml:space="preserve">acceso a la información pública </w:t>
      </w:r>
      <w:r w:rsidRPr="004726FE">
        <w:rPr>
          <w:rFonts w:ascii="Palatino Linotype" w:eastAsia="Palatino Linotype" w:hAnsi="Palatino Linotype" w:cs="Palatino Linotype"/>
          <w:sz w:val="22"/>
          <w:szCs w:val="22"/>
        </w:rPr>
        <w:t xml:space="preserve">de la parte </w:t>
      </w:r>
      <w:r w:rsidRPr="004726FE">
        <w:rPr>
          <w:rFonts w:ascii="Palatino Linotype" w:eastAsia="Palatino Linotype" w:hAnsi="Palatino Linotype" w:cs="Palatino Linotype"/>
          <w:b/>
          <w:sz w:val="22"/>
          <w:szCs w:val="22"/>
        </w:rPr>
        <w:t>Recurrente</w:t>
      </w:r>
      <w:r w:rsidRPr="004726FE">
        <w:rPr>
          <w:rFonts w:ascii="Palatino Linotype" w:eastAsia="Palatino Linotype" w:hAnsi="Palatino Linotype" w:cs="Palatino Linotype"/>
          <w:sz w:val="22"/>
          <w:szCs w:val="22"/>
        </w:rPr>
        <w:t>, o en su defecto, en caso de ser procedente, ordenar la entrega de información.</w:t>
      </w:r>
    </w:p>
    <w:p w14:paraId="2AC2AC1A" w14:textId="77777777" w:rsidR="00422AF6" w:rsidRPr="004726FE" w:rsidRDefault="0067296C">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 xml:space="preserve">Cuarto. Estudio del asunto. </w:t>
      </w:r>
      <w:r w:rsidRPr="004726FE">
        <w:rPr>
          <w:rFonts w:ascii="Palatino Linotype" w:eastAsia="Palatino Linotype" w:hAnsi="Palatino Linotype" w:cs="Palatino Linotype"/>
          <w:sz w:val="22"/>
          <w:szCs w:val="22"/>
        </w:rPr>
        <w:t xml:space="preserve">En principio, es conveniente analizar si la respuesta como el informe justificado del </w:t>
      </w:r>
      <w:r w:rsidRPr="004726FE">
        <w:rPr>
          <w:rFonts w:ascii="Palatino Linotype" w:eastAsia="Palatino Linotype" w:hAnsi="Palatino Linotype" w:cs="Palatino Linotype"/>
          <w:b/>
          <w:sz w:val="22"/>
          <w:szCs w:val="22"/>
        </w:rPr>
        <w:t>SUJETO OBLIGADO</w:t>
      </w:r>
      <w:r w:rsidRPr="004726FE">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9511C7E" w14:textId="77777777" w:rsidR="00422AF6" w:rsidRPr="004726FE" w:rsidRDefault="00422AF6">
      <w:pPr>
        <w:spacing w:line="360" w:lineRule="auto"/>
        <w:jc w:val="both"/>
        <w:rPr>
          <w:rFonts w:ascii="Palatino Linotype" w:eastAsia="Palatino Linotype" w:hAnsi="Palatino Linotype" w:cs="Palatino Linotype"/>
          <w:sz w:val="22"/>
          <w:szCs w:val="22"/>
        </w:rPr>
      </w:pPr>
    </w:p>
    <w:p w14:paraId="07BEC659" w14:textId="77777777" w:rsidR="00422AF6" w:rsidRPr="004726FE" w:rsidRDefault="0067296C">
      <w:pPr>
        <w:spacing w:line="276" w:lineRule="auto"/>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w:t>
      </w:r>
      <w:r w:rsidRPr="004726FE">
        <w:rPr>
          <w:rFonts w:ascii="Palatino Linotype" w:eastAsia="Palatino Linotype" w:hAnsi="Palatino Linotype" w:cs="Palatino Linotype"/>
          <w:b/>
          <w:i/>
          <w:sz w:val="22"/>
          <w:szCs w:val="22"/>
        </w:rPr>
        <w:t>Artículo 4</w:t>
      </w:r>
      <w:r w:rsidRPr="004726F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CCBFD21" w14:textId="77777777" w:rsidR="00422AF6" w:rsidRPr="004726FE" w:rsidRDefault="0067296C">
      <w:pPr>
        <w:spacing w:line="276" w:lineRule="auto"/>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726F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8BAA8B0" w14:textId="77777777" w:rsidR="00422AF6" w:rsidRPr="004726FE" w:rsidRDefault="0067296C">
      <w:pPr>
        <w:spacing w:line="276" w:lineRule="auto"/>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726FE">
        <w:rPr>
          <w:rFonts w:ascii="Palatino Linotype" w:eastAsia="Palatino Linotype" w:hAnsi="Palatino Linotype" w:cs="Palatino Linotype"/>
          <w:i/>
          <w:sz w:val="22"/>
          <w:szCs w:val="22"/>
        </w:rPr>
        <w:t>.”</w:t>
      </w:r>
    </w:p>
    <w:p w14:paraId="2BE64FA4" w14:textId="77777777" w:rsidR="00422AF6" w:rsidRPr="004726FE" w:rsidRDefault="00422AF6">
      <w:pPr>
        <w:spacing w:line="276" w:lineRule="auto"/>
        <w:jc w:val="both"/>
        <w:rPr>
          <w:rFonts w:ascii="Palatino Linotype" w:eastAsia="Palatino Linotype" w:hAnsi="Palatino Linotype" w:cs="Palatino Linotype"/>
          <w:sz w:val="22"/>
          <w:szCs w:val="22"/>
        </w:rPr>
      </w:pPr>
    </w:p>
    <w:p w14:paraId="3D8A090A" w14:textId="77777777" w:rsidR="00422AF6" w:rsidRPr="004726FE" w:rsidRDefault="0067296C">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Esto es, que los Sujetos Obligados tiene la obligación o deber de atender las solicitudes de acceso a la información pública que se les hagan de su conocimiento y proporcionar la </w:t>
      </w:r>
      <w:r w:rsidRPr="004726FE">
        <w:rPr>
          <w:rFonts w:ascii="Palatino Linotype" w:eastAsia="Palatino Linotype" w:hAnsi="Palatino Linotype" w:cs="Palatino Linotype"/>
          <w:sz w:val="22"/>
          <w:szCs w:val="22"/>
        </w:rPr>
        <w:lastRenderedPageBreak/>
        <w:t>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389A2E4" w14:textId="77777777" w:rsidR="00422AF6" w:rsidRPr="004726FE" w:rsidRDefault="00422AF6">
      <w:pPr>
        <w:spacing w:line="360" w:lineRule="auto"/>
        <w:jc w:val="both"/>
        <w:rPr>
          <w:rFonts w:ascii="Palatino Linotype" w:eastAsia="Palatino Linotype" w:hAnsi="Palatino Linotype" w:cs="Palatino Linotype"/>
          <w:sz w:val="22"/>
          <w:szCs w:val="22"/>
        </w:rPr>
      </w:pPr>
    </w:p>
    <w:p w14:paraId="023AF201" w14:textId="77777777" w:rsidR="00422AF6" w:rsidRPr="004726FE" w:rsidRDefault="0067296C">
      <w:pPr>
        <w:spacing w:line="276" w:lineRule="auto"/>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t>“Artículo 12.-</w:t>
      </w:r>
      <w:r w:rsidRPr="004726F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A62B681" w14:textId="77777777" w:rsidR="00422AF6" w:rsidRPr="004726FE" w:rsidRDefault="00422AF6">
      <w:pPr>
        <w:spacing w:line="276" w:lineRule="auto"/>
        <w:ind w:left="567" w:right="616"/>
        <w:jc w:val="both"/>
        <w:rPr>
          <w:rFonts w:ascii="Palatino Linotype" w:eastAsia="Palatino Linotype" w:hAnsi="Palatino Linotype" w:cs="Palatino Linotype"/>
          <w:i/>
          <w:sz w:val="22"/>
          <w:szCs w:val="22"/>
        </w:rPr>
      </w:pPr>
    </w:p>
    <w:p w14:paraId="280037CD" w14:textId="77777777" w:rsidR="00422AF6" w:rsidRPr="004726FE" w:rsidRDefault="0067296C">
      <w:pPr>
        <w:spacing w:line="276" w:lineRule="auto"/>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726FE">
        <w:rPr>
          <w:rFonts w:ascii="Palatino Linotype" w:eastAsia="Palatino Linotype" w:hAnsi="Palatino Linotype" w:cs="Palatino Linotype"/>
          <w:i/>
          <w:sz w:val="22"/>
          <w:szCs w:val="22"/>
        </w:rPr>
        <w:t xml:space="preserve">. </w:t>
      </w:r>
      <w:r w:rsidRPr="004726FE">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B698226" w14:textId="77777777" w:rsidR="00422AF6" w:rsidRPr="004726FE" w:rsidRDefault="00422AF6">
      <w:pPr>
        <w:spacing w:line="360" w:lineRule="auto"/>
        <w:ind w:right="-93"/>
        <w:jc w:val="both"/>
        <w:rPr>
          <w:rFonts w:ascii="Palatino Linotype" w:eastAsia="Palatino Linotype" w:hAnsi="Palatino Linotype" w:cs="Palatino Linotype"/>
          <w:sz w:val="22"/>
          <w:szCs w:val="22"/>
        </w:rPr>
      </w:pPr>
    </w:p>
    <w:p w14:paraId="09B2BB02" w14:textId="77777777" w:rsidR="00422AF6" w:rsidRPr="004726FE" w:rsidRDefault="0067296C">
      <w:pPr>
        <w:spacing w:line="360" w:lineRule="auto"/>
        <w:ind w:right="-93"/>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28BCEEFB" w14:textId="77777777" w:rsidR="00422AF6" w:rsidRPr="004726FE" w:rsidRDefault="00422AF6">
      <w:pPr>
        <w:spacing w:line="360" w:lineRule="auto"/>
        <w:ind w:right="-93"/>
        <w:jc w:val="both"/>
        <w:rPr>
          <w:rFonts w:ascii="Palatino Linotype" w:eastAsia="Palatino Linotype" w:hAnsi="Palatino Linotype" w:cs="Palatino Linotype"/>
          <w:sz w:val="22"/>
          <w:szCs w:val="22"/>
        </w:rPr>
      </w:pPr>
    </w:p>
    <w:p w14:paraId="7328CFF3" w14:textId="77777777" w:rsidR="00422AF6" w:rsidRPr="004726FE" w:rsidRDefault="0067296C">
      <w:pPr>
        <w:spacing w:line="360" w:lineRule="auto"/>
        <w:ind w:right="-93"/>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Sirve de apoyo a lo anterior, el criterio </w:t>
      </w:r>
      <w:r w:rsidR="00375A7D" w:rsidRPr="004726FE">
        <w:rPr>
          <w:rFonts w:ascii="Palatino Linotype" w:eastAsia="Palatino Linotype" w:hAnsi="Palatino Linotype" w:cs="Palatino Linotype"/>
          <w:sz w:val="22"/>
          <w:szCs w:val="22"/>
        </w:rPr>
        <w:t xml:space="preserve">orientador </w:t>
      </w:r>
      <w:r w:rsidRPr="004726FE">
        <w:rPr>
          <w:rFonts w:ascii="Palatino Linotype" w:eastAsia="Palatino Linotype" w:hAnsi="Palatino Linotype" w:cs="Palatino Linotype"/>
          <w:sz w:val="22"/>
          <w:szCs w:val="22"/>
        </w:rPr>
        <w:t xml:space="preserve">03-17, expuesto por el </w:t>
      </w:r>
      <w:r w:rsidR="00375A7D" w:rsidRPr="004726FE">
        <w:rPr>
          <w:rFonts w:ascii="Palatino Linotype" w:eastAsia="Palatino Linotype" w:hAnsi="Palatino Linotype" w:cs="Palatino Linotype"/>
          <w:sz w:val="22"/>
          <w:szCs w:val="22"/>
        </w:rPr>
        <w:t xml:space="preserve">entonces </w:t>
      </w:r>
      <w:r w:rsidRPr="004726FE">
        <w:rPr>
          <w:rFonts w:ascii="Palatino Linotype" w:eastAsia="Palatino Linotype" w:hAnsi="Palatino Linotype" w:cs="Palatino Linotype"/>
          <w:sz w:val="22"/>
          <w:szCs w:val="22"/>
        </w:rPr>
        <w:t>Instituto Nacional de Transparencia, Acceso a la Información y Protección de Datos Personales, que dice:</w:t>
      </w:r>
      <w:r w:rsidRPr="004726FE">
        <w:rPr>
          <w:rFonts w:ascii="Palatino Linotype" w:eastAsia="Palatino Linotype" w:hAnsi="Palatino Linotype" w:cs="Palatino Linotype"/>
          <w:b/>
          <w:sz w:val="22"/>
          <w:szCs w:val="22"/>
        </w:rPr>
        <w:t xml:space="preserve"> </w:t>
      </w:r>
    </w:p>
    <w:p w14:paraId="7FBE8307" w14:textId="77777777" w:rsidR="00422AF6" w:rsidRPr="004726FE" w:rsidRDefault="00422AF6">
      <w:pPr>
        <w:spacing w:line="360" w:lineRule="auto"/>
        <w:jc w:val="both"/>
        <w:rPr>
          <w:rFonts w:ascii="Palatino Linotype" w:eastAsia="Palatino Linotype" w:hAnsi="Palatino Linotype" w:cs="Palatino Linotype"/>
          <w:b/>
          <w:sz w:val="22"/>
          <w:szCs w:val="22"/>
        </w:rPr>
      </w:pPr>
    </w:p>
    <w:p w14:paraId="4AB59728" w14:textId="77777777" w:rsidR="00422AF6" w:rsidRPr="004726FE" w:rsidRDefault="0067296C">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w:t>
      </w:r>
      <w:r w:rsidRPr="004726FE">
        <w:rPr>
          <w:rFonts w:ascii="Palatino Linotype" w:eastAsia="Palatino Linotype" w:hAnsi="Palatino Linotype" w:cs="Palatino Linotype"/>
          <w:b/>
          <w:i/>
          <w:sz w:val="22"/>
          <w:szCs w:val="22"/>
        </w:rPr>
        <w:t>No existe obligación de elaborar documentos ad hoc para atender las solicitudes de acceso a la información.</w:t>
      </w:r>
      <w:r w:rsidRPr="004726F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w:t>
      </w:r>
      <w:r w:rsidRPr="004726FE">
        <w:rPr>
          <w:rFonts w:ascii="Palatino Linotype" w:eastAsia="Palatino Linotype" w:hAnsi="Palatino Linotype" w:cs="Palatino Linotype"/>
          <w:i/>
          <w:sz w:val="22"/>
          <w:szCs w:val="22"/>
        </w:rPr>
        <w:lastRenderedPageBreak/>
        <w:t xml:space="preserve">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374BDDC" w14:textId="77777777" w:rsidR="00422AF6" w:rsidRPr="004726FE" w:rsidRDefault="00422AF6">
      <w:pPr>
        <w:spacing w:line="360" w:lineRule="auto"/>
        <w:ind w:right="-93"/>
        <w:jc w:val="both"/>
        <w:rPr>
          <w:rFonts w:ascii="Palatino Linotype" w:eastAsia="Palatino Linotype" w:hAnsi="Palatino Linotype" w:cs="Palatino Linotype"/>
          <w:sz w:val="22"/>
          <w:szCs w:val="22"/>
        </w:rPr>
      </w:pPr>
    </w:p>
    <w:p w14:paraId="20A48315" w14:textId="77777777" w:rsidR="00422AF6" w:rsidRPr="004726FE" w:rsidRDefault="0067296C">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2456E28" w14:textId="77777777" w:rsidR="00422AF6" w:rsidRPr="004726FE" w:rsidRDefault="00422AF6">
      <w:pPr>
        <w:spacing w:line="360" w:lineRule="auto"/>
        <w:jc w:val="both"/>
        <w:rPr>
          <w:rFonts w:ascii="Palatino Linotype" w:eastAsia="Palatino Linotype" w:hAnsi="Palatino Linotype" w:cs="Palatino Linotype"/>
          <w:sz w:val="22"/>
          <w:szCs w:val="22"/>
        </w:rPr>
      </w:pPr>
    </w:p>
    <w:p w14:paraId="1C9FD0D8" w14:textId="77777777" w:rsidR="00422AF6" w:rsidRPr="004726FE" w:rsidRDefault="0067296C">
      <w:pPr>
        <w:spacing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A1BBFEB" w14:textId="77777777" w:rsidR="00422AF6" w:rsidRPr="004726FE" w:rsidRDefault="00422AF6">
      <w:pPr>
        <w:spacing w:line="360" w:lineRule="auto"/>
        <w:ind w:right="49"/>
        <w:jc w:val="both"/>
        <w:rPr>
          <w:rFonts w:ascii="Palatino Linotype" w:eastAsia="Palatino Linotype" w:hAnsi="Palatino Linotype" w:cs="Palatino Linotype"/>
          <w:sz w:val="22"/>
          <w:szCs w:val="22"/>
        </w:rPr>
      </w:pPr>
    </w:p>
    <w:p w14:paraId="559E5EDB" w14:textId="77777777" w:rsidR="00422AF6" w:rsidRPr="004726FE" w:rsidRDefault="0067296C">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w:t>
      </w:r>
      <w:r w:rsidRPr="004726FE">
        <w:rPr>
          <w:rFonts w:ascii="Palatino Linotype" w:eastAsia="Palatino Linotype" w:hAnsi="Palatino Linotype" w:cs="Palatino Linotype"/>
          <w:sz w:val="22"/>
          <w:szCs w:val="22"/>
        </w:rPr>
        <w:lastRenderedPageBreak/>
        <w:t xml:space="preserve">sonoro, visual, electrónico, informático u holográfico de conformidad con el artículo 3, fracción XI de la Ley de la materia, el cual señala lo siguiente: </w:t>
      </w:r>
    </w:p>
    <w:p w14:paraId="37A9D226" w14:textId="77777777" w:rsidR="00422AF6" w:rsidRPr="004726FE" w:rsidRDefault="00422AF6">
      <w:pPr>
        <w:spacing w:line="360" w:lineRule="auto"/>
        <w:ind w:left="567" w:right="616"/>
        <w:jc w:val="both"/>
        <w:rPr>
          <w:rFonts w:ascii="Palatino Linotype" w:eastAsia="Palatino Linotype" w:hAnsi="Palatino Linotype" w:cs="Palatino Linotype"/>
          <w:i/>
          <w:sz w:val="22"/>
          <w:szCs w:val="22"/>
        </w:rPr>
      </w:pPr>
    </w:p>
    <w:p w14:paraId="08EFC670" w14:textId="77777777" w:rsidR="00422AF6" w:rsidRPr="004726FE" w:rsidRDefault="0067296C">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w:t>
      </w:r>
      <w:r w:rsidRPr="004726FE">
        <w:rPr>
          <w:rFonts w:ascii="Palatino Linotype" w:eastAsia="Palatino Linotype" w:hAnsi="Palatino Linotype" w:cs="Palatino Linotype"/>
          <w:b/>
          <w:i/>
          <w:sz w:val="22"/>
          <w:szCs w:val="22"/>
        </w:rPr>
        <w:t xml:space="preserve">Artículo 3. </w:t>
      </w:r>
      <w:r w:rsidRPr="004726FE">
        <w:rPr>
          <w:rFonts w:ascii="Palatino Linotype" w:eastAsia="Palatino Linotype" w:hAnsi="Palatino Linotype" w:cs="Palatino Linotype"/>
          <w:i/>
          <w:sz w:val="22"/>
          <w:szCs w:val="22"/>
        </w:rPr>
        <w:t>Para los efectos de la presente Ley se entenderá por:</w:t>
      </w:r>
    </w:p>
    <w:p w14:paraId="719C66DD" w14:textId="77777777" w:rsidR="00422AF6" w:rsidRPr="004726FE" w:rsidRDefault="0067296C">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w:t>
      </w:r>
    </w:p>
    <w:p w14:paraId="1823249F" w14:textId="77777777" w:rsidR="00422AF6" w:rsidRPr="004726FE" w:rsidRDefault="0067296C">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t>XI. Documento:</w:t>
      </w:r>
      <w:r w:rsidRPr="004726FE">
        <w:rPr>
          <w:rFonts w:ascii="Palatino Linotype" w:eastAsia="Palatino Linotype" w:hAnsi="Palatino Linotype" w:cs="Palatino Linotype"/>
          <w:i/>
          <w:sz w:val="22"/>
          <w:szCs w:val="22"/>
        </w:rPr>
        <w:t xml:space="preserve"> Los expedientes, reportes, estudios, actas</w:t>
      </w:r>
      <w:r w:rsidRPr="004726FE">
        <w:rPr>
          <w:rFonts w:ascii="Palatino Linotype" w:eastAsia="Palatino Linotype" w:hAnsi="Palatino Linotype" w:cs="Palatino Linotype"/>
          <w:b/>
          <w:i/>
          <w:sz w:val="22"/>
          <w:szCs w:val="22"/>
        </w:rPr>
        <w:t>,</w:t>
      </w:r>
      <w:r w:rsidRPr="004726F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740B6D0" w14:textId="77777777" w:rsidR="00422AF6" w:rsidRPr="004726FE" w:rsidRDefault="00422AF6">
      <w:pPr>
        <w:spacing w:line="360" w:lineRule="auto"/>
        <w:ind w:left="851" w:right="899"/>
        <w:jc w:val="both"/>
        <w:rPr>
          <w:rFonts w:ascii="Palatino Linotype" w:eastAsia="Palatino Linotype" w:hAnsi="Palatino Linotype" w:cs="Palatino Linotype"/>
          <w:sz w:val="22"/>
          <w:szCs w:val="22"/>
        </w:rPr>
      </w:pPr>
    </w:p>
    <w:p w14:paraId="28B2153E" w14:textId="77777777" w:rsidR="00422AF6" w:rsidRPr="004726FE" w:rsidRDefault="0067296C">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2E5B088" w14:textId="77777777" w:rsidR="00422AF6" w:rsidRPr="004726FE" w:rsidRDefault="00422AF6">
      <w:pPr>
        <w:spacing w:line="360" w:lineRule="auto"/>
        <w:jc w:val="both"/>
        <w:rPr>
          <w:rFonts w:ascii="Palatino Linotype" w:eastAsia="Palatino Linotype" w:hAnsi="Palatino Linotype" w:cs="Palatino Linotype"/>
          <w:sz w:val="22"/>
          <w:szCs w:val="22"/>
        </w:rPr>
      </w:pPr>
    </w:p>
    <w:p w14:paraId="50B23669" w14:textId="77777777" w:rsidR="00422AF6" w:rsidRPr="004726FE" w:rsidRDefault="0067296C">
      <w:pPr>
        <w:ind w:left="567" w:right="616"/>
        <w:jc w:val="both"/>
        <w:rPr>
          <w:rFonts w:ascii="Palatino Linotype" w:eastAsia="Palatino Linotype" w:hAnsi="Palatino Linotype" w:cs="Palatino Linotype"/>
          <w:b/>
          <w:i/>
          <w:sz w:val="22"/>
          <w:szCs w:val="22"/>
        </w:rPr>
      </w:pPr>
      <w:r w:rsidRPr="004726FE">
        <w:rPr>
          <w:rFonts w:ascii="Palatino Linotype" w:eastAsia="Palatino Linotype" w:hAnsi="Palatino Linotype" w:cs="Palatino Linotype"/>
          <w:b/>
          <w:sz w:val="22"/>
          <w:szCs w:val="22"/>
        </w:rPr>
        <w:t>“</w:t>
      </w:r>
      <w:r w:rsidRPr="004726FE">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726F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FDE2E4A" w14:textId="77777777" w:rsidR="00422AF6" w:rsidRPr="004726FE" w:rsidRDefault="0067296C">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9A2A60C" w14:textId="77777777" w:rsidR="00422AF6" w:rsidRPr="004726FE" w:rsidRDefault="0067296C">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FC8FA0C" w14:textId="77777777" w:rsidR="00422AF6" w:rsidRPr="004726FE" w:rsidRDefault="0067296C">
      <w:pPr>
        <w:ind w:left="567" w:right="616"/>
        <w:jc w:val="both"/>
        <w:rPr>
          <w:rFonts w:ascii="Palatino Linotype" w:eastAsia="Palatino Linotype" w:hAnsi="Palatino Linotype" w:cs="Palatino Linotype"/>
          <w:b/>
          <w:i/>
          <w:sz w:val="22"/>
          <w:szCs w:val="22"/>
        </w:rPr>
      </w:pPr>
      <w:r w:rsidRPr="004726F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7C2D501C" w14:textId="77777777" w:rsidR="00422AF6" w:rsidRPr="004726FE" w:rsidRDefault="0067296C">
      <w:pPr>
        <w:ind w:left="567" w:right="616"/>
        <w:jc w:val="both"/>
        <w:rPr>
          <w:rFonts w:ascii="Palatino Linotype" w:eastAsia="Palatino Linotype" w:hAnsi="Palatino Linotype" w:cs="Palatino Linotype"/>
          <w:b/>
          <w:i/>
          <w:sz w:val="22"/>
          <w:szCs w:val="22"/>
        </w:rPr>
      </w:pPr>
      <w:r w:rsidRPr="004726FE">
        <w:rPr>
          <w:rFonts w:ascii="Palatino Linotype" w:eastAsia="Palatino Linotype" w:hAnsi="Palatino Linotype" w:cs="Palatino Linotype"/>
          <w:b/>
          <w:i/>
          <w:sz w:val="22"/>
          <w:szCs w:val="22"/>
        </w:rPr>
        <w:lastRenderedPageBreak/>
        <w:t xml:space="preserve">3) Que se trate de información registrada en cualquier soporte documental, que en ejercicio de las atribuciones conferidas, se encuentre en posesión de los Sujetos Obligados.” </w:t>
      </w:r>
    </w:p>
    <w:p w14:paraId="71673363" w14:textId="77777777" w:rsidR="00422AF6" w:rsidRPr="004726FE" w:rsidRDefault="00422AF6">
      <w:pPr>
        <w:tabs>
          <w:tab w:val="left" w:pos="8647"/>
        </w:tabs>
        <w:spacing w:line="360" w:lineRule="auto"/>
        <w:jc w:val="both"/>
        <w:rPr>
          <w:rFonts w:ascii="Palatino Linotype" w:eastAsia="Palatino Linotype" w:hAnsi="Palatino Linotype" w:cs="Palatino Linotype"/>
          <w:b/>
          <w:sz w:val="22"/>
          <w:szCs w:val="22"/>
        </w:rPr>
      </w:pPr>
    </w:p>
    <w:p w14:paraId="1F2B487D" w14:textId="77777777" w:rsidR="004718C5" w:rsidRPr="004726FE" w:rsidRDefault="0067296C">
      <w:pPr>
        <w:spacing w:after="240" w:line="360" w:lineRule="auto"/>
        <w:jc w:val="both"/>
        <w:rPr>
          <w:rFonts w:ascii="Palatino Linotype" w:eastAsia="Palatino Linotype" w:hAnsi="Palatino Linotype" w:cs="Palatino Linotype"/>
          <w:b/>
          <w:sz w:val="22"/>
          <w:szCs w:val="22"/>
        </w:rPr>
      </w:pPr>
      <w:r w:rsidRPr="004726FE">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006B7439" w:rsidRPr="004726FE">
        <w:rPr>
          <w:rFonts w:ascii="Palatino Linotype" w:eastAsia="Palatino Linotype" w:hAnsi="Palatino Linotype" w:cs="Palatino Linotype"/>
          <w:b/>
          <w:sz w:val="22"/>
          <w:szCs w:val="22"/>
        </w:rPr>
        <w:t>Poder Judicial</w:t>
      </w:r>
      <w:r w:rsidR="004718C5" w:rsidRPr="004726FE">
        <w:rPr>
          <w:rFonts w:ascii="Palatino Linotype" w:eastAsia="Palatino Linotype" w:hAnsi="Palatino Linotype" w:cs="Palatino Linotype"/>
          <w:b/>
          <w:sz w:val="22"/>
          <w:szCs w:val="22"/>
        </w:rPr>
        <w:t xml:space="preserve"> lo siguiente:</w:t>
      </w:r>
    </w:p>
    <w:p w14:paraId="5A88B00F" w14:textId="77777777" w:rsidR="007B483B" w:rsidRPr="004726FE" w:rsidRDefault="007B483B" w:rsidP="00ED16F4">
      <w:pPr>
        <w:pStyle w:val="Prrafodelista"/>
        <w:numPr>
          <w:ilvl w:val="0"/>
          <w:numId w:val="8"/>
        </w:numPr>
        <w:spacing w:line="360" w:lineRule="auto"/>
        <w:ind w:right="843"/>
        <w:jc w:val="both"/>
        <w:rPr>
          <w:rFonts w:ascii="Palatino Linotype" w:hAnsi="Palatino Linotype"/>
          <w:b/>
          <w:sz w:val="22"/>
          <w:szCs w:val="22"/>
        </w:rPr>
      </w:pPr>
      <w:r w:rsidRPr="004726FE">
        <w:rPr>
          <w:rFonts w:ascii="Palatino Linotype" w:hAnsi="Palatino Linotype"/>
          <w:b/>
          <w:sz w:val="22"/>
          <w:szCs w:val="22"/>
        </w:rPr>
        <w:t>En versión pública el expediente 169/2008 del Segundo Juzgado Familiar de Toluca.</w:t>
      </w:r>
    </w:p>
    <w:p w14:paraId="48D728AF" w14:textId="77777777" w:rsidR="005744DE" w:rsidRPr="004726FE" w:rsidRDefault="005744DE" w:rsidP="004718C5">
      <w:pPr>
        <w:ind w:left="567" w:right="843"/>
        <w:jc w:val="both"/>
        <w:rPr>
          <w:rFonts w:ascii="Palatino Linotype" w:hAnsi="Palatino Linotype"/>
          <w:i/>
          <w:sz w:val="22"/>
          <w:szCs w:val="22"/>
        </w:rPr>
      </w:pPr>
    </w:p>
    <w:p w14:paraId="0140975F" w14:textId="77777777" w:rsidR="00AC27CC" w:rsidRPr="004726FE" w:rsidRDefault="00AC27CC" w:rsidP="004058E5">
      <w:pPr>
        <w:spacing w:line="360" w:lineRule="auto"/>
        <w:ind w:right="-7"/>
        <w:jc w:val="both"/>
        <w:rPr>
          <w:rFonts w:ascii="Palatino Linotype" w:hAnsi="Palatino Linotype"/>
          <w:sz w:val="22"/>
          <w:szCs w:val="22"/>
        </w:rPr>
      </w:pPr>
      <w:r w:rsidRPr="004726FE">
        <w:rPr>
          <w:rFonts w:ascii="Palatino Linotype" w:hAnsi="Palatino Linotype"/>
          <w:sz w:val="22"/>
          <w:szCs w:val="22"/>
        </w:rPr>
        <w:t>El Sujeto Obligado en su respuesta entregó el documento electrónico denominado RESPUESTA 354-2025.pdf; que corresponde a un documento si número de oficio suscrito por el Titular de la Unidad de Transparencia mediante el cual señaló una dirección electrónica y el procedimiento a seguir para acceder a la versión pública de las resoluciones que emite el Poder Judicial.</w:t>
      </w:r>
    </w:p>
    <w:p w14:paraId="25FBCA2A" w14:textId="77777777" w:rsidR="00AC27CC" w:rsidRPr="004726FE" w:rsidRDefault="00AC27CC" w:rsidP="004058E5">
      <w:pPr>
        <w:spacing w:line="360" w:lineRule="auto"/>
        <w:ind w:right="-7"/>
        <w:jc w:val="both"/>
        <w:rPr>
          <w:rFonts w:ascii="Palatino Linotype" w:hAnsi="Palatino Linotype"/>
          <w:sz w:val="22"/>
          <w:szCs w:val="22"/>
        </w:rPr>
      </w:pPr>
    </w:p>
    <w:p w14:paraId="47877F01" w14:textId="77777777" w:rsidR="00FF2C34" w:rsidRPr="004726FE" w:rsidRDefault="002F0356" w:rsidP="004058E5">
      <w:pPr>
        <w:spacing w:line="360" w:lineRule="auto"/>
        <w:ind w:right="-7"/>
        <w:jc w:val="both"/>
        <w:rPr>
          <w:rFonts w:ascii="Palatino Linotype" w:hAnsi="Palatino Linotype"/>
          <w:sz w:val="22"/>
          <w:szCs w:val="22"/>
        </w:rPr>
      </w:pPr>
      <w:r w:rsidRPr="004726FE">
        <w:rPr>
          <w:rFonts w:ascii="Palatino Linotype" w:hAnsi="Palatino Linotype"/>
          <w:sz w:val="22"/>
          <w:szCs w:val="22"/>
        </w:rPr>
        <w:t xml:space="preserve">Por su parte, el Recurrente se inconformó </w:t>
      </w:r>
      <w:r w:rsidR="00645DE2" w:rsidRPr="004726FE">
        <w:rPr>
          <w:rFonts w:ascii="Palatino Linotype" w:hAnsi="Palatino Linotype"/>
          <w:sz w:val="22"/>
          <w:szCs w:val="22"/>
        </w:rPr>
        <w:t>porque en la dirección electrónica no se encuentra publicada la resolución, así como tampoco se localiza el expediente solicitado.</w:t>
      </w:r>
    </w:p>
    <w:p w14:paraId="34203539" w14:textId="77777777" w:rsidR="00645DE2" w:rsidRPr="004726FE" w:rsidRDefault="00645DE2" w:rsidP="004058E5">
      <w:pPr>
        <w:spacing w:line="360" w:lineRule="auto"/>
        <w:ind w:right="-7"/>
        <w:jc w:val="both"/>
        <w:rPr>
          <w:rFonts w:ascii="Palatino Linotype" w:hAnsi="Palatino Linotype"/>
          <w:sz w:val="22"/>
          <w:szCs w:val="22"/>
        </w:rPr>
      </w:pPr>
    </w:p>
    <w:p w14:paraId="52A6A46C" w14:textId="77777777" w:rsidR="004058E5" w:rsidRPr="004726FE" w:rsidRDefault="00645DE2" w:rsidP="004058E5">
      <w:pPr>
        <w:spacing w:line="360" w:lineRule="auto"/>
        <w:ind w:right="-7"/>
        <w:jc w:val="both"/>
        <w:rPr>
          <w:rFonts w:ascii="Palatino Linotype" w:hAnsi="Palatino Linotype"/>
          <w:sz w:val="22"/>
          <w:szCs w:val="22"/>
        </w:rPr>
      </w:pPr>
      <w:r w:rsidRPr="004726FE">
        <w:rPr>
          <w:rFonts w:ascii="Palatino Linotype" w:hAnsi="Palatino Linotype"/>
          <w:sz w:val="22"/>
          <w:szCs w:val="22"/>
        </w:rPr>
        <w:t>Mediante el informe justificado</w:t>
      </w:r>
      <w:r w:rsidR="004058E5" w:rsidRPr="004726FE">
        <w:rPr>
          <w:rFonts w:ascii="Palatino Linotype" w:hAnsi="Palatino Linotype"/>
          <w:sz w:val="22"/>
          <w:szCs w:val="22"/>
        </w:rPr>
        <w:t xml:space="preserve">, el Sujeto Obligado entregó el documento electrónico denominado </w:t>
      </w:r>
      <w:r w:rsidR="004058E5" w:rsidRPr="004726FE">
        <w:rPr>
          <w:rFonts w:ascii="Palatino Linotype" w:hAnsi="Palatino Linotype"/>
          <w:b/>
          <w:i/>
          <w:sz w:val="22"/>
          <w:szCs w:val="22"/>
        </w:rPr>
        <w:t xml:space="preserve">Informe </w:t>
      </w:r>
      <w:proofErr w:type="spellStart"/>
      <w:r w:rsidR="004058E5" w:rsidRPr="004726FE">
        <w:rPr>
          <w:rFonts w:ascii="Palatino Linotype" w:hAnsi="Palatino Linotype"/>
          <w:b/>
          <w:i/>
          <w:sz w:val="22"/>
          <w:szCs w:val="22"/>
        </w:rPr>
        <w:t>Justif</w:t>
      </w:r>
      <w:proofErr w:type="spellEnd"/>
      <w:r w:rsidR="004058E5" w:rsidRPr="004726FE">
        <w:rPr>
          <w:rFonts w:ascii="Palatino Linotype" w:hAnsi="Palatino Linotype"/>
          <w:b/>
          <w:i/>
          <w:sz w:val="22"/>
          <w:szCs w:val="22"/>
        </w:rPr>
        <w:t xml:space="preserve"> RR 04839 25.pdf, </w:t>
      </w:r>
      <w:r w:rsidR="004058E5" w:rsidRPr="004726FE">
        <w:rPr>
          <w:rFonts w:ascii="Palatino Linotype" w:hAnsi="Palatino Linotype"/>
          <w:sz w:val="22"/>
          <w:szCs w:val="22"/>
        </w:rPr>
        <w:t>suscrito por el Titular de la Unidad de Transparencia</w:t>
      </w:r>
      <w:r w:rsidR="002B5B0D" w:rsidRPr="004726FE">
        <w:rPr>
          <w:rFonts w:ascii="Palatino Linotype" w:hAnsi="Palatino Linotype"/>
          <w:sz w:val="22"/>
          <w:szCs w:val="22"/>
        </w:rPr>
        <w:t>, mediante el cual ratifica su respuesta inicial respecto a la versión pública de las resoluciones que emita el Poder Judicial. Asimismo, señala que la información que presentan las partes es considerada de carácter confidencial.</w:t>
      </w:r>
      <w:r w:rsidR="002B5B0D" w:rsidRPr="004726FE">
        <w:rPr>
          <w:rFonts w:ascii="Palatino Linotype" w:hAnsi="Palatino Linotype"/>
          <w:b/>
          <w:sz w:val="22"/>
          <w:szCs w:val="22"/>
        </w:rPr>
        <w:t xml:space="preserve"> </w:t>
      </w:r>
      <w:r w:rsidR="002B5B0D" w:rsidRPr="004726FE">
        <w:rPr>
          <w:rFonts w:ascii="Palatino Linotype" w:hAnsi="Palatino Linotype"/>
          <w:sz w:val="22"/>
          <w:szCs w:val="22"/>
        </w:rPr>
        <w:t xml:space="preserve">Se Hace del conocimiento del particular que sólo el titular de los datos personales puede acceder a ellos, de lo contrario se actualiza lo que dispone el artículo 143, fracción I de la Ley de Transparencia y Acceso a la Información Pública del Estado de México y Municipios. Por último, se hace de conocimiento al particular que en caso de ser persona autorizada en autos para acceso al expediente, podrá tener acceso a través </w:t>
      </w:r>
      <w:r w:rsidR="002B5B0D" w:rsidRPr="004726FE">
        <w:rPr>
          <w:rFonts w:ascii="Palatino Linotype" w:hAnsi="Palatino Linotype"/>
          <w:sz w:val="22"/>
          <w:szCs w:val="22"/>
        </w:rPr>
        <w:lastRenderedPageBreak/>
        <w:t>del órgano jurisdiccional competente, o bien, a través del SARCOEM, mediante el ejercicio de los derechos ARCO.</w:t>
      </w:r>
    </w:p>
    <w:p w14:paraId="5DFE9F78" w14:textId="77777777" w:rsidR="00FF2C34" w:rsidRPr="004726FE" w:rsidRDefault="00FF2C34" w:rsidP="00FF2C34">
      <w:pPr>
        <w:spacing w:line="360" w:lineRule="auto"/>
        <w:ind w:right="-7"/>
        <w:jc w:val="both"/>
        <w:rPr>
          <w:rFonts w:ascii="Palatino Linotype" w:hAnsi="Palatino Linotype"/>
          <w:sz w:val="22"/>
          <w:szCs w:val="22"/>
        </w:rPr>
      </w:pPr>
    </w:p>
    <w:p w14:paraId="0C38AF70" w14:textId="77777777" w:rsidR="002B5B0D" w:rsidRPr="004726FE" w:rsidRDefault="002B5B0D" w:rsidP="002B5B0D">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En primer momento, se aprecia que, quién da respuesta a la solicitud es el Titular de la Unidad de Transparencia, unidad administrativa que de acuerdo a la Ley de Transparencia y Acceso a la Información es la encargada de turnar las solicitudes de acceso a la información pública a las áreas que de acuerdo a sus atribuciones, funciones y competencias deban generar, administrar y poseer la información que requieran los particulares, por lo que, al no haber turnado la solicitud a ninguna área, no siguió el procedimiento para la atención a las solicitudes de acceso a la información, establecido en los artículos 151, 160, 162, 163, 164, 165 y 166, de la Ley de Transparencia y Acceso a la Información Pública del Estado de México y Municipios: </w:t>
      </w:r>
    </w:p>
    <w:p w14:paraId="75AF244A" w14:textId="77777777" w:rsidR="002B5B0D" w:rsidRPr="004726FE" w:rsidRDefault="002B5B0D" w:rsidP="002B5B0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B102B75" w14:textId="77777777" w:rsidR="002B5B0D" w:rsidRPr="004726FE" w:rsidRDefault="002B5B0D" w:rsidP="002B5B0D">
      <w:pPr>
        <w:spacing w:after="240" w:line="360" w:lineRule="auto"/>
        <w:ind w:left="284"/>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6601C05" w14:textId="77777777" w:rsidR="002B5B0D" w:rsidRPr="004726FE" w:rsidRDefault="002B5B0D" w:rsidP="002B5B0D">
      <w:pPr>
        <w:spacing w:after="240" w:line="360" w:lineRule="auto"/>
        <w:ind w:left="284"/>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001FB09B" w14:textId="77777777" w:rsidR="002B5B0D" w:rsidRPr="004726FE" w:rsidRDefault="002B5B0D" w:rsidP="002B5B0D">
      <w:pPr>
        <w:spacing w:after="240" w:line="360" w:lineRule="auto"/>
        <w:ind w:left="284"/>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5AC6D40B" w14:textId="77777777" w:rsidR="002B5B0D" w:rsidRPr="004726FE" w:rsidRDefault="002B5B0D" w:rsidP="002B5B0D">
      <w:pPr>
        <w:spacing w:after="240" w:line="360" w:lineRule="auto"/>
        <w:ind w:left="284"/>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lastRenderedPageBreak/>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18C18A82" w14:textId="77777777" w:rsidR="002B5B0D" w:rsidRPr="004726FE" w:rsidRDefault="002B5B0D" w:rsidP="002B5B0D">
      <w:pPr>
        <w:spacing w:after="240" w:line="360" w:lineRule="auto"/>
        <w:ind w:left="284"/>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53EB5D4A" w14:textId="77777777" w:rsidR="002B5B0D" w:rsidRPr="004726FE" w:rsidRDefault="002B5B0D" w:rsidP="002B5B0D">
      <w:pPr>
        <w:spacing w:after="240" w:line="360" w:lineRule="auto"/>
        <w:ind w:left="284"/>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0766C557" w14:textId="77777777" w:rsidR="002B5B0D" w:rsidRPr="004726FE" w:rsidRDefault="002B5B0D"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En este orden de ideas, se reitera que la Unidad de Transparencia no turnó la solicitud a la o a las unidades administrativas con atribuciones para generar, administrar y poseer la información requerida por el particular, por lo que, se tiene que no se acreditó la correcta búsqueda exhaustiva y razonable de la información.</w:t>
      </w:r>
    </w:p>
    <w:p w14:paraId="0CAD4BD6" w14:textId="77777777" w:rsidR="002B5B0D" w:rsidRPr="004726FE" w:rsidRDefault="002B5B0D" w:rsidP="00FF2C34">
      <w:pPr>
        <w:spacing w:line="360" w:lineRule="auto"/>
        <w:ind w:right="-7"/>
        <w:jc w:val="both"/>
        <w:rPr>
          <w:rFonts w:ascii="Palatino Linotype" w:hAnsi="Palatino Linotype"/>
          <w:sz w:val="22"/>
          <w:szCs w:val="22"/>
        </w:rPr>
      </w:pPr>
    </w:p>
    <w:p w14:paraId="6F43112E" w14:textId="77777777" w:rsidR="00106F84" w:rsidRPr="004726FE" w:rsidRDefault="004B5DBB" w:rsidP="004B5DBB">
      <w:pPr>
        <w:spacing w:before="240" w:after="240"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Dicho lo anterior, es de recordar que en respuesta el </w:t>
      </w:r>
      <w:r w:rsidRPr="004726FE">
        <w:rPr>
          <w:rFonts w:ascii="Palatino Linotype" w:eastAsia="Palatino Linotype" w:hAnsi="Palatino Linotype" w:cs="Palatino Linotype"/>
          <w:b/>
          <w:sz w:val="22"/>
          <w:szCs w:val="22"/>
        </w:rPr>
        <w:t>Sujeto Obligado</w:t>
      </w:r>
      <w:r w:rsidRPr="004726FE">
        <w:rPr>
          <w:rFonts w:ascii="Palatino Linotype" w:eastAsia="Palatino Linotype" w:hAnsi="Palatino Linotype" w:cs="Palatino Linotype"/>
          <w:sz w:val="22"/>
          <w:szCs w:val="22"/>
        </w:rPr>
        <w:t xml:space="preserve"> proporcionó una liga electrónica</w:t>
      </w:r>
      <w:r w:rsidR="00106F84" w:rsidRPr="004726FE">
        <w:rPr>
          <w:rFonts w:ascii="Palatino Linotype" w:eastAsia="Palatino Linotype" w:hAnsi="Palatino Linotype" w:cs="Palatino Linotype"/>
          <w:sz w:val="22"/>
          <w:szCs w:val="22"/>
        </w:rPr>
        <w:t xml:space="preserve"> de la página principal del Poder Judicial, aunado a ello proporcionó el procedimiento para llegar al apartado de versiones públicas de las sentencias emitidas.</w:t>
      </w:r>
    </w:p>
    <w:p w14:paraId="7AF6F3A4" w14:textId="77777777" w:rsidR="004B5DBB" w:rsidRPr="004726FE" w:rsidRDefault="004B5DBB" w:rsidP="004B5DBB">
      <w:pPr>
        <w:spacing w:before="240" w:after="240" w:line="360" w:lineRule="auto"/>
        <w:ind w:right="49"/>
        <w:jc w:val="both"/>
        <w:rPr>
          <w:rFonts w:ascii="Palatino Linotype" w:eastAsia="Palatino Linotype" w:hAnsi="Palatino Linotype" w:cs="Palatino Linotype"/>
          <w:b/>
          <w:sz w:val="22"/>
          <w:szCs w:val="22"/>
        </w:rPr>
      </w:pPr>
      <w:r w:rsidRPr="004726FE">
        <w:rPr>
          <w:rFonts w:ascii="Palatino Linotype" w:eastAsia="Palatino Linotype" w:hAnsi="Palatino Linotype" w:cs="Palatino Linotype"/>
          <w:sz w:val="22"/>
          <w:szCs w:val="22"/>
        </w:rPr>
        <w:lastRenderedPageBreak/>
        <w:t xml:space="preserve"> </w:t>
      </w:r>
      <w:r w:rsidRPr="004726FE">
        <w:rPr>
          <w:rFonts w:ascii="Palatino Linotype" w:eastAsia="Palatino Linotype" w:hAnsi="Palatino Linotype" w:cs="Palatino Linotype"/>
          <w:b/>
          <w:sz w:val="22"/>
          <w:szCs w:val="22"/>
        </w:rPr>
        <w:t xml:space="preserve">Al </w:t>
      </w:r>
      <w:r w:rsidR="00106F84" w:rsidRPr="004726FE">
        <w:rPr>
          <w:rFonts w:ascii="Palatino Linotype" w:eastAsia="Palatino Linotype" w:hAnsi="Palatino Linotype" w:cs="Palatino Linotype"/>
          <w:b/>
          <w:sz w:val="22"/>
          <w:szCs w:val="22"/>
        </w:rPr>
        <w:t>seguir los pasos indicados por el Sujeto Obligado</w:t>
      </w:r>
      <w:r w:rsidRPr="004726FE">
        <w:rPr>
          <w:rFonts w:ascii="Palatino Linotype" w:eastAsia="Palatino Linotype" w:hAnsi="Palatino Linotype" w:cs="Palatino Linotype"/>
          <w:b/>
          <w:sz w:val="22"/>
          <w:szCs w:val="22"/>
        </w:rPr>
        <w:t>, nos conduce a este portal:</w:t>
      </w:r>
    </w:p>
    <w:p w14:paraId="6EEDC400" w14:textId="77777777" w:rsidR="004B5DBB" w:rsidRPr="004726FE" w:rsidRDefault="004B5DBB" w:rsidP="004B5DBB">
      <w:pPr>
        <w:spacing w:before="240" w:after="240" w:line="360" w:lineRule="auto"/>
        <w:ind w:right="49"/>
        <w:jc w:val="center"/>
        <w:rPr>
          <w:rFonts w:ascii="Palatino Linotype" w:eastAsia="Palatino Linotype" w:hAnsi="Palatino Linotype" w:cs="Palatino Linotype"/>
          <w:sz w:val="22"/>
          <w:szCs w:val="22"/>
        </w:rPr>
      </w:pPr>
      <w:r w:rsidRPr="004726FE">
        <w:rPr>
          <w:rFonts w:ascii="Palatino Linotype" w:eastAsia="Palatino Linotype" w:hAnsi="Palatino Linotype" w:cs="Palatino Linotype"/>
          <w:noProof/>
          <w:sz w:val="22"/>
          <w:szCs w:val="22"/>
        </w:rPr>
        <w:drawing>
          <wp:inline distT="0" distB="0" distL="0" distR="0" wp14:anchorId="12814A97" wp14:editId="05174180">
            <wp:extent cx="4768495" cy="3588511"/>
            <wp:effectExtent l="0" t="0" r="0" b="0"/>
            <wp:docPr id="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768495" cy="3588511"/>
                    </a:xfrm>
                    <a:prstGeom prst="rect">
                      <a:avLst/>
                    </a:prstGeom>
                    <a:ln/>
                  </pic:spPr>
                </pic:pic>
              </a:graphicData>
            </a:graphic>
          </wp:inline>
        </w:drawing>
      </w:r>
    </w:p>
    <w:p w14:paraId="328523B8" w14:textId="77777777" w:rsidR="00106F84" w:rsidRPr="004726FE" w:rsidRDefault="004B5DBB" w:rsidP="004B5DBB">
      <w:pPr>
        <w:spacing w:before="240" w:after="240"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Posteriormente, el </w:t>
      </w:r>
      <w:r w:rsidRPr="004726FE">
        <w:rPr>
          <w:rFonts w:ascii="Palatino Linotype" w:eastAsia="Palatino Linotype" w:hAnsi="Palatino Linotype" w:cs="Palatino Linotype"/>
          <w:b/>
          <w:sz w:val="22"/>
          <w:szCs w:val="22"/>
        </w:rPr>
        <w:t>Sujeto Obligado</w:t>
      </w:r>
      <w:r w:rsidRPr="004726FE">
        <w:rPr>
          <w:rFonts w:ascii="Palatino Linotype" w:eastAsia="Palatino Linotype" w:hAnsi="Palatino Linotype" w:cs="Palatino Linotype"/>
          <w:sz w:val="22"/>
          <w:szCs w:val="22"/>
        </w:rPr>
        <w:t xml:space="preserve"> refiere que debe colocarse </w:t>
      </w:r>
      <w:r w:rsidR="00106F84" w:rsidRPr="004726FE">
        <w:rPr>
          <w:rFonts w:ascii="Palatino Linotype" w:eastAsia="Palatino Linotype" w:hAnsi="Palatino Linotype" w:cs="Palatino Linotype"/>
          <w:sz w:val="22"/>
          <w:szCs w:val="22"/>
        </w:rPr>
        <w:t>el número de expediente</w:t>
      </w:r>
      <w:r w:rsidRPr="004726FE">
        <w:rPr>
          <w:rFonts w:ascii="Palatino Linotype" w:eastAsia="Palatino Linotype" w:hAnsi="Palatino Linotype" w:cs="Palatino Linotype"/>
          <w:sz w:val="22"/>
          <w:szCs w:val="22"/>
        </w:rPr>
        <w:t xml:space="preserve">, deslizar el cursor a la derecha y dar clic en el ícono ver archivo, para efecto de filtrar las resoluciones </w:t>
      </w:r>
      <w:r w:rsidR="00106F84" w:rsidRPr="004726FE">
        <w:rPr>
          <w:rFonts w:ascii="Palatino Linotype" w:eastAsia="Palatino Linotype" w:hAnsi="Palatino Linotype" w:cs="Palatino Linotype"/>
          <w:sz w:val="22"/>
          <w:szCs w:val="22"/>
        </w:rPr>
        <w:t>con dicho número de expediente; sin embargo, al realizar el ejercicio se advierte lo siguiente:</w:t>
      </w:r>
    </w:p>
    <w:p w14:paraId="38B81D17" w14:textId="77777777" w:rsidR="00106F84" w:rsidRPr="004726FE" w:rsidRDefault="00106F84" w:rsidP="004B5DBB">
      <w:pPr>
        <w:spacing w:before="240" w:after="240"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noProof/>
          <w:sz w:val="22"/>
          <w:szCs w:val="22"/>
        </w:rPr>
        <w:lastRenderedPageBreak/>
        <w:drawing>
          <wp:inline distT="0" distB="0" distL="0" distR="0" wp14:anchorId="68387947" wp14:editId="59919852">
            <wp:extent cx="5756275" cy="40011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4001135"/>
                    </a:xfrm>
                    <a:prstGeom prst="rect">
                      <a:avLst/>
                    </a:prstGeom>
                  </pic:spPr>
                </pic:pic>
              </a:graphicData>
            </a:graphic>
          </wp:inline>
        </w:drawing>
      </w:r>
    </w:p>
    <w:p w14:paraId="0A40CDA1" w14:textId="77777777" w:rsidR="004B5DBB" w:rsidRPr="004726FE" w:rsidRDefault="004B5DBB" w:rsidP="004B5DBB">
      <w:pPr>
        <w:spacing w:before="240" w:after="240"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De tal suerte que al ingresar </w:t>
      </w:r>
      <w:r w:rsidR="00106F84" w:rsidRPr="004726FE">
        <w:rPr>
          <w:rFonts w:ascii="Palatino Linotype" w:eastAsia="Palatino Linotype" w:hAnsi="Palatino Linotype" w:cs="Palatino Linotype"/>
          <w:sz w:val="22"/>
          <w:szCs w:val="22"/>
        </w:rPr>
        <w:t>el número de expediente referido por el particular, no se obtiene información alguna.</w:t>
      </w:r>
    </w:p>
    <w:p w14:paraId="731D5DE5" w14:textId="77777777" w:rsidR="00106F84" w:rsidRPr="004726FE" w:rsidRDefault="00106F84" w:rsidP="00106F84">
      <w:pPr>
        <w:spacing w:before="240" w:after="240"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En este tenor, es dable afirmar que con la liga electrónica proporcionada por el </w:t>
      </w:r>
      <w:r w:rsidRPr="004726FE">
        <w:rPr>
          <w:rFonts w:ascii="Palatino Linotype" w:eastAsia="Palatino Linotype" w:hAnsi="Palatino Linotype" w:cs="Palatino Linotype"/>
          <w:b/>
          <w:sz w:val="22"/>
          <w:szCs w:val="22"/>
        </w:rPr>
        <w:t>Sujeto Obligado</w:t>
      </w:r>
      <w:r w:rsidRPr="004726FE">
        <w:rPr>
          <w:rFonts w:ascii="Palatino Linotype" w:eastAsia="Palatino Linotype" w:hAnsi="Palatino Linotype" w:cs="Palatino Linotype"/>
          <w:sz w:val="22"/>
          <w:szCs w:val="22"/>
        </w:rPr>
        <w:t xml:space="preserve"> no se satisface el requerimiento de información del particular, toda vez que como señaló en su escrito de recurso de revisión, el enlace no conduce a la versión pública de la sentencia, así como tampoco al expediente correspondiente.</w:t>
      </w:r>
    </w:p>
    <w:p w14:paraId="48A8142D" w14:textId="77777777" w:rsidR="00106F84" w:rsidRPr="004726FE" w:rsidRDefault="00106F84" w:rsidP="00106F84">
      <w:pPr>
        <w:pBdr>
          <w:top w:val="nil"/>
          <w:left w:val="nil"/>
          <w:bottom w:val="nil"/>
          <w:right w:val="nil"/>
          <w:between w:val="nil"/>
        </w:pBdr>
        <w:spacing w:line="360" w:lineRule="auto"/>
        <w:jc w:val="both"/>
        <w:rPr>
          <w:rFonts w:ascii="Palatino Linotype" w:hAnsi="Palatino Linotype"/>
          <w:sz w:val="22"/>
          <w:szCs w:val="22"/>
        </w:rPr>
      </w:pPr>
      <w:r w:rsidRPr="004726FE">
        <w:rPr>
          <w:rFonts w:ascii="Palatino Linotype" w:eastAsia="Palatino Linotype" w:hAnsi="Palatino Linotype" w:cs="Palatino Linotype"/>
          <w:sz w:val="22"/>
          <w:szCs w:val="22"/>
        </w:rPr>
        <w:t xml:space="preserve">Lo anterior es así en virtud de lo establecido por los artículos 11 y 161 de la Ley de Transparencia y Acceso a la Información Pública del Estado de México y Municipios, en lo que se señalan las características que debe tener toda información entregada por los sujetos </w:t>
      </w:r>
      <w:r w:rsidRPr="004726FE">
        <w:rPr>
          <w:rFonts w:ascii="Palatino Linotype" w:eastAsia="Palatino Linotype" w:hAnsi="Palatino Linotype" w:cs="Palatino Linotype"/>
          <w:sz w:val="22"/>
          <w:szCs w:val="22"/>
        </w:rPr>
        <w:lastRenderedPageBreak/>
        <w:t>obligados desde el momento de su generación, publicación y entrega, así como la forma en que se deberá consultar la información, señalando una fuente precisa y concreta, a saber:</w:t>
      </w:r>
    </w:p>
    <w:p w14:paraId="731AD118" w14:textId="77777777" w:rsidR="00106F84" w:rsidRPr="004726FE" w:rsidRDefault="00106F84" w:rsidP="00106F84">
      <w:pPr>
        <w:spacing w:line="360" w:lineRule="auto"/>
        <w:rPr>
          <w:rFonts w:ascii="Palatino Linotype" w:hAnsi="Palatino Linotype"/>
          <w:sz w:val="22"/>
          <w:szCs w:val="22"/>
        </w:rPr>
      </w:pPr>
    </w:p>
    <w:p w14:paraId="66D4823F" w14:textId="77777777" w:rsidR="00106F84" w:rsidRPr="004726FE" w:rsidRDefault="00106F84" w:rsidP="00106F84">
      <w:pPr>
        <w:pBdr>
          <w:top w:val="nil"/>
          <w:left w:val="nil"/>
          <w:bottom w:val="nil"/>
          <w:right w:val="nil"/>
          <w:between w:val="nil"/>
        </w:pBdr>
        <w:spacing w:line="276" w:lineRule="auto"/>
        <w:ind w:left="567" w:right="1276"/>
        <w:jc w:val="both"/>
        <w:rPr>
          <w:rFonts w:ascii="Palatino Linotype" w:hAnsi="Palatino Linotype"/>
          <w:sz w:val="22"/>
          <w:szCs w:val="22"/>
        </w:rPr>
      </w:pPr>
      <w:r w:rsidRPr="004726FE">
        <w:rPr>
          <w:rFonts w:ascii="Palatino Linotype" w:eastAsia="Palatino Linotype" w:hAnsi="Palatino Linotype" w:cs="Palatino Linotype"/>
          <w:b/>
          <w:i/>
          <w:sz w:val="22"/>
          <w:szCs w:val="22"/>
        </w:rPr>
        <w:t>“Artículo 11.</w:t>
      </w:r>
      <w:r w:rsidRPr="004726FE">
        <w:rPr>
          <w:rFonts w:ascii="Palatino Linotype" w:eastAsia="Palatino Linotype" w:hAnsi="Palatino Linotype" w:cs="Palatino Linotype"/>
          <w:i/>
          <w:sz w:val="22"/>
          <w:szCs w:val="22"/>
        </w:rPr>
        <w:t xml:space="preserve"> </w:t>
      </w:r>
      <w:r w:rsidRPr="004726FE">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4726FE">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0195A6E6" w14:textId="77777777" w:rsidR="00106F84" w:rsidRPr="004726FE" w:rsidRDefault="00106F84" w:rsidP="00106F84">
      <w:pPr>
        <w:pBdr>
          <w:top w:val="nil"/>
          <w:left w:val="nil"/>
          <w:bottom w:val="nil"/>
          <w:right w:val="nil"/>
          <w:between w:val="nil"/>
        </w:pBdr>
        <w:spacing w:line="276" w:lineRule="auto"/>
        <w:ind w:left="567" w:right="1276"/>
        <w:jc w:val="both"/>
        <w:rPr>
          <w:rFonts w:ascii="Palatino Linotype" w:hAnsi="Palatino Linotype"/>
          <w:sz w:val="22"/>
          <w:szCs w:val="22"/>
        </w:rPr>
      </w:pPr>
      <w:r w:rsidRPr="004726FE">
        <w:rPr>
          <w:rFonts w:ascii="Palatino Linotype" w:eastAsia="Palatino Linotype" w:hAnsi="Palatino Linotype" w:cs="Palatino Linotype"/>
          <w:i/>
          <w:sz w:val="22"/>
          <w:szCs w:val="22"/>
        </w:rPr>
        <w:t>[…]</w:t>
      </w:r>
    </w:p>
    <w:p w14:paraId="65306A45" w14:textId="77777777" w:rsidR="00106F84" w:rsidRPr="004726FE" w:rsidRDefault="00106F84" w:rsidP="00106F84">
      <w:pPr>
        <w:spacing w:line="276" w:lineRule="auto"/>
        <w:ind w:right="1276"/>
        <w:rPr>
          <w:rFonts w:ascii="Palatino Linotype" w:hAnsi="Palatino Linotype"/>
          <w:sz w:val="22"/>
          <w:szCs w:val="22"/>
        </w:rPr>
      </w:pPr>
    </w:p>
    <w:p w14:paraId="0D69B30F" w14:textId="77777777" w:rsidR="00106F84" w:rsidRPr="004726FE" w:rsidRDefault="00106F84" w:rsidP="00106F84">
      <w:pPr>
        <w:pBdr>
          <w:top w:val="nil"/>
          <w:left w:val="nil"/>
          <w:bottom w:val="nil"/>
          <w:right w:val="nil"/>
          <w:between w:val="nil"/>
        </w:pBdr>
        <w:spacing w:line="276" w:lineRule="auto"/>
        <w:ind w:left="567" w:right="1276"/>
        <w:jc w:val="both"/>
        <w:rPr>
          <w:rFonts w:ascii="Palatino Linotype" w:hAnsi="Palatino Linotype"/>
          <w:sz w:val="22"/>
          <w:szCs w:val="22"/>
        </w:rPr>
      </w:pPr>
      <w:r w:rsidRPr="004726FE">
        <w:rPr>
          <w:rFonts w:ascii="Palatino Linotype" w:eastAsia="Palatino Linotype" w:hAnsi="Palatino Linotype" w:cs="Palatino Linotype"/>
          <w:b/>
          <w:i/>
          <w:sz w:val="22"/>
          <w:szCs w:val="22"/>
        </w:rPr>
        <w:t>Artículo 161.</w:t>
      </w:r>
      <w:r w:rsidRPr="004726FE">
        <w:rPr>
          <w:rFonts w:ascii="Palatino Linotype" w:eastAsia="Palatino Linotype" w:hAnsi="Palatino Linotype" w:cs="Palatino Linotype"/>
          <w:i/>
          <w:sz w:val="22"/>
          <w:szCs w:val="22"/>
        </w:rPr>
        <w:t xml:space="preserve"> </w:t>
      </w:r>
      <w:r w:rsidRPr="004726FE">
        <w:rPr>
          <w:rFonts w:ascii="Palatino Linotype" w:eastAsia="Palatino Linotype" w:hAnsi="Palatino Linotype" w:cs="Palatino Linotype"/>
          <w:b/>
          <w:i/>
          <w:sz w:val="22"/>
          <w:szCs w:val="22"/>
          <w:u w:val="single"/>
        </w:rPr>
        <w:t>Cuando la información requerida por el solicitante ya esté disponible al público</w:t>
      </w:r>
      <w:r w:rsidRPr="004726FE">
        <w:rPr>
          <w:rFonts w:ascii="Palatino Linotype" w:eastAsia="Palatino Linotype" w:hAnsi="Palatino Linotype" w:cs="Palatino Linotype"/>
          <w:i/>
          <w:sz w:val="22"/>
          <w:szCs w:val="22"/>
        </w:rPr>
        <w:t xml:space="preserve"> en medios impresos, tales como libros, compendios, trípticos, registros públicos, </w:t>
      </w:r>
      <w:r w:rsidRPr="004726FE">
        <w:rPr>
          <w:rFonts w:ascii="Palatino Linotype" w:eastAsia="Palatino Linotype" w:hAnsi="Palatino Linotype" w:cs="Palatino Linotype"/>
          <w:b/>
          <w:i/>
          <w:sz w:val="22"/>
          <w:szCs w:val="22"/>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r w:rsidRPr="004726FE">
        <w:rPr>
          <w:rFonts w:ascii="Palatino Linotype" w:eastAsia="Palatino Linotype" w:hAnsi="Palatino Linotype" w:cs="Palatino Linotype"/>
          <w:i/>
          <w:sz w:val="22"/>
          <w:szCs w:val="22"/>
        </w:rPr>
        <w:t>(Énfasis añadido)</w:t>
      </w:r>
    </w:p>
    <w:p w14:paraId="2B070B29" w14:textId="77777777" w:rsidR="00106F84" w:rsidRPr="004726FE" w:rsidRDefault="00106F84" w:rsidP="00106F84">
      <w:pPr>
        <w:rPr>
          <w:rFonts w:ascii="Palatino Linotype" w:hAnsi="Palatino Linotype"/>
          <w:sz w:val="22"/>
          <w:szCs w:val="22"/>
        </w:rPr>
      </w:pPr>
    </w:p>
    <w:p w14:paraId="4843ED06" w14:textId="77777777" w:rsidR="00106F84" w:rsidRPr="004726FE" w:rsidRDefault="00106F84" w:rsidP="00106F84">
      <w:pPr>
        <w:pBdr>
          <w:top w:val="nil"/>
          <w:left w:val="nil"/>
          <w:bottom w:val="nil"/>
          <w:right w:val="nil"/>
          <w:between w:val="nil"/>
        </w:pBdr>
        <w:spacing w:line="360" w:lineRule="auto"/>
        <w:jc w:val="both"/>
        <w:rPr>
          <w:rFonts w:ascii="Palatino Linotype" w:hAnsi="Palatino Linotype"/>
          <w:sz w:val="22"/>
          <w:szCs w:val="22"/>
        </w:rPr>
      </w:pPr>
      <w:r w:rsidRPr="004726FE">
        <w:rPr>
          <w:rFonts w:ascii="Palatino Linotype" w:eastAsia="Palatino Linotype" w:hAnsi="Palatino Linotype" w:cs="Palatino Linotype"/>
          <w:sz w:val="22"/>
          <w:szCs w:val="22"/>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0E8E3CE" w14:textId="77777777" w:rsidR="00106F84" w:rsidRPr="004726FE" w:rsidRDefault="00106F84" w:rsidP="00106F84">
      <w:pPr>
        <w:spacing w:line="360" w:lineRule="auto"/>
        <w:rPr>
          <w:rFonts w:ascii="Palatino Linotype" w:hAnsi="Palatino Linotype"/>
          <w:sz w:val="22"/>
          <w:szCs w:val="22"/>
        </w:rPr>
      </w:pPr>
    </w:p>
    <w:p w14:paraId="317853DE" w14:textId="77777777" w:rsidR="00106F84" w:rsidRPr="004726FE" w:rsidRDefault="00106F84" w:rsidP="00106F84">
      <w:pPr>
        <w:numPr>
          <w:ilvl w:val="0"/>
          <w:numId w:val="17"/>
        </w:numPr>
        <w:pBdr>
          <w:top w:val="nil"/>
          <w:left w:val="nil"/>
          <w:bottom w:val="nil"/>
          <w:right w:val="nil"/>
          <w:between w:val="nil"/>
        </w:pBdr>
        <w:spacing w:line="360" w:lineRule="auto"/>
        <w:ind w:left="426"/>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La fuente</w:t>
      </w:r>
    </w:p>
    <w:p w14:paraId="70363334" w14:textId="77777777" w:rsidR="00106F84" w:rsidRPr="004726FE" w:rsidRDefault="00106F84" w:rsidP="00106F84">
      <w:pPr>
        <w:numPr>
          <w:ilvl w:val="0"/>
          <w:numId w:val="17"/>
        </w:numPr>
        <w:pBdr>
          <w:top w:val="nil"/>
          <w:left w:val="nil"/>
          <w:bottom w:val="nil"/>
          <w:right w:val="nil"/>
          <w:between w:val="nil"/>
        </w:pBdr>
        <w:spacing w:line="360" w:lineRule="auto"/>
        <w:ind w:left="426"/>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El lugar y</w:t>
      </w:r>
    </w:p>
    <w:p w14:paraId="6A573DA3" w14:textId="77777777" w:rsidR="00106F84" w:rsidRPr="004726FE" w:rsidRDefault="00106F84" w:rsidP="00106F84">
      <w:pPr>
        <w:numPr>
          <w:ilvl w:val="0"/>
          <w:numId w:val="17"/>
        </w:numPr>
        <w:pBdr>
          <w:top w:val="nil"/>
          <w:left w:val="nil"/>
          <w:bottom w:val="nil"/>
          <w:right w:val="nil"/>
          <w:between w:val="nil"/>
        </w:pBdr>
        <w:spacing w:line="360" w:lineRule="auto"/>
        <w:ind w:left="426"/>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lastRenderedPageBreak/>
        <w:t>La forma </w:t>
      </w:r>
    </w:p>
    <w:p w14:paraId="2FE477D9" w14:textId="77777777" w:rsidR="00106F84" w:rsidRPr="004726FE" w:rsidRDefault="00106F84" w:rsidP="00106F84">
      <w:pPr>
        <w:rPr>
          <w:rFonts w:ascii="Palatino Linotype" w:hAnsi="Palatino Linotype"/>
          <w:sz w:val="22"/>
          <w:szCs w:val="22"/>
        </w:rPr>
      </w:pPr>
    </w:p>
    <w:p w14:paraId="6AD68D4E" w14:textId="77777777" w:rsidR="00106F84" w:rsidRPr="004726FE" w:rsidRDefault="00106F84" w:rsidP="00106F84">
      <w:pPr>
        <w:pBdr>
          <w:top w:val="nil"/>
          <w:left w:val="nil"/>
          <w:bottom w:val="nil"/>
          <w:right w:val="nil"/>
          <w:between w:val="nil"/>
        </w:pBdr>
        <w:jc w:val="both"/>
        <w:rPr>
          <w:rFonts w:ascii="Palatino Linotype" w:hAnsi="Palatino Linotype"/>
          <w:sz w:val="22"/>
          <w:szCs w:val="22"/>
        </w:rPr>
      </w:pPr>
      <w:r w:rsidRPr="004726FE">
        <w:rPr>
          <w:rFonts w:ascii="Palatino Linotype" w:eastAsia="Palatino Linotype" w:hAnsi="Palatino Linotype" w:cs="Palatino Linotype"/>
          <w:sz w:val="22"/>
          <w:szCs w:val="22"/>
        </w:rPr>
        <w:t>Asimismo, se establece que la fuente de la información deberá ser:</w:t>
      </w:r>
    </w:p>
    <w:p w14:paraId="43F7E27F" w14:textId="77777777" w:rsidR="00106F84" w:rsidRPr="004726FE" w:rsidRDefault="00106F84" w:rsidP="00106F84">
      <w:pPr>
        <w:rPr>
          <w:rFonts w:ascii="Palatino Linotype" w:hAnsi="Palatino Linotype"/>
          <w:sz w:val="22"/>
          <w:szCs w:val="22"/>
        </w:rPr>
      </w:pPr>
    </w:p>
    <w:p w14:paraId="17B8F10A" w14:textId="77777777" w:rsidR="00106F84" w:rsidRPr="004726FE" w:rsidRDefault="00106F84" w:rsidP="00106F84">
      <w:pPr>
        <w:numPr>
          <w:ilvl w:val="0"/>
          <w:numId w:val="16"/>
        </w:numPr>
        <w:pBdr>
          <w:top w:val="nil"/>
          <w:left w:val="nil"/>
          <w:bottom w:val="nil"/>
          <w:right w:val="nil"/>
          <w:between w:val="nil"/>
        </w:pBdr>
        <w:ind w:left="426"/>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Precisa</w:t>
      </w:r>
    </w:p>
    <w:p w14:paraId="2D03CA60" w14:textId="77777777" w:rsidR="00106F84" w:rsidRPr="004726FE" w:rsidRDefault="00106F84" w:rsidP="00106F84">
      <w:pPr>
        <w:numPr>
          <w:ilvl w:val="0"/>
          <w:numId w:val="16"/>
        </w:numPr>
        <w:pBdr>
          <w:top w:val="nil"/>
          <w:left w:val="nil"/>
          <w:bottom w:val="nil"/>
          <w:right w:val="nil"/>
          <w:between w:val="nil"/>
        </w:pBdr>
        <w:ind w:left="426"/>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Concreta</w:t>
      </w:r>
    </w:p>
    <w:p w14:paraId="05779221" w14:textId="77777777" w:rsidR="00106F84" w:rsidRPr="004726FE" w:rsidRDefault="00106F84" w:rsidP="00106F84">
      <w:pPr>
        <w:numPr>
          <w:ilvl w:val="0"/>
          <w:numId w:val="16"/>
        </w:numPr>
        <w:pBdr>
          <w:top w:val="nil"/>
          <w:left w:val="nil"/>
          <w:bottom w:val="nil"/>
          <w:right w:val="nil"/>
          <w:between w:val="nil"/>
        </w:pBdr>
        <w:ind w:left="426" w:right="1276"/>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Y no debe implicar que el solicitante realice una búsqueda en toda la información que se encuentre disponible</w:t>
      </w:r>
      <w:r w:rsidRPr="004726FE">
        <w:rPr>
          <w:rFonts w:ascii="Palatino Linotype" w:eastAsia="Palatino Linotype" w:hAnsi="Palatino Linotype" w:cs="Palatino Linotype"/>
          <w:sz w:val="22"/>
          <w:szCs w:val="22"/>
        </w:rPr>
        <w:t>.</w:t>
      </w:r>
    </w:p>
    <w:p w14:paraId="572DB9E1" w14:textId="77777777" w:rsidR="00106F84" w:rsidRPr="004726FE" w:rsidRDefault="00106F84" w:rsidP="00106F84">
      <w:pPr>
        <w:rPr>
          <w:rFonts w:ascii="Palatino Linotype" w:hAnsi="Palatino Linotype"/>
          <w:sz w:val="22"/>
          <w:szCs w:val="22"/>
        </w:rPr>
      </w:pPr>
    </w:p>
    <w:p w14:paraId="1040C7EE" w14:textId="77777777" w:rsidR="00106F84" w:rsidRPr="004726FE" w:rsidRDefault="00106F84" w:rsidP="00106F8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Imperativos legales que establecen el procedimiento que debe seguir el </w:t>
      </w:r>
      <w:r w:rsidRPr="004726FE">
        <w:rPr>
          <w:rFonts w:ascii="Palatino Linotype" w:eastAsia="Palatino Linotype" w:hAnsi="Palatino Linotype" w:cs="Palatino Linotype"/>
          <w:b/>
          <w:sz w:val="22"/>
          <w:szCs w:val="22"/>
        </w:rPr>
        <w:t>Sujeto Obligado</w:t>
      </w:r>
      <w:r w:rsidRPr="004726FE">
        <w:rPr>
          <w:rFonts w:ascii="Palatino Linotype" w:eastAsia="Palatino Linotype" w:hAnsi="Palatino Linotype" w:cs="Palatino Linotype"/>
          <w:sz w:val="22"/>
          <w:szCs w:val="22"/>
        </w:rPr>
        <w:t xml:space="preserve"> para que pueda tomarse como válida su orientación sobre la forma en que puede consultar la información requerida, y que, en el caso en concreto, no acontece; ello porque si bien es cierto, el </w:t>
      </w:r>
      <w:r w:rsidRPr="004726FE">
        <w:rPr>
          <w:rFonts w:ascii="Palatino Linotype" w:eastAsia="Palatino Linotype" w:hAnsi="Palatino Linotype" w:cs="Palatino Linotype"/>
          <w:b/>
          <w:sz w:val="22"/>
          <w:szCs w:val="22"/>
        </w:rPr>
        <w:t>Sujeto Obligado</w:t>
      </w:r>
      <w:r w:rsidRPr="004726FE">
        <w:rPr>
          <w:rFonts w:ascii="Palatino Linotype" w:eastAsia="Palatino Linotype" w:hAnsi="Palatino Linotype" w:cs="Palatino Linotype"/>
          <w:sz w:val="22"/>
          <w:szCs w:val="22"/>
        </w:rPr>
        <w:t xml:space="preserve"> proporcionó un enlace electrónico en el que puede consultar la información respecto a la versión pública de las sentencias emitidas, no menos cierto es que este </w:t>
      </w:r>
      <w:r w:rsidRPr="004726FE">
        <w:rPr>
          <w:rFonts w:ascii="Palatino Linotype" w:eastAsia="Palatino Linotype" w:hAnsi="Palatino Linotype" w:cs="Palatino Linotype"/>
          <w:b/>
          <w:sz w:val="22"/>
          <w:szCs w:val="22"/>
        </w:rPr>
        <w:t>no conduce a la información solicitada en específico al expediente con número 169/2008 del Segundo Juzgado Familiar de Toluca</w:t>
      </w:r>
      <w:r w:rsidRPr="004726FE">
        <w:rPr>
          <w:rFonts w:ascii="Palatino Linotype" w:eastAsia="Palatino Linotype" w:hAnsi="Palatino Linotype" w:cs="Palatino Linotype"/>
          <w:sz w:val="22"/>
          <w:szCs w:val="22"/>
        </w:rPr>
        <w:t>, por lo cual es dable afirmar que </w:t>
      </w:r>
      <w:r w:rsidRPr="004726FE">
        <w:rPr>
          <w:rFonts w:ascii="Palatino Linotype" w:eastAsia="Palatino Linotype" w:hAnsi="Palatino Linotype" w:cs="Palatino Linotype"/>
          <w:b/>
          <w:sz w:val="22"/>
          <w:szCs w:val="22"/>
        </w:rPr>
        <w:t>la fuente no es precisa</w:t>
      </w:r>
      <w:r w:rsidRPr="004726FE">
        <w:rPr>
          <w:rFonts w:ascii="Palatino Linotype" w:eastAsia="Palatino Linotype" w:hAnsi="Palatino Linotype" w:cs="Palatino Linotype"/>
          <w:sz w:val="22"/>
          <w:szCs w:val="22"/>
        </w:rPr>
        <w:t xml:space="preserve"> y </w:t>
      </w:r>
      <w:r w:rsidRPr="004726FE">
        <w:rPr>
          <w:rFonts w:ascii="Palatino Linotype" w:eastAsia="Palatino Linotype" w:hAnsi="Palatino Linotype" w:cs="Palatino Linotype"/>
          <w:b/>
          <w:sz w:val="22"/>
          <w:szCs w:val="22"/>
        </w:rPr>
        <w:t>no es concreta</w:t>
      </w:r>
      <w:r w:rsidRPr="004726FE">
        <w:rPr>
          <w:rFonts w:ascii="Palatino Linotype" w:eastAsia="Palatino Linotype" w:hAnsi="Palatino Linotype" w:cs="Palatino Linotype"/>
          <w:sz w:val="22"/>
          <w:szCs w:val="22"/>
        </w:rPr>
        <w:t xml:space="preserve">, lo que a todas luces transgrede el numeral citado y por ello, no es posible validar la respuesta emitida por el </w:t>
      </w:r>
      <w:r w:rsidRPr="004726FE">
        <w:rPr>
          <w:rFonts w:ascii="Palatino Linotype" w:eastAsia="Palatino Linotype" w:hAnsi="Palatino Linotype" w:cs="Palatino Linotype"/>
          <w:b/>
          <w:sz w:val="22"/>
          <w:szCs w:val="22"/>
        </w:rPr>
        <w:t>Sujeto Obligado</w:t>
      </w:r>
      <w:r w:rsidRPr="004726FE">
        <w:rPr>
          <w:rFonts w:ascii="Palatino Linotype" w:eastAsia="Palatino Linotype" w:hAnsi="Palatino Linotype" w:cs="Palatino Linotype"/>
          <w:sz w:val="22"/>
          <w:szCs w:val="22"/>
        </w:rPr>
        <w:t>.</w:t>
      </w:r>
    </w:p>
    <w:p w14:paraId="2042AB1D" w14:textId="77777777" w:rsidR="00106F84" w:rsidRPr="004726FE" w:rsidRDefault="00106F84" w:rsidP="00106F8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AB2D1C" w14:textId="77777777" w:rsidR="00106F84" w:rsidRPr="004726FE" w:rsidRDefault="00E854C8" w:rsidP="00F20CD6">
      <w:pPr>
        <w:pStyle w:val="Prrafodelista"/>
        <w:spacing w:line="360" w:lineRule="auto"/>
        <w:ind w:left="0"/>
        <w:jc w:val="both"/>
        <w:rPr>
          <w:rFonts w:ascii="Palatino Linotype" w:hAnsi="Palatino Linotype"/>
          <w:sz w:val="22"/>
          <w:szCs w:val="22"/>
        </w:rPr>
      </w:pPr>
      <w:r w:rsidRPr="004726FE">
        <w:rPr>
          <w:rFonts w:ascii="Palatino Linotype" w:hAnsi="Palatino Linotype"/>
          <w:sz w:val="22"/>
          <w:szCs w:val="22"/>
        </w:rPr>
        <w:t>Ahora bien, e</w:t>
      </w:r>
      <w:r w:rsidR="002C6E28" w:rsidRPr="004726FE">
        <w:rPr>
          <w:rFonts w:ascii="Palatino Linotype" w:hAnsi="Palatino Linotype"/>
          <w:sz w:val="22"/>
          <w:szCs w:val="22"/>
        </w:rPr>
        <w:t>l particular señala que el expediente requerido corresponde a un juicio sucesorio testamentario, el cual se encuentra regulado por el Código Civil del Estrado de México y el Código de Procedimientos Civiles del Estado de México, los cuales disponen lo siguiente:</w:t>
      </w:r>
    </w:p>
    <w:p w14:paraId="19EE6025" w14:textId="77777777" w:rsidR="002C6E28" w:rsidRPr="004726FE" w:rsidRDefault="002C6E28" w:rsidP="00F20CD6">
      <w:pPr>
        <w:pStyle w:val="Prrafodelista"/>
        <w:spacing w:line="360" w:lineRule="auto"/>
        <w:ind w:left="0"/>
        <w:jc w:val="both"/>
        <w:rPr>
          <w:rFonts w:ascii="Palatino Linotype" w:hAnsi="Palatino Linotype"/>
          <w:sz w:val="22"/>
          <w:szCs w:val="22"/>
        </w:rPr>
      </w:pPr>
    </w:p>
    <w:p w14:paraId="68EB1E2A" w14:textId="77777777" w:rsidR="002C6E28" w:rsidRPr="004726FE" w:rsidRDefault="002C6E28" w:rsidP="00EE4162">
      <w:pPr>
        <w:pStyle w:val="Prrafodelista"/>
        <w:ind w:left="567" w:right="843"/>
        <w:jc w:val="center"/>
        <w:rPr>
          <w:rFonts w:ascii="Palatino Linotype" w:hAnsi="Palatino Linotype"/>
          <w:b/>
          <w:i/>
          <w:sz w:val="22"/>
          <w:szCs w:val="22"/>
        </w:rPr>
      </w:pPr>
      <w:r w:rsidRPr="004726FE">
        <w:rPr>
          <w:rFonts w:ascii="Palatino Linotype" w:hAnsi="Palatino Linotype"/>
          <w:b/>
          <w:i/>
          <w:sz w:val="22"/>
          <w:szCs w:val="22"/>
        </w:rPr>
        <w:t>LIBRO SEXTO</w:t>
      </w:r>
    </w:p>
    <w:p w14:paraId="1EF13057" w14:textId="77777777" w:rsidR="002C6E28" w:rsidRPr="004726FE" w:rsidRDefault="002C6E28" w:rsidP="00EE4162">
      <w:pPr>
        <w:pStyle w:val="Prrafodelista"/>
        <w:ind w:left="567" w:right="843"/>
        <w:jc w:val="center"/>
        <w:rPr>
          <w:rFonts w:ascii="Palatino Linotype" w:hAnsi="Palatino Linotype"/>
          <w:b/>
          <w:i/>
          <w:sz w:val="22"/>
          <w:szCs w:val="22"/>
        </w:rPr>
      </w:pPr>
      <w:r w:rsidRPr="004726FE">
        <w:rPr>
          <w:rFonts w:ascii="Palatino Linotype" w:hAnsi="Palatino Linotype"/>
          <w:b/>
          <w:i/>
          <w:sz w:val="22"/>
          <w:szCs w:val="22"/>
        </w:rPr>
        <w:t>De las Sucesiones</w:t>
      </w:r>
    </w:p>
    <w:p w14:paraId="25D82F7B" w14:textId="77777777" w:rsidR="002C6E28" w:rsidRPr="004726FE" w:rsidRDefault="002C6E28" w:rsidP="00EE4162">
      <w:pPr>
        <w:pStyle w:val="Prrafodelista"/>
        <w:ind w:left="567" w:right="843"/>
        <w:jc w:val="center"/>
        <w:rPr>
          <w:rFonts w:ascii="Palatino Linotype" w:hAnsi="Palatino Linotype"/>
          <w:b/>
          <w:i/>
          <w:sz w:val="22"/>
          <w:szCs w:val="22"/>
        </w:rPr>
      </w:pPr>
      <w:r w:rsidRPr="004726FE">
        <w:rPr>
          <w:rFonts w:ascii="Palatino Linotype" w:hAnsi="Palatino Linotype"/>
          <w:b/>
          <w:i/>
          <w:sz w:val="22"/>
          <w:szCs w:val="22"/>
        </w:rPr>
        <w:t>TITULO PRIMERO</w:t>
      </w:r>
    </w:p>
    <w:p w14:paraId="71A24C29" w14:textId="77777777" w:rsidR="002C6E28" w:rsidRPr="004726FE" w:rsidRDefault="002C6E28" w:rsidP="00EE4162">
      <w:pPr>
        <w:pStyle w:val="Prrafodelista"/>
        <w:ind w:left="567" w:right="843"/>
        <w:jc w:val="center"/>
        <w:rPr>
          <w:rFonts w:ascii="Palatino Linotype" w:hAnsi="Palatino Linotype"/>
          <w:b/>
          <w:i/>
          <w:sz w:val="22"/>
          <w:szCs w:val="22"/>
        </w:rPr>
      </w:pPr>
      <w:r w:rsidRPr="004726FE">
        <w:rPr>
          <w:rFonts w:ascii="Palatino Linotype" w:hAnsi="Palatino Linotype"/>
          <w:b/>
          <w:i/>
          <w:sz w:val="22"/>
          <w:szCs w:val="22"/>
        </w:rPr>
        <w:t>Disposiciones Preliminares</w:t>
      </w:r>
    </w:p>
    <w:p w14:paraId="7A50AFDC" w14:textId="77777777" w:rsidR="002C6E28" w:rsidRPr="004726FE" w:rsidRDefault="002C6E28" w:rsidP="00EE4162">
      <w:pPr>
        <w:pStyle w:val="Prrafodelista"/>
        <w:ind w:left="567" w:right="843"/>
        <w:jc w:val="both"/>
        <w:rPr>
          <w:rFonts w:ascii="Palatino Linotype" w:hAnsi="Palatino Linotype"/>
          <w:i/>
          <w:sz w:val="22"/>
          <w:szCs w:val="22"/>
        </w:rPr>
      </w:pPr>
    </w:p>
    <w:p w14:paraId="04778B94" w14:textId="77777777" w:rsidR="002C6E28" w:rsidRPr="004726FE" w:rsidRDefault="002C6E28"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Concepto de sucesión, herencia y legado</w:t>
      </w:r>
    </w:p>
    <w:p w14:paraId="79325B98" w14:textId="77777777" w:rsidR="002C6E28" w:rsidRPr="004726FE" w:rsidRDefault="002C6E28" w:rsidP="00EE4162">
      <w:pPr>
        <w:pStyle w:val="Prrafodelista"/>
        <w:ind w:left="567" w:right="843"/>
        <w:jc w:val="both"/>
        <w:rPr>
          <w:rFonts w:ascii="Palatino Linotype" w:hAnsi="Palatino Linotype"/>
          <w:i/>
          <w:sz w:val="22"/>
          <w:szCs w:val="22"/>
        </w:rPr>
      </w:pPr>
    </w:p>
    <w:p w14:paraId="1BF0C437" w14:textId="77777777" w:rsidR="002C6E28" w:rsidRPr="004726FE" w:rsidRDefault="002C6E28"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lastRenderedPageBreak/>
        <w:t xml:space="preserve">Artículo 6.1.- Sucesión es la transmisión de todos los bienes, derechos y obligaciones de una persona por causa de su muerte. </w:t>
      </w:r>
    </w:p>
    <w:p w14:paraId="7EA43E54" w14:textId="77777777" w:rsidR="002C6E28" w:rsidRPr="004726FE" w:rsidRDefault="002C6E28" w:rsidP="00EE4162">
      <w:pPr>
        <w:pStyle w:val="Prrafodelista"/>
        <w:ind w:left="567" w:right="843"/>
        <w:jc w:val="both"/>
        <w:rPr>
          <w:rFonts w:ascii="Palatino Linotype" w:hAnsi="Palatino Linotype"/>
          <w:i/>
          <w:sz w:val="22"/>
          <w:szCs w:val="22"/>
        </w:rPr>
      </w:pPr>
    </w:p>
    <w:p w14:paraId="7DF8203C" w14:textId="77777777" w:rsidR="002C6E28" w:rsidRPr="004726FE" w:rsidRDefault="002C6E28"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La herencia es el conjunto de bienes, derechos y obligaciones que no se extinguen con la muerte de su titular; constituye una universalidad jurídica a partir del día de la muerte del autor de la sucesión, hasta la partición y adjudicación. </w:t>
      </w:r>
    </w:p>
    <w:p w14:paraId="32F9AA97" w14:textId="77777777" w:rsidR="002C6E28" w:rsidRPr="004726FE" w:rsidRDefault="002C6E28" w:rsidP="00EE4162">
      <w:pPr>
        <w:pStyle w:val="Prrafodelista"/>
        <w:ind w:left="567" w:right="843"/>
        <w:jc w:val="both"/>
        <w:rPr>
          <w:rFonts w:ascii="Palatino Linotype" w:hAnsi="Palatino Linotype"/>
          <w:i/>
          <w:sz w:val="22"/>
          <w:szCs w:val="22"/>
        </w:rPr>
      </w:pPr>
    </w:p>
    <w:p w14:paraId="2F122205" w14:textId="77777777" w:rsidR="002C6E28" w:rsidRPr="004726FE" w:rsidRDefault="002C6E28"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Legado es la transmisión de uno o varios bienes determinados o determinables, o la disposición de que se beneficiará con un hecho o servicio determinado, que hace en su testamento el testador a favor de una o varias personas.</w:t>
      </w:r>
    </w:p>
    <w:p w14:paraId="65AFF860" w14:textId="77777777" w:rsidR="002C6E28" w:rsidRPr="004726FE" w:rsidRDefault="002C6E28" w:rsidP="00EE4162">
      <w:pPr>
        <w:pStyle w:val="Prrafodelista"/>
        <w:ind w:left="0"/>
        <w:jc w:val="both"/>
        <w:rPr>
          <w:rFonts w:ascii="Palatino Linotype" w:hAnsi="Palatino Linotype"/>
          <w:sz w:val="22"/>
          <w:szCs w:val="22"/>
        </w:rPr>
      </w:pPr>
    </w:p>
    <w:p w14:paraId="2AD85D8F" w14:textId="77777777" w:rsidR="002C6E28" w:rsidRPr="004726FE" w:rsidRDefault="002C6E28"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Herencia testamentaria y legítima </w:t>
      </w:r>
    </w:p>
    <w:p w14:paraId="4989F2E4" w14:textId="77777777" w:rsidR="002C6E28" w:rsidRPr="004726FE" w:rsidRDefault="002C6E28"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Artículo 6.2.- La herencia se defiere por la voluntad del testador o por disposición de la ley, La primera se llama testamentaria y la segunda legítima</w:t>
      </w:r>
    </w:p>
    <w:p w14:paraId="4C37FAA8" w14:textId="77777777" w:rsidR="002C6E28" w:rsidRPr="004726FE" w:rsidRDefault="002C6E28" w:rsidP="00F20CD6">
      <w:pPr>
        <w:pStyle w:val="Prrafodelista"/>
        <w:spacing w:line="360" w:lineRule="auto"/>
        <w:ind w:left="0"/>
        <w:jc w:val="both"/>
        <w:rPr>
          <w:rFonts w:ascii="Palatino Linotype" w:hAnsi="Palatino Linotype"/>
          <w:sz w:val="22"/>
          <w:szCs w:val="22"/>
        </w:rPr>
      </w:pPr>
    </w:p>
    <w:p w14:paraId="1A97D31A" w14:textId="77777777" w:rsidR="00C718CE" w:rsidRPr="004726FE" w:rsidRDefault="009465AF" w:rsidP="00F20CD6">
      <w:pPr>
        <w:pStyle w:val="Prrafodelista"/>
        <w:spacing w:line="360" w:lineRule="auto"/>
        <w:ind w:left="0"/>
        <w:jc w:val="both"/>
        <w:rPr>
          <w:rFonts w:ascii="Palatino Linotype" w:hAnsi="Palatino Linotype"/>
          <w:sz w:val="22"/>
          <w:szCs w:val="22"/>
        </w:rPr>
      </w:pPr>
      <w:r w:rsidRPr="004726FE">
        <w:rPr>
          <w:rFonts w:ascii="Palatino Linotype" w:hAnsi="Palatino Linotype"/>
          <w:sz w:val="22"/>
          <w:szCs w:val="22"/>
        </w:rPr>
        <w:t>Es así que la sucesión es la transmisión de los bienes</w:t>
      </w:r>
      <w:r w:rsidR="0090604E" w:rsidRPr="004726FE">
        <w:rPr>
          <w:rFonts w:ascii="Palatino Linotype" w:hAnsi="Palatino Linotype"/>
          <w:sz w:val="22"/>
          <w:szCs w:val="22"/>
        </w:rPr>
        <w:t>, derecho y obligaciones a una persona por causa de muerte, esta sucesión puede darse a través de un testamento o a falta de él, a través del llamado juicio sucesorio testamentario, o sucesión legítima</w:t>
      </w:r>
      <w:r w:rsidR="00C718CE" w:rsidRPr="004726FE">
        <w:rPr>
          <w:rFonts w:ascii="Palatino Linotype" w:hAnsi="Palatino Linotype"/>
          <w:sz w:val="22"/>
          <w:szCs w:val="22"/>
        </w:rPr>
        <w:t>.</w:t>
      </w:r>
    </w:p>
    <w:p w14:paraId="4D8A5EA4" w14:textId="77777777" w:rsidR="00C718CE" w:rsidRPr="004726FE" w:rsidRDefault="00C718CE" w:rsidP="00F20CD6">
      <w:pPr>
        <w:pStyle w:val="Prrafodelista"/>
        <w:spacing w:line="360" w:lineRule="auto"/>
        <w:ind w:left="0"/>
        <w:jc w:val="both"/>
        <w:rPr>
          <w:rFonts w:ascii="Palatino Linotype" w:hAnsi="Palatino Linotype"/>
          <w:sz w:val="22"/>
          <w:szCs w:val="22"/>
        </w:rPr>
      </w:pPr>
    </w:p>
    <w:p w14:paraId="505D9D62" w14:textId="77777777" w:rsidR="00C718CE" w:rsidRPr="004726FE" w:rsidRDefault="00C718CE" w:rsidP="00F20CD6">
      <w:pPr>
        <w:pStyle w:val="Prrafodelista"/>
        <w:spacing w:line="360" w:lineRule="auto"/>
        <w:ind w:left="0"/>
        <w:jc w:val="both"/>
        <w:rPr>
          <w:rFonts w:ascii="Palatino Linotype" w:hAnsi="Palatino Linotype"/>
          <w:sz w:val="22"/>
          <w:szCs w:val="22"/>
        </w:rPr>
      </w:pPr>
      <w:r w:rsidRPr="004726FE">
        <w:rPr>
          <w:rFonts w:ascii="Palatino Linotype" w:hAnsi="Palatino Linotype"/>
          <w:sz w:val="22"/>
          <w:szCs w:val="22"/>
        </w:rPr>
        <w:t>Los Juicios Sucesorios se integran de cuatro secciones, de acuerdo al Código de Procedimientos Civiles del Estado de México, a saber:</w:t>
      </w:r>
    </w:p>
    <w:p w14:paraId="326B9058" w14:textId="77777777" w:rsidR="00C718CE" w:rsidRPr="004726FE" w:rsidRDefault="00C718CE" w:rsidP="00F20CD6">
      <w:pPr>
        <w:pStyle w:val="Prrafodelista"/>
        <w:spacing w:line="360" w:lineRule="auto"/>
        <w:ind w:left="0"/>
        <w:jc w:val="both"/>
        <w:rPr>
          <w:rFonts w:ascii="Palatino Linotype" w:hAnsi="Palatino Linotype"/>
          <w:sz w:val="22"/>
          <w:szCs w:val="22"/>
        </w:rPr>
      </w:pPr>
    </w:p>
    <w:p w14:paraId="638D4E58" w14:textId="77777777" w:rsidR="00C718CE" w:rsidRPr="004726FE" w:rsidRDefault="00C718CE" w:rsidP="00EE4162">
      <w:pPr>
        <w:pStyle w:val="Prrafodelista"/>
        <w:ind w:left="567" w:right="843"/>
        <w:jc w:val="both"/>
        <w:rPr>
          <w:rFonts w:ascii="Palatino Linotype" w:hAnsi="Palatino Linotype"/>
          <w:b/>
          <w:i/>
          <w:sz w:val="22"/>
          <w:szCs w:val="22"/>
        </w:rPr>
      </w:pPr>
      <w:r w:rsidRPr="004726FE">
        <w:rPr>
          <w:rFonts w:ascii="Palatino Linotype" w:hAnsi="Palatino Linotype"/>
          <w:b/>
          <w:i/>
          <w:sz w:val="22"/>
          <w:szCs w:val="22"/>
        </w:rPr>
        <w:t>Secciones del juicio</w:t>
      </w:r>
    </w:p>
    <w:p w14:paraId="3F035FA9"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Artículo 4.28.- En el juicio sucesorio se formarán cuatro secciones, las que podrán iniciarse simultáneamente. </w:t>
      </w:r>
    </w:p>
    <w:p w14:paraId="7F799A20" w14:textId="77777777" w:rsidR="00C718CE" w:rsidRPr="004726FE" w:rsidRDefault="00C718CE" w:rsidP="00EE4162">
      <w:pPr>
        <w:pStyle w:val="Prrafodelista"/>
        <w:ind w:left="567" w:right="843"/>
        <w:jc w:val="both"/>
        <w:rPr>
          <w:rFonts w:ascii="Palatino Linotype" w:hAnsi="Palatino Linotype"/>
          <w:i/>
          <w:sz w:val="22"/>
          <w:szCs w:val="22"/>
        </w:rPr>
      </w:pPr>
    </w:p>
    <w:p w14:paraId="771AC59E" w14:textId="77777777" w:rsidR="00C718CE" w:rsidRPr="004726FE" w:rsidRDefault="00C718CE" w:rsidP="00EE4162">
      <w:pPr>
        <w:pStyle w:val="Prrafodelista"/>
        <w:ind w:left="567" w:right="843"/>
        <w:jc w:val="both"/>
        <w:rPr>
          <w:rFonts w:ascii="Palatino Linotype" w:hAnsi="Palatino Linotype"/>
          <w:b/>
          <w:i/>
          <w:sz w:val="22"/>
          <w:szCs w:val="22"/>
        </w:rPr>
      </w:pPr>
      <w:r w:rsidRPr="004726FE">
        <w:rPr>
          <w:rFonts w:ascii="Palatino Linotype" w:hAnsi="Palatino Linotype"/>
          <w:b/>
          <w:i/>
          <w:sz w:val="22"/>
          <w:szCs w:val="22"/>
        </w:rPr>
        <w:t xml:space="preserve">Sección primera </w:t>
      </w:r>
    </w:p>
    <w:p w14:paraId="591C3250"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Artículo 4.29.- La primera sección es de sucesión y contendrá, en sus respectivos casos: </w:t>
      </w:r>
    </w:p>
    <w:p w14:paraId="29C300E7"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I. La denuncia acompañando el testamento, en su caso; </w:t>
      </w:r>
    </w:p>
    <w:p w14:paraId="39066F97"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II. La citación de los herederos y a los que se consideren con derecho a la herencia; </w:t>
      </w:r>
    </w:p>
    <w:p w14:paraId="46F3CD3F"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III. El nombramiento y remoción de albacea e interventores; </w:t>
      </w:r>
    </w:p>
    <w:p w14:paraId="1215B81D"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IV. El reconocimiento de derechos hereditarios; </w:t>
      </w:r>
    </w:p>
    <w:p w14:paraId="6644FC49"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V. Los incidentes sobre nombramiento o remoción de tutores; </w:t>
      </w:r>
    </w:p>
    <w:p w14:paraId="7F8F6EDB"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VI. Las resoluciones sobre la validez del testamento, la capacidad legal para heredar y la preferencia de derechos. </w:t>
      </w:r>
    </w:p>
    <w:p w14:paraId="3C9CCECE" w14:textId="77777777" w:rsidR="00C718CE" w:rsidRPr="004726FE" w:rsidRDefault="00C718CE" w:rsidP="00EE4162">
      <w:pPr>
        <w:pStyle w:val="Prrafodelista"/>
        <w:ind w:left="567" w:right="843"/>
        <w:jc w:val="both"/>
        <w:rPr>
          <w:rFonts w:ascii="Palatino Linotype" w:hAnsi="Palatino Linotype"/>
          <w:i/>
          <w:sz w:val="22"/>
          <w:szCs w:val="22"/>
        </w:rPr>
      </w:pPr>
    </w:p>
    <w:p w14:paraId="66B6896E" w14:textId="77777777" w:rsidR="00C718CE" w:rsidRPr="004726FE" w:rsidRDefault="00C718CE" w:rsidP="00EE4162">
      <w:pPr>
        <w:pStyle w:val="Prrafodelista"/>
        <w:ind w:left="567" w:right="843"/>
        <w:jc w:val="both"/>
        <w:rPr>
          <w:rFonts w:ascii="Palatino Linotype" w:hAnsi="Palatino Linotype"/>
          <w:b/>
          <w:i/>
          <w:sz w:val="22"/>
          <w:szCs w:val="22"/>
        </w:rPr>
      </w:pPr>
      <w:r w:rsidRPr="004726FE">
        <w:rPr>
          <w:rFonts w:ascii="Palatino Linotype" w:hAnsi="Palatino Linotype"/>
          <w:b/>
          <w:i/>
          <w:sz w:val="22"/>
          <w:szCs w:val="22"/>
        </w:rPr>
        <w:t xml:space="preserve">Sección segunda </w:t>
      </w:r>
    </w:p>
    <w:p w14:paraId="03C31D94"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Artículo 4.30.- La sección segunda es de inventario y avalúos y contendrá: </w:t>
      </w:r>
    </w:p>
    <w:p w14:paraId="6F52575B"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I. El inventario provisional del interventor; </w:t>
      </w:r>
    </w:p>
    <w:p w14:paraId="44EE3EC9"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II. El inventario y avalúo; </w:t>
      </w:r>
    </w:p>
    <w:p w14:paraId="02EB8143"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III. Los incidentes que se promuevan; </w:t>
      </w:r>
    </w:p>
    <w:p w14:paraId="1FCA8B75"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IV. La resolución sobre inventario y avalúo. </w:t>
      </w:r>
    </w:p>
    <w:p w14:paraId="3854D01D" w14:textId="77777777" w:rsidR="00C718CE" w:rsidRPr="004726FE" w:rsidRDefault="00C718CE" w:rsidP="00EE4162">
      <w:pPr>
        <w:pStyle w:val="Prrafodelista"/>
        <w:ind w:left="567" w:right="843"/>
        <w:jc w:val="both"/>
        <w:rPr>
          <w:rFonts w:ascii="Palatino Linotype" w:hAnsi="Palatino Linotype"/>
          <w:i/>
          <w:sz w:val="22"/>
          <w:szCs w:val="22"/>
        </w:rPr>
      </w:pPr>
    </w:p>
    <w:p w14:paraId="28C0B364" w14:textId="77777777" w:rsidR="00C718CE" w:rsidRPr="004726FE" w:rsidRDefault="00C718CE" w:rsidP="00EE4162">
      <w:pPr>
        <w:pStyle w:val="Prrafodelista"/>
        <w:ind w:left="567" w:right="843"/>
        <w:jc w:val="both"/>
        <w:rPr>
          <w:rFonts w:ascii="Palatino Linotype" w:hAnsi="Palatino Linotype"/>
          <w:b/>
          <w:i/>
          <w:sz w:val="22"/>
          <w:szCs w:val="22"/>
        </w:rPr>
      </w:pPr>
      <w:r w:rsidRPr="004726FE">
        <w:rPr>
          <w:rFonts w:ascii="Palatino Linotype" w:hAnsi="Palatino Linotype"/>
          <w:b/>
          <w:i/>
          <w:sz w:val="22"/>
          <w:szCs w:val="22"/>
        </w:rPr>
        <w:t xml:space="preserve">Tercera sección </w:t>
      </w:r>
    </w:p>
    <w:p w14:paraId="03AEC86B"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Artículo 4.31.- La tercera sección es de administración y contendrá: </w:t>
      </w:r>
    </w:p>
    <w:p w14:paraId="634B501D"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I. Todo lo relativo a la administración;</w:t>
      </w:r>
    </w:p>
    <w:p w14:paraId="5B4D5EEC"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 II. Las cuentas, su glosa y calificación.</w:t>
      </w:r>
    </w:p>
    <w:p w14:paraId="423F5D46" w14:textId="77777777" w:rsidR="00C718CE" w:rsidRPr="004726FE" w:rsidRDefault="00C718CE" w:rsidP="00EE4162">
      <w:pPr>
        <w:pStyle w:val="Prrafodelista"/>
        <w:ind w:left="567" w:right="843"/>
        <w:jc w:val="both"/>
        <w:rPr>
          <w:rFonts w:ascii="Palatino Linotype" w:hAnsi="Palatino Linotype"/>
          <w:i/>
          <w:sz w:val="22"/>
          <w:szCs w:val="22"/>
        </w:rPr>
      </w:pPr>
    </w:p>
    <w:p w14:paraId="13EA2298" w14:textId="77777777" w:rsidR="00C718CE" w:rsidRPr="004726FE" w:rsidRDefault="00C718CE" w:rsidP="00EE4162">
      <w:pPr>
        <w:pStyle w:val="Prrafodelista"/>
        <w:ind w:left="567" w:right="843"/>
        <w:jc w:val="both"/>
        <w:rPr>
          <w:rFonts w:ascii="Palatino Linotype" w:hAnsi="Palatino Linotype"/>
          <w:b/>
          <w:i/>
          <w:sz w:val="22"/>
          <w:szCs w:val="22"/>
        </w:rPr>
      </w:pPr>
      <w:r w:rsidRPr="004726FE">
        <w:rPr>
          <w:rFonts w:ascii="Palatino Linotype" w:hAnsi="Palatino Linotype"/>
          <w:b/>
          <w:i/>
          <w:sz w:val="22"/>
          <w:szCs w:val="22"/>
        </w:rPr>
        <w:t xml:space="preserve">Cuarta sección </w:t>
      </w:r>
    </w:p>
    <w:p w14:paraId="183DE4BB"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Artículo 4.32.- La cuarta sección es de partición y contendrá: </w:t>
      </w:r>
    </w:p>
    <w:p w14:paraId="197CA6AA"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I. El proyecto de distribución provisional de los productos de los bienes hereditarios; </w:t>
      </w:r>
    </w:p>
    <w:p w14:paraId="5E127B3B"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II. El proyecto de partición de los bienes; </w:t>
      </w:r>
    </w:p>
    <w:p w14:paraId="060E7E79"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III. Los incidentes que se promuevan al respecto; </w:t>
      </w:r>
    </w:p>
    <w:p w14:paraId="75169AFB"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IV. Los convenios relativos; </w:t>
      </w:r>
    </w:p>
    <w:p w14:paraId="7F4483C5"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V. Las resoluciones sobre los proyectos mencionados; </w:t>
      </w:r>
    </w:p>
    <w:p w14:paraId="02800EB0" w14:textId="77777777" w:rsidR="00C718CE" w:rsidRPr="004726FE" w:rsidRDefault="00C718C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VI. Lo relativo a la adjudicación de los bienes.</w:t>
      </w:r>
    </w:p>
    <w:p w14:paraId="05C01BA1" w14:textId="77777777" w:rsidR="00C718CE" w:rsidRPr="004726FE" w:rsidRDefault="00C718CE" w:rsidP="00F20CD6">
      <w:pPr>
        <w:pStyle w:val="Prrafodelista"/>
        <w:spacing w:line="360" w:lineRule="auto"/>
        <w:ind w:left="0"/>
        <w:jc w:val="both"/>
        <w:rPr>
          <w:rFonts w:ascii="Palatino Linotype" w:hAnsi="Palatino Linotype"/>
          <w:sz w:val="22"/>
          <w:szCs w:val="22"/>
        </w:rPr>
      </w:pPr>
    </w:p>
    <w:p w14:paraId="35F0B0FB" w14:textId="77777777" w:rsidR="00106F84" w:rsidRPr="004726FE" w:rsidRDefault="00C718CE" w:rsidP="00F20CD6">
      <w:pPr>
        <w:pStyle w:val="Prrafodelista"/>
        <w:spacing w:line="360" w:lineRule="auto"/>
        <w:ind w:left="0"/>
        <w:jc w:val="both"/>
        <w:rPr>
          <w:rFonts w:ascii="Palatino Linotype" w:hAnsi="Palatino Linotype"/>
          <w:sz w:val="22"/>
          <w:szCs w:val="22"/>
        </w:rPr>
      </w:pPr>
      <w:r w:rsidRPr="004726FE">
        <w:rPr>
          <w:rFonts w:ascii="Palatino Linotype" w:hAnsi="Palatino Linotype"/>
          <w:sz w:val="22"/>
          <w:szCs w:val="22"/>
        </w:rPr>
        <w:t xml:space="preserve">Para el caso de los Juicios Sucesorios </w:t>
      </w:r>
      <w:proofErr w:type="spellStart"/>
      <w:r w:rsidRPr="004726FE">
        <w:rPr>
          <w:rFonts w:ascii="Palatino Linotype" w:hAnsi="Palatino Linotype"/>
          <w:sz w:val="22"/>
          <w:szCs w:val="22"/>
        </w:rPr>
        <w:t>Intestametarios</w:t>
      </w:r>
      <w:proofErr w:type="spellEnd"/>
      <w:r w:rsidRPr="004726FE">
        <w:rPr>
          <w:rFonts w:ascii="Palatino Linotype" w:hAnsi="Palatino Linotype"/>
          <w:sz w:val="22"/>
          <w:szCs w:val="22"/>
        </w:rPr>
        <w:t xml:space="preserve"> el </w:t>
      </w:r>
      <w:r w:rsidR="0090604E" w:rsidRPr="004726FE">
        <w:rPr>
          <w:rFonts w:ascii="Palatino Linotype" w:hAnsi="Palatino Linotype"/>
          <w:sz w:val="22"/>
          <w:szCs w:val="22"/>
        </w:rPr>
        <w:t>Código de Procedimientos Civiles del Estado de México</w:t>
      </w:r>
      <w:r w:rsidRPr="004726FE">
        <w:rPr>
          <w:rFonts w:ascii="Palatino Linotype" w:hAnsi="Palatino Linotype"/>
          <w:sz w:val="22"/>
          <w:szCs w:val="22"/>
        </w:rPr>
        <w:t>, dispone lo siguiente:</w:t>
      </w:r>
    </w:p>
    <w:p w14:paraId="6DC24E36" w14:textId="77777777" w:rsidR="0090604E" w:rsidRPr="004726FE" w:rsidRDefault="0090604E" w:rsidP="00F20CD6">
      <w:pPr>
        <w:pStyle w:val="Prrafodelista"/>
        <w:spacing w:line="360" w:lineRule="auto"/>
        <w:ind w:left="0"/>
        <w:jc w:val="both"/>
        <w:rPr>
          <w:rFonts w:ascii="Palatino Linotype" w:hAnsi="Palatino Linotype"/>
          <w:sz w:val="22"/>
          <w:szCs w:val="22"/>
        </w:rPr>
      </w:pPr>
    </w:p>
    <w:p w14:paraId="523F51A5" w14:textId="77777777" w:rsidR="0090604E" w:rsidRPr="004726FE" w:rsidRDefault="0090604E" w:rsidP="00EE4162">
      <w:pPr>
        <w:pStyle w:val="Prrafodelista"/>
        <w:ind w:left="567" w:right="843"/>
        <w:jc w:val="center"/>
        <w:rPr>
          <w:rFonts w:ascii="Palatino Linotype" w:hAnsi="Palatino Linotype"/>
          <w:b/>
          <w:i/>
          <w:sz w:val="22"/>
          <w:szCs w:val="22"/>
        </w:rPr>
      </w:pPr>
      <w:r w:rsidRPr="004726FE">
        <w:rPr>
          <w:rFonts w:ascii="Palatino Linotype" w:hAnsi="Palatino Linotype"/>
          <w:b/>
          <w:i/>
          <w:sz w:val="22"/>
          <w:szCs w:val="22"/>
        </w:rPr>
        <w:t>CAPITULO III</w:t>
      </w:r>
    </w:p>
    <w:p w14:paraId="622C13A9" w14:textId="77777777" w:rsidR="0090604E" w:rsidRPr="004726FE" w:rsidRDefault="0090604E" w:rsidP="00EE4162">
      <w:pPr>
        <w:pStyle w:val="Prrafodelista"/>
        <w:ind w:left="567" w:right="843"/>
        <w:jc w:val="center"/>
        <w:rPr>
          <w:rFonts w:ascii="Palatino Linotype" w:hAnsi="Palatino Linotype"/>
          <w:b/>
          <w:i/>
          <w:sz w:val="22"/>
          <w:szCs w:val="22"/>
        </w:rPr>
      </w:pPr>
      <w:r w:rsidRPr="004726FE">
        <w:rPr>
          <w:rFonts w:ascii="Palatino Linotype" w:hAnsi="Palatino Linotype"/>
          <w:b/>
          <w:i/>
          <w:sz w:val="22"/>
          <w:szCs w:val="22"/>
        </w:rPr>
        <w:t>De los Intestados</w:t>
      </w:r>
    </w:p>
    <w:p w14:paraId="4FFB29BD" w14:textId="77777777" w:rsidR="0090604E" w:rsidRPr="004726FE" w:rsidRDefault="0090604E" w:rsidP="00EE4162">
      <w:pPr>
        <w:pStyle w:val="Prrafodelista"/>
        <w:ind w:left="567" w:right="843"/>
        <w:jc w:val="center"/>
        <w:rPr>
          <w:rFonts w:ascii="Palatino Linotype" w:hAnsi="Palatino Linotype"/>
          <w:b/>
          <w:i/>
          <w:sz w:val="22"/>
          <w:szCs w:val="22"/>
        </w:rPr>
      </w:pPr>
      <w:r w:rsidRPr="004726FE">
        <w:rPr>
          <w:rFonts w:ascii="Palatino Linotype" w:hAnsi="Palatino Linotype"/>
          <w:b/>
          <w:i/>
          <w:sz w:val="22"/>
          <w:szCs w:val="22"/>
        </w:rPr>
        <w:t xml:space="preserve">Denuncia </w:t>
      </w:r>
      <w:proofErr w:type="spellStart"/>
      <w:r w:rsidRPr="004726FE">
        <w:rPr>
          <w:rFonts w:ascii="Palatino Linotype" w:hAnsi="Palatino Linotype"/>
          <w:b/>
          <w:i/>
          <w:sz w:val="22"/>
          <w:szCs w:val="22"/>
        </w:rPr>
        <w:t>intestamentaria</w:t>
      </w:r>
      <w:proofErr w:type="spellEnd"/>
    </w:p>
    <w:p w14:paraId="717D0E59" w14:textId="77777777" w:rsidR="0090604E" w:rsidRPr="004726FE" w:rsidRDefault="0090604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Artículo 4.42.- Al denunciarse un intestado, justificará el interesado, el parentesco o lazo que lo hubiere unido con el autor de la herencia. En la denuncia se deberá indicar los nombres y domicilios de los presuntos herederos legítimos. </w:t>
      </w:r>
    </w:p>
    <w:p w14:paraId="659C729A" w14:textId="77777777" w:rsidR="0090604E" w:rsidRPr="004726FE" w:rsidRDefault="0090604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Denuncia por terceros </w:t>
      </w:r>
    </w:p>
    <w:p w14:paraId="3DE56AF7" w14:textId="77777777" w:rsidR="0090604E" w:rsidRPr="004726FE" w:rsidRDefault="0090604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Artículo 4.43.- Cualquiera que tenga interés en que se nombre albacea o interventor, podrá hacer la denuncia del sucesorio. Mencionará nombre y domicilio de los presuntos herederos legítimos para que se les notifique y realicen el trámite para nombrar albacea. De no nombrarlo o no comparecer herederos, en el plazo de quince días, el Juez nombrará </w:t>
      </w:r>
      <w:r w:rsidRPr="004726FE">
        <w:rPr>
          <w:rFonts w:ascii="Palatino Linotype" w:hAnsi="Palatino Linotype"/>
          <w:i/>
          <w:sz w:val="22"/>
          <w:szCs w:val="22"/>
        </w:rPr>
        <w:lastRenderedPageBreak/>
        <w:t xml:space="preserve">interventor, quien ejercitará acciones o contestará demandas a nombre de la sucesión hasta en tanto se designa albacea. </w:t>
      </w:r>
    </w:p>
    <w:p w14:paraId="25456A96" w14:textId="77777777" w:rsidR="0090604E" w:rsidRPr="004726FE" w:rsidRDefault="0090604E" w:rsidP="00EE4162">
      <w:pPr>
        <w:pStyle w:val="Prrafodelista"/>
        <w:ind w:left="567" w:right="843"/>
        <w:jc w:val="both"/>
        <w:rPr>
          <w:rFonts w:ascii="Palatino Linotype" w:hAnsi="Palatino Linotype"/>
          <w:i/>
          <w:sz w:val="22"/>
          <w:szCs w:val="22"/>
        </w:rPr>
      </w:pPr>
    </w:p>
    <w:p w14:paraId="7316C2B2" w14:textId="77777777" w:rsidR="0090604E" w:rsidRPr="004726FE" w:rsidRDefault="0090604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Citación a los presuntos herederos </w:t>
      </w:r>
    </w:p>
    <w:p w14:paraId="4B382E6F" w14:textId="77777777" w:rsidR="0090604E" w:rsidRPr="004726FE" w:rsidRDefault="0090604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Artículo 4.44.- El Juez al radicar la sucesión ordenará notificar a las personas señaladas como presuntos herederos legítimos para que, dentro de los treinta días siguientes, justifiquen sus derechos a la herencia; pedirá informes al Archivo General de Notarías que será acompañado por el reporte de búsqueda expedido por el Registro Nacional de Avisos de Testamento y al Registro Público de la Propiedad sobre la existencia de testamento.</w:t>
      </w:r>
    </w:p>
    <w:p w14:paraId="455A3742" w14:textId="77777777" w:rsidR="0090604E" w:rsidRPr="004726FE" w:rsidRDefault="0090604E" w:rsidP="00EE4162">
      <w:pPr>
        <w:pStyle w:val="Prrafodelista"/>
        <w:ind w:left="567" w:right="843"/>
        <w:jc w:val="both"/>
        <w:rPr>
          <w:rFonts w:ascii="Palatino Linotype" w:hAnsi="Palatino Linotype"/>
          <w:i/>
          <w:sz w:val="22"/>
          <w:szCs w:val="22"/>
        </w:rPr>
      </w:pPr>
    </w:p>
    <w:p w14:paraId="3106BE23" w14:textId="77777777" w:rsidR="0090604E" w:rsidRPr="004726FE" w:rsidRDefault="0090604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Declaración de herederos</w:t>
      </w:r>
    </w:p>
    <w:p w14:paraId="6AB9126A" w14:textId="77777777" w:rsidR="0090604E" w:rsidRPr="004726FE" w:rsidRDefault="0090604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Artículo 4.45.- Transcurrido el plazo concedido a los presuntos herederos, sin que ello implique pérdida de sus derechos, a petición de algún interesado se dictará auto de declaración de herederos; también lo hará antes del plazo si comparecen todos los citados. Este auto será apelable sin efecto suspensivo. </w:t>
      </w:r>
    </w:p>
    <w:p w14:paraId="59045435" w14:textId="77777777" w:rsidR="0090604E" w:rsidRPr="004726FE" w:rsidRDefault="0090604E" w:rsidP="00EE4162">
      <w:pPr>
        <w:pStyle w:val="Prrafodelista"/>
        <w:ind w:left="567" w:right="843"/>
        <w:jc w:val="both"/>
        <w:rPr>
          <w:rFonts w:ascii="Palatino Linotype" w:hAnsi="Palatino Linotype"/>
          <w:i/>
          <w:sz w:val="22"/>
          <w:szCs w:val="22"/>
        </w:rPr>
      </w:pPr>
    </w:p>
    <w:p w14:paraId="161F5E15" w14:textId="77777777" w:rsidR="0090604E" w:rsidRPr="004726FE" w:rsidRDefault="0090604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Junta de herederos Artículo 4.46.- En el auto declarativo de herederos, se citará a junta de herederos dentro de los ocho días siguientes para que designen albacea. Se omitirá si el heredero fuere único o si nombran por escrito a una misma persona. </w:t>
      </w:r>
    </w:p>
    <w:p w14:paraId="4C690386" w14:textId="77777777" w:rsidR="0090604E" w:rsidRPr="004726FE" w:rsidRDefault="0090604E" w:rsidP="00EE4162">
      <w:pPr>
        <w:pStyle w:val="Prrafodelista"/>
        <w:ind w:left="567" w:right="843"/>
        <w:jc w:val="both"/>
        <w:rPr>
          <w:rFonts w:ascii="Palatino Linotype" w:hAnsi="Palatino Linotype"/>
          <w:i/>
          <w:sz w:val="22"/>
          <w:szCs w:val="22"/>
        </w:rPr>
      </w:pPr>
    </w:p>
    <w:p w14:paraId="73B918D9" w14:textId="77777777" w:rsidR="0090604E" w:rsidRPr="004726FE" w:rsidRDefault="0090604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Notificación Artículo 4.47.- Si ninguno de los presuntos herederos es declarado como tal, se notificará al Sistema para el Desarrollo Integral de la Familia del Estado, para que deduzca sus derechos. </w:t>
      </w:r>
    </w:p>
    <w:p w14:paraId="1EFB2FA0" w14:textId="77777777" w:rsidR="0090604E" w:rsidRPr="004726FE" w:rsidRDefault="0090604E" w:rsidP="00EE4162">
      <w:pPr>
        <w:pStyle w:val="Prrafodelista"/>
        <w:ind w:left="567" w:right="843"/>
        <w:jc w:val="both"/>
        <w:rPr>
          <w:rFonts w:ascii="Palatino Linotype" w:hAnsi="Palatino Linotype"/>
          <w:i/>
          <w:sz w:val="22"/>
          <w:szCs w:val="22"/>
        </w:rPr>
      </w:pPr>
    </w:p>
    <w:p w14:paraId="255ECB18" w14:textId="77777777" w:rsidR="0090604E" w:rsidRPr="004726FE" w:rsidRDefault="0090604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 xml:space="preserve">Continuación del interventor Artículo 4.48.- Si ninguno de los pretendientes hubiere sido declarado heredero, continuará como albacea judicial el interventor que se hubiere nombrado antes o que en su defecto se nombre. </w:t>
      </w:r>
    </w:p>
    <w:p w14:paraId="40A21383" w14:textId="77777777" w:rsidR="0090604E" w:rsidRPr="004726FE" w:rsidRDefault="0090604E" w:rsidP="00EE4162">
      <w:pPr>
        <w:pStyle w:val="Prrafodelista"/>
        <w:ind w:left="567" w:right="843"/>
        <w:jc w:val="both"/>
        <w:rPr>
          <w:rFonts w:ascii="Palatino Linotype" w:hAnsi="Palatino Linotype"/>
          <w:i/>
          <w:sz w:val="22"/>
          <w:szCs w:val="22"/>
        </w:rPr>
      </w:pPr>
    </w:p>
    <w:p w14:paraId="24D3607C" w14:textId="77777777" w:rsidR="0090604E" w:rsidRPr="004726FE" w:rsidRDefault="0090604E" w:rsidP="00EE4162">
      <w:pPr>
        <w:pStyle w:val="Prrafodelista"/>
        <w:ind w:left="567" w:right="843"/>
        <w:jc w:val="both"/>
        <w:rPr>
          <w:rFonts w:ascii="Palatino Linotype" w:hAnsi="Palatino Linotype"/>
          <w:i/>
          <w:sz w:val="22"/>
          <w:szCs w:val="22"/>
        </w:rPr>
      </w:pPr>
      <w:r w:rsidRPr="004726FE">
        <w:rPr>
          <w:rFonts w:ascii="Palatino Linotype" w:hAnsi="Palatino Linotype"/>
          <w:i/>
          <w:sz w:val="22"/>
          <w:szCs w:val="22"/>
        </w:rPr>
        <w:t>Entrega de documentos Artículo 4.49.- Al albacea se le entregarán todos los documentos inherentes a los bienes que forman la masa hereditaria, y los herederos le concederán facilidades y auxilio para el desempeño de su cargo.</w:t>
      </w:r>
    </w:p>
    <w:p w14:paraId="5C292AFE" w14:textId="77777777" w:rsidR="002C6E28" w:rsidRPr="004726FE" w:rsidRDefault="002C6E28" w:rsidP="00F20CD6">
      <w:pPr>
        <w:pStyle w:val="Prrafodelista"/>
        <w:spacing w:line="360" w:lineRule="auto"/>
        <w:ind w:left="0"/>
        <w:jc w:val="both"/>
        <w:rPr>
          <w:rFonts w:ascii="Palatino Linotype" w:hAnsi="Palatino Linotype"/>
          <w:sz w:val="22"/>
          <w:szCs w:val="22"/>
        </w:rPr>
      </w:pPr>
    </w:p>
    <w:p w14:paraId="32634A16" w14:textId="77777777" w:rsidR="002C6E28" w:rsidRPr="004726FE" w:rsidRDefault="002C6E28" w:rsidP="00F20CD6">
      <w:pPr>
        <w:pStyle w:val="Prrafodelista"/>
        <w:spacing w:line="360" w:lineRule="auto"/>
        <w:ind w:left="0"/>
        <w:jc w:val="both"/>
        <w:rPr>
          <w:rFonts w:ascii="Palatino Linotype" w:hAnsi="Palatino Linotype"/>
          <w:sz w:val="22"/>
          <w:szCs w:val="22"/>
        </w:rPr>
      </w:pPr>
    </w:p>
    <w:p w14:paraId="261DF27B" w14:textId="77777777" w:rsidR="00C718CE" w:rsidRPr="004726FE" w:rsidRDefault="00C718CE" w:rsidP="002C6E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Es así que los Juicios Sucesorios </w:t>
      </w:r>
      <w:proofErr w:type="spellStart"/>
      <w:r w:rsidRPr="004726FE">
        <w:rPr>
          <w:rFonts w:ascii="Palatino Linotype" w:eastAsia="Palatino Linotype" w:hAnsi="Palatino Linotype" w:cs="Palatino Linotype"/>
          <w:sz w:val="22"/>
          <w:szCs w:val="22"/>
        </w:rPr>
        <w:t>Intestamentarios</w:t>
      </w:r>
      <w:proofErr w:type="spellEnd"/>
      <w:r w:rsidRPr="004726FE">
        <w:rPr>
          <w:rFonts w:ascii="Palatino Linotype" w:eastAsia="Palatino Linotype" w:hAnsi="Palatino Linotype" w:cs="Palatino Linotype"/>
          <w:sz w:val="22"/>
          <w:szCs w:val="22"/>
        </w:rPr>
        <w:t xml:space="preserve"> son los procesos legales mediante los cuales se tramita la distribución de los bienes de una persona que ha fallecido sin dejar testamento. En ese caso, cualquier persona que acredite tener un parentesco o relación legal con la persona </w:t>
      </w:r>
      <w:r w:rsidRPr="004726FE">
        <w:rPr>
          <w:rFonts w:ascii="Palatino Linotype" w:eastAsia="Palatino Linotype" w:hAnsi="Palatino Linotype" w:cs="Palatino Linotype"/>
          <w:sz w:val="22"/>
          <w:szCs w:val="22"/>
        </w:rPr>
        <w:lastRenderedPageBreak/>
        <w:t>fallecida, podrá iniciar el procedimiento ante los Juzgados Civiles o Familiares del Estado de México.</w:t>
      </w:r>
    </w:p>
    <w:p w14:paraId="65EC0CE8" w14:textId="77777777" w:rsidR="00C718CE" w:rsidRPr="004726FE" w:rsidRDefault="00C718CE" w:rsidP="002C6E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BB81146" w14:textId="77777777" w:rsidR="00C718CE" w:rsidRPr="004726FE" w:rsidRDefault="00C718CE" w:rsidP="002C6E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Dicho lo anterior, el Recurrente solicitó expresamente el número de expediente 169/2008 radicado en el Segundo Juzgado Familiar de</w:t>
      </w:r>
      <w:r w:rsidR="00C17999" w:rsidRPr="004726FE">
        <w:rPr>
          <w:rFonts w:ascii="Palatino Linotype" w:eastAsia="Palatino Linotype" w:hAnsi="Palatino Linotype" w:cs="Palatino Linotype"/>
          <w:sz w:val="22"/>
          <w:szCs w:val="22"/>
        </w:rPr>
        <w:t>l Distrito Judicial de</w:t>
      </w:r>
      <w:r w:rsidR="00CA3787" w:rsidRPr="004726FE">
        <w:rPr>
          <w:rFonts w:ascii="Palatino Linotype" w:eastAsia="Palatino Linotype" w:hAnsi="Palatino Linotype" w:cs="Palatino Linotype"/>
          <w:sz w:val="22"/>
          <w:szCs w:val="22"/>
        </w:rPr>
        <w:t xml:space="preserve"> Toluca.</w:t>
      </w:r>
    </w:p>
    <w:p w14:paraId="4F7B80F9" w14:textId="77777777" w:rsidR="00C17999" w:rsidRPr="004726FE" w:rsidRDefault="00C17999" w:rsidP="00C17999">
      <w:pPr>
        <w:spacing w:before="240" w:after="240"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En tal sentido debe resaltarse que respecto a la naturaleza de esta información, el entonces Instituto Federal de Acceso a la Información Pública (IFAI), contempla en la obra literaria “</w:t>
      </w:r>
      <w:r w:rsidRPr="004726FE">
        <w:rPr>
          <w:rFonts w:ascii="Palatino Linotype" w:eastAsia="Palatino Linotype" w:hAnsi="Palatino Linotype" w:cs="Palatino Linotype"/>
          <w:b/>
          <w:i/>
          <w:sz w:val="22"/>
          <w:szCs w:val="22"/>
        </w:rPr>
        <w:t>La Transparencia y el Acceso a la Información en los Expedientes Judiciales</w:t>
      </w:r>
      <w:r w:rsidRPr="004726FE">
        <w:rPr>
          <w:rFonts w:ascii="Palatino Linotype" w:eastAsia="Palatino Linotype" w:hAnsi="Palatino Linotype" w:cs="Palatino Linotype"/>
          <w:sz w:val="22"/>
          <w:szCs w:val="22"/>
        </w:rPr>
        <w:t xml:space="preserve">” que en materia de acceso a la información, </w:t>
      </w:r>
      <w:r w:rsidRPr="004726FE">
        <w:rPr>
          <w:rFonts w:ascii="Palatino Linotype" w:eastAsia="Palatino Linotype" w:hAnsi="Palatino Linotype" w:cs="Palatino Linotype"/>
          <w:b/>
          <w:sz w:val="22"/>
          <w:szCs w:val="22"/>
          <w:u w:val="single"/>
        </w:rPr>
        <w:t>cualquier acuerdo dictado por el juzgador en un expediente judicial es, en principio, público</w:t>
      </w:r>
      <w:r w:rsidRPr="004726FE">
        <w:rPr>
          <w:rFonts w:ascii="Palatino Linotype" w:eastAsia="Palatino Linotype" w:hAnsi="Palatino Linotype" w:cs="Palatino Linotype"/>
          <w:sz w:val="22"/>
          <w:szCs w:val="22"/>
        </w:rPr>
        <w:t xml:space="preserve">. No obstante, es plausible que se actualice alguna causal de reserva por el daño que pudiera ocasionarse al interés público con la divulgación de lo solicitado, asimismo que </w:t>
      </w:r>
      <w:r w:rsidRPr="004726FE">
        <w:rPr>
          <w:rFonts w:ascii="Palatino Linotype" w:eastAsia="Palatino Linotype" w:hAnsi="Palatino Linotype" w:cs="Palatino Linotype"/>
          <w:b/>
          <w:sz w:val="22"/>
          <w:szCs w:val="22"/>
          <w:u w:val="single"/>
        </w:rPr>
        <w:t>en todos los casos, las actuaciones judiciales admiten ser divulgadas en versión pública, en las que se suprime la información reservada o confidencial, incluyendo los datos personales que obren en el documento solicitado</w:t>
      </w:r>
      <w:r w:rsidRPr="004726FE">
        <w:rPr>
          <w:rFonts w:ascii="Palatino Linotype" w:eastAsia="Palatino Linotype" w:hAnsi="Palatino Linotype" w:cs="Palatino Linotype"/>
          <w:sz w:val="22"/>
          <w:szCs w:val="22"/>
        </w:rPr>
        <w:t>.</w:t>
      </w:r>
    </w:p>
    <w:p w14:paraId="500FA26E" w14:textId="77777777" w:rsidR="00C17999" w:rsidRPr="004726FE" w:rsidRDefault="00C17999" w:rsidP="00C17999">
      <w:pPr>
        <w:spacing w:line="360" w:lineRule="auto"/>
        <w:jc w:val="both"/>
        <w:rPr>
          <w:rFonts w:ascii="Palatino Linotype" w:eastAsia="Palatino Linotype" w:hAnsi="Palatino Linotype" w:cs="Palatino Linotype"/>
          <w:sz w:val="22"/>
          <w:szCs w:val="22"/>
        </w:rPr>
      </w:pPr>
      <w:bookmarkStart w:id="2" w:name="_heading=h.35nkun2" w:colFirst="0" w:colLast="0"/>
      <w:bookmarkEnd w:id="2"/>
      <w:r w:rsidRPr="004726FE">
        <w:rPr>
          <w:rFonts w:ascii="Palatino Linotype" w:eastAsia="Palatino Linotype" w:hAnsi="Palatino Linotype" w:cs="Palatino Linotype"/>
          <w:sz w:val="22"/>
          <w:szCs w:val="22"/>
        </w:rPr>
        <w:t xml:space="preserve">Caso contrario ocurre cuando hablamos de </w:t>
      </w:r>
      <w:r w:rsidRPr="004726FE">
        <w:rPr>
          <w:rFonts w:ascii="Palatino Linotype" w:eastAsia="Palatino Linotype" w:hAnsi="Palatino Linotype" w:cs="Palatino Linotype"/>
          <w:b/>
          <w:sz w:val="22"/>
          <w:szCs w:val="22"/>
          <w:u w:val="single"/>
        </w:rPr>
        <w:t>procedimientos judiciales que aún no se encuentran firmes, es decir, que se encuentran en trámite</w:t>
      </w:r>
      <w:r w:rsidRPr="004726FE">
        <w:rPr>
          <w:rFonts w:ascii="Palatino Linotype" w:eastAsia="Palatino Linotype" w:hAnsi="Palatino Linotype" w:cs="Palatino Linotype"/>
          <w:sz w:val="22"/>
          <w:szCs w:val="22"/>
        </w:rPr>
        <w:t xml:space="preserve"> pues indudablemente actualizan una causal de clasificación; en este sentido, la clasificación se concibe como el acto administrativo mediante el cual los sujetos obligados</w:t>
      </w:r>
      <w:r w:rsidRPr="004726FE">
        <w:rPr>
          <w:rFonts w:ascii="Palatino Linotype" w:eastAsia="Palatino Linotype" w:hAnsi="Palatino Linotype" w:cs="Palatino Linotype"/>
          <w:b/>
          <w:sz w:val="22"/>
          <w:szCs w:val="22"/>
        </w:rPr>
        <w:t xml:space="preserve"> </w:t>
      </w:r>
      <w:r w:rsidRPr="004726FE">
        <w:rPr>
          <w:rFonts w:ascii="Palatino Linotype" w:eastAsia="Palatino Linotype" w:hAnsi="Palatino Linotype" w:cs="Palatino Linotype"/>
          <w:sz w:val="22"/>
          <w:szCs w:val="22"/>
        </w:rPr>
        <w:t xml:space="preserve">determinan que la información requerida actualiza alguno de los supuestos de confidencialidad </w:t>
      </w:r>
      <w:r w:rsidRPr="004726FE">
        <w:rPr>
          <w:rFonts w:ascii="Palatino Linotype" w:eastAsia="Palatino Linotype" w:hAnsi="Palatino Linotype" w:cs="Palatino Linotype"/>
          <w:b/>
          <w:sz w:val="22"/>
          <w:szCs w:val="22"/>
        </w:rPr>
        <w:t xml:space="preserve">o </w:t>
      </w:r>
      <w:r w:rsidRPr="004726FE">
        <w:rPr>
          <w:rFonts w:ascii="Palatino Linotype" w:eastAsia="Palatino Linotype" w:hAnsi="Palatino Linotype" w:cs="Palatino Linotype"/>
          <w:b/>
          <w:sz w:val="22"/>
          <w:szCs w:val="22"/>
          <w:u w:val="single"/>
        </w:rPr>
        <w:t>RESERVA,</w:t>
      </w:r>
      <w:r w:rsidRPr="004726FE">
        <w:rPr>
          <w:rFonts w:ascii="Palatino Linotype" w:eastAsia="Palatino Linotype" w:hAnsi="Palatino Linotype" w:cs="Palatino Linotype"/>
          <w:b/>
          <w:sz w:val="22"/>
          <w:szCs w:val="22"/>
        </w:rPr>
        <w:t xml:space="preserve"> </w:t>
      </w:r>
      <w:r w:rsidRPr="004726FE">
        <w:rPr>
          <w:rFonts w:ascii="Palatino Linotype" w:eastAsia="Palatino Linotype" w:hAnsi="Palatino Linotype" w:cs="Palatino Linotype"/>
          <w:sz w:val="22"/>
          <w:szCs w:val="22"/>
        </w:rPr>
        <w:t xml:space="preserve">de acuerdo con las bases y los principios inmersos en la normatividad aplicable. </w:t>
      </w:r>
    </w:p>
    <w:p w14:paraId="02D724DD" w14:textId="77777777" w:rsidR="00C718CE" w:rsidRPr="004726FE" w:rsidRDefault="00C718CE" w:rsidP="002C6E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5DE09CC" w14:textId="77777777" w:rsidR="004E0CAE" w:rsidRPr="004726FE" w:rsidRDefault="004E0CAE" w:rsidP="004E0CAE">
      <w:pPr>
        <w:spacing w:line="360" w:lineRule="auto"/>
        <w:ind w:right="-93"/>
        <w:jc w:val="both"/>
        <w:rPr>
          <w:rFonts w:ascii="Palatino Linotype" w:eastAsia="Palatino Linotype" w:hAnsi="Palatino Linotype" w:cs="Palatino Linotype"/>
          <w:b/>
          <w:sz w:val="22"/>
          <w:szCs w:val="22"/>
          <w:u w:val="single"/>
        </w:rPr>
      </w:pPr>
      <w:r w:rsidRPr="004726FE">
        <w:rPr>
          <w:rFonts w:ascii="Palatino Linotype" w:eastAsia="Palatino Linotype" w:hAnsi="Palatino Linotype" w:cs="Palatino Linotype"/>
          <w:sz w:val="22"/>
          <w:szCs w:val="22"/>
        </w:rPr>
        <w:t xml:space="preserve">Por consiguiente, es dable afirmar que en efecto, existe un interés público de la ciudadanía para conocer el actuar de los órganos jurisdiccionales, por lo que en ese caso, es procedente la entrega de documentales que obran en los expedientes, siempre y cuando se entreguen en versión pública y sobre aquellos que ya hayan causado estado; por lo que trasladando esta premisa a </w:t>
      </w:r>
      <w:r w:rsidRPr="004726FE">
        <w:rPr>
          <w:rFonts w:ascii="Palatino Linotype" w:eastAsia="Palatino Linotype" w:hAnsi="Palatino Linotype" w:cs="Palatino Linotype"/>
          <w:sz w:val="22"/>
          <w:szCs w:val="22"/>
        </w:rPr>
        <w:lastRenderedPageBreak/>
        <w:t xml:space="preserve">nuestro caso, concluimos que </w:t>
      </w:r>
      <w:r w:rsidRPr="004726FE">
        <w:rPr>
          <w:rFonts w:ascii="Palatino Linotype" w:eastAsia="Palatino Linotype" w:hAnsi="Palatino Linotype" w:cs="Palatino Linotype"/>
          <w:b/>
          <w:sz w:val="22"/>
          <w:szCs w:val="22"/>
          <w:u w:val="single"/>
        </w:rPr>
        <w:t xml:space="preserve">únicamente procederá la entrega de los expedientes, en versión pública, siempre y cuando el procedimiento judicial haya quedado firme. </w:t>
      </w:r>
    </w:p>
    <w:p w14:paraId="222AAC01" w14:textId="77777777" w:rsidR="004E0CAE" w:rsidRPr="004726FE" w:rsidRDefault="004E0CAE" w:rsidP="004E0CAE">
      <w:pPr>
        <w:spacing w:line="360" w:lineRule="auto"/>
        <w:ind w:right="-93"/>
        <w:jc w:val="both"/>
        <w:rPr>
          <w:rFonts w:ascii="Palatino Linotype" w:eastAsia="Palatino Linotype" w:hAnsi="Palatino Linotype" w:cs="Palatino Linotype"/>
          <w:b/>
          <w:sz w:val="22"/>
          <w:szCs w:val="22"/>
          <w:u w:val="single"/>
        </w:rPr>
      </w:pPr>
    </w:p>
    <w:p w14:paraId="601307CC" w14:textId="555DB4B9" w:rsidR="00335237" w:rsidRPr="004726FE" w:rsidRDefault="004E0CAE" w:rsidP="004E0CAE">
      <w:pPr>
        <w:spacing w:line="360" w:lineRule="auto"/>
        <w:ind w:right="-93"/>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En este caso en particular se debe considerar que el expediente se generó en el año 2008, además, el Sujeto Obligado </w:t>
      </w:r>
      <w:r w:rsidR="00D3043A" w:rsidRPr="004726FE">
        <w:rPr>
          <w:rFonts w:ascii="Palatino Linotype" w:eastAsia="Palatino Linotype" w:hAnsi="Palatino Linotype" w:cs="Palatino Linotype"/>
          <w:sz w:val="22"/>
          <w:szCs w:val="22"/>
        </w:rPr>
        <w:t xml:space="preserve">sólo </w:t>
      </w:r>
      <w:r w:rsidRPr="004726FE">
        <w:rPr>
          <w:rFonts w:ascii="Palatino Linotype" w:eastAsia="Palatino Linotype" w:hAnsi="Palatino Linotype" w:cs="Palatino Linotype"/>
          <w:sz w:val="22"/>
          <w:szCs w:val="22"/>
        </w:rPr>
        <w:t xml:space="preserve">manifestó impedimento de permitir el acceso a la información por contener e integrarse de datos personales, sin embargo, </w:t>
      </w:r>
      <w:r w:rsidR="00335237" w:rsidRPr="004726FE">
        <w:rPr>
          <w:rFonts w:ascii="Palatino Linotype" w:eastAsia="Palatino Linotype" w:hAnsi="Palatino Linotype" w:cs="Palatino Linotype"/>
          <w:sz w:val="22"/>
          <w:szCs w:val="22"/>
        </w:rPr>
        <w:t xml:space="preserve">al no localizarse la sentencia en la página oficial del Sujeto Obligado, no se tiene total certeza del estatus del expediente referido, es decir, se desconoce si a la fecha de la solicitud ya existe una resolución o sentencia y si está ya quedó firme y totalmente concluido. </w:t>
      </w:r>
    </w:p>
    <w:p w14:paraId="06EAFC25" w14:textId="77777777" w:rsidR="00335237" w:rsidRPr="004726FE" w:rsidRDefault="00335237" w:rsidP="004E0CAE">
      <w:pPr>
        <w:spacing w:line="360" w:lineRule="auto"/>
        <w:ind w:right="-93"/>
        <w:jc w:val="both"/>
        <w:rPr>
          <w:rFonts w:ascii="Palatino Linotype" w:eastAsia="Palatino Linotype" w:hAnsi="Palatino Linotype" w:cs="Palatino Linotype"/>
          <w:sz w:val="22"/>
          <w:szCs w:val="22"/>
        </w:rPr>
      </w:pPr>
    </w:p>
    <w:p w14:paraId="3DDCDAF7" w14:textId="01AD54E5" w:rsidR="004E0CAE" w:rsidRPr="004726FE" w:rsidRDefault="00335237" w:rsidP="004E0CAE">
      <w:pPr>
        <w:spacing w:line="360" w:lineRule="auto"/>
        <w:ind w:right="-93"/>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Entonces, a efecto de garantizar el derecho de acceso a la información pública</w:t>
      </w:r>
      <w:r w:rsidR="00E854C8" w:rsidRPr="004726FE">
        <w:rPr>
          <w:rFonts w:ascii="Palatino Linotype" w:eastAsia="Palatino Linotype" w:hAnsi="Palatino Linotype" w:cs="Palatino Linotype"/>
          <w:sz w:val="22"/>
          <w:szCs w:val="22"/>
        </w:rPr>
        <w:t xml:space="preserve"> se ORDENA al Sujeto Obligado entregar el expediente referido en la solicitud de acceso a la información pública, en versión pública, para tal efecto, </w:t>
      </w:r>
      <w:r w:rsidR="004E0CAE" w:rsidRPr="004726FE">
        <w:rPr>
          <w:rFonts w:ascii="Palatino Linotype" w:eastAsia="Palatino Linotype" w:hAnsi="Palatino Linotype" w:cs="Palatino Linotype"/>
          <w:sz w:val="22"/>
          <w:szCs w:val="22"/>
        </w:rPr>
        <w:t xml:space="preserve">deberá estar a lo dispuesto en el Considerando Quinto de la presente resolución. </w:t>
      </w:r>
    </w:p>
    <w:p w14:paraId="719E7E19" w14:textId="77777777" w:rsidR="00335237" w:rsidRPr="004726FE" w:rsidRDefault="00335237" w:rsidP="004E0CAE">
      <w:pPr>
        <w:spacing w:line="360" w:lineRule="auto"/>
        <w:ind w:right="-93"/>
        <w:jc w:val="both"/>
        <w:rPr>
          <w:rFonts w:ascii="Palatino Linotype" w:eastAsia="Palatino Linotype" w:hAnsi="Palatino Linotype" w:cs="Palatino Linotype"/>
          <w:sz w:val="22"/>
          <w:szCs w:val="22"/>
        </w:rPr>
      </w:pPr>
    </w:p>
    <w:p w14:paraId="515CC0F7" w14:textId="6BC5373F" w:rsidR="002B2D3B" w:rsidRPr="004726FE" w:rsidRDefault="00335237" w:rsidP="004E0CAE">
      <w:pPr>
        <w:spacing w:line="360" w:lineRule="auto"/>
        <w:ind w:right="-93"/>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Ahora bien, de ser el caso de que el expediente se encuentre en trámite o no </w:t>
      </w:r>
      <w:r w:rsidR="002B2D3B" w:rsidRPr="004726FE">
        <w:rPr>
          <w:rFonts w:ascii="Palatino Linotype" w:eastAsia="Palatino Linotype" w:hAnsi="Palatino Linotype" w:cs="Palatino Linotype"/>
          <w:sz w:val="22"/>
          <w:szCs w:val="22"/>
        </w:rPr>
        <w:t xml:space="preserve">se encuentre </w:t>
      </w:r>
      <w:r w:rsidRPr="004726FE">
        <w:rPr>
          <w:rFonts w:ascii="Palatino Linotype" w:eastAsia="Palatino Linotype" w:hAnsi="Palatino Linotype" w:cs="Palatino Linotype"/>
          <w:sz w:val="22"/>
          <w:szCs w:val="22"/>
        </w:rPr>
        <w:t xml:space="preserve">totalmente concluido, </w:t>
      </w:r>
      <w:r w:rsidR="002B2D3B" w:rsidRPr="004726FE">
        <w:rPr>
          <w:rFonts w:ascii="Palatino Linotype" w:hAnsi="Palatino Linotype"/>
          <w:iCs/>
          <w:sz w:val="22"/>
          <w:szCs w:val="22"/>
        </w:rPr>
        <w:t>el Sujeto Obligado deberá emitir y entregar el Acuerdo de Clasificación como información reservada que emita el Comité de Transparencia, de conformidad con lo dispuesto en los artículos 128, 129, 135 y 140 de la Ley de Transparencia y Acceso a la Información Pública del Estado de México y Municipios, que sustente su clasificación en términos del Considerando Quinto de esta resolución.</w:t>
      </w:r>
    </w:p>
    <w:p w14:paraId="5CC903BB" w14:textId="77777777" w:rsidR="00C17999" w:rsidRPr="004726FE" w:rsidRDefault="00C17999" w:rsidP="002C6E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9FE0F8F" w14:textId="77777777" w:rsidR="002B2D3B" w:rsidRPr="004726FE" w:rsidRDefault="0088533A" w:rsidP="002B2D3B">
      <w:pPr>
        <w:spacing w:before="240" w:after="240" w:line="360" w:lineRule="auto"/>
        <w:ind w:right="49"/>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 xml:space="preserve">Quinto. Versión Pública. </w:t>
      </w:r>
      <w:r w:rsidR="002B2D3B" w:rsidRPr="004726FE">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w:t>
      </w:r>
      <w:r w:rsidR="002B2D3B" w:rsidRPr="004726FE">
        <w:rPr>
          <w:rFonts w:ascii="Palatino Linotype" w:eastAsia="Palatino Linotype" w:hAnsi="Palatino Linotype" w:cs="Palatino Linotype"/>
          <w:sz w:val="22"/>
          <w:szCs w:val="22"/>
        </w:rPr>
        <w:lastRenderedPageBreak/>
        <w:t xml:space="preserve">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002B2D3B" w:rsidRPr="004726FE">
        <w:rPr>
          <w:rFonts w:ascii="Palatino Linotype" w:eastAsia="Palatino Linotype" w:hAnsi="Palatino Linotype" w:cs="Palatino Linotype"/>
          <w:b/>
          <w:sz w:val="22"/>
          <w:szCs w:val="22"/>
        </w:rPr>
        <w:t>la parte</w:t>
      </w:r>
      <w:r w:rsidR="002B2D3B" w:rsidRPr="004726FE">
        <w:rPr>
          <w:rFonts w:ascii="Palatino Linotype" w:eastAsia="Palatino Linotype" w:hAnsi="Palatino Linotype" w:cs="Palatino Linotype"/>
          <w:sz w:val="22"/>
          <w:szCs w:val="22"/>
        </w:rPr>
        <w:t xml:space="preserve"> </w:t>
      </w:r>
      <w:r w:rsidR="002B2D3B" w:rsidRPr="004726FE">
        <w:rPr>
          <w:rFonts w:ascii="Palatino Linotype" w:eastAsia="Palatino Linotype" w:hAnsi="Palatino Linotype" w:cs="Palatino Linotype"/>
          <w:b/>
          <w:sz w:val="22"/>
          <w:szCs w:val="22"/>
        </w:rPr>
        <w:t>Recurrente</w:t>
      </w:r>
      <w:r w:rsidR="002B2D3B" w:rsidRPr="004726FE">
        <w:rPr>
          <w:rFonts w:ascii="Palatino Linotype" w:eastAsia="Palatino Linotype" w:hAnsi="Palatino Linotype" w:cs="Palatino Linotype"/>
          <w:sz w:val="22"/>
          <w:szCs w:val="22"/>
        </w:rPr>
        <w:t xml:space="preserve"> sin menoscabar el derecho a la protección de los datos personales de terceros.</w:t>
      </w:r>
    </w:p>
    <w:p w14:paraId="08A935C9" w14:textId="77777777" w:rsidR="0088533A" w:rsidRPr="004726FE" w:rsidRDefault="0088533A" w:rsidP="0088533A">
      <w:pPr>
        <w:spacing w:line="360" w:lineRule="auto"/>
        <w:jc w:val="both"/>
        <w:rPr>
          <w:rFonts w:ascii="Palatino Linotype" w:eastAsia="Palatino Linotype" w:hAnsi="Palatino Linotype" w:cs="Palatino Linotype"/>
          <w:sz w:val="22"/>
          <w:szCs w:val="22"/>
        </w:rPr>
      </w:pPr>
    </w:p>
    <w:p w14:paraId="5E81196A" w14:textId="77777777" w:rsidR="0088533A" w:rsidRPr="004726FE" w:rsidRDefault="0088533A" w:rsidP="0088533A">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19B8D698" w14:textId="77777777" w:rsidR="0088533A" w:rsidRPr="004726FE" w:rsidRDefault="0088533A" w:rsidP="0088533A">
      <w:pPr>
        <w:spacing w:line="360" w:lineRule="auto"/>
        <w:jc w:val="both"/>
        <w:rPr>
          <w:rFonts w:ascii="Palatino Linotype" w:eastAsia="Palatino Linotype" w:hAnsi="Palatino Linotype" w:cs="Palatino Linotype"/>
          <w:sz w:val="22"/>
          <w:szCs w:val="22"/>
        </w:rPr>
      </w:pPr>
    </w:p>
    <w:p w14:paraId="630D4BF3" w14:textId="77777777" w:rsidR="008B51C0" w:rsidRPr="004726FE" w:rsidRDefault="0088533A" w:rsidP="00885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En el caso específico, dada la naturaleza de la información que se ordena, si bien tiene el carácter información pública en razón de que se trata de documentos que se encuentran en posesión del </w:t>
      </w:r>
      <w:r w:rsidRPr="004726FE">
        <w:rPr>
          <w:rFonts w:ascii="Palatino Linotype" w:eastAsia="Palatino Linotype" w:hAnsi="Palatino Linotype" w:cs="Palatino Linotype"/>
          <w:b/>
          <w:sz w:val="22"/>
          <w:szCs w:val="22"/>
        </w:rPr>
        <w:t>Sujeto Obligado</w:t>
      </w:r>
      <w:r w:rsidRPr="004726FE">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w:t>
      </w:r>
      <w:r w:rsidR="008B51C0" w:rsidRPr="004726FE">
        <w:rPr>
          <w:rFonts w:ascii="Palatino Linotype" w:eastAsia="Palatino Linotype" w:hAnsi="Palatino Linotype" w:cs="Palatino Linotype"/>
          <w:sz w:val="22"/>
          <w:szCs w:val="22"/>
        </w:rPr>
        <w:t>particulares como nombre, domicilio</w:t>
      </w:r>
      <w:r w:rsidR="00C0251E" w:rsidRPr="004726FE">
        <w:rPr>
          <w:rFonts w:ascii="Palatino Linotype" w:eastAsia="Palatino Linotype" w:hAnsi="Palatino Linotype" w:cs="Palatino Linotype"/>
          <w:sz w:val="22"/>
          <w:szCs w:val="22"/>
        </w:rPr>
        <w:t xml:space="preserve"> y firma de particulares, </w:t>
      </w:r>
      <w:r w:rsidR="008B51C0" w:rsidRPr="004726FE">
        <w:rPr>
          <w:rFonts w:ascii="Palatino Linotype" w:eastAsia="Palatino Linotype" w:hAnsi="Palatino Linotype" w:cs="Palatino Linotype"/>
          <w:sz w:val="22"/>
          <w:szCs w:val="22"/>
        </w:rPr>
        <w:t>credencial de elector, CURP, RFC, entre otros.</w:t>
      </w:r>
    </w:p>
    <w:p w14:paraId="1027951A" w14:textId="77777777" w:rsidR="00C0251E" w:rsidRPr="004726FE" w:rsidRDefault="00C0251E" w:rsidP="00885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98FC888" w14:textId="77777777" w:rsidR="00C0251E" w:rsidRPr="004726FE" w:rsidRDefault="00C0251E" w:rsidP="00C0251E">
      <w:pPr>
        <w:spacing w:line="360" w:lineRule="auto"/>
        <w:jc w:val="both"/>
        <w:rPr>
          <w:rFonts w:ascii="Palatino Linotype" w:eastAsia="Palatino Linotype" w:hAnsi="Palatino Linotype" w:cs="Palatino Linotype"/>
          <w:b/>
          <w:sz w:val="22"/>
          <w:szCs w:val="22"/>
        </w:rPr>
      </w:pPr>
      <w:r w:rsidRPr="004726FE">
        <w:rPr>
          <w:rFonts w:ascii="Palatino Linotype" w:eastAsia="Palatino Linotype" w:hAnsi="Palatino Linotype" w:cs="Palatino Linotype"/>
          <w:sz w:val="22"/>
          <w:szCs w:val="22"/>
        </w:rPr>
        <w:t xml:space="preserve">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4726FE">
        <w:rPr>
          <w:rFonts w:ascii="Palatino Linotype" w:eastAsia="Palatino Linotype" w:hAnsi="Palatino Linotype" w:cs="Palatino Linotype"/>
          <w:i/>
          <w:sz w:val="22"/>
          <w:szCs w:val="22"/>
        </w:rPr>
        <w:t>per se</w:t>
      </w:r>
      <w:r w:rsidRPr="004726FE">
        <w:rPr>
          <w:rFonts w:ascii="Palatino Linotype" w:eastAsia="Palatino Linotype" w:hAnsi="Palatino Linotype" w:cs="Palatino Linotype"/>
          <w:sz w:val="22"/>
          <w:szCs w:val="22"/>
        </w:rPr>
        <w:t xml:space="preserve"> es un elemento que hace a una persona física identificada o identificable, por lo que, </w:t>
      </w:r>
      <w:r w:rsidRPr="004726FE">
        <w:rPr>
          <w:rFonts w:ascii="Palatino Linotype" w:eastAsia="Palatino Linotype" w:hAnsi="Palatino Linotype" w:cs="Palatino Linotype"/>
          <w:b/>
          <w:sz w:val="22"/>
          <w:szCs w:val="22"/>
        </w:rPr>
        <w:t>se considera un dato personal.</w:t>
      </w:r>
    </w:p>
    <w:p w14:paraId="7C0CEB2F" w14:textId="77777777" w:rsidR="00C0251E" w:rsidRPr="004726FE" w:rsidRDefault="00C0251E" w:rsidP="00C0251E">
      <w:pPr>
        <w:spacing w:line="360" w:lineRule="auto"/>
        <w:jc w:val="both"/>
        <w:rPr>
          <w:rFonts w:ascii="Palatino Linotype" w:eastAsia="Palatino Linotype" w:hAnsi="Palatino Linotype" w:cs="Palatino Linotype"/>
          <w:b/>
          <w:sz w:val="22"/>
          <w:szCs w:val="22"/>
        </w:rPr>
      </w:pPr>
    </w:p>
    <w:p w14:paraId="16A76BDA" w14:textId="77777777" w:rsidR="00C0251E" w:rsidRPr="004726FE" w:rsidRDefault="00C0251E" w:rsidP="00C0251E">
      <w:pPr>
        <w:spacing w:line="360" w:lineRule="auto"/>
        <w:ind w:right="-93"/>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lastRenderedPageBreak/>
        <w:t>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2FE154C0" w14:textId="77777777" w:rsidR="00C0251E" w:rsidRPr="004726FE" w:rsidRDefault="00C0251E" w:rsidP="00C0251E">
      <w:pPr>
        <w:spacing w:line="276" w:lineRule="auto"/>
        <w:ind w:right="-93"/>
        <w:jc w:val="both"/>
        <w:rPr>
          <w:rFonts w:ascii="Palatino Linotype" w:eastAsia="Palatino Linotype" w:hAnsi="Palatino Linotype" w:cs="Palatino Linotype"/>
          <w:sz w:val="22"/>
          <w:szCs w:val="22"/>
        </w:rPr>
      </w:pPr>
    </w:p>
    <w:p w14:paraId="727D1952" w14:textId="77777777" w:rsidR="00C0251E" w:rsidRPr="004726FE" w:rsidRDefault="00C0251E" w:rsidP="00C0251E">
      <w:pPr>
        <w:spacing w:line="276" w:lineRule="auto"/>
        <w:ind w:left="567" w:right="567"/>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w:t>
      </w:r>
      <w:r w:rsidRPr="004726FE">
        <w:rPr>
          <w:rFonts w:ascii="Palatino Linotype" w:eastAsia="Palatino Linotype" w:hAnsi="Palatino Linotype" w:cs="Palatino Linotype"/>
          <w:b/>
          <w:i/>
          <w:sz w:val="22"/>
          <w:szCs w:val="22"/>
        </w:rPr>
        <w:t xml:space="preserve">DERECHO A LA VIDA PRIVADA. SU CONTENIDO GENERAL Y LA IMPORTANCIA DE NO DESCONTEXTUALIZAR LAS REFERENCIAS A LA MISMA. </w:t>
      </w:r>
      <w:r w:rsidRPr="004726FE">
        <w:rPr>
          <w:rFonts w:ascii="Palatino Linotype" w:eastAsia="Palatino Linotype" w:hAnsi="Palatino Linotype" w:cs="Palatino Linotype"/>
          <w:i/>
          <w:sz w:val="22"/>
          <w:szCs w:val="22"/>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w:t>
      </w:r>
      <w:r w:rsidRPr="004726FE">
        <w:rPr>
          <w:rFonts w:ascii="Palatino Linotype" w:eastAsia="Palatino Linotype" w:hAnsi="Palatino Linotype" w:cs="Palatino Linotype"/>
          <w:i/>
          <w:sz w:val="22"/>
          <w:szCs w:val="22"/>
        </w:rPr>
        <w:lastRenderedPageBreak/>
        <w:t xml:space="preserve">nuestro contexto cultural. </w:t>
      </w:r>
      <w:r w:rsidRPr="004726FE">
        <w:rPr>
          <w:rFonts w:ascii="Palatino Linotype" w:eastAsia="Palatino Linotype" w:hAnsi="Palatino Linotype" w:cs="Palatino Linotype"/>
          <w:b/>
          <w:i/>
          <w:sz w:val="22"/>
          <w:szCs w:val="22"/>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4726FE">
        <w:rPr>
          <w:rFonts w:ascii="Palatino Linotype" w:eastAsia="Palatino Linotype" w:hAnsi="Palatino Linotype" w:cs="Palatino Linotype"/>
          <w:i/>
          <w:sz w:val="22"/>
          <w:szCs w:val="22"/>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4726FE">
        <w:rPr>
          <w:rFonts w:ascii="Palatino Linotype" w:eastAsia="Palatino Linotype" w:hAnsi="Palatino Linotype" w:cs="Palatino Linotype"/>
          <w:b/>
          <w:i/>
          <w:sz w:val="22"/>
          <w:szCs w:val="22"/>
        </w:rPr>
        <w:t>En un sentido amplio, entonces, la protección constitucional de la vida privada implica poder conducir parte de la vida de uno protegido de la mirada y las injerencias de los demás</w:t>
      </w:r>
      <w:r w:rsidRPr="004726FE">
        <w:rPr>
          <w:rFonts w:ascii="Palatino Linotype" w:eastAsia="Palatino Linotype" w:hAnsi="Palatino Linotype" w:cs="Palatino Linotype"/>
          <w:i/>
          <w:sz w:val="22"/>
          <w:szCs w:val="22"/>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44415B3F" w14:textId="77777777" w:rsidR="00C0251E" w:rsidRPr="004726FE" w:rsidRDefault="00C0251E" w:rsidP="00C0251E">
      <w:pPr>
        <w:spacing w:line="276" w:lineRule="auto"/>
        <w:ind w:left="567" w:right="567"/>
        <w:jc w:val="both"/>
        <w:rPr>
          <w:rFonts w:ascii="Palatino Linotype" w:eastAsia="Palatino Linotype" w:hAnsi="Palatino Linotype" w:cs="Palatino Linotype"/>
          <w:sz w:val="22"/>
          <w:szCs w:val="22"/>
        </w:rPr>
      </w:pPr>
    </w:p>
    <w:p w14:paraId="1A564E7D" w14:textId="77777777" w:rsidR="00C0251E" w:rsidRPr="004726FE" w:rsidRDefault="00C0251E" w:rsidP="00C0251E">
      <w:pPr>
        <w:spacing w:line="360" w:lineRule="auto"/>
        <w:ind w:right="-93"/>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De conformidad con lo señalado, se colige que las actividades que realicen los particulares, dentro del ámbito privado, o dentro de la esfera particular, es información que debe protegerse.</w:t>
      </w:r>
    </w:p>
    <w:p w14:paraId="7C0DD9A3" w14:textId="77777777" w:rsidR="00C0251E" w:rsidRPr="004726FE" w:rsidRDefault="00C0251E" w:rsidP="00C0251E">
      <w:pPr>
        <w:spacing w:line="360" w:lineRule="auto"/>
        <w:ind w:right="-93"/>
        <w:jc w:val="both"/>
        <w:rPr>
          <w:rFonts w:ascii="Palatino Linotype" w:eastAsia="Palatino Linotype" w:hAnsi="Palatino Linotype" w:cs="Palatino Linotype"/>
          <w:sz w:val="22"/>
          <w:szCs w:val="22"/>
        </w:rPr>
      </w:pPr>
    </w:p>
    <w:p w14:paraId="3A634650" w14:textId="77777777" w:rsidR="00C0251E" w:rsidRPr="004726FE" w:rsidRDefault="00C0251E" w:rsidP="00C0251E">
      <w:pPr>
        <w:spacing w:line="360" w:lineRule="auto"/>
        <w:ind w:right="-93"/>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En consecuencia, resulta procedente la clasificación del nombre de particulares, en términos del artículo 143, fracción I de la Ley de Transparencia y Acceso a la Información Pública del Estado de México y Municipios.</w:t>
      </w:r>
    </w:p>
    <w:p w14:paraId="0D8D4DE5" w14:textId="77777777" w:rsidR="00C0251E" w:rsidRPr="004726FE" w:rsidRDefault="00C0251E" w:rsidP="00C0251E">
      <w:pPr>
        <w:tabs>
          <w:tab w:val="left" w:pos="426"/>
        </w:tabs>
        <w:spacing w:before="240" w:after="240"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Respecto de la rúbrica o firma de la persona que recibe el documento se debe tener presente que la firma y rúbrica son definidas por la Real Academia de la Lengua Española, de la siguiente manera:</w:t>
      </w:r>
    </w:p>
    <w:p w14:paraId="00F21413" w14:textId="77777777" w:rsidR="00C0251E" w:rsidRPr="004726FE" w:rsidRDefault="00C0251E" w:rsidP="00C0251E">
      <w:pPr>
        <w:numPr>
          <w:ilvl w:val="0"/>
          <w:numId w:val="19"/>
        </w:numPr>
        <w:pBdr>
          <w:top w:val="nil"/>
          <w:left w:val="nil"/>
          <w:bottom w:val="nil"/>
          <w:right w:val="nil"/>
          <w:between w:val="nil"/>
        </w:pBdr>
        <w:tabs>
          <w:tab w:val="left" w:pos="426"/>
        </w:tabs>
        <w:spacing w:before="240" w:after="240" w:line="360" w:lineRule="auto"/>
        <w:ind w:left="142" w:firstLine="0"/>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lastRenderedPageBreak/>
        <w:t>Firma. Rasgo o conjunto de rasgos, realizados siempre de la misma manera, que identifican a una persona y sustituyen a su nombre y apellidos para aprobar o dar autenticidad a un documento.</w:t>
      </w:r>
    </w:p>
    <w:p w14:paraId="61F8D41F" w14:textId="77777777" w:rsidR="00C0251E" w:rsidRPr="004726FE" w:rsidRDefault="00C0251E" w:rsidP="00C0251E">
      <w:pPr>
        <w:numPr>
          <w:ilvl w:val="0"/>
          <w:numId w:val="19"/>
        </w:numPr>
        <w:pBdr>
          <w:top w:val="nil"/>
          <w:left w:val="nil"/>
          <w:bottom w:val="nil"/>
          <w:right w:val="nil"/>
          <w:between w:val="nil"/>
        </w:pBdr>
        <w:tabs>
          <w:tab w:val="left" w:pos="426"/>
        </w:tabs>
        <w:spacing w:before="240" w:after="240" w:line="360" w:lineRule="auto"/>
        <w:ind w:left="142" w:firstLine="0"/>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Rúbrica. Rasgo o conjunto de rasgos, realizados siempre de la misma manera que suele ponerse en la firma después del nombre y que a veces la sustituye.</w:t>
      </w:r>
    </w:p>
    <w:p w14:paraId="21EEA472" w14:textId="77777777" w:rsidR="00C0251E" w:rsidRPr="004726FE" w:rsidRDefault="00C0251E" w:rsidP="00C0251E">
      <w:pPr>
        <w:spacing w:before="240" w:after="240"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En ese sentido, se advierte que tanto la firma como la rúbrica son rasgos gráficos que pueden identificar o hacer identificable a una persona, por lo tanto, se consideran por regla general como datos personales confidenciales que deben protegerse en los documentos que los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ya que en mayor o menor medida inciden en la vida privada de una persona.</w:t>
      </w:r>
    </w:p>
    <w:p w14:paraId="5B278008" w14:textId="77777777" w:rsidR="0088533A" w:rsidRPr="004726FE" w:rsidRDefault="0088533A" w:rsidP="00885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Por cuanto hace al </w:t>
      </w:r>
      <w:r w:rsidRPr="004726FE">
        <w:rPr>
          <w:rFonts w:ascii="Palatino Linotype" w:eastAsia="Palatino Linotype" w:hAnsi="Palatino Linotype" w:cs="Palatino Linotype"/>
          <w:b/>
          <w:sz w:val="22"/>
          <w:szCs w:val="22"/>
        </w:rPr>
        <w:t>Registro Federal de Contribuyentes, RFC</w:t>
      </w:r>
      <w:r w:rsidRPr="004726FE">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w:t>
      </w:r>
      <w:proofErr w:type="spellStart"/>
      <w:r w:rsidRPr="004726FE">
        <w:rPr>
          <w:rFonts w:ascii="Palatino Linotype" w:eastAsia="Palatino Linotype" w:hAnsi="Palatino Linotype" w:cs="Palatino Linotype"/>
          <w:sz w:val="22"/>
          <w:szCs w:val="22"/>
        </w:rPr>
        <w:t>homoclave</w:t>
      </w:r>
      <w:proofErr w:type="spellEnd"/>
      <w:r w:rsidRPr="004726FE">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15678BD9" w14:textId="77777777" w:rsidR="0088533A" w:rsidRPr="004726FE" w:rsidRDefault="0088533A" w:rsidP="0088533A">
      <w:pPr>
        <w:pBdr>
          <w:top w:val="nil"/>
          <w:left w:val="nil"/>
          <w:bottom w:val="nil"/>
          <w:right w:val="nil"/>
          <w:between w:val="nil"/>
        </w:pBdr>
        <w:spacing w:line="360" w:lineRule="auto"/>
        <w:jc w:val="both"/>
        <w:rPr>
          <w:rFonts w:ascii="Palatino Linotype" w:hAnsi="Palatino Linotype"/>
          <w:sz w:val="22"/>
          <w:szCs w:val="22"/>
        </w:rPr>
      </w:pPr>
    </w:p>
    <w:p w14:paraId="406CCE9C" w14:textId="77777777" w:rsidR="0088533A" w:rsidRPr="004726FE" w:rsidRDefault="0088533A" w:rsidP="00885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93F1B27" w14:textId="77777777" w:rsidR="0088533A" w:rsidRPr="004726FE" w:rsidRDefault="0088533A" w:rsidP="0088533A">
      <w:pPr>
        <w:pBdr>
          <w:top w:val="nil"/>
          <w:left w:val="nil"/>
          <w:bottom w:val="nil"/>
          <w:right w:val="nil"/>
          <w:between w:val="nil"/>
        </w:pBdr>
        <w:spacing w:line="360" w:lineRule="auto"/>
        <w:jc w:val="both"/>
        <w:rPr>
          <w:rFonts w:ascii="Palatino Linotype" w:hAnsi="Palatino Linotype"/>
          <w:sz w:val="22"/>
          <w:szCs w:val="22"/>
        </w:rPr>
      </w:pPr>
    </w:p>
    <w:p w14:paraId="750170E5" w14:textId="77777777" w:rsidR="0088533A" w:rsidRPr="004726FE" w:rsidRDefault="0088533A" w:rsidP="00885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lastRenderedPageBreak/>
        <w:t>Lo anterior es compartido por el entonces Instituto Nacional de Transparencia, Acceso a la Información y Protección de Datos Personales, INAI, a través del Criterio 19/17, el cual es del tenor literal siguiente:</w:t>
      </w:r>
    </w:p>
    <w:p w14:paraId="5354F734" w14:textId="77777777" w:rsidR="0088533A" w:rsidRPr="004726FE" w:rsidRDefault="0088533A" w:rsidP="00885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D9C6306" w14:textId="77777777" w:rsidR="0088533A" w:rsidRPr="004726FE" w:rsidRDefault="0088533A" w:rsidP="0088533A">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t> “Registro Federal de Contribuyentes (RFC) de personas físicas</w:t>
      </w:r>
      <w:r w:rsidRPr="004726FE">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738FD4EA" w14:textId="77777777" w:rsidR="0088533A" w:rsidRPr="004726FE" w:rsidRDefault="0088533A" w:rsidP="0088533A">
      <w:pPr>
        <w:pBdr>
          <w:top w:val="nil"/>
          <w:left w:val="nil"/>
          <w:bottom w:val="nil"/>
          <w:right w:val="nil"/>
          <w:between w:val="nil"/>
        </w:pBdr>
        <w:spacing w:line="360" w:lineRule="auto"/>
        <w:ind w:left="851" w:right="900"/>
        <w:jc w:val="both"/>
        <w:rPr>
          <w:rFonts w:ascii="Palatino Linotype" w:hAnsi="Palatino Linotype"/>
          <w:sz w:val="22"/>
          <w:szCs w:val="22"/>
        </w:rPr>
      </w:pPr>
    </w:p>
    <w:p w14:paraId="6FE7F909" w14:textId="77777777" w:rsidR="0088533A" w:rsidRPr="004726FE" w:rsidRDefault="0088533A" w:rsidP="00885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4726FE">
        <w:rPr>
          <w:rFonts w:ascii="Palatino Linotype" w:eastAsia="Palatino Linotype" w:hAnsi="Palatino Linotype" w:cs="Palatino Linotype"/>
          <w:sz w:val="22"/>
          <w:szCs w:val="22"/>
        </w:rPr>
        <w:t>homoclave</w:t>
      </w:r>
      <w:proofErr w:type="spellEnd"/>
      <w:r w:rsidRPr="004726FE">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149BAFE" w14:textId="77777777" w:rsidR="0088533A" w:rsidRPr="004726FE" w:rsidRDefault="0088533A" w:rsidP="0088533A">
      <w:pPr>
        <w:pBdr>
          <w:top w:val="nil"/>
          <w:left w:val="nil"/>
          <w:bottom w:val="nil"/>
          <w:right w:val="nil"/>
          <w:between w:val="nil"/>
        </w:pBdr>
        <w:spacing w:line="360" w:lineRule="auto"/>
        <w:jc w:val="both"/>
        <w:rPr>
          <w:rFonts w:ascii="Palatino Linotype" w:hAnsi="Palatino Linotype"/>
          <w:sz w:val="22"/>
          <w:szCs w:val="22"/>
        </w:rPr>
      </w:pPr>
    </w:p>
    <w:p w14:paraId="74976B53" w14:textId="77777777" w:rsidR="0088533A" w:rsidRPr="004726FE" w:rsidRDefault="0088533A" w:rsidP="00885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6FFD532C" w14:textId="77777777" w:rsidR="0088533A" w:rsidRPr="004726FE" w:rsidRDefault="0088533A" w:rsidP="0088533A">
      <w:pPr>
        <w:pBdr>
          <w:top w:val="nil"/>
          <w:left w:val="nil"/>
          <w:bottom w:val="nil"/>
          <w:right w:val="nil"/>
          <w:between w:val="nil"/>
        </w:pBdr>
        <w:spacing w:line="360" w:lineRule="auto"/>
        <w:jc w:val="both"/>
        <w:rPr>
          <w:rFonts w:ascii="Palatino Linotype" w:hAnsi="Palatino Linotype"/>
          <w:sz w:val="22"/>
          <w:szCs w:val="22"/>
        </w:rPr>
      </w:pPr>
    </w:p>
    <w:p w14:paraId="646CC148" w14:textId="77777777" w:rsidR="0088533A" w:rsidRPr="004726FE" w:rsidRDefault="0088533A" w:rsidP="00885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Argumento que es compartido por el entonces Instituto Nacional de Transparencia, Acceso a la Información y Protección de Datos Personales, INAI, conforme al criterio 18/17, el cual refiere:</w:t>
      </w:r>
    </w:p>
    <w:p w14:paraId="3B3FE290" w14:textId="77777777" w:rsidR="0088533A" w:rsidRPr="004726FE" w:rsidRDefault="0088533A" w:rsidP="0088533A">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lastRenderedPageBreak/>
        <w:t xml:space="preserve"> “Clave Única de Registro de Población (CURP). </w:t>
      </w:r>
      <w:r w:rsidRPr="004726FE">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CE38E5F" w14:textId="77777777" w:rsidR="0088533A" w:rsidRPr="004726FE" w:rsidRDefault="0088533A" w:rsidP="0088533A">
      <w:pPr>
        <w:pBdr>
          <w:top w:val="nil"/>
          <w:left w:val="nil"/>
          <w:bottom w:val="nil"/>
          <w:right w:val="nil"/>
          <w:between w:val="nil"/>
        </w:pBdr>
        <w:spacing w:line="360" w:lineRule="auto"/>
        <w:ind w:left="851" w:right="851"/>
        <w:jc w:val="both"/>
        <w:rPr>
          <w:rFonts w:ascii="Palatino Linotype" w:hAnsi="Palatino Linotype"/>
          <w:sz w:val="22"/>
          <w:szCs w:val="22"/>
        </w:rPr>
      </w:pPr>
    </w:p>
    <w:p w14:paraId="60D9A71B" w14:textId="77777777" w:rsidR="00EA6B80" w:rsidRPr="004726FE" w:rsidRDefault="00EA6B80" w:rsidP="00EA6B80">
      <w:pPr>
        <w:tabs>
          <w:tab w:val="left" w:pos="6345"/>
        </w:tabs>
        <w:spacing w:line="360" w:lineRule="auto"/>
        <w:jc w:val="both"/>
        <w:rPr>
          <w:rFonts w:ascii="Palatino Linotype" w:hAnsi="Palatino Linotype" w:cs="Tahoma"/>
          <w:bCs/>
          <w:iCs/>
          <w:sz w:val="22"/>
          <w:szCs w:val="22"/>
        </w:rPr>
      </w:pPr>
      <w:r w:rsidRPr="004726FE">
        <w:rPr>
          <w:rFonts w:ascii="Palatino Linotype" w:hAnsi="Palatino Linotype" w:cs="Tahoma"/>
          <w:bCs/>
          <w:iCs/>
          <w:sz w:val="22"/>
          <w:szCs w:val="22"/>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18EC936C" w14:textId="77777777" w:rsidR="00EA6B80" w:rsidRPr="004726FE" w:rsidRDefault="00EA6B80" w:rsidP="00EA6B80">
      <w:pPr>
        <w:tabs>
          <w:tab w:val="left" w:pos="6345"/>
        </w:tabs>
        <w:spacing w:line="360" w:lineRule="auto"/>
        <w:jc w:val="both"/>
        <w:rPr>
          <w:rFonts w:ascii="Palatino Linotype" w:hAnsi="Palatino Linotype" w:cs="Tahoma"/>
          <w:bCs/>
          <w:iCs/>
          <w:sz w:val="22"/>
          <w:szCs w:val="22"/>
        </w:rPr>
      </w:pPr>
    </w:p>
    <w:p w14:paraId="46E05D31" w14:textId="77777777" w:rsidR="00EA6B80" w:rsidRPr="004726FE" w:rsidRDefault="00EA6B80" w:rsidP="00EA6B80">
      <w:pPr>
        <w:tabs>
          <w:tab w:val="left" w:pos="6345"/>
        </w:tabs>
        <w:spacing w:line="360" w:lineRule="auto"/>
        <w:jc w:val="both"/>
        <w:rPr>
          <w:rFonts w:ascii="Palatino Linotype" w:hAnsi="Palatino Linotype" w:cs="Tahoma"/>
          <w:bCs/>
          <w:iCs/>
          <w:sz w:val="22"/>
          <w:szCs w:val="22"/>
        </w:rPr>
      </w:pPr>
      <w:r w:rsidRPr="004726FE">
        <w:rPr>
          <w:rFonts w:ascii="Palatino Linotype" w:hAnsi="Palatino Linotype" w:cs="Tahoma"/>
          <w:bCs/>
          <w:iCs/>
          <w:sz w:val="22"/>
          <w:szCs w:val="22"/>
        </w:rPr>
        <w:t>De manera particular el artículo 156, de la Ley General de Instituciones y Procedimientos Electorales dispone que la credencial para votar deberá contener, cuando menos, los siguientes datos:</w:t>
      </w:r>
    </w:p>
    <w:p w14:paraId="2863FB2B" w14:textId="77777777" w:rsidR="00EA6B80" w:rsidRPr="004726FE" w:rsidRDefault="00EA6B80" w:rsidP="00EA6B80">
      <w:pPr>
        <w:tabs>
          <w:tab w:val="left" w:pos="6345"/>
        </w:tabs>
        <w:spacing w:line="360" w:lineRule="auto"/>
        <w:ind w:left="567" w:right="539"/>
        <w:jc w:val="both"/>
        <w:rPr>
          <w:rFonts w:ascii="Palatino Linotype" w:hAnsi="Palatino Linotype" w:cs="Tahoma"/>
          <w:bCs/>
          <w:iCs/>
          <w:sz w:val="22"/>
          <w:szCs w:val="22"/>
        </w:rPr>
      </w:pPr>
    </w:p>
    <w:p w14:paraId="1EA75659"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t>a) 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w:t>
      </w:r>
    </w:p>
    <w:p w14:paraId="14A850E1"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t>b) Sección electoral en donde deberá votar el ciudadano. En el caso de los ciudadanos residentes en el extranjero no será necesario incluir este requisito;</w:t>
      </w:r>
    </w:p>
    <w:p w14:paraId="1833723A"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t>c) Apellido paterno, apellido materno y nombre completo;</w:t>
      </w:r>
    </w:p>
    <w:p w14:paraId="08B1CE2D"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t>d) Domicilio;</w:t>
      </w:r>
    </w:p>
    <w:p w14:paraId="283F432E"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t>e) Sexo;</w:t>
      </w:r>
    </w:p>
    <w:p w14:paraId="1E010358"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t>f) Edad y año de registro;</w:t>
      </w:r>
    </w:p>
    <w:p w14:paraId="27EA1353"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lastRenderedPageBreak/>
        <w:t>g) Firma, huella digital y fotografía del elector;</w:t>
      </w:r>
    </w:p>
    <w:p w14:paraId="59F40E26"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t>h) Clave de registro, y</w:t>
      </w:r>
    </w:p>
    <w:p w14:paraId="02CFAE16"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t>i) Clave Única del Registro de Población.</w:t>
      </w:r>
    </w:p>
    <w:p w14:paraId="74563324"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t>2. Además tendrá:</w:t>
      </w:r>
    </w:p>
    <w:p w14:paraId="29F4F247"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t>a) Espacios necesarios para marcar año y elección de que se trate;</w:t>
      </w:r>
    </w:p>
    <w:p w14:paraId="34FF647C"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t>b) Firma impresa del Secretario Ejecutivo del Instituto;</w:t>
      </w:r>
    </w:p>
    <w:p w14:paraId="44BEC8F5"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t>c) Año de emisión;</w:t>
      </w:r>
    </w:p>
    <w:p w14:paraId="663025A9"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t>d) Año en el que expira su vigencia, y</w:t>
      </w:r>
    </w:p>
    <w:p w14:paraId="6021A93F"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t>e) En el caso de la que se expida al ciudadano residente en el extranjero, la leyenda</w:t>
      </w:r>
    </w:p>
    <w:p w14:paraId="0666C276" w14:textId="77777777" w:rsidR="00EA6B80" w:rsidRPr="004726FE" w:rsidRDefault="00EA6B80" w:rsidP="00EA6B80">
      <w:pPr>
        <w:tabs>
          <w:tab w:val="left" w:pos="6345"/>
        </w:tabs>
        <w:spacing w:line="360" w:lineRule="auto"/>
        <w:ind w:left="567" w:right="539"/>
        <w:jc w:val="both"/>
        <w:rPr>
          <w:rFonts w:ascii="Palatino Linotype" w:hAnsi="Palatino Linotype" w:cs="Tahoma"/>
          <w:bCs/>
          <w:i/>
          <w:iCs/>
          <w:sz w:val="22"/>
          <w:szCs w:val="22"/>
        </w:rPr>
      </w:pPr>
      <w:r w:rsidRPr="004726FE">
        <w:rPr>
          <w:rFonts w:ascii="Palatino Linotype" w:hAnsi="Palatino Linotype" w:cs="Tahoma"/>
          <w:bCs/>
          <w:i/>
          <w:iCs/>
          <w:sz w:val="22"/>
          <w:szCs w:val="22"/>
        </w:rPr>
        <w:t>“Para Votar desde el Extranjero”.</w:t>
      </w:r>
    </w:p>
    <w:p w14:paraId="2F3EE3E9" w14:textId="77777777" w:rsidR="00EA6B80" w:rsidRPr="004726FE" w:rsidRDefault="00EA6B80" w:rsidP="00EA6B80">
      <w:pPr>
        <w:tabs>
          <w:tab w:val="left" w:pos="6345"/>
        </w:tabs>
        <w:spacing w:line="360" w:lineRule="auto"/>
        <w:jc w:val="both"/>
        <w:rPr>
          <w:rFonts w:ascii="Palatino Linotype" w:hAnsi="Palatino Linotype" w:cs="Tahoma"/>
          <w:bCs/>
          <w:iCs/>
          <w:sz w:val="22"/>
          <w:szCs w:val="22"/>
        </w:rPr>
      </w:pPr>
    </w:p>
    <w:p w14:paraId="1ABA4095" w14:textId="77777777" w:rsidR="00EA6B80" w:rsidRPr="004726FE" w:rsidRDefault="00EA6B80" w:rsidP="00EA6B80">
      <w:pPr>
        <w:tabs>
          <w:tab w:val="left" w:pos="6345"/>
        </w:tabs>
        <w:spacing w:line="360" w:lineRule="auto"/>
        <w:jc w:val="both"/>
        <w:rPr>
          <w:rFonts w:ascii="Palatino Linotype" w:hAnsi="Palatino Linotype" w:cs="Tahoma"/>
          <w:bCs/>
          <w:iCs/>
          <w:sz w:val="22"/>
          <w:szCs w:val="22"/>
        </w:rPr>
      </w:pPr>
      <w:r w:rsidRPr="004726FE">
        <w:rPr>
          <w:rFonts w:ascii="Palatino Linotype" w:hAnsi="Palatino Linotype" w:cs="Tahoma"/>
          <w:bCs/>
          <w:iCs/>
          <w:sz w:val="22"/>
          <w:szCs w:val="22"/>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764C4CEC" w14:textId="77777777" w:rsidR="00EA6B80" w:rsidRPr="004726FE" w:rsidRDefault="00EA6B80" w:rsidP="00EA6B80">
      <w:pPr>
        <w:tabs>
          <w:tab w:val="left" w:pos="6345"/>
        </w:tabs>
        <w:spacing w:line="360" w:lineRule="auto"/>
        <w:jc w:val="both"/>
        <w:rPr>
          <w:rFonts w:ascii="Palatino Linotype" w:hAnsi="Palatino Linotype" w:cs="Tahoma"/>
          <w:bCs/>
          <w:iCs/>
          <w:sz w:val="22"/>
          <w:szCs w:val="22"/>
        </w:rPr>
      </w:pPr>
    </w:p>
    <w:p w14:paraId="682FEDCC" w14:textId="77777777" w:rsidR="00EA6B80" w:rsidRPr="004726FE" w:rsidRDefault="00EA6B80" w:rsidP="00EA6B80">
      <w:pPr>
        <w:tabs>
          <w:tab w:val="left" w:pos="6345"/>
        </w:tabs>
        <w:spacing w:line="360" w:lineRule="auto"/>
        <w:jc w:val="both"/>
        <w:rPr>
          <w:rFonts w:ascii="Palatino Linotype" w:hAnsi="Palatino Linotype" w:cs="Tahoma"/>
          <w:bCs/>
          <w:iCs/>
          <w:sz w:val="22"/>
          <w:szCs w:val="22"/>
        </w:rPr>
      </w:pPr>
      <w:r w:rsidRPr="004726FE">
        <w:rPr>
          <w:rFonts w:ascii="Palatino Linotype" w:hAnsi="Palatino Linotype" w:cs="Tahoma"/>
          <w:bCs/>
          <w:iCs/>
          <w:sz w:val="22"/>
          <w:szCs w:val="22"/>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11C292E3" w14:textId="77777777" w:rsidR="00EA6B80" w:rsidRPr="004726FE" w:rsidRDefault="00EA6B80" w:rsidP="00EA6B80">
      <w:pPr>
        <w:tabs>
          <w:tab w:val="left" w:pos="6345"/>
        </w:tabs>
        <w:spacing w:line="360" w:lineRule="auto"/>
        <w:jc w:val="both"/>
        <w:rPr>
          <w:rFonts w:ascii="Palatino Linotype" w:hAnsi="Palatino Linotype" w:cs="Tahoma"/>
          <w:bCs/>
          <w:iCs/>
          <w:sz w:val="22"/>
          <w:szCs w:val="22"/>
        </w:rPr>
      </w:pPr>
    </w:p>
    <w:p w14:paraId="7089D7E4" w14:textId="77777777" w:rsidR="00EA6B80" w:rsidRPr="004726FE" w:rsidRDefault="00EA6B80" w:rsidP="00EA6B80">
      <w:pPr>
        <w:tabs>
          <w:tab w:val="left" w:pos="6345"/>
        </w:tabs>
        <w:spacing w:line="360" w:lineRule="auto"/>
        <w:jc w:val="both"/>
        <w:rPr>
          <w:rFonts w:ascii="Palatino Linotype" w:hAnsi="Palatino Linotype" w:cs="Tahoma"/>
          <w:bCs/>
          <w:iCs/>
          <w:sz w:val="22"/>
          <w:szCs w:val="22"/>
        </w:rPr>
      </w:pPr>
      <w:r w:rsidRPr="004726FE">
        <w:rPr>
          <w:rFonts w:ascii="Palatino Linotype" w:hAnsi="Palatino Linotype" w:cs="Tahoma"/>
          <w:bCs/>
          <w:iCs/>
          <w:sz w:val="22"/>
          <w:szCs w:val="22"/>
        </w:rPr>
        <w:lastRenderedPageBreak/>
        <w:t>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732C4654" w14:textId="77777777" w:rsidR="00C0251E" w:rsidRPr="004726FE" w:rsidRDefault="00C0251E" w:rsidP="00EA6B80">
      <w:pPr>
        <w:tabs>
          <w:tab w:val="left" w:pos="6345"/>
        </w:tabs>
        <w:spacing w:line="360" w:lineRule="auto"/>
        <w:jc w:val="both"/>
        <w:rPr>
          <w:rFonts w:ascii="Palatino Linotype" w:hAnsi="Palatino Linotype" w:cs="Tahoma"/>
          <w:bCs/>
          <w:iCs/>
          <w:sz w:val="22"/>
          <w:szCs w:val="22"/>
        </w:rPr>
      </w:pPr>
    </w:p>
    <w:p w14:paraId="0492F224" w14:textId="77777777" w:rsidR="00EA6B80" w:rsidRPr="004726FE" w:rsidRDefault="00EA6B80" w:rsidP="00EA6B80">
      <w:pPr>
        <w:spacing w:line="360" w:lineRule="auto"/>
        <w:jc w:val="both"/>
        <w:rPr>
          <w:rFonts w:ascii="Palatino Linotype" w:hAnsi="Palatino Linotype" w:cs="Tahoma"/>
          <w:bCs/>
          <w:iCs/>
          <w:sz w:val="22"/>
          <w:szCs w:val="22"/>
        </w:rPr>
      </w:pPr>
      <w:r w:rsidRPr="004726FE">
        <w:rPr>
          <w:rFonts w:ascii="Palatino Linotype" w:hAnsi="Palatino Linotype" w:cs="Tahoma"/>
          <w:bCs/>
          <w:iCs/>
          <w:sz w:val="22"/>
          <w:szCs w:val="22"/>
        </w:rPr>
        <w:t xml:space="preserve">Asimismo, respecto a esto, es importante mencionar que a través del informe justificado, el Sujeto Obligado dejó a la vista la fecha de nacimiento del Particular, un dato que como se señaló, debe ser clasificado como confidencial, y que en este caso, al estar inmerso en la credencial de elector, como se señaló esta documental deberá clasificarse en su totalidad. </w:t>
      </w:r>
    </w:p>
    <w:p w14:paraId="145FF8AB" w14:textId="77777777" w:rsidR="00EA6B80" w:rsidRPr="004726FE" w:rsidRDefault="00EA6B80" w:rsidP="00EA6B80">
      <w:pPr>
        <w:pStyle w:val="Prrafodelista"/>
        <w:tabs>
          <w:tab w:val="left" w:pos="851"/>
        </w:tabs>
        <w:spacing w:before="240" w:after="240" w:line="360" w:lineRule="auto"/>
        <w:ind w:left="0" w:right="49"/>
        <w:jc w:val="both"/>
        <w:rPr>
          <w:rFonts w:ascii="Palatino Linotype" w:hAnsi="Palatino Linotype"/>
          <w:sz w:val="22"/>
          <w:szCs w:val="22"/>
          <w:lang w:val="es-ES"/>
        </w:rPr>
      </w:pPr>
      <w:r w:rsidRPr="004726FE">
        <w:rPr>
          <w:rFonts w:ascii="Palatino Linotype" w:hAnsi="Palatino Linotype"/>
          <w:sz w:val="22"/>
          <w:szCs w:val="22"/>
          <w:lang w:val="es-ES"/>
        </w:rPr>
        <w:t xml:space="preserve">Sobre este documento, el Instituto Nacional Electoral lo conceptualiza como una </w:t>
      </w:r>
      <w:r w:rsidRPr="004726FE">
        <w:rPr>
          <w:rFonts w:ascii="Palatino Linotype" w:hAnsi="Palatino Linotype"/>
          <w:i/>
          <w:sz w:val="22"/>
          <w:szCs w:val="22"/>
          <w:lang w:val="es-ES"/>
        </w:rPr>
        <w:t xml:space="preserve">identificación oficial que avala la ciudadanía mexicana, la emplean millones de personas para ejercer su derecho al voto en México y en el extranjero </w:t>
      </w:r>
      <w:r w:rsidRPr="004726FE">
        <w:rPr>
          <w:rFonts w:ascii="Palatino Linotype" w:hAnsi="Palatino Linotype"/>
          <w:sz w:val="22"/>
          <w:szCs w:val="22"/>
          <w:lang w:val="es-ES"/>
        </w:rPr>
        <w:t>El documento cuenta con diversos datos y medidas de seguridad, siendo los siguientes:</w:t>
      </w:r>
    </w:p>
    <w:p w14:paraId="08BCCACD" w14:textId="77777777" w:rsidR="00EA6B80" w:rsidRPr="004726FE" w:rsidRDefault="00EA6B80" w:rsidP="00DB1A95">
      <w:pPr>
        <w:pStyle w:val="Prrafodelista"/>
        <w:tabs>
          <w:tab w:val="left" w:pos="851"/>
        </w:tabs>
        <w:spacing w:before="240" w:after="240" w:line="360" w:lineRule="auto"/>
        <w:ind w:left="0" w:right="49"/>
        <w:jc w:val="center"/>
        <w:rPr>
          <w:rFonts w:ascii="Palatino Linotype" w:hAnsi="Palatino Linotype"/>
          <w:sz w:val="22"/>
          <w:szCs w:val="22"/>
          <w:lang w:val="es-ES"/>
        </w:rPr>
      </w:pPr>
      <w:r w:rsidRPr="004726FE">
        <w:rPr>
          <w:rFonts w:ascii="Palatino Linotype" w:hAnsi="Palatino Linotype"/>
          <w:noProof/>
          <w:sz w:val="22"/>
          <w:szCs w:val="22"/>
        </w:rPr>
        <w:drawing>
          <wp:inline distT="0" distB="0" distL="0" distR="0" wp14:anchorId="418D6179" wp14:editId="312D4BE5">
            <wp:extent cx="4585444" cy="235267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148" t="17312" r="13751" b="17838"/>
                    <a:stretch/>
                  </pic:blipFill>
                  <pic:spPr bwMode="auto">
                    <a:xfrm>
                      <a:off x="0" y="0"/>
                      <a:ext cx="4634579" cy="2377885"/>
                    </a:xfrm>
                    <a:prstGeom prst="rect">
                      <a:avLst/>
                    </a:prstGeom>
                    <a:ln>
                      <a:noFill/>
                    </a:ln>
                    <a:extLst>
                      <a:ext uri="{53640926-AAD7-44D8-BBD7-CCE9431645EC}">
                        <a14:shadowObscured xmlns:a14="http://schemas.microsoft.com/office/drawing/2010/main"/>
                      </a:ext>
                    </a:extLst>
                  </pic:spPr>
                </pic:pic>
              </a:graphicData>
            </a:graphic>
          </wp:inline>
        </w:drawing>
      </w:r>
    </w:p>
    <w:p w14:paraId="4DBCDD9C" w14:textId="77777777" w:rsidR="00EA6B80" w:rsidRPr="004726FE" w:rsidRDefault="00EA6B80" w:rsidP="00DB1A95">
      <w:pPr>
        <w:pStyle w:val="Prrafodelista"/>
        <w:tabs>
          <w:tab w:val="left" w:pos="851"/>
        </w:tabs>
        <w:spacing w:before="240" w:after="240" w:line="360" w:lineRule="auto"/>
        <w:ind w:left="0" w:right="49"/>
        <w:jc w:val="center"/>
        <w:rPr>
          <w:rFonts w:ascii="Palatino Linotype" w:hAnsi="Palatino Linotype"/>
          <w:sz w:val="22"/>
          <w:szCs w:val="22"/>
          <w:lang w:val="es-ES"/>
        </w:rPr>
      </w:pPr>
      <w:r w:rsidRPr="004726FE">
        <w:rPr>
          <w:rFonts w:ascii="Palatino Linotype" w:hAnsi="Palatino Linotype"/>
          <w:noProof/>
          <w:sz w:val="22"/>
          <w:szCs w:val="22"/>
        </w:rPr>
        <w:lastRenderedPageBreak/>
        <w:drawing>
          <wp:inline distT="0" distB="0" distL="0" distR="0" wp14:anchorId="460A9EC1" wp14:editId="449C6619">
            <wp:extent cx="4779563" cy="20193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767" t="18763" r="14662" b="26733"/>
                    <a:stretch/>
                  </pic:blipFill>
                  <pic:spPr bwMode="auto">
                    <a:xfrm>
                      <a:off x="0" y="0"/>
                      <a:ext cx="4817405" cy="2035288"/>
                    </a:xfrm>
                    <a:prstGeom prst="rect">
                      <a:avLst/>
                    </a:prstGeom>
                    <a:ln>
                      <a:noFill/>
                    </a:ln>
                    <a:extLst>
                      <a:ext uri="{53640926-AAD7-44D8-BBD7-CCE9431645EC}">
                        <a14:shadowObscured xmlns:a14="http://schemas.microsoft.com/office/drawing/2010/main"/>
                      </a:ext>
                    </a:extLst>
                  </pic:spPr>
                </pic:pic>
              </a:graphicData>
            </a:graphic>
          </wp:inline>
        </w:drawing>
      </w:r>
    </w:p>
    <w:p w14:paraId="618E79EB" w14:textId="77777777" w:rsidR="00EA6B80" w:rsidRPr="004726FE" w:rsidRDefault="00EA6B80" w:rsidP="00EA6B80">
      <w:pPr>
        <w:pStyle w:val="Prrafodelista"/>
        <w:tabs>
          <w:tab w:val="left" w:pos="851"/>
        </w:tabs>
        <w:spacing w:before="240" w:after="240" w:line="360" w:lineRule="auto"/>
        <w:ind w:left="0" w:right="49"/>
        <w:jc w:val="both"/>
        <w:rPr>
          <w:rFonts w:ascii="Palatino Linotype" w:hAnsi="Palatino Linotype"/>
          <w:sz w:val="22"/>
          <w:szCs w:val="22"/>
          <w:lang w:val="es-ES"/>
        </w:rPr>
      </w:pPr>
    </w:p>
    <w:p w14:paraId="31E81AD1" w14:textId="77777777" w:rsidR="00EA6B80" w:rsidRPr="004726FE" w:rsidRDefault="00EA6B80" w:rsidP="00EA6B80">
      <w:pPr>
        <w:pStyle w:val="Prrafodelista"/>
        <w:spacing w:line="360" w:lineRule="auto"/>
        <w:ind w:left="0"/>
        <w:jc w:val="both"/>
        <w:rPr>
          <w:rFonts w:ascii="Palatino Linotype" w:hAnsi="Palatino Linotype"/>
          <w:sz w:val="22"/>
          <w:szCs w:val="22"/>
          <w:lang w:val="es-ES"/>
        </w:rPr>
      </w:pPr>
      <w:r w:rsidRPr="004726FE">
        <w:rPr>
          <w:rFonts w:ascii="Palatino Linotype" w:hAnsi="Palatino Linotype"/>
          <w:sz w:val="22"/>
          <w:szCs w:val="22"/>
          <w:lang w:val="es-ES"/>
        </w:rPr>
        <w:t>Entre los datos que se destacan se encuentra el nombre, domicilio, edad, sexo, folio de nacionalidad, clave de elector, CURP y huella dactilar datos que son meramente personales y su divulgación trae consigo demás información que pudiera vulnerar la esfera más íntima de su titular si fuera difundida. Además, como se ha señalado, su uso es principalmente como documento oficial de identificación y para el ejercicio del derecho a votar. En consecuencia, al igual que los documentos anteriores, deberá ser clasificado en su totalidad como confidencial, por lo que el Sujeto Obligado deberá elaborar el acuerdo de clasificación correspondiente, de acuerdo al siguiente apartado.</w:t>
      </w:r>
    </w:p>
    <w:p w14:paraId="305993BA" w14:textId="77777777" w:rsidR="008B51C0" w:rsidRPr="004726FE" w:rsidRDefault="008B51C0" w:rsidP="0088533A">
      <w:pPr>
        <w:spacing w:line="360" w:lineRule="auto"/>
        <w:jc w:val="both"/>
        <w:rPr>
          <w:rFonts w:ascii="Palatino Linotype" w:eastAsia="Palatino Linotype" w:hAnsi="Palatino Linotype" w:cs="Palatino Linotype"/>
          <w:sz w:val="22"/>
          <w:szCs w:val="22"/>
        </w:rPr>
      </w:pPr>
    </w:p>
    <w:p w14:paraId="77850B34" w14:textId="77777777" w:rsidR="0088533A" w:rsidRPr="004726FE" w:rsidRDefault="0088533A" w:rsidP="0088533A">
      <w:pPr>
        <w:spacing w:line="360" w:lineRule="auto"/>
        <w:ind w:right="50"/>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r w:rsidR="00EA6B80" w:rsidRPr="004726FE">
        <w:rPr>
          <w:rFonts w:ascii="Palatino Linotype" w:eastAsia="Palatino Linotype" w:hAnsi="Palatino Linotype" w:cs="Palatino Linotype"/>
          <w:sz w:val="22"/>
          <w:szCs w:val="22"/>
        </w:rPr>
        <w:t xml:space="preserve"> </w:t>
      </w:r>
    </w:p>
    <w:p w14:paraId="460BB26A" w14:textId="77777777" w:rsidR="0088533A" w:rsidRPr="004726FE" w:rsidRDefault="0088533A" w:rsidP="0088533A">
      <w:pPr>
        <w:spacing w:line="360" w:lineRule="auto"/>
        <w:ind w:right="50"/>
        <w:jc w:val="both"/>
        <w:rPr>
          <w:rFonts w:ascii="Palatino Linotype" w:eastAsia="Palatino Linotype" w:hAnsi="Palatino Linotype" w:cs="Palatino Linotype"/>
          <w:sz w:val="22"/>
          <w:szCs w:val="22"/>
        </w:rPr>
      </w:pPr>
    </w:p>
    <w:p w14:paraId="49C87555"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w:t>
      </w:r>
      <w:r w:rsidRPr="004726FE">
        <w:rPr>
          <w:rFonts w:ascii="Palatino Linotype" w:eastAsia="Palatino Linotype" w:hAnsi="Palatino Linotype" w:cs="Palatino Linotype"/>
          <w:b/>
          <w:i/>
          <w:sz w:val="22"/>
          <w:szCs w:val="22"/>
        </w:rPr>
        <w:t>Artículo 3.</w:t>
      </w:r>
      <w:r w:rsidRPr="004726FE">
        <w:rPr>
          <w:rFonts w:ascii="Palatino Linotype" w:eastAsia="Palatino Linotype" w:hAnsi="Palatino Linotype" w:cs="Palatino Linotype"/>
          <w:i/>
          <w:sz w:val="22"/>
          <w:szCs w:val="22"/>
        </w:rPr>
        <w:t xml:space="preserve"> Para los efectos de la presente Ley se entenderá por:</w:t>
      </w:r>
    </w:p>
    <w:p w14:paraId="2A4A1C24"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w:t>
      </w:r>
    </w:p>
    <w:p w14:paraId="782657E2"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72066BE4"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lastRenderedPageBreak/>
        <w:t>XX. Información clasificada: Aquella considerada por la presente Ley como reservada o confidencial;</w:t>
      </w:r>
    </w:p>
    <w:p w14:paraId="7B65EE27"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06E56C4"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740355C5"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w:t>
      </w:r>
    </w:p>
    <w:p w14:paraId="3EFE6C17"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t>Artículo 91.</w:t>
      </w:r>
      <w:r w:rsidRPr="004726F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1857C35"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t>Artículo 132.</w:t>
      </w:r>
      <w:r w:rsidRPr="004726FE">
        <w:rPr>
          <w:rFonts w:ascii="Palatino Linotype" w:eastAsia="Palatino Linotype" w:hAnsi="Palatino Linotype" w:cs="Palatino Linotype"/>
          <w:i/>
          <w:sz w:val="22"/>
          <w:szCs w:val="22"/>
        </w:rPr>
        <w:t xml:space="preserve"> La clasificación de la información se llevará a cabo en el momento en que:</w:t>
      </w:r>
    </w:p>
    <w:p w14:paraId="38FACC87" w14:textId="77777777" w:rsidR="0088533A" w:rsidRPr="004726FE" w:rsidRDefault="0088533A" w:rsidP="00DB1A95">
      <w:pPr>
        <w:tabs>
          <w:tab w:val="left" w:pos="1134"/>
        </w:tabs>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I. Se reciba una solicitud de acceso a la información;</w:t>
      </w:r>
    </w:p>
    <w:p w14:paraId="088537A1" w14:textId="77777777" w:rsidR="0088533A" w:rsidRPr="004726FE" w:rsidRDefault="0088533A" w:rsidP="00DB1A95">
      <w:pPr>
        <w:tabs>
          <w:tab w:val="left" w:pos="1134"/>
        </w:tabs>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II. Se determine mediante resolución de autoridad competente; o</w:t>
      </w:r>
    </w:p>
    <w:p w14:paraId="79B3D422" w14:textId="77777777" w:rsidR="0088533A" w:rsidRPr="004726FE" w:rsidRDefault="0088533A" w:rsidP="00DB1A95">
      <w:pPr>
        <w:tabs>
          <w:tab w:val="left" w:pos="1134"/>
        </w:tabs>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2DE027C"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w:t>
      </w:r>
    </w:p>
    <w:p w14:paraId="1A11F257"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t>Artículo 143</w:t>
      </w:r>
      <w:r w:rsidRPr="004726F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D8ABC4A"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0E6634B5"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200C4B9"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72878CD3"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5326D85"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AA06342" w14:textId="77777777" w:rsidR="0088533A" w:rsidRPr="004726FE" w:rsidRDefault="0088533A" w:rsidP="0088533A">
      <w:pPr>
        <w:ind w:left="567" w:right="616"/>
        <w:jc w:val="both"/>
        <w:rPr>
          <w:rFonts w:ascii="Palatino Linotype" w:eastAsia="Palatino Linotype" w:hAnsi="Palatino Linotype" w:cs="Palatino Linotype"/>
          <w:i/>
          <w:sz w:val="22"/>
          <w:szCs w:val="22"/>
        </w:rPr>
      </w:pPr>
    </w:p>
    <w:p w14:paraId="460C8995" w14:textId="77777777" w:rsidR="0088533A" w:rsidRPr="004726FE" w:rsidRDefault="0088533A" w:rsidP="0088533A">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w:t>
      </w:r>
      <w:r w:rsidRPr="004726FE">
        <w:rPr>
          <w:rFonts w:ascii="Palatino Linotype" w:eastAsia="Palatino Linotype" w:hAnsi="Palatino Linotype" w:cs="Palatino Linotype"/>
          <w:sz w:val="22"/>
          <w:szCs w:val="22"/>
        </w:rPr>
        <w:lastRenderedPageBreak/>
        <w:t>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A06F237" w14:textId="77777777" w:rsidR="0088533A" w:rsidRPr="004726FE" w:rsidRDefault="0088533A" w:rsidP="0088533A">
      <w:pPr>
        <w:jc w:val="both"/>
        <w:rPr>
          <w:rFonts w:ascii="Palatino Linotype" w:eastAsia="Palatino Linotype" w:hAnsi="Palatino Linotype" w:cs="Palatino Linotype"/>
          <w:sz w:val="22"/>
          <w:szCs w:val="22"/>
        </w:rPr>
      </w:pPr>
    </w:p>
    <w:p w14:paraId="27872710" w14:textId="77777777" w:rsidR="0088533A" w:rsidRPr="004726FE" w:rsidRDefault="0088533A" w:rsidP="0088533A">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06F246B1" w14:textId="77777777" w:rsidR="0088533A" w:rsidRPr="004726FE" w:rsidRDefault="0088533A" w:rsidP="0088533A">
      <w:pPr>
        <w:spacing w:line="360" w:lineRule="auto"/>
        <w:jc w:val="both"/>
        <w:rPr>
          <w:rFonts w:ascii="Palatino Linotype" w:eastAsia="Palatino Linotype" w:hAnsi="Palatino Linotype" w:cs="Palatino Linotype"/>
          <w:sz w:val="22"/>
          <w:szCs w:val="22"/>
        </w:rPr>
      </w:pPr>
    </w:p>
    <w:p w14:paraId="178E986B" w14:textId="77777777" w:rsidR="0088533A" w:rsidRPr="004726FE" w:rsidRDefault="0088533A" w:rsidP="0088533A">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 “</w:t>
      </w:r>
      <w:r w:rsidRPr="004726FE">
        <w:rPr>
          <w:rFonts w:ascii="Palatino Linotype" w:eastAsia="Palatino Linotype" w:hAnsi="Palatino Linotype" w:cs="Palatino Linotype"/>
          <w:b/>
          <w:i/>
          <w:sz w:val="22"/>
          <w:szCs w:val="22"/>
        </w:rPr>
        <w:t>Quincuagésimo</w:t>
      </w:r>
      <w:r w:rsidRPr="004726FE">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47A097A" w14:textId="77777777" w:rsidR="0088533A" w:rsidRPr="004726FE"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t>Quincuagésimo primero.</w:t>
      </w:r>
      <w:r w:rsidRPr="004726FE">
        <w:rPr>
          <w:rFonts w:ascii="Palatino Linotype" w:eastAsia="Palatino Linotype" w:hAnsi="Palatino Linotype" w:cs="Palatino Linotype"/>
          <w:i/>
          <w:sz w:val="22"/>
          <w:szCs w:val="22"/>
        </w:rPr>
        <w:t xml:space="preserve"> Toda acta del Comité de Transparencia deberá contener: </w:t>
      </w:r>
    </w:p>
    <w:p w14:paraId="68CA6788" w14:textId="77777777" w:rsidR="0088533A" w:rsidRPr="004726FE"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I. El número de sesión y fecha; </w:t>
      </w:r>
    </w:p>
    <w:p w14:paraId="37F2C0EC" w14:textId="77777777" w:rsidR="0088533A" w:rsidRPr="004726FE"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II. El nombre del área que solicitó la clasificación de información; </w:t>
      </w:r>
    </w:p>
    <w:p w14:paraId="76DFE284" w14:textId="77777777" w:rsidR="0088533A" w:rsidRPr="004726FE"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III. La fundamentación legal y motivación correspondiente; </w:t>
      </w:r>
    </w:p>
    <w:p w14:paraId="0601D86B" w14:textId="77777777" w:rsidR="0088533A" w:rsidRPr="004726FE"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IV. La resolución o resoluciones aprobadas; y </w:t>
      </w:r>
    </w:p>
    <w:p w14:paraId="0FD83B18" w14:textId="77777777" w:rsidR="0088533A" w:rsidRPr="004726FE"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V. La rúbrica o firma digital de cada integrante del Comité de Transparencia. </w:t>
      </w:r>
    </w:p>
    <w:p w14:paraId="755FC05D" w14:textId="77777777" w:rsidR="0088533A" w:rsidRPr="004726FE"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756395E9" w14:textId="77777777" w:rsidR="0088533A" w:rsidRPr="004726FE"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I. Los motivos y razonamientos que sustenten la confirmación o modificación de la prueba de daño;</w:t>
      </w:r>
    </w:p>
    <w:p w14:paraId="087AFBAB" w14:textId="77777777" w:rsidR="0088533A" w:rsidRPr="004726FE"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II. Descripción de las partes o secciones reservadas, en caso de clasificación parcial; </w:t>
      </w:r>
    </w:p>
    <w:p w14:paraId="71157183" w14:textId="77777777" w:rsidR="0088533A" w:rsidRPr="004726FE"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III. El periodo por el que mantendrá su clasificación y fecha de expiración; y </w:t>
      </w:r>
    </w:p>
    <w:p w14:paraId="5EB096BD" w14:textId="77777777" w:rsidR="0088533A" w:rsidRPr="004726FE"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3793BD15" w14:textId="77777777" w:rsidR="0088533A" w:rsidRPr="004726FE"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9C9A21A" w14:textId="77777777" w:rsidR="0088533A" w:rsidRPr="004726FE"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75C8043" w14:textId="77777777" w:rsidR="0088533A" w:rsidRPr="004726FE" w:rsidRDefault="0088533A" w:rsidP="0088533A">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lastRenderedPageBreak/>
        <w:t>Quincuagésimo segundo.</w:t>
      </w:r>
      <w:r w:rsidRPr="004726FE">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2B14264" w14:textId="77777777" w:rsidR="0088533A" w:rsidRPr="004726FE" w:rsidRDefault="0088533A" w:rsidP="0088533A">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654CA4B5" w14:textId="77777777" w:rsidR="0088533A" w:rsidRPr="004726FE" w:rsidRDefault="0088533A" w:rsidP="0088533A">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48579E4E" w14:textId="77777777" w:rsidR="0088533A" w:rsidRPr="004726FE" w:rsidRDefault="0088533A" w:rsidP="0088533A">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460EC0D" w14:textId="77777777" w:rsidR="0088533A" w:rsidRPr="004726FE" w:rsidRDefault="0088533A" w:rsidP="0088533A">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III. Señalar las personas o instancias autorizadas a acceder a la información clasificada.</w:t>
      </w:r>
    </w:p>
    <w:p w14:paraId="754CA721" w14:textId="77777777" w:rsidR="0088533A" w:rsidRPr="004726FE" w:rsidRDefault="0088533A" w:rsidP="0088533A">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8B49939" w14:textId="77777777" w:rsidR="0088533A" w:rsidRPr="004726FE" w:rsidRDefault="0088533A" w:rsidP="0088533A">
      <w:pPr>
        <w:spacing w:line="360" w:lineRule="auto"/>
        <w:jc w:val="both"/>
        <w:rPr>
          <w:rFonts w:ascii="Palatino Linotype" w:eastAsia="Palatino Linotype" w:hAnsi="Palatino Linotype" w:cs="Palatino Linotype"/>
          <w:sz w:val="22"/>
          <w:szCs w:val="22"/>
        </w:rPr>
      </w:pPr>
    </w:p>
    <w:p w14:paraId="6366D97A" w14:textId="77777777" w:rsidR="0088533A" w:rsidRPr="004726FE" w:rsidRDefault="0088533A" w:rsidP="0088533A">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vigentes a la fecha de la solicitud de información establecen lo siguiente:</w:t>
      </w:r>
    </w:p>
    <w:p w14:paraId="7BB1F8E1" w14:textId="77777777" w:rsidR="0088533A" w:rsidRPr="004726FE" w:rsidRDefault="0088533A" w:rsidP="0088533A">
      <w:pPr>
        <w:spacing w:line="360" w:lineRule="auto"/>
        <w:jc w:val="both"/>
        <w:rPr>
          <w:rFonts w:ascii="Palatino Linotype" w:eastAsia="Palatino Linotype" w:hAnsi="Palatino Linotype" w:cs="Palatino Linotype"/>
          <w:sz w:val="22"/>
          <w:szCs w:val="22"/>
        </w:rPr>
      </w:pPr>
    </w:p>
    <w:p w14:paraId="75A5CE97" w14:textId="77777777" w:rsidR="0088533A" w:rsidRPr="004726FE"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w:t>
      </w:r>
      <w:r w:rsidRPr="004726FE">
        <w:rPr>
          <w:rFonts w:ascii="Palatino Linotype" w:eastAsia="Palatino Linotype" w:hAnsi="Palatino Linotype" w:cs="Palatino Linotype"/>
          <w:b/>
          <w:i/>
          <w:sz w:val="22"/>
          <w:szCs w:val="22"/>
        </w:rPr>
        <w:t>Quincuagésimo cuarto.</w:t>
      </w:r>
      <w:r w:rsidRPr="004726FE">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74F3649F" w14:textId="77777777" w:rsidR="0088533A" w:rsidRPr="004726FE" w:rsidRDefault="0088533A" w:rsidP="0088533A">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t>Quincuagésimo quinto.</w:t>
      </w:r>
      <w:r w:rsidRPr="004726FE">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4726FE">
        <w:rPr>
          <w:rFonts w:ascii="Palatino Linotype" w:eastAsia="Palatino Linotype" w:hAnsi="Palatino Linotype" w:cs="Palatino Linotype"/>
          <w:i/>
          <w:sz w:val="22"/>
          <w:szCs w:val="22"/>
        </w:rPr>
        <w:t>testado</w:t>
      </w:r>
      <w:proofErr w:type="spellEnd"/>
      <w:r w:rsidRPr="004726FE">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8682C03" w14:textId="77777777" w:rsidR="0088533A" w:rsidRPr="004726FE" w:rsidRDefault="0088533A" w:rsidP="0088533A">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w:t>
      </w:r>
    </w:p>
    <w:p w14:paraId="0F6D397F"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b/>
          <w:i/>
          <w:sz w:val="22"/>
          <w:szCs w:val="22"/>
        </w:rPr>
        <w:t>Quincuagésimo séptimo.</w:t>
      </w:r>
      <w:r w:rsidRPr="004726FE">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C437EC6"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74635043"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lastRenderedPageBreak/>
        <w:t>II. El nombre de los integrantes de los sujetos obligados en los documentos, y sus firmas autógrafas o digitales, cuando sean utilizados en el ejercicio de las facultades conferidas para el desempeño del servicio público, y</w:t>
      </w:r>
    </w:p>
    <w:p w14:paraId="210B0E8E"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03A2CEF"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2DAB461" w14:textId="77777777" w:rsidR="0088533A" w:rsidRPr="004726FE" w:rsidRDefault="0088533A" w:rsidP="00DB1A95">
      <w:pPr>
        <w:ind w:left="567" w:right="616"/>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6B46A1C3" w14:textId="77777777" w:rsidR="0088533A" w:rsidRPr="004726FE" w:rsidRDefault="0088533A" w:rsidP="0088533A">
      <w:pPr>
        <w:spacing w:line="360" w:lineRule="auto"/>
        <w:ind w:left="567" w:right="616"/>
        <w:jc w:val="both"/>
        <w:rPr>
          <w:rFonts w:ascii="Palatino Linotype" w:eastAsia="Palatino Linotype" w:hAnsi="Palatino Linotype" w:cs="Palatino Linotype"/>
          <w:i/>
          <w:sz w:val="22"/>
          <w:szCs w:val="22"/>
        </w:rPr>
      </w:pPr>
    </w:p>
    <w:p w14:paraId="0FB89C58" w14:textId="77777777" w:rsidR="0088533A" w:rsidRPr="004726FE" w:rsidRDefault="0088533A" w:rsidP="0088533A">
      <w:pPr>
        <w:spacing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3852A207" w14:textId="77777777" w:rsidR="00422AF6" w:rsidRPr="004726FE" w:rsidRDefault="0067296C">
      <w:pPr>
        <w:spacing w:before="240" w:after="240"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Por lo anteriormente expuesto y con fundamento en lo prescrito en los artículos 5 párrafos trigésimo noveno, cuadragésimo y cuadragésimo primero de la Constitución Política del Estado Libre y Soberano de México; 2, fracción II; 29, 36 fracciones I y II; 176, 178, 181, 185 y 186 fracción III de la Ley de Transparencia y Acceso a la Información Pública del Estado de México y Municipios, este Pleno:</w:t>
      </w:r>
    </w:p>
    <w:p w14:paraId="31C54F0F" w14:textId="77777777" w:rsidR="00DB1A95" w:rsidRPr="004726FE" w:rsidRDefault="00DB1A95">
      <w:pPr>
        <w:spacing w:before="240" w:after="240" w:line="360" w:lineRule="auto"/>
        <w:jc w:val="both"/>
        <w:rPr>
          <w:rFonts w:ascii="Palatino Linotype" w:eastAsia="Palatino Linotype" w:hAnsi="Palatino Linotype" w:cs="Palatino Linotype"/>
          <w:sz w:val="22"/>
          <w:szCs w:val="22"/>
        </w:rPr>
      </w:pPr>
    </w:p>
    <w:p w14:paraId="7976B522" w14:textId="77777777" w:rsidR="00DB1A95" w:rsidRPr="004726FE" w:rsidRDefault="00DB1A95">
      <w:pPr>
        <w:spacing w:before="240" w:after="240" w:line="360" w:lineRule="auto"/>
        <w:jc w:val="both"/>
        <w:rPr>
          <w:rFonts w:ascii="Palatino Linotype" w:eastAsia="Palatino Linotype" w:hAnsi="Palatino Linotype" w:cs="Palatino Linotype"/>
          <w:sz w:val="22"/>
          <w:szCs w:val="22"/>
        </w:rPr>
      </w:pPr>
    </w:p>
    <w:p w14:paraId="551EBA03" w14:textId="77777777" w:rsidR="00422AF6" w:rsidRPr="004726FE" w:rsidRDefault="0067296C">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4726FE">
        <w:rPr>
          <w:rFonts w:ascii="Palatino Linotype" w:eastAsia="Palatino Linotype" w:hAnsi="Palatino Linotype" w:cs="Palatino Linotype"/>
          <w:b/>
          <w:sz w:val="22"/>
          <w:szCs w:val="22"/>
        </w:rPr>
        <w:lastRenderedPageBreak/>
        <w:t>R E S U E L V E:</w:t>
      </w:r>
    </w:p>
    <w:p w14:paraId="16D2EC45" w14:textId="77777777" w:rsidR="00422AF6" w:rsidRPr="004726FE" w:rsidRDefault="0067296C">
      <w:pPr>
        <w:spacing w:before="240" w:after="240" w:line="360" w:lineRule="auto"/>
        <w:jc w:val="both"/>
        <w:rPr>
          <w:rFonts w:ascii="Palatino Linotype" w:eastAsia="Palatino Linotype" w:hAnsi="Palatino Linotype" w:cs="Palatino Linotype"/>
          <w:b/>
          <w:sz w:val="22"/>
          <w:szCs w:val="22"/>
        </w:rPr>
      </w:pPr>
      <w:r w:rsidRPr="004726FE">
        <w:rPr>
          <w:rFonts w:ascii="Palatino Linotype" w:eastAsia="Palatino Linotype" w:hAnsi="Palatino Linotype" w:cs="Palatino Linotype"/>
          <w:b/>
          <w:sz w:val="22"/>
          <w:szCs w:val="22"/>
        </w:rPr>
        <w:t xml:space="preserve">Primero. </w:t>
      </w:r>
      <w:r w:rsidRPr="004726FE">
        <w:rPr>
          <w:rFonts w:ascii="Palatino Linotype" w:eastAsia="Palatino Linotype" w:hAnsi="Palatino Linotype" w:cs="Palatino Linotype"/>
          <w:sz w:val="22"/>
          <w:szCs w:val="22"/>
        </w:rPr>
        <w:t>Resultan</w:t>
      </w:r>
      <w:r w:rsidRPr="004726FE">
        <w:rPr>
          <w:rFonts w:ascii="Palatino Linotype" w:eastAsia="Palatino Linotype" w:hAnsi="Palatino Linotype" w:cs="Palatino Linotype"/>
          <w:b/>
          <w:sz w:val="22"/>
          <w:szCs w:val="22"/>
        </w:rPr>
        <w:t xml:space="preserve"> </w:t>
      </w:r>
      <w:r w:rsidR="00E3722B" w:rsidRPr="004726FE">
        <w:rPr>
          <w:rFonts w:ascii="Palatino Linotype" w:eastAsia="Palatino Linotype" w:hAnsi="Palatino Linotype" w:cs="Palatino Linotype"/>
          <w:b/>
          <w:sz w:val="22"/>
          <w:szCs w:val="22"/>
        </w:rPr>
        <w:t>fundado</w:t>
      </w:r>
      <w:r w:rsidRPr="004726FE">
        <w:rPr>
          <w:rFonts w:ascii="Palatino Linotype" w:eastAsia="Palatino Linotype" w:hAnsi="Palatino Linotype" w:cs="Palatino Linotype"/>
          <w:b/>
          <w:sz w:val="22"/>
          <w:szCs w:val="22"/>
        </w:rPr>
        <w:t xml:space="preserve">s </w:t>
      </w:r>
      <w:r w:rsidRPr="004726FE">
        <w:rPr>
          <w:rFonts w:ascii="Palatino Linotype" w:eastAsia="Palatino Linotype" w:hAnsi="Palatino Linotype" w:cs="Palatino Linotype"/>
          <w:sz w:val="22"/>
          <w:szCs w:val="22"/>
        </w:rPr>
        <w:t xml:space="preserve">los motivos de inconformidad hechos valer por </w:t>
      </w:r>
      <w:r w:rsidRPr="004726FE">
        <w:rPr>
          <w:rFonts w:ascii="Palatino Linotype" w:eastAsia="Palatino Linotype" w:hAnsi="Palatino Linotype" w:cs="Palatino Linotype"/>
          <w:b/>
          <w:sz w:val="22"/>
          <w:szCs w:val="22"/>
        </w:rPr>
        <w:t>la parte Recurrente</w:t>
      </w:r>
      <w:r w:rsidRPr="004726FE">
        <w:rPr>
          <w:rFonts w:ascii="Palatino Linotype" w:eastAsia="Palatino Linotype" w:hAnsi="Palatino Linotype" w:cs="Palatino Linotype"/>
          <w:sz w:val="22"/>
          <w:szCs w:val="22"/>
        </w:rPr>
        <w:t xml:space="preserve"> en </w:t>
      </w:r>
      <w:r w:rsidR="00E3722B" w:rsidRPr="004726FE">
        <w:rPr>
          <w:rFonts w:ascii="Palatino Linotype" w:eastAsia="Palatino Linotype" w:hAnsi="Palatino Linotype" w:cs="Palatino Linotype"/>
          <w:sz w:val="22"/>
          <w:szCs w:val="22"/>
        </w:rPr>
        <w:t>el</w:t>
      </w:r>
      <w:r w:rsidRPr="004726FE">
        <w:rPr>
          <w:rFonts w:ascii="Palatino Linotype" w:eastAsia="Palatino Linotype" w:hAnsi="Palatino Linotype" w:cs="Palatino Linotype"/>
          <w:sz w:val="22"/>
          <w:szCs w:val="22"/>
        </w:rPr>
        <w:t xml:space="preserve"> Recurso de Revisión</w:t>
      </w:r>
      <w:r w:rsidRPr="004726FE">
        <w:rPr>
          <w:rFonts w:ascii="Palatino Linotype" w:eastAsia="Palatino Linotype" w:hAnsi="Palatino Linotype" w:cs="Palatino Linotype"/>
          <w:b/>
          <w:sz w:val="22"/>
          <w:szCs w:val="22"/>
        </w:rPr>
        <w:t xml:space="preserve"> </w:t>
      </w:r>
      <w:r w:rsidR="006B7439" w:rsidRPr="004726FE">
        <w:rPr>
          <w:rFonts w:ascii="Palatino Linotype" w:eastAsia="Palatino Linotype" w:hAnsi="Palatino Linotype" w:cs="Palatino Linotype"/>
          <w:b/>
          <w:sz w:val="22"/>
          <w:szCs w:val="22"/>
        </w:rPr>
        <w:t>04839/INFOEM/IP/RR/2025</w:t>
      </w:r>
      <w:r w:rsidRPr="004726FE">
        <w:rPr>
          <w:rFonts w:ascii="Palatino Linotype" w:eastAsia="Palatino Linotype" w:hAnsi="Palatino Linotype" w:cs="Palatino Linotype"/>
          <w:b/>
          <w:sz w:val="22"/>
          <w:szCs w:val="22"/>
        </w:rPr>
        <w:t xml:space="preserve">, </w:t>
      </w:r>
      <w:r w:rsidRPr="004726FE">
        <w:rPr>
          <w:rFonts w:ascii="Palatino Linotype" w:eastAsia="Palatino Linotype" w:hAnsi="Palatino Linotype" w:cs="Palatino Linotype"/>
          <w:sz w:val="22"/>
          <w:szCs w:val="22"/>
        </w:rPr>
        <w:t>por lo que</w:t>
      </w:r>
      <w:r w:rsidRPr="004726FE">
        <w:rPr>
          <w:rFonts w:ascii="Palatino Linotype" w:eastAsia="Palatino Linotype" w:hAnsi="Palatino Linotype" w:cs="Palatino Linotype"/>
          <w:b/>
          <w:sz w:val="22"/>
          <w:szCs w:val="22"/>
        </w:rPr>
        <w:t xml:space="preserve">, en términos del Considerando Cuarto </w:t>
      </w:r>
      <w:r w:rsidRPr="004726FE">
        <w:rPr>
          <w:rFonts w:ascii="Palatino Linotype" w:eastAsia="Palatino Linotype" w:hAnsi="Palatino Linotype" w:cs="Palatino Linotype"/>
          <w:sz w:val="22"/>
          <w:szCs w:val="22"/>
        </w:rPr>
        <w:t>de la presente resolución</w:t>
      </w:r>
      <w:r w:rsidRPr="004726FE">
        <w:rPr>
          <w:rFonts w:ascii="Palatino Linotype" w:eastAsia="Palatino Linotype" w:hAnsi="Palatino Linotype" w:cs="Palatino Linotype"/>
          <w:b/>
          <w:sz w:val="22"/>
          <w:szCs w:val="22"/>
        </w:rPr>
        <w:t xml:space="preserve">, se </w:t>
      </w:r>
      <w:r w:rsidR="00D61860" w:rsidRPr="004726FE">
        <w:rPr>
          <w:rFonts w:ascii="Palatino Linotype" w:eastAsia="Palatino Linotype" w:hAnsi="Palatino Linotype" w:cs="Palatino Linotype"/>
          <w:b/>
          <w:sz w:val="22"/>
          <w:szCs w:val="22"/>
        </w:rPr>
        <w:t>REVOCA l</w:t>
      </w:r>
      <w:r w:rsidRPr="004726FE">
        <w:rPr>
          <w:rFonts w:ascii="Palatino Linotype" w:eastAsia="Palatino Linotype" w:hAnsi="Palatino Linotype" w:cs="Palatino Linotype"/>
          <w:sz w:val="22"/>
          <w:szCs w:val="22"/>
        </w:rPr>
        <w:t>a respuesta del</w:t>
      </w:r>
      <w:r w:rsidRPr="004726FE">
        <w:rPr>
          <w:rFonts w:ascii="Palatino Linotype" w:eastAsia="Palatino Linotype" w:hAnsi="Palatino Linotype" w:cs="Palatino Linotype"/>
          <w:b/>
          <w:sz w:val="22"/>
          <w:szCs w:val="22"/>
        </w:rPr>
        <w:t xml:space="preserve"> Sujeto Obligado.</w:t>
      </w:r>
    </w:p>
    <w:p w14:paraId="34BECB1D" w14:textId="77777777" w:rsidR="00422AF6" w:rsidRPr="004726FE" w:rsidRDefault="0067296C">
      <w:pPr>
        <w:spacing w:before="240" w:after="240" w:line="360" w:lineRule="auto"/>
        <w:jc w:val="both"/>
        <w:rPr>
          <w:rFonts w:ascii="Palatino Linotype" w:eastAsia="Palatino Linotype" w:hAnsi="Palatino Linotype" w:cs="Palatino Linotype"/>
          <w:b/>
          <w:sz w:val="22"/>
          <w:szCs w:val="22"/>
        </w:rPr>
      </w:pPr>
      <w:bookmarkStart w:id="3" w:name="_heading=h.j3ppyxwlb1s2" w:colFirst="0" w:colLast="0"/>
      <w:bookmarkEnd w:id="3"/>
      <w:r w:rsidRPr="004726FE">
        <w:rPr>
          <w:rFonts w:ascii="Palatino Linotype" w:eastAsia="Palatino Linotype" w:hAnsi="Palatino Linotype" w:cs="Palatino Linotype"/>
          <w:b/>
          <w:sz w:val="22"/>
          <w:szCs w:val="22"/>
        </w:rPr>
        <w:t xml:space="preserve">Segundo. Se Ordena al Sujeto Obligado </w:t>
      </w:r>
      <w:r w:rsidRPr="004726FE">
        <w:rPr>
          <w:rFonts w:ascii="Palatino Linotype" w:eastAsia="Palatino Linotype" w:hAnsi="Palatino Linotype" w:cs="Palatino Linotype"/>
          <w:sz w:val="22"/>
          <w:szCs w:val="22"/>
        </w:rPr>
        <w:t>que en términos de los</w:t>
      </w:r>
      <w:r w:rsidRPr="004726FE">
        <w:rPr>
          <w:rFonts w:ascii="Palatino Linotype" w:eastAsia="Palatino Linotype" w:hAnsi="Palatino Linotype" w:cs="Palatino Linotype"/>
          <w:b/>
          <w:sz w:val="22"/>
          <w:szCs w:val="22"/>
        </w:rPr>
        <w:t xml:space="preserve"> Considerandos Cuarto y Quinto </w:t>
      </w:r>
      <w:r w:rsidRPr="004726FE">
        <w:rPr>
          <w:rFonts w:ascii="Palatino Linotype" w:eastAsia="Palatino Linotype" w:hAnsi="Palatino Linotype" w:cs="Palatino Linotype"/>
          <w:sz w:val="22"/>
          <w:szCs w:val="22"/>
        </w:rPr>
        <w:t xml:space="preserve">de esta resolución, haga entrega a </w:t>
      </w:r>
      <w:r w:rsidRPr="004726FE">
        <w:rPr>
          <w:rFonts w:ascii="Palatino Linotype" w:eastAsia="Palatino Linotype" w:hAnsi="Palatino Linotype" w:cs="Palatino Linotype"/>
          <w:b/>
          <w:sz w:val="22"/>
          <w:szCs w:val="22"/>
        </w:rPr>
        <w:t>la parte Recurrente a través del SAIMEX</w:t>
      </w:r>
      <w:r w:rsidR="00FE0BFB" w:rsidRPr="004726FE">
        <w:rPr>
          <w:rFonts w:ascii="Palatino Linotype" w:eastAsia="Palatino Linotype" w:hAnsi="Palatino Linotype" w:cs="Palatino Linotype"/>
          <w:b/>
          <w:sz w:val="22"/>
          <w:szCs w:val="22"/>
        </w:rPr>
        <w:t xml:space="preserve">, </w:t>
      </w:r>
      <w:r w:rsidR="00D61860" w:rsidRPr="004726FE">
        <w:rPr>
          <w:rFonts w:ascii="Palatino Linotype" w:eastAsia="Palatino Linotype" w:hAnsi="Palatino Linotype" w:cs="Palatino Linotype"/>
          <w:sz w:val="22"/>
          <w:szCs w:val="22"/>
        </w:rPr>
        <w:t>previa búsqueda exhaustiva y razonable</w:t>
      </w:r>
      <w:r w:rsidR="00113C35" w:rsidRPr="004726FE">
        <w:rPr>
          <w:rFonts w:ascii="Palatino Linotype" w:eastAsia="Palatino Linotype" w:hAnsi="Palatino Linotype" w:cs="Palatino Linotype"/>
          <w:sz w:val="22"/>
          <w:szCs w:val="22"/>
        </w:rPr>
        <w:t xml:space="preserve">, </w:t>
      </w:r>
      <w:r w:rsidR="00FE0BFB" w:rsidRPr="004726FE">
        <w:rPr>
          <w:rFonts w:ascii="Palatino Linotype" w:eastAsia="Palatino Linotype" w:hAnsi="Palatino Linotype" w:cs="Palatino Linotype"/>
          <w:sz w:val="22"/>
          <w:szCs w:val="22"/>
        </w:rPr>
        <w:t>en versión pública,</w:t>
      </w:r>
      <w:r w:rsidRPr="004726FE">
        <w:rPr>
          <w:rFonts w:ascii="Palatino Linotype" w:eastAsia="Palatino Linotype" w:hAnsi="Palatino Linotype" w:cs="Palatino Linotype"/>
          <w:sz w:val="22"/>
          <w:szCs w:val="22"/>
        </w:rPr>
        <w:t xml:space="preserve"> </w:t>
      </w:r>
      <w:r w:rsidR="00E3722B" w:rsidRPr="004726FE">
        <w:rPr>
          <w:rFonts w:ascii="Palatino Linotype" w:eastAsia="Palatino Linotype" w:hAnsi="Palatino Linotype" w:cs="Palatino Linotype"/>
          <w:sz w:val="22"/>
          <w:szCs w:val="22"/>
        </w:rPr>
        <w:t>los documentos donde conste la siguiente información</w:t>
      </w:r>
      <w:r w:rsidRPr="004726FE">
        <w:rPr>
          <w:rFonts w:ascii="Palatino Linotype" w:eastAsia="Palatino Linotype" w:hAnsi="Palatino Linotype" w:cs="Palatino Linotype"/>
          <w:sz w:val="22"/>
          <w:szCs w:val="22"/>
        </w:rPr>
        <w:t xml:space="preserve">: </w:t>
      </w:r>
    </w:p>
    <w:p w14:paraId="1682EC48" w14:textId="77777777" w:rsidR="00CA3787" w:rsidRPr="004726FE" w:rsidRDefault="00CA3787" w:rsidP="00B672B6">
      <w:pPr>
        <w:pStyle w:val="Prrafodelista"/>
        <w:numPr>
          <w:ilvl w:val="0"/>
          <w:numId w:val="13"/>
        </w:numPr>
        <w:ind w:left="993" w:right="843"/>
        <w:jc w:val="both"/>
        <w:rPr>
          <w:rFonts w:ascii="Palatino Linotype" w:hAnsi="Palatino Linotype"/>
          <w:b/>
          <w:sz w:val="22"/>
          <w:szCs w:val="22"/>
        </w:rPr>
      </w:pPr>
      <w:r w:rsidRPr="004726FE">
        <w:rPr>
          <w:rFonts w:ascii="Palatino Linotype" w:hAnsi="Palatino Linotype"/>
          <w:b/>
          <w:sz w:val="22"/>
          <w:szCs w:val="22"/>
        </w:rPr>
        <w:t xml:space="preserve">Expediente 169/2008 del </w:t>
      </w:r>
      <w:r w:rsidRPr="004726FE">
        <w:rPr>
          <w:rFonts w:ascii="Palatino Linotype" w:eastAsia="Palatino Linotype" w:hAnsi="Palatino Linotype" w:cs="Palatino Linotype"/>
          <w:b/>
          <w:sz w:val="22"/>
          <w:szCs w:val="22"/>
        </w:rPr>
        <w:t>Segundo Juzgado Familiar del Distrito Judicial de Toluca</w:t>
      </w:r>
    </w:p>
    <w:p w14:paraId="37AF4A58" w14:textId="77777777" w:rsidR="00B672B6" w:rsidRPr="004726FE" w:rsidRDefault="00B672B6" w:rsidP="00CA3787">
      <w:pPr>
        <w:pStyle w:val="Prrafodelista"/>
        <w:ind w:left="1287" w:right="843"/>
        <w:jc w:val="both"/>
        <w:rPr>
          <w:rFonts w:ascii="Palatino Linotype" w:hAnsi="Palatino Linotype"/>
          <w:b/>
          <w:i/>
          <w:sz w:val="22"/>
          <w:szCs w:val="22"/>
        </w:rPr>
      </w:pPr>
      <w:r w:rsidRPr="004726FE">
        <w:rPr>
          <w:rFonts w:ascii="Palatino Linotype" w:hAnsi="Palatino Linotype"/>
          <w:b/>
          <w:i/>
          <w:sz w:val="22"/>
          <w:szCs w:val="22"/>
        </w:rPr>
        <w:t xml:space="preserve"> </w:t>
      </w:r>
    </w:p>
    <w:p w14:paraId="027EF17E" w14:textId="77777777" w:rsidR="002B2D3B" w:rsidRPr="004726FE" w:rsidRDefault="004E7FF3" w:rsidP="002B2D3B">
      <w:pPr>
        <w:pBdr>
          <w:top w:val="nil"/>
          <w:left w:val="nil"/>
          <w:bottom w:val="nil"/>
          <w:right w:val="nil"/>
          <w:between w:val="nil"/>
        </w:pBdr>
        <w:ind w:left="284" w:right="560"/>
        <w:jc w:val="both"/>
        <w:rPr>
          <w:rFonts w:ascii="Palatino Linotype" w:eastAsia="Palatino Linotype" w:hAnsi="Palatino Linotype" w:cs="Palatino Linotype"/>
          <w:i/>
          <w:sz w:val="22"/>
          <w:szCs w:val="22"/>
        </w:rPr>
      </w:pPr>
      <w:r w:rsidRPr="004726FE">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4726FE">
        <w:rPr>
          <w:rFonts w:ascii="Palatino Linotype" w:eastAsia="Palatino Linotype" w:hAnsi="Palatino Linotype" w:cs="Palatino Linotype"/>
          <w:b/>
          <w:i/>
          <w:sz w:val="22"/>
          <w:szCs w:val="22"/>
        </w:rPr>
        <w:t>,</w:t>
      </w:r>
      <w:r w:rsidRPr="004726FE">
        <w:rPr>
          <w:rFonts w:ascii="Palatino Linotype" w:eastAsia="Palatino Linotype" w:hAnsi="Palatino Linotype" w:cs="Palatino Linotype"/>
          <w:i/>
          <w:sz w:val="22"/>
          <w:szCs w:val="22"/>
        </w:rPr>
        <w:t xml:space="preserve"> y  se ponga a disposición de la parte Recurrente, en términos de los artículos 49, fracción VIII,  de la Ley de Transparencia y Acceso a la Información Pública del Estado de México y Municipios.</w:t>
      </w:r>
      <w:r w:rsidR="00D3043A" w:rsidRPr="004726FE">
        <w:rPr>
          <w:rFonts w:ascii="Palatino Linotype" w:eastAsia="Palatino Linotype" w:hAnsi="Palatino Linotype" w:cs="Palatino Linotype"/>
          <w:i/>
          <w:sz w:val="22"/>
          <w:szCs w:val="22"/>
        </w:rPr>
        <w:t xml:space="preserve"> </w:t>
      </w:r>
      <w:r w:rsidR="0041150C" w:rsidRPr="004726FE">
        <w:rPr>
          <w:rFonts w:ascii="Palatino Linotype" w:eastAsia="Palatino Linotype" w:hAnsi="Palatino Linotype" w:cs="Palatino Linotype"/>
          <w:i/>
          <w:sz w:val="22"/>
          <w:szCs w:val="22"/>
        </w:rPr>
        <w:t xml:space="preserve"> </w:t>
      </w:r>
    </w:p>
    <w:p w14:paraId="2390540E" w14:textId="77777777" w:rsidR="002B2D3B" w:rsidRPr="004726FE" w:rsidRDefault="002B2D3B" w:rsidP="002B2D3B">
      <w:pPr>
        <w:pBdr>
          <w:top w:val="nil"/>
          <w:left w:val="nil"/>
          <w:bottom w:val="nil"/>
          <w:right w:val="nil"/>
          <w:between w:val="nil"/>
        </w:pBdr>
        <w:ind w:left="284" w:right="560"/>
        <w:jc w:val="both"/>
        <w:rPr>
          <w:rFonts w:ascii="Palatino Linotype" w:eastAsia="Palatino Linotype" w:hAnsi="Palatino Linotype" w:cs="Palatino Linotype"/>
          <w:i/>
          <w:sz w:val="22"/>
          <w:szCs w:val="22"/>
        </w:rPr>
      </w:pPr>
    </w:p>
    <w:p w14:paraId="01DFCC10" w14:textId="5B032ADD" w:rsidR="00D3043A" w:rsidRPr="004726FE" w:rsidRDefault="00D3043A" w:rsidP="002B2D3B">
      <w:pPr>
        <w:pBdr>
          <w:top w:val="nil"/>
          <w:left w:val="nil"/>
          <w:bottom w:val="nil"/>
          <w:right w:val="nil"/>
          <w:between w:val="nil"/>
        </w:pBdr>
        <w:ind w:left="284" w:right="560"/>
        <w:jc w:val="both"/>
        <w:rPr>
          <w:rFonts w:ascii="Palatino Linotype" w:eastAsia="Palatino Linotype" w:hAnsi="Palatino Linotype" w:cs="Palatino Linotype"/>
          <w:i/>
          <w:sz w:val="22"/>
          <w:szCs w:val="22"/>
        </w:rPr>
      </w:pPr>
      <w:r w:rsidRPr="004726FE">
        <w:rPr>
          <w:rFonts w:ascii="Palatino Linotype" w:hAnsi="Palatino Linotype"/>
          <w:i/>
          <w:iCs/>
          <w:sz w:val="22"/>
          <w:szCs w:val="22"/>
        </w:rPr>
        <w:t>En el supuesto de que el expediente se encuentre en trámite, el Sujeto Obligado deberá emitir y entregar el Acuerdo de Clasificación como información reservada que emita el Comité de Transparencia, de conformidad con lo dispuesto en los artículos 128, 129, 135 y 140 de la Ley de Transparencia y Acceso a la Información Pública del Estado de México y Municipios, que sustente su clasificación en términos del Considerando Quinto de esta resolución.</w:t>
      </w:r>
    </w:p>
    <w:p w14:paraId="499FC8FB" w14:textId="77777777" w:rsidR="00422AF6" w:rsidRPr="004726FE" w:rsidRDefault="0067296C">
      <w:pPr>
        <w:spacing w:before="240" w:after="240"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 xml:space="preserve">Tercero.  Notifíquese vía SAIMEX, </w:t>
      </w:r>
      <w:r w:rsidRPr="004726FE">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w:t>
      </w:r>
      <w:r w:rsidRPr="004726FE">
        <w:rPr>
          <w:rFonts w:ascii="Palatino Linotype" w:eastAsia="Palatino Linotype" w:hAnsi="Palatino Linotype" w:cs="Palatino Linotype"/>
          <w:sz w:val="22"/>
          <w:szCs w:val="22"/>
        </w:rPr>
        <w:lastRenderedPageBreak/>
        <w:t>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1EE253F" w14:textId="77777777" w:rsidR="00422AF6" w:rsidRPr="004726FE" w:rsidRDefault="0067296C">
      <w:pPr>
        <w:spacing w:before="240" w:after="240" w:line="360" w:lineRule="auto"/>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b/>
          <w:sz w:val="22"/>
          <w:szCs w:val="22"/>
        </w:rPr>
        <w:t xml:space="preserve">Cuarto. </w:t>
      </w:r>
      <w:r w:rsidRPr="004726FE">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4726FE">
        <w:rPr>
          <w:rFonts w:ascii="Palatino Linotype" w:eastAsia="Palatino Linotype" w:hAnsi="Palatino Linotype" w:cs="Palatino Linotype"/>
          <w:b/>
          <w:sz w:val="22"/>
          <w:szCs w:val="22"/>
        </w:rPr>
        <w:t>Sujeto Obligado</w:t>
      </w:r>
      <w:r w:rsidRPr="004726FE">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817901D" w14:textId="77777777" w:rsidR="00422AF6" w:rsidRPr="004726FE" w:rsidRDefault="0067296C">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4726FE">
        <w:rPr>
          <w:rFonts w:ascii="Palatino Linotype" w:eastAsia="Palatino Linotype" w:hAnsi="Palatino Linotype" w:cs="Palatino Linotype"/>
          <w:b/>
          <w:sz w:val="22"/>
          <w:szCs w:val="22"/>
        </w:rPr>
        <w:t xml:space="preserve">Quinto. Notifíquese vía SAIMEX, </w:t>
      </w:r>
      <w:r w:rsidRPr="004726FE">
        <w:rPr>
          <w:rFonts w:ascii="Palatino Linotype" w:eastAsia="Palatino Linotype" w:hAnsi="Palatino Linotype" w:cs="Palatino Linotype"/>
          <w:sz w:val="22"/>
          <w:szCs w:val="22"/>
        </w:rPr>
        <w:t>a</w:t>
      </w:r>
      <w:r w:rsidRPr="004726FE">
        <w:rPr>
          <w:rFonts w:ascii="Palatino Linotype" w:eastAsia="Palatino Linotype" w:hAnsi="Palatino Linotype" w:cs="Palatino Linotype"/>
          <w:b/>
          <w:sz w:val="22"/>
          <w:szCs w:val="22"/>
        </w:rPr>
        <w:t xml:space="preserve"> la parte Recurrente</w:t>
      </w:r>
      <w:r w:rsidRPr="004726FE">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3B00AB83" w14:textId="77777777" w:rsidR="002044E8" w:rsidRPr="004726FE" w:rsidRDefault="002044E8">
      <w:pPr>
        <w:spacing w:line="360" w:lineRule="auto"/>
        <w:ind w:right="-93"/>
        <w:jc w:val="both"/>
        <w:rPr>
          <w:rFonts w:ascii="Palatino Linotype" w:eastAsia="Palatino Linotype" w:hAnsi="Palatino Linotype" w:cs="Palatino Linotype"/>
          <w:b/>
          <w:sz w:val="22"/>
          <w:szCs w:val="22"/>
        </w:rPr>
      </w:pPr>
      <w:bookmarkStart w:id="5" w:name="_heading=h.zgmzruezwlco" w:colFirst="0" w:colLast="0"/>
      <w:bookmarkStart w:id="6" w:name="_heading=h.jl0dlasot4f" w:colFirst="0" w:colLast="0"/>
      <w:bookmarkEnd w:id="5"/>
      <w:bookmarkEnd w:id="6"/>
    </w:p>
    <w:p w14:paraId="23C0878D" w14:textId="381942D3" w:rsidR="00422AF6" w:rsidRPr="000D2E6C" w:rsidRDefault="0067296C">
      <w:pPr>
        <w:spacing w:line="360" w:lineRule="auto"/>
        <w:ind w:right="-93"/>
        <w:jc w:val="both"/>
        <w:rPr>
          <w:rFonts w:ascii="Palatino Linotype" w:eastAsia="Palatino Linotype" w:hAnsi="Palatino Linotype" w:cs="Palatino Linotype"/>
          <w:sz w:val="22"/>
          <w:szCs w:val="22"/>
        </w:rPr>
      </w:pPr>
      <w:r w:rsidRPr="004726FE">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w:t>
      </w:r>
      <w:r w:rsidR="004726FE">
        <w:rPr>
          <w:rFonts w:ascii="Palatino Linotype" w:eastAsia="Palatino Linotype" w:hAnsi="Palatino Linotype" w:cs="Palatino Linotype"/>
          <w:sz w:val="22"/>
          <w:szCs w:val="22"/>
        </w:rPr>
        <w:t xml:space="preserve"> </w:t>
      </w:r>
      <w:r w:rsidR="004726FE">
        <w:rPr>
          <w:rFonts w:ascii="Palatino Linotype" w:hAnsi="Palatino Linotype"/>
          <w:sz w:val="22"/>
          <w:szCs w:val="22"/>
        </w:rPr>
        <w:t>(AUSENCIA JUSTIFICADA)</w:t>
      </w:r>
      <w:r w:rsidRPr="004726FE">
        <w:rPr>
          <w:rFonts w:ascii="Palatino Linotype" w:eastAsia="Palatino Linotype" w:hAnsi="Palatino Linotype" w:cs="Palatino Linotype"/>
          <w:sz w:val="22"/>
          <w:szCs w:val="22"/>
        </w:rPr>
        <w:t>, MARÍA DEL ROSARIO MEJÍA AYALA, SHARON CRISTINA MORALES MARTÍNEZ, LUIS GUSTAVO PARRA NORIEGA</w:t>
      </w:r>
      <w:r w:rsidR="008835B3" w:rsidRPr="004726FE">
        <w:rPr>
          <w:rFonts w:ascii="Palatino Linotype" w:eastAsia="Palatino Linotype" w:hAnsi="Palatino Linotype" w:cs="Palatino Linotype"/>
          <w:sz w:val="22"/>
          <w:szCs w:val="22"/>
        </w:rPr>
        <w:t xml:space="preserve">, EMITIENDO VOTO PARTICULAR </w:t>
      </w:r>
      <w:r w:rsidRPr="004726FE">
        <w:rPr>
          <w:rFonts w:ascii="Palatino Linotype" w:eastAsia="Palatino Linotype" w:hAnsi="Palatino Linotype" w:cs="Palatino Linotype"/>
          <w:sz w:val="22"/>
          <w:szCs w:val="22"/>
        </w:rPr>
        <w:t xml:space="preserve"> Y GUADALUPE RAMÍREZ PEÑA; EN LA VIGÉSIMA </w:t>
      </w:r>
      <w:r w:rsidR="00EE4162" w:rsidRPr="004726FE">
        <w:rPr>
          <w:rFonts w:ascii="Palatino Linotype" w:eastAsia="Palatino Linotype" w:hAnsi="Palatino Linotype" w:cs="Palatino Linotype"/>
          <w:sz w:val="22"/>
          <w:szCs w:val="22"/>
        </w:rPr>
        <w:t>NOVENA</w:t>
      </w:r>
      <w:r w:rsidRPr="004726FE">
        <w:rPr>
          <w:rFonts w:ascii="Palatino Linotype" w:eastAsia="Palatino Linotype" w:hAnsi="Palatino Linotype" w:cs="Palatino Linotype"/>
          <w:sz w:val="22"/>
          <w:szCs w:val="22"/>
        </w:rPr>
        <w:t xml:space="preserve"> SESIÓN ORDINARIA CELEBRADA EL </w:t>
      </w:r>
      <w:r w:rsidR="00EE4162" w:rsidRPr="004726FE">
        <w:rPr>
          <w:rFonts w:ascii="Palatino Linotype" w:eastAsia="Palatino Linotype" w:hAnsi="Palatino Linotype" w:cs="Palatino Linotype"/>
          <w:sz w:val="22"/>
          <w:szCs w:val="22"/>
        </w:rPr>
        <w:t>VEINTE</w:t>
      </w:r>
      <w:r w:rsidRPr="004726FE">
        <w:rPr>
          <w:rFonts w:ascii="Palatino Linotype" w:eastAsia="Palatino Linotype" w:hAnsi="Palatino Linotype" w:cs="Palatino Linotype"/>
          <w:sz w:val="22"/>
          <w:szCs w:val="22"/>
        </w:rPr>
        <w:t xml:space="preserve"> DE </w:t>
      </w:r>
      <w:r w:rsidR="00AA114E" w:rsidRPr="004726FE">
        <w:rPr>
          <w:rFonts w:ascii="Palatino Linotype" w:eastAsia="Palatino Linotype" w:hAnsi="Palatino Linotype" w:cs="Palatino Linotype"/>
          <w:sz w:val="22"/>
          <w:szCs w:val="22"/>
        </w:rPr>
        <w:t>AGOSTO</w:t>
      </w:r>
      <w:r w:rsidRPr="004726FE">
        <w:rPr>
          <w:rFonts w:ascii="Palatino Linotype" w:eastAsia="Palatino Linotype" w:hAnsi="Palatino Linotype" w:cs="Palatino Linotype"/>
          <w:sz w:val="22"/>
          <w:szCs w:val="22"/>
        </w:rPr>
        <w:t xml:space="preserve"> DE DOS MIL VEINTICINCO, ANTE EL SECRETARIO TÉCNICO DEL PLENO ALEXIS TAPIA RAMÍREZ.</w:t>
      </w:r>
      <w:r w:rsidR="002B2D3B" w:rsidRPr="000D2E6C">
        <w:rPr>
          <w:rFonts w:ascii="Palatino Linotype" w:eastAsia="Palatino Linotype" w:hAnsi="Palatino Linotype" w:cs="Palatino Linotype"/>
          <w:sz w:val="22"/>
          <w:szCs w:val="22"/>
        </w:rPr>
        <w:t xml:space="preserve"> </w:t>
      </w:r>
    </w:p>
    <w:p w14:paraId="2C1CE039"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6AD2C6CB"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33213CA7"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1D20A385"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082DD86C"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61D45610"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29F691CF"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73447E8C"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25B7C496"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15FD6E8F"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3687230A"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79580E39"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42268782"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5B296828"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5E8DAFE1"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7CA13369"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4F3E39D5"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213D6F6E" w14:textId="77777777" w:rsidR="00422AF6" w:rsidRPr="000D2E6C" w:rsidRDefault="00422AF6">
      <w:pPr>
        <w:spacing w:line="360" w:lineRule="auto"/>
        <w:ind w:right="-93"/>
        <w:jc w:val="both"/>
        <w:rPr>
          <w:rFonts w:ascii="Palatino Linotype" w:eastAsia="Palatino Linotype" w:hAnsi="Palatino Linotype" w:cs="Palatino Linotype"/>
          <w:sz w:val="22"/>
          <w:szCs w:val="22"/>
        </w:rPr>
      </w:pPr>
    </w:p>
    <w:p w14:paraId="4CE89AA3" w14:textId="77777777" w:rsidR="00422AF6" w:rsidRPr="000D2E6C" w:rsidRDefault="00422AF6">
      <w:pPr>
        <w:spacing w:line="360" w:lineRule="auto"/>
        <w:ind w:right="49"/>
        <w:jc w:val="both"/>
        <w:rPr>
          <w:rFonts w:ascii="Palatino Linotype" w:eastAsia="Palatino Linotype" w:hAnsi="Palatino Linotype" w:cs="Palatino Linotype"/>
          <w:sz w:val="22"/>
          <w:szCs w:val="22"/>
        </w:rPr>
      </w:pPr>
    </w:p>
    <w:sectPr w:rsidR="00422AF6" w:rsidRPr="000D2E6C">
      <w:headerReference w:type="default" r:id="rId12"/>
      <w:footerReference w:type="default" r:id="rId13"/>
      <w:headerReference w:type="first" r:id="rId14"/>
      <w:footerReference w:type="first" r:id="rId1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C8613" w14:textId="77777777" w:rsidR="002536AF" w:rsidRDefault="002536AF">
      <w:r>
        <w:separator/>
      </w:r>
    </w:p>
  </w:endnote>
  <w:endnote w:type="continuationSeparator" w:id="0">
    <w:p w14:paraId="7FE1023B" w14:textId="77777777" w:rsidR="002536AF" w:rsidRDefault="00253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6947" w14:textId="77777777" w:rsidR="00054C8F" w:rsidRDefault="00054C8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3609B">
      <w:rPr>
        <w:b/>
        <w:noProof/>
        <w:color w:val="000000"/>
      </w:rPr>
      <w:t>39</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3609B">
      <w:rPr>
        <w:b/>
        <w:noProof/>
        <w:color w:val="000000"/>
      </w:rPr>
      <w:t>40</w:t>
    </w:r>
    <w:r>
      <w:rPr>
        <w:b/>
        <w:color w:val="000000"/>
      </w:rPr>
      <w:fldChar w:fldCharType="end"/>
    </w:r>
  </w:p>
  <w:p w14:paraId="0EC3ADCD" w14:textId="77777777" w:rsidR="00054C8F" w:rsidRDefault="00054C8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5742B" w14:textId="77777777" w:rsidR="00054C8F" w:rsidRDefault="00054C8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3609B">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3609B">
      <w:rPr>
        <w:b/>
        <w:noProof/>
        <w:color w:val="000000"/>
      </w:rPr>
      <w:t>40</w:t>
    </w:r>
    <w:r>
      <w:rPr>
        <w:b/>
        <w:color w:val="000000"/>
      </w:rPr>
      <w:fldChar w:fldCharType="end"/>
    </w:r>
  </w:p>
  <w:p w14:paraId="18F65743" w14:textId="77777777" w:rsidR="00054C8F" w:rsidRDefault="00054C8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78D31" w14:textId="77777777" w:rsidR="002536AF" w:rsidRDefault="002536AF">
      <w:r>
        <w:separator/>
      </w:r>
    </w:p>
  </w:footnote>
  <w:footnote w:type="continuationSeparator" w:id="0">
    <w:p w14:paraId="110E6597" w14:textId="77777777" w:rsidR="002536AF" w:rsidRDefault="00253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25E8A" w14:textId="77777777" w:rsidR="00054C8F" w:rsidRDefault="00054C8F">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170A676A" wp14:editId="052E0BDA">
          <wp:simplePos x="0" y="0"/>
          <wp:positionH relativeFrom="column">
            <wp:posOffset>0</wp:posOffset>
          </wp:positionH>
          <wp:positionV relativeFrom="paragraph">
            <wp:posOffset>-401954</wp:posOffset>
          </wp:positionV>
          <wp:extent cx="7809876" cy="10165823"/>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03" w:type="dxa"/>
      <w:tblInd w:w="3611" w:type="dxa"/>
      <w:tblLayout w:type="fixed"/>
      <w:tblLook w:val="0400" w:firstRow="0" w:lastRow="0" w:firstColumn="0" w:lastColumn="0" w:noHBand="0" w:noVBand="1"/>
    </w:tblPr>
    <w:tblGrid>
      <w:gridCol w:w="2551"/>
      <w:gridCol w:w="3052"/>
    </w:tblGrid>
    <w:tr w:rsidR="00054C8F" w14:paraId="3B769A09" w14:textId="77777777">
      <w:tc>
        <w:tcPr>
          <w:tcW w:w="2551" w:type="dxa"/>
          <w:vAlign w:val="center"/>
        </w:tcPr>
        <w:p w14:paraId="3411A25C" w14:textId="77777777" w:rsidR="00054C8F" w:rsidRDefault="00054C8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238E6F2D" w14:textId="77777777" w:rsidR="00054C8F" w:rsidRDefault="00054C8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2A4BDD54" w14:textId="77777777" w:rsidR="00054C8F" w:rsidRDefault="00054C8F" w:rsidP="006B74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AA114E">
            <w:rPr>
              <w:rFonts w:ascii="Palatino Linotype" w:eastAsia="Palatino Linotype" w:hAnsi="Palatino Linotype" w:cs="Palatino Linotype"/>
              <w:b/>
              <w:color w:val="000000"/>
              <w:sz w:val="22"/>
              <w:szCs w:val="20"/>
            </w:rPr>
            <w:t>0</w:t>
          </w:r>
          <w:r>
            <w:rPr>
              <w:rFonts w:ascii="Palatino Linotype" w:eastAsia="Palatino Linotype" w:hAnsi="Palatino Linotype" w:cs="Palatino Linotype"/>
              <w:b/>
              <w:color w:val="000000"/>
              <w:sz w:val="22"/>
              <w:szCs w:val="20"/>
            </w:rPr>
            <w:t>4839</w:t>
          </w:r>
          <w:r w:rsidRPr="00AA114E">
            <w:rPr>
              <w:rFonts w:ascii="Palatino Linotype" w:eastAsia="Palatino Linotype" w:hAnsi="Palatino Linotype" w:cs="Palatino Linotype"/>
              <w:b/>
              <w:color w:val="000000"/>
              <w:sz w:val="22"/>
              <w:szCs w:val="20"/>
            </w:rPr>
            <w:t>/INFOEM/IP/RR/2025</w:t>
          </w:r>
        </w:p>
      </w:tc>
    </w:tr>
    <w:tr w:rsidR="00054C8F" w14:paraId="67B3FD9E" w14:textId="77777777">
      <w:trPr>
        <w:trHeight w:val="217"/>
      </w:trPr>
      <w:tc>
        <w:tcPr>
          <w:tcW w:w="2551" w:type="dxa"/>
          <w:vAlign w:val="center"/>
        </w:tcPr>
        <w:p w14:paraId="50001FCA" w14:textId="77777777" w:rsidR="00054C8F" w:rsidRDefault="00054C8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2FD05E07" w14:textId="77777777" w:rsidR="00054C8F" w:rsidRDefault="00054C8F">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0"/>
              <w:szCs w:val="20"/>
            </w:rPr>
            <w:t>Poder Judicial</w:t>
          </w:r>
        </w:p>
      </w:tc>
    </w:tr>
    <w:tr w:rsidR="00054C8F" w14:paraId="496A5192" w14:textId="77777777">
      <w:tc>
        <w:tcPr>
          <w:tcW w:w="2551" w:type="dxa"/>
          <w:vAlign w:val="center"/>
        </w:tcPr>
        <w:p w14:paraId="7F1596BF" w14:textId="77777777" w:rsidR="00054C8F" w:rsidRDefault="00054C8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7A45235B" w14:textId="77777777" w:rsidR="00054C8F" w:rsidRDefault="00054C8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0EC81D17" w14:textId="77777777" w:rsidR="00054C8F" w:rsidRDefault="00054C8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A79C8" w14:textId="77777777" w:rsidR="00054C8F" w:rsidRDefault="00054C8F">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52896277" wp14:editId="7B9358E0">
          <wp:simplePos x="0" y="0"/>
          <wp:positionH relativeFrom="column">
            <wp:posOffset>-929005</wp:posOffset>
          </wp:positionH>
          <wp:positionV relativeFrom="paragraph">
            <wp:posOffset>-644525</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5603" w:type="dxa"/>
      <w:tblInd w:w="3611" w:type="dxa"/>
      <w:tblLayout w:type="fixed"/>
      <w:tblLook w:val="0400" w:firstRow="0" w:lastRow="0" w:firstColumn="0" w:lastColumn="0" w:noHBand="0" w:noVBand="1"/>
    </w:tblPr>
    <w:tblGrid>
      <w:gridCol w:w="2551"/>
      <w:gridCol w:w="3052"/>
    </w:tblGrid>
    <w:tr w:rsidR="00054C8F" w14:paraId="4A4F6114" w14:textId="77777777">
      <w:tc>
        <w:tcPr>
          <w:tcW w:w="2551" w:type="dxa"/>
          <w:vAlign w:val="center"/>
        </w:tcPr>
        <w:p w14:paraId="05FEA6FB" w14:textId="77777777" w:rsidR="00054C8F" w:rsidRDefault="00054C8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15589CF0" w14:textId="77777777" w:rsidR="00054C8F" w:rsidRDefault="00054C8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03896E0B" w14:textId="77777777" w:rsidR="00054C8F" w:rsidRDefault="00054C8F" w:rsidP="000F29F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sidRPr="00AA114E">
            <w:rPr>
              <w:rFonts w:ascii="Palatino Linotype" w:eastAsia="Palatino Linotype" w:hAnsi="Palatino Linotype" w:cs="Palatino Linotype"/>
              <w:b/>
              <w:color w:val="000000"/>
              <w:sz w:val="22"/>
              <w:szCs w:val="20"/>
            </w:rPr>
            <w:t>0</w:t>
          </w:r>
          <w:r>
            <w:rPr>
              <w:rFonts w:ascii="Palatino Linotype" w:eastAsia="Palatino Linotype" w:hAnsi="Palatino Linotype" w:cs="Palatino Linotype"/>
              <w:b/>
              <w:color w:val="000000"/>
              <w:sz w:val="22"/>
              <w:szCs w:val="20"/>
            </w:rPr>
            <w:t>4839</w:t>
          </w:r>
          <w:r w:rsidRPr="00AA114E">
            <w:rPr>
              <w:rFonts w:ascii="Palatino Linotype" w:eastAsia="Palatino Linotype" w:hAnsi="Palatino Linotype" w:cs="Palatino Linotype"/>
              <w:b/>
              <w:color w:val="000000"/>
              <w:sz w:val="22"/>
              <w:szCs w:val="20"/>
            </w:rPr>
            <w:t>/INFOEM/IP/RR/2025</w:t>
          </w:r>
        </w:p>
      </w:tc>
    </w:tr>
    <w:tr w:rsidR="00054C8F" w14:paraId="7398F09C" w14:textId="77777777">
      <w:tc>
        <w:tcPr>
          <w:tcW w:w="2551" w:type="dxa"/>
          <w:vAlign w:val="center"/>
        </w:tcPr>
        <w:p w14:paraId="624C283C" w14:textId="77777777" w:rsidR="00054C8F" w:rsidRDefault="00054C8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052" w:type="dxa"/>
          <w:vAlign w:val="center"/>
        </w:tcPr>
        <w:p w14:paraId="1EB07C30" w14:textId="77777777" w:rsidR="00054C8F" w:rsidRDefault="00054C8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054C8F" w14:paraId="4D689A0B" w14:textId="77777777">
      <w:trPr>
        <w:trHeight w:val="152"/>
      </w:trPr>
      <w:tc>
        <w:tcPr>
          <w:tcW w:w="2551" w:type="dxa"/>
          <w:vAlign w:val="center"/>
        </w:tcPr>
        <w:p w14:paraId="4D539332" w14:textId="77777777" w:rsidR="00054C8F" w:rsidRDefault="00054C8F">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1A42CF31" w14:textId="77777777" w:rsidR="00054C8F" w:rsidRDefault="00054C8F">
          <w:pP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10133F1B" w14:textId="77777777" w:rsidR="00054C8F" w:rsidRDefault="00054C8F">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Poder Judicial</w:t>
          </w:r>
        </w:p>
      </w:tc>
    </w:tr>
    <w:tr w:rsidR="00054C8F" w14:paraId="5B61F8B8" w14:textId="77777777">
      <w:tc>
        <w:tcPr>
          <w:tcW w:w="2551" w:type="dxa"/>
          <w:vAlign w:val="center"/>
        </w:tcPr>
        <w:p w14:paraId="40EA6A6B" w14:textId="77777777" w:rsidR="00054C8F" w:rsidRDefault="00054C8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052" w:type="dxa"/>
          <w:vAlign w:val="center"/>
        </w:tcPr>
        <w:p w14:paraId="7C015D37" w14:textId="77777777" w:rsidR="00054C8F" w:rsidRDefault="00054C8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588FA0DB" w14:textId="77777777" w:rsidR="00054C8F" w:rsidRDefault="00054C8F">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55BEE"/>
    <w:multiLevelType w:val="hybridMultilevel"/>
    <w:tmpl w:val="73E69B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5ED7D65"/>
    <w:multiLevelType w:val="hybridMultilevel"/>
    <w:tmpl w:val="3220432A"/>
    <w:lvl w:ilvl="0" w:tplc="7E002CA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B3B04D3"/>
    <w:multiLevelType w:val="hybridMultilevel"/>
    <w:tmpl w:val="643CB8B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F6539B8"/>
    <w:multiLevelType w:val="hybridMultilevel"/>
    <w:tmpl w:val="F1141CA4"/>
    <w:lvl w:ilvl="0" w:tplc="080A000D">
      <w:start w:val="1"/>
      <w:numFmt w:val="bullet"/>
      <w:lvlText w:val=""/>
      <w:lvlJc w:val="left"/>
      <w:pPr>
        <w:ind w:left="163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0D0688"/>
    <w:multiLevelType w:val="multilevel"/>
    <w:tmpl w:val="8B84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287627"/>
    <w:multiLevelType w:val="multilevel"/>
    <w:tmpl w:val="1152F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FA25E6F"/>
    <w:multiLevelType w:val="multilevel"/>
    <w:tmpl w:val="3C2AA2FA"/>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3302F63"/>
    <w:multiLevelType w:val="multilevel"/>
    <w:tmpl w:val="5804031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C834718"/>
    <w:multiLevelType w:val="hybridMultilevel"/>
    <w:tmpl w:val="66D0A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33F2499"/>
    <w:multiLevelType w:val="hybridMultilevel"/>
    <w:tmpl w:val="9B4A0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34634C4"/>
    <w:multiLevelType w:val="multilevel"/>
    <w:tmpl w:val="21E23444"/>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5DD11D7"/>
    <w:multiLevelType w:val="multilevel"/>
    <w:tmpl w:val="4CC2203A"/>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C0E1A61"/>
    <w:multiLevelType w:val="hybridMultilevel"/>
    <w:tmpl w:val="BFE66836"/>
    <w:lvl w:ilvl="0" w:tplc="080A0001">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16C7D3F"/>
    <w:multiLevelType w:val="hybridMultilevel"/>
    <w:tmpl w:val="6B0E53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500AF4"/>
    <w:multiLevelType w:val="hybridMultilevel"/>
    <w:tmpl w:val="D2DA8B8C"/>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7C006997"/>
    <w:multiLevelType w:val="hybridMultilevel"/>
    <w:tmpl w:val="2CD8D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D1315FE"/>
    <w:multiLevelType w:val="multilevel"/>
    <w:tmpl w:val="C8E232AE"/>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7"/>
  </w:num>
  <w:num w:numId="2">
    <w:abstractNumId w:val="6"/>
  </w:num>
  <w:num w:numId="3">
    <w:abstractNumId w:val="18"/>
  </w:num>
  <w:num w:numId="4">
    <w:abstractNumId w:val="13"/>
  </w:num>
  <w:num w:numId="5">
    <w:abstractNumId w:val="9"/>
  </w:num>
  <w:num w:numId="6">
    <w:abstractNumId w:val="14"/>
  </w:num>
  <w:num w:numId="7">
    <w:abstractNumId w:val="1"/>
  </w:num>
  <w:num w:numId="8">
    <w:abstractNumId w:val="10"/>
  </w:num>
  <w:num w:numId="9">
    <w:abstractNumId w:val="3"/>
  </w:num>
  <w:num w:numId="10">
    <w:abstractNumId w:val="15"/>
  </w:num>
  <w:num w:numId="11">
    <w:abstractNumId w:val="11"/>
  </w:num>
  <w:num w:numId="12">
    <w:abstractNumId w:val="5"/>
  </w:num>
  <w:num w:numId="13">
    <w:abstractNumId w:val="2"/>
  </w:num>
  <w:num w:numId="14">
    <w:abstractNumId w:val="16"/>
  </w:num>
  <w:num w:numId="15">
    <w:abstractNumId w:val="17"/>
  </w:num>
  <w:num w:numId="16">
    <w:abstractNumId w:val="12"/>
  </w:num>
  <w:num w:numId="17">
    <w:abstractNumId w:val="8"/>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AF6"/>
    <w:rsid w:val="00000608"/>
    <w:rsid w:val="0000150F"/>
    <w:rsid w:val="000317C0"/>
    <w:rsid w:val="0003640A"/>
    <w:rsid w:val="00054C8F"/>
    <w:rsid w:val="000709AF"/>
    <w:rsid w:val="000849C2"/>
    <w:rsid w:val="000873AC"/>
    <w:rsid w:val="000C08F1"/>
    <w:rsid w:val="000D2E6C"/>
    <w:rsid w:val="000D6840"/>
    <w:rsid w:val="000F29F8"/>
    <w:rsid w:val="0010177C"/>
    <w:rsid w:val="001055C2"/>
    <w:rsid w:val="00106F84"/>
    <w:rsid w:val="00110383"/>
    <w:rsid w:val="00113C35"/>
    <w:rsid w:val="001146E4"/>
    <w:rsid w:val="0014233B"/>
    <w:rsid w:val="0014314D"/>
    <w:rsid w:val="001624D4"/>
    <w:rsid w:val="00167D40"/>
    <w:rsid w:val="0017685E"/>
    <w:rsid w:val="001834A9"/>
    <w:rsid w:val="001A1CCE"/>
    <w:rsid w:val="001A72C7"/>
    <w:rsid w:val="001B5846"/>
    <w:rsid w:val="001B7558"/>
    <w:rsid w:val="001C109B"/>
    <w:rsid w:val="001E01C8"/>
    <w:rsid w:val="001E7890"/>
    <w:rsid w:val="002044E8"/>
    <w:rsid w:val="00207AC3"/>
    <w:rsid w:val="002160C0"/>
    <w:rsid w:val="002177CF"/>
    <w:rsid w:val="00250ACC"/>
    <w:rsid w:val="002535E9"/>
    <w:rsid w:val="002536AF"/>
    <w:rsid w:val="002827E8"/>
    <w:rsid w:val="00286C79"/>
    <w:rsid w:val="002940E1"/>
    <w:rsid w:val="002A7BA3"/>
    <w:rsid w:val="002B2D3B"/>
    <w:rsid w:val="002B5B0D"/>
    <w:rsid w:val="002C08AB"/>
    <w:rsid w:val="002C6E28"/>
    <w:rsid w:val="002F0356"/>
    <w:rsid w:val="002F1313"/>
    <w:rsid w:val="003038C3"/>
    <w:rsid w:val="00330BDB"/>
    <w:rsid w:val="00335237"/>
    <w:rsid w:val="00375A7D"/>
    <w:rsid w:val="0039338F"/>
    <w:rsid w:val="003B1E6A"/>
    <w:rsid w:val="003E1B93"/>
    <w:rsid w:val="003F500C"/>
    <w:rsid w:val="004058E5"/>
    <w:rsid w:val="0041150C"/>
    <w:rsid w:val="004157A2"/>
    <w:rsid w:val="00422AF6"/>
    <w:rsid w:val="0043609B"/>
    <w:rsid w:val="004718C5"/>
    <w:rsid w:val="004726FE"/>
    <w:rsid w:val="00476E1C"/>
    <w:rsid w:val="00494C60"/>
    <w:rsid w:val="004A1051"/>
    <w:rsid w:val="004B2EA4"/>
    <w:rsid w:val="004B5DBB"/>
    <w:rsid w:val="004C54A5"/>
    <w:rsid w:val="004D186A"/>
    <w:rsid w:val="004D754A"/>
    <w:rsid w:val="004E0C7B"/>
    <w:rsid w:val="004E0CAE"/>
    <w:rsid w:val="004E7FF3"/>
    <w:rsid w:val="00501A75"/>
    <w:rsid w:val="005744DE"/>
    <w:rsid w:val="005842D0"/>
    <w:rsid w:val="00584AF5"/>
    <w:rsid w:val="005938DD"/>
    <w:rsid w:val="005B07A1"/>
    <w:rsid w:val="006379D6"/>
    <w:rsid w:val="00644DAC"/>
    <w:rsid w:val="00645DE2"/>
    <w:rsid w:val="00653524"/>
    <w:rsid w:val="00663C5A"/>
    <w:rsid w:val="0067296C"/>
    <w:rsid w:val="00681746"/>
    <w:rsid w:val="00684422"/>
    <w:rsid w:val="00686EFA"/>
    <w:rsid w:val="00687E30"/>
    <w:rsid w:val="00696D6E"/>
    <w:rsid w:val="006B7439"/>
    <w:rsid w:val="006C680B"/>
    <w:rsid w:val="006D0725"/>
    <w:rsid w:val="006F462A"/>
    <w:rsid w:val="007326B7"/>
    <w:rsid w:val="00767701"/>
    <w:rsid w:val="007812EC"/>
    <w:rsid w:val="007818A4"/>
    <w:rsid w:val="0078769C"/>
    <w:rsid w:val="007A3E1B"/>
    <w:rsid w:val="007B483B"/>
    <w:rsid w:val="007B5441"/>
    <w:rsid w:val="00802E2D"/>
    <w:rsid w:val="00825828"/>
    <w:rsid w:val="00851344"/>
    <w:rsid w:val="008553A7"/>
    <w:rsid w:val="00861F6F"/>
    <w:rsid w:val="008835B3"/>
    <w:rsid w:val="0088533A"/>
    <w:rsid w:val="008A4450"/>
    <w:rsid w:val="008B51C0"/>
    <w:rsid w:val="008D237D"/>
    <w:rsid w:val="008D607E"/>
    <w:rsid w:val="008F0EC3"/>
    <w:rsid w:val="0090604E"/>
    <w:rsid w:val="00923BD9"/>
    <w:rsid w:val="009465AF"/>
    <w:rsid w:val="00956FEC"/>
    <w:rsid w:val="0096173F"/>
    <w:rsid w:val="009713D5"/>
    <w:rsid w:val="009D4B6B"/>
    <w:rsid w:val="009D68F9"/>
    <w:rsid w:val="009E5B2D"/>
    <w:rsid w:val="009F454D"/>
    <w:rsid w:val="00A33A05"/>
    <w:rsid w:val="00AA114E"/>
    <w:rsid w:val="00AA4F04"/>
    <w:rsid w:val="00AA5CCF"/>
    <w:rsid w:val="00AA5E65"/>
    <w:rsid w:val="00AC27CC"/>
    <w:rsid w:val="00AE7630"/>
    <w:rsid w:val="00B21CC9"/>
    <w:rsid w:val="00B27B95"/>
    <w:rsid w:val="00B56638"/>
    <w:rsid w:val="00B601D6"/>
    <w:rsid w:val="00B672B6"/>
    <w:rsid w:val="00B86C06"/>
    <w:rsid w:val="00B94935"/>
    <w:rsid w:val="00BB65F1"/>
    <w:rsid w:val="00BC26D6"/>
    <w:rsid w:val="00BC3E7A"/>
    <w:rsid w:val="00BF149E"/>
    <w:rsid w:val="00BF180E"/>
    <w:rsid w:val="00BF29A4"/>
    <w:rsid w:val="00C0251E"/>
    <w:rsid w:val="00C07CBC"/>
    <w:rsid w:val="00C132AD"/>
    <w:rsid w:val="00C15B64"/>
    <w:rsid w:val="00C17999"/>
    <w:rsid w:val="00C33B66"/>
    <w:rsid w:val="00C372DF"/>
    <w:rsid w:val="00C42A40"/>
    <w:rsid w:val="00C63C2E"/>
    <w:rsid w:val="00C718CE"/>
    <w:rsid w:val="00C83DA4"/>
    <w:rsid w:val="00C863F0"/>
    <w:rsid w:val="00C877E8"/>
    <w:rsid w:val="00C954B2"/>
    <w:rsid w:val="00CA1A88"/>
    <w:rsid w:val="00CA3787"/>
    <w:rsid w:val="00CB6FB8"/>
    <w:rsid w:val="00CF4675"/>
    <w:rsid w:val="00D00F27"/>
    <w:rsid w:val="00D12B14"/>
    <w:rsid w:val="00D3043A"/>
    <w:rsid w:val="00D61860"/>
    <w:rsid w:val="00D6595E"/>
    <w:rsid w:val="00D86ABE"/>
    <w:rsid w:val="00DB1A95"/>
    <w:rsid w:val="00E04B31"/>
    <w:rsid w:val="00E1200E"/>
    <w:rsid w:val="00E234F3"/>
    <w:rsid w:val="00E3722B"/>
    <w:rsid w:val="00E6083A"/>
    <w:rsid w:val="00E66F70"/>
    <w:rsid w:val="00E751DB"/>
    <w:rsid w:val="00E7583B"/>
    <w:rsid w:val="00E7651B"/>
    <w:rsid w:val="00E854C8"/>
    <w:rsid w:val="00E971CE"/>
    <w:rsid w:val="00EA1F3E"/>
    <w:rsid w:val="00EA6B80"/>
    <w:rsid w:val="00EB5D3C"/>
    <w:rsid w:val="00EC2FAC"/>
    <w:rsid w:val="00EC6D62"/>
    <w:rsid w:val="00ED16F4"/>
    <w:rsid w:val="00EE2EB8"/>
    <w:rsid w:val="00EE4162"/>
    <w:rsid w:val="00EF05C1"/>
    <w:rsid w:val="00EF580B"/>
    <w:rsid w:val="00F06653"/>
    <w:rsid w:val="00F20CD6"/>
    <w:rsid w:val="00F22384"/>
    <w:rsid w:val="00F569E4"/>
    <w:rsid w:val="00F6138D"/>
    <w:rsid w:val="00F65AC0"/>
    <w:rsid w:val="00FA7039"/>
    <w:rsid w:val="00FE0BFB"/>
    <w:rsid w:val="00FE59DC"/>
    <w:rsid w:val="00FE5ABE"/>
    <w:rsid w:val="00FE7F51"/>
    <w:rsid w:val="00FF2C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E27D03"/>
  <w15:docId w15:val="{3912A0F5-CAB8-4693-BFF4-979D0A826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top w:w="15" w:type="dxa"/>
        <w:left w:w="115" w:type="dxa"/>
        <w:bottom w:w="15" w:type="dxa"/>
        <w:right w:w="115" w:type="dxa"/>
      </w:tblCellMar>
    </w:tblPr>
  </w:style>
  <w:style w:type="table" w:customStyle="1" w:styleId="aa">
    <w:basedOn w:val="TableNormal2"/>
    <w:tblPr>
      <w:tblStyleRowBandSize w:val="1"/>
      <w:tblStyleColBandSize w:val="1"/>
      <w:tblCellMar>
        <w:top w:w="15" w:type="dxa"/>
        <w:left w:w="115" w:type="dxa"/>
        <w:bottom w:w="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top w:w="15" w:type="dxa"/>
        <w:left w:w="115" w:type="dxa"/>
        <w:bottom w:w="15" w:type="dxa"/>
        <w:right w:w="115" w:type="dxa"/>
      </w:tblCellMar>
    </w:tblPr>
  </w:style>
  <w:style w:type="table" w:customStyle="1" w:styleId="af2">
    <w:basedOn w:val="TableNormal1"/>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5"/>
      </w:numPr>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top w:w="15" w:type="dxa"/>
        <w:left w:w="115" w:type="dxa"/>
        <w:bottom w:w="15" w:type="dxa"/>
        <w:right w:w="115" w:type="dxa"/>
      </w:tblCellMar>
    </w:tblPr>
  </w:style>
  <w:style w:type="table" w:customStyle="1" w:styleId="af5">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2409">
      <w:bodyDiv w:val="1"/>
      <w:marLeft w:val="0"/>
      <w:marRight w:val="0"/>
      <w:marTop w:val="0"/>
      <w:marBottom w:val="0"/>
      <w:divBdr>
        <w:top w:val="none" w:sz="0" w:space="0" w:color="auto"/>
        <w:left w:val="none" w:sz="0" w:space="0" w:color="auto"/>
        <w:bottom w:val="none" w:sz="0" w:space="0" w:color="auto"/>
        <w:right w:val="none" w:sz="0" w:space="0" w:color="auto"/>
      </w:divBdr>
    </w:div>
    <w:div w:id="127281228">
      <w:bodyDiv w:val="1"/>
      <w:marLeft w:val="0"/>
      <w:marRight w:val="0"/>
      <w:marTop w:val="0"/>
      <w:marBottom w:val="0"/>
      <w:divBdr>
        <w:top w:val="none" w:sz="0" w:space="0" w:color="auto"/>
        <w:left w:val="none" w:sz="0" w:space="0" w:color="auto"/>
        <w:bottom w:val="none" w:sz="0" w:space="0" w:color="auto"/>
        <w:right w:val="none" w:sz="0" w:space="0" w:color="auto"/>
      </w:divBdr>
    </w:div>
    <w:div w:id="159007955">
      <w:bodyDiv w:val="1"/>
      <w:marLeft w:val="0"/>
      <w:marRight w:val="0"/>
      <w:marTop w:val="0"/>
      <w:marBottom w:val="0"/>
      <w:divBdr>
        <w:top w:val="none" w:sz="0" w:space="0" w:color="auto"/>
        <w:left w:val="none" w:sz="0" w:space="0" w:color="auto"/>
        <w:bottom w:val="none" w:sz="0" w:space="0" w:color="auto"/>
        <w:right w:val="none" w:sz="0" w:space="0" w:color="auto"/>
      </w:divBdr>
    </w:div>
    <w:div w:id="209388327">
      <w:bodyDiv w:val="1"/>
      <w:marLeft w:val="0"/>
      <w:marRight w:val="0"/>
      <w:marTop w:val="0"/>
      <w:marBottom w:val="0"/>
      <w:divBdr>
        <w:top w:val="none" w:sz="0" w:space="0" w:color="auto"/>
        <w:left w:val="none" w:sz="0" w:space="0" w:color="auto"/>
        <w:bottom w:val="none" w:sz="0" w:space="0" w:color="auto"/>
        <w:right w:val="none" w:sz="0" w:space="0" w:color="auto"/>
      </w:divBdr>
      <w:divsChild>
        <w:div w:id="831069968">
          <w:marLeft w:val="2008"/>
          <w:marRight w:val="899"/>
          <w:marTop w:val="0"/>
          <w:marBottom w:val="101"/>
          <w:divBdr>
            <w:top w:val="none" w:sz="0" w:space="0" w:color="auto"/>
            <w:left w:val="none" w:sz="0" w:space="0" w:color="auto"/>
            <w:bottom w:val="none" w:sz="0" w:space="0" w:color="auto"/>
            <w:right w:val="none" w:sz="0" w:space="0" w:color="auto"/>
          </w:divBdr>
        </w:div>
        <w:div w:id="937907235">
          <w:marLeft w:val="142"/>
          <w:marRight w:val="0"/>
          <w:marTop w:val="0"/>
          <w:marBottom w:val="101"/>
          <w:divBdr>
            <w:top w:val="none" w:sz="0" w:space="0" w:color="auto"/>
            <w:left w:val="none" w:sz="0" w:space="0" w:color="auto"/>
            <w:bottom w:val="none" w:sz="0" w:space="0" w:color="auto"/>
            <w:right w:val="none" w:sz="0" w:space="0" w:color="auto"/>
          </w:divBdr>
        </w:div>
        <w:div w:id="1678117466">
          <w:marLeft w:val="142"/>
          <w:marRight w:val="0"/>
          <w:marTop w:val="0"/>
          <w:marBottom w:val="101"/>
          <w:divBdr>
            <w:top w:val="none" w:sz="0" w:space="0" w:color="auto"/>
            <w:left w:val="none" w:sz="0" w:space="0" w:color="auto"/>
            <w:bottom w:val="none" w:sz="0" w:space="0" w:color="auto"/>
            <w:right w:val="none" w:sz="0" w:space="0" w:color="auto"/>
          </w:divBdr>
        </w:div>
        <w:div w:id="922689946">
          <w:marLeft w:val="1134"/>
          <w:marRight w:val="0"/>
          <w:marTop w:val="0"/>
          <w:marBottom w:val="101"/>
          <w:divBdr>
            <w:top w:val="none" w:sz="0" w:space="0" w:color="auto"/>
            <w:left w:val="none" w:sz="0" w:space="0" w:color="auto"/>
            <w:bottom w:val="none" w:sz="0" w:space="0" w:color="auto"/>
            <w:right w:val="none" w:sz="0" w:space="0" w:color="auto"/>
          </w:divBdr>
        </w:div>
        <w:div w:id="717438264">
          <w:marLeft w:val="1134"/>
          <w:marRight w:val="0"/>
          <w:marTop w:val="0"/>
          <w:marBottom w:val="90"/>
          <w:divBdr>
            <w:top w:val="none" w:sz="0" w:space="0" w:color="auto"/>
            <w:left w:val="none" w:sz="0" w:space="0" w:color="auto"/>
            <w:bottom w:val="none" w:sz="0" w:space="0" w:color="auto"/>
            <w:right w:val="none" w:sz="0" w:space="0" w:color="auto"/>
          </w:divBdr>
        </w:div>
        <w:div w:id="361058649">
          <w:marLeft w:val="1134"/>
          <w:marRight w:val="0"/>
          <w:marTop w:val="0"/>
          <w:marBottom w:val="90"/>
          <w:divBdr>
            <w:top w:val="none" w:sz="0" w:space="0" w:color="auto"/>
            <w:left w:val="none" w:sz="0" w:space="0" w:color="auto"/>
            <w:bottom w:val="none" w:sz="0" w:space="0" w:color="auto"/>
            <w:right w:val="none" w:sz="0" w:space="0" w:color="auto"/>
          </w:divBdr>
        </w:div>
        <w:div w:id="1498837083">
          <w:marLeft w:val="1134"/>
          <w:marRight w:val="0"/>
          <w:marTop w:val="0"/>
          <w:marBottom w:val="90"/>
          <w:divBdr>
            <w:top w:val="none" w:sz="0" w:space="0" w:color="auto"/>
            <w:left w:val="none" w:sz="0" w:space="0" w:color="auto"/>
            <w:bottom w:val="none" w:sz="0" w:space="0" w:color="auto"/>
            <w:right w:val="none" w:sz="0" w:space="0" w:color="auto"/>
          </w:divBdr>
        </w:div>
        <w:div w:id="1873807354">
          <w:marLeft w:val="1134"/>
          <w:marRight w:val="0"/>
          <w:marTop w:val="0"/>
          <w:marBottom w:val="90"/>
          <w:divBdr>
            <w:top w:val="none" w:sz="0" w:space="0" w:color="auto"/>
            <w:left w:val="none" w:sz="0" w:space="0" w:color="auto"/>
            <w:bottom w:val="none" w:sz="0" w:space="0" w:color="auto"/>
            <w:right w:val="none" w:sz="0" w:space="0" w:color="auto"/>
          </w:divBdr>
        </w:div>
        <w:div w:id="2118330463">
          <w:marLeft w:val="1134"/>
          <w:marRight w:val="0"/>
          <w:marTop w:val="0"/>
          <w:marBottom w:val="90"/>
          <w:divBdr>
            <w:top w:val="none" w:sz="0" w:space="0" w:color="auto"/>
            <w:left w:val="none" w:sz="0" w:space="0" w:color="auto"/>
            <w:bottom w:val="none" w:sz="0" w:space="0" w:color="auto"/>
            <w:right w:val="none" w:sz="0" w:space="0" w:color="auto"/>
          </w:divBdr>
        </w:div>
        <w:div w:id="1776057233">
          <w:marLeft w:val="0"/>
          <w:marRight w:val="0"/>
          <w:marTop w:val="0"/>
          <w:marBottom w:val="90"/>
          <w:divBdr>
            <w:top w:val="none" w:sz="0" w:space="0" w:color="auto"/>
            <w:left w:val="none" w:sz="0" w:space="0" w:color="auto"/>
            <w:bottom w:val="none" w:sz="0" w:space="0" w:color="auto"/>
            <w:right w:val="none" w:sz="0" w:space="0" w:color="auto"/>
          </w:divBdr>
        </w:div>
        <w:div w:id="625046997">
          <w:marLeft w:val="0"/>
          <w:marRight w:val="0"/>
          <w:marTop w:val="0"/>
          <w:marBottom w:val="90"/>
          <w:divBdr>
            <w:top w:val="none" w:sz="0" w:space="0" w:color="auto"/>
            <w:left w:val="none" w:sz="0" w:space="0" w:color="auto"/>
            <w:bottom w:val="none" w:sz="0" w:space="0" w:color="auto"/>
            <w:right w:val="none" w:sz="0" w:space="0" w:color="auto"/>
          </w:divBdr>
        </w:div>
        <w:div w:id="132993266">
          <w:marLeft w:val="0"/>
          <w:marRight w:val="0"/>
          <w:marTop w:val="0"/>
          <w:marBottom w:val="90"/>
          <w:divBdr>
            <w:top w:val="none" w:sz="0" w:space="0" w:color="auto"/>
            <w:left w:val="none" w:sz="0" w:space="0" w:color="auto"/>
            <w:bottom w:val="none" w:sz="0" w:space="0" w:color="auto"/>
            <w:right w:val="none" w:sz="0" w:space="0" w:color="auto"/>
          </w:divBdr>
        </w:div>
        <w:div w:id="62333474">
          <w:marLeft w:val="0"/>
          <w:marRight w:val="0"/>
          <w:marTop w:val="0"/>
          <w:marBottom w:val="90"/>
          <w:divBdr>
            <w:top w:val="none" w:sz="0" w:space="0" w:color="auto"/>
            <w:left w:val="none" w:sz="0" w:space="0" w:color="auto"/>
            <w:bottom w:val="none" w:sz="0" w:space="0" w:color="auto"/>
            <w:right w:val="none" w:sz="0" w:space="0" w:color="auto"/>
          </w:divBdr>
        </w:div>
        <w:div w:id="2107578680">
          <w:marLeft w:val="0"/>
          <w:marRight w:val="0"/>
          <w:marTop w:val="0"/>
          <w:marBottom w:val="90"/>
          <w:divBdr>
            <w:top w:val="none" w:sz="0" w:space="0" w:color="auto"/>
            <w:left w:val="none" w:sz="0" w:space="0" w:color="auto"/>
            <w:bottom w:val="none" w:sz="0" w:space="0" w:color="auto"/>
            <w:right w:val="none" w:sz="0" w:space="0" w:color="auto"/>
          </w:divBdr>
        </w:div>
        <w:div w:id="384765357">
          <w:marLeft w:val="0"/>
          <w:marRight w:val="0"/>
          <w:marTop w:val="0"/>
          <w:marBottom w:val="90"/>
          <w:divBdr>
            <w:top w:val="none" w:sz="0" w:space="0" w:color="auto"/>
            <w:left w:val="none" w:sz="0" w:space="0" w:color="auto"/>
            <w:bottom w:val="none" w:sz="0" w:space="0" w:color="auto"/>
            <w:right w:val="none" w:sz="0" w:space="0" w:color="auto"/>
          </w:divBdr>
        </w:div>
        <w:div w:id="1156459453">
          <w:marLeft w:val="0"/>
          <w:marRight w:val="0"/>
          <w:marTop w:val="0"/>
          <w:marBottom w:val="90"/>
          <w:divBdr>
            <w:top w:val="none" w:sz="0" w:space="0" w:color="auto"/>
            <w:left w:val="none" w:sz="0" w:space="0" w:color="auto"/>
            <w:bottom w:val="none" w:sz="0" w:space="0" w:color="auto"/>
            <w:right w:val="none" w:sz="0" w:space="0" w:color="auto"/>
          </w:divBdr>
        </w:div>
        <w:div w:id="133448775">
          <w:marLeft w:val="0"/>
          <w:marRight w:val="0"/>
          <w:marTop w:val="0"/>
          <w:marBottom w:val="90"/>
          <w:divBdr>
            <w:top w:val="none" w:sz="0" w:space="0" w:color="auto"/>
            <w:left w:val="none" w:sz="0" w:space="0" w:color="auto"/>
            <w:bottom w:val="none" w:sz="0" w:space="0" w:color="auto"/>
            <w:right w:val="none" w:sz="0" w:space="0" w:color="auto"/>
          </w:divBdr>
        </w:div>
        <w:div w:id="1774783119">
          <w:marLeft w:val="284"/>
          <w:marRight w:val="899"/>
          <w:marTop w:val="0"/>
          <w:marBottom w:val="90"/>
          <w:divBdr>
            <w:top w:val="none" w:sz="0" w:space="0" w:color="auto"/>
            <w:left w:val="none" w:sz="0" w:space="0" w:color="auto"/>
            <w:bottom w:val="none" w:sz="0" w:space="0" w:color="auto"/>
            <w:right w:val="none" w:sz="0" w:space="0" w:color="auto"/>
          </w:divBdr>
        </w:div>
        <w:div w:id="392853931">
          <w:marLeft w:val="1701"/>
          <w:marRight w:val="899"/>
          <w:marTop w:val="0"/>
          <w:marBottom w:val="90"/>
          <w:divBdr>
            <w:top w:val="none" w:sz="0" w:space="0" w:color="auto"/>
            <w:left w:val="none" w:sz="0" w:space="0" w:color="auto"/>
            <w:bottom w:val="none" w:sz="0" w:space="0" w:color="auto"/>
            <w:right w:val="none" w:sz="0" w:space="0" w:color="auto"/>
          </w:divBdr>
        </w:div>
        <w:div w:id="977882467">
          <w:marLeft w:val="1701"/>
          <w:marRight w:val="899"/>
          <w:marTop w:val="0"/>
          <w:marBottom w:val="90"/>
          <w:divBdr>
            <w:top w:val="none" w:sz="0" w:space="0" w:color="auto"/>
            <w:left w:val="none" w:sz="0" w:space="0" w:color="auto"/>
            <w:bottom w:val="none" w:sz="0" w:space="0" w:color="auto"/>
            <w:right w:val="none" w:sz="0" w:space="0" w:color="auto"/>
          </w:divBdr>
        </w:div>
        <w:div w:id="1527601971">
          <w:marLeft w:val="1700"/>
          <w:marRight w:val="893"/>
          <w:marTop w:val="0"/>
          <w:marBottom w:val="90"/>
          <w:divBdr>
            <w:top w:val="none" w:sz="0" w:space="0" w:color="auto"/>
            <w:left w:val="none" w:sz="0" w:space="0" w:color="auto"/>
            <w:bottom w:val="none" w:sz="0" w:space="0" w:color="auto"/>
            <w:right w:val="none" w:sz="0" w:space="0" w:color="auto"/>
          </w:divBdr>
        </w:div>
        <w:div w:id="1297225945">
          <w:marLeft w:val="1700"/>
          <w:marRight w:val="893"/>
          <w:marTop w:val="0"/>
          <w:marBottom w:val="90"/>
          <w:divBdr>
            <w:top w:val="none" w:sz="0" w:space="0" w:color="auto"/>
            <w:left w:val="none" w:sz="0" w:space="0" w:color="auto"/>
            <w:bottom w:val="none" w:sz="0" w:space="0" w:color="auto"/>
            <w:right w:val="none" w:sz="0" w:space="0" w:color="auto"/>
          </w:divBdr>
        </w:div>
        <w:div w:id="1058431180">
          <w:marLeft w:val="1700"/>
          <w:marRight w:val="893"/>
          <w:marTop w:val="0"/>
          <w:marBottom w:val="90"/>
          <w:divBdr>
            <w:top w:val="none" w:sz="0" w:space="0" w:color="auto"/>
            <w:left w:val="none" w:sz="0" w:space="0" w:color="auto"/>
            <w:bottom w:val="none" w:sz="0" w:space="0" w:color="auto"/>
            <w:right w:val="none" w:sz="0" w:space="0" w:color="auto"/>
          </w:divBdr>
        </w:div>
        <w:div w:id="595527591">
          <w:marLeft w:val="1700"/>
          <w:marRight w:val="893"/>
          <w:marTop w:val="0"/>
          <w:marBottom w:val="90"/>
          <w:divBdr>
            <w:top w:val="none" w:sz="0" w:space="0" w:color="auto"/>
            <w:left w:val="none" w:sz="0" w:space="0" w:color="auto"/>
            <w:bottom w:val="none" w:sz="0" w:space="0" w:color="auto"/>
            <w:right w:val="none" w:sz="0" w:space="0" w:color="auto"/>
          </w:divBdr>
        </w:div>
        <w:div w:id="397022278">
          <w:marLeft w:val="1700"/>
          <w:marRight w:val="893"/>
          <w:marTop w:val="0"/>
          <w:marBottom w:val="90"/>
          <w:divBdr>
            <w:top w:val="none" w:sz="0" w:space="0" w:color="auto"/>
            <w:left w:val="none" w:sz="0" w:space="0" w:color="auto"/>
            <w:bottom w:val="none" w:sz="0" w:space="0" w:color="auto"/>
            <w:right w:val="none" w:sz="0" w:space="0" w:color="auto"/>
          </w:divBdr>
        </w:div>
        <w:div w:id="1527063520">
          <w:marLeft w:val="1700"/>
          <w:marRight w:val="893"/>
          <w:marTop w:val="0"/>
          <w:marBottom w:val="90"/>
          <w:divBdr>
            <w:top w:val="none" w:sz="0" w:space="0" w:color="auto"/>
            <w:left w:val="none" w:sz="0" w:space="0" w:color="auto"/>
            <w:bottom w:val="none" w:sz="0" w:space="0" w:color="auto"/>
            <w:right w:val="none" w:sz="0" w:space="0" w:color="auto"/>
          </w:divBdr>
        </w:div>
        <w:div w:id="1764760232">
          <w:marLeft w:val="1700"/>
          <w:marRight w:val="893"/>
          <w:marTop w:val="0"/>
          <w:marBottom w:val="90"/>
          <w:divBdr>
            <w:top w:val="none" w:sz="0" w:space="0" w:color="auto"/>
            <w:left w:val="none" w:sz="0" w:space="0" w:color="auto"/>
            <w:bottom w:val="none" w:sz="0" w:space="0" w:color="auto"/>
            <w:right w:val="none" w:sz="0" w:space="0" w:color="auto"/>
          </w:divBdr>
        </w:div>
        <w:div w:id="519204345">
          <w:marLeft w:val="1700"/>
          <w:marRight w:val="893"/>
          <w:marTop w:val="0"/>
          <w:marBottom w:val="90"/>
          <w:divBdr>
            <w:top w:val="none" w:sz="0" w:space="0" w:color="auto"/>
            <w:left w:val="none" w:sz="0" w:space="0" w:color="auto"/>
            <w:bottom w:val="none" w:sz="0" w:space="0" w:color="auto"/>
            <w:right w:val="none" w:sz="0" w:space="0" w:color="auto"/>
          </w:divBdr>
        </w:div>
        <w:div w:id="321664269">
          <w:marLeft w:val="1701"/>
          <w:marRight w:val="899"/>
          <w:marTop w:val="0"/>
          <w:marBottom w:val="90"/>
          <w:divBdr>
            <w:top w:val="none" w:sz="0" w:space="0" w:color="auto"/>
            <w:left w:val="none" w:sz="0" w:space="0" w:color="auto"/>
            <w:bottom w:val="none" w:sz="0" w:space="0" w:color="auto"/>
            <w:right w:val="none" w:sz="0" w:space="0" w:color="auto"/>
          </w:divBdr>
        </w:div>
        <w:div w:id="1248224715">
          <w:marLeft w:val="1701"/>
          <w:marRight w:val="899"/>
          <w:marTop w:val="0"/>
          <w:marBottom w:val="101"/>
          <w:divBdr>
            <w:top w:val="none" w:sz="0" w:space="0" w:color="auto"/>
            <w:left w:val="none" w:sz="0" w:space="0" w:color="auto"/>
            <w:bottom w:val="none" w:sz="0" w:space="0" w:color="auto"/>
            <w:right w:val="none" w:sz="0" w:space="0" w:color="auto"/>
          </w:divBdr>
        </w:div>
        <w:div w:id="889077230">
          <w:marLeft w:val="1701"/>
          <w:marRight w:val="899"/>
          <w:marTop w:val="0"/>
          <w:marBottom w:val="101"/>
          <w:divBdr>
            <w:top w:val="none" w:sz="0" w:space="0" w:color="auto"/>
            <w:left w:val="none" w:sz="0" w:space="0" w:color="auto"/>
            <w:bottom w:val="none" w:sz="0" w:space="0" w:color="auto"/>
            <w:right w:val="none" w:sz="0" w:space="0" w:color="auto"/>
          </w:divBdr>
        </w:div>
        <w:div w:id="1954239455">
          <w:marLeft w:val="1701"/>
          <w:marRight w:val="899"/>
          <w:marTop w:val="0"/>
          <w:marBottom w:val="101"/>
          <w:divBdr>
            <w:top w:val="none" w:sz="0" w:space="0" w:color="auto"/>
            <w:left w:val="none" w:sz="0" w:space="0" w:color="auto"/>
            <w:bottom w:val="none" w:sz="0" w:space="0" w:color="auto"/>
            <w:right w:val="none" w:sz="0" w:space="0" w:color="auto"/>
          </w:divBdr>
        </w:div>
        <w:div w:id="563756713">
          <w:marLeft w:val="1701"/>
          <w:marRight w:val="899"/>
          <w:marTop w:val="0"/>
          <w:marBottom w:val="101"/>
          <w:divBdr>
            <w:top w:val="none" w:sz="0" w:space="0" w:color="auto"/>
            <w:left w:val="none" w:sz="0" w:space="0" w:color="auto"/>
            <w:bottom w:val="none" w:sz="0" w:space="0" w:color="auto"/>
            <w:right w:val="none" w:sz="0" w:space="0" w:color="auto"/>
          </w:divBdr>
        </w:div>
        <w:div w:id="1691948491">
          <w:marLeft w:val="1701"/>
          <w:marRight w:val="899"/>
          <w:marTop w:val="0"/>
          <w:marBottom w:val="101"/>
          <w:divBdr>
            <w:top w:val="none" w:sz="0" w:space="0" w:color="auto"/>
            <w:left w:val="none" w:sz="0" w:space="0" w:color="auto"/>
            <w:bottom w:val="none" w:sz="0" w:space="0" w:color="auto"/>
            <w:right w:val="none" w:sz="0" w:space="0" w:color="auto"/>
          </w:divBdr>
        </w:div>
        <w:div w:id="337268331">
          <w:marLeft w:val="1701"/>
          <w:marRight w:val="899"/>
          <w:marTop w:val="0"/>
          <w:marBottom w:val="101"/>
          <w:divBdr>
            <w:top w:val="none" w:sz="0" w:space="0" w:color="auto"/>
            <w:left w:val="none" w:sz="0" w:space="0" w:color="auto"/>
            <w:bottom w:val="none" w:sz="0" w:space="0" w:color="auto"/>
            <w:right w:val="none" w:sz="0" w:space="0" w:color="auto"/>
          </w:divBdr>
        </w:div>
        <w:div w:id="1971325485">
          <w:marLeft w:val="1701"/>
          <w:marRight w:val="899"/>
          <w:marTop w:val="0"/>
          <w:marBottom w:val="101"/>
          <w:divBdr>
            <w:top w:val="none" w:sz="0" w:space="0" w:color="auto"/>
            <w:left w:val="none" w:sz="0" w:space="0" w:color="auto"/>
            <w:bottom w:val="none" w:sz="0" w:space="0" w:color="auto"/>
            <w:right w:val="none" w:sz="0" w:space="0" w:color="auto"/>
          </w:divBdr>
        </w:div>
        <w:div w:id="1798059708">
          <w:marLeft w:val="1701"/>
          <w:marRight w:val="899"/>
          <w:marTop w:val="0"/>
          <w:marBottom w:val="101"/>
          <w:divBdr>
            <w:top w:val="none" w:sz="0" w:space="0" w:color="auto"/>
            <w:left w:val="none" w:sz="0" w:space="0" w:color="auto"/>
            <w:bottom w:val="none" w:sz="0" w:space="0" w:color="auto"/>
            <w:right w:val="none" w:sz="0" w:space="0" w:color="auto"/>
          </w:divBdr>
        </w:div>
        <w:div w:id="1858736981">
          <w:marLeft w:val="1701"/>
          <w:marRight w:val="899"/>
          <w:marTop w:val="0"/>
          <w:marBottom w:val="101"/>
          <w:divBdr>
            <w:top w:val="none" w:sz="0" w:space="0" w:color="auto"/>
            <w:left w:val="none" w:sz="0" w:space="0" w:color="auto"/>
            <w:bottom w:val="none" w:sz="0" w:space="0" w:color="auto"/>
            <w:right w:val="none" w:sz="0" w:space="0" w:color="auto"/>
          </w:divBdr>
        </w:div>
        <w:div w:id="1147355357">
          <w:marLeft w:val="1701"/>
          <w:marRight w:val="899"/>
          <w:marTop w:val="0"/>
          <w:marBottom w:val="101"/>
          <w:divBdr>
            <w:top w:val="none" w:sz="0" w:space="0" w:color="auto"/>
            <w:left w:val="none" w:sz="0" w:space="0" w:color="auto"/>
            <w:bottom w:val="none" w:sz="0" w:space="0" w:color="auto"/>
            <w:right w:val="none" w:sz="0" w:space="0" w:color="auto"/>
          </w:divBdr>
        </w:div>
        <w:div w:id="1806854428">
          <w:marLeft w:val="1701"/>
          <w:marRight w:val="899"/>
          <w:marTop w:val="0"/>
          <w:marBottom w:val="101"/>
          <w:divBdr>
            <w:top w:val="none" w:sz="0" w:space="0" w:color="auto"/>
            <w:left w:val="none" w:sz="0" w:space="0" w:color="auto"/>
            <w:bottom w:val="none" w:sz="0" w:space="0" w:color="auto"/>
            <w:right w:val="none" w:sz="0" w:space="0" w:color="auto"/>
          </w:divBdr>
        </w:div>
        <w:div w:id="1949315085">
          <w:marLeft w:val="1701"/>
          <w:marRight w:val="899"/>
          <w:marTop w:val="0"/>
          <w:marBottom w:val="101"/>
          <w:divBdr>
            <w:top w:val="none" w:sz="0" w:space="0" w:color="auto"/>
            <w:left w:val="none" w:sz="0" w:space="0" w:color="auto"/>
            <w:bottom w:val="none" w:sz="0" w:space="0" w:color="auto"/>
            <w:right w:val="none" w:sz="0" w:space="0" w:color="auto"/>
          </w:divBdr>
        </w:div>
        <w:div w:id="1838154922">
          <w:marLeft w:val="1701"/>
          <w:marRight w:val="899"/>
          <w:marTop w:val="0"/>
          <w:marBottom w:val="101"/>
          <w:divBdr>
            <w:top w:val="none" w:sz="0" w:space="0" w:color="auto"/>
            <w:left w:val="none" w:sz="0" w:space="0" w:color="auto"/>
            <w:bottom w:val="none" w:sz="0" w:space="0" w:color="auto"/>
            <w:right w:val="none" w:sz="0" w:space="0" w:color="auto"/>
          </w:divBdr>
        </w:div>
        <w:div w:id="1832141729">
          <w:marLeft w:val="1701"/>
          <w:marRight w:val="899"/>
          <w:marTop w:val="0"/>
          <w:marBottom w:val="101"/>
          <w:divBdr>
            <w:top w:val="none" w:sz="0" w:space="0" w:color="auto"/>
            <w:left w:val="none" w:sz="0" w:space="0" w:color="auto"/>
            <w:bottom w:val="none" w:sz="0" w:space="0" w:color="auto"/>
            <w:right w:val="none" w:sz="0" w:space="0" w:color="auto"/>
          </w:divBdr>
        </w:div>
        <w:div w:id="395595366">
          <w:marLeft w:val="1701"/>
          <w:marRight w:val="899"/>
          <w:marTop w:val="0"/>
          <w:marBottom w:val="101"/>
          <w:divBdr>
            <w:top w:val="none" w:sz="0" w:space="0" w:color="auto"/>
            <w:left w:val="none" w:sz="0" w:space="0" w:color="auto"/>
            <w:bottom w:val="none" w:sz="0" w:space="0" w:color="auto"/>
            <w:right w:val="none" w:sz="0" w:space="0" w:color="auto"/>
          </w:divBdr>
        </w:div>
        <w:div w:id="757991551">
          <w:marLeft w:val="1701"/>
          <w:marRight w:val="899"/>
          <w:marTop w:val="0"/>
          <w:marBottom w:val="101"/>
          <w:divBdr>
            <w:top w:val="none" w:sz="0" w:space="0" w:color="auto"/>
            <w:left w:val="none" w:sz="0" w:space="0" w:color="auto"/>
            <w:bottom w:val="none" w:sz="0" w:space="0" w:color="auto"/>
            <w:right w:val="none" w:sz="0" w:space="0" w:color="auto"/>
          </w:divBdr>
        </w:div>
      </w:divsChild>
    </w:div>
    <w:div w:id="297299677">
      <w:bodyDiv w:val="1"/>
      <w:marLeft w:val="0"/>
      <w:marRight w:val="0"/>
      <w:marTop w:val="0"/>
      <w:marBottom w:val="0"/>
      <w:divBdr>
        <w:top w:val="none" w:sz="0" w:space="0" w:color="auto"/>
        <w:left w:val="none" w:sz="0" w:space="0" w:color="auto"/>
        <w:bottom w:val="none" w:sz="0" w:space="0" w:color="auto"/>
        <w:right w:val="none" w:sz="0" w:space="0" w:color="auto"/>
      </w:divBdr>
    </w:div>
    <w:div w:id="525294623">
      <w:bodyDiv w:val="1"/>
      <w:marLeft w:val="0"/>
      <w:marRight w:val="0"/>
      <w:marTop w:val="0"/>
      <w:marBottom w:val="0"/>
      <w:divBdr>
        <w:top w:val="none" w:sz="0" w:space="0" w:color="auto"/>
        <w:left w:val="none" w:sz="0" w:space="0" w:color="auto"/>
        <w:bottom w:val="none" w:sz="0" w:space="0" w:color="auto"/>
        <w:right w:val="none" w:sz="0" w:space="0" w:color="auto"/>
      </w:divBdr>
    </w:div>
    <w:div w:id="547301803">
      <w:bodyDiv w:val="1"/>
      <w:marLeft w:val="0"/>
      <w:marRight w:val="0"/>
      <w:marTop w:val="0"/>
      <w:marBottom w:val="0"/>
      <w:divBdr>
        <w:top w:val="none" w:sz="0" w:space="0" w:color="auto"/>
        <w:left w:val="none" w:sz="0" w:space="0" w:color="auto"/>
        <w:bottom w:val="none" w:sz="0" w:space="0" w:color="auto"/>
        <w:right w:val="none" w:sz="0" w:space="0" w:color="auto"/>
      </w:divBdr>
    </w:div>
    <w:div w:id="634993855">
      <w:bodyDiv w:val="1"/>
      <w:marLeft w:val="0"/>
      <w:marRight w:val="0"/>
      <w:marTop w:val="0"/>
      <w:marBottom w:val="0"/>
      <w:divBdr>
        <w:top w:val="none" w:sz="0" w:space="0" w:color="auto"/>
        <w:left w:val="none" w:sz="0" w:space="0" w:color="auto"/>
        <w:bottom w:val="none" w:sz="0" w:space="0" w:color="auto"/>
        <w:right w:val="none" w:sz="0" w:space="0" w:color="auto"/>
      </w:divBdr>
    </w:div>
    <w:div w:id="752818789">
      <w:bodyDiv w:val="1"/>
      <w:marLeft w:val="0"/>
      <w:marRight w:val="0"/>
      <w:marTop w:val="0"/>
      <w:marBottom w:val="0"/>
      <w:divBdr>
        <w:top w:val="none" w:sz="0" w:space="0" w:color="auto"/>
        <w:left w:val="none" w:sz="0" w:space="0" w:color="auto"/>
        <w:bottom w:val="none" w:sz="0" w:space="0" w:color="auto"/>
        <w:right w:val="none" w:sz="0" w:space="0" w:color="auto"/>
      </w:divBdr>
    </w:div>
    <w:div w:id="881939350">
      <w:bodyDiv w:val="1"/>
      <w:marLeft w:val="0"/>
      <w:marRight w:val="0"/>
      <w:marTop w:val="0"/>
      <w:marBottom w:val="0"/>
      <w:divBdr>
        <w:top w:val="none" w:sz="0" w:space="0" w:color="auto"/>
        <w:left w:val="none" w:sz="0" w:space="0" w:color="auto"/>
        <w:bottom w:val="none" w:sz="0" w:space="0" w:color="auto"/>
        <w:right w:val="none" w:sz="0" w:space="0" w:color="auto"/>
      </w:divBdr>
    </w:div>
    <w:div w:id="889072379">
      <w:bodyDiv w:val="1"/>
      <w:marLeft w:val="0"/>
      <w:marRight w:val="0"/>
      <w:marTop w:val="0"/>
      <w:marBottom w:val="0"/>
      <w:divBdr>
        <w:top w:val="none" w:sz="0" w:space="0" w:color="auto"/>
        <w:left w:val="none" w:sz="0" w:space="0" w:color="auto"/>
        <w:bottom w:val="none" w:sz="0" w:space="0" w:color="auto"/>
        <w:right w:val="none" w:sz="0" w:space="0" w:color="auto"/>
      </w:divBdr>
    </w:div>
    <w:div w:id="892040195">
      <w:bodyDiv w:val="1"/>
      <w:marLeft w:val="0"/>
      <w:marRight w:val="0"/>
      <w:marTop w:val="0"/>
      <w:marBottom w:val="0"/>
      <w:divBdr>
        <w:top w:val="none" w:sz="0" w:space="0" w:color="auto"/>
        <w:left w:val="none" w:sz="0" w:space="0" w:color="auto"/>
        <w:bottom w:val="none" w:sz="0" w:space="0" w:color="auto"/>
        <w:right w:val="none" w:sz="0" w:space="0" w:color="auto"/>
      </w:divBdr>
    </w:div>
    <w:div w:id="1046443562">
      <w:bodyDiv w:val="1"/>
      <w:marLeft w:val="0"/>
      <w:marRight w:val="0"/>
      <w:marTop w:val="0"/>
      <w:marBottom w:val="0"/>
      <w:divBdr>
        <w:top w:val="none" w:sz="0" w:space="0" w:color="auto"/>
        <w:left w:val="none" w:sz="0" w:space="0" w:color="auto"/>
        <w:bottom w:val="none" w:sz="0" w:space="0" w:color="auto"/>
        <w:right w:val="none" w:sz="0" w:space="0" w:color="auto"/>
      </w:divBdr>
    </w:div>
    <w:div w:id="1079257866">
      <w:bodyDiv w:val="1"/>
      <w:marLeft w:val="0"/>
      <w:marRight w:val="0"/>
      <w:marTop w:val="0"/>
      <w:marBottom w:val="0"/>
      <w:divBdr>
        <w:top w:val="none" w:sz="0" w:space="0" w:color="auto"/>
        <w:left w:val="none" w:sz="0" w:space="0" w:color="auto"/>
        <w:bottom w:val="none" w:sz="0" w:space="0" w:color="auto"/>
        <w:right w:val="none" w:sz="0" w:space="0" w:color="auto"/>
      </w:divBdr>
    </w:div>
    <w:div w:id="1094588612">
      <w:bodyDiv w:val="1"/>
      <w:marLeft w:val="0"/>
      <w:marRight w:val="0"/>
      <w:marTop w:val="0"/>
      <w:marBottom w:val="0"/>
      <w:divBdr>
        <w:top w:val="none" w:sz="0" w:space="0" w:color="auto"/>
        <w:left w:val="none" w:sz="0" w:space="0" w:color="auto"/>
        <w:bottom w:val="none" w:sz="0" w:space="0" w:color="auto"/>
        <w:right w:val="none" w:sz="0" w:space="0" w:color="auto"/>
      </w:divBdr>
    </w:div>
    <w:div w:id="1129938219">
      <w:bodyDiv w:val="1"/>
      <w:marLeft w:val="0"/>
      <w:marRight w:val="0"/>
      <w:marTop w:val="0"/>
      <w:marBottom w:val="0"/>
      <w:divBdr>
        <w:top w:val="none" w:sz="0" w:space="0" w:color="auto"/>
        <w:left w:val="none" w:sz="0" w:space="0" w:color="auto"/>
        <w:bottom w:val="none" w:sz="0" w:space="0" w:color="auto"/>
        <w:right w:val="none" w:sz="0" w:space="0" w:color="auto"/>
      </w:divBdr>
    </w:div>
    <w:div w:id="1161189841">
      <w:bodyDiv w:val="1"/>
      <w:marLeft w:val="0"/>
      <w:marRight w:val="0"/>
      <w:marTop w:val="0"/>
      <w:marBottom w:val="0"/>
      <w:divBdr>
        <w:top w:val="none" w:sz="0" w:space="0" w:color="auto"/>
        <w:left w:val="none" w:sz="0" w:space="0" w:color="auto"/>
        <w:bottom w:val="none" w:sz="0" w:space="0" w:color="auto"/>
        <w:right w:val="none" w:sz="0" w:space="0" w:color="auto"/>
      </w:divBdr>
    </w:div>
    <w:div w:id="1317223524">
      <w:bodyDiv w:val="1"/>
      <w:marLeft w:val="0"/>
      <w:marRight w:val="0"/>
      <w:marTop w:val="0"/>
      <w:marBottom w:val="0"/>
      <w:divBdr>
        <w:top w:val="none" w:sz="0" w:space="0" w:color="auto"/>
        <w:left w:val="none" w:sz="0" w:space="0" w:color="auto"/>
        <w:bottom w:val="none" w:sz="0" w:space="0" w:color="auto"/>
        <w:right w:val="none" w:sz="0" w:space="0" w:color="auto"/>
      </w:divBdr>
    </w:div>
    <w:div w:id="1333528386">
      <w:bodyDiv w:val="1"/>
      <w:marLeft w:val="0"/>
      <w:marRight w:val="0"/>
      <w:marTop w:val="0"/>
      <w:marBottom w:val="0"/>
      <w:divBdr>
        <w:top w:val="none" w:sz="0" w:space="0" w:color="auto"/>
        <w:left w:val="none" w:sz="0" w:space="0" w:color="auto"/>
        <w:bottom w:val="none" w:sz="0" w:space="0" w:color="auto"/>
        <w:right w:val="none" w:sz="0" w:space="0" w:color="auto"/>
      </w:divBdr>
    </w:div>
    <w:div w:id="1407264735">
      <w:bodyDiv w:val="1"/>
      <w:marLeft w:val="0"/>
      <w:marRight w:val="0"/>
      <w:marTop w:val="0"/>
      <w:marBottom w:val="0"/>
      <w:divBdr>
        <w:top w:val="none" w:sz="0" w:space="0" w:color="auto"/>
        <w:left w:val="none" w:sz="0" w:space="0" w:color="auto"/>
        <w:bottom w:val="none" w:sz="0" w:space="0" w:color="auto"/>
        <w:right w:val="none" w:sz="0" w:space="0" w:color="auto"/>
      </w:divBdr>
    </w:div>
    <w:div w:id="1444420955">
      <w:bodyDiv w:val="1"/>
      <w:marLeft w:val="0"/>
      <w:marRight w:val="0"/>
      <w:marTop w:val="0"/>
      <w:marBottom w:val="0"/>
      <w:divBdr>
        <w:top w:val="none" w:sz="0" w:space="0" w:color="auto"/>
        <w:left w:val="none" w:sz="0" w:space="0" w:color="auto"/>
        <w:bottom w:val="none" w:sz="0" w:space="0" w:color="auto"/>
        <w:right w:val="none" w:sz="0" w:space="0" w:color="auto"/>
      </w:divBdr>
    </w:div>
    <w:div w:id="1589122115">
      <w:bodyDiv w:val="1"/>
      <w:marLeft w:val="0"/>
      <w:marRight w:val="0"/>
      <w:marTop w:val="0"/>
      <w:marBottom w:val="0"/>
      <w:divBdr>
        <w:top w:val="none" w:sz="0" w:space="0" w:color="auto"/>
        <w:left w:val="none" w:sz="0" w:space="0" w:color="auto"/>
        <w:bottom w:val="none" w:sz="0" w:space="0" w:color="auto"/>
        <w:right w:val="none" w:sz="0" w:space="0" w:color="auto"/>
      </w:divBdr>
    </w:div>
    <w:div w:id="1652639351">
      <w:bodyDiv w:val="1"/>
      <w:marLeft w:val="0"/>
      <w:marRight w:val="0"/>
      <w:marTop w:val="0"/>
      <w:marBottom w:val="0"/>
      <w:divBdr>
        <w:top w:val="none" w:sz="0" w:space="0" w:color="auto"/>
        <w:left w:val="none" w:sz="0" w:space="0" w:color="auto"/>
        <w:bottom w:val="none" w:sz="0" w:space="0" w:color="auto"/>
        <w:right w:val="none" w:sz="0" w:space="0" w:color="auto"/>
      </w:divBdr>
    </w:div>
    <w:div w:id="1707023684">
      <w:bodyDiv w:val="1"/>
      <w:marLeft w:val="0"/>
      <w:marRight w:val="0"/>
      <w:marTop w:val="0"/>
      <w:marBottom w:val="0"/>
      <w:divBdr>
        <w:top w:val="none" w:sz="0" w:space="0" w:color="auto"/>
        <w:left w:val="none" w:sz="0" w:space="0" w:color="auto"/>
        <w:bottom w:val="none" w:sz="0" w:space="0" w:color="auto"/>
        <w:right w:val="none" w:sz="0" w:space="0" w:color="auto"/>
      </w:divBdr>
    </w:div>
    <w:div w:id="1752892627">
      <w:bodyDiv w:val="1"/>
      <w:marLeft w:val="0"/>
      <w:marRight w:val="0"/>
      <w:marTop w:val="0"/>
      <w:marBottom w:val="0"/>
      <w:divBdr>
        <w:top w:val="none" w:sz="0" w:space="0" w:color="auto"/>
        <w:left w:val="none" w:sz="0" w:space="0" w:color="auto"/>
        <w:bottom w:val="none" w:sz="0" w:space="0" w:color="auto"/>
        <w:right w:val="none" w:sz="0" w:space="0" w:color="auto"/>
      </w:divBdr>
    </w:div>
    <w:div w:id="1792896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oAQFtBYMY1XaEqqC7L3lrJYjhg==">CgMxLjAyCWguMWZvYjl0ZTIJaC4zem55c2g3Mg5oLmozcHB5eHdsYjFzMjIIaC50eWpjd3QyDmguemdtenJ1ZXp3bGNvMg1oLmpsMGRsYXNvdDRmOAByITFhbW1ZRFRwRW9VTUVIVnAwT25ldjVCYkZ0R3pFUThneQ==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10716</Words>
  <Characters>58941</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2025-08-22T18:41:00Z</cp:lastPrinted>
  <dcterms:created xsi:type="dcterms:W3CDTF">2025-09-04T22:15:00Z</dcterms:created>
  <dcterms:modified xsi:type="dcterms:W3CDTF">2025-09-04T22:15:00Z</dcterms:modified>
</cp:coreProperties>
</file>