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565" w:rsidRDefault="009A0565">
      <w:pPr>
        <w:widowControl w:val="0"/>
        <w:pBdr>
          <w:top w:val="nil"/>
          <w:left w:val="nil"/>
          <w:bottom w:val="nil"/>
          <w:right w:val="nil"/>
          <w:between w:val="nil"/>
        </w:pBdr>
        <w:spacing w:after="0" w:line="276" w:lineRule="auto"/>
      </w:pPr>
    </w:p>
    <w:p w:rsidR="009A0565" w:rsidRDefault="009A0565">
      <w:pPr>
        <w:spacing w:after="0" w:line="360" w:lineRule="auto"/>
        <w:ind w:right="-28"/>
        <w:jc w:val="both"/>
        <w:rPr>
          <w:rFonts w:ascii="Palatino Linotype" w:eastAsia="Palatino Linotype" w:hAnsi="Palatino Linotype" w:cs="Palatino Linotype"/>
        </w:rPr>
      </w:pPr>
    </w:p>
    <w:p w:rsidR="009A0565" w:rsidRDefault="003649B4">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quince de enero de dos mil veinticinco.</w:t>
      </w:r>
    </w:p>
    <w:p w:rsidR="009A0565" w:rsidRDefault="009A0565">
      <w:pPr>
        <w:spacing w:after="0" w:line="360" w:lineRule="auto"/>
        <w:ind w:right="-28"/>
        <w:jc w:val="both"/>
        <w:rPr>
          <w:rFonts w:ascii="Palatino Linotype" w:eastAsia="Palatino Linotype" w:hAnsi="Palatino Linotype" w:cs="Palatino Linotype"/>
        </w:rPr>
      </w:pPr>
    </w:p>
    <w:p w:rsidR="009A0565" w:rsidRDefault="003649B4">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b/>
        </w:rPr>
        <w:t xml:space="preserve">VISTO </w:t>
      </w:r>
      <w:r>
        <w:rPr>
          <w:rFonts w:ascii="Palatino Linotype" w:eastAsia="Palatino Linotype" w:hAnsi="Palatino Linotype" w:cs="Palatino Linotype"/>
        </w:rPr>
        <w:t xml:space="preserve">el expediente conformado con motivo del Recurso de Revisión </w:t>
      </w:r>
      <w:r w:rsidRPr="000F6D43">
        <w:rPr>
          <w:rFonts w:ascii="Palatino Linotype" w:eastAsia="Palatino Linotype" w:hAnsi="Palatino Linotype" w:cs="Palatino Linotype"/>
          <w:b/>
          <w:color w:val="0D0D0D"/>
        </w:rPr>
        <w:t>07446/INFOEM/IP/RR/2024</w:t>
      </w:r>
      <w:r w:rsidRPr="000F6D43">
        <w:rPr>
          <w:rFonts w:ascii="Palatino Linotype" w:eastAsia="Palatino Linotype" w:hAnsi="Palatino Linotype" w:cs="Palatino Linotype"/>
          <w:b/>
        </w:rPr>
        <w:t>,</w:t>
      </w:r>
      <w:r>
        <w:rPr>
          <w:rFonts w:ascii="Palatino Linotype" w:eastAsia="Palatino Linotype" w:hAnsi="Palatino Linotype" w:cs="Palatino Linotype"/>
        </w:rPr>
        <w:t xml:space="preserve"> interpuesto por </w:t>
      </w:r>
      <w:r w:rsidR="0018770C" w:rsidRPr="0018770C">
        <w:rPr>
          <w:rFonts w:ascii="Palatino Linotype" w:eastAsia="Palatino Linotype" w:hAnsi="Palatino Linotype" w:cs="Palatino Linotype"/>
          <w:b/>
          <w:highlight w:val="black"/>
        </w:rPr>
        <w:t>XXXXXXXXXXXXXXXXXXXXXX</w:t>
      </w:r>
      <w:r>
        <w:rPr>
          <w:rFonts w:ascii="Palatino Linotype" w:eastAsia="Palatino Linotype" w:hAnsi="Palatino Linotype" w:cs="Palatino Linotype"/>
        </w:rPr>
        <w:t xml:space="preserve"> en lo sucesivo el Recurrente o Particular, en contra de la respuesta del Sujeto Obligado</w:t>
      </w:r>
      <w:r w:rsidRPr="000F6D43">
        <w:rPr>
          <w:rFonts w:ascii="Palatino Linotype" w:eastAsia="Palatino Linotype" w:hAnsi="Palatino Linotype" w:cs="Palatino Linotype"/>
          <w:b/>
        </w:rPr>
        <w:t xml:space="preserve">, </w:t>
      </w:r>
      <w:r w:rsidRPr="000F6D43">
        <w:rPr>
          <w:rFonts w:ascii="Palatino Linotype" w:eastAsia="Palatino Linotype" w:hAnsi="Palatino Linotype" w:cs="Palatino Linotype"/>
          <w:b/>
          <w:color w:val="000000"/>
        </w:rPr>
        <w:t>Instituto de la Función Registral del Estado de México</w:t>
      </w:r>
      <w:r w:rsidRPr="000F6D43">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a la solicitud de acceso a la información pública con número de folio </w:t>
      </w:r>
      <w:r>
        <w:rPr>
          <w:rFonts w:ascii="Palatino Linotype" w:eastAsia="Palatino Linotype" w:hAnsi="Palatino Linotype" w:cs="Palatino Linotype"/>
          <w:color w:val="000000"/>
        </w:rPr>
        <w:t>00145/IFR/IP/2024</w:t>
      </w:r>
      <w:r>
        <w:rPr>
          <w:rFonts w:ascii="Palatino Linotype" w:eastAsia="Palatino Linotype" w:hAnsi="Palatino Linotype" w:cs="Palatino Linotype"/>
        </w:rPr>
        <w:t>, se emite la presente Resolución, con base en los Antecedentes y Considerandos que se exponen a continuación:</w:t>
      </w:r>
    </w:p>
    <w:p w:rsidR="009A0565" w:rsidRDefault="009A0565">
      <w:pPr>
        <w:spacing w:after="0" w:line="360" w:lineRule="auto"/>
        <w:ind w:right="-28"/>
        <w:jc w:val="both"/>
        <w:rPr>
          <w:rFonts w:ascii="Palatino Linotype" w:eastAsia="Palatino Linotype" w:hAnsi="Palatino Linotype" w:cs="Palatino Linotype"/>
          <w:b/>
          <w:color w:val="0D0D0D"/>
        </w:rPr>
      </w:pPr>
    </w:p>
    <w:p w:rsidR="009A0565" w:rsidRDefault="003649B4">
      <w:pPr>
        <w:tabs>
          <w:tab w:val="center" w:pos="4522"/>
          <w:tab w:val="left" w:pos="7245"/>
          <w:tab w:val="right" w:pos="9044"/>
        </w:tabs>
        <w:spacing w:after="0" w:line="360" w:lineRule="auto"/>
        <w:ind w:right="-28"/>
        <w:jc w:val="center"/>
        <w:rPr>
          <w:rFonts w:ascii="Palatino Linotype" w:eastAsia="Palatino Linotype" w:hAnsi="Palatino Linotype" w:cs="Palatino Linotype"/>
          <w:b/>
        </w:rPr>
      </w:pPr>
      <w:r>
        <w:rPr>
          <w:rFonts w:ascii="Palatino Linotype" w:eastAsia="Palatino Linotype" w:hAnsi="Palatino Linotype" w:cs="Palatino Linotype"/>
          <w:b/>
        </w:rPr>
        <w:t>A N T E C E D E N T E S</w:t>
      </w:r>
    </w:p>
    <w:p w:rsidR="009A0565" w:rsidRDefault="009A0565">
      <w:pPr>
        <w:tabs>
          <w:tab w:val="center" w:pos="4522"/>
          <w:tab w:val="left" w:pos="7245"/>
          <w:tab w:val="right" w:pos="9044"/>
        </w:tabs>
        <w:spacing w:after="0" w:line="360" w:lineRule="auto"/>
        <w:ind w:right="-28"/>
        <w:rPr>
          <w:rFonts w:ascii="Palatino Linotype" w:eastAsia="Palatino Linotype" w:hAnsi="Palatino Linotype" w:cs="Palatino Linotype"/>
          <w:b/>
        </w:rPr>
      </w:pPr>
    </w:p>
    <w:p w:rsidR="009A0565" w:rsidRDefault="003649B4">
      <w:pPr>
        <w:pBdr>
          <w:top w:val="nil"/>
          <w:left w:val="nil"/>
          <w:bottom w:val="nil"/>
          <w:right w:val="nil"/>
          <w:between w:val="nil"/>
        </w:pBdr>
        <w:tabs>
          <w:tab w:val="left" w:pos="567"/>
        </w:tabs>
        <w:spacing w:after="0" w:line="360" w:lineRule="auto"/>
        <w:ind w:right="-2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I. Presentación de la solicitud de información</w:t>
      </w:r>
    </w:p>
    <w:p w:rsidR="009A0565" w:rsidRDefault="009A0565">
      <w:pPr>
        <w:pBdr>
          <w:top w:val="nil"/>
          <w:left w:val="nil"/>
          <w:bottom w:val="nil"/>
          <w:right w:val="nil"/>
          <w:between w:val="nil"/>
        </w:pBdr>
        <w:tabs>
          <w:tab w:val="left" w:pos="1050"/>
        </w:tabs>
        <w:spacing w:after="0" w:line="360" w:lineRule="auto"/>
        <w:ind w:right="-28"/>
        <w:jc w:val="both"/>
        <w:rPr>
          <w:rFonts w:ascii="Palatino Linotype" w:eastAsia="Palatino Linotype" w:hAnsi="Palatino Linotype" w:cs="Palatino Linotype"/>
          <w:color w:val="000000"/>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fecha treinta y uno de octubre de dos mil veinticuatro, el Particular presentó una solicitud de acceso a la información pública, a través del Sistema de Acceso a la Información Mexiquense (SAIMEX), ante el </w:t>
      </w:r>
      <w:r>
        <w:rPr>
          <w:rFonts w:ascii="Palatino Linotype" w:eastAsia="Palatino Linotype" w:hAnsi="Palatino Linotype" w:cs="Palatino Linotype"/>
          <w:color w:val="000000"/>
        </w:rPr>
        <w:t>Instituto de la Función Registral del Estado de México</w:t>
      </w:r>
      <w:r>
        <w:rPr>
          <w:rFonts w:ascii="Palatino Linotype" w:eastAsia="Palatino Linotype" w:hAnsi="Palatino Linotype" w:cs="Palatino Linotype"/>
          <w:b/>
        </w:rPr>
        <w:t xml:space="preserve">, </w:t>
      </w:r>
      <w:r>
        <w:rPr>
          <w:rFonts w:ascii="Palatino Linotype" w:eastAsia="Palatino Linotype" w:hAnsi="Palatino Linotype" w:cs="Palatino Linotype"/>
        </w:rPr>
        <w:t>mediante la cual requirió lo siguiente:</w:t>
      </w:r>
    </w:p>
    <w:p w:rsidR="009A0565" w:rsidRDefault="009A0565">
      <w:pPr>
        <w:tabs>
          <w:tab w:val="left" w:pos="4667"/>
        </w:tabs>
        <w:spacing w:after="0" w:line="360" w:lineRule="auto"/>
        <w:ind w:right="567"/>
        <w:jc w:val="both"/>
        <w:rPr>
          <w:rFonts w:ascii="Palatino Linotype" w:eastAsia="Palatino Linotype" w:hAnsi="Palatino Linotype" w:cs="Palatino Linotype"/>
          <w:b/>
          <w:i/>
        </w:rPr>
      </w:pPr>
    </w:p>
    <w:p w:rsidR="009A0565" w:rsidRDefault="003649B4">
      <w:pPr>
        <w:tabs>
          <w:tab w:val="left" w:pos="4667"/>
        </w:tabs>
        <w:spacing w:after="0" w:line="360" w:lineRule="auto"/>
        <w:ind w:left="567" w:right="567"/>
        <w:jc w:val="both"/>
        <w:rPr>
          <w:rFonts w:ascii="Palatino Linotype" w:eastAsia="Palatino Linotype" w:hAnsi="Palatino Linotype" w:cs="Palatino Linotype"/>
          <w:b/>
          <w:i/>
          <w:sz w:val="20"/>
          <w:szCs w:val="20"/>
        </w:rPr>
      </w:pPr>
      <w:bookmarkStart w:id="0" w:name="_heading=h.gjdgxs" w:colFirst="0" w:colLast="0"/>
      <w:bookmarkEnd w:id="0"/>
      <w:r>
        <w:rPr>
          <w:rFonts w:ascii="Palatino Linotype" w:eastAsia="Palatino Linotype" w:hAnsi="Palatino Linotype" w:cs="Palatino Linotype"/>
          <w:b/>
          <w:i/>
          <w:sz w:val="20"/>
          <w:szCs w:val="20"/>
        </w:rPr>
        <w:t>“DESCRIPCIÓN CLARA Y PRECISA DE LA INFORMACIÓN SOLICITADA:</w:t>
      </w:r>
    </w:p>
    <w:p w:rsidR="009A0565" w:rsidRDefault="003649B4">
      <w:pPr>
        <w:spacing w:after="0" w:line="360" w:lineRule="auto"/>
        <w:ind w:left="567" w:right="567"/>
        <w:jc w:val="both"/>
        <w:rPr>
          <w:rFonts w:ascii="Palatino Linotype" w:eastAsia="Palatino Linotype" w:hAnsi="Palatino Linotype" w:cs="Palatino Linotype"/>
          <w:i/>
          <w:sz w:val="20"/>
          <w:szCs w:val="20"/>
        </w:rPr>
      </w:pPr>
      <w:r>
        <w:rPr>
          <w:rFonts w:ascii="Palatino Linotype" w:eastAsia="Palatino Linotype" w:hAnsi="Palatino Linotype" w:cs="Palatino Linotype"/>
          <w:i/>
          <w:color w:val="000000"/>
          <w:sz w:val="20"/>
          <w:szCs w:val="20"/>
        </w:rPr>
        <w:t xml:space="preserve">SOLICITO CON SOPORTE DOCUMENTAL SE INDIQUE EL GRADO ACADÉMICO DEL SERVIDOR PÚBLICO LUIS ANTONIO SIERRA ALVAREZ, QUIEN FUNGE COMO JEFE </w:t>
      </w:r>
      <w:r>
        <w:rPr>
          <w:rFonts w:ascii="Palatino Linotype" w:eastAsia="Palatino Linotype" w:hAnsi="Palatino Linotype" w:cs="Palatino Linotype"/>
          <w:i/>
          <w:color w:val="000000"/>
          <w:sz w:val="20"/>
          <w:szCs w:val="20"/>
        </w:rPr>
        <w:lastRenderedPageBreak/>
        <w:t>DEL DEPARTAMENTO DE RECURSOS MATERIALES EN EL IFREM, QUE CARGOS HA OCUPADO EN ESE INSTITUTO Y LA TEMPORALIDAD DE LOS MISMOS.</w:t>
      </w:r>
      <w:r>
        <w:rPr>
          <w:rFonts w:ascii="Palatino Linotype" w:eastAsia="Palatino Linotype" w:hAnsi="Palatino Linotype" w:cs="Palatino Linotype"/>
          <w:i/>
          <w:sz w:val="20"/>
          <w:szCs w:val="20"/>
        </w:rPr>
        <w:t>” (Sic)</w:t>
      </w:r>
    </w:p>
    <w:p w:rsidR="009A0565" w:rsidRDefault="009A0565">
      <w:pPr>
        <w:tabs>
          <w:tab w:val="left" w:pos="4667"/>
        </w:tabs>
        <w:spacing w:after="0" w:line="360" w:lineRule="auto"/>
        <w:ind w:left="567" w:right="567"/>
        <w:jc w:val="both"/>
        <w:rPr>
          <w:rFonts w:ascii="Palatino Linotype" w:eastAsia="Palatino Linotype" w:hAnsi="Palatino Linotype" w:cs="Palatino Linotype"/>
          <w:i/>
          <w:sz w:val="20"/>
          <w:szCs w:val="20"/>
        </w:rPr>
      </w:pPr>
    </w:p>
    <w:p w:rsidR="009A0565" w:rsidRDefault="003649B4">
      <w:pPr>
        <w:tabs>
          <w:tab w:val="left" w:pos="4667"/>
        </w:tabs>
        <w:spacing w:after="0" w:line="360" w:lineRule="auto"/>
        <w:ind w:left="567" w:right="567"/>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 xml:space="preserve">“Modalidad de Entrega: </w:t>
      </w:r>
    </w:p>
    <w:p w:rsidR="009A0565" w:rsidRDefault="003649B4">
      <w:pPr>
        <w:tabs>
          <w:tab w:val="left" w:pos="567"/>
        </w:tabs>
        <w:spacing w:after="0" w:line="360" w:lineRule="auto"/>
        <w:ind w:left="567" w:right="567"/>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 </w:t>
      </w:r>
      <w:r>
        <w:rPr>
          <w:rFonts w:ascii="Palatino Linotype" w:eastAsia="Palatino Linotype" w:hAnsi="Palatino Linotype" w:cs="Palatino Linotype"/>
          <w:i/>
          <w:sz w:val="20"/>
          <w:szCs w:val="20"/>
        </w:rPr>
        <w:t xml:space="preserve">A través de SAIMEX” </w:t>
      </w:r>
    </w:p>
    <w:p w:rsidR="009A0565" w:rsidRDefault="009A0565">
      <w:pPr>
        <w:spacing w:after="0" w:line="360" w:lineRule="auto"/>
        <w:rPr>
          <w:rFonts w:ascii="Palatino Linotype" w:eastAsia="Palatino Linotype" w:hAnsi="Palatino Linotype" w:cs="Palatino Linotype"/>
          <w:b/>
        </w:rPr>
      </w:pPr>
      <w:bookmarkStart w:id="1" w:name="_heading=h.30j0zll" w:colFirst="0" w:colLast="0"/>
      <w:bookmarkEnd w:id="1"/>
    </w:p>
    <w:p w:rsidR="009A0565" w:rsidRDefault="003649B4">
      <w:pPr>
        <w:pBdr>
          <w:top w:val="nil"/>
          <w:left w:val="nil"/>
          <w:bottom w:val="nil"/>
          <w:right w:val="nil"/>
          <w:between w:val="nil"/>
        </w:pBdr>
        <w:spacing w:after="0" w:line="360" w:lineRule="auto"/>
        <w:ind w:right="-30"/>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b/>
          <w:color w:val="000000"/>
        </w:rPr>
        <w:t xml:space="preserve">II. </w:t>
      </w:r>
      <w:r>
        <w:rPr>
          <w:rFonts w:ascii="Palatino Linotype" w:eastAsia="Palatino Linotype" w:hAnsi="Palatino Linotype" w:cs="Palatino Linotype"/>
          <w:b/>
          <w:color w:val="000000"/>
          <w:sz w:val="24"/>
          <w:szCs w:val="24"/>
        </w:rPr>
        <w:t>Respuesta del Sujeto Obligado</w:t>
      </w:r>
    </w:p>
    <w:p w:rsidR="009A0565" w:rsidRDefault="009A0565">
      <w:pPr>
        <w:tabs>
          <w:tab w:val="left" w:pos="4667"/>
        </w:tabs>
        <w:spacing w:after="0" w:line="360" w:lineRule="auto"/>
        <w:ind w:right="567"/>
        <w:jc w:val="both"/>
        <w:rPr>
          <w:rFonts w:ascii="Palatino Linotype" w:eastAsia="Palatino Linotype" w:hAnsi="Palatino Linotype" w:cs="Palatino Linotype"/>
          <w:b/>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Con fecha veinticinco de noviembre de dos mil veinticuatro, el</w:t>
      </w:r>
      <w:r>
        <w:rPr>
          <w:rFonts w:ascii="Palatino Linotype" w:eastAsia="Palatino Linotype" w:hAnsi="Palatino Linotype" w:cs="Palatino Linotype"/>
          <w:b/>
        </w:rPr>
        <w:t xml:space="preserve"> </w:t>
      </w:r>
      <w:r>
        <w:rPr>
          <w:rFonts w:ascii="Palatino Linotype" w:eastAsia="Palatino Linotype" w:hAnsi="Palatino Linotype" w:cs="Palatino Linotype"/>
        </w:rPr>
        <w:t>Sujeto Obligado dio respuesta a la solicitud de acceso a la información a través del Sistema de Acceso a la Información Mexiquense (SAIMEX), a través de la digitalización de los documentos siguientes:</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i) Oficio número 233C0101040202L/673/2024, del veintiuno de noviembre de la presente anualidad, suscrito por el Encargado del Departamento de Normatividad y Responsable de la Unidad de Transparencia, dirigido al Solicitante, por medio del cual manifiesta y expone lo siguiente:</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ind w:left="567" w:right="567"/>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9A0565" w:rsidRDefault="003649B4">
      <w:pPr>
        <w:spacing w:after="0" w:line="360" w:lineRule="auto"/>
        <w:ind w:left="567" w:right="567"/>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En respuesta a su solicitud de información pública, esta Unidad de Transparencia, mediante oficio número 233C0101040202L/631/2024 de fecha cinco de noviembre del año en curso, solicitó al L. en D. Leonardo Contreras Gómez, Servidor Pública Habilitado Titular en Materia de Transparencia de la Dirección de Administración y Finanzas coadyuve para dar respuesta a la solicitud aducida, quien atendió lo requerido y emitió respuesta en los términos siguientes: </w:t>
      </w:r>
    </w:p>
    <w:p w:rsidR="009A0565" w:rsidRDefault="009A0565">
      <w:pPr>
        <w:spacing w:after="0" w:line="360" w:lineRule="auto"/>
        <w:ind w:left="567" w:right="567" w:firstLine="567"/>
        <w:jc w:val="both"/>
        <w:rPr>
          <w:rFonts w:ascii="Palatino Linotype" w:eastAsia="Palatino Linotype" w:hAnsi="Palatino Linotype" w:cs="Palatino Linotype"/>
          <w:i/>
          <w:sz w:val="20"/>
          <w:szCs w:val="20"/>
        </w:rPr>
      </w:pPr>
    </w:p>
    <w:p w:rsidR="009A0565" w:rsidRDefault="003649B4">
      <w:pPr>
        <w:spacing w:after="0" w:line="360" w:lineRule="auto"/>
        <w:ind w:left="567" w:right="567"/>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Por lo anterior, encontrándome dentro del término concedido para dar contestación, y con la finalidad de coadyuvar con esta Unidad de Transparencia, informo y remito lo siguiente:</w:t>
      </w:r>
    </w:p>
    <w:p w:rsidR="009A0565" w:rsidRDefault="009A0565">
      <w:pPr>
        <w:spacing w:after="0" w:line="360" w:lineRule="auto"/>
        <w:ind w:left="567" w:right="567"/>
        <w:jc w:val="both"/>
        <w:rPr>
          <w:rFonts w:ascii="Palatino Linotype" w:eastAsia="Palatino Linotype" w:hAnsi="Palatino Linotype" w:cs="Palatino Linotype"/>
          <w:i/>
          <w:sz w:val="20"/>
          <w:szCs w:val="20"/>
        </w:rPr>
      </w:pPr>
    </w:p>
    <w:p w:rsidR="009A0565" w:rsidRDefault="003649B4">
      <w:pPr>
        <w:spacing w:after="0" w:line="360" w:lineRule="auto"/>
        <w:ind w:left="567" w:right="567"/>
        <w:jc w:val="center"/>
        <w:rPr>
          <w:rFonts w:ascii="Palatino Linotype" w:eastAsia="Palatino Linotype" w:hAnsi="Palatino Linotype" w:cs="Palatino Linotype"/>
          <w:i/>
          <w:sz w:val="20"/>
          <w:szCs w:val="20"/>
        </w:rPr>
      </w:pPr>
      <w:r>
        <w:rPr>
          <w:rFonts w:ascii="Palatino Linotype" w:eastAsia="Palatino Linotype" w:hAnsi="Palatino Linotype" w:cs="Palatino Linotype"/>
          <w:i/>
          <w:noProof/>
          <w:sz w:val="20"/>
          <w:szCs w:val="20"/>
        </w:rPr>
        <w:lastRenderedPageBreak/>
        <w:drawing>
          <wp:inline distT="0" distB="0" distL="0" distR="0">
            <wp:extent cx="4364990" cy="1371600"/>
            <wp:effectExtent l="0" t="0" r="0" b="0"/>
            <wp:docPr id="18233997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364990" cy="1371600"/>
                    </a:xfrm>
                    <a:prstGeom prst="rect">
                      <a:avLst/>
                    </a:prstGeom>
                    <a:ln/>
                  </pic:spPr>
                </pic:pic>
              </a:graphicData>
            </a:graphic>
          </wp:inline>
        </w:drawing>
      </w:r>
    </w:p>
    <w:p w:rsidR="009A0565" w:rsidRDefault="003649B4">
      <w:pPr>
        <w:spacing w:after="0" w:line="360" w:lineRule="auto"/>
        <w:ind w:left="567" w:right="567"/>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9A0565" w:rsidRDefault="009A0565">
      <w:pPr>
        <w:spacing w:after="0" w:line="360" w:lineRule="auto"/>
        <w:ind w:right="-28"/>
        <w:jc w:val="both"/>
        <w:rPr>
          <w:rFonts w:ascii="Palatino Linotype" w:eastAsia="Palatino Linotype" w:hAnsi="Palatino Linotype" w:cs="Palatino Linotype"/>
          <w:b/>
        </w:rPr>
      </w:pPr>
    </w:p>
    <w:p w:rsidR="009A0565" w:rsidRDefault="003649B4">
      <w:pPr>
        <w:spacing w:after="0" w:line="360" w:lineRule="auto"/>
        <w:ind w:right="-28"/>
        <w:jc w:val="both"/>
        <w:rPr>
          <w:rFonts w:ascii="Palatino Linotype" w:eastAsia="Palatino Linotype" w:hAnsi="Palatino Linotype" w:cs="Palatino Linotype"/>
          <w:b/>
        </w:rPr>
      </w:pPr>
      <w:r>
        <w:rPr>
          <w:rFonts w:ascii="Palatino Linotype" w:eastAsia="Palatino Linotype" w:hAnsi="Palatino Linotype" w:cs="Palatino Linotype"/>
          <w:b/>
        </w:rPr>
        <w:t>III. Interposición del Recurso de Revisión</w:t>
      </w:r>
    </w:p>
    <w:p w:rsidR="009A0565" w:rsidRDefault="009A0565">
      <w:pPr>
        <w:spacing w:after="0" w:line="360" w:lineRule="auto"/>
        <w:ind w:right="-28"/>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Con fecha dos de diciembre de dos mil veinticuatro se recibió en este Instituto, a través del Sistema de Acceso a la Información Mexiquense (SAIMEX), el Recurso de Revisión interpuesto por la parte Recurrente, en contra de la respuesta del Sujeto Obligado, en los siguientes términos:</w:t>
      </w:r>
    </w:p>
    <w:p w:rsidR="009A0565" w:rsidRDefault="009A0565">
      <w:pPr>
        <w:spacing w:after="0" w:line="360" w:lineRule="auto"/>
        <w:ind w:right="-28"/>
        <w:jc w:val="both"/>
        <w:rPr>
          <w:rFonts w:ascii="Palatino Linotype" w:eastAsia="Palatino Linotype" w:hAnsi="Palatino Linotype" w:cs="Palatino Linotype"/>
          <w:i/>
        </w:rPr>
      </w:pPr>
    </w:p>
    <w:p w:rsidR="009A0565" w:rsidRDefault="003649B4">
      <w:pPr>
        <w:tabs>
          <w:tab w:val="left" w:pos="4667"/>
        </w:tabs>
        <w:spacing w:after="0" w:line="360" w:lineRule="auto"/>
        <w:ind w:left="567" w:right="567"/>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“ACTO IMPUGNADO</w:t>
      </w:r>
    </w:p>
    <w:p w:rsidR="009A0565" w:rsidRDefault="003649B4">
      <w:pPr>
        <w:spacing w:after="0" w:line="360" w:lineRule="auto"/>
        <w:ind w:left="567" w:right="567"/>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OFICIO/233C0101040202l/673/2024, CON NÚMERO DE FOLIO DE SOLICITUD 00145/IFR/IP/2024” (Sic.)</w:t>
      </w:r>
    </w:p>
    <w:p w:rsidR="009A0565" w:rsidRDefault="009A0565">
      <w:pPr>
        <w:tabs>
          <w:tab w:val="left" w:pos="4667"/>
        </w:tabs>
        <w:spacing w:after="0" w:line="360" w:lineRule="auto"/>
        <w:ind w:left="567" w:right="567"/>
        <w:jc w:val="both"/>
        <w:rPr>
          <w:rFonts w:ascii="Palatino Linotype" w:eastAsia="Palatino Linotype" w:hAnsi="Palatino Linotype" w:cs="Palatino Linotype"/>
          <w:i/>
          <w:sz w:val="20"/>
          <w:szCs w:val="20"/>
        </w:rPr>
      </w:pPr>
    </w:p>
    <w:p w:rsidR="009A0565" w:rsidRDefault="003649B4">
      <w:pPr>
        <w:tabs>
          <w:tab w:val="left" w:pos="4667"/>
        </w:tabs>
        <w:spacing w:after="0" w:line="360" w:lineRule="auto"/>
        <w:ind w:left="567" w:right="567"/>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“RAZONES O MOTIVOS DE LA INCONFORMIDAD</w:t>
      </w:r>
    </w:p>
    <w:p w:rsidR="009A0565" w:rsidRDefault="003649B4">
      <w:pPr>
        <w:spacing w:after="0" w:line="360" w:lineRule="auto"/>
        <w:ind w:left="567" w:right="567"/>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EN ATENCIÓN AL OFICIO DE RESPUESTA CON NOMENCLATURA OFICIO/233C0101040202l/673/2024, CON NÚMERO DE FOLIO DE SOLICITUD 00145/IFR/IP/2024, POR EL CUAL SE DA RESPUESTA A LA INQUIETUD FORMULADA, LA CUAL A LA LETRA INDICA: SOLICITO CON SOPORTE DOCUMENTAL SE INDIQUE EL GRADO ACADÉMICO DEL SERVIDOR PÚBLICO LUIS ANTONIO SIERRA ALVAREZ, QUIEN FUNGE COMO JEFE DEL DEPARTAMENTO DE RECURSOS MATERIALES EN EL IFREM, QUE CARGOS HA OCUPADO EN ESE INSTITUTO Y LA TEMPORALIDAD DE LOS MISMOS EN TÉRMINOS DE LO DISPUESTO EN LOS ARTÍCULOS 176, 178, 179 </w:t>
      </w:r>
      <w:r>
        <w:rPr>
          <w:rFonts w:ascii="Palatino Linotype" w:eastAsia="Palatino Linotype" w:hAnsi="Palatino Linotype" w:cs="Palatino Linotype"/>
          <w:i/>
          <w:color w:val="000000"/>
          <w:sz w:val="20"/>
          <w:szCs w:val="20"/>
        </w:rPr>
        <w:lastRenderedPageBreak/>
        <w:t xml:space="preserve">FRACCIONES I, IV, VI, IX Y XIII, 180 DE LA LEY DE TRANSPARENCIA Y ACCESO A LA INFORMACIÓN PÚBLICA DEL ESTADO DE MÉXICO Y MUNICIPIOS, SE INTERPONE EL RECURSO DE REVISIÓN EN LOS SIGUIENTES TÉRMINOS: ARTÍCULO 180, LEY DE TRANSPARENCIA Y ACCESO A LA INFORMACIÓN PÚBLICA DEL ESTADO DE MÉXICO Y MUNICIPIOS: I. El sujeto obligado ante la cual se presentó la solicitud. JEFE DEL DEPARTAMENTO DE PERSONAL (RECURSOS HUMANOS), DIRECTOR DE ADMINISTRACIÓN Y FINANZAS DEL INSTITUTO DE LA FUNCIÓN REGISTRAL DEL ESTADO DE MÉXICO, II. El nombre del solicitante que recurre o de su representante y, en su caso, del tercero interesado, así como la dirección o medio que señale para recibir notificaciones: […], SOLICITANDO LA RESPUESTA SE DÉ A TRAVÉS DEL SISTEMA DE ACCESO A LA INFORMACIÓN MEXIQUENSE. III. El número de folio de respuesta de la solicitud de acceso: OFICIO DE RESPUESTA CON NOMENCLATURA OFICIO/233C0101040202l/673/2024, CON NÚMERO DE FOLIO DE SOLICITUD 00145/IFR/IP/2024. IV. La fecha en que fue notificada la respuesta al solicitante o tuvo conocimiento del acto reclamado, o de presentación de la solicitud, en caso de falta de respuesta: 25/11/2024 V. El acto que se recurre: OFICIO DE RESPUESTA CON NOMENCLATURA OFICIO/233C0101040202l/673/2024, CON NÚMERO DE FOLIO DE SOLICITUD 00145/IFR/IP/2024 VI. Las razones o motivos de inconformidad; DE MANERA CONCRETA INDICO QUE NUNCA PEDÍ SE ME HICIERA UNA TABLA CON LOS CARGOS QUE OCUPA U OCUPÓ EL LIC. LUIS ANTONIO SIERRA ALVAREZ, PEDÍ “SOPORTE DOCUMENTAL SE INDIQUE EL GRADO ACADÉMICO DEL SERVIDOR PÚBLICO LUIS ANTONIO SIERRA ALVAREZ, QUIEN FUNGE COMO JEFE DEL DEPARTAMENTO DE RECURSOS MATERIALES EN EL IFREM, QUE CARGOS HA OCUPADO EN ESE INSTITUTO Y LA TEMPORALIDAD DE LOS MISMOS”, SITUACIÓN QUE EN NINGÚN MOMENTO SE ME HA FACILITADO. SUPONGO YO QUE EN EL DEPARTAMENTO DE PERSONAL O RECURSOS HUMANOS, COMO LE LLAMEN, EN EL IFREM, EXISTE UN EXPEDIENTE EN EL QUE PUEDAN EXTRAER UNA COPIA DE UNA CÉDULA, TÍTULO, CURRÍCULUM VITAE, O BIEN UN FUMP, Y QUE DE ESOS DOCUMENTOS, SE ME BRINDE UNA COPIA, TAL Y </w:t>
      </w:r>
      <w:r>
        <w:rPr>
          <w:rFonts w:ascii="Palatino Linotype" w:eastAsia="Palatino Linotype" w:hAnsi="Palatino Linotype" w:cs="Palatino Linotype"/>
          <w:i/>
          <w:color w:val="000000"/>
          <w:sz w:val="20"/>
          <w:szCs w:val="20"/>
        </w:rPr>
        <w:lastRenderedPageBreak/>
        <w:t xml:space="preserve">COMO YO LO PEDÍ, NO QUE SE ME HAGA UNA “TABLA EN WORD”, EN LA QUE ME DIGAN QUE CARGOS HA TENIDO Y SU NO DE CEDULA, YO HE SOLICITADO “SOPORTE DOCUMENTAL DE LO QUE ME BRINDEN, A MANERA DE CONSTATAR SU DICHO, Y NO LO ANEXAN. EN ATENCIÓN A LO ANTERIOR SE CONFIGURA LO ESTABLECIDO EN LA FRACCIÓN VI Y IX DE LA LEY DE TRANSPARENCIA Y ACCESO A LA INFORMACIÓN PÚBLICA DEL ESTADO DE MÉXICO Y MUNICIPIOS, LOS CUALES A LA LETRA INDICAN: Artículo 179. El recurso de revisión es un medio de protección que la Ley otorga a los particulares, para hacer valer su derecho de acceso a la información pública, y procederá en contra de las siguientes causas: … VI. La entrega de información que no corresponda con lo solicitado; AUNADO A ELLO, EN EL RENGLÓN 5 DE SU TABLA, INDICAN QUE HA OCUPADO EL PUESTO DE JEFE DE ÁREA, EN UNA PERIODICIDAD DEL 01708/2018 AL 29/02/204 (SIC), SIENDO UNA INFORMACIÓN “INCOMPRENSIBLE PARA MI PERSONA, YA QUE YO NO TENGO POR QUE DEDUCIR LA RESPUESTA, EN TAL SENTIDO CON SU SOPORTE DOCUMENTAL YA SE VERÍA DE FORMA CLARA Y PRECISA LA RAZÓN DE SU DICHO. POR LO QUE SE INCURRE EN LO ESTABLECIDO EN LA FRACCIÓN IX DEL ARTÍCULO 179 DE LA LEY DE TRANSPARENCIA Y ACCESO A LA INFORMACIÓN PÚBLICA DEL ESTADO DE MÉXICO Y MUNICIPIOS, LA CUAL A LA LETRA INDICA: IX. La entrega o puesta a disposición de información en un formato incomprensible y/o no accesible para el solicitante; Firma del recurrente, en su caso, cuando se presente por escrito, requisito sin el cual se dará trámite al recurso. En caso de que el recurso se interponga de manera electrónica no será indispensable que contengan los requisitos establecidos en las fracciones II, IV, VII y VIII. P R U E B A S 1) LA INSTRUMENTAL DE ACTUACIONES.- EN TODO LO QUE FAVOREZCA A MIS INTERESES. 2) LA PRESUNCIONAL EN SU DOBLE ASPECTO LEGAL Y HUMANA.- EN TODO LO QUE FAVOREZCA A MIS INTERESES. . EN VIRTUD DE LO MENCIONADO EN LÍNEAS ANTERIORES, ANTE ESE INSTITUTO ATENTAMENTE SOLICITO: PRIMERO: TENERME POR PRESENTADO EN TIEMPO Y FORMA INTERPONIENDO EL RECURSO DE MÉRITO. SEGUNDO: TENERME POR OFRECIDAS LAS PRUEBAS QUE SE MENCIONAN EN EL CAPÍTULO </w:t>
      </w:r>
      <w:r>
        <w:rPr>
          <w:rFonts w:ascii="Palatino Linotype" w:eastAsia="Palatino Linotype" w:hAnsi="Palatino Linotype" w:cs="Palatino Linotype"/>
          <w:i/>
          <w:color w:val="000000"/>
          <w:sz w:val="20"/>
          <w:szCs w:val="20"/>
        </w:rPr>
        <w:lastRenderedPageBreak/>
        <w:t>CORRESPONDIENTE. TERCERO: RESOLVER CONFORME A DERECHO PROCEDA, VELANDO SIEMPRE POR EL ACCESO A LA INFORMA</w:t>
      </w:r>
      <w:bookmarkStart w:id="2" w:name="_GoBack"/>
      <w:bookmarkEnd w:id="2"/>
      <w:r>
        <w:rPr>
          <w:rFonts w:ascii="Palatino Linotype" w:eastAsia="Palatino Linotype" w:hAnsi="Palatino Linotype" w:cs="Palatino Linotype"/>
          <w:i/>
          <w:color w:val="000000"/>
          <w:sz w:val="20"/>
          <w:szCs w:val="20"/>
        </w:rPr>
        <w:t xml:space="preserve">CIÓN DE LOS PARTICULARES. PROTESTO LO NECESARIO </w:t>
      </w:r>
      <w:r w:rsidR="0018770C" w:rsidRPr="0018770C">
        <w:rPr>
          <w:rFonts w:ascii="Palatino Linotype" w:eastAsia="Palatino Linotype" w:hAnsi="Palatino Linotype" w:cs="Palatino Linotype"/>
          <w:i/>
          <w:color w:val="000000"/>
          <w:sz w:val="20"/>
          <w:szCs w:val="20"/>
          <w:highlight w:val="black"/>
        </w:rPr>
        <w:t>XXXXXXXX</w:t>
      </w:r>
      <w:r>
        <w:rPr>
          <w:rFonts w:ascii="Palatino Linotype" w:eastAsia="Palatino Linotype" w:hAnsi="Palatino Linotype" w:cs="Palatino Linotype"/>
          <w:i/>
          <w:color w:val="000000"/>
          <w:sz w:val="20"/>
          <w:szCs w:val="20"/>
        </w:rPr>
        <w:t xml:space="preserve"> TOLUCA, ESTADO DE MÉXICO A, 2 DE DICIEMBRE DE 2024.</w:t>
      </w:r>
      <w:r>
        <w:rPr>
          <w:rFonts w:ascii="Palatino Linotype" w:eastAsia="Palatino Linotype" w:hAnsi="Palatino Linotype" w:cs="Palatino Linotype"/>
          <w:i/>
          <w:sz w:val="20"/>
          <w:szCs w:val="20"/>
        </w:rPr>
        <w:t xml:space="preserve">” </w:t>
      </w:r>
    </w:p>
    <w:p w:rsidR="009A0565" w:rsidRDefault="003649B4">
      <w:pPr>
        <w:spacing w:after="0" w:line="360" w:lineRule="auto"/>
        <w:ind w:left="567" w:right="567"/>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(Sic)</w:t>
      </w:r>
    </w:p>
    <w:p w:rsidR="009A0565" w:rsidRDefault="009A0565">
      <w:pPr>
        <w:spacing w:after="0" w:line="360" w:lineRule="auto"/>
        <w:ind w:right="-28"/>
        <w:jc w:val="both"/>
        <w:rPr>
          <w:rFonts w:ascii="Palatino Linotype" w:eastAsia="Palatino Linotype" w:hAnsi="Palatino Linotype" w:cs="Palatino Linotype"/>
          <w:b/>
        </w:rPr>
      </w:pPr>
    </w:p>
    <w:p w:rsidR="009A0565" w:rsidRDefault="003649B4">
      <w:pPr>
        <w:spacing w:after="0" w:line="360" w:lineRule="auto"/>
        <w:ind w:right="-28"/>
        <w:jc w:val="both"/>
        <w:rPr>
          <w:rFonts w:ascii="Palatino Linotype" w:eastAsia="Palatino Linotype" w:hAnsi="Palatino Linotype" w:cs="Palatino Linotype"/>
          <w:b/>
        </w:rPr>
      </w:pPr>
      <w:r>
        <w:rPr>
          <w:rFonts w:ascii="Palatino Linotype" w:eastAsia="Palatino Linotype" w:hAnsi="Palatino Linotype" w:cs="Palatino Linotype"/>
          <w:b/>
        </w:rPr>
        <w:t>IV. Trámite del Recurso de Revisión ante el Instituto</w:t>
      </w:r>
    </w:p>
    <w:p w:rsidR="009A0565" w:rsidRDefault="009A0565">
      <w:pPr>
        <w:spacing w:after="0" w:line="360" w:lineRule="auto"/>
        <w:ind w:right="-28"/>
        <w:jc w:val="both"/>
        <w:rPr>
          <w:rFonts w:ascii="Palatino Linotype" w:eastAsia="Palatino Linotype" w:hAnsi="Palatino Linotype" w:cs="Palatino Linotype"/>
          <w:b/>
        </w:rPr>
      </w:pPr>
    </w:p>
    <w:p w:rsidR="009A0565" w:rsidRDefault="003649B4">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b/>
        </w:rPr>
        <w:t xml:space="preserve">a) Turno del Recurso de Revisión. </w:t>
      </w:r>
      <w:r>
        <w:rPr>
          <w:rFonts w:ascii="Palatino Linotype" w:eastAsia="Palatino Linotype" w:hAnsi="Palatino Linotype" w:cs="Palatino Linotype"/>
        </w:rPr>
        <w:t xml:space="preserve">El dos de diciembre de dos mil veinticuatro, el Sistema de Acceso a la Información Mexiquense (SAIMEX), asignó el número de expediente </w:t>
      </w:r>
      <w:r>
        <w:rPr>
          <w:rFonts w:ascii="Palatino Linotype" w:eastAsia="Palatino Linotype" w:hAnsi="Palatino Linotype" w:cs="Palatino Linotype"/>
          <w:b/>
        </w:rPr>
        <w:t xml:space="preserve">07446/INFOEM/IP/RR/2024, </w:t>
      </w:r>
      <w:r>
        <w:rPr>
          <w:rFonts w:ascii="Palatino Linotype" w:eastAsia="Palatino Linotype" w:hAnsi="Palatino Linotype" w:cs="Palatino Linotype"/>
        </w:rPr>
        <w:t xml:space="preserve">al Recurso de Revisión y lo turnó al Comisionado Ponente </w:t>
      </w:r>
      <w:r>
        <w:rPr>
          <w:rFonts w:ascii="Palatino Linotype" w:eastAsia="Palatino Linotype" w:hAnsi="Palatino Linotype" w:cs="Palatino Linotype"/>
          <w:b/>
        </w:rPr>
        <w:t>Luis Gustavo Parra Noriega</w:t>
      </w:r>
      <w:r>
        <w:rPr>
          <w:rFonts w:ascii="Palatino Linotype" w:eastAsia="Palatino Linotype" w:hAnsi="Palatino Linotype" w:cs="Palatino Linotype"/>
        </w:rPr>
        <w:t>, para los efectos del artículo 185, fracción I, de la Ley de Transparencia y Acceso a la Información Pública del Estado de México y Municipios.</w:t>
      </w:r>
    </w:p>
    <w:p w:rsidR="009A0565" w:rsidRDefault="009A0565">
      <w:pPr>
        <w:spacing w:after="0" w:line="360" w:lineRule="auto"/>
        <w:ind w:right="-28"/>
        <w:jc w:val="both"/>
        <w:rPr>
          <w:rFonts w:ascii="Palatino Linotype" w:eastAsia="Palatino Linotype" w:hAnsi="Palatino Linotype" w:cs="Palatino Linotype"/>
          <w:b/>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b) Admisión del Recurso de Revisión. </w:t>
      </w:r>
      <w:r>
        <w:rPr>
          <w:rFonts w:ascii="Palatino Linotype" w:eastAsia="Palatino Linotype" w:hAnsi="Palatino Linotype" w:cs="Palatino Linotype"/>
        </w:rPr>
        <w:t>El cinco de diciembre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c) Informe Justificado.</w:t>
      </w:r>
      <w:r>
        <w:rPr>
          <w:rFonts w:ascii="Palatino Linotype" w:eastAsia="Palatino Linotype" w:hAnsi="Palatino Linotype" w:cs="Palatino Linotype"/>
        </w:rPr>
        <w:t xml:space="preserve"> El dieciséis de diciembre de dos mil veinticuatro, se recibió, a través del Sistema de Acceso a la Información Mexiquense (SAIMEX), el Informe Justificado, por medio de la digitalización de los documentos siguientes:</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i) Oficio número 233C0101040000L/2687/2024 del trece de diciembre de dos mil veinticuatro, suscrito por el Titular de la Unidad de Transparencia, dirigido al Comisionado Ponente, a través del cual manifiesta y expone lo siguiente:</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ind w:left="567" w:right="567"/>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“…mediante el Recurso de Revisión manifiesta su inconformidad respecto del oficio con el cual se le dio respuesta; es por ello que, con la finalidad de no caer en interpretaciones erróneas, adjuntamos al presente (Anexo 1) captura de pantalla de la página web Registro Nacional de Profesiones, el cual constituye un soporte documental en donde se pueda apreciar de manera clara cuál es el grado académico del Licenciado Luis Antonio Sierra Álvarez.</w:t>
      </w:r>
    </w:p>
    <w:p w:rsidR="009A0565" w:rsidRDefault="003649B4">
      <w:pPr>
        <w:spacing w:after="0" w:line="360" w:lineRule="auto"/>
        <w:ind w:left="567" w:right="567"/>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9A0565" w:rsidRDefault="003649B4">
      <w:pPr>
        <w:spacing w:after="0" w:line="360" w:lineRule="auto"/>
        <w:ind w:left="567" w:right="567"/>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No se omite mencionar que el C. Recurrente en ningún momento solicitó una copia, sin embargo, es necesario informarle que para poder reproducir copias se necesita sea cubierta previamente la cuota de reproducción…</w:t>
      </w:r>
    </w:p>
    <w:p w:rsidR="009A0565" w:rsidRDefault="003649B4">
      <w:pPr>
        <w:spacing w:after="0" w:line="360" w:lineRule="auto"/>
        <w:ind w:left="567" w:right="567"/>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ii) Captura de pantalla de la página oficial de la Dirección General de Profesiones, en la que se observa el número de cédula profesional de la Licenciatura en Derecho del Servidor Público Luis Antonio Sierra Álvarez.</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d) Cierre de instrucción. </w:t>
      </w:r>
      <w:r>
        <w:rPr>
          <w:rFonts w:ascii="Palatino Linotype" w:eastAsia="Palatino Linotype" w:hAnsi="Palatino Linotype" w:cs="Palatino Linotype"/>
        </w:rPr>
        <w:t>El catorce de enero de dos mil veinticuatro,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quince de dicho mes y año, a través del Sistema de Acceso a la Información Mexiquense (SAIMEX).</w:t>
      </w:r>
    </w:p>
    <w:p w:rsidR="009A0565" w:rsidRDefault="009A0565">
      <w:pPr>
        <w:spacing w:after="0" w:line="360" w:lineRule="auto"/>
        <w:ind w:right="-28"/>
        <w:jc w:val="both"/>
        <w:rPr>
          <w:rFonts w:ascii="Palatino Linotype" w:eastAsia="Palatino Linotype" w:hAnsi="Palatino Linotype" w:cs="Palatino Linotype"/>
        </w:rPr>
      </w:pPr>
    </w:p>
    <w:p w:rsidR="009A0565" w:rsidRDefault="003649B4">
      <w:pPr>
        <w:spacing w:after="0"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En razón de que fue debidamente sustanciado el expediente electrónico y no existe diligencia pendiente de desahogo, se emite la resolución que conforme a Derecho proceda, de acuerdo a los siguientes:</w:t>
      </w:r>
    </w:p>
    <w:p w:rsidR="009A0565" w:rsidRDefault="009A0565">
      <w:pPr>
        <w:spacing w:after="0" w:line="360" w:lineRule="auto"/>
        <w:ind w:right="-28"/>
        <w:jc w:val="both"/>
        <w:rPr>
          <w:rFonts w:ascii="Palatino Linotype" w:eastAsia="Palatino Linotype" w:hAnsi="Palatino Linotype" w:cs="Palatino Linotype"/>
          <w:color w:val="000000"/>
        </w:rPr>
      </w:pPr>
    </w:p>
    <w:p w:rsidR="009A0565" w:rsidRDefault="003649B4">
      <w:pPr>
        <w:spacing w:after="0" w:line="360" w:lineRule="auto"/>
        <w:ind w:right="-28"/>
        <w:jc w:val="center"/>
        <w:rPr>
          <w:rFonts w:ascii="Palatino Linotype" w:eastAsia="Palatino Linotype" w:hAnsi="Palatino Linotype" w:cs="Palatino Linotype"/>
          <w:b/>
        </w:rPr>
      </w:pPr>
      <w:r>
        <w:rPr>
          <w:rFonts w:ascii="Palatino Linotype" w:eastAsia="Palatino Linotype" w:hAnsi="Palatino Linotype" w:cs="Palatino Linotype"/>
          <w:b/>
        </w:rPr>
        <w:t>C O N S I D E R A N D O S</w:t>
      </w:r>
    </w:p>
    <w:p w:rsidR="009A0565" w:rsidRDefault="003649B4">
      <w:pPr>
        <w:spacing w:after="0" w:line="360" w:lineRule="auto"/>
        <w:ind w:right="-28"/>
        <w:jc w:val="both"/>
        <w:rPr>
          <w:rFonts w:ascii="Palatino Linotype" w:eastAsia="Palatino Linotype" w:hAnsi="Palatino Linotype" w:cs="Palatino Linotype"/>
          <w:b/>
        </w:rPr>
      </w:pPr>
      <w:r>
        <w:rPr>
          <w:rFonts w:ascii="Palatino Linotype" w:eastAsia="Palatino Linotype" w:hAnsi="Palatino Linotype" w:cs="Palatino Linotype"/>
          <w:b/>
          <w:color w:val="000000"/>
        </w:rPr>
        <w:t>PRIMERO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rPr>
        <w:t>Competencia</w:t>
      </w:r>
    </w:p>
    <w:p w:rsidR="009A0565" w:rsidRDefault="009A0565">
      <w:pPr>
        <w:spacing w:after="0" w:line="360" w:lineRule="auto"/>
        <w:ind w:right="-28"/>
        <w:jc w:val="both"/>
        <w:rPr>
          <w:rFonts w:ascii="Palatino Linotype" w:eastAsia="Palatino Linotype" w:hAnsi="Palatino Linotype" w:cs="Palatino Linotype"/>
          <w:b/>
        </w:rPr>
      </w:pPr>
    </w:p>
    <w:p w:rsidR="009A0565" w:rsidRDefault="003649B4">
      <w:pPr>
        <w:spacing w:after="0"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Pr>
          <w:color w:val="000000"/>
        </w:rPr>
        <w:t xml:space="preserve"> 7°, </w:t>
      </w:r>
      <w:r>
        <w:rPr>
          <w:rFonts w:ascii="Palatino Linotype" w:eastAsia="Palatino Linotype" w:hAnsi="Palatino Linotype" w:cs="Palatino Linotype"/>
          <w:color w:val="000000"/>
        </w:rPr>
        <w:t>9°, fracciones I y XXIII y 11 del Reglamento Interior del Instituto de Transparencia, Acceso a la Información Pública y Protección de Datos Personales del Estado de México y Municipios.</w:t>
      </w:r>
    </w:p>
    <w:p w:rsidR="009A0565" w:rsidRDefault="009A0565">
      <w:pPr>
        <w:spacing w:after="0" w:line="360" w:lineRule="auto"/>
        <w:ind w:right="-28"/>
        <w:jc w:val="both"/>
        <w:rPr>
          <w:rFonts w:ascii="Palatino Linotype" w:eastAsia="Palatino Linotype" w:hAnsi="Palatino Linotype" w:cs="Palatino Linotype"/>
          <w:color w:val="000000"/>
        </w:rPr>
      </w:pPr>
    </w:p>
    <w:p w:rsidR="009A0565" w:rsidRDefault="003649B4">
      <w:pPr>
        <w:spacing w:after="0" w:line="360" w:lineRule="auto"/>
        <w:ind w:right="-2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SEGUNDO. Causales de improcedencia y sobreseimiento</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las constancias que forma parte del Recurso de Revisión que se analiza, se advierte que previo al estudio del fondo de la </w:t>
      </w:r>
      <w:proofErr w:type="spellStart"/>
      <w:r>
        <w:rPr>
          <w:rFonts w:ascii="Palatino Linotype" w:eastAsia="Palatino Linotype" w:hAnsi="Palatino Linotype" w:cs="Palatino Linotype"/>
          <w:i/>
        </w:rPr>
        <w:t>litis</w:t>
      </w:r>
      <w:proofErr w:type="spellEnd"/>
      <w:r>
        <w:rPr>
          <w:rFonts w:ascii="Palatino Linotype" w:eastAsia="Palatino Linotype" w:hAnsi="Palatino Linotype" w:cs="Palatino Linotype"/>
        </w:rPr>
        <w:t>, es necesario estudiar las causales de improcedencia, para determinar lo que en Derecho proceda.</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Causales de improcedencia</w:t>
      </w:r>
    </w:p>
    <w:p w:rsidR="009A0565" w:rsidRDefault="009A0565">
      <w:pPr>
        <w:spacing w:after="0" w:line="360" w:lineRule="auto"/>
        <w:jc w:val="both"/>
        <w:rPr>
          <w:rFonts w:ascii="Palatino Linotype" w:eastAsia="Palatino Linotype" w:hAnsi="Palatino Linotype" w:cs="Palatino Linotype"/>
          <w:color w:val="000000"/>
        </w:rPr>
      </w:pPr>
    </w:p>
    <w:p w:rsidR="009A0565" w:rsidRDefault="003649B4">
      <w:pPr>
        <w:spacing w:after="0"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9A0565" w:rsidRDefault="009A0565">
      <w:pPr>
        <w:spacing w:after="0" w:line="360" w:lineRule="auto"/>
        <w:ind w:right="-28"/>
        <w:jc w:val="both"/>
        <w:rPr>
          <w:rFonts w:ascii="Palatino Linotype" w:eastAsia="Palatino Linotype" w:hAnsi="Palatino Linotype" w:cs="Palatino Linotype"/>
          <w:color w:val="000000"/>
        </w:rPr>
      </w:pPr>
    </w:p>
    <w:p w:rsidR="009A0565" w:rsidRDefault="003649B4">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En el presente caso, </w:t>
      </w:r>
      <w:r>
        <w:rPr>
          <w:rFonts w:ascii="Palatino Linotype" w:eastAsia="Palatino Linotype" w:hAnsi="Palatino Linotype" w:cs="Palatino Linotype"/>
          <w:b/>
        </w:rPr>
        <w:t>no se actualiza ninguna de las causales de improcedencia</w:t>
      </w:r>
      <w:r>
        <w:rPr>
          <w:rFonts w:ascii="Palatino Linotype" w:eastAsia="Palatino Linotype" w:hAnsi="Palatino Linotype" w:cs="Palatino Linotype"/>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además de que </w:t>
      </w:r>
      <w:r>
        <w:rPr>
          <w:rFonts w:ascii="Palatino Linotype" w:eastAsia="Palatino Linotype" w:hAnsi="Palatino Linotype" w:cs="Palatino Linotype"/>
          <w:color w:val="000000"/>
        </w:rPr>
        <w:t>el medio de impugnación fue presentado en tiempo.</w:t>
      </w:r>
    </w:p>
    <w:p w:rsidR="009A0565" w:rsidRDefault="009A0565">
      <w:pPr>
        <w:spacing w:after="0" w:line="360" w:lineRule="auto"/>
        <w:jc w:val="both"/>
        <w:rPr>
          <w:rFonts w:ascii="Palatino Linotype" w:eastAsia="Palatino Linotype" w:hAnsi="Palatino Linotype" w:cs="Palatino Linotype"/>
          <w:color w:val="000000"/>
        </w:rPr>
      </w:pPr>
    </w:p>
    <w:p w:rsidR="009A0565" w:rsidRDefault="003649B4">
      <w:pPr>
        <w:widowControl w:val="0"/>
        <w:spacing w:after="0" w:line="360" w:lineRule="auto"/>
        <w:jc w:val="both"/>
        <w:rPr>
          <w:rFonts w:ascii="Palatino Linotype" w:eastAsia="Palatino Linotype" w:hAnsi="Palatino Linotype" w:cs="Palatino Linotype"/>
          <w:color w:val="222222"/>
        </w:rPr>
      </w:pPr>
      <w:r>
        <w:rPr>
          <w:rFonts w:ascii="Palatino Linotype" w:eastAsia="Palatino Linotype" w:hAnsi="Palatino Linotype" w:cs="Palatino Linotype"/>
        </w:rPr>
        <w:t xml:space="preserve">Asimismo, se actualiza la causal de procedencia del Recurso de Revisión señalada en el artículo 179, fracción VI, de la Ley en cita, </w:t>
      </w:r>
      <w:r>
        <w:rPr>
          <w:rFonts w:ascii="Palatino Linotype" w:eastAsia="Palatino Linotype" w:hAnsi="Palatino Linotype" w:cs="Palatino Linotype"/>
          <w:color w:val="000000"/>
        </w:rPr>
        <w:t xml:space="preserve">pues el Recurrente se inconformó con </w:t>
      </w:r>
      <w:r>
        <w:rPr>
          <w:rFonts w:ascii="Palatino Linotype" w:eastAsia="Palatino Linotype" w:hAnsi="Palatino Linotype" w:cs="Palatino Linotype"/>
        </w:rPr>
        <w:t>la entrega de información que no corresponde con lo solicitado.</w:t>
      </w:r>
    </w:p>
    <w:p w:rsidR="009A0565" w:rsidRDefault="009A0565">
      <w:pPr>
        <w:spacing w:after="0" w:line="360" w:lineRule="auto"/>
        <w:ind w:right="-28"/>
        <w:jc w:val="both"/>
        <w:rPr>
          <w:rFonts w:ascii="Palatino Linotype" w:eastAsia="Palatino Linotype" w:hAnsi="Palatino Linotype" w:cs="Palatino Linotype"/>
          <w:color w:val="000000"/>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Causales de sobreseimiento.</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ser de previo y especial pronunciamiento, este Instituto analiza si se actualiza alguna causal de sobreseimiento.</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rsidR="009A0565" w:rsidRDefault="009A0565">
      <w:pPr>
        <w:spacing w:after="0" w:line="360" w:lineRule="auto"/>
        <w:jc w:val="both"/>
        <w:rPr>
          <w:rFonts w:ascii="Palatino Linotype" w:eastAsia="Palatino Linotype" w:hAnsi="Palatino Linotype" w:cs="Palatino Linotype"/>
        </w:rPr>
      </w:pPr>
    </w:p>
    <w:p w:rsidR="009A0565" w:rsidRDefault="003649B4">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tales motivos, se considera procedente entrar al fondo del presente asunto. </w:t>
      </w:r>
    </w:p>
    <w:p w:rsidR="009A0565" w:rsidRDefault="009A0565">
      <w:pPr>
        <w:tabs>
          <w:tab w:val="left" w:pos="4962"/>
        </w:tabs>
        <w:spacing w:after="0" w:line="360" w:lineRule="auto"/>
        <w:ind w:right="-28"/>
        <w:jc w:val="both"/>
        <w:rPr>
          <w:rFonts w:ascii="Palatino Linotype" w:eastAsia="Palatino Linotype" w:hAnsi="Palatino Linotype" w:cs="Palatino Linotype"/>
          <w:b/>
        </w:rPr>
      </w:pPr>
    </w:p>
    <w:p w:rsidR="009A0565" w:rsidRDefault="003649B4">
      <w:pPr>
        <w:tabs>
          <w:tab w:val="left" w:pos="4962"/>
        </w:tabs>
        <w:spacing w:after="0" w:line="360" w:lineRule="auto"/>
        <w:ind w:right="-28"/>
        <w:jc w:val="both"/>
        <w:rPr>
          <w:rFonts w:ascii="Palatino Linotype" w:eastAsia="Palatino Linotype" w:hAnsi="Palatino Linotype" w:cs="Palatino Linotype"/>
          <w:b/>
        </w:rPr>
      </w:pPr>
      <w:r>
        <w:rPr>
          <w:rFonts w:ascii="Palatino Linotype" w:eastAsia="Palatino Linotype" w:hAnsi="Palatino Linotype" w:cs="Palatino Linotype"/>
          <w:b/>
        </w:rPr>
        <w:t>TERCERO. Determinación de la Controversia</w:t>
      </w:r>
    </w:p>
    <w:p w:rsidR="009A0565" w:rsidRDefault="009A0565">
      <w:pPr>
        <w:tabs>
          <w:tab w:val="left" w:pos="4962"/>
        </w:tabs>
        <w:spacing w:after="0" w:line="360" w:lineRule="auto"/>
        <w:ind w:right="-28"/>
        <w:jc w:val="both"/>
        <w:rPr>
          <w:rFonts w:ascii="Palatino Linotype" w:eastAsia="Palatino Linotype" w:hAnsi="Palatino Linotype" w:cs="Palatino Linotype"/>
        </w:rPr>
      </w:pPr>
    </w:p>
    <w:p w:rsidR="009A0565" w:rsidRDefault="003649B4">
      <w:pPr>
        <w:tabs>
          <w:tab w:val="left" w:pos="4962"/>
        </w:tabs>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 xml:space="preserve">Una vez realizado el estudio de las constancias que integran el expediente en que se actúa, se desprende que la Particular solicitó, respecto del Jefe del Departamento de Recursos Materiales, al treinta y uno de octubre de dos mil veinticuatro, el soporte </w:t>
      </w:r>
      <w:proofErr w:type="spellStart"/>
      <w:r>
        <w:rPr>
          <w:rFonts w:ascii="Palatino Linotype" w:eastAsia="Palatino Linotype" w:hAnsi="Palatino Linotype" w:cs="Palatino Linotype"/>
        </w:rPr>
        <w:t>documenta</w:t>
      </w:r>
      <w:proofErr w:type="spellEnd"/>
      <w:r>
        <w:rPr>
          <w:rFonts w:ascii="Palatino Linotype" w:eastAsia="Palatino Linotype" w:hAnsi="Palatino Linotype" w:cs="Palatino Linotype"/>
        </w:rPr>
        <w:t xml:space="preserve"> que </w:t>
      </w:r>
      <w:proofErr w:type="spellStart"/>
      <w:r>
        <w:rPr>
          <w:rFonts w:ascii="Palatino Linotype" w:eastAsia="Palatino Linotype" w:hAnsi="Palatino Linotype" w:cs="Palatino Linotype"/>
        </w:rPr>
        <w:t>de</w:t>
      </w:r>
      <w:proofErr w:type="spellEnd"/>
      <w:r>
        <w:rPr>
          <w:rFonts w:ascii="Palatino Linotype" w:eastAsia="Palatino Linotype" w:hAnsi="Palatino Linotype" w:cs="Palatino Linotype"/>
        </w:rPr>
        <w:t xml:space="preserve"> cuenta de lo siguiente:</w:t>
      </w:r>
    </w:p>
    <w:p w:rsidR="009A0565" w:rsidRDefault="009A0565">
      <w:pPr>
        <w:tabs>
          <w:tab w:val="left" w:pos="4962"/>
        </w:tabs>
        <w:spacing w:after="0" w:line="360" w:lineRule="auto"/>
        <w:ind w:right="-28"/>
        <w:jc w:val="both"/>
        <w:rPr>
          <w:rFonts w:ascii="Palatino Linotype" w:eastAsia="Palatino Linotype" w:hAnsi="Palatino Linotype" w:cs="Palatino Linotype"/>
        </w:rPr>
      </w:pPr>
    </w:p>
    <w:p w:rsidR="009A0565" w:rsidRDefault="003649B4">
      <w:pPr>
        <w:numPr>
          <w:ilvl w:val="0"/>
          <w:numId w:val="1"/>
        </w:numPr>
        <w:pBdr>
          <w:top w:val="nil"/>
          <w:left w:val="nil"/>
          <w:bottom w:val="nil"/>
          <w:right w:val="nil"/>
          <w:between w:val="nil"/>
        </w:pBdr>
        <w:tabs>
          <w:tab w:val="left" w:pos="4962"/>
        </w:tabs>
        <w:spacing w:after="0"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Grado Académico, y</w:t>
      </w:r>
    </w:p>
    <w:p w:rsidR="009A0565" w:rsidRDefault="009A0565">
      <w:pPr>
        <w:pBdr>
          <w:top w:val="nil"/>
          <w:left w:val="nil"/>
          <w:bottom w:val="nil"/>
          <w:right w:val="nil"/>
          <w:between w:val="nil"/>
        </w:pBdr>
        <w:tabs>
          <w:tab w:val="left" w:pos="4962"/>
        </w:tabs>
        <w:spacing w:after="0" w:line="360" w:lineRule="auto"/>
        <w:ind w:left="720" w:right="-28"/>
        <w:jc w:val="both"/>
        <w:rPr>
          <w:rFonts w:ascii="Palatino Linotype" w:eastAsia="Palatino Linotype" w:hAnsi="Palatino Linotype" w:cs="Palatino Linotype"/>
          <w:color w:val="000000"/>
        </w:rPr>
      </w:pPr>
    </w:p>
    <w:p w:rsidR="009A0565" w:rsidRDefault="003649B4">
      <w:pPr>
        <w:numPr>
          <w:ilvl w:val="0"/>
          <w:numId w:val="1"/>
        </w:numPr>
        <w:pBdr>
          <w:top w:val="nil"/>
          <w:left w:val="nil"/>
          <w:bottom w:val="nil"/>
          <w:right w:val="nil"/>
          <w:between w:val="nil"/>
        </w:pBdr>
        <w:tabs>
          <w:tab w:val="left" w:pos="4962"/>
        </w:tabs>
        <w:spacing w:after="0"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Cargos que ha ocupado dentro del Instituto y periodo de ostentó dichos cargos.</w:t>
      </w:r>
    </w:p>
    <w:p w:rsidR="009A0565" w:rsidRDefault="009A0565">
      <w:pPr>
        <w:tabs>
          <w:tab w:val="left" w:pos="4962"/>
        </w:tabs>
        <w:spacing w:after="0" w:line="360" w:lineRule="auto"/>
        <w:ind w:right="-28"/>
        <w:jc w:val="both"/>
        <w:rPr>
          <w:rFonts w:ascii="Palatino Linotype" w:eastAsia="Palatino Linotype" w:hAnsi="Palatino Linotype" w:cs="Palatino Linotype"/>
        </w:rPr>
      </w:pPr>
    </w:p>
    <w:p w:rsidR="009A0565" w:rsidRDefault="003649B4">
      <w:pPr>
        <w:tabs>
          <w:tab w:val="left" w:pos="4667"/>
        </w:tabs>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lastRenderedPageBreak/>
        <w:t>En respuesta, el Sujeto Obligado a través de la Dirección de Administración y Finanzas proporcionó del servidor público solicitado una relación con  el grado académico, los cargos que ha ocupado y la temporalidad en que los desempeñó; ante dicha circunstancia, la parte Recurrente se inconformó de la entrega de información que no corresponde con lo solicitado</w:t>
      </w:r>
      <w:r>
        <w:rPr>
          <w:rFonts w:ascii="Palatino Linotype" w:eastAsia="Palatino Linotype" w:hAnsi="Palatino Linotype" w:cs="Palatino Linotype"/>
          <w:color w:val="000000"/>
        </w:rPr>
        <w:t xml:space="preserve">, al señalar que no le habían proporcionado el soporte documental que respaldara la información remitida, sumado a que no era comprensible la forma en que había señalado el periodo en el que se desempeñó en los diversos cargos, lo cual actualiza el supuesto previsto en el artículo 179, fracción VI, de la Ley de Transparencia y Acceso a la Información Pública del Estado de México y Municipios. Así las cosas, una vez admitido y notificado el Recurso de Revisión a las partes, el Sujeto Obligado remitió una captura de pantalla de la página oficial de la Dirección General de Profesiones con el número de cédula profesional del servidor público Luis Antonio Sierra Álvarez, y requirió pago para la entrega de la copia. </w:t>
      </w:r>
    </w:p>
    <w:p w:rsidR="009A0565" w:rsidRDefault="009A0565">
      <w:pPr>
        <w:tabs>
          <w:tab w:val="left" w:pos="4667"/>
        </w:tabs>
        <w:spacing w:after="0" w:line="360" w:lineRule="auto"/>
        <w:jc w:val="both"/>
        <w:rPr>
          <w:rFonts w:ascii="Palatino Linotype" w:eastAsia="Palatino Linotype" w:hAnsi="Palatino Linotype" w:cs="Palatino Linotype"/>
          <w:color w:val="000000"/>
        </w:rPr>
      </w:pPr>
    </w:p>
    <w:p w:rsidR="009A0565" w:rsidRDefault="003649B4">
      <w:pPr>
        <w:tabs>
          <w:tab w:val="left" w:pos="4667"/>
        </w:tabs>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Lo anterior, se desprende de las documentales que obran en el expediente de referencia, materia de la presente resolución, consistentes en: la solicitud de acceso a la información; la respuesta proporcionada por el Sujeto Obligado, el escrito </w:t>
      </w:r>
      <w:proofErr w:type="spellStart"/>
      <w:r>
        <w:rPr>
          <w:rFonts w:ascii="Palatino Linotype" w:eastAsia="Palatino Linotype" w:hAnsi="Palatino Linotype" w:cs="Palatino Linotype"/>
        </w:rPr>
        <w:t>recursal</w:t>
      </w:r>
      <w:proofErr w:type="spellEnd"/>
      <w:r>
        <w:rPr>
          <w:rFonts w:ascii="Palatino Linotype" w:eastAsia="Palatino Linotype" w:hAnsi="Palatino Linotype" w:cs="Palatino Linotype"/>
        </w:rPr>
        <w:t xml:space="preserve"> y el Informe Justificado; instrumentales que se toman en cuenta a efecto de resolver el presente medio de impugnación, conforme a lo dispuesto por el artículo 185, fracción IV, de la Ley de Transparencia y Acceso a la Información Pública del Estado de México y Municipios. </w:t>
      </w:r>
      <w:r>
        <w:rPr>
          <w:rFonts w:ascii="Palatino Linotype" w:eastAsia="Palatino Linotype" w:hAnsi="Palatino Linotype" w:cs="Palatino Linotype"/>
          <w:b/>
        </w:rPr>
        <w:t>Cabe señalar que el Recurrente fue omiso en realizar manifestaciones y alegatos a que tuviera derecho.</w:t>
      </w:r>
    </w:p>
    <w:p w:rsidR="009A0565" w:rsidRDefault="009A0565">
      <w:pPr>
        <w:tabs>
          <w:tab w:val="left" w:pos="4962"/>
        </w:tabs>
        <w:spacing w:after="0" w:line="360" w:lineRule="auto"/>
        <w:ind w:right="-28"/>
        <w:jc w:val="both"/>
        <w:rPr>
          <w:rFonts w:ascii="Palatino Linotype" w:eastAsia="Palatino Linotype" w:hAnsi="Palatino Linotype" w:cs="Palatino Linotype"/>
        </w:rPr>
      </w:pPr>
    </w:p>
    <w:p w:rsidR="009A0565" w:rsidRDefault="003649B4">
      <w:pPr>
        <w:spacing w:after="0" w:line="360" w:lineRule="auto"/>
        <w:ind w:right="-28"/>
        <w:jc w:val="both"/>
        <w:rPr>
          <w:rFonts w:ascii="Palatino Linotype" w:eastAsia="Palatino Linotype" w:hAnsi="Palatino Linotype" w:cs="Palatino Linotype"/>
          <w:b/>
        </w:rPr>
      </w:pPr>
      <w:r>
        <w:rPr>
          <w:rFonts w:ascii="Palatino Linotype" w:eastAsia="Palatino Linotype" w:hAnsi="Palatino Linotype" w:cs="Palatino Linotype"/>
          <w:b/>
        </w:rPr>
        <w:t>CUARTO. Marco normativo aplicable en materia de transparencia y acceso a la información pública</w:t>
      </w:r>
    </w:p>
    <w:p w:rsidR="009A0565" w:rsidRDefault="009A0565">
      <w:pPr>
        <w:spacing w:after="0" w:line="360" w:lineRule="auto"/>
        <w:ind w:right="-28"/>
        <w:jc w:val="both"/>
        <w:rPr>
          <w:rFonts w:ascii="Palatino Linotype" w:eastAsia="Palatino Linotype" w:hAnsi="Palatino Linotype" w:cs="Palatino Linotype"/>
        </w:rPr>
      </w:pPr>
    </w:p>
    <w:p w:rsidR="009A0565" w:rsidRDefault="003649B4">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9A0565" w:rsidRDefault="009A0565">
      <w:pPr>
        <w:spacing w:after="0" w:line="360" w:lineRule="auto"/>
        <w:ind w:right="-28"/>
        <w:jc w:val="both"/>
        <w:rPr>
          <w:rFonts w:ascii="Palatino Linotype" w:eastAsia="Palatino Linotype" w:hAnsi="Palatino Linotype" w:cs="Palatino Linotype"/>
        </w:rPr>
      </w:pPr>
    </w:p>
    <w:p w:rsidR="009A0565" w:rsidRDefault="003649B4">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9A0565" w:rsidRDefault="009A0565">
      <w:pPr>
        <w:spacing w:after="0" w:line="360" w:lineRule="auto"/>
        <w:ind w:right="-28"/>
        <w:jc w:val="both"/>
        <w:rPr>
          <w:rFonts w:ascii="Palatino Linotype" w:eastAsia="Palatino Linotype" w:hAnsi="Palatino Linotype" w:cs="Palatino Linotype"/>
        </w:rPr>
      </w:pPr>
    </w:p>
    <w:p w:rsidR="009A0565" w:rsidRDefault="003649B4">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9A0565" w:rsidRDefault="009A0565">
      <w:pPr>
        <w:spacing w:after="0" w:line="360" w:lineRule="auto"/>
        <w:ind w:right="-28"/>
        <w:jc w:val="both"/>
        <w:rPr>
          <w:rFonts w:ascii="Palatino Linotype" w:eastAsia="Palatino Linotype" w:hAnsi="Palatino Linotype" w:cs="Palatino Linotype"/>
        </w:rPr>
      </w:pPr>
    </w:p>
    <w:p w:rsidR="009A0565" w:rsidRDefault="003649B4">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Por su parte, la Ley de Transparencia y Acceso a la Información Pública del Estado de México y Municipios (Reglamentaria del artículo 5° de la Constitución Local), establece lo siguiente:</w:t>
      </w:r>
    </w:p>
    <w:p w:rsidR="009A0565" w:rsidRDefault="009A0565">
      <w:pPr>
        <w:spacing w:after="0" w:line="360" w:lineRule="auto"/>
        <w:ind w:right="-28"/>
        <w:jc w:val="both"/>
        <w:rPr>
          <w:rFonts w:ascii="Palatino Linotype" w:eastAsia="Palatino Linotype" w:hAnsi="Palatino Linotype" w:cs="Palatino Linotype"/>
        </w:rPr>
      </w:pPr>
    </w:p>
    <w:p w:rsidR="009A0565" w:rsidRDefault="003649B4">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El artículo 12, que, quienes generen, recopilen, administren, manejen, procesen, archiven o conserven información pública serán responsables de la misma.</w:t>
      </w:r>
    </w:p>
    <w:p w:rsidR="009A0565" w:rsidRDefault="009A0565">
      <w:pPr>
        <w:spacing w:after="0" w:line="360" w:lineRule="auto"/>
        <w:ind w:right="-28"/>
        <w:jc w:val="both"/>
        <w:rPr>
          <w:rFonts w:ascii="Palatino Linotype" w:eastAsia="Palatino Linotype" w:hAnsi="Palatino Linotype" w:cs="Palatino Linotype"/>
        </w:rPr>
      </w:pPr>
    </w:p>
    <w:p w:rsidR="009A0565" w:rsidRDefault="003649B4">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El artículo 18, que, los Sujetos Obligados deberán documentar todo acto que derive del ejercicio de sus facultades, competencias o funciones, considerando desde su origen la eventual publicidad y reutilización de la información que generen.</w:t>
      </w:r>
    </w:p>
    <w:p w:rsidR="009A0565" w:rsidRDefault="009A0565">
      <w:pPr>
        <w:spacing w:after="0" w:line="360" w:lineRule="auto"/>
        <w:ind w:right="-28"/>
        <w:jc w:val="both"/>
        <w:rPr>
          <w:rFonts w:ascii="Palatino Linotype" w:eastAsia="Palatino Linotype" w:hAnsi="Palatino Linotype" w:cs="Palatino Linotype"/>
        </w:rPr>
      </w:pPr>
    </w:p>
    <w:p w:rsidR="009A0565" w:rsidRDefault="003649B4">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9A0565" w:rsidRDefault="009A0565">
      <w:pPr>
        <w:spacing w:after="0" w:line="360" w:lineRule="auto"/>
        <w:ind w:right="-28"/>
        <w:jc w:val="both"/>
        <w:rPr>
          <w:rFonts w:ascii="Palatino Linotype" w:eastAsia="Palatino Linotype" w:hAnsi="Palatino Linotype" w:cs="Palatino Linotype"/>
          <w:b/>
        </w:rPr>
      </w:pPr>
    </w:p>
    <w:p w:rsidR="009A0565" w:rsidRDefault="003649B4">
      <w:pPr>
        <w:spacing w:after="0" w:line="360" w:lineRule="auto"/>
        <w:ind w:right="-28"/>
        <w:jc w:val="both"/>
        <w:rPr>
          <w:rFonts w:ascii="Palatino Linotype" w:eastAsia="Palatino Linotype" w:hAnsi="Palatino Linotype" w:cs="Palatino Linotype"/>
          <w:b/>
        </w:rPr>
      </w:pPr>
      <w:r>
        <w:rPr>
          <w:rFonts w:ascii="Palatino Linotype" w:eastAsia="Palatino Linotype" w:hAnsi="Palatino Linotype" w:cs="Palatino Linotype"/>
          <w:b/>
        </w:rPr>
        <w:t>QUINTO. Estudio de Fondo</w:t>
      </w:r>
    </w:p>
    <w:p w:rsidR="009A0565" w:rsidRDefault="009A0565">
      <w:pPr>
        <w:spacing w:after="0" w:line="360" w:lineRule="auto"/>
        <w:ind w:right="-28"/>
        <w:jc w:val="both"/>
        <w:rPr>
          <w:rFonts w:ascii="Palatino Linotype" w:eastAsia="Palatino Linotype" w:hAnsi="Palatino Linotype" w:cs="Palatino Linotype"/>
          <w:b/>
        </w:rPr>
      </w:pPr>
    </w:p>
    <w:p w:rsidR="009A0565" w:rsidRDefault="003649B4">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Expuestas las posturas de las partes, se procede a realizar el análisis del agravio hecho valer por el ahora Recurrente, concerniente a la entrega de información que no corresponde con lo solicitado, por lo que en principio resulta necesario contextualizar la solicitud de información.</w:t>
      </w: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Sobre el tema, resulta conveniente señalar lo establecido por el artículo 47 de la Ley del Trabajo de los Servidores Públicos del Estado y Municipios, refiere que para ingresar al servicio público se requiere, entre otras cosas, cumplir con los requisitos que se establezcan para los diferentes puestos, como es el nivel académico. </w:t>
      </w: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ese contexto, el Título profesional, certificado de estudios </w:t>
      </w:r>
      <w:proofErr w:type="spellStart"/>
      <w:r>
        <w:rPr>
          <w:rFonts w:ascii="Palatino Linotype" w:eastAsia="Palatino Linotype" w:hAnsi="Palatino Linotype" w:cs="Palatino Linotype"/>
        </w:rPr>
        <w:t>u</w:t>
      </w:r>
      <w:proofErr w:type="spellEnd"/>
      <w:r>
        <w:rPr>
          <w:rFonts w:ascii="Palatino Linotype" w:eastAsia="Palatino Linotype" w:hAnsi="Palatino Linotype" w:cs="Palatino Linotype"/>
        </w:rPr>
        <w:t xml:space="preserve"> homólogo corresponde al documento expedido por instituciones del Estado o descentralizadas, y por instituciones particulares que tenga reconocimiento de validez oficial de estudios, a favor de la persona que esté en proceso o haya concluido los estudios correspondientes o demostrado tener los conocimientos necesarios de conformidad con esta Ley y otras disposiciones aplicables, y para su obtención es indispensable acreditar que se han cumplido los requisitos académicos previstos por las leyes aplicables; lo anterior de conformidad con los artículos 1° y 8° de la Ley Reglamentaria del Artículo 5° Constitucional, Relativo al Ejercicio de las Profesiones en la Ciudad de México.</w:t>
      </w: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Además, es de señalar que la cédula profesional, es aquella expresión documental con validez legal, para certificar o demostrar que efectivamente una persona está calificada para ejercer la profesión para la cual se ha preparado y ha recibido un título profesional, conforme a lo referido en la página oficial de la Secretaría de Educación Pública.</w:t>
      </w: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9A0565" w:rsidRDefault="003649B4">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Así, los documentos que </w:t>
      </w:r>
      <w:r>
        <w:rPr>
          <w:rFonts w:ascii="Palatino Linotype" w:eastAsia="Palatino Linotype" w:hAnsi="Palatino Linotype" w:cs="Palatino Linotype"/>
          <w:b/>
        </w:rPr>
        <w:t xml:space="preserve">dan cuenta de la preparación académica, sirven como medios de identificación, para que a su titular lo relacionen con el nivel de estudios con que cuenta, tales como el título y cédula profesional, independientemente de que estos sean o no medios de identificación oficiales. </w:t>
      </w:r>
    </w:p>
    <w:p w:rsidR="009A0565" w:rsidRDefault="009A0565">
      <w:pPr>
        <w:spacing w:after="0" w:line="360" w:lineRule="auto"/>
        <w:jc w:val="both"/>
        <w:rPr>
          <w:rFonts w:ascii="Palatino Linotype" w:eastAsia="Palatino Linotype" w:hAnsi="Palatino Linotype" w:cs="Palatino Linotype"/>
          <w:b/>
        </w:rPr>
      </w:pPr>
    </w:p>
    <w:p w:rsidR="009A0565" w:rsidRDefault="003649B4">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rPr>
        <w:t>Además, debe tenerse presente que la naturaleza del título profesional o bien, del certificado, consiste en la de ser documentos de identificación para que a sus titulares, los acrediten como profesionales o expertos en algún área de estudio o conocimiento frente a terceros;</w:t>
      </w:r>
      <w:r>
        <w:rPr>
          <w:rFonts w:ascii="Palatino Linotype" w:eastAsia="Palatino Linotype" w:hAnsi="Palatino Linotype" w:cs="Palatino Linotype"/>
          <w:b/>
        </w:rPr>
        <w:t xml:space="preserve"> por lo que, proporcionar dicha información abona a la transparencia y a la rendición de cuentas, pues sirven a la ciudadanía para comprobar que las personas que se desempeñan como servidores públicos tienen el perfil idóneo, la capacidad, las habilidades y la pericia para desarrollar las actividades y atribuciones que se deriven de su encargo.</w:t>
      </w:r>
    </w:p>
    <w:p w:rsidR="009A0565" w:rsidRDefault="009A0565">
      <w:pPr>
        <w:spacing w:after="0" w:line="360" w:lineRule="auto"/>
        <w:jc w:val="both"/>
        <w:rPr>
          <w:rFonts w:ascii="Palatino Linotype" w:eastAsia="Palatino Linotype" w:hAnsi="Palatino Linotype" w:cs="Palatino Linotype"/>
          <w:b/>
        </w:rPr>
      </w:pPr>
    </w:p>
    <w:p w:rsidR="009A0565" w:rsidRDefault="003649B4">
      <w:pPr>
        <w:widowControl w:val="0"/>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Además, el </w:t>
      </w:r>
      <w:r>
        <w:rPr>
          <w:rFonts w:ascii="Palatino Linotype" w:eastAsia="Palatino Linotype" w:hAnsi="Palatino Linotype" w:cs="Palatino Linotype"/>
          <w:i/>
        </w:rPr>
        <w:t>currículum vitae,</w:t>
      </w:r>
      <w:r>
        <w:rPr>
          <w:rFonts w:ascii="Palatino Linotype" w:eastAsia="Palatino Linotype" w:hAnsi="Palatino Linotype" w:cs="Palatino Linotype"/>
        </w:rPr>
        <w:t xml:space="preserve"> es aquel documento que las personas elaboran con los datos de identificación y contacto, preparación académica y experiencia profesional, para presentarse ante un posible empleador. Por lo que, dicho documento da cuenta de la preparación académica y la experiencia laboral, lo cual permite identificar el nivel de conocimientos de su titular, así como, su perfil profesional o laboral.</w:t>
      </w:r>
    </w:p>
    <w:p w:rsidR="009A0565" w:rsidRDefault="009A0565">
      <w:pPr>
        <w:spacing w:after="0" w:line="360" w:lineRule="auto"/>
        <w:ind w:right="-28"/>
        <w:jc w:val="both"/>
        <w:rPr>
          <w:rFonts w:ascii="Palatino Linotype" w:eastAsia="Palatino Linotype" w:hAnsi="Palatino Linotype" w:cs="Palatino Linotype"/>
          <w:color w:val="000000"/>
        </w:rPr>
      </w:pPr>
    </w:p>
    <w:p w:rsidR="009A0565" w:rsidRDefault="003649B4">
      <w:pPr>
        <w:spacing w:after="0"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En ese contexto, según Islas, Jorge (2016), en la “Ley General de Transparencia y Acceso a la Información Pública Comentada” (p. 244), refirió que el </w:t>
      </w:r>
      <w:r>
        <w:rPr>
          <w:rFonts w:ascii="Palatino Linotype" w:eastAsia="Palatino Linotype" w:hAnsi="Palatino Linotype" w:cs="Palatino Linotype"/>
          <w:b/>
          <w:color w:val="000000"/>
        </w:rPr>
        <w:t xml:space="preserve">currículum vitae </w:t>
      </w:r>
      <w:r>
        <w:rPr>
          <w:rFonts w:ascii="Palatino Linotype" w:eastAsia="Palatino Linotype" w:hAnsi="Palatino Linotype" w:cs="Palatino Linotype"/>
          <w:color w:val="000000"/>
        </w:rPr>
        <w:t>d</w:t>
      </w:r>
      <w:r>
        <w:rPr>
          <w:rFonts w:ascii="Palatino Linotype" w:eastAsia="Palatino Linotype" w:hAnsi="Palatino Linotype" w:cs="Palatino Linotype"/>
          <w:b/>
          <w:color w:val="000000"/>
        </w:rPr>
        <w:t>e un servidor público, justifica que su formación académica resulta viable para el desempeño eficiente y correcto de su encargo; lo anterior, con el fin de acreditar que dichos trabajadores sean los más capacitados acordes al área solicitada.</w:t>
      </w:r>
    </w:p>
    <w:p w:rsidR="009A0565" w:rsidRDefault="009A0565">
      <w:pPr>
        <w:spacing w:after="0" w:line="360" w:lineRule="auto"/>
        <w:ind w:right="-28"/>
        <w:jc w:val="both"/>
        <w:rPr>
          <w:rFonts w:ascii="Palatino Linotype" w:eastAsia="Palatino Linotype" w:hAnsi="Palatino Linotype" w:cs="Palatino Linotype"/>
          <w:color w:val="000000"/>
        </w:rPr>
      </w:pPr>
    </w:p>
    <w:p w:rsidR="009A0565" w:rsidRDefault="003649B4">
      <w:pPr>
        <w:spacing w:after="0"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el mismo sentido, el Criterio de Interpretación, de la Tercera de Época, con número de registro </w:t>
      </w:r>
      <w:r>
        <w:rPr>
          <w:rFonts w:ascii="Palatino Linotype" w:eastAsia="Palatino Linotype" w:hAnsi="Palatino Linotype" w:cs="Palatino Linotype"/>
          <w:color w:val="222222"/>
          <w:highlight w:val="white"/>
        </w:rPr>
        <w:t>SO/007/2023</w:t>
      </w:r>
      <w:r>
        <w:rPr>
          <w:rFonts w:ascii="Palatino Linotype" w:eastAsia="Palatino Linotype" w:hAnsi="Palatino Linotype" w:cs="Palatino Linotype"/>
          <w:color w:val="000000"/>
        </w:rPr>
        <w:t xml:space="preserve">, emitido por el Instituto Nacional de Transparencia, Acceso a la Información y Protección de Datos Personales, establece que una de las formas en que los ciudadanos pueden evaluar las aptitudes para desempeñar un cargo público determinado, es mediante la </w:t>
      </w:r>
      <w:r>
        <w:rPr>
          <w:rFonts w:ascii="Palatino Linotype" w:eastAsia="Palatino Linotype" w:hAnsi="Palatino Linotype" w:cs="Palatino Linotype"/>
          <w:b/>
          <w:color w:val="000000"/>
        </w:rPr>
        <w:t xml:space="preserve">publicidad de ciertos datos contenidos en el </w:t>
      </w:r>
      <w:r>
        <w:rPr>
          <w:rFonts w:ascii="Palatino Linotype" w:eastAsia="Palatino Linotype" w:hAnsi="Palatino Linotype" w:cs="Palatino Linotype"/>
          <w:color w:val="000000"/>
        </w:rPr>
        <w:t>currículum vitae</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tales como,</w:t>
      </w:r>
      <w:r>
        <w:rPr>
          <w:rFonts w:ascii="Palatino Linotype" w:eastAsia="Palatino Linotype" w:hAnsi="Palatino Linotype" w:cs="Palatino Linotype"/>
          <w:b/>
          <w:color w:val="000000"/>
        </w:rPr>
        <w:t xml:space="preserve"> la trayectoria académica, profesional, laboral, así como todos aquellos que acrediten su capacidad, habilidades pericia para ocupar el puesto público. </w:t>
      </w:r>
      <w:r>
        <w:rPr>
          <w:rFonts w:ascii="Palatino Linotype" w:eastAsia="Palatino Linotype" w:hAnsi="Palatino Linotype" w:cs="Palatino Linotype"/>
          <w:color w:val="000000"/>
        </w:rPr>
        <w:t>Lo anterior, para favorecer la rendición de cuentas, pues la publicidad de lo anterior tiene como fin verificar el correcto desempeño de los sujetos obligados.</w:t>
      </w:r>
    </w:p>
    <w:p w:rsidR="009A0565" w:rsidRDefault="009A0565">
      <w:pPr>
        <w:spacing w:after="0" w:line="360" w:lineRule="auto"/>
        <w:jc w:val="both"/>
        <w:rPr>
          <w:rFonts w:ascii="Palatino Linotype" w:eastAsia="Palatino Linotype" w:hAnsi="Palatino Linotype" w:cs="Palatino Linotype"/>
          <w:b/>
        </w:rPr>
      </w:pPr>
    </w:p>
    <w:p w:rsidR="009A0565" w:rsidRDefault="003649B4">
      <w:p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rPr>
        <w:t>Conforme a lo anterior y en atención a la solicitud de información y Recurso de Revisión, se logra vislumbrar que la pretensión del ahora Recurrente es obtener los documentos que den cuenta del grado académico del servidor público, como podría ser el Título o Cédula Profesional, o en su caso, aquel que prevea su información curricular.</w:t>
      </w:r>
    </w:p>
    <w:p w:rsidR="009A0565" w:rsidRDefault="009A0565">
      <w:pPr>
        <w:spacing w:after="0" w:line="360" w:lineRule="auto"/>
        <w:jc w:val="both"/>
        <w:rPr>
          <w:rFonts w:ascii="Palatino Linotype" w:eastAsia="Palatino Linotype" w:hAnsi="Palatino Linotype" w:cs="Palatino Linotype"/>
          <w:b/>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los artículos 5°, 45, 48, 49 y 50 de la Ley del Trabajo de los Servidores Públicos del Estado de México y Municipios, establece que la relación laboral, entre las instituciones y sus servidores públicos, se entiende por establecida mediante nombramiento, formato único de </w:t>
      </w:r>
      <w:r>
        <w:rPr>
          <w:rFonts w:ascii="Palatino Linotype" w:eastAsia="Palatino Linotype" w:hAnsi="Palatino Linotype" w:cs="Palatino Linotype"/>
        </w:rPr>
        <w:lastRenderedPageBreak/>
        <w:t>personal o contrato, documentos que obligan al servidor público a cumplir con los deberes inherentes al puesto especificado en los mismos.</w:t>
      </w: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Lo cual se robustece, con la Guía Técnica 9 “La Administración del Personal Municipal”, emitida por el Instituto Nacional para el Federalismo y el Desarrollo Municipal, que precisa que la formalización de la relación laboral realiza por medio del Contrato, nombramiento o Formato Único de Movimiento de Personal.</w:t>
      </w: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ese contexto, es de señalar que los Particulares no son peritos en la materia, por lo que, no tienen la obligación de conocer de qué forma se acredita la relación laboral, entre los servidores públicos y el Ayuntamiento; por lo que, en cumplimiento al artículo 13 de la Ley de Transparencia y Acceso a la Información Pública del Estado de México y Municipios, se considera que la pretensión del ahora Recurrente, es obtener el documento que acredite la relación laboral que existe entre un servidor público y el Sujeto Obligado, es decir, su nombramiento, formato único de movimiento de personal o contrato.</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este mismo contexto, resulta necesario traer a estudio, los numerales 227B15000 y 227B15201 del Manual General de Organización del </w:t>
      </w:r>
      <w:r>
        <w:rPr>
          <w:rFonts w:ascii="Palatino Linotype" w:eastAsia="Palatino Linotype" w:hAnsi="Palatino Linotype" w:cs="Palatino Linotype"/>
          <w:color w:val="000000"/>
        </w:rPr>
        <w:t>Instituto de la Función Registral del Estado de México</w:t>
      </w:r>
      <w:r>
        <w:rPr>
          <w:rFonts w:ascii="Palatino Linotype" w:eastAsia="Palatino Linotype" w:hAnsi="Palatino Linotype" w:cs="Palatino Linotype"/>
        </w:rPr>
        <w:t>, en los cuales se establece que, para el ejercicio de sus atribuciones, el Instituto contará con diversas áreas entre otras; la Dirección de Administración y Finanzas, quien a su vez se auxiliará de diversas unidades administrativas entre otras el Departamento de Recursos Materiales.</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sobre el servidor público solicitado, se localizó en el portal de información del Sujeto Obligado IPOMEX 4.0, en el apartado de “Directorio de todos los servidores públicos” </w:t>
      </w:r>
      <w:r>
        <w:rPr>
          <w:rFonts w:ascii="Palatino Linotype" w:eastAsia="Palatino Linotype" w:hAnsi="Palatino Linotype" w:cs="Palatino Linotype"/>
        </w:rPr>
        <w:lastRenderedPageBreak/>
        <w:t xml:space="preserve">en la fracción VII, visible en el siguiente enlace </w:t>
      </w:r>
      <w:hyperlink r:id="rId9" w:anchor="/info-fraccion/10/220/22">
        <w:r>
          <w:rPr>
            <w:rFonts w:ascii="Palatino Linotype" w:eastAsia="Palatino Linotype" w:hAnsi="Palatino Linotype" w:cs="Palatino Linotype"/>
            <w:color w:val="0563C1"/>
            <w:u w:val="single"/>
          </w:rPr>
          <w:t>https://infoem2.ipomex.org.mx/ipomex/#/info-fraccion/10/220/22</w:t>
        </w:r>
      </w:hyperlink>
      <w:r>
        <w:rPr>
          <w:rFonts w:ascii="Palatino Linotype" w:eastAsia="Palatino Linotype" w:hAnsi="Palatino Linotype" w:cs="Palatino Linotype"/>
        </w:rPr>
        <w:t>, en el cual se logró vislumbrar, que Luis Antonio Sierra Álvarez se ostenta con el cargo de Jefe del Departamento de Recursos Materiales, como se puede observar conforme al siguiente extracto:</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extent cx="5333727" cy="799232"/>
            <wp:effectExtent l="0" t="0" r="0" b="0"/>
            <wp:docPr id="18233997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29089"/>
                    <a:stretch>
                      <a:fillRect/>
                    </a:stretch>
                  </pic:blipFill>
                  <pic:spPr>
                    <a:xfrm>
                      <a:off x="0" y="0"/>
                      <a:ext cx="5333727" cy="799232"/>
                    </a:xfrm>
                    <a:prstGeom prst="rect">
                      <a:avLst/>
                    </a:prstGeom>
                    <a:ln/>
                  </pic:spPr>
                </pic:pic>
              </a:graphicData>
            </a:graphic>
          </wp:inline>
        </w:drawing>
      </w:r>
    </w:p>
    <w:p w:rsidR="009A0565" w:rsidRDefault="009A0565">
      <w:pPr>
        <w:spacing w:after="0" w:line="360" w:lineRule="auto"/>
        <w:jc w:val="both"/>
        <w:rPr>
          <w:rFonts w:ascii="Palatino Linotype" w:eastAsia="Palatino Linotype" w:hAnsi="Palatino Linotype" w:cs="Palatino Linotype"/>
          <w:b/>
        </w:rPr>
      </w:pPr>
    </w:p>
    <w:p w:rsidR="009A0565" w:rsidRDefault="003649B4">
      <w:pPr>
        <w:tabs>
          <w:tab w:val="left" w:pos="4962"/>
        </w:tabs>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Conforme a lo anterior, se logra vislumbrar que el Sujeto Obligado cuenta con competencia para conocer sobre lo solicitado, y que la pretensión de la ahora Recurrente es obtener respecto del Jefe del Departamento de Materiales (Luis Antonio Sierra Álvarez), al treinta y uno de octubre de dos mil veinticuatro, los documentos que den cuenta de lo siguiente:</w:t>
      </w:r>
    </w:p>
    <w:p w:rsidR="009A0565" w:rsidRDefault="009A0565">
      <w:pPr>
        <w:tabs>
          <w:tab w:val="left" w:pos="4962"/>
        </w:tabs>
        <w:spacing w:after="0" w:line="360" w:lineRule="auto"/>
        <w:ind w:right="-28"/>
        <w:jc w:val="both"/>
        <w:rPr>
          <w:rFonts w:ascii="Palatino Linotype" w:eastAsia="Palatino Linotype" w:hAnsi="Palatino Linotype" w:cs="Palatino Linotype"/>
        </w:rPr>
      </w:pPr>
    </w:p>
    <w:p w:rsidR="009A0565" w:rsidRDefault="003649B4">
      <w:pPr>
        <w:numPr>
          <w:ilvl w:val="0"/>
          <w:numId w:val="9"/>
        </w:numPr>
        <w:pBdr>
          <w:top w:val="nil"/>
          <w:left w:val="nil"/>
          <w:bottom w:val="nil"/>
          <w:right w:val="nil"/>
          <w:between w:val="nil"/>
        </w:pBdr>
        <w:tabs>
          <w:tab w:val="left" w:pos="4962"/>
        </w:tabs>
        <w:spacing w:after="0"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Grado académico (Título o cédula profesional, o bien, la información curricular); y</w:t>
      </w:r>
    </w:p>
    <w:p w:rsidR="009A0565" w:rsidRDefault="003649B4">
      <w:pPr>
        <w:numPr>
          <w:ilvl w:val="0"/>
          <w:numId w:val="9"/>
        </w:numPr>
        <w:pBdr>
          <w:top w:val="nil"/>
          <w:left w:val="nil"/>
          <w:bottom w:val="nil"/>
          <w:right w:val="nil"/>
          <w:between w:val="nil"/>
        </w:pBdr>
        <w:tabs>
          <w:tab w:val="left" w:pos="4962"/>
        </w:tabs>
        <w:spacing w:after="0"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Cargos que ha ocupado dentro del IFREM y periodo de ostentó dichos cargos (nombramiento o Formato Único de Movimiento de Personal).</w:t>
      </w:r>
    </w:p>
    <w:p w:rsidR="009A0565" w:rsidRDefault="009A0565">
      <w:pPr>
        <w:tabs>
          <w:tab w:val="left" w:pos="4962"/>
        </w:tabs>
        <w:spacing w:after="0" w:line="360" w:lineRule="auto"/>
        <w:ind w:right="-28"/>
        <w:jc w:val="both"/>
        <w:rPr>
          <w:rFonts w:ascii="Palatino Linotype" w:eastAsia="Palatino Linotype" w:hAnsi="Palatino Linotype" w:cs="Palatino Linotype"/>
        </w:rPr>
      </w:pPr>
    </w:p>
    <w:p w:rsidR="009A0565" w:rsidRDefault="003649B4">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resulta necesario hacer referencia, al procedimiento de búsqueda que deben de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con </w:t>
      </w:r>
      <w:r>
        <w:rPr>
          <w:rFonts w:ascii="Palatino Linotype" w:eastAsia="Palatino Linotype" w:hAnsi="Palatino Linotype" w:cs="Palatino Linotype"/>
        </w:rPr>
        <w:lastRenderedPageBreak/>
        <w:t>el objeto de que dichas áreas realicen una búsqueda exhaustiva y razonable de la información requerida.</w:t>
      </w:r>
    </w:p>
    <w:p w:rsidR="009A0565" w:rsidRDefault="009A0565">
      <w:pPr>
        <w:pBdr>
          <w:top w:val="nil"/>
          <w:left w:val="nil"/>
          <w:bottom w:val="nil"/>
          <w:right w:val="nil"/>
          <w:between w:val="nil"/>
        </w:pBdr>
        <w:spacing w:after="0" w:line="360" w:lineRule="auto"/>
        <w:ind w:left="720" w:right="-28"/>
        <w:jc w:val="both"/>
        <w:rPr>
          <w:rFonts w:ascii="Palatino Linotype" w:eastAsia="Palatino Linotype" w:hAnsi="Palatino Linotype" w:cs="Palatino Linotype"/>
          <w:color w:val="000000"/>
        </w:rPr>
      </w:pPr>
    </w:p>
    <w:p w:rsidR="009A0565" w:rsidRDefault="003649B4">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 xml:space="preserve">Así, a efecto de verificar que el Sujeto Obligado cumplió con dicho procedimiento, es necesario traer a estudio los numerales 227B15000 y 227B15202 del Manual General de Organización del </w:t>
      </w:r>
      <w:r>
        <w:rPr>
          <w:rFonts w:ascii="Palatino Linotype" w:eastAsia="Palatino Linotype" w:hAnsi="Palatino Linotype" w:cs="Palatino Linotype"/>
          <w:color w:val="000000"/>
        </w:rPr>
        <w:t>Instituto de la Función Registral del Estado de México</w:t>
      </w:r>
      <w:r>
        <w:rPr>
          <w:rFonts w:ascii="Palatino Linotype" w:eastAsia="Palatino Linotype" w:hAnsi="Palatino Linotype" w:cs="Palatino Linotype"/>
        </w:rPr>
        <w:t>, en los cuales se establece que para el ejercicio de sus atribuciones, el Instituto contará con diversas áreas entre otras; la Dirección de Administración y Finanzas, quien a su vez se auxiliará de diversas unidades administrativas entre otras;</w:t>
      </w:r>
    </w:p>
    <w:p w:rsidR="009A0565" w:rsidRDefault="009A0565">
      <w:pPr>
        <w:spacing w:after="0" w:line="360" w:lineRule="auto"/>
        <w:ind w:right="-28"/>
        <w:jc w:val="both"/>
        <w:rPr>
          <w:rFonts w:ascii="Palatino Linotype" w:eastAsia="Palatino Linotype" w:hAnsi="Palatino Linotype" w:cs="Palatino Linotype"/>
        </w:rPr>
      </w:pPr>
    </w:p>
    <w:p w:rsidR="009A0565" w:rsidRDefault="003649B4">
      <w:pPr>
        <w:numPr>
          <w:ilvl w:val="0"/>
          <w:numId w:val="1"/>
        </w:numPr>
        <w:pBdr>
          <w:top w:val="nil"/>
          <w:left w:val="nil"/>
          <w:bottom w:val="nil"/>
          <w:right w:val="nil"/>
          <w:between w:val="nil"/>
        </w:pBdr>
        <w:spacing w:after="0"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El Departamento de Personal e</w:t>
      </w:r>
      <w:r>
        <w:rPr>
          <w:rFonts w:ascii="Palatino Linotype" w:eastAsia="Palatino Linotype" w:hAnsi="Palatino Linotype" w:cs="Palatino Linotype"/>
          <w:color w:val="000000"/>
        </w:rPr>
        <w:t>ncargado de gestionar, controlar y supervisar los movimientos administrativos de los servidores públicos del Instituto, conforme a las políticas y procedimientos establecidos por la Secretaría de Finanzas, asegurando que se lleve a cabo conforme a la normatividad y marco legal que compete al área de personal, quién además le corresponderá el ejercicio de diversas funciones entre otras las siguientes:</w:t>
      </w:r>
    </w:p>
    <w:p w:rsidR="009A0565" w:rsidRDefault="009A0565">
      <w:pPr>
        <w:pBdr>
          <w:top w:val="nil"/>
          <w:left w:val="nil"/>
          <w:bottom w:val="nil"/>
          <w:right w:val="nil"/>
          <w:between w:val="nil"/>
        </w:pBdr>
        <w:spacing w:after="0" w:line="360" w:lineRule="auto"/>
        <w:ind w:left="720" w:right="-28"/>
        <w:jc w:val="both"/>
        <w:rPr>
          <w:rFonts w:ascii="Palatino Linotype" w:eastAsia="Palatino Linotype" w:hAnsi="Palatino Linotype" w:cs="Palatino Linotype"/>
          <w:color w:val="000000"/>
        </w:rPr>
      </w:pPr>
    </w:p>
    <w:p w:rsidR="009A0565" w:rsidRDefault="003649B4">
      <w:pPr>
        <w:numPr>
          <w:ilvl w:val="0"/>
          <w:numId w:val="1"/>
        </w:numPr>
        <w:pBdr>
          <w:top w:val="nil"/>
          <w:left w:val="nil"/>
          <w:bottom w:val="nil"/>
          <w:right w:val="nil"/>
          <w:between w:val="nil"/>
        </w:pBdr>
        <w:spacing w:after="0"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Integrar y mantener actualizados los expedientes del personal adscrito al Instituto;</w:t>
      </w:r>
    </w:p>
    <w:p w:rsidR="009A0565" w:rsidRDefault="003649B4">
      <w:pPr>
        <w:numPr>
          <w:ilvl w:val="0"/>
          <w:numId w:val="1"/>
        </w:numPr>
        <w:pBdr>
          <w:top w:val="nil"/>
          <w:left w:val="nil"/>
          <w:bottom w:val="nil"/>
          <w:right w:val="nil"/>
          <w:between w:val="nil"/>
        </w:pBdr>
        <w:spacing w:after="0"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Elaborar mantener actualizada la plantilla de personal del Instituto para facilitar el registro interno de movimientos y reportes solicitado;</w:t>
      </w:r>
    </w:p>
    <w:p w:rsidR="009A0565" w:rsidRDefault="003649B4">
      <w:pPr>
        <w:numPr>
          <w:ilvl w:val="0"/>
          <w:numId w:val="1"/>
        </w:numPr>
        <w:pBdr>
          <w:top w:val="nil"/>
          <w:left w:val="nil"/>
          <w:bottom w:val="nil"/>
          <w:right w:val="nil"/>
          <w:between w:val="nil"/>
        </w:pBdr>
        <w:spacing w:after="0"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Analizar las contrataciones del personal con base en los puestos autorizados y presupuestados para determinar su contratación;</w:t>
      </w:r>
    </w:p>
    <w:p w:rsidR="009A0565" w:rsidRDefault="003649B4">
      <w:pPr>
        <w:numPr>
          <w:ilvl w:val="0"/>
          <w:numId w:val="1"/>
        </w:numPr>
        <w:pBdr>
          <w:top w:val="nil"/>
          <w:left w:val="nil"/>
          <w:bottom w:val="nil"/>
          <w:right w:val="nil"/>
          <w:between w:val="nil"/>
        </w:pBdr>
        <w:spacing w:after="0"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Vigilar q e los servidores públicos, en su ámbito de competencia, cumplan con las condiciones generales de trabajo y demás disposiciones aplicables y, en su caso, aplicar las sanciones correspondientes;</w:t>
      </w:r>
    </w:p>
    <w:p w:rsidR="009A0565" w:rsidRDefault="003649B4">
      <w:pPr>
        <w:numPr>
          <w:ilvl w:val="0"/>
          <w:numId w:val="1"/>
        </w:numPr>
        <w:pBdr>
          <w:top w:val="nil"/>
          <w:left w:val="nil"/>
          <w:bottom w:val="nil"/>
          <w:right w:val="nil"/>
          <w:between w:val="nil"/>
        </w:pBdr>
        <w:spacing w:after="0"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Aplicar las normas y políticas establecidas en materia de relaciones laborales, disposiciones de seguridad e higiene y señalización de oficinas, así como la capacitación de las brigadas de Protección Civil;</w:t>
      </w:r>
    </w:p>
    <w:p w:rsidR="009A0565" w:rsidRDefault="003649B4">
      <w:pPr>
        <w:numPr>
          <w:ilvl w:val="0"/>
          <w:numId w:val="1"/>
        </w:numPr>
        <w:pBdr>
          <w:top w:val="nil"/>
          <w:left w:val="nil"/>
          <w:bottom w:val="nil"/>
          <w:right w:val="nil"/>
          <w:between w:val="nil"/>
        </w:pBdr>
        <w:spacing w:after="0"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Proporcionar asesoría y orientación de trámites administrativos a los servidores públicos del Instituto; y</w:t>
      </w:r>
    </w:p>
    <w:p w:rsidR="009A0565" w:rsidRDefault="003649B4">
      <w:pPr>
        <w:numPr>
          <w:ilvl w:val="0"/>
          <w:numId w:val="1"/>
        </w:numPr>
        <w:pBdr>
          <w:top w:val="nil"/>
          <w:left w:val="nil"/>
          <w:bottom w:val="nil"/>
          <w:right w:val="nil"/>
          <w:between w:val="nil"/>
        </w:pBdr>
        <w:spacing w:after="0"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Elaborar controlar las nóminas del personal contratado por tiempo y obra determinada, así como de servicios profesionales y técnicos para cumplir con los programas asignados.</w:t>
      </w:r>
    </w:p>
    <w:p w:rsidR="009A0565" w:rsidRDefault="009A0565">
      <w:pPr>
        <w:spacing w:after="0" w:line="360" w:lineRule="auto"/>
        <w:ind w:right="-28"/>
        <w:jc w:val="both"/>
        <w:rPr>
          <w:rFonts w:ascii="Palatino Linotype" w:eastAsia="Palatino Linotype" w:hAnsi="Palatino Linotype" w:cs="Palatino Linotype"/>
        </w:rPr>
      </w:pPr>
    </w:p>
    <w:p w:rsidR="009A0565" w:rsidRDefault="003649B4">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De tal circunstancia, se logra colegir que el Sujeto Obligado cumplió con el procedimiento de búsqueda establecido en el artículo 162 de la Ley de Transparencia y Acceso a la Información Pública del Estado de México y Municipios, pues el Sujeto Obligado turnó la solicitud de información a la Dirección de Administración y Finanzas, encargada a través del Departamento de Personal de conocer sobre la integración de los expedientes del personal adscrito al Instituto.</w:t>
      </w:r>
    </w:p>
    <w:p w:rsidR="009A0565" w:rsidRDefault="009A0565">
      <w:pPr>
        <w:spacing w:after="0" w:line="360" w:lineRule="auto"/>
        <w:ind w:right="-28"/>
        <w:jc w:val="both"/>
        <w:rPr>
          <w:rFonts w:ascii="Palatino Linotype" w:eastAsia="Palatino Linotype" w:hAnsi="Palatino Linotype" w:cs="Palatino Linotype"/>
          <w:color w:val="0D0D0D"/>
        </w:rPr>
      </w:pPr>
    </w:p>
    <w:p w:rsidR="009A0565" w:rsidRDefault="003649B4">
      <w:pPr>
        <w:widowControl w:val="0"/>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En respuesta, la Dirección de Administración y Finanzas </w:t>
      </w:r>
      <w:r>
        <w:rPr>
          <w:rFonts w:ascii="Palatino Linotype" w:eastAsia="Palatino Linotype" w:hAnsi="Palatino Linotype" w:cs="Palatino Linotype"/>
        </w:rPr>
        <w:t>proporcionó respecto del servidor público requerido, una relación donde menciona el grado académico, los cargos que ha ocupado y la temporalidad en que los desempeñó, como se puede observar conforme a la imagen siguiente:</w:t>
      </w:r>
    </w:p>
    <w:p w:rsidR="009A0565" w:rsidRDefault="009A0565">
      <w:pPr>
        <w:widowControl w:val="0"/>
        <w:spacing w:after="0" w:line="360" w:lineRule="auto"/>
        <w:jc w:val="both"/>
        <w:rPr>
          <w:rFonts w:ascii="Palatino Linotype" w:eastAsia="Palatino Linotype" w:hAnsi="Palatino Linotype" w:cs="Palatino Linotype"/>
        </w:rPr>
      </w:pPr>
    </w:p>
    <w:p w:rsidR="009A0565" w:rsidRDefault="003649B4">
      <w:pPr>
        <w:widowControl w:val="0"/>
        <w:spacing w:after="0" w:line="360"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i/>
          <w:noProof/>
          <w:sz w:val="20"/>
          <w:szCs w:val="20"/>
        </w:rPr>
        <w:lastRenderedPageBreak/>
        <w:drawing>
          <wp:inline distT="0" distB="0" distL="0" distR="0">
            <wp:extent cx="4360454" cy="1370175"/>
            <wp:effectExtent l="0" t="0" r="0" b="0"/>
            <wp:docPr id="18233997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360454" cy="1370175"/>
                    </a:xfrm>
                    <a:prstGeom prst="rect">
                      <a:avLst/>
                    </a:prstGeom>
                    <a:ln/>
                  </pic:spPr>
                </pic:pic>
              </a:graphicData>
            </a:graphic>
          </wp:inline>
        </w:drawing>
      </w:r>
    </w:p>
    <w:p w:rsidR="009A0565" w:rsidRDefault="009A0565">
      <w:pPr>
        <w:widowControl w:val="0"/>
        <w:spacing w:after="0" w:line="360" w:lineRule="auto"/>
        <w:jc w:val="both"/>
        <w:rPr>
          <w:rFonts w:ascii="Palatino Linotype" w:eastAsia="Palatino Linotype" w:hAnsi="Palatino Linotype" w:cs="Palatino Linotype"/>
          <w:color w:val="000000"/>
        </w:rPr>
      </w:pPr>
    </w:p>
    <w:p w:rsidR="009A0565" w:rsidRDefault="003649B4">
      <w:pPr>
        <w:widowControl w:val="0"/>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Incluso mediante informe justificado, el Ente Recurrido proporcionó una captura de pantalla de la Dirección General de Profesiones en la que observó el número de cédula profesional del servidor público requerido como se puede observar con la siguiente imagen:</w:t>
      </w:r>
    </w:p>
    <w:p w:rsidR="009A0565" w:rsidRDefault="009A0565">
      <w:pPr>
        <w:widowControl w:val="0"/>
        <w:spacing w:after="0" w:line="360" w:lineRule="auto"/>
        <w:jc w:val="both"/>
        <w:rPr>
          <w:rFonts w:ascii="Palatino Linotype" w:eastAsia="Palatino Linotype" w:hAnsi="Palatino Linotype" w:cs="Palatino Linotype"/>
          <w:color w:val="000000"/>
        </w:rPr>
      </w:pPr>
    </w:p>
    <w:p w:rsidR="009A0565" w:rsidRDefault="003649B4">
      <w:pPr>
        <w:widowControl w:val="0"/>
        <w:spacing w:after="0" w:line="360"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extent cx="5130716" cy="2127502"/>
            <wp:effectExtent l="0" t="0" r="0" b="0"/>
            <wp:docPr id="18233997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130716" cy="2127502"/>
                    </a:xfrm>
                    <a:prstGeom prst="rect">
                      <a:avLst/>
                    </a:prstGeom>
                    <a:ln/>
                  </pic:spPr>
                </pic:pic>
              </a:graphicData>
            </a:graphic>
          </wp:inline>
        </w:drawing>
      </w:r>
    </w:p>
    <w:p w:rsidR="009A0565" w:rsidRDefault="003649B4">
      <w:pPr>
        <w:widowControl w:val="0"/>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obstante, lo anterior, el ahora Recurrente se inconformó porque no le habían proporcionado la expresión documental que diera cuenta de lo solicitado, es decir, su pretensión desde el principio al requerir el soporte documental, se refería aquel que establezca lo solicitado.</w:t>
      </w:r>
    </w:p>
    <w:p w:rsidR="009A0565" w:rsidRDefault="009A0565">
      <w:pPr>
        <w:widowControl w:val="0"/>
        <w:spacing w:after="0" w:line="360" w:lineRule="auto"/>
        <w:jc w:val="both"/>
        <w:rPr>
          <w:rFonts w:ascii="Palatino Linotype" w:eastAsia="Palatino Linotype" w:hAnsi="Palatino Linotype" w:cs="Palatino Linotype"/>
          <w:color w:val="000000"/>
        </w:rPr>
      </w:pPr>
    </w:p>
    <w:p w:rsidR="009A0565" w:rsidRDefault="003649B4">
      <w:pPr>
        <w:widowControl w:val="0"/>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color w:val="000000"/>
        </w:rPr>
        <w:t xml:space="preserve">En otras palabras, la persona Solicitante, desde el requerimiento inicial, requirió la documentación fuente que acreditara lo peticionado y no solamente los datos en un </w:t>
      </w:r>
      <w:r>
        <w:rPr>
          <w:rFonts w:ascii="Palatino Linotype" w:eastAsia="Palatino Linotype" w:hAnsi="Palatino Linotype" w:cs="Palatino Linotype"/>
          <w:color w:val="000000"/>
        </w:rPr>
        <w:lastRenderedPageBreak/>
        <w:t xml:space="preserve">documento </w:t>
      </w:r>
      <w:r>
        <w:rPr>
          <w:rFonts w:ascii="Palatino Linotype" w:eastAsia="Palatino Linotype" w:hAnsi="Palatino Linotype" w:cs="Palatino Linotype"/>
          <w:i/>
          <w:color w:val="000000"/>
        </w:rPr>
        <w:t xml:space="preserve">ad hoc, </w:t>
      </w:r>
      <w:r>
        <w:rPr>
          <w:rFonts w:ascii="Palatino Linotype" w:eastAsia="Palatino Linotype" w:hAnsi="Palatino Linotype" w:cs="Palatino Linotype"/>
          <w:color w:val="0D0D0D"/>
        </w:rPr>
        <w:t>por lo que se considera que</w:t>
      </w:r>
      <w:r>
        <w:rPr>
          <w:rFonts w:ascii="Palatino Linotype" w:eastAsia="Palatino Linotype" w:hAnsi="Palatino Linotype" w:cs="Palatino Linotype"/>
        </w:rPr>
        <w:t xml:space="preserve"> el agravio resulta </w:t>
      </w:r>
      <w:r>
        <w:rPr>
          <w:rFonts w:ascii="Palatino Linotype" w:eastAsia="Palatino Linotype" w:hAnsi="Palatino Linotype" w:cs="Palatino Linotype"/>
          <w:b/>
        </w:rPr>
        <w:t xml:space="preserve">FUNDADO; </w:t>
      </w:r>
      <w:r>
        <w:rPr>
          <w:rFonts w:ascii="Palatino Linotype" w:eastAsia="Palatino Linotype" w:hAnsi="Palatino Linotype" w:cs="Palatino Linotype"/>
          <w:color w:val="0D0D0D"/>
        </w:rPr>
        <w:t>así, se considera que el Sujeto Obligado deberá realizar una búsqueda exhaustiva y razonable en el Departamento de Personal, a efecto de que proporcione los documentos que den cuenta del grado académico y</w:t>
      </w:r>
      <w:r>
        <w:rPr>
          <w:rFonts w:ascii="Palatino Linotype" w:eastAsia="Palatino Linotype" w:hAnsi="Palatino Linotype" w:cs="Palatino Linotype"/>
        </w:rPr>
        <w:t xml:space="preserve"> los cargos que ha ocupado la persona, referidos en respuesta</w:t>
      </w:r>
      <w:r>
        <w:rPr>
          <w:rFonts w:ascii="Palatino Linotype" w:eastAsia="Palatino Linotype" w:hAnsi="Palatino Linotype" w:cs="Palatino Linotype"/>
          <w:color w:val="0D0D0D"/>
        </w:rPr>
        <w:t>.</w:t>
      </w:r>
      <w:r>
        <w:rPr>
          <w:rFonts w:ascii="Palatino Linotype" w:eastAsia="Palatino Linotype" w:hAnsi="Palatino Linotype" w:cs="Palatino Linotype"/>
        </w:rPr>
        <w:t xml:space="preserve"> </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rPr>
        <w:t>Dicha determinación, 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rsidR="009A0565" w:rsidRDefault="009A0565">
      <w:pPr>
        <w:spacing w:after="0" w:line="360" w:lineRule="auto"/>
        <w:jc w:val="both"/>
        <w:rPr>
          <w:rFonts w:ascii="Palatino Linotype" w:eastAsia="Palatino Linotype" w:hAnsi="Palatino Linotype" w:cs="Palatino Linotype"/>
          <w:color w:val="000000"/>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esta manera, el derecho de acceso a la información pública se satisface en aquellos casos en que se entregue el soporte documental en el que conste la información solicitada, sin necesidad de elaborar documentos </w:t>
      </w:r>
      <w:r>
        <w:rPr>
          <w:rFonts w:ascii="Palatino Linotype" w:eastAsia="Palatino Linotype" w:hAnsi="Palatino Linotype" w:cs="Palatino Linotype"/>
          <w:i/>
        </w:rPr>
        <w:t>ad hoc</w:t>
      </w:r>
      <w:r>
        <w:rPr>
          <w:rFonts w:ascii="Palatino Linotype" w:eastAsia="Palatino Linotype" w:hAnsi="Palatino Linotype" w:cs="Palatino Linotype"/>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rsidR="009A0565" w:rsidRDefault="009A0565">
      <w:pPr>
        <w:spacing w:after="0" w:line="360" w:lineRule="auto"/>
        <w:jc w:val="both"/>
        <w:rPr>
          <w:rFonts w:ascii="Palatino Linotype" w:eastAsia="Palatino Linotype" w:hAnsi="Palatino Linotype" w:cs="Palatino Linotype"/>
          <w:color w:val="000000"/>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los documentos que den cuenta de la información señalada en respuesta, a saber, lo siguiente:</w:t>
      </w:r>
    </w:p>
    <w:p w:rsidR="009A0565" w:rsidRDefault="009A0565">
      <w:pPr>
        <w:spacing w:after="0" w:line="360" w:lineRule="auto"/>
        <w:jc w:val="both"/>
        <w:rPr>
          <w:rFonts w:ascii="Palatino Linotype" w:eastAsia="Palatino Linotype" w:hAnsi="Palatino Linotype" w:cs="Palatino Linotype"/>
        </w:rPr>
      </w:pPr>
    </w:p>
    <w:p w:rsidR="009A0565" w:rsidRDefault="003649B4">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Grado académico (título, cédula o información curricular), y</w:t>
      </w:r>
    </w:p>
    <w:p w:rsidR="009A0565" w:rsidRDefault="003649B4">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Contrato o nombramiento o formato único de movimiento de personal, pues de dichos documentos se pueden obtener los cargos y periodos del cargo; pues el primer cargo ocupado, fue mediante contrato con vigencia establecida; mientras que el resto fueron continuos, lo cual únicamente representa un cambio de cargo.</w:t>
      </w:r>
    </w:p>
    <w:p w:rsidR="009A0565" w:rsidRDefault="009A0565">
      <w:pPr>
        <w:pBdr>
          <w:top w:val="nil"/>
          <w:left w:val="nil"/>
          <w:bottom w:val="nil"/>
          <w:right w:val="nil"/>
          <w:between w:val="nil"/>
        </w:pBdr>
        <w:spacing w:after="0" w:line="360" w:lineRule="auto"/>
        <w:ind w:left="720"/>
        <w:jc w:val="both"/>
        <w:rPr>
          <w:rFonts w:ascii="Palatino Linotype" w:eastAsia="Palatino Linotype" w:hAnsi="Palatino Linotype" w:cs="Palatino Linotype"/>
          <w:color w:val="000000"/>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no se pasa por alto que, el Recurrente se inconformó respecto de la forma en que se indicó el periodo en que el servidor público desempeñó los cargos aludidos en respuesta, al respecto este Organismo Garante considera que si bien los Sujetos Obligados no se encuentran obligados a proporcionar información conforme al interés del Solicitante, también lo es que a efecto de atender debidamente el derecho de acceso a la información deberá proporcionar dicha información con la mayor claridad posible en los documentos que den cuenta de la información.</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Además, es necesario precisar que, durante la sustanciación del presente medio de impugnación, requirió pago por las copias; sobre el tema, el artículo 2°, fracción II, de la Ley de Transparencia y Acceso a la Información Pública del Estado de México y Municipios, establece como objetivo en materia de transparencia, el de proveer lo necesario para garantizar a toda persona el derecho de acceso a la información pública a través de procedimientos sencillos, expeditos, oportunos y gratuitos.</w:t>
      </w: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Asimismo, el artículo 9°, fracción III, de la Ley de la materia, precisa que el </w:t>
      </w:r>
      <w:r>
        <w:rPr>
          <w:rFonts w:ascii="Palatino Linotype" w:eastAsia="Palatino Linotype" w:hAnsi="Palatino Linotype" w:cs="Palatino Linotype"/>
          <w:b/>
        </w:rPr>
        <w:t xml:space="preserve">Principio de Gratuidad </w:t>
      </w:r>
      <w:r>
        <w:rPr>
          <w:rFonts w:ascii="Palatino Linotype" w:eastAsia="Palatino Linotype" w:hAnsi="Palatino Linotype" w:cs="Palatino Linotype"/>
        </w:rPr>
        <w:t>consiste en que el acceso a la información pública no generará costo alguno para los solicitantes y sólo podrá requerirse el cobro correspondiente a la modalidad de reproducción y entrega solicitada.</w:t>
      </w: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ese orden de ideas,  los artículos 17 y 150, del ordenamiento jurídico referido, prevén que la búsqueda y acceso a la información </w:t>
      </w:r>
      <w:r>
        <w:rPr>
          <w:rFonts w:ascii="Palatino Linotype" w:eastAsia="Palatino Linotype" w:hAnsi="Palatino Linotype" w:cs="Palatino Linotype"/>
          <w:b/>
        </w:rPr>
        <w:t>es gratuita</w:t>
      </w:r>
      <w:r>
        <w:rPr>
          <w:rFonts w:ascii="Palatino Linotype" w:eastAsia="Palatino Linotype" w:hAnsi="Palatino Linotype" w:cs="Palatino Linotype"/>
        </w:rPr>
        <w:t xml:space="preserve"> y sólo se cubrirán en su caso, los gastos de reproducción por la modalidad de entrega solicitada o por el envío,  de conformidad con los derechos, productos y aprovechamientos establecidos en la legislación aplicable; además, toda vez que el procedimiento de acceso a la información es la garantía primaria del derecho en cuestión y se rige por los principios de simplicidad, rapidez, gratuidad, auxilio y orientación a los particulares, en virtud de que constituye el primer paso para integrar activamente a la ciudadanía en la acción gubernamental, ya que con la información proporcionada por medio de las políticas de transparencia, los ciudadanos son participes de las acciones de gobierno, lo que favorece la rendición de cuentas.</w:t>
      </w: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ese orden de ideas, el artículo 174 de la Ley de la materia, establece que, en los casos de existir costos para obtener la información, deberán cubrirse de manera previa y nunca deberán ser superiores a la suma de </w:t>
      </w:r>
      <w:r>
        <w:rPr>
          <w:rFonts w:ascii="Palatino Linotype" w:eastAsia="Palatino Linotype" w:hAnsi="Palatino Linotype" w:cs="Palatino Linotype"/>
          <w:b/>
        </w:rPr>
        <w:t>los costos de los materiales utilizados, envío y certificación, en su caso;</w:t>
      </w:r>
      <w:r>
        <w:rPr>
          <w:rFonts w:ascii="Palatino Linotype" w:eastAsia="Palatino Linotype" w:hAnsi="Palatino Linotype" w:cs="Palatino Linotype"/>
        </w:rPr>
        <w:t xml:space="preserve"> además, que dichos montos deberán permitir o facilitar el ejercicio del derecho de acceso a la información.</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manera, por regla general la entrega de la información solicitada en ejercicio del derecho de acceso a la información pública, deberá ser en completa congruencia con el Principio de Gratuidad y solamente en casos excepcionales, se procederá al cobro para la entrega de la información, lo cual ocurrirá en caso de que se tenga que generar un gasto por la reproducción, por la modalidad de entrega solicitada o por su envió.</w:t>
      </w: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ese contexto, el artículo 24, fracción XXIII, de la Ley de Transparencia Local, precisa que los Sujetos Obligados </w:t>
      </w:r>
      <w:r>
        <w:rPr>
          <w:rFonts w:ascii="Palatino Linotype" w:eastAsia="Palatino Linotype" w:hAnsi="Palatino Linotype" w:cs="Palatino Linotype"/>
          <w:b/>
        </w:rPr>
        <w:t xml:space="preserve">tienen la obligación de procurar la digitalización de toda la </w:t>
      </w:r>
      <w:r>
        <w:rPr>
          <w:rFonts w:ascii="Palatino Linotype" w:eastAsia="Palatino Linotype" w:hAnsi="Palatino Linotype" w:cs="Palatino Linotype"/>
          <w:b/>
        </w:rPr>
        <w:lastRenderedPageBreak/>
        <w:t xml:space="preserve">información pública en su poder; </w:t>
      </w:r>
      <w:r>
        <w:rPr>
          <w:rFonts w:ascii="Palatino Linotype" w:eastAsia="Palatino Linotype" w:hAnsi="Palatino Linotype" w:cs="Palatino Linotype"/>
        </w:rPr>
        <w:t>por lo que, en el presente caso, el área estaba en posibilidades de escanear la información para su entrega.</w:t>
      </w: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Lo cual toma sentido, pues realizar dicha acción no conlleva la utilización de materiales que generen un costo para el Sujeto Obligado, como es el caso, de la emisión de copias (simples o certificadas); así tampoco se genera un gasto por el envío de la información, ya que una de las finalidades de la utilización del sistema de referencia es evitar la generación de gastos, tanto para los solicitantes como para los sujetos obligados.</w:t>
      </w: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Además, de que en el caso de la digitalización, no se está realizando una copia física de los documentos, sino electrónica, misma que se puede realizar con herramientas tecnológicas (Multifuncional, escáner, cámara, entre otros) y programas de uso sencillo, mismos con los que cuenta ya el Sujeto Obligado; por lo que, el escaneo se trata de un proceso mecánico, realizado por los servidores públicos, para que se pueda entregar la información, en cualquier medio magnético.</w:t>
      </w:r>
    </w:p>
    <w:p w:rsidR="009A0565" w:rsidRDefault="003649B4">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Además, este Instituto considera, que ordenar entregar dicha información en copia simple, causaría un perjuicio al derecho de acceso a la información del Solicitante, apartándose </w:t>
      </w:r>
      <w:r>
        <w:rPr>
          <w:rFonts w:ascii="Palatino Linotype" w:eastAsia="Palatino Linotype" w:hAnsi="Palatino Linotype" w:cs="Palatino Linotype"/>
          <w:b/>
        </w:rPr>
        <w:t>de los principios de sencillez, rapidez y gratuidad</w:t>
      </w:r>
      <w:r>
        <w:rPr>
          <w:rFonts w:ascii="Palatino Linotype" w:eastAsia="Palatino Linotype" w:hAnsi="Palatino Linotype" w:cs="Palatino Linotype"/>
        </w:rPr>
        <w:t xml:space="preserve"> establecidos por la Ley de Transparencia y Acceso a la Información Pública del Estado de México y Municipios, toda vez que demoraría los plazos del procedimiento y generaría una carga adicional al Sujeto Obligado.</w:t>
      </w:r>
    </w:p>
    <w:p w:rsidR="009A0565" w:rsidRDefault="009A0565">
      <w:pPr>
        <w:spacing w:after="0" w:line="360" w:lineRule="auto"/>
        <w:ind w:right="-93"/>
        <w:jc w:val="both"/>
        <w:rPr>
          <w:rFonts w:ascii="Palatino Linotype" w:eastAsia="Palatino Linotype" w:hAnsi="Palatino Linotype" w:cs="Palatino Linotype"/>
        </w:rPr>
      </w:pPr>
    </w:p>
    <w:p w:rsidR="009A0565" w:rsidRDefault="003649B4">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Asimismo, cabe precisar que la copia simple, equivale a la reproducción literal de un documento, situación que de la misma manera sería la digitalización de este, por lo que, al obtener la información requerida través Sistema de Acceso a la Información Mexiquense </w:t>
      </w:r>
      <w:r>
        <w:rPr>
          <w:rFonts w:ascii="Palatino Linotype" w:eastAsia="Palatino Linotype" w:hAnsi="Palatino Linotype" w:cs="Palatino Linotype"/>
        </w:rPr>
        <w:lastRenderedPageBreak/>
        <w:t>(SAIMEX), el Recurrente puede imprimir dicha documentación para tenerla en el formato requerido, así, se considera procedente ordenar la entrega del punto requerido en dicho Portal.</w:t>
      </w:r>
    </w:p>
    <w:p w:rsidR="009A0565" w:rsidRDefault="003649B4">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no pasa desapercibido para este Instituto que los documentos que den cuenta de lo peticionado pudieran contener los siguientes datos:</w:t>
      </w:r>
    </w:p>
    <w:p w:rsidR="009A0565" w:rsidRDefault="009A0565">
      <w:pPr>
        <w:spacing w:after="0" w:line="360" w:lineRule="auto"/>
        <w:jc w:val="both"/>
        <w:rPr>
          <w:rFonts w:ascii="Palatino Linotype" w:eastAsia="Palatino Linotype" w:hAnsi="Palatino Linotype" w:cs="Palatino Linotype"/>
          <w:color w:val="000000"/>
        </w:rPr>
      </w:pPr>
    </w:p>
    <w:p w:rsidR="009A0565" w:rsidRDefault="003649B4">
      <w:pPr>
        <w:numPr>
          <w:ilvl w:val="0"/>
          <w:numId w:val="4"/>
        </w:numPr>
        <w:tabs>
          <w:tab w:val="left" w:pos="4962"/>
        </w:tabs>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Clave Única de Registro de Población;</w:t>
      </w:r>
    </w:p>
    <w:p w:rsidR="009A0565" w:rsidRDefault="003649B4">
      <w:pPr>
        <w:numPr>
          <w:ilvl w:val="0"/>
          <w:numId w:val="4"/>
        </w:numPr>
        <w:tabs>
          <w:tab w:val="left" w:pos="4962"/>
        </w:tabs>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Registro Federal de Contribuyentes del servidor público;</w:t>
      </w:r>
    </w:p>
    <w:p w:rsidR="009A0565" w:rsidRDefault="003649B4">
      <w:pPr>
        <w:numPr>
          <w:ilvl w:val="0"/>
          <w:numId w:val="4"/>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Número de seguridad social del Instituto de Seguridad Social del Estado de México y Municipios;</w:t>
      </w:r>
    </w:p>
    <w:p w:rsidR="009A0565" w:rsidRDefault="003649B4">
      <w:pPr>
        <w:numPr>
          <w:ilvl w:val="0"/>
          <w:numId w:val="4"/>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Fotografía, y</w:t>
      </w:r>
    </w:p>
    <w:p w:rsidR="009A0565" w:rsidRDefault="003649B4">
      <w:pPr>
        <w:numPr>
          <w:ilvl w:val="0"/>
          <w:numId w:val="4"/>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Firma de servidores públicos en comprobante de estudios.</w:t>
      </w:r>
    </w:p>
    <w:p w:rsidR="009A0565" w:rsidRDefault="009A0565">
      <w:pPr>
        <w:spacing w:after="0" w:line="360" w:lineRule="auto"/>
        <w:ind w:left="720"/>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se procede analizar si dichos datos son confidenciales o públicos; para lo cual, cabe mencionar que el artículo 143, fracción I, de la Ley previamente citada, establece que la información privada y los datos personales, concernientes a una persona física o jurídica colectiva identificada o identificable son confidenciales.</w:t>
      </w:r>
    </w:p>
    <w:p w:rsidR="009A0565" w:rsidRDefault="009A0565">
      <w:pPr>
        <w:spacing w:after="0" w:line="360" w:lineRule="auto"/>
        <w:jc w:val="both"/>
        <w:rPr>
          <w:rFonts w:ascii="Palatino Linotype" w:eastAsia="Palatino Linotype" w:hAnsi="Palatino Linotype" w:cs="Palatino Linotype"/>
          <w:color w:val="000000"/>
        </w:rPr>
      </w:pPr>
    </w:p>
    <w:p w:rsidR="009A0565" w:rsidRDefault="003649B4">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rsidR="009A0565" w:rsidRDefault="009A0565">
      <w:pPr>
        <w:spacing w:after="0" w:line="360" w:lineRule="auto"/>
        <w:jc w:val="both"/>
        <w:rPr>
          <w:rFonts w:ascii="Palatino Linotype" w:eastAsia="Palatino Linotype" w:hAnsi="Palatino Linotype" w:cs="Palatino Linotype"/>
          <w:color w:val="000000"/>
        </w:rPr>
      </w:pPr>
    </w:p>
    <w:p w:rsidR="009A0565" w:rsidRDefault="003649B4">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términos de lo expuesto, la documentación y aquellos datos que se consideren confidenciales, serán una limitante del derecho de acceso a la información, siempre y cuando:</w:t>
      </w:r>
    </w:p>
    <w:p w:rsidR="009A0565" w:rsidRDefault="003649B4">
      <w:pPr>
        <w:numPr>
          <w:ilvl w:val="0"/>
          <w:numId w:val="5"/>
        </w:num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trate de datos personales o información privada; esto es, información concerniente a una persona física o jurídico colectiva y que esta sea identificada o identificable. </w:t>
      </w:r>
    </w:p>
    <w:p w:rsidR="009A0565" w:rsidRDefault="003649B4">
      <w:pPr>
        <w:numPr>
          <w:ilvl w:val="0"/>
          <w:numId w:val="5"/>
        </w:num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Para la difusión de los datos, se requiera el consentimiento del titular. </w:t>
      </w:r>
    </w:p>
    <w:p w:rsidR="009A0565" w:rsidRDefault="009A0565">
      <w:pPr>
        <w:spacing w:after="0" w:line="360" w:lineRule="auto"/>
        <w:jc w:val="both"/>
        <w:rPr>
          <w:rFonts w:ascii="Palatino Linotype" w:eastAsia="Palatino Linotype" w:hAnsi="Palatino Linotype" w:cs="Palatino Linotype"/>
          <w:color w:val="000000"/>
        </w:rPr>
      </w:pPr>
    </w:p>
    <w:p w:rsidR="009A0565" w:rsidRDefault="003649B4">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rsidR="009A0565" w:rsidRDefault="009A0565">
      <w:pPr>
        <w:spacing w:after="0" w:line="360" w:lineRule="auto"/>
        <w:jc w:val="both"/>
        <w:rPr>
          <w:rFonts w:ascii="Palatino Linotype" w:eastAsia="Palatino Linotype" w:hAnsi="Palatino Linotype" w:cs="Palatino Linotype"/>
          <w:color w:val="000000"/>
        </w:rPr>
      </w:pPr>
    </w:p>
    <w:p w:rsidR="009A0565" w:rsidRDefault="003649B4">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este sentido, un dato personal es cualquier información que pueda hacer a una persona física o jurídica colectiva identificada e identificable; sin embargo,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 Bajo ese contexto, se analizarán si los datos mencionados, deben ser considerados confidenciales, en términos del </w:t>
      </w:r>
      <w:r>
        <w:rPr>
          <w:rFonts w:ascii="Palatino Linotype" w:eastAsia="Palatino Linotype" w:hAnsi="Palatino Linotype" w:cs="Palatino Linotype"/>
          <w:color w:val="000000"/>
        </w:rPr>
        <w:lastRenderedPageBreak/>
        <w:t>artículo 143, fracción I, de la Ley de Transparencia y Acceso a la Información Pública del Estado de México y Municipios, o públicos.</w:t>
      </w:r>
    </w:p>
    <w:p w:rsidR="009A0565" w:rsidRDefault="009A0565">
      <w:pPr>
        <w:tabs>
          <w:tab w:val="left" w:pos="4962"/>
        </w:tabs>
        <w:spacing w:after="0" w:line="360" w:lineRule="auto"/>
        <w:ind w:right="-28"/>
        <w:jc w:val="both"/>
        <w:rPr>
          <w:rFonts w:ascii="Palatino Linotype" w:eastAsia="Palatino Linotype" w:hAnsi="Palatino Linotype" w:cs="Palatino Linotype"/>
          <w:b/>
          <w:color w:val="000000"/>
        </w:rPr>
      </w:pPr>
    </w:p>
    <w:p w:rsidR="009A0565" w:rsidRDefault="003649B4">
      <w:pPr>
        <w:numPr>
          <w:ilvl w:val="0"/>
          <w:numId w:val="6"/>
        </w:num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Clave Única de Registro de Población (CURP)</w:t>
      </w:r>
    </w:p>
    <w:p w:rsidR="009A0565" w:rsidRDefault="009A0565">
      <w:pPr>
        <w:spacing w:after="0" w:line="360" w:lineRule="auto"/>
        <w:ind w:left="720"/>
        <w:rPr>
          <w:rFonts w:ascii="Palatino Linotype" w:eastAsia="Palatino Linotype" w:hAnsi="Palatino Linotype" w:cs="Palatino Linotype"/>
          <w:b/>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ese orden de ideas, la Secretaría de Gobernación en las direcciones </w:t>
      </w:r>
      <w:hyperlink r:id="rId12">
        <w:r>
          <w:rPr>
            <w:rFonts w:ascii="Palatino Linotype" w:eastAsia="Palatino Linotype" w:hAnsi="Palatino Linotype" w:cs="Palatino Linotype"/>
            <w:color w:val="0000FF"/>
            <w:u w:val="single"/>
          </w:rPr>
          <w:t>https://consultas.curp.gob.mx/CurpSP/html/informacionecurpPS.html</w:t>
        </w:r>
      </w:hyperlink>
      <w:r>
        <w:rPr>
          <w:rFonts w:ascii="Palatino Linotype" w:eastAsia="Palatino Linotype" w:hAnsi="Palatino Linotype" w:cs="Palatino Linotype"/>
        </w:rPr>
        <w:t xml:space="preserve"> y </w:t>
      </w:r>
      <w:hyperlink r:id="rId13">
        <w:r>
          <w:rPr>
            <w:rFonts w:ascii="Palatino Linotype" w:eastAsia="Palatino Linotype" w:hAnsi="Palatino Linotype" w:cs="Palatino Linotype"/>
            <w:color w:val="0000FF"/>
            <w:u w:val="single"/>
          </w:rPr>
          <w:t>https://www.gob.mx/segob/renapo/acciones-y-programas/clave-unica-de-registro-de-poblacion-curp-142226</w:t>
        </w:r>
      </w:hyperlink>
      <w:r>
        <w:rPr>
          <w:rFonts w:ascii="Palatino Linotype" w:eastAsia="Palatino Linotype" w:hAnsi="Palatino Linotype" w:cs="Palatino Linotype"/>
        </w:rPr>
        <w:t xml:space="preserve"> (consultadas el diecisiete de mayo de dos mil veintitrés),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Pr>
          <w:rFonts w:ascii="Palatino Linotype" w:eastAsia="Palatino Linotype" w:hAnsi="Palatino Linotype" w:cs="Palatino Linotype"/>
          <w:b/>
        </w:rPr>
        <w:t>se generan a partir de los datos contenidos en el documento probatorio de la identidad</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del </w:t>
      </w:r>
      <w:r>
        <w:rPr>
          <w:rFonts w:ascii="Palatino Linotype" w:eastAsia="Palatino Linotype" w:hAnsi="Palatino Linotype" w:cs="Palatino Linotype"/>
          <w:b/>
        </w:rPr>
        <w:lastRenderedPageBreak/>
        <w:t xml:space="preserve">interesado </w:t>
      </w:r>
      <w:r>
        <w:rPr>
          <w:rFonts w:ascii="Palatino Linotype" w:eastAsia="Palatino Linotype" w:hAnsi="Palatino Linotype" w:cs="Palatino Linotype"/>
        </w:rPr>
        <w:t>(acta de nacimiento, carta de naturalización o documento migratorio) de la siguiente forma:</w:t>
      </w:r>
    </w:p>
    <w:p w:rsidR="009A0565" w:rsidRDefault="009A0565">
      <w:pPr>
        <w:spacing w:after="0" w:line="360" w:lineRule="auto"/>
        <w:jc w:val="both"/>
        <w:rPr>
          <w:rFonts w:ascii="Palatino Linotype" w:eastAsia="Palatino Linotype" w:hAnsi="Palatino Linotype" w:cs="Palatino Linotype"/>
        </w:rPr>
      </w:pPr>
    </w:p>
    <w:p w:rsidR="009A0565" w:rsidRDefault="003649B4">
      <w:pPr>
        <w:numPr>
          <w:ilvl w:val="0"/>
          <w:numId w:val="7"/>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El primero y segundo apellidos, así como al nombre de pila;</w:t>
      </w:r>
    </w:p>
    <w:p w:rsidR="009A0565" w:rsidRDefault="003649B4">
      <w:pPr>
        <w:numPr>
          <w:ilvl w:val="0"/>
          <w:numId w:val="7"/>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La fecha de nacimiento;</w:t>
      </w:r>
    </w:p>
    <w:p w:rsidR="009A0565" w:rsidRDefault="003649B4">
      <w:pPr>
        <w:numPr>
          <w:ilvl w:val="0"/>
          <w:numId w:val="7"/>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El sexo, y</w:t>
      </w:r>
    </w:p>
    <w:p w:rsidR="009A0565" w:rsidRDefault="003649B4">
      <w:pPr>
        <w:numPr>
          <w:ilvl w:val="0"/>
          <w:numId w:val="7"/>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La entidad federativa de nacimiento.</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Los dos últimos elementos de la Clave Única de Registro de Población evitan la duplicidad de la Clave y garantizan su correcta integración.</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Situación que se robustece, con el Criterio de Interpretación, de la Segunda Época, con número de registro SO/018/2017, emitido por el Instituto Nacional de Transparencia, Acceso a la Información y Protección de Datos Personales, que establece lo siguiente:</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ind w:left="567" w:right="567"/>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“Clave Única de Registro de Población (CURP). </w:t>
      </w:r>
      <w:r>
        <w:rPr>
          <w:rFonts w:ascii="Palatino Linotype" w:eastAsia="Palatino Linotype" w:hAnsi="Palatino Linotype" w:cs="Palatino Linotype"/>
          <w:i/>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w:t>
      </w:r>
      <w:r>
        <w:rPr>
          <w:rFonts w:ascii="Palatino Linotype" w:eastAsia="Palatino Linotype" w:hAnsi="Palatino Linotype" w:cs="Palatino Linotype"/>
          <w:i/>
          <w:sz w:val="20"/>
          <w:szCs w:val="20"/>
        </w:rPr>
        <w:lastRenderedPageBreak/>
        <w:t xml:space="preserve">información que distingue plenamente a una persona física del resto de los habitantes del país, por lo que la CURP está considerada como información confidencial.” </w:t>
      </w:r>
    </w:p>
    <w:p w:rsidR="009A0565" w:rsidRDefault="009A0565">
      <w:pPr>
        <w:spacing w:after="0" w:line="360" w:lineRule="auto"/>
        <w:jc w:val="both"/>
        <w:rPr>
          <w:rFonts w:ascii="Palatino Linotype" w:eastAsia="Palatino Linotype" w:hAnsi="Palatino Linotype" w:cs="Palatino Linotype"/>
          <w:i/>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acuerdo con lo anterior, resulta procedente la clasificación de </w:t>
      </w:r>
      <w:r>
        <w:rPr>
          <w:rFonts w:ascii="Palatino Linotype" w:eastAsia="Palatino Linotype" w:hAnsi="Palatino Linotype" w:cs="Palatino Linotype"/>
          <w:b/>
        </w:rPr>
        <w:t>la Clave Única de Registro de Población</w:t>
      </w:r>
      <w:r>
        <w:rPr>
          <w:rFonts w:ascii="Palatino Linotype" w:eastAsia="Palatino Linotype" w:hAnsi="Palatino Linotype" w:cs="Palatino Linotype"/>
        </w:rPr>
        <w:t xml:space="preserve">, por tratarse de un dato personal confidencial, en términos del artículo 143, fracción I, de la Ley de Transparencia y Acceso a la Información Pública del Estado de México y Municipios. </w:t>
      </w:r>
    </w:p>
    <w:p w:rsidR="009A0565" w:rsidRDefault="009A0565">
      <w:pPr>
        <w:spacing w:after="0" w:line="360" w:lineRule="auto"/>
        <w:jc w:val="both"/>
        <w:rPr>
          <w:rFonts w:ascii="Palatino Linotype" w:eastAsia="Palatino Linotype" w:hAnsi="Palatino Linotype" w:cs="Palatino Linotype"/>
        </w:rPr>
      </w:pPr>
    </w:p>
    <w:p w:rsidR="009A0565" w:rsidRDefault="003649B4">
      <w:pPr>
        <w:numPr>
          <w:ilvl w:val="0"/>
          <w:numId w:val="6"/>
        </w:num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Registro Federal de Contribuyentes (RFC)</w:t>
      </w:r>
    </w:p>
    <w:p w:rsidR="009A0565" w:rsidRDefault="009A0565">
      <w:pPr>
        <w:spacing w:after="0" w:line="360" w:lineRule="auto"/>
        <w:ind w:left="720"/>
        <w:rPr>
          <w:rFonts w:ascii="Palatino Linotype" w:eastAsia="Palatino Linotype" w:hAnsi="Palatino Linotype" w:cs="Palatino Linotype"/>
          <w:b/>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acuerdo a lo establecido en el artículo en comento, esta clave se compone de trece caracteres alfanuméricos, con datos obtenidos de los apellidos, nombre(s), fecha de nacimiento del titular, más una </w:t>
      </w:r>
      <w:proofErr w:type="spellStart"/>
      <w:r>
        <w:rPr>
          <w:rFonts w:ascii="Palatino Linotype" w:eastAsia="Palatino Linotype" w:hAnsi="Palatino Linotype" w:cs="Palatino Linotype"/>
        </w:rPr>
        <w:t>homoclave</w:t>
      </w:r>
      <w:proofErr w:type="spellEnd"/>
      <w:r>
        <w:rPr>
          <w:rFonts w:ascii="Palatino Linotype" w:eastAsia="Palatino Linotype" w:hAnsi="Palatino Linotype" w:cs="Palatino Linotype"/>
        </w:rPr>
        <w:t xml:space="preserve"> que establece el sistema automático del Servicio de Administración Tributaria.</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la clave del Registro Federal de Contribuyentes, es el medio de control que tiene la Secretaría de Hacienda y Crédito Público, a través del Servicio de Administración Tributaria, para exigir y vigilar el cumplimiento de las obligaciones fiscales de los </w:t>
      </w:r>
      <w:r>
        <w:rPr>
          <w:rFonts w:ascii="Palatino Linotype" w:eastAsia="Palatino Linotype" w:hAnsi="Palatino Linotype" w:cs="Palatino Linotype"/>
        </w:rPr>
        <w:lastRenderedPageBreak/>
        <w:t>contribuyentes; mientras que los particulares tramitan dicho dato, con el único propósito de realizar mediante esa clave de identificación, operaciones o actividades de naturaleza fiscal.</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ind w:left="567" w:right="567"/>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“Registro Federal de Contribuyentes (RFC) de personas físicas.</w:t>
      </w:r>
      <w:r>
        <w:rPr>
          <w:rFonts w:ascii="Palatino Linotype" w:eastAsia="Palatino Linotype" w:hAnsi="Palatino Linotype" w:cs="Palatino Linotype"/>
          <w:i/>
          <w:sz w:val="20"/>
          <w:szCs w:val="20"/>
        </w:rPr>
        <w:t xml:space="preserve"> El RFC es una clave de carácter fiscal, única e irrepetible, que permite identificar al titular, su edad y fecha de nacimiento, por lo que es un dato personal de carácter confidencial.”</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rsidR="009A0565" w:rsidRDefault="009A0565">
      <w:pPr>
        <w:spacing w:after="0" w:line="360" w:lineRule="auto"/>
        <w:jc w:val="both"/>
        <w:rPr>
          <w:rFonts w:ascii="Palatino Linotype" w:eastAsia="Palatino Linotype" w:hAnsi="Palatino Linotype" w:cs="Palatino Linotype"/>
        </w:rPr>
      </w:pPr>
    </w:p>
    <w:p w:rsidR="009A0565" w:rsidRDefault="003649B4">
      <w:pPr>
        <w:numPr>
          <w:ilvl w:val="0"/>
          <w:numId w:val="6"/>
        </w:num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Número de seguridad social del Instituto de Seguridad Social del Estado de México y Municipios</w:t>
      </w:r>
    </w:p>
    <w:p w:rsidR="009A0565" w:rsidRDefault="009A0565">
      <w:pPr>
        <w:spacing w:after="0" w:line="360" w:lineRule="auto"/>
        <w:jc w:val="both"/>
        <w:rPr>
          <w:rFonts w:ascii="Palatino Linotype" w:eastAsia="Palatino Linotype" w:hAnsi="Palatino Linotype" w:cs="Palatino Linotype"/>
          <w:b/>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w:t>
      </w:r>
      <w:r>
        <w:rPr>
          <w:rFonts w:ascii="Palatino Linotype" w:eastAsia="Palatino Linotype" w:hAnsi="Palatino Linotype" w:cs="Palatino Linotype"/>
          <w:b/>
        </w:rPr>
        <w:t>y se le asigna una clave para hacer identificable al trabajador con el objetivo de poder proporcionar los servicios que brinda el Instituto de Seguridad Social del Estado de México y Municipios.</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rsidR="009A0565" w:rsidRDefault="009A0565">
      <w:pPr>
        <w:spacing w:after="0" w:line="360" w:lineRule="auto"/>
        <w:jc w:val="both"/>
        <w:rPr>
          <w:rFonts w:ascii="Palatino Linotype" w:eastAsia="Palatino Linotype" w:hAnsi="Palatino Linotype" w:cs="Palatino Linotype"/>
        </w:rPr>
      </w:pPr>
    </w:p>
    <w:p w:rsidR="009A0565" w:rsidRDefault="003649B4">
      <w:pPr>
        <w:numPr>
          <w:ilvl w:val="0"/>
          <w:numId w:val="6"/>
        </w:numPr>
        <w:spacing w:after="0"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Fotografía de servidores públicos </w:t>
      </w:r>
    </w:p>
    <w:p w:rsidR="009A0565" w:rsidRDefault="009A0565">
      <w:pPr>
        <w:spacing w:after="0" w:line="360" w:lineRule="auto"/>
        <w:ind w:left="720"/>
        <w:jc w:val="both"/>
        <w:rPr>
          <w:rFonts w:ascii="Palatino Linotype" w:eastAsia="Palatino Linotype" w:hAnsi="Palatino Linotype" w:cs="Palatino Linotype"/>
          <w:b/>
          <w:color w:val="000000"/>
        </w:rPr>
      </w:pPr>
    </w:p>
    <w:p w:rsidR="009A0565" w:rsidRDefault="003649B4">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9A0565" w:rsidRDefault="009A0565">
      <w:pPr>
        <w:tabs>
          <w:tab w:val="left" w:pos="4962"/>
        </w:tabs>
        <w:spacing w:after="0" w:line="360" w:lineRule="auto"/>
        <w:jc w:val="both"/>
        <w:rPr>
          <w:rFonts w:ascii="Palatino Linotype" w:eastAsia="Palatino Linotype" w:hAnsi="Palatino Linotype" w:cs="Palatino Linotype"/>
        </w:rPr>
      </w:pPr>
    </w:p>
    <w:p w:rsidR="009A0565" w:rsidRDefault="003649B4">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9A0565" w:rsidRDefault="009A0565">
      <w:pPr>
        <w:tabs>
          <w:tab w:val="left" w:pos="4962"/>
        </w:tabs>
        <w:spacing w:after="0" w:line="360" w:lineRule="auto"/>
        <w:jc w:val="both"/>
        <w:rPr>
          <w:rFonts w:ascii="Palatino Linotype" w:eastAsia="Palatino Linotype" w:hAnsi="Palatino Linotype" w:cs="Palatino Linotype"/>
        </w:rPr>
      </w:pPr>
    </w:p>
    <w:p w:rsidR="009A0565" w:rsidRDefault="003649B4">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9A0565" w:rsidRDefault="009A0565">
      <w:pPr>
        <w:tabs>
          <w:tab w:val="left" w:pos="4962"/>
        </w:tabs>
        <w:spacing w:after="0" w:line="360" w:lineRule="auto"/>
        <w:jc w:val="both"/>
        <w:rPr>
          <w:rFonts w:ascii="Palatino Linotype" w:eastAsia="Palatino Linotype" w:hAnsi="Palatino Linotype" w:cs="Palatino Linotype"/>
        </w:rPr>
      </w:pPr>
    </w:p>
    <w:p w:rsidR="009A0565" w:rsidRDefault="003649B4">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este sentido, resultan aplicables por analogía, los Criterios SO/015/2017 y SO/001/2013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9A0565" w:rsidRDefault="009A0565">
      <w:pPr>
        <w:tabs>
          <w:tab w:val="left" w:pos="4962"/>
        </w:tabs>
        <w:spacing w:after="0" w:line="360" w:lineRule="auto"/>
        <w:jc w:val="both"/>
        <w:rPr>
          <w:rFonts w:ascii="Palatino Linotype" w:eastAsia="Palatino Linotype" w:hAnsi="Palatino Linotype" w:cs="Palatino Linotype"/>
        </w:rPr>
      </w:pPr>
    </w:p>
    <w:p w:rsidR="009A0565" w:rsidRDefault="003649B4">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rsidR="009A0565" w:rsidRDefault="009A0565">
      <w:pPr>
        <w:tabs>
          <w:tab w:val="left" w:pos="4962"/>
        </w:tabs>
        <w:spacing w:after="0" w:line="360" w:lineRule="auto"/>
        <w:jc w:val="both"/>
        <w:rPr>
          <w:rFonts w:ascii="Palatino Linotype" w:eastAsia="Palatino Linotype" w:hAnsi="Palatino Linotype" w:cs="Palatino Linotype"/>
        </w:rPr>
      </w:pPr>
    </w:p>
    <w:p w:rsidR="009A0565" w:rsidRDefault="003649B4">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9A0565" w:rsidRDefault="009A0565">
      <w:pPr>
        <w:tabs>
          <w:tab w:val="left" w:pos="4962"/>
        </w:tabs>
        <w:spacing w:after="0" w:line="360" w:lineRule="auto"/>
        <w:jc w:val="both"/>
        <w:rPr>
          <w:rFonts w:ascii="Palatino Linotype" w:eastAsia="Palatino Linotype" w:hAnsi="Palatino Linotype" w:cs="Palatino Linotype"/>
        </w:rPr>
      </w:pPr>
    </w:p>
    <w:p w:rsidR="009A0565" w:rsidRDefault="003649B4">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rsidR="009A0565" w:rsidRDefault="003649B4">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rsidR="009A0565" w:rsidRDefault="009A0565">
      <w:pPr>
        <w:tabs>
          <w:tab w:val="left" w:pos="4962"/>
        </w:tabs>
        <w:spacing w:after="0" w:line="360" w:lineRule="auto"/>
        <w:jc w:val="both"/>
        <w:rPr>
          <w:rFonts w:ascii="Palatino Linotype" w:eastAsia="Palatino Linotype" w:hAnsi="Palatino Linotype" w:cs="Palatino Linotype"/>
        </w:rPr>
      </w:pPr>
    </w:p>
    <w:p w:rsidR="009A0565" w:rsidRDefault="003649B4">
      <w:pPr>
        <w:numPr>
          <w:ilvl w:val="0"/>
          <w:numId w:val="8"/>
        </w:numPr>
        <w:spacing w:after="0"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Firma de servidores públicos</w:t>
      </w:r>
    </w:p>
    <w:p w:rsidR="009A0565" w:rsidRDefault="003649B4">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w:t>
      </w:r>
    </w:p>
    <w:p w:rsidR="009A0565" w:rsidRDefault="003649B4">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rsidR="009A0565" w:rsidRDefault="003649B4">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w:t>
      </w:r>
    </w:p>
    <w:p w:rsidR="009A0565" w:rsidRDefault="003649B4">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rsidR="009A0565" w:rsidRDefault="009A0565">
      <w:pPr>
        <w:tabs>
          <w:tab w:val="left" w:pos="4962"/>
        </w:tabs>
        <w:spacing w:after="0" w:line="360" w:lineRule="auto"/>
        <w:jc w:val="both"/>
        <w:rPr>
          <w:rFonts w:ascii="Palatino Linotype" w:eastAsia="Palatino Linotype" w:hAnsi="Palatino Linotype" w:cs="Palatino Linotype"/>
        </w:rPr>
      </w:pPr>
    </w:p>
    <w:p w:rsidR="009A0565" w:rsidRDefault="009A0565">
      <w:pPr>
        <w:tabs>
          <w:tab w:val="left" w:pos="4962"/>
        </w:tabs>
        <w:spacing w:after="0" w:line="360" w:lineRule="auto"/>
        <w:jc w:val="both"/>
        <w:rPr>
          <w:rFonts w:ascii="Palatino Linotype" w:eastAsia="Palatino Linotype" w:hAnsi="Palatino Linotype" w:cs="Palatino Linotype"/>
        </w:rPr>
      </w:pPr>
    </w:p>
    <w:p w:rsidR="009A0565" w:rsidRDefault="009A0565">
      <w:pPr>
        <w:tabs>
          <w:tab w:val="left" w:pos="4962"/>
        </w:tabs>
        <w:spacing w:after="0" w:line="360" w:lineRule="auto"/>
        <w:jc w:val="both"/>
        <w:rPr>
          <w:rFonts w:ascii="Palatino Linotype" w:eastAsia="Palatino Linotype" w:hAnsi="Palatino Linotype" w:cs="Palatino Linotype"/>
        </w:rPr>
      </w:pPr>
    </w:p>
    <w:p w:rsidR="009A0565" w:rsidRDefault="003649B4">
      <w:pPr>
        <w:shd w:val="clear" w:color="auto" w:fill="FFFFFF"/>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La publicidad de dichos datos, se robustece, con el </w:t>
      </w:r>
      <w:r>
        <w:rPr>
          <w:rFonts w:ascii="Palatino Linotype" w:eastAsia="Palatino Linotype" w:hAnsi="Palatino Linotype" w:cs="Palatino Linotype"/>
          <w:color w:val="000000"/>
        </w:rPr>
        <w:t>Criterio de Interpretación, de la Segunda Época, con clave de control SO/002/2019, emitido por el Instituto Nacional de Transparencia, Acceso a la Información y Protección de Datos Personales, que establece lo siguiente:</w:t>
      </w:r>
    </w:p>
    <w:p w:rsidR="009A0565" w:rsidRDefault="003649B4">
      <w:pPr>
        <w:shd w:val="clear" w:color="auto" w:fill="FFFFFF"/>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w:t>
      </w:r>
    </w:p>
    <w:p w:rsidR="009A0565" w:rsidRDefault="003649B4">
      <w:pPr>
        <w:spacing w:after="0" w:line="360" w:lineRule="auto"/>
        <w:ind w:left="567" w:right="567"/>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b/>
          <w:i/>
          <w:sz w:val="20"/>
          <w:szCs w:val="20"/>
        </w:rPr>
        <w:t>“Firma y rúbrica de servidores públicos.</w:t>
      </w:r>
      <w:r>
        <w:rPr>
          <w:rFonts w:ascii="Palatino Linotype" w:eastAsia="Palatino Linotype" w:hAnsi="Palatino Linotype" w:cs="Palatino Linotype"/>
          <w:i/>
          <w:sz w:val="20"/>
          <w:szCs w:val="20"/>
        </w:rPr>
        <w:t> Si bien la firma y la rúbrica son datos personales confidenciales, cuando un servidor público emite un acto como autoridad, en ejercicio de las funciones que tiene conferidas, la firma o rúbrica mediante la cual se valida dicho acto es pública.”</w:t>
      </w:r>
    </w:p>
    <w:p w:rsidR="009A0565" w:rsidRDefault="009A0565">
      <w:pPr>
        <w:tabs>
          <w:tab w:val="left" w:pos="4962"/>
        </w:tabs>
        <w:spacing w:after="0" w:line="360" w:lineRule="auto"/>
        <w:jc w:val="both"/>
        <w:rPr>
          <w:rFonts w:ascii="Palatino Linotype" w:eastAsia="Palatino Linotype" w:hAnsi="Palatino Linotype" w:cs="Palatino Linotype"/>
        </w:rPr>
      </w:pPr>
    </w:p>
    <w:p w:rsidR="009A0565" w:rsidRDefault="003649B4">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la aceptación de un grado ante la Secretaría de Educación Pública. </w:t>
      </w:r>
    </w:p>
    <w:p w:rsidR="009A0565" w:rsidRDefault="009A0565">
      <w:pPr>
        <w:spacing w:after="0" w:line="360" w:lineRule="auto"/>
        <w:ind w:right="-28"/>
        <w:jc w:val="both"/>
        <w:rPr>
          <w:rFonts w:ascii="Palatino Linotype" w:eastAsia="Palatino Linotype" w:hAnsi="Palatino Linotype" w:cs="Palatino Linotype"/>
          <w:color w:val="000000"/>
        </w:rPr>
      </w:pPr>
    </w:p>
    <w:p w:rsidR="009A0565" w:rsidRDefault="003649B4">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Conforme a lo anterior, se considera que el Sujeto Obliga deberá entregar en versión pública los documentos, en donde podrá clasificar como confidencial el Registro Federal de Contribuyentes, la Clave Única de Registro de Población, el número de Seguridad del Instituto de Seguridad Social del Estado de México y Municipios y la firma de los servidores públicos en documentos de grado académico, los cuales se establecen de manera enunciativa, más no limitativa.</w:t>
      </w:r>
    </w:p>
    <w:p w:rsidR="009A0565" w:rsidRDefault="009A0565">
      <w:pPr>
        <w:spacing w:after="0" w:line="360" w:lineRule="auto"/>
        <w:jc w:val="both"/>
        <w:rPr>
          <w:rFonts w:ascii="Palatino Linotype" w:eastAsia="Palatino Linotype" w:hAnsi="Palatino Linotype" w:cs="Palatino Linotype"/>
          <w:color w:val="000000"/>
        </w:rPr>
      </w:pPr>
    </w:p>
    <w:p w:rsidR="009A0565" w:rsidRDefault="003649B4">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 anterior, de conformidad con el artículo 3°, fracción XLV, relacionado con el 137, ambos de la Ley de Transparencia y Acceso a la Información Pública del Estado de México y Municipios, que precisa que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rsidR="009A0565" w:rsidRDefault="009A0565">
      <w:pPr>
        <w:spacing w:after="0" w:line="360" w:lineRule="auto"/>
        <w:jc w:val="both"/>
        <w:rPr>
          <w:rFonts w:ascii="Palatino Linotype" w:eastAsia="Palatino Linotype" w:hAnsi="Palatino Linotype" w:cs="Palatino Linotype"/>
          <w:color w:val="000000"/>
        </w:rPr>
      </w:pPr>
    </w:p>
    <w:p w:rsidR="009A0565" w:rsidRDefault="003649B4">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Términos de la Resolución para conocimiento del Particular</w:t>
      </w:r>
    </w:p>
    <w:p w:rsidR="009A0565" w:rsidRDefault="003649B4">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 </w:t>
      </w:r>
    </w:p>
    <w:p w:rsidR="009A0565" w:rsidRDefault="003649B4">
      <w:pPr>
        <w:widowControl w:val="0"/>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Se le hace del conocimiento al Particular, que, en el presente caso, se le concede parcialmente la razón, toda vez que, el Sujeto Obligado si bien, señaló información que pudiera dar cuenta de lo solicitado, lo cierto es que no proporcionó los documentos que sustentaran la información, por lo que deberá proporcionar la información peticionada. </w:t>
      </w:r>
    </w:p>
    <w:p w:rsidR="009A0565" w:rsidRDefault="009A0565">
      <w:pPr>
        <w:widowControl w:val="0"/>
        <w:spacing w:after="0" w:line="360" w:lineRule="auto"/>
        <w:jc w:val="both"/>
        <w:rPr>
          <w:rFonts w:ascii="Palatino Linotype" w:eastAsia="Palatino Linotype" w:hAnsi="Palatino Linotype" w:cs="Palatino Linotype"/>
        </w:rPr>
      </w:pPr>
    </w:p>
    <w:p w:rsidR="009A0565" w:rsidRDefault="003649B4">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Finalmente, se le informa que la labor del Instituto de Transparencia, Acceso a la Información Pública y Protección de Datos Personales del Estado de México y Municipios, es, por una parte, apoyar a la población a acceder a la información pública y, por otra parte, garantizar la protección de los datos personales.</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Por lo expuesto y fundado, este Pleno:</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R E S U E L V E</w:t>
      </w: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 xml:space="preserve">Se </w:t>
      </w:r>
      <w:r>
        <w:rPr>
          <w:rFonts w:ascii="Palatino Linotype" w:eastAsia="Palatino Linotype" w:hAnsi="Palatino Linotype" w:cs="Palatino Linotype"/>
          <w:b/>
        </w:rPr>
        <w:t xml:space="preserve">MODIFICA </w:t>
      </w:r>
      <w:r>
        <w:rPr>
          <w:rFonts w:ascii="Palatino Linotype" w:eastAsia="Palatino Linotype" w:hAnsi="Palatino Linotype" w:cs="Palatino Linotype"/>
        </w:rPr>
        <w:t>la</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respuesta entregada por el </w:t>
      </w:r>
      <w:r>
        <w:rPr>
          <w:rFonts w:ascii="Palatino Linotype" w:eastAsia="Palatino Linotype" w:hAnsi="Palatino Linotype" w:cs="Palatino Linotype"/>
          <w:color w:val="000000"/>
        </w:rPr>
        <w:t>Instituto de la Función Registral del Estado de México</w:t>
      </w:r>
      <w:r>
        <w:rPr>
          <w:rFonts w:ascii="Palatino Linotype" w:eastAsia="Palatino Linotype" w:hAnsi="Palatino Linotype" w:cs="Palatino Linotype"/>
        </w:rPr>
        <w:t>, a la solicitud de información</w:t>
      </w:r>
      <w:r>
        <w:rPr>
          <w:rFonts w:ascii="Palatino Linotype" w:eastAsia="Palatino Linotype" w:hAnsi="Palatino Linotype" w:cs="Palatino Linotype"/>
          <w:b/>
        </w:rPr>
        <w:t xml:space="preserve"> </w:t>
      </w:r>
      <w:r>
        <w:rPr>
          <w:rFonts w:ascii="Palatino Linotype" w:eastAsia="Palatino Linotype" w:hAnsi="Palatino Linotype" w:cs="Palatino Linotype"/>
          <w:color w:val="000000"/>
        </w:rPr>
        <w:t>00145/IFR/IP/2024</w:t>
      </w:r>
      <w:r>
        <w:rPr>
          <w:rFonts w:ascii="Palatino Linotype" w:eastAsia="Palatino Linotype" w:hAnsi="Palatino Linotype" w:cs="Palatino Linotype"/>
        </w:rPr>
        <w:t xml:space="preserve">, por resultar </w:t>
      </w:r>
      <w:r>
        <w:rPr>
          <w:rFonts w:ascii="Palatino Linotype" w:eastAsia="Palatino Linotype" w:hAnsi="Palatino Linotype" w:cs="Palatino Linotype"/>
          <w:b/>
        </w:rPr>
        <w:t>FUNDADAS</w:t>
      </w:r>
      <w:r>
        <w:rPr>
          <w:rFonts w:ascii="Palatino Linotype" w:eastAsia="Palatino Linotype" w:hAnsi="Palatino Linotype" w:cs="Palatino Linotype"/>
        </w:rPr>
        <w:t xml:space="preserve"> las razones o motivos de inconformidad hechos valer por el Recurrente, en términos de los considerandos QUINTO y SEXTO de la presente Resolución.</w:t>
      </w:r>
    </w:p>
    <w:p w:rsidR="009A0565" w:rsidRDefault="009A0565">
      <w:pPr>
        <w:spacing w:after="0" w:line="360" w:lineRule="auto"/>
        <w:jc w:val="both"/>
        <w:rPr>
          <w:rFonts w:ascii="Palatino Linotype" w:eastAsia="Palatino Linotype" w:hAnsi="Palatino Linotype" w:cs="Palatino Linotype"/>
        </w:rPr>
      </w:pPr>
    </w:p>
    <w:p w:rsidR="009A0565" w:rsidRDefault="003649B4">
      <w:pPr>
        <w:tabs>
          <w:tab w:val="left" w:pos="4962"/>
        </w:tabs>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b/>
        </w:rPr>
        <w:t xml:space="preserve">SEGUNDO. </w:t>
      </w:r>
      <w:r>
        <w:rPr>
          <w:rFonts w:ascii="Palatino Linotype" w:eastAsia="Palatino Linotype" w:hAnsi="Palatino Linotype" w:cs="Palatino Linotype"/>
        </w:rPr>
        <w:t xml:space="preserve">Se </w:t>
      </w:r>
      <w:r>
        <w:rPr>
          <w:rFonts w:ascii="Palatino Linotype" w:eastAsia="Palatino Linotype" w:hAnsi="Palatino Linotype" w:cs="Palatino Linotype"/>
          <w:b/>
        </w:rPr>
        <w:t xml:space="preserve">ORDENA </w:t>
      </w:r>
      <w:r>
        <w:rPr>
          <w:rFonts w:ascii="Palatino Linotype" w:eastAsia="Palatino Linotype" w:hAnsi="Palatino Linotype" w:cs="Palatino Linotype"/>
        </w:rPr>
        <w:t xml:space="preserve">al </w:t>
      </w:r>
      <w:r>
        <w:rPr>
          <w:rFonts w:ascii="Palatino Linotype" w:eastAsia="Palatino Linotype" w:hAnsi="Palatino Linotype" w:cs="Palatino Linotype"/>
          <w:color w:val="0C0C0C"/>
        </w:rPr>
        <w:t>Sujeto Obligado</w:t>
      </w:r>
      <w:r>
        <w:rPr>
          <w:rFonts w:ascii="Palatino Linotype" w:eastAsia="Palatino Linotype" w:hAnsi="Palatino Linotype" w:cs="Palatino Linotype"/>
        </w:rPr>
        <w:t>, a efecto de que previa búsqueda exhaustiva y razonable en todas las unidades administrativas competentes, entregue a través del Sistema de Acceso a la Información Mexiquense (SAIMEX), en su caso, en versión pública, respecto del Jefe del Departamento de Materiales referido en la solicitud de información, los documentos con los que contara al treinta y uno de octubre de dos mil veinticuatro, que den cuenta de lo siguiente:</w:t>
      </w:r>
    </w:p>
    <w:p w:rsidR="009A0565" w:rsidRDefault="009A0565">
      <w:pPr>
        <w:tabs>
          <w:tab w:val="left" w:pos="4962"/>
        </w:tabs>
        <w:spacing w:after="0" w:line="360" w:lineRule="auto"/>
        <w:ind w:right="-28"/>
        <w:jc w:val="both"/>
        <w:rPr>
          <w:rFonts w:ascii="Palatino Linotype" w:eastAsia="Palatino Linotype" w:hAnsi="Palatino Linotype" w:cs="Palatino Linotype"/>
        </w:rPr>
      </w:pPr>
    </w:p>
    <w:p w:rsidR="009A0565" w:rsidRDefault="003649B4">
      <w:pPr>
        <w:numPr>
          <w:ilvl w:val="0"/>
          <w:numId w:val="2"/>
        </w:numPr>
        <w:pBdr>
          <w:top w:val="nil"/>
          <w:left w:val="nil"/>
          <w:bottom w:val="nil"/>
          <w:right w:val="nil"/>
          <w:between w:val="nil"/>
        </w:pBdr>
        <w:tabs>
          <w:tab w:val="left" w:pos="4962"/>
        </w:tabs>
        <w:spacing w:after="0"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Grado académico referido en repuesta, y</w:t>
      </w:r>
    </w:p>
    <w:p w:rsidR="009A0565" w:rsidRDefault="009A0565">
      <w:pPr>
        <w:pBdr>
          <w:top w:val="nil"/>
          <w:left w:val="nil"/>
          <w:bottom w:val="nil"/>
          <w:right w:val="nil"/>
          <w:between w:val="nil"/>
        </w:pBdr>
        <w:tabs>
          <w:tab w:val="left" w:pos="4962"/>
        </w:tabs>
        <w:spacing w:after="0" w:line="360" w:lineRule="auto"/>
        <w:ind w:left="720" w:right="-28"/>
        <w:jc w:val="both"/>
        <w:rPr>
          <w:rFonts w:ascii="Palatino Linotype" w:eastAsia="Palatino Linotype" w:hAnsi="Palatino Linotype" w:cs="Palatino Linotype"/>
          <w:color w:val="000000"/>
        </w:rPr>
      </w:pPr>
    </w:p>
    <w:p w:rsidR="009A0565" w:rsidRDefault="003649B4">
      <w:pPr>
        <w:numPr>
          <w:ilvl w:val="0"/>
          <w:numId w:val="2"/>
        </w:numPr>
        <w:pBdr>
          <w:top w:val="nil"/>
          <w:left w:val="nil"/>
          <w:bottom w:val="nil"/>
          <w:right w:val="nil"/>
          <w:between w:val="nil"/>
        </w:pBdr>
        <w:tabs>
          <w:tab w:val="left" w:pos="4962"/>
        </w:tabs>
        <w:spacing w:after="0"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Los contratos o nombramientos o Formatos Únicos de Movimiento de Personal que den cuenta de los cargos señalados en contestación.</w:t>
      </w:r>
    </w:p>
    <w:p w:rsidR="009A0565" w:rsidRDefault="009A0565">
      <w:pPr>
        <w:spacing w:after="0" w:line="360" w:lineRule="auto"/>
        <w:ind w:right="-28"/>
        <w:jc w:val="both"/>
        <w:rPr>
          <w:rFonts w:ascii="Palatino Linotype" w:eastAsia="Palatino Linotype" w:hAnsi="Palatino Linotype" w:cs="Palatino Linotype"/>
        </w:rPr>
      </w:pPr>
    </w:p>
    <w:p w:rsidR="009A0565" w:rsidRDefault="003649B4">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Además, de ser necesario, deberá proporcionar el Acuerdo de Clasificación donde el Comité de Transparencia, confirme la eliminación de los datos confidenciales, en la versión pública, de conformidad con los artículos 49, fracciones II y VIII, 132, fracción II, 143, fracción I y 149 de la Ley de la materia.</w:t>
      </w:r>
    </w:p>
    <w:p w:rsidR="009A0565" w:rsidRDefault="009A0565">
      <w:pPr>
        <w:spacing w:after="0" w:line="360" w:lineRule="auto"/>
        <w:jc w:val="both"/>
        <w:rPr>
          <w:rFonts w:ascii="Palatino Linotype" w:eastAsia="Palatino Linotype" w:hAnsi="Palatino Linotype" w:cs="Palatino Linotype"/>
          <w:b/>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TERCERO. NOTIFÍQUESE POR SAIMEX </w:t>
      </w:r>
      <w:r>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9A0565" w:rsidRDefault="009A0565">
      <w:pPr>
        <w:spacing w:after="0" w:line="360" w:lineRule="auto"/>
        <w:jc w:val="both"/>
        <w:rPr>
          <w:rFonts w:ascii="Palatino Linotype" w:eastAsia="Palatino Linotype" w:hAnsi="Palatino Linotype" w:cs="Palatino Linotype"/>
        </w:rPr>
      </w:pP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CUARTO. NOTIFÍQUESE POR SAIMEX</w:t>
      </w:r>
      <w:r>
        <w:rPr>
          <w:rFonts w:ascii="Palatino Linotype" w:eastAsia="Palatino Linotype" w:hAnsi="Palatino Linotype" w:cs="Palatino Linotype"/>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9A0565" w:rsidRDefault="003649B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LO RESUELVE, POR </w:t>
      </w:r>
      <w:r w:rsidRPr="000F6D43">
        <w:rPr>
          <w:rFonts w:ascii="Palatino Linotype" w:eastAsia="Palatino Linotype" w:hAnsi="Palatino Linotype" w:cs="Palatino Linotype"/>
          <w:b/>
        </w:rPr>
        <w:t>UNANIMIDAD</w:t>
      </w:r>
      <w:r>
        <w:rPr>
          <w:rFonts w:ascii="Palatino Linotype" w:eastAsia="Palatino Linotype" w:hAnsi="Palatino Linotype" w:cs="Palatino Linotype"/>
        </w:rPr>
        <w:t xml:space="preserve"> DE VOTOS EL PLENO DEL INSTITUTO DE TRANSPARENCIA, ACCESO A LA INFORMACIÓN PÚBLICA Y PROTECCIÓN DE DATOS PERSONALES DEL ESTADO DE MÉXICO Y MUNICIPIOS, CONFORMADO POR LOS COMISIONADOS JOSÉ MARTÍNEZ VILCHIS, MARÍA DEL ROSARIO MEJÍA AYALA</w:t>
      </w:r>
      <w:r w:rsidR="004619D0">
        <w:rPr>
          <w:rFonts w:ascii="Palatino Linotype" w:eastAsia="Palatino Linotype" w:hAnsi="Palatino Linotype" w:cs="Palatino Linotype"/>
        </w:rPr>
        <w:t xml:space="preserve"> </w:t>
      </w:r>
      <w:r w:rsidR="004619D0">
        <w:rPr>
          <w:rFonts w:ascii="Palatino Linotype" w:eastAsia="Palatino Linotype" w:hAnsi="Palatino Linotype" w:cs="Palatino Linotype"/>
        </w:rPr>
        <w:lastRenderedPageBreak/>
        <w:t>CON VOTO PARTICULAR CONCURRENTE</w:t>
      </w:r>
      <w:r>
        <w:rPr>
          <w:rFonts w:ascii="Palatino Linotype" w:eastAsia="Palatino Linotype" w:hAnsi="Palatino Linotype" w:cs="Palatino Linotype"/>
        </w:rPr>
        <w:t>, SHARON CRISTINA MORALES MARTÍNEZ, LUIS GUSTAVO PARRA NORIEGA</w:t>
      </w:r>
      <w:r w:rsidR="004619D0">
        <w:rPr>
          <w:rFonts w:ascii="Palatino Linotype" w:eastAsia="Palatino Linotype" w:hAnsi="Palatino Linotype" w:cs="Palatino Linotype"/>
        </w:rPr>
        <w:t xml:space="preserve"> CON VOTO PARTICULAR CONCURRENTE</w:t>
      </w:r>
      <w:r>
        <w:rPr>
          <w:rFonts w:ascii="Palatino Linotype" w:eastAsia="Palatino Linotype" w:hAnsi="Palatino Linotype" w:cs="Palatino Linotype"/>
        </w:rPr>
        <w:t xml:space="preserve"> Y GUADALUPE RAMÍREZ PEÑA</w:t>
      </w:r>
      <w:r w:rsidR="004619D0">
        <w:rPr>
          <w:rFonts w:ascii="Palatino Linotype" w:eastAsia="Palatino Linotype" w:hAnsi="Palatino Linotype" w:cs="Palatino Linotype"/>
        </w:rPr>
        <w:t xml:space="preserve"> CON VOTO PARTICULAR</w:t>
      </w:r>
      <w:r>
        <w:rPr>
          <w:rFonts w:ascii="Palatino Linotype" w:eastAsia="Palatino Linotype" w:hAnsi="Palatino Linotype" w:cs="Palatino Linotype"/>
        </w:rPr>
        <w:t>, EN LA PRIMERA SESIÓN ORDINARIA, CELEBRADA EL QUINCE DE ENERO DE DOS MIL VEINTICINCO, ANTE EL SECRETARIO TÉCNICO DEL PLENO, ALEXIS TAPIA RAMÍREZ.</w:t>
      </w:r>
    </w:p>
    <w:p w:rsidR="009A0565" w:rsidRDefault="003649B4">
      <w:pPr>
        <w:spacing w:after="0" w:line="360" w:lineRule="auto"/>
        <w:jc w:val="both"/>
      </w:pPr>
      <w:r>
        <w:br w:type="page"/>
      </w:r>
    </w:p>
    <w:p w:rsidR="009A0565" w:rsidRDefault="009A0565">
      <w:pPr>
        <w:spacing w:after="0" w:line="360" w:lineRule="auto"/>
      </w:pPr>
    </w:p>
    <w:p w:rsidR="009A0565" w:rsidRDefault="009A0565">
      <w:pPr>
        <w:spacing w:line="360" w:lineRule="auto"/>
      </w:pPr>
    </w:p>
    <w:sectPr w:rsidR="009A0565">
      <w:headerReference w:type="even" r:id="rId14"/>
      <w:headerReference w:type="default" r:id="rId15"/>
      <w:footerReference w:type="default" r:id="rId16"/>
      <w:headerReference w:type="first" r:id="rId17"/>
      <w:footerReference w:type="first" r:id="rId18"/>
      <w:pgSz w:w="12240" w:h="15840"/>
      <w:pgMar w:top="80" w:right="1608" w:bottom="1134" w:left="1588" w:header="850" w:footer="6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3D3" w:rsidRDefault="007A33D3">
      <w:pPr>
        <w:spacing w:after="0" w:line="240" w:lineRule="auto"/>
      </w:pPr>
      <w:r>
        <w:separator/>
      </w:r>
    </w:p>
  </w:endnote>
  <w:endnote w:type="continuationSeparator" w:id="0">
    <w:p w:rsidR="007A33D3" w:rsidRDefault="007A3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565" w:rsidRDefault="009A0565">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6"/>
        <w:szCs w:val="26"/>
      </w:rPr>
    </w:pPr>
  </w:p>
  <w:p w:rsidR="009A0565" w:rsidRDefault="003649B4">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18770C">
      <w:rPr>
        <w:rFonts w:ascii="Times New Roman" w:eastAsia="Times New Roman" w:hAnsi="Times New Roman" w:cs="Times New Roman"/>
        <w:b/>
        <w:noProof/>
        <w:color w:val="000000"/>
        <w:sz w:val="24"/>
        <w:szCs w:val="24"/>
      </w:rPr>
      <w:t>19</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0"/>
        <w:szCs w:val="2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18770C">
      <w:rPr>
        <w:rFonts w:ascii="Times New Roman" w:eastAsia="Times New Roman" w:hAnsi="Times New Roman" w:cs="Times New Roman"/>
        <w:b/>
        <w:noProof/>
        <w:color w:val="000000"/>
        <w:sz w:val="24"/>
        <w:szCs w:val="24"/>
      </w:rPr>
      <w:t>40</w:t>
    </w:r>
    <w:r>
      <w:rPr>
        <w:rFonts w:ascii="Times New Roman" w:eastAsia="Times New Roman" w:hAnsi="Times New Roman" w:cs="Times New Roman"/>
        <w:b/>
        <w:color w:val="000000"/>
        <w:sz w:val="24"/>
        <w:szCs w:val="24"/>
      </w:rPr>
      <w:fldChar w:fldCharType="end"/>
    </w:r>
  </w:p>
  <w:p w:rsidR="009A0565" w:rsidRDefault="009A0565">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565" w:rsidRDefault="009A0565">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p>
  <w:p w:rsidR="009A0565" w:rsidRDefault="009A0565">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p>
  <w:p w:rsidR="009A0565" w:rsidRDefault="009A0565">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p>
  <w:p w:rsidR="009A0565" w:rsidRDefault="003649B4">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18770C">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0"/>
        <w:szCs w:val="2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18770C">
      <w:rPr>
        <w:rFonts w:ascii="Times New Roman" w:eastAsia="Times New Roman" w:hAnsi="Times New Roman" w:cs="Times New Roman"/>
        <w:b/>
        <w:noProof/>
        <w:color w:val="000000"/>
        <w:sz w:val="24"/>
        <w:szCs w:val="24"/>
      </w:rPr>
      <w:t>40</w:t>
    </w:r>
    <w:r>
      <w:rPr>
        <w:rFonts w:ascii="Times New Roman" w:eastAsia="Times New Roman" w:hAnsi="Times New Roman" w:cs="Times New Roman"/>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3D3" w:rsidRDefault="007A33D3">
      <w:pPr>
        <w:spacing w:after="0" w:line="240" w:lineRule="auto"/>
      </w:pPr>
      <w:r>
        <w:separator/>
      </w:r>
    </w:p>
  </w:footnote>
  <w:footnote w:type="continuationSeparator" w:id="0">
    <w:p w:rsidR="007A33D3" w:rsidRDefault="007A3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565" w:rsidRDefault="007A33D3">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aguaINFOEM" style="position:absolute;margin-left:0;margin-top:0;width:663.5pt;height:12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565" w:rsidRDefault="007A33D3">
    <w:pPr>
      <w:tabs>
        <w:tab w:val="left" w:pos="3416"/>
      </w:tabs>
    </w:pPr>
    <w:r>
      <w:rPr>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aguaINFOEM" style="position:absolute;margin-left:-100.7pt;margin-top:-126.25pt;width:663.5pt;height:12in;z-index:-251659776;mso-position-horizontal:absolute;mso-position-horizontal-relative:margin;mso-position-vertical:absolute;mso-position-vertical-relative:margin">
          <v:imagedata r:id="rId1" o:title="image2"/>
          <w10:wrap anchorx="margin" anchory="margin"/>
        </v:shape>
      </w:pict>
    </w:r>
  </w:p>
  <w:tbl>
    <w:tblPr>
      <w:tblStyle w:val="a"/>
      <w:tblW w:w="9461" w:type="dxa"/>
      <w:tblInd w:w="0" w:type="dxa"/>
      <w:tblLayout w:type="fixed"/>
      <w:tblLook w:val="0400" w:firstRow="0" w:lastRow="0" w:firstColumn="0" w:lastColumn="0" w:noHBand="0" w:noVBand="1"/>
    </w:tblPr>
    <w:tblGrid>
      <w:gridCol w:w="2268"/>
      <w:gridCol w:w="7193"/>
    </w:tblGrid>
    <w:tr w:rsidR="009A0565">
      <w:trPr>
        <w:trHeight w:val="70"/>
      </w:trPr>
      <w:tc>
        <w:tcPr>
          <w:tcW w:w="2268" w:type="dxa"/>
          <w:shd w:val="clear" w:color="auto" w:fill="auto"/>
        </w:tcPr>
        <w:p w:rsidR="009A0565" w:rsidRDefault="009A0565">
          <w:pPr>
            <w:tabs>
              <w:tab w:val="right" w:pos="4273"/>
            </w:tabs>
            <w:rPr>
              <w:rFonts w:ascii="Garamond" w:eastAsia="Garamond" w:hAnsi="Garamond" w:cs="Garamond"/>
              <w:sz w:val="16"/>
              <w:szCs w:val="16"/>
            </w:rPr>
          </w:pPr>
        </w:p>
      </w:tc>
      <w:tc>
        <w:tcPr>
          <w:tcW w:w="7193" w:type="dxa"/>
          <w:shd w:val="clear" w:color="auto" w:fill="auto"/>
        </w:tcPr>
        <w:p w:rsidR="009A0565" w:rsidRDefault="009A0565">
          <w:pPr>
            <w:widowControl w:val="0"/>
            <w:pBdr>
              <w:top w:val="nil"/>
              <w:left w:val="nil"/>
              <w:bottom w:val="nil"/>
              <w:right w:val="nil"/>
              <w:between w:val="nil"/>
            </w:pBdr>
            <w:spacing w:after="0" w:line="276" w:lineRule="auto"/>
            <w:rPr>
              <w:rFonts w:ascii="Garamond" w:eastAsia="Garamond" w:hAnsi="Garamond" w:cs="Garamond"/>
              <w:sz w:val="16"/>
              <w:szCs w:val="16"/>
            </w:rPr>
          </w:pPr>
        </w:p>
        <w:tbl>
          <w:tblPr>
            <w:tblStyle w:val="a0"/>
            <w:tblW w:w="79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571"/>
            <w:gridCol w:w="4367"/>
          </w:tblGrid>
          <w:tr w:rsidR="009A0565">
            <w:trPr>
              <w:trHeight w:val="128"/>
            </w:trPr>
            <w:tc>
              <w:tcPr>
                <w:tcW w:w="3571" w:type="dxa"/>
                <w:vAlign w:val="bottom"/>
              </w:tcPr>
              <w:p w:rsidR="009A0565" w:rsidRDefault="003649B4">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 xml:space="preserve">                     Recurso de Revisión:</w:t>
                </w:r>
              </w:p>
            </w:tc>
            <w:tc>
              <w:tcPr>
                <w:tcW w:w="4367" w:type="dxa"/>
              </w:tcPr>
              <w:p w:rsidR="009A0565" w:rsidRDefault="003649B4">
                <w:pPr>
                  <w:tabs>
                    <w:tab w:val="right" w:pos="8838"/>
                  </w:tabs>
                  <w:ind w:left="-28" w:right="683"/>
                  <w:rPr>
                    <w:rFonts w:ascii="Palatino Linotype" w:eastAsia="Palatino Linotype" w:hAnsi="Palatino Linotype" w:cs="Palatino Linotype"/>
                  </w:rPr>
                </w:pPr>
                <w:r>
                  <w:rPr>
                    <w:rFonts w:ascii="Palatino Linotype" w:eastAsia="Palatino Linotype" w:hAnsi="Palatino Linotype" w:cs="Palatino Linotype"/>
                  </w:rPr>
                  <w:t>07446/INFOEM/IP/RR/2024</w:t>
                </w:r>
              </w:p>
            </w:tc>
          </w:tr>
          <w:tr w:rsidR="009A0565">
            <w:trPr>
              <w:trHeight w:val="251"/>
            </w:trPr>
            <w:tc>
              <w:tcPr>
                <w:tcW w:w="3571" w:type="dxa"/>
              </w:tcPr>
              <w:p w:rsidR="009A0565" w:rsidRDefault="003649B4">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 xml:space="preserve">                     Sujeto Obligado:</w:t>
                </w:r>
              </w:p>
            </w:tc>
            <w:tc>
              <w:tcPr>
                <w:tcW w:w="4367" w:type="dxa"/>
              </w:tcPr>
              <w:p w:rsidR="009A0565" w:rsidRDefault="003649B4">
                <w:pPr>
                  <w:tabs>
                    <w:tab w:val="right" w:pos="8838"/>
                  </w:tabs>
                  <w:ind w:right="1008"/>
                  <w:jc w:val="both"/>
                  <w:rPr>
                    <w:rFonts w:ascii="Palatino Linotype" w:eastAsia="Palatino Linotype" w:hAnsi="Palatino Linotype" w:cs="Palatino Linotype"/>
                  </w:rPr>
                </w:pPr>
                <w:r>
                  <w:rPr>
                    <w:rFonts w:ascii="Palatino Linotype" w:eastAsia="Palatino Linotype" w:hAnsi="Palatino Linotype" w:cs="Palatino Linotype"/>
                    <w:color w:val="000000"/>
                  </w:rPr>
                  <w:t>Instituto de la Función Registral del Estado de México</w:t>
                </w:r>
              </w:p>
            </w:tc>
          </w:tr>
          <w:tr w:rsidR="009A0565">
            <w:trPr>
              <w:trHeight w:val="251"/>
            </w:trPr>
            <w:tc>
              <w:tcPr>
                <w:tcW w:w="3571" w:type="dxa"/>
              </w:tcPr>
              <w:p w:rsidR="009A0565" w:rsidRDefault="003649B4">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 xml:space="preserve">                     Comisionado Ponente:</w:t>
                </w:r>
              </w:p>
            </w:tc>
            <w:tc>
              <w:tcPr>
                <w:tcW w:w="4367" w:type="dxa"/>
              </w:tcPr>
              <w:p w:rsidR="009A0565" w:rsidRDefault="003649B4">
                <w:pPr>
                  <w:tabs>
                    <w:tab w:val="right" w:pos="8838"/>
                  </w:tabs>
                  <w:ind w:right="-32"/>
                  <w:rPr>
                    <w:rFonts w:ascii="Palatino Linotype" w:eastAsia="Palatino Linotype" w:hAnsi="Palatino Linotype" w:cs="Palatino Linotype"/>
                    <w:b/>
                  </w:rPr>
                </w:pPr>
                <w:r>
                  <w:rPr>
                    <w:rFonts w:ascii="Palatino Linotype" w:eastAsia="Palatino Linotype" w:hAnsi="Palatino Linotype" w:cs="Palatino Linotype"/>
                  </w:rPr>
                  <w:t>Luis Gustavo Parra Noriega</w:t>
                </w:r>
              </w:p>
            </w:tc>
          </w:tr>
        </w:tbl>
        <w:p w:rsidR="009A0565" w:rsidRDefault="009A0565">
          <w:pPr>
            <w:tabs>
              <w:tab w:val="right" w:pos="8838"/>
            </w:tabs>
            <w:ind w:left="-28"/>
            <w:rPr>
              <w:rFonts w:ascii="Arial" w:eastAsia="Arial" w:hAnsi="Arial" w:cs="Arial"/>
              <w:b/>
            </w:rPr>
          </w:pPr>
        </w:p>
      </w:tc>
    </w:tr>
  </w:tbl>
  <w:p w:rsidR="009A0565" w:rsidRDefault="009A0565">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4"/>
        <w:szCs w:val="14"/>
      </w:rPr>
    </w:pPr>
  </w:p>
  <w:p w:rsidR="009A0565" w:rsidRDefault="009A0565">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565" w:rsidRDefault="009A056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Style w:val="a1"/>
      <w:tblW w:w="6945"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3543"/>
      <w:gridCol w:w="3402"/>
    </w:tblGrid>
    <w:tr w:rsidR="009A0565">
      <w:trPr>
        <w:trHeight w:val="302"/>
      </w:trPr>
      <w:tc>
        <w:tcPr>
          <w:tcW w:w="3544" w:type="dxa"/>
        </w:tcPr>
        <w:p w:rsidR="009A0565" w:rsidRDefault="003649B4">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 xml:space="preserve">                     Recurso de Revisión:</w:t>
          </w:r>
        </w:p>
      </w:tc>
      <w:tc>
        <w:tcPr>
          <w:tcW w:w="3402" w:type="dxa"/>
        </w:tcPr>
        <w:p w:rsidR="009A0565" w:rsidRDefault="003649B4">
          <w:pPr>
            <w:tabs>
              <w:tab w:val="right" w:pos="8838"/>
            </w:tabs>
            <w:jc w:val="both"/>
            <w:rPr>
              <w:rFonts w:ascii="Palatino Linotype" w:eastAsia="Palatino Linotype" w:hAnsi="Palatino Linotype" w:cs="Palatino Linotype"/>
            </w:rPr>
          </w:pPr>
          <w:r>
            <w:rPr>
              <w:rFonts w:ascii="Palatino Linotype" w:eastAsia="Palatino Linotype" w:hAnsi="Palatino Linotype" w:cs="Palatino Linotype"/>
            </w:rPr>
            <w:t>07446/INFOEM/IP/RR/2024</w:t>
          </w:r>
        </w:p>
      </w:tc>
    </w:tr>
    <w:tr w:rsidR="009A0565" w:rsidTr="0018770C">
      <w:trPr>
        <w:trHeight w:val="110"/>
      </w:trPr>
      <w:tc>
        <w:tcPr>
          <w:tcW w:w="3544" w:type="dxa"/>
        </w:tcPr>
        <w:p w:rsidR="009A0565" w:rsidRDefault="003649B4">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 xml:space="preserve">                     Recurrente:</w:t>
          </w:r>
        </w:p>
      </w:tc>
      <w:tc>
        <w:tcPr>
          <w:tcW w:w="3402" w:type="dxa"/>
          <w:shd w:val="clear" w:color="auto" w:fill="000000" w:themeFill="text1"/>
        </w:tcPr>
        <w:p w:rsidR="009A0565" w:rsidRDefault="0018770C">
          <w:pPr>
            <w:jc w:val="both"/>
            <w:rPr>
              <w:rFonts w:ascii="Palatino Linotype" w:eastAsia="Palatino Linotype" w:hAnsi="Palatino Linotype" w:cs="Palatino Linotype"/>
            </w:rPr>
          </w:pPr>
          <w:r w:rsidRPr="0018770C">
            <w:rPr>
              <w:rFonts w:ascii="Palatino Linotype" w:eastAsia="Palatino Linotype" w:hAnsi="Palatino Linotype" w:cs="Palatino Linotype"/>
              <w:highlight w:val="black"/>
            </w:rPr>
            <w:t>XXXXXXXXXXXXXXXXXXXXX</w:t>
          </w:r>
        </w:p>
      </w:tc>
    </w:tr>
    <w:tr w:rsidR="009A0565">
      <w:trPr>
        <w:trHeight w:val="248"/>
      </w:trPr>
      <w:tc>
        <w:tcPr>
          <w:tcW w:w="3544" w:type="dxa"/>
        </w:tcPr>
        <w:p w:rsidR="009A0565" w:rsidRDefault="003649B4">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 xml:space="preserve">                     Sujeto Obligado:</w:t>
          </w:r>
        </w:p>
      </w:tc>
      <w:tc>
        <w:tcPr>
          <w:tcW w:w="3402" w:type="dxa"/>
        </w:tcPr>
        <w:p w:rsidR="009A0565" w:rsidRDefault="003649B4">
          <w:pPr>
            <w:tabs>
              <w:tab w:val="right" w:pos="8838"/>
            </w:tabs>
            <w:jc w:val="both"/>
            <w:rPr>
              <w:rFonts w:ascii="Palatino Linotype" w:eastAsia="Palatino Linotype" w:hAnsi="Palatino Linotype" w:cs="Palatino Linotype"/>
            </w:rPr>
          </w:pPr>
          <w:r>
            <w:rPr>
              <w:rFonts w:ascii="Palatino Linotype" w:eastAsia="Palatino Linotype" w:hAnsi="Palatino Linotype" w:cs="Palatino Linotype"/>
              <w:color w:val="000000"/>
            </w:rPr>
            <w:t>Instituto de la Función Registral del Estado de México</w:t>
          </w:r>
        </w:p>
      </w:tc>
    </w:tr>
    <w:tr w:rsidR="009A0565">
      <w:trPr>
        <w:trHeight w:val="248"/>
      </w:trPr>
      <w:tc>
        <w:tcPr>
          <w:tcW w:w="3544" w:type="dxa"/>
        </w:tcPr>
        <w:p w:rsidR="009A0565" w:rsidRDefault="003649B4">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 xml:space="preserve">                     Comisionado Ponente:</w:t>
          </w:r>
        </w:p>
      </w:tc>
      <w:tc>
        <w:tcPr>
          <w:tcW w:w="3402" w:type="dxa"/>
        </w:tcPr>
        <w:p w:rsidR="009A0565" w:rsidRDefault="003649B4">
          <w:pPr>
            <w:tabs>
              <w:tab w:val="right" w:pos="8838"/>
            </w:tabs>
            <w:rPr>
              <w:rFonts w:ascii="Palatino Linotype" w:eastAsia="Palatino Linotype" w:hAnsi="Palatino Linotype" w:cs="Palatino Linotype"/>
            </w:rPr>
          </w:pPr>
          <w:r>
            <w:rPr>
              <w:rFonts w:ascii="Palatino Linotype" w:eastAsia="Palatino Linotype" w:hAnsi="Palatino Linotype" w:cs="Palatino Linotype"/>
            </w:rPr>
            <w:t>Luis Gustavo Parra Noriega</w:t>
          </w:r>
        </w:p>
      </w:tc>
    </w:tr>
  </w:tbl>
  <w:p w:rsidR="009A0565" w:rsidRDefault="007A33D3">
    <w:pPr>
      <w:ind w:right="-31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aguaINFOEM" style="position:absolute;margin-left:-92.55pt;margin-top:-120.95pt;width:663.5pt;height:12in;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07624"/>
    <w:multiLevelType w:val="multilevel"/>
    <w:tmpl w:val="439891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0F1FA0"/>
    <w:multiLevelType w:val="multilevel"/>
    <w:tmpl w:val="FECEB8FA"/>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D9654D"/>
    <w:multiLevelType w:val="multilevel"/>
    <w:tmpl w:val="EBBAC2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EA12D2"/>
    <w:multiLevelType w:val="multilevel"/>
    <w:tmpl w:val="5B08C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8EF3698"/>
    <w:multiLevelType w:val="multilevel"/>
    <w:tmpl w:val="3DBA58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39A0F9A"/>
    <w:multiLevelType w:val="multilevel"/>
    <w:tmpl w:val="54523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D8B352F"/>
    <w:multiLevelType w:val="multilevel"/>
    <w:tmpl w:val="363CEADC"/>
    <w:lvl w:ilvl="0">
      <w:start w:val="4"/>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46A5897"/>
    <w:multiLevelType w:val="multilevel"/>
    <w:tmpl w:val="BCDE3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D422EFD"/>
    <w:multiLevelType w:val="multilevel"/>
    <w:tmpl w:val="C20A70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6"/>
  </w:num>
  <w:num w:numId="2">
    <w:abstractNumId w:val="5"/>
  </w:num>
  <w:num w:numId="3">
    <w:abstractNumId w:val="0"/>
  </w:num>
  <w:num w:numId="4">
    <w:abstractNumId w:val="4"/>
  </w:num>
  <w:num w:numId="5">
    <w:abstractNumId w:val="2"/>
  </w:num>
  <w:num w:numId="6">
    <w:abstractNumId w:val="1"/>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65"/>
    <w:rsid w:val="000F6D43"/>
    <w:rsid w:val="0018770C"/>
    <w:rsid w:val="003649B4"/>
    <w:rsid w:val="004619D0"/>
    <w:rsid w:val="00477F47"/>
    <w:rsid w:val="0065266D"/>
    <w:rsid w:val="007A33D3"/>
    <w:rsid w:val="009A05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4115C80-B425-4CD2-8711-2B948A8D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CAB"/>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FE2CAB"/>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FE2CAB"/>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FE2CAB"/>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FE2CAB"/>
    <w:rPr>
      <w:rFonts w:ascii="Times New Roman" w:eastAsia="Times New Roman" w:hAnsi="Times New Roman" w:cs="Times New Roman"/>
      <w:kern w:val="0"/>
      <w:sz w:val="20"/>
      <w:szCs w:val="20"/>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CAB"/>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FE2CAB"/>
    <w:rPr>
      <w:rFonts w:ascii="Century Gothic" w:eastAsia="Times New Roman" w:hAnsi="Century Gothic" w:cs="Times New Roman"/>
      <w:kern w:val="0"/>
      <w:szCs w:val="24"/>
      <w:lang w:eastAsia="es-ES"/>
    </w:rPr>
  </w:style>
  <w:style w:type="table" w:styleId="Tablaconcuadrcula">
    <w:name w:val="Table Grid"/>
    <w:basedOn w:val="Tablanormal"/>
    <w:uiPriority w:val="39"/>
    <w:rsid w:val="00FE2CA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E2CAB"/>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FE2CAB"/>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b.mx/segob/renapo/acciones-y-programas/clave-unica-de-registro-de-poblacion-curp-14222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ltas.curp.gob.mx/CurpSP/html/informacionecurpPS.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foem2.ipomex.org.mx/ipome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QnruJcIyk3i4vmK+m7RzzP7E9A==">CgMxLjAyCGguZ2pkZ3hzMgloLjMwajB6bGw4AHIhMVlXWW5kWlBnNHg1LVJzTFpNTXhUTWJHS0hvMnEwNUZl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9480</Words>
  <Characters>52145</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INFOEM500</cp:lastModifiedBy>
  <cp:revision>4</cp:revision>
  <cp:lastPrinted>2025-01-17T15:51:00Z</cp:lastPrinted>
  <dcterms:created xsi:type="dcterms:W3CDTF">2025-01-17T15:50:00Z</dcterms:created>
  <dcterms:modified xsi:type="dcterms:W3CDTF">2025-01-23T18:05:00Z</dcterms:modified>
</cp:coreProperties>
</file>