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F5858" w14:textId="77777777" w:rsidR="004C465F" w:rsidRDefault="004C465F" w:rsidP="001C25A1">
      <w:pPr>
        <w:tabs>
          <w:tab w:val="left" w:pos="8931"/>
        </w:tabs>
        <w:spacing w:after="0" w:line="360" w:lineRule="auto"/>
      </w:pPr>
    </w:p>
    <w:sdt>
      <w:sdtPr>
        <w:rPr>
          <w:rFonts w:ascii="Palatino Linotype" w:eastAsia="Palatino Linotype" w:hAnsi="Palatino Linotype" w:cs="Palatino Linotype"/>
          <w:color w:val="000000" w:themeColor="text1"/>
          <w:sz w:val="22"/>
          <w:szCs w:val="22"/>
          <w:lang w:val="es-ES"/>
        </w:rPr>
        <w:id w:val="789625836"/>
        <w:docPartObj>
          <w:docPartGallery w:val="Table of Contents"/>
          <w:docPartUnique/>
        </w:docPartObj>
      </w:sdtPr>
      <w:sdtEndPr>
        <w:rPr>
          <w:b/>
          <w:bCs/>
        </w:rPr>
      </w:sdtEndPr>
      <w:sdtContent>
        <w:p w14:paraId="7F182055" w14:textId="7E5964E7" w:rsidR="00C4052B" w:rsidRPr="00F87D54" w:rsidRDefault="00C4052B" w:rsidP="001C25A1">
          <w:pPr>
            <w:pStyle w:val="TtuloTDC"/>
            <w:spacing w:before="0" w:line="360" w:lineRule="auto"/>
            <w:jc w:val="center"/>
            <w:rPr>
              <w:rFonts w:ascii="Palatino Linotype" w:hAnsi="Palatino Linotype"/>
              <w:color w:val="auto"/>
              <w:sz w:val="22"/>
              <w:szCs w:val="22"/>
            </w:rPr>
          </w:pPr>
          <w:r w:rsidRPr="00F87D54">
            <w:rPr>
              <w:rFonts w:ascii="Palatino Linotype" w:hAnsi="Palatino Linotype"/>
              <w:color w:val="auto"/>
              <w:sz w:val="22"/>
              <w:szCs w:val="22"/>
              <w:lang w:val="es-ES"/>
            </w:rPr>
            <w:t xml:space="preserve">RESOLUCIÓN DEL RECURSO DE REVISIÓN </w:t>
          </w:r>
          <w:r w:rsidR="00C74438" w:rsidRPr="00F87D54">
            <w:rPr>
              <w:rFonts w:ascii="Palatino Linotype" w:hAnsi="Palatino Linotype"/>
              <w:color w:val="auto"/>
              <w:sz w:val="22"/>
              <w:szCs w:val="22"/>
            </w:rPr>
            <w:t>01846</w:t>
          </w:r>
          <w:r w:rsidR="00273073" w:rsidRPr="00F87D54">
            <w:rPr>
              <w:rFonts w:ascii="Palatino Linotype" w:hAnsi="Palatino Linotype"/>
              <w:color w:val="auto"/>
              <w:sz w:val="22"/>
              <w:szCs w:val="22"/>
            </w:rPr>
            <w:t>/INFOEM/IP/RR/2025</w:t>
          </w:r>
        </w:p>
        <w:p w14:paraId="73933EFA" w14:textId="77777777" w:rsidR="00C4052B" w:rsidRPr="00F87D54" w:rsidRDefault="00C4052B" w:rsidP="001C25A1">
          <w:pPr>
            <w:spacing w:after="0" w:line="360" w:lineRule="auto"/>
          </w:pPr>
        </w:p>
        <w:p w14:paraId="19B5145A" w14:textId="77777777" w:rsidR="006D6B66" w:rsidRPr="00F87D54" w:rsidRDefault="00C4052B" w:rsidP="001C25A1">
          <w:pPr>
            <w:pStyle w:val="TDC1"/>
            <w:tabs>
              <w:tab w:val="right" w:leader="dot" w:pos="8921"/>
            </w:tabs>
            <w:spacing w:after="0" w:line="360" w:lineRule="auto"/>
            <w:rPr>
              <w:rFonts w:asciiTheme="minorHAnsi" w:eastAsiaTheme="minorEastAsia" w:hAnsiTheme="minorHAnsi" w:cstheme="minorBidi"/>
              <w:noProof/>
              <w:color w:val="auto"/>
            </w:rPr>
          </w:pPr>
          <w:r w:rsidRPr="00F87D54">
            <w:fldChar w:fldCharType="begin"/>
          </w:r>
          <w:r w:rsidRPr="00F87D54">
            <w:instrText xml:space="preserve"> TOC \o "1-3" \h \z \u </w:instrText>
          </w:r>
          <w:r w:rsidRPr="00F87D54">
            <w:fldChar w:fldCharType="separate"/>
          </w:r>
          <w:hyperlink w:anchor="_Toc193966112" w:history="1">
            <w:r w:rsidR="006D6B66" w:rsidRPr="00F87D54">
              <w:rPr>
                <w:rStyle w:val="Hipervnculo"/>
                <w:noProof/>
              </w:rPr>
              <w:t>A N T E C E D E N T E S</w:t>
            </w:r>
            <w:r w:rsidR="006D6B66" w:rsidRPr="00F87D54">
              <w:rPr>
                <w:noProof/>
                <w:webHidden/>
              </w:rPr>
              <w:tab/>
            </w:r>
            <w:r w:rsidR="006D6B66" w:rsidRPr="00F87D54">
              <w:rPr>
                <w:noProof/>
                <w:webHidden/>
              </w:rPr>
              <w:fldChar w:fldCharType="begin"/>
            </w:r>
            <w:r w:rsidR="006D6B66" w:rsidRPr="00F87D54">
              <w:rPr>
                <w:noProof/>
                <w:webHidden/>
              </w:rPr>
              <w:instrText xml:space="preserve"> PAGEREF _Toc193966112 \h </w:instrText>
            </w:r>
            <w:r w:rsidR="006D6B66" w:rsidRPr="00F87D54">
              <w:rPr>
                <w:noProof/>
                <w:webHidden/>
              </w:rPr>
            </w:r>
            <w:r w:rsidR="006D6B66" w:rsidRPr="00F87D54">
              <w:rPr>
                <w:noProof/>
                <w:webHidden/>
              </w:rPr>
              <w:fldChar w:fldCharType="separate"/>
            </w:r>
            <w:r w:rsidR="00FA4140">
              <w:rPr>
                <w:noProof/>
                <w:webHidden/>
              </w:rPr>
              <w:t>2</w:t>
            </w:r>
            <w:r w:rsidR="006D6B66" w:rsidRPr="00F87D54">
              <w:rPr>
                <w:noProof/>
                <w:webHidden/>
              </w:rPr>
              <w:fldChar w:fldCharType="end"/>
            </w:r>
          </w:hyperlink>
        </w:p>
        <w:p w14:paraId="52DA7226" w14:textId="77777777" w:rsidR="006D6B66" w:rsidRPr="00F87D54" w:rsidRDefault="002B7791" w:rsidP="001C25A1">
          <w:pPr>
            <w:pStyle w:val="TDC2"/>
            <w:tabs>
              <w:tab w:val="right" w:leader="dot" w:pos="8921"/>
            </w:tabs>
            <w:spacing w:after="0" w:line="360" w:lineRule="auto"/>
            <w:rPr>
              <w:rFonts w:asciiTheme="minorHAnsi" w:eastAsiaTheme="minorEastAsia" w:hAnsiTheme="minorHAnsi" w:cstheme="minorBidi"/>
              <w:noProof/>
              <w:color w:val="auto"/>
            </w:rPr>
          </w:pPr>
          <w:hyperlink w:anchor="_Toc193966113" w:history="1">
            <w:r w:rsidR="006D6B66" w:rsidRPr="00F87D54">
              <w:rPr>
                <w:rStyle w:val="Hipervnculo"/>
                <w:noProof/>
                <w:lang w:eastAsia="es-ES"/>
              </w:rPr>
              <w:t>I. Presentación de la solicitud de información</w:t>
            </w:r>
            <w:r w:rsidR="006D6B66" w:rsidRPr="00F87D54">
              <w:rPr>
                <w:noProof/>
                <w:webHidden/>
              </w:rPr>
              <w:tab/>
            </w:r>
            <w:r w:rsidR="006D6B66" w:rsidRPr="00F87D54">
              <w:rPr>
                <w:noProof/>
                <w:webHidden/>
              </w:rPr>
              <w:fldChar w:fldCharType="begin"/>
            </w:r>
            <w:r w:rsidR="006D6B66" w:rsidRPr="00F87D54">
              <w:rPr>
                <w:noProof/>
                <w:webHidden/>
              </w:rPr>
              <w:instrText xml:space="preserve"> PAGEREF _Toc193966113 \h </w:instrText>
            </w:r>
            <w:r w:rsidR="006D6B66" w:rsidRPr="00F87D54">
              <w:rPr>
                <w:noProof/>
                <w:webHidden/>
              </w:rPr>
            </w:r>
            <w:r w:rsidR="006D6B66" w:rsidRPr="00F87D54">
              <w:rPr>
                <w:noProof/>
                <w:webHidden/>
              </w:rPr>
              <w:fldChar w:fldCharType="separate"/>
            </w:r>
            <w:r w:rsidR="00FA4140">
              <w:rPr>
                <w:noProof/>
                <w:webHidden/>
              </w:rPr>
              <w:t>2</w:t>
            </w:r>
            <w:r w:rsidR="006D6B66" w:rsidRPr="00F87D54">
              <w:rPr>
                <w:noProof/>
                <w:webHidden/>
              </w:rPr>
              <w:fldChar w:fldCharType="end"/>
            </w:r>
          </w:hyperlink>
        </w:p>
        <w:p w14:paraId="2159F126" w14:textId="77777777" w:rsidR="006D6B66" w:rsidRPr="00F87D54" w:rsidRDefault="002B7791" w:rsidP="001C25A1">
          <w:pPr>
            <w:pStyle w:val="TDC2"/>
            <w:tabs>
              <w:tab w:val="right" w:leader="dot" w:pos="8921"/>
            </w:tabs>
            <w:spacing w:after="0" w:line="360" w:lineRule="auto"/>
            <w:rPr>
              <w:rFonts w:asciiTheme="minorHAnsi" w:eastAsiaTheme="minorEastAsia" w:hAnsiTheme="minorHAnsi" w:cstheme="minorBidi"/>
              <w:noProof/>
              <w:color w:val="auto"/>
            </w:rPr>
          </w:pPr>
          <w:hyperlink w:anchor="_Toc193966114" w:history="1">
            <w:r w:rsidR="006D6B66" w:rsidRPr="00F87D54">
              <w:rPr>
                <w:rStyle w:val="Hipervnculo"/>
                <w:rFonts w:cs="Tahoma"/>
                <w:noProof/>
              </w:rPr>
              <w:t>II.</w:t>
            </w:r>
            <w:r w:rsidR="006D6B66" w:rsidRPr="00F87D54">
              <w:rPr>
                <w:rStyle w:val="Hipervnculo"/>
                <w:noProof/>
              </w:rPr>
              <w:t xml:space="preserve"> Respuesta del Sujeto Obligado</w:t>
            </w:r>
            <w:r w:rsidR="006D6B66" w:rsidRPr="00F87D54">
              <w:rPr>
                <w:noProof/>
                <w:webHidden/>
              </w:rPr>
              <w:tab/>
            </w:r>
            <w:r w:rsidR="006D6B66" w:rsidRPr="00F87D54">
              <w:rPr>
                <w:noProof/>
                <w:webHidden/>
              </w:rPr>
              <w:fldChar w:fldCharType="begin"/>
            </w:r>
            <w:r w:rsidR="006D6B66" w:rsidRPr="00F87D54">
              <w:rPr>
                <w:noProof/>
                <w:webHidden/>
              </w:rPr>
              <w:instrText xml:space="preserve"> PAGEREF _Toc193966114 \h </w:instrText>
            </w:r>
            <w:r w:rsidR="006D6B66" w:rsidRPr="00F87D54">
              <w:rPr>
                <w:noProof/>
                <w:webHidden/>
              </w:rPr>
            </w:r>
            <w:r w:rsidR="006D6B66" w:rsidRPr="00F87D54">
              <w:rPr>
                <w:noProof/>
                <w:webHidden/>
              </w:rPr>
              <w:fldChar w:fldCharType="separate"/>
            </w:r>
            <w:r w:rsidR="00FA4140">
              <w:rPr>
                <w:noProof/>
                <w:webHidden/>
              </w:rPr>
              <w:t>3</w:t>
            </w:r>
            <w:r w:rsidR="006D6B66" w:rsidRPr="00F87D54">
              <w:rPr>
                <w:noProof/>
                <w:webHidden/>
              </w:rPr>
              <w:fldChar w:fldCharType="end"/>
            </w:r>
          </w:hyperlink>
        </w:p>
        <w:p w14:paraId="12851460" w14:textId="77777777" w:rsidR="006D6B66" w:rsidRPr="00F87D54" w:rsidRDefault="002B7791" w:rsidP="001C25A1">
          <w:pPr>
            <w:pStyle w:val="TDC2"/>
            <w:tabs>
              <w:tab w:val="right" w:leader="dot" w:pos="8921"/>
            </w:tabs>
            <w:spacing w:after="0" w:line="360" w:lineRule="auto"/>
            <w:rPr>
              <w:rFonts w:asciiTheme="minorHAnsi" w:eastAsiaTheme="minorEastAsia" w:hAnsiTheme="minorHAnsi" w:cstheme="minorBidi"/>
              <w:noProof/>
              <w:color w:val="auto"/>
            </w:rPr>
          </w:pPr>
          <w:hyperlink w:anchor="_Toc193966115" w:history="1">
            <w:r w:rsidR="006D6B66" w:rsidRPr="00F87D54">
              <w:rPr>
                <w:rStyle w:val="Hipervnculo"/>
                <w:noProof/>
              </w:rPr>
              <w:t>III. Interposición del Recurso de Revisión</w:t>
            </w:r>
            <w:r w:rsidR="006D6B66" w:rsidRPr="00F87D54">
              <w:rPr>
                <w:noProof/>
                <w:webHidden/>
              </w:rPr>
              <w:tab/>
            </w:r>
            <w:r w:rsidR="006D6B66" w:rsidRPr="00F87D54">
              <w:rPr>
                <w:noProof/>
                <w:webHidden/>
              </w:rPr>
              <w:fldChar w:fldCharType="begin"/>
            </w:r>
            <w:r w:rsidR="006D6B66" w:rsidRPr="00F87D54">
              <w:rPr>
                <w:noProof/>
                <w:webHidden/>
              </w:rPr>
              <w:instrText xml:space="preserve"> PAGEREF _Toc193966115 \h </w:instrText>
            </w:r>
            <w:r w:rsidR="006D6B66" w:rsidRPr="00F87D54">
              <w:rPr>
                <w:noProof/>
                <w:webHidden/>
              </w:rPr>
            </w:r>
            <w:r w:rsidR="006D6B66" w:rsidRPr="00F87D54">
              <w:rPr>
                <w:noProof/>
                <w:webHidden/>
              </w:rPr>
              <w:fldChar w:fldCharType="separate"/>
            </w:r>
            <w:r w:rsidR="00FA4140">
              <w:rPr>
                <w:noProof/>
                <w:webHidden/>
              </w:rPr>
              <w:t>3</w:t>
            </w:r>
            <w:r w:rsidR="006D6B66" w:rsidRPr="00F87D54">
              <w:rPr>
                <w:noProof/>
                <w:webHidden/>
              </w:rPr>
              <w:fldChar w:fldCharType="end"/>
            </w:r>
          </w:hyperlink>
        </w:p>
        <w:p w14:paraId="166B6AFD" w14:textId="77777777" w:rsidR="006D6B66" w:rsidRPr="00F87D54" w:rsidRDefault="002B7791" w:rsidP="001C25A1">
          <w:pPr>
            <w:pStyle w:val="TDC2"/>
            <w:tabs>
              <w:tab w:val="right" w:leader="dot" w:pos="8921"/>
            </w:tabs>
            <w:spacing w:after="0" w:line="360" w:lineRule="auto"/>
            <w:rPr>
              <w:rFonts w:asciiTheme="minorHAnsi" w:eastAsiaTheme="minorEastAsia" w:hAnsiTheme="minorHAnsi" w:cstheme="minorBidi"/>
              <w:noProof/>
              <w:color w:val="auto"/>
            </w:rPr>
          </w:pPr>
          <w:hyperlink w:anchor="_Toc193966116" w:history="1">
            <w:r w:rsidR="006D6B66" w:rsidRPr="00F87D54">
              <w:rPr>
                <w:rStyle w:val="Hipervnculo"/>
                <w:noProof/>
              </w:rPr>
              <w:t>IV. Trámite del Recurso de Revisión ante este Instituto</w:t>
            </w:r>
            <w:r w:rsidR="006D6B66" w:rsidRPr="00F87D54">
              <w:rPr>
                <w:noProof/>
                <w:webHidden/>
              </w:rPr>
              <w:tab/>
            </w:r>
            <w:r w:rsidR="006D6B66" w:rsidRPr="00F87D54">
              <w:rPr>
                <w:noProof/>
                <w:webHidden/>
              </w:rPr>
              <w:fldChar w:fldCharType="begin"/>
            </w:r>
            <w:r w:rsidR="006D6B66" w:rsidRPr="00F87D54">
              <w:rPr>
                <w:noProof/>
                <w:webHidden/>
              </w:rPr>
              <w:instrText xml:space="preserve"> PAGEREF _Toc193966116 \h </w:instrText>
            </w:r>
            <w:r w:rsidR="006D6B66" w:rsidRPr="00F87D54">
              <w:rPr>
                <w:noProof/>
                <w:webHidden/>
              </w:rPr>
            </w:r>
            <w:r w:rsidR="006D6B66" w:rsidRPr="00F87D54">
              <w:rPr>
                <w:noProof/>
                <w:webHidden/>
              </w:rPr>
              <w:fldChar w:fldCharType="separate"/>
            </w:r>
            <w:r w:rsidR="00FA4140">
              <w:rPr>
                <w:noProof/>
                <w:webHidden/>
              </w:rPr>
              <w:t>4</w:t>
            </w:r>
            <w:r w:rsidR="006D6B66" w:rsidRPr="00F87D54">
              <w:rPr>
                <w:noProof/>
                <w:webHidden/>
              </w:rPr>
              <w:fldChar w:fldCharType="end"/>
            </w:r>
          </w:hyperlink>
        </w:p>
        <w:p w14:paraId="31F423A8" w14:textId="77777777" w:rsidR="006D6B66" w:rsidRPr="00F87D54" w:rsidRDefault="002B7791" w:rsidP="001C25A1">
          <w:pPr>
            <w:pStyle w:val="TDC1"/>
            <w:tabs>
              <w:tab w:val="right" w:leader="dot" w:pos="8921"/>
            </w:tabs>
            <w:spacing w:after="0" w:line="360" w:lineRule="auto"/>
            <w:rPr>
              <w:rFonts w:asciiTheme="minorHAnsi" w:eastAsiaTheme="minorEastAsia" w:hAnsiTheme="minorHAnsi" w:cstheme="minorBidi"/>
              <w:noProof/>
              <w:color w:val="auto"/>
            </w:rPr>
          </w:pPr>
          <w:hyperlink w:anchor="_Toc193966117" w:history="1">
            <w:r w:rsidR="006D6B66" w:rsidRPr="00F87D54">
              <w:rPr>
                <w:rStyle w:val="Hipervnculo"/>
                <w:noProof/>
              </w:rPr>
              <w:t>C O N S I D E R A N D O S</w:t>
            </w:r>
            <w:r w:rsidR="006D6B66" w:rsidRPr="00F87D54">
              <w:rPr>
                <w:noProof/>
                <w:webHidden/>
              </w:rPr>
              <w:tab/>
            </w:r>
            <w:r w:rsidR="006D6B66" w:rsidRPr="00F87D54">
              <w:rPr>
                <w:noProof/>
                <w:webHidden/>
              </w:rPr>
              <w:fldChar w:fldCharType="begin"/>
            </w:r>
            <w:r w:rsidR="006D6B66" w:rsidRPr="00F87D54">
              <w:rPr>
                <w:noProof/>
                <w:webHidden/>
              </w:rPr>
              <w:instrText xml:space="preserve"> PAGEREF _Toc193966117 \h </w:instrText>
            </w:r>
            <w:r w:rsidR="006D6B66" w:rsidRPr="00F87D54">
              <w:rPr>
                <w:noProof/>
                <w:webHidden/>
              </w:rPr>
            </w:r>
            <w:r w:rsidR="006D6B66" w:rsidRPr="00F87D54">
              <w:rPr>
                <w:noProof/>
                <w:webHidden/>
              </w:rPr>
              <w:fldChar w:fldCharType="separate"/>
            </w:r>
            <w:r w:rsidR="00FA4140">
              <w:rPr>
                <w:noProof/>
                <w:webHidden/>
              </w:rPr>
              <w:t>7</w:t>
            </w:r>
            <w:r w:rsidR="006D6B66" w:rsidRPr="00F87D54">
              <w:rPr>
                <w:noProof/>
                <w:webHidden/>
              </w:rPr>
              <w:fldChar w:fldCharType="end"/>
            </w:r>
          </w:hyperlink>
        </w:p>
        <w:p w14:paraId="7E08C343" w14:textId="77777777" w:rsidR="006D6B66" w:rsidRPr="00F87D54" w:rsidRDefault="002B7791" w:rsidP="001C25A1">
          <w:pPr>
            <w:pStyle w:val="TDC2"/>
            <w:tabs>
              <w:tab w:val="right" w:leader="dot" w:pos="8921"/>
            </w:tabs>
            <w:spacing w:after="0" w:line="360" w:lineRule="auto"/>
            <w:rPr>
              <w:rFonts w:asciiTheme="minorHAnsi" w:eastAsiaTheme="minorEastAsia" w:hAnsiTheme="minorHAnsi" w:cstheme="minorBidi"/>
              <w:noProof/>
              <w:color w:val="auto"/>
            </w:rPr>
          </w:pPr>
          <w:hyperlink w:anchor="_Toc193966118" w:history="1">
            <w:r w:rsidR="006D6B66" w:rsidRPr="00F87D54">
              <w:rPr>
                <w:rStyle w:val="Hipervnculo"/>
                <w:noProof/>
              </w:rPr>
              <w:t>PRIMERO. Competencia</w:t>
            </w:r>
            <w:r w:rsidR="006D6B66" w:rsidRPr="00F87D54">
              <w:rPr>
                <w:noProof/>
                <w:webHidden/>
              </w:rPr>
              <w:tab/>
            </w:r>
            <w:r w:rsidR="006D6B66" w:rsidRPr="00F87D54">
              <w:rPr>
                <w:noProof/>
                <w:webHidden/>
              </w:rPr>
              <w:fldChar w:fldCharType="begin"/>
            </w:r>
            <w:r w:rsidR="006D6B66" w:rsidRPr="00F87D54">
              <w:rPr>
                <w:noProof/>
                <w:webHidden/>
              </w:rPr>
              <w:instrText xml:space="preserve"> PAGEREF _Toc193966118 \h </w:instrText>
            </w:r>
            <w:r w:rsidR="006D6B66" w:rsidRPr="00F87D54">
              <w:rPr>
                <w:noProof/>
                <w:webHidden/>
              </w:rPr>
            </w:r>
            <w:r w:rsidR="006D6B66" w:rsidRPr="00F87D54">
              <w:rPr>
                <w:noProof/>
                <w:webHidden/>
              </w:rPr>
              <w:fldChar w:fldCharType="separate"/>
            </w:r>
            <w:r w:rsidR="00FA4140">
              <w:rPr>
                <w:noProof/>
                <w:webHidden/>
              </w:rPr>
              <w:t>7</w:t>
            </w:r>
            <w:r w:rsidR="006D6B66" w:rsidRPr="00F87D54">
              <w:rPr>
                <w:noProof/>
                <w:webHidden/>
              </w:rPr>
              <w:fldChar w:fldCharType="end"/>
            </w:r>
          </w:hyperlink>
        </w:p>
        <w:p w14:paraId="3137DC60" w14:textId="77777777" w:rsidR="006D6B66" w:rsidRPr="00F87D54" w:rsidRDefault="002B7791" w:rsidP="001C25A1">
          <w:pPr>
            <w:pStyle w:val="TDC2"/>
            <w:tabs>
              <w:tab w:val="right" w:leader="dot" w:pos="8921"/>
            </w:tabs>
            <w:spacing w:after="0" w:line="360" w:lineRule="auto"/>
            <w:rPr>
              <w:rFonts w:asciiTheme="minorHAnsi" w:eastAsiaTheme="minorEastAsia" w:hAnsiTheme="minorHAnsi" w:cstheme="minorBidi"/>
              <w:noProof/>
              <w:color w:val="auto"/>
            </w:rPr>
          </w:pPr>
          <w:hyperlink w:anchor="_Toc193966119" w:history="1">
            <w:r w:rsidR="006D6B66" w:rsidRPr="00F87D54">
              <w:rPr>
                <w:rStyle w:val="Hipervnculo"/>
                <w:noProof/>
              </w:rPr>
              <w:t xml:space="preserve">SEGUNDO. Causales de improcedencia </w:t>
            </w:r>
            <w:r w:rsidR="006D6B66" w:rsidRPr="00F87D54">
              <w:rPr>
                <w:rStyle w:val="Hipervnculo"/>
                <w:bCs/>
                <w:noProof/>
              </w:rPr>
              <w:t>sobreseimiento</w:t>
            </w:r>
            <w:r w:rsidR="006D6B66" w:rsidRPr="00F87D54">
              <w:rPr>
                <w:noProof/>
                <w:webHidden/>
              </w:rPr>
              <w:tab/>
            </w:r>
            <w:r w:rsidR="006D6B66" w:rsidRPr="00F87D54">
              <w:rPr>
                <w:noProof/>
                <w:webHidden/>
              </w:rPr>
              <w:fldChar w:fldCharType="begin"/>
            </w:r>
            <w:r w:rsidR="006D6B66" w:rsidRPr="00F87D54">
              <w:rPr>
                <w:noProof/>
                <w:webHidden/>
              </w:rPr>
              <w:instrText xml:space="preserve"> PAGEREF _Toc193966119 \h </w:instrText>
            </w:r>
            <w:r w:rsidR="006D6B66" w:rsidRPr="00F87D54">
              <w:rPr>
                <w:noProof/>
                <w:webHidden/>
              </w:rPr>
            </w:r>
            <w:r w:rsidR="006D6B66" w:rsidRPr="00F87D54">
              <w:rPr>
                <w:noProof/>
                <w:webHidden/>
              </w:rPr>
              <w:fldChar w:fldCharType="separate"/>
            </w:r>
            <w:r w:rsidR="00FA4140">
              <w:rPr>
                <w:noProof/>
                <w:webHidden/>
              </w:rPr>
              <w:t>8</w:t>
            </w:r>
            <w:r w:rsidR="006D6B66" w:rsidRPr="00F87D54">
              <w:rPr>
                <w:noProof/>
                <w:webHidden/>
              </w:rPr>
              <w:fldChar w:fldCharType="end"/>
            </w:r>
          </w:hyperlink>
        </w:p>
        <w:p w14:paraId="470E0C3E" w14:textId="77777777" w:rsidR="006D6B66" w:rsidRPr="00F87D54" w:rsidRDefault="002B7791" w:rsidP="001C25A1">
          <w:pPr>
            <w:pStyle w:val="TDC2"/>
            <w:tabs>
              <w:tab w:val="right" w:leader="dot" w:pos="8921"/>
            </w:tabs>
            <w:spacing w:after="0" w:line="360" w:lineRule="auto"/>
            <w:rPr>
              <w:rFonts w:asciiTheme="minorHAnsi" w:eastAsiaTheme="minorEastAsia" w:hAnsiTheme="minorHAnsi" w:cstheme="minorBidi"/>
              <w:noProof/>
              <w:color w:val="auto"/>
            </w:rPr>
          </w:pPr>
          <w:hyperlink w:anchor="_Toc193966120" w:history="1">
            <w:r w:rsidR="006D6B66" w:rsidRPr="00F87D54">
              <w:rPr>
                <w:rStyle w:val="Hipervnculo"/>
                <w:bCs/>
                <w:noProof/>
              </w:rPr>
              <w:t>TERCERO. Determinación de la Controversia</w:t>
            </w:r>
            <w:r w:rsidR="006D6B66" w:rsidRPr="00F87D54">
              <w:rPr>
                <w:noProof/>
                <w:webHidden/>
              </w:rPr>
              <w:tab/>
            </w:r>
            <w:r w:rsidR="006D6B66" w:rsidRPr="00F87D54">
              <w:rPr>
                <w:noProof/>
                <w:webHidden/>
              </w:rPr>
              <w:fldChar w:fldCharType="begin"/>
            </w:r>
            <w:r w:rsidR="006D6B66" w:rsidRPr="00F87D54">
              <w:rPr>
                <w:noProof/>
                <w:webHidden/>
              </w:rPr>
              <w:instrText xml:space="preserve"> PAGEREF _Toc193966120 \h </w:instrText>
            </w:r>
            <w:r w:rsidR="006D6B66" w:rsidRPr="00F87D54">
              <w:rPr>
                <w:noProof/>
                <w:webHidden/>
              </w:rPr>
            </w:r>
            <w:r w:rsidR="006D6B66" w:rsidRPr="00F87D54">
              <w:rPr>
                <w:noProof/>
                <w:webHidden/>
              </w:rPr>
              <w:fldChar w:fldCharType="separate"/>
            </w:r>
            <w:r w:rsidR="00FA4140">
              <w:rPr>
                <w:noProof/>
                <w:webHidden/>
              </w:rPr>
              <w:t>9</w:t>
            </w:r>
            <w:r w:rsidR="006D6B66" w:rsidRPr="00F87D54">
              <w:rPr>
                <w:noProof/>
                <w:webHidden/>
              </w:rPr>
              <w:fldChar w:fldCharType="end"/>
            </w:r>
          </w:hyperlink>
        </w:p>
        <w:p w14:paraId="00F8774D" w14:textId="77777777" w:rsidR="006D6B66" w:rsidRPr="00F87D54" w:rsidRDefault="002B7791" w:rsidP="001C25A1">
          <w:pPr>
            <w:pStyle w:val="TDC2"/>
            <w:tabs>
              <w:tab w:val="right" w:leader="dot" w:pos="8921"/>
            </w:tabs>
            <w:spacing w:after="0" w:line="360" w:lineRule="auto"/>
            <w:rPr>
              <w:rFonts w:asciiTheme="minorHAnsi" w:eastAsiaTheme="minorEastAsia" w:hAnsiTheme="minorHAnsi" w:cstheme="minorBidi"/>
              <w:noProof/>
              <w:color w:val="auto"/>
            </w:rPr>
          </w:pPr>
          <w:hyperlink w:anchor="_Toc193966121" w:history="1">
            <w:r w:rsidR="006D6B66" w:rsidRPr="00F87D54">
              <w:rPr>
                <w:rStyle w:val="Hipervnculo"/>
                <w:bCs/>
                <w:noProof/>
              </w:rPr>
              <w:t>CUARTO. Marco normativo aplicable en materia de transparencia y acceso a la información pública</w:t>
            </w:r>
            <w:r w:rsidR="006D6B66" w:rsidRPr="00F87D54">
              <w:rPr>
                <w:noProof/>
                <w:webHidden/>
              </w:rPr>
              <w:tab/>
            </w:r>
            <w:r w:rsidR="006D6B66" w:rsidRPr="00F87D54">
              <w:rPr>
                <w:noProof/>
                <w:webHidden/>
              </w:rPr>
              <w:fldChar w:fldCharType="begin"/>
            </w:r>
            <w:r w:rsidR="006D6B66" w:rsidRPr="00F87D54">
              <w:rPr>
                <w:noProof/>
                <w:webHidden/>
              </w:rPr>
              <w:instrText xml:space="preserve"> PAGEREF _Toc193966121 \h </w:instrText>
            </w:r>
            <w:r w:rsidR="006D6B66" w:rsidRPr="00F87D54">
              <w:rPr>
                <w:noProof/>
                <w:webHidden/>
              </w:rPr>
            </w:r>
            <w:r w:rsidR="006D6B66" w:rsidRPr="00F87D54">
              <w:rPr>
                <w:noProof/>
                <w:webHidden/>
              </w:rPr>
              <w:fldChar w:fldCharType="separate"/>
            </w:r>
            <w:r w:rsidR="00FA4140">
              <w:rPr>
                <w:noProof/>
                <w:webHidden/>
              </w:rPr>
              <w:t>12</w:t>
            </w:r>
            <w:r w:rsidR="006D6B66" w:rsidRPr="00F87D54">
              <w:rPr>
                <w:noProof/>
                <w:webHidden/>
              </w:rPr>
              <w:fldChar w:fldCharType="end"/>
            </w:r>
          </w:hyperlink>
        </w:p>
        <w:p w14:paraId="5705711B" w14:textId="77777777" w:rsidR="006D6B66" w:rsidRPr="00F87D54" w:rsidRDefault="002B7791" w:rsidP="001C25A1">
          <w:pPr>
            <w:pStyle w:val="TDC2"/>
            <w:tabs>
              <w:tab w:val="right" w:leader="dot" w:pos="8921"/>
            </w:tabs>
            <w:spacing w:after="0" w:line="360" w:lineRule="auto"/>
            <w:rPr>
              <w:rFonts w:asciiTheme="minorHAnsi" w:eastAsiaTheme="minorEastAsia" w:hAnsiTheme="minorHAnsi" w:cstheme="minorBidi"/>
              <w:noProof/>
              <w:color w:val="auto"/>
            </w:rPr>
          </w:pPr>
          <w:hyperlink w:anchor="_Toc193966122" w:history="1">
            <w:r w:rsidR="006D6B66" w:rsidRPr="00F87D54">
              <w:rPr>
                <w:rStyle w:val="Hipervnculo"/>
                <w:rFonts w:eastAsia="Times New Roman"/>
                <w:bCs/>
                <w:noProof/>
                <w:lang w:val="es-ES" w:eastAsia="es-ES"/>
              </w:rPr>
              <w:t>QUINTO. Estudio de Fondo</w:t>
            </w:r>
            <w:r w:rsidR="006D6B66" w:rsidRPr="00F87D54">
              <w:rPr>
                <w:noProof/>
                <w:webHidden/>
              </w:rPr>
              <w:tab/>
            </w:r>
            <w:r w:rsidR="006D6B66" w:rsidRPr="00F87D54">
              <w:rPr>
                <w:noProof/>
                <w:webHidden/>
              </w:rPr>
              <w:fldChar w:fldCharType="begin"/>
            </w:r>
            <w:r w:rsidR="006D6B66" w:rsidRPr="00F87D54">
              <w:rPr>
                <w:noProof/>
                <w:webHidden/>
              </w:rPr>
              <w:instrText xml:space="preserve"> PAGEREF _Toc193966122 \h </w:instrText>
            </w:r>
            <w:r w:rsidR="006D6B66" w:rsidRPr="00F87D54">
              <w:rPr>
                <w:noProof/>
                <w:webHidden/>
              </w:rPr>
            </w:r>
            <w:r w:rsidR="006D6B66" w:rsidRPr="00F87D54">
              <w:rPr>
                <w:noProof/>
                <w:webHidden/>
              </w:rPr>
              <w:fldChar w:fldCharType="separate"/>
            </w:r>
            <w:r w:rsidR="00FA4140">
              <w:rPr>
                <w:noProof/>
                <w:webHidden/>
              </w:rPr>
              <w:t>13</w:t>
            </w:r>
            <w:r w:rsidR="006D6B66" w:rsidRPr="00F87D54">
              <w:rPr>
                <w:noProof/>
                <w:webHidden/>
              </w:rPr>
              <w:fldChar w:fldCharType="end"/>
            </w:r>
          </w:hyperlink>
        </w:p>
        <w:p w14:paraId="06D0F221" w14:textId="77777777" w:rsidR="006D6B66" w:rsidRPr="00F87D54" w:rsidRDefault="002B7791" w:rsidP="001C25A1">
          <w:pPr>
            <w:pStyle w:val="TDC2"/>
            <w:tabs>
              <w:tab w:val="right" w:leader="dot" w:pos="8921"/>
            </w:tabs>
            <w:spacing w:after="0" w:line="360" w:lineRule="auto"/>
            <w:rPr>
              <w:rFonts w:asciiTheme="minorHAnsi" w:eastAsiaTheme="minorEastAsia" w:hAnsiTheme="minorHAnsi" w:cstheme="minorBidi"/>
              <w:noProof/>
              <w:color w:val="auto"/>
            </w:rPr>
          </w:pPr>
          <w:hyperlink w:anchor="_Toc193966123" w:history="1">
            <w:r w:rsidR="006D6B66" w:rsidRPr="00F87D54">
              <w:rPr>
                <w:rStyle w:val="Hipervnculo"/>
                <w:bCs/>
                <w:noProof/>
              </w:rPr>
              <w:t>SEXTO. Decisión</w:t>
            </w:r>
            <w:r w:rsidR="006D6B66" w:rsidRPr="00F87D54">
              <w:rPr>
                <w:noProof/>
                <w:webHidden/>
              </w:rPr>
              <w:tab/>
            </w:r>
            <w:r w:rsidR="006D6B66" w:rsidRPr="00F87D54">
              <w:rPr>
                <w:noProof/>
                <w:webHidden/>
              </w:rPr>
              <w:fldChar w:fldCharType="begin"/>
            </w:r>
            <w:r w:rsidR="006D6B66" w:rsidRPr="00F87D54">
              <w:rPr>
                <w:noProof/>
                <w:webHidden/>
              </w:rPr>
              <w:instrText xml:space="preserve"> PAGEREF _Toc193966123 \h </w:instrText>
            </w:r>
            <w:r w:rsidR="006D6B66" w:rsidRPr="00F87D54">
              <w:rPr>
                <w:noProof/>
                <w:webHidden/>
              </w:rPr>
            </w:r>
            <w:r w:rsidR="006D6B66" w:rsidRPr="00F87D54">
              <w:rPr>
                <w:noProof/>
                <w:webHidden/>
              </w:rPr>
              <w:fldChar w:fldCharType="separate"/>
            </w:r>
            <w:r w:rsidR="00FA4140">
              <w:rPr>
                <w:noProof/>
                <w:webHidden/>
              </w:rPr>
              <w:t>27</w:t>
            </w:r>
            <w:r w:rsidR="006D6B66" w:rsidRPr="00F87D54">
              <w:rPr>
                <w:noProof/>
                <w:webHidden/>
              </w:rPr>
              <w:fldChar w:fldCharType="end"/>
            </w:r>
          </w:hyperlink>
        </w:p>
        <w:p w14:paraId="18E58859" w14:textId="77777777" w:rsidR="006D6B66" w:rsidRPr="00F87D54" w:rsidRDefault="002B7791" w:rsidP="001C25A1">
          <w:pPr>
            <w:pStyle w:val="TDC1"/>
            <w:tabs>
              <w:tab w:val="right" w:leader="dot" w:pos="8921"/>
            </w:tabs>
            <w:spacing w:after="0" w:line="360" w:lineRule="auto"/>
            <w:rPr>
              <w:rFonts w:asciiTheme="minorHAnsi" w:eastAsiaTheme="minorEastAsia" w:hAnsiTheme="minorHAnsi" w:cstheme="minorBidi"/>
              <w:noProof/>
              <w:color w:val="auto"/>
            </w:rPr>
          </w:pPr>
          <w:hyperlink w:anchor="_Toc193966124" w:history="1">
            <w:r w:rsidR="006D6B66" w:rsidRPr="00F87D54">
              <w:rPr>
                <w:rStyle w:val="Hipervnculo"/>
                <w:bCs/>
                <w:noProof/>
              </w:rPr>
              <w:t>R E S U E L V E</w:t>
            </w:r>
            <w:r w:rsidR="006D6B66" w:rsidRPr="00F87D54">
              <w:rPr>
                <w:noProof/>
                <w:webHidden/>
              </w:rPr>
              <w:tab/>
            </w:r>
            <w:r w:rsidR="006D6B66" w:rsidRPr="00F87D54">
              <w:rPr>
                <w:noProof/>
                <w:webHidden/>
              </w:rPr>
              <w:fldChar w:fldCharType="begin"/>
            </w:r>
            <w:r w:rsidR="006D6B66" w:rsidRPr="00F87D54">
              <w:rPr>
                <w:noProof/>
                <w:webHidden/>
              </w:rPr>
              <w:instrText xml:space="preserve"> PAGEREF _Toc193966124 \h </w:instrText>
            </w:r>
            <w:r w:rsidR="006D6B66" w:rsidRPr="00F87D54">
              <w:rPr>
                <w:noProof/>
                <w:webHidden/>
              </w:rPr>
            </w:r>
            <w:r w:rsidR="006D6B66" w:rsidRPr="00F87D54">
              <w:rPr>
                <w:noProof/>
                <w:webHidden/>
              </w:rPr>
              <w:fldChar w:fldCharType="separate"/>
            </w:r>
            <w:r w:rsidR="00FA4140">
              <w:rPr>
                <w:noProof/>
                <w:webHidden/>
              </w:rPr>
              <w:t>28</w:t>
            </w:r>
            <w:r w:rsidR="006D6B66" w:rsidRPr="00F87D54">
              <w:rPr>
                <w:noProof/>
                <w:webHidden/>
              </w:rPr>
              <w:fldChar w:fldCharType="end"/>
            </w:r>
          </w:hyperlink>
        </w:p>
        <w:p w14:paraId="5B9D6C11" w14:textId="783144F7" w:rsidR="00C4052B" w:rsidRPr="00F87D54" w:rsidRDefault="00C4052B" w:rsidP="001C25A1">
          <w:pPr>
            <w:spacing w:after="0" w:line="360" w:lineRule="auto"/>
          </w:pPr>
          <w:r w:rsidRPr="00F87D54">
            <w:rPr>
              <w:b/>
              <w:bCs/>
              <w:lang w:val="es-ES"/>
            </w:rPr>
            <w:fldChar w:fldCharType="end"/>
          </w:r>
        </w:p>
      </w:sdtContent>
    </w:sdt>
    <w:p w14:paraId="57481942" w14:textId="77777777" w:rsidR="00C4052B" w:rsidRPr="00F87D54" w:rsidRDefault="00C4052B" w:rsidP="001C25A1">
      <w:pPr>
        <w:tabs>
          <w:tab w:val="left" w:pos="8931"/>
        </w:tabs>
        <w:spacing w:after="0" w:line="360" w:lineRule="auto"/>
      </w:pPr>
    </w:p>
    <w:p w14:paraId="411B5995" w14:textId="77777777" w:rsidR="00C4052B" w:rsidRPr="00F87D54" w:rsidRDefault="00C4052B" w:rsidP="001C25A1">
      <w:pPr>
        <w:tabs>
          <w:tab w:val="left" w:pos="8931"/>
        </w:tabs>
        <w:spacing w:after="0" w:line="360" w:lineRule="auto"/>
      </w:pPr>
    </w:p>
    <w:p w14:paraId="6784625D" w14:textId="77777777" w:rsidR="00C4052B" w:rsidRPr="00F87D54" w:rsidRDefault="00C4052B" w:rsidP="001C25A1">
      <w:pPr>
        <w:tabs>
          <w:tab w:val="left" w:pos="8931"/>
        </w:tabs>
        <w:spacing w:after="0" w:line="360" w:lineRule="auto"/>
      </w:pPr>
    </w:p>
    <w:p w14:paraId="140888DD" w14:textId="77777777" w:rsidR="00C4052B" w:rsidRPr="00F87D54" w:rsidRDefault="00C4052B" w:rsidP="001C25A1">
      <w:pPr>
        <w:tabs>
          <w:tab w:val="left" w:pos="8931"/>
        </w:tabs>
        <w:spacing w:after="0" w:line="360" w:lineRule="auto"/>
      </w:pPr>
    </w:p>
    <w:p w14:paraId="46268890" w14:textId="77777777" w:rsidR="00C4052B" w:rsidRPr="00F87D54" w:rsidRDefault="00C4052B" w:rsidP="001C25A1">
      <w:pPr>
        <w:tabs>
          <w:tab w:val="left" w:pos="8931"/>
        </w:tabs>
        <w:spacing w:after="0" w:line="360" w:lineRule="auto"/>
      </w:pPr>
    </w:p>
    <w:p w14:paraId="147CC638" w14:textId="77777777" w:rsidR="00C4052B" w:rsidRPr="00F87D54" w:rsidRDefault="00C4052B" w:rsidP="001C25A1">
      <w:pPr>
        <w:tabs>
          <w:tab w:val="left" w:pos="8931"/>
        </w:tabs>
        <w:spacing w:after="0" w:line="360" w:lineRule="auto"/>
      </w:pPr>
    </w:p>
    <w:p w14:paraId="01BB5716" w14:textId="77777777" w:rsidR="00C4052B" w:rsidRPr="00F87D54" w:rsidRDefault="00C4052B" w:rsidP="001C25A1">
      <w:pPr>
        <w:tabs>
          <w:tab w:val="left" w:pos="8931"/>
        </w:tabs>
        <w:spacing w:after="0" w:line="360" w:lineRule="auto"/>
      </w:pPr>
    </w:p>
    <w:p w14:paraId="62C1CEC9" w14:textId="77777777" w:rsidR="00C4052B" w:rsidRPr="00F87D54" w:rsidRDefault="00C4052B" w:rsidP="001C25A1">
      <w:pPr>
        <w:tabs>
          <w:tab w:val="left" w:pos="8931"/>
        </w:tabs>
        <w:spacing w:after="0" w:line="360" w:lineRule="auto"/>
      </w:pPr>
    </w:p>
    <w:p w14:paraId="7F38981D" w14:textId="77777777" w:rsidR="00A55E82" w:rsidRPr="00F87D54" w:rsidRDefault="00A55E82" w:rsidP="001C25A1">
      <w:pPr>
        <w:tabs>
          <w:tab w:val="left" w:pos="8931"/>
        </w:tabs>
        <w:spacing w:after="0" w:line="360" w:lineRule="auto"/>
      </w:pPr>
    </w:p>
    <w:p w14:paraId="5C78CFA8" w14:textId="77777777" w:rsidR="00530A93" w:rsidRPr="00F87D54" w:rsidRDefault="00530A93" w:rsidP="001C25A1">
      <w:pPr>
        <w:tabs>
          <w:tab w:val="left" w:pos="8931"/>
        </w:tabs>
        <w:spacing w:after="0" w:line="360" w:lineRule="auto"/>
      </w:pPr>
    </w:p>
    <w:p w14:paraId="3FB7EB5E" w14:textId="2C9C7D72" w:rsidR="005C690F" w:rsidRPr="00F87D54" w:rsidRDefault="007D6307" w:rsidP="001C25A1">
      <w:pPr>
        <w:tabs>
          <w:tab w:val="left" w:pos="8931"/>
        </w:tabs>
        <w:spacing w:after="0" w:line="360" w:lineRule="auto"/>
      </w:pPr>
      <w:r w:rsidRPr="00F87D54">
        <w:t xml:space="preserve">Resolución del Pleno del Instituto de Transparencia, Acceso a la Información Pública y Protección de Datos Personales del Estado de México y Municipios, con domicilio en Metepec, Estado de México, de </w:t>
      </w:r>
      <w:r w:rsidR="00EF0C39" w:rsidRPr="00F87D54">
        <w:t xml:space="preserve">fecha </w:t>
      </w:r>
      <w:r w:rsidR="00C74438" w:rsidRPr="00F87D54">
        <w:t>dos de abril</w:t>
      </w:r>
      <w:r w:rsidR="002F5AA8" w:rsidRPr="00F87D54">
        <w:t xml:space="preserve"> </w:t>
      </w:r>
      <w:r w:rsidR="00945CB8" w:rsidRPr="00F87D54">
        <w:t>de dos mil veintic</w:t>
      </w:r>
      <w:r w:rsidR="00C11A18" w:rsidRPr="00F87D54">
        <w:t>inco</w:t>
      </w:r>
      <w:r w:rsidRPr="00F87D54">
        <w:t xml:space="preserve">. </w:t>
      </w:r>
    </w:p>
    <w:p w14:paraId="0DCD3B82" w14:textId="77777777" w:rsidR="005C690F" w:rsidRPr="00F87D54" w:rsidRDefault="005C690F" w:rsidP="001C25A1">
      <w:pPr>
        <w:spacing w:after="0" w:line="360" w:lineRule="auto"/>
        <w:rPr>
          <w:b/>
        </w:rPr>
      </w:pPr>
    </w:p>
    <w:p w14:paraId="1570B336" w14:textId="3E74939F" w:rsidR="005C690F" w:rsidRPr="00F87D54" w:rsidRDefault="007D6307" w:rsidP="001C25A1">
      <w:pPr>
        <w:spacing w:after="0" w:line="360" w:lineRule="auto"/>
        <w:rPr>
          <w:color w:val="0D0D0D"/>
        </w:rPr>
      </w:pPr>
      <w:r w:rsidRPr="00F87D54">
        <w:rPr>
          <w:b/>
        </w:rPr>
        <w:t xml:space="preserve">VISTO </w:t>
      </w:r>
      <w:r w:rsidRPr="00F87D54">
        <w:t xml:space="preserve">el expediente electrónico conformado con motivo del Recurso de Revisión </w:t>
      </w:r>
      <w:r w:rsidR="00C74438" w:rsidRPr="00A26A71">
        <w:rPr>
          <w:b/>
        </w:rPr>
        <w:t>01846</w:t>
      </w:r>
      <w:r w:rsidR="00273073" w:rsidRPr="00A26A71">
        <w:rPr>
          <w:b/>
        </w:rPr>
        <w:t>/INFOEM/IP/RR/2025</w:t>
      </w:r>
      <w:r w:rsidRPr="00A26A71">
        <w:rPr>
          <w:b/>
        </w:rPr>
        <w:t>,</w:t>
      </w:r>
      <w:r w:rsidRPr="00F87D54">
        <w:t xml:space="preserve"> interpuesto por</w:t>
      </w:r>
      <w:r w:rsidR="007B4717" w:rsidRPr="00F87D54">
        <w:t xml:space="preserve"> </w:t>
      </w:r>
      <w:r w:rsidR="00515EA5" w:rsidRPr="00515EA5">
        <w:rPr>
          <w:highlight w:val="black"/>
        </w:rPr>
        <w:t>XXXXXXXXXXXXXXX</w:t>
      </w:r>
      <w:r w:rsidR="00C74438" w:rsidRPr="00A26A71">
        <w:rPr>
          <w:b/>
        </w:rPr>
        <w:t>,</w:t>
      </w:r>
      <w:r w:rsidR="00C74438" w:rsidRPr="00F87D54">
        <w:t xml:space="preserve"> en lo sucesivo, </w:t>
      </w:r>
      <w:r w:rsidR="00D906B2" w:rsidRPr="00F87D54">
        <w:t>la persona</w:t>
      </w:r>
      <w:r w:rsidRPr="00F87D54">
        <w:t xml:space="preserve"> </w:t>
      </w:r>
      <w:r w:rsidRPr="00F87D54">
        <w:rPr>
          <w:color w:val="0D0D0D"/>
        </w:rPr>
        <w:t>Recurrente o Particular, en contra de la respuesta del Sujeto Obligado</w:t>
      </w:r>
      <w:r w:rsidR="00705FBB" w:rsidRPr="00F87D54">
        <w:rPr>
          <w:color w:val="0D0D0D"/>
        </w:rPr>
        <w:t xml:space="preserve">, </w:t>
      </w:r>
      <w:r w:rsidR="00C74438" w:rsidRPr="00A26A71">
        <w:rPr>
          <w:b/>
          <w:color w:val="0D0D0D"/>
        </w:rPr>
        <w:t>Ayuntamiento de Temoaya</w:t>
      </w:r>
      <w:r w:rsidR="00EF0C39" w:rsidRPr="00F87D54">
        <w:t>,</w:t>
      </w:r>
      <w:r w:rsidRPr="00F87D54">
        <w:rPr>
          <w:color w:val="0D0D0D"/>
        </w:rPr>
        <w:t xml:space="preserve"> a la solicitud de acceso a la información pública</w:t>
      </w:r>
      <w:r w:rsidR="00800641" w:rsidRPr="00F87D54">
        <w:rPr>
          <w:color w:val="0D0D0D"/>
        </w:rPr>
        <w:t xml:space="preserve"> </w:t>
      </w:r>
      <w:r w:rsidR="00C74438" w:rsidRPr="00F87D54">
        <w:t>00017/TEMOAYA/IP/2025</w:t>
      </w:r>
      <w:r w:rsidRPr="00F87D54">
        <w:rPr>
          <w:color w:val="000000"/>
        </w:rPr>
        <w:t xml:space="preserve">, </w:t>
      </w:r>
      <w:r w:rsidRPr="00F87D54">
        <w:rPr>
          <w:color w:val="0D0D0D"/>
        </w:rPr>
        <w:t>se emite la presente Resolución, con base en los Antecedentes y Considerandos que se exponen a continuación:</w:t>
      </w:r>
      <w:r w:rsidR="00515EA5">
        <w:rPr>
          <w:color w:val="0D0D0D"/>
        </w:rPr>
        <w:t xml:space="preserve"> </w:t>
      </w:r>
      <w:bookmarkStart w:id="0" w:name="_GoBack"/>
      <w:bookmarkEnd w:id="0"/>
    </w:p>
    <w:p w14:paraId="1F97CEF3" w14:textId="77777777" w:rsidR="005C690F" w:rsidRPr="00F87D54" w:rsidRDefault="005C690F" w:rsidP="001C25A1">
      <w:pPr>
        <w:spacing w:after="0" w:line="360" w:lineRule="auto"/>
        <w:rPr>
          <w:b/>
        </w:rPr>
      </w:pPr>
    </w:p>
    <w:p w14:paraId="1DEAF9D3" w14:textId="24D35555" w:rsidR="005C690F" w:rsidRPr="00F87D54" w:rsidRDefault="00CD6238" w:rsidP="001C25A1">
      <w:pPr>
        <w:pStyle w:val="Ttulo1"/>
        <w:spacing w:before="0" w:after="0" w:line="360" w:lineRule="auto"/>
        <w:jc w:val="center"/>
        <w:rPr>
          <w:sz w:val="22"/>
          <w:szCs w:val="22"/>
        </w:rPr>
      </w:pPr>
      <w:bookmarkStart w:id="1" w:name="_Toc193966112"/>
      <w:r w:rsidRPr="00F87D54">
        <w:rPr>
          <w:sz w:val="22"/>
          <w:szCs w:val="22"/>
        </w:rPr>
        <w:t>A N T E C E D E N T E S</w:t>
      </w:r>
      <w:bookmarkEnd w:id="1"/>
    </w:p>
    <w:p w14:paraId="5A7EDA4F" w14:textId="77777777" w:rsidR="005C690F" w:rsidRPr="00F87D54" w:rsidRDefault="005C690F" w:rsidP="001C25A1">
      <w:pPr>
        <w:spacing w:after="0" w:line="360" w:lineRule="auto"/>
        <w:jc w:val="center"/>
        <w:rPr>
          <w:b/>
        </w:rPr>
      </w:pPr>
    </w:p>
    <w:p w14:paraId="4930DAB9" w14:textId="77777777" w:rsidR="00E22EA8" w:rsidRPr="00F87D54" w:rsidRDefault="00E22EA8" w:rsidP="001C25A1">
      <w:pPr>
        <w:pStyle w:val="Ttulo2"/>
        <w:spacing w:before="0" w:after="0" w:line="360" w:lineRule="auto"/>
        <w:rPr>
          <w:sz w:val="22"/>
          <w:szCs w:val="22"/>
          <w:lang w:eastAsia="es-ES"/>
        </w:rPr>
      </w:pPr>
      <w:bookmarkStart w:id="2" w:name="_Toc193966113"/>
      <w:r w:rsidRPr="00F87D54">
        <w:rPr>
          <w:sz w:val="22"/>
          <w:szCs w:val="22"/>
          <w:lang w:eastAsia="es-ES"/>
        </w:rPr>
        <w:t>I. Presentación de la solicitud de información</w:t>
      </w:r>
      <w:bookmarkEnd w:id="2"/>
    </w:p>
    <w:p w14:paraId="7243DA53" w14:textId="77777777" w:rsidR="00E22EA8" w:rsidRPr="00F87D54" w:rsidRDefault="00E22EA8" w:rsidP="001C25A1">
      <w:pPr>
        <w:tabs>
          <w:tab w:val="left" w:pos="567"/>
        </w:tabs>
        <w:spacing w:after="0" w:line="360" w:lineRule="auto"/>
        <w:rPr>
          <w:rFonts w:eastAsia="Times New Roman" w:cs="Tahoma"/>
          <w:lang w:eastAsia="es-ES"/>
        </w:rPr>
      </w:pPr>
    </w:p>
    <w:p w14:paraId="301B8A4E" w14:textId="26186698" w:rsidR="00E22EA8" w:rsidRPr="00F87D54" w:rsidRDefault="00D906B2" w:rsidP="001C25A1">
      <w:pPr>
        <w:spacing w:after="0" w:line="360" w:lineRule="auto"/>
        <w:rPr>
          <w:rFonts w:eastAsia="Times New Roman" w:cs="Tahoma"/>
          <w:lang w:eastAsia="es-ES"/>
        </w:rPr>
      </w:pPr>
      <w:r w:rsidRPr="00F87D54">
        <w:rPr>
          <w:rFonts w:eastAsia="Times New Roman" w:cs="Tahoma"/>
          <w:lang w:eastAsia="es-ES"/>
        </w:rPr>
        <w:t>El</w:t>
      </w:r>
      <w:r w:rsidR="00D52EC1" w:rsidRPr="00F87D54">
        <w:rPr>
          <w:rFonts w:eastAsia="Times New Roman" w:cs="Tahoma"/>
          <w:lang w:eastAsia="es-ES"/>
        </w:rPr>
        <w:t xml:space="preserve"> </w:t>
      </w:r>
      <w:r w:rsidR="00C74438" w:rsidRPr="00F87D54">
        <w:rPr>
          <w:rFonts w:eastAsia="Times New Roman" w:cs="Tahoma"/>
          <w:lang w:eastAsia="es-ES"/>
        </w:rPr>
        <w:t>dieciséis de enero de dos mil veinticinco</w:t>
      </w:r>
      <w:r w:rsidR="004C56AA" w:rsidRPr="00F87D54">
        <w:rPr>
          <w:rFonts w:eastAsia="Times New Roman" w:cs="Tahoma"/>
          <w:lang w:eastAsia="es-ES"/>
        </w:rPr>
        <w:t>,</w:t>
      </w:r>
      <w:r w:rsidR="00E22EA8" w:rsidRPr="00F87D54">
        <w:rPr>
          <w:rFonts w:eastAsia="Times New Roman" w:cs="Tahoma"/>
          <w:lang w:eastAsia="es-ES"/>
        </w:rPr>
        <w:t xml:space="preserve"> el Particular presentó una solicitud de acceso a la información pública, a través del Sistema de Acceso a la Información Mexiquense (SAIMEX), ante</w:t>
      </w:r>
      <w:r w:rsidR="000B3C56" w:rsidRPr="00F87D54">
        <w:rPr>
          <w:rFonts w:eastAsia="Times New Roman" w:cs="Tahoma"/>
          <w:lang w:eastAsia="es-ES"/>
        </w:rPr>
        <w:t xml:space="preserve"> </w:t>
      </w:r>
      <w:r w:rsidR="00DC175C" w:rsidRPr="00F87D54">
        <w:rPr>
          <w:rFonts w:eastAsia="Times New Roman" w:cs="Tahoma"/>
          <w:lang w:eastAsia="es-ES"/>
        </w:rPr>
        <w:t>el</w:t>
      </w:r>
      <w:r w:rsidR="00DC175C" w:rsidRPr="00F87D54">
        <w:t xml:space="preserve"> </w:t>
      </w:r>
      <w:r w:rsidR="00C74438" w:rsidRPr="00F87D54">
        <w:t>Ayuntamiento de Temoaya</w:t>
      </w:r>
      <w:r w:rsidR="008E0DC4" w:rsidRPr="00F87D54">
        <w:rPr>
          <w:rFonts w:eastAsia="Calibri" w:cs="Times New Roman"/>
          <w:color w:val="000000"/>
        </w:rPr>
        <w:t>,</w:t>
      </w:r>
      <w:r w:rsidR="00DC175C" w:rsidRPr="00F87D54">
        <w:rPr>
          <w:rFonts w:eastAsia="Calibri" w:cs="Tahoma"/>
        </w:rPr>
        <w:t xml:space="preserve"> </w:t>
      </w:r>
      <w:r w:rsidR="00E22EA8" w:rsidRPr="00F87D54">
        <w:rPr>
          <w:rFonts w:eastAsia="Calibri" w:cs="Tahoma"/>
        </w:rPr>
        <w:t xml:space="preserve">en los siguientes términos: </w:t>
      </w:r>
    </w:p>
    <w:p w14:paraId="2B959865" w14:textId="77777777" w:rsidR="00E22EA8" w:rsidRPr="00F87D54" w:rsidRDefault="00E22EA8" w:rsidP="001C25A1">
      <w:pPr>
        <w:spacing w:after="0" w:line="360" w:lineRule="auto"/>
        <w:rPr>
          <w:rFonts w:eastAsia="Calibri" w:cs="Tahoma"/>
        </w:rPr>
      </w:pPr>
    </w:p>
    <w:p w14:paraId="25042E2A" w14:textId="31A82A0C" w:rsidR="00E22EA8" w:rsidRPr="00F87D54" w:rsidRDefault="00125F26" w:rsidP="001C25A1">
      <w:pPr>
        <w:tabs>
          <w:tab w:val="left" w:pos="4667"/>
        </w:tabs>
        <w:spacing w:after="0" w:line="360" w:lineRule="auto"/>
        <w:ind w:left="567" w:right="567"/>
        <w:rPr>
          <w:rFonts w:eastAsia="Times New Roman" w:cs="Tahoma"/>
          <w:b/>
          <w:i/>
          <w:iCs/>
          <w:sz w:val="20"/>
          <w:szCs w:val="20"/>
          <w:lang w:eastAsia="es-ES"/>
        </w:rPr>
      </w:pPr>
      <w:r w:rsidRPr="00F87D54">
        <w:rPr>
          <w:rFonts w:eastAsia="Times New Roman" w:cs="Tahoma"/>
          <w:b/>
          <w:i/>
          <w:iCs/>
          <w:sz w:val="20"/>
          <w:szCs w:val="20"/>
          <w:lang w:eastAsia="es-ES"/>
        </w:rPr>
        <w:t>“</w:t>
      </w:r>
      <w:r w:rsidR="00E22EA8" w:rsidRPr="00F87D54">
        <w:rPr>
          <w:rFonts w:eastAsia="Times New Roman" w:cs="Tahoma"/>
          <w:b/>
          <w:i/>
          <w:iCs/>
          <w:sz w:val="20"/>
          <w:szCs w:val="20"/>
          <w:lang w:eastAsia="es-ES"/>
        </w:rPr>
        <w:t>DESCRIPCIÓN CLARA Y PRECISA DE LA INFORMACIÓN SOLICITADA</w:t>
      </w:r>
    </w:p>
    <w:p w14:paraId="2C6BC213" w14:textId="26E627EA" w:rsidR="00E22EA8" w:rsidRPr="00F87D54" w:rsidRDefault="00C74438" w:rsidP="001C25A1">
      <w:pPr>
        <w:tabs>
          <w:tab w:val="left" w:pos="4667"/>
        </w:tabs>
        <w:spacing w:after="0" w:line="360" w:lineRule="auto"/>
        <w:ind w:left="567" w:right="567"/>
        <w:rPr>
          <w:rFonts w:eastAsia="Times New Roman" w:cs="Tahoma"/>
          <w:bCs/>
          <w:i/>
          <w:iCs/>
          <w:sz w:val="20"/>
          <w:szCs w:val="20"/>
          <w:lang w:eastAsia="es-ES"/>
        </w:rPr>
      </w:pPr>
      <w:r w:rsidRPr="00F87D54">
        <w:rPr>
          <w:i/>
          <w:color w:val="000000"/>
          <w:sz w:val="20"/>
          <w:szCs w:val="20"/>
        </w:rPr>
        <w:t>solicito el listado y nombramientos de todos los medios mandos y superiores, jefes de área, departamentos, jefaturas, encargados y coordinadores de la administración 2025-2027, al igual que sus CV, documentos comprobatorios de su experiencia laboral, FUMP de alta.</w:t>
      </w:r>
      <w:r w:rsidR="00E22EA8" w:rsidRPr="00F87D54">
        <w:rPr>
          <w:i/>
          <w:iCs/>
          <w:sz w:val="20"/>
          <w:szCs w:val="20"/>
        </w:rPr>
        <w:t>”</w:t>
      </w:r>
      <w:r w:rsidR="004C56AA" w:rsidRPr="00F87D54">
        <w:rPr>
          <w:i/>
          <w:iCs/>
          <w:sz w:val="20"/>
          <w:szCs w:val="20"/>
        </w:rPr>
        <w:t xml:space="preserve"> (Sic.)</w:t>
      </w:r>
    </w:p>
    <w:p w14:paraId="2FEBBAAF" w14:textId="77777777" w:rsidR="006D619F" w:rsidRPr="00F87D54" w:rsidRDefault="006D619F" w:rsidP="001C25A1">
      <w:pPr>
        <w:tabs>
          <w:tab w:val="left" w:pos="4667"/>
        </w:tabs>
        <w:spacing w:after="0" w:line="360" w:lineRule="auto"/>
        <w:ind w:left="567" w:right="567"/>
        <w:rPr>
          <w:rFonts w:eastAsia="Times New Roman" w:cs="Tahoma"/>
          <w:b/>
          <w:bCs/>
          <w:i/>
          <w:iCs/>
          <w:sz w:val="20"/>
          <w:lang w:eastAsia="es-ES"/>
        </w:rPr>
      </w:pPr>
    </w:p>
    <w:p w14:paraId="6C0DE105" w14:textId="3FEE2196" w:rsidR="00E22EA8" w:rsidRPr="00F87D54" w:rsidRDefault="00125F26" w:rsidP="001C25A1">
      <w:pPr>
        <w:tabs>
          <w:tab w:val="left" w:pos="4667"/>
        </w:tabs>
        <w:spacing w:after="0" w:line="360" w:lineRule="auto"/>
        <w:ind w:left="567" w:right="567"/>
        <w:rPr>
          <w:rFonts w:eastAsia="Times New Roman" w:cs="Tahoma"/>
          <w:b/>
          <w:bCs/>
          <w:i/>
          <w:iCs/>
          <w:sz w:val="20"/>
          <w:lang w:eastAsia="es-ES"/>
        </w:rPr>
      </w:pPr>
      <w:r w:rsidRPr="00F87D54">
        <w:rPr>
          <w:rFonts w:eastAsia="Times New Roman" w:cs="Tahoma"/>
          <w:b/>
          <w:bCs/>
          <w:i/>
          <w:iCs/>
          <w:sz w:val="20"/>
          <w:lang w:eastAsia="es-ES"/>
        </w:rPr>
        <w:t>“</w:t>
      </w:r>
      <w:r w:rsidR="00E22EA8" w:rsidRPr="00F87D54">
        <w:rPr>
          <w:rFonts w:eastAsia="Times New Roman" w:cs="Tahoma"/>
          <w:b/>
          <w:bCs/>
          <w:i/>
          <w:iCs/>
          <w:sz w:val="20"/>
          <w:lang w:eastAsia="es-ES"/>
        </w:rPr>
        <w:t>MODALIDAD DE ENTREGA</w:t>
      </w:r>
    </w:p>
    <w:p w14:paraId="0ECE13DD" w14:textId="4A758259" w:rsidR="002F5AA8" w:rsidRPr="00F87D54" w:rsidRDefault="00BB6693" w:rsidP="001C25A1">
      <w:pPr>
        <w:spacing w:after="0" w:line="360" w:lineRule="auto"/>
        <w:ind w:left="567" w:right="567"/>
        <w:rPr>
          <w:rFonts w:eastAsia="Times New Roman" w:cs="Arial"/>
          <w:bCs/>
          <w:i/>
          <w:iCs/>
          <w:sz w:val="20"/>
          <w:lang w:eastAsia="es-ES"/>
        </w:rPr>
      </w:pPr>
      <w:r w:rsidRPr="00F87D54">
        <w:rPr>
          <w:rFonts w:eastAsia="Times New Roman" w:cs="Arial"/>
          <w:bCs/>
          <w:i/>
          <w:iCs/>
          <w:sz w:val="20"/>
          <w:lang w:eastAsia="es-ES"/>
        </w:rPr>
        <w:t>A través del SAIMEX</w:t>
      </w:r>
      <w:r w:rsidR="00E22EA8" w:rsidRPr="00F87D54">
        <w:rPr>
          <w:rFonts w:eastAsia="Times New Roman" w:cs="Arial"/>
          <w:bCs/>
          <w:i/>
          <w:iCs/>
          <w:sz w:val="20"/>
          <w:lang w:eastAsia="es-ES"/>
        </w:rPr>
        <w:t>”</w:t>
      </w:r>
    </w:p>
    <w:p w14:paraId="281CAF4B" w14:textId="77777777" w:rsidR="006D7FDA" w:rsidRPr="00F87D54" w:rsidRDefault="006D7FDA" w:rsidP="001C25A1">
      <w:pPr>
        <w:spacing w:after="0" w:line="360" w:lineRule="auto"/>
        <w:ind w:left="567" w:right="567"/>
        <w:rPr>
          <w:rFonts w:eastAsia="Times New Roman" w:cs="Arial"/>
          <w:bCs/>
          <w:i/>
          <w:iCs/>
          <w:sz w:val="20"/>
          <w:lang w:eastAsia="es-ES"/>
        </w:rPr>
      </w:pPr>
    </w:p>
    <w:p w14:paraId="0A604AAC" w14:textId="208AD018" w:rsidR="00E22EA8" w:rsidRPr="00F87D54" w:rsidRDefault="000B3C56" w:rsidP="001C25A1">
      <w:pPr>
        <w:pStyle w:val="Ttulo2"/>
        <w:spacing w:before="0" w:after="0" w:line="360" w:lineRule="auto"/>
        <w:rPr>
          <w:sz w:val="22"/>
          <w:szCs w:val="22"/>
        </w:rPr>
      </w:pPr>
      <w:bookmarkStart w:id="3" w:name="_Toc193966114"/>
      <w:r w:rsidRPr="00F87D54">
        <w:rPr>
          <w:rFonts w:cs="Tahoma"/>
          <w:sz w:val="22"/>
          <w:szCs w:val="22"/>
        </w:rPr>
        <w:t>I</w:t>
      </w:r>
      <w:r w:rsidR="00E22EA8" w:rsidRPr="00F87D54">
        <w:rPr>
          <w:rFonts w:cs="Tahoma"/>
          <w:sz w:val="22"/>
          <w:szCs w:val="22"/>
        </w:rPr>
        <w:t>I.</w:t>
      </w:r>
      <w:r w:rsidR="00E22EA8" w:rsidRPr="00F87D54">
        <w:rPr>
          <w:sz w:val="22"/>
          <w:szCs w:val="22"/>
        </w:rPr>
        <w:t xml:space="preserve"> Respuesta del Sujeto Obligado</w:t>
      </w:r>
      <w:bookmarkEnd w:id="3"/>
    </w:p>
    <w:p w14:paraId="10CE94A9" w14:textId="77777777" w:rsidR="00C06004" w:rsidRPr="00F87D54" w:rsidRDefault="00C06004" w:rsidP="001C25A1">
      <w:pPr>
        <w:autoSpaceDE w:val="0"/>
        <w:autoSpaceDN w:val="0"/>
        <w:adjustRightInd w:val="0"/>
        <w:spacing w:after="0" w:line="360" w:lineRule="auto"/>
        <w:rPr>
          <w:b/>
          <w:bCs/>
        </w:rPr>
      </w:pPr>
    </w:p>
    <w:p w14:paraId="6541BF06" w14:textId="0AF82313" w:rsidR="004D1D8F" w:rsidRPr="00F87D54" w:rsidRDefault="00011477" w:rsidP="001C25A1">
      <w:pPr>
        <w:spacing w:after="0" w:line="360" w:lineRule="auto"/>
      </w:pPr>
      <w:r w:rsidRPr="00F87D54">
        <w:t xml:space="preserve">El </w:t>
      </w:r>
      <w:r w:rsidR="00C74438" w:rsidRPr="00F87D54">
        <w:t>siete de febrero</w:t>
      </w:r>
      <w:r w:rsidR="00273073" w:rsidRPr="00F87D54">
        <w:t xml:space="preserve"> </w:t>
      </w:r>
      <w:r w:rsidR="00CD4DE8" w:rsidRPr="00F87D54">
        <w:t>de dos mil veinticinco</w:t>
      </w:r>
      <w:r w:rsidR="00E22EA8" w:rsidRPr="00F87D54">
        <w:t xml:space="preserve">, el Sujeto Obligado notificó, a través del Sistema de Acceso a la Información Mexiquense (SAIMEX), la respuesta a la solicitud de acceso a la información pública, </w:t>
      </w:r>
      <w:r w:rsidR="004D1D8F" w:rsidRPr="00F87D54">
        <w:t>a través de los documentos siguientes:</w:t>
      </w:r>
    </w:p>
    <w:p w14:paraId="4975134D" w14:textId="77777777" w:rsidR="004D1D8F" w:rsidRPr="00F87D54" w:rsidRDefault="004D1D8F" w:rsidP="001C25A1">
      <w:pPr>
        <w:spacing w:after="0" w:line="360" w:lineRule="auto"/>
      </w:pPr>
    </w:p>
    <w:p w14:paraId="34520761" w14:textId="5B5F1AD1" w:rsidR="004967C5" w:rsidRPr="00F87D54" w:rsidRDefault="004D1D8F" w:rsidP="001C25A1">
      <w:pPr>
        <w:spacing w:after="0" w:line="360" w:lineRule="auto"/>
      </w:pPr>
      <w:r w:rsidRPr="00F87D54">
        <w:t>i. Oficio</w:t>
      </w:r>
      <w:r w:rsidR="00F941BA" w:rsidRPr="00F87D54">
        <w:t xml:space="preserve"> </w:t>
      </w:r>
      <w:r w:rsidR="00A7487F" w:rsidRPr="00F87D54">
        <w:t>número</w:t>
      </w:r>
      <w:r w:rsidR="00C74438" w:rsidRPr="00F87D54">
        <w:t xml:space="preserve"> DRH/038/2025</w:t>
      </w:r>
      <w:r w:rsidR="00A7487F" w:rsidRPr="00F87D54">
        <w:t xml:space="preserve">, </w:t>
      </w:r>
      <w:r w:rsidR="00C74438" w:rsidRPr="00F87D54">
        <w:t xml:space="preserve">del cinco de febrero de dos mil veinticinco, suscrito por la Jefatura de Recursos de Humanos </w:t>
      </w:r>
      <w:r w:rsidR="004967C5" w:rsidRPr="00F87D54">
        <w:t>y dirigido a la Titular de la Unidad de Transparencia, por medio del cual mencionó lo siguiente:</w:t>
      </w:r>
    </w:p>
    <w:p w14:paraId="6A94AD59" w14:textId="77777777" w:rsidR="004967C5" w:rsidRPr="00F87D54" w:rsidRDefault="004967C5" w:rsidP="001C25A1">
      <w:pPr>
        <w:spacing w:after="0" w:line="360" w:lineRule="auto"/>
      </w:pPr>
    </w:p>
    <w:p w14:paraId="1D499C07" w14:textId="77777777" w:rsidR="004967C5" w:rsidRPr="00F87D54" w:rsidRDefault="004967C5" w:rsidP="001C25A1">
      <w:pPr>
        <w:spacing w:after="0" w:line="360" w:lineRule="auto"/>
        <w:ind w:left="720"/>
        <w:rPr>
          <w:i/>
          <w:sz w:val="20"/>
        </w:rPr>
      </w:pPr>
      <w:r w:rsidRPr="00F87D54">
        <w:rPr>
          <w:i/>
          <w:sz w:val="20"/>
        </w:rPr>
        <w:t xml:space="preserve">“…una vez realizada una búsqueda razonable, se adjunta listado de los mandos medios y superiores, nombramientos y C. V. que obran en los archivos de este Departamento. </w:t>
      </w:r>
    </w:p>
    <w:p w14:paraId="74EA3C63" w14:textId="77777777" w:rsidR="004967C5" w:rsidRPr="00F87D54" w:rsidRDefault="004967C5" w:rsidP="001C25A1">
      <w:pPr>
        <w:spacing w:after="0" w:line="360" w:lineRule="auto"/>
        <w:ind w:left="720"/>
        <w:rPr>
          <w:i/>
          <w:sz w:val="20"/>
        </w:rPr>
      </w:pPr>
    </w:p>
    <w:p w14:paraId="31F8DB65" w14:textId="7186B2BA" w:rsidR="004967C5" w:rsidRPr="00F87D54" w:rsidRDefault="004967C5" w:rsidP="001C25A1">
      <w:pPr>
        <w:spacing w:after="0" w:line="360" w:lineRule="auto"/>
        <w:ind w:left="720"/>
        <w:rPr>
          <w:i/>
          <w:sz w:val="20"/>
        </w:rPr>
      </w:pPr>
      <w:r w:rsidRPr="00F87D54">
        <w:rPr>
          <w:i/>
          <w:sz w:val="20"/>
        </w:rPr>
        <w:t>Por lo que hace a los formatos únicos de movimientos de personal, le solicito atentamente al Comité de Transparencia la clasificación de la información como confidencial, por contener datos personales como son: dirección, R. F. C., estado civil y fecha de nacimiento.</w:t>
      </w:r>
    </w:p>
    <w:p w14:paraId="57837D42" w14:textId="6F3F91B5" w:rsidR="004967C5" w:rsidRPr="00F87D54" w:rsidRDefault="004967C5" w:rsidP="001C25A1">
      <w:pPr>
        <w:spacing w:after="0" w:line="360" w:lineRule="auto"/>
        <w:ind w:left="720"/>
        <w:rPr>
          <w:i/>
          <w:sz w:val="20"/>
        </w:rPr>
      </w:pPr>
      <w:r w:rsidRPr="00F87D54">
        <w:rPr>
          <w:i/>
          <w:sz w:val="20"/>
        </w:rPr>
        <w:t>…”</w:t>
      </w:r>
    </w:p>
    <w:p w14:paraId="3FF90937" w14:textId="77777777" w:rsidR="00C74438" w:rsidRPr="00F87D54" w:rsidRDefault="00C74438" w:rsidP="001C25A1">
      <w:pPr>
        <w:spacing w:after="0" w:line="360" w:lineRule="auto"/>
      </w:pPr>
    </w:p>
    <w:p w14:paraId="74C5C6F6" w14:textId="02272BF0" w:rsidR="004967C5" w:rsidRPr="00F87D54" w:rsidRDefault="004967C5" w:rsidP="001C25A1">
      <w:pPr>
        <w:spacing w:after="0" w:line="360" w:lineRule="auto"/>
      </w:pPr>
      <w:r w:rsidRPr="00F87D54">
        <w:t>ii. Listado que contiene los nombres de los mandos medios y superiores.</w:t>
      </w:r>
    </w:p>
    <w:p w14:paraId="33CD40D3" w14:textId="77777777" w:rsidR="004967C5" w:rsidRPr="00F87D54" w:rsidRDefault="004967C5" w:rsidP="001C25A1">
      <w:pPr>
        <w:spacing w:after="0" w:line="360" w:lineRule="auto"/>
      </w:pPr>
    </w:p>
    <w:p w14:paraId="643C9FB1" w14:textId="7B500449" w:rsidR="004967C5" w:rsidRPr="00F87D54" w:rsidRDefault="004967C5" w:rsidP="001C25A1">
      <w:pPr>
        <w:spacing w:after="0" w:line="360" w:lineRule="auto"/>
      </w:pPr>
      <w:r w:rsidRPr="00F87D54">
        <w:t xml:space="preserve">iii. </w:t>
      </w:r>
      <w:r w:rsidR="002371F5" w:rsidRPr="00F87D54">
        <w:t xml:space="preserve">Nombramientos, Constancias de Mayoría, Formatos </w:t>
      </w:r>
      <w:r w:rsidR="00E567DF" w:rsidRPr="00F87D54">
        <w:t>Únicos de Movimiento y Currículums Vitae, de servidores públicos de mandos medios y superiores.</w:t>
      </w:r>
    </w:p>
    <w:p w14:paraId="799C8C6D" w14:textId="77777777" w:rsidR="00A32124" w:rsidRPr="00F87D54" w:rsidRDefault="00A32124" w:rsidP="001C25A1">
      <w:pPr>
        <w:spacing w:after="0" w:line="360" w:lineRule="auto"/>
      </w:pPr>
    </w:p>
    <w:p w14:paraId="7E7FBB31" w14:textId="3E971A14" w:rsidR="00E22EA8" w:rsidRPr="00F87D54" w:rsidRDefault="00E22EA8" w:rsidP="001C25A1">
      <w:pPr>
        <w:pStyle w:val="Ttulo2"/>
        <w:spacing w:before="0" w:after="0" w:line="360" w:lineRule="auto"/>
        <w:rPr>
          <w:sz w:val="22"/>
          <w:szCs w:val="22"/>
        </w:rPr>
      </w:pPr>
      <w:bookmarkStart w:id="4" w:name="_Toc193966115"/>
      <w:r w:rsidRPr="00F87D54">
        <w:rPr>
          <w:sz w:val="22"/>
          <w:szCs w:val="22"/>
        </w:rPr>
        <w:t>I</w:t>
      </w:r>
      <w:r w:rsidR="004D1D8F" w:rsidRPr="00F87D54">
        <w:rPr>
          <w:sz w:val="22"/>
          <w:szCs w:val="22"/>
        </w:rPr>
        <w:t>II</w:t>
      </w:r>
      <w:r w:rsidRPr="00F87D54">
        <w:rPr>
          <w:sz w:val="22"/>
          <w:szCs w:val="22"/>
        </w:rPr>
        <w:t>. Interposición del Recurso de Revisión</w:t>
      </w:r>
      <w:bookmarkEnd w:id="4"/>
    </w:p>
    <w:p w14:paraId="053D45CF" w14:textId="77777777" w:rsidR="00E22EA8" w:rsidRPr="00F87D54" w:rsidRDefault="00E22EA8" w:rsidP="001C25A1">
      <w:pPr>
        <w:spacing w:after="0" w:line="360" w:lineRule="auto"/>
        <w:rPr>
          <w:b/>
        </w:rPr>
      </w:pPr>
    </w:p>
    <w:p w14:paraId="1AABC52F" w14:textId="760AD660" w:rsidR="00E22EA8" w:rsidRPr="00F87D54" w:rsidRDefault="00083169" w:rsidP="001C25A1">
      <w:pPr>
        <w:spacing w:after="0" w:line="360" w:lineRule="auto"/>
        <w:rPr>
          <w:bCs/>
        </w:rPr>
      </w:pPr>
      <w:r w:rsidRPr="00F87D54">
        <w:rPr>
          <w:bCs/>
        </w:rPr>
        <w:lastRenderedPageBreak/>
        <w:t>El</w:t>
      </w:r>
      <w:r w:rsidR="008E5E71" w:rsidRPr="00F87D54">
        <w:rPr>
          <w:bCs/>
        </w:rPr>
        <w:t xml:space="preserve"> </w:t>
      </w:r>
      <w:r w:rsidR="002A6FE4" w:rsidRPr="00F87D54">
        <w:t>veintiuno</w:t>
      </w:r>
      <w:r w:rsidR="00E12804" w:rsidRPr="00F87D54">
        <w:t xml:space="preserve"> </w:t>
      </w:r>
      <w:r w:rsidR="008E5E71" w:rsidRPr="00F87D54">
        <w:t>de febrero de dos mil veinticinco</w:t>
      </w:r>
      <w:r w:rsidR="00E22EA8" w:rsidRPr="00F87D54">
        <w:rPr>
          <w:bCs/>
        </w:rPr>
        <w:t xml:space="preserve">, se recibió en este Instituto, a través del </w:t>
      </w:r>
      <w:r w:rsidR="00E22EA8" w:rsidRPr="00F87D54">
        <w:rPr>
          <w:bCs/>
          <w:lang w:val="es-ES"/>
        </w:rPr>
        <w:t>Sistema de Acceso a la Información Mexiquense (SAIMEX)</w:t>
      </w:r>
      <w:r w:rsidR="00E22EA8" w:rsidRPr="00F87D54">
        <w:rPr>
          <w:bCs/>
        </w:rPr>
        <w:t xml:space="preserve">, </w:t>
      </w:r>
      <w:r w:rsidR="009019A8" w:rsidRPr="00F87D54">
        <w:rPr>
          <w:bCs/>
        </w:rPr>
        <w:t xml:space="preserve">el </w:t>
      </w:r>
      <w:r w:rsidR="00E22EA8" w:rsidRPr="00F87D54">
        <w:rPr>
          <w:bCs/>
        </w:rPr>
        <w:t>Recurso de Revisión interpuesto por la p</w:t>
      </w:r>
      <w:r w:rsidRPr="00F87D54">
        <w:rPr>
          <w:bCs/>
        </w:rPr>
        <w:t>ersona</w:t>
      </w:r>
      <w:r w:rsidR="00E22EA8" w:rsidRPr="00F87D54">
        <w:rPr>
          <w:bCs/>
        </w:rPr>
        <w:t xml:space="preserve"> Recurrente, en contra de la respuesta por el Sujeto Obligado, a la solicitud de información</w:t>
      </w:r>
      <w:r w:rsidR="00F43789" w:rsidRPr="00F87D54">
        <w:rPr>
          <w:rFonts w:eastAsia="Calibri" w:cs="Times New Roman"/>
        </w:rPr>
        <w:t xml:space="preserve">, </w:t>
      </w:r>
      <w:r w:rsidR="00E22EA8" w:rsidRPr="00F87D54">
        <w:rPr>
          <w:bCs/>
        </w:rPr>
        <w:t>en los siguientes términos:</w:t>
      </w:r>
    </w:p>
    <w:p w14:paraId="18CF1671" w14:textId="77777777" w:rsidR="002A6FE4" w:rsidRPr="00F87D54" w:rsidRDefault="002A6FE4" w:rsidP="001C25A1">
      <w:pPr>
        <w:spacing w:after="0" w:line="360" w:lineRule="auto"/>
        <w:rPr>
          <w:bCs/>
        </w:rPr>
      </w:pPr>
    </w:p>
    <w:p w14:paraId="1B2CCD45" w14:textId="1F34B3A9" w:rsidR="00E22EA8" w:rsidRPr="00F87D54" w:rsidRDefault="00E12804" w:rsidP="001C25A1">
      <w:pPr>
        <w:spacing w:after="0" w:line="360" w:lineRule="auto"/>
        <w:ind w:left="567" w:right="567"/>
        <w:rPr>
          <w:bCs/>
          <w:i/>
          <w:sz w:val="20"/>
          <w:szCs w:val="20"/>
        </w:rPr>
      </w:pPr>
      <w:r w:rsidRPr="00F87D54">
        <w:rPr>
          <w:b/>
          <w:bCs/>
          <w:i/>
          <w:sz w:val="20"/>
          <w:szCs w:val="20"/>
        </w:rPr>
        <w:t>‘’</w:t>
      </w:r>
      <w:r w:rsidR="00E22EA8" w:rsidRPr="00F87D54">
        <w:rPr>
          <w:b/>
          <w:bCs/>
          <w:i/>
          <w:sz w:val="20"/>
          <w:szCs w:val="20"/>
        </w:rPr>
        <w:t>ACTO IMPUGNADO</w:t>
      </w:r>
    </w:p>
    <w:p w14:paraId="20CB87D1" w14:textId="3EF174D0" w:rsidR="00E22EA8" w:rsidRPr="00F87D54" w:rsidRDefault="002A6FE4" w:rsidP="001C25A1">
      <w:pPr>
        <w:spacing w:after="0" w:line="360" w:lineRule="auto"/>
        <w:ind w:left="567" w:right="567"/>
        <w:rPr>
          <w:i/>
          <w:sz w:val="20"/>
          <w:szCs w:val="20"/>
        </w:rPr>
      </w:pPr>
      <w:r w:rsidRPr="00F87D54">
        <w:rPr>
          <w:i/>
          <w:color w:val="000000"/>
          <w:sz w:val="20"/>
          <w:szCs w:val="14"/>
        </w:rPr>
        <w:t>LA ENTREGA DE LA INFORMACIÓN</w:t>
      </w:r>
      <w:r w:rsidR="00E22EA8" w:rsidRPr="00F87D54">
        <w:rPr>
          <w:i/>
          <w:iCs/>
          <w:sz w:val="20"/>
          <w:szCs w:val="20"/>
        </w:rPr>
        <w:t>”</w:t>
      </w:r>
      <w:r w:rsidR="00E22EA8" w:rsidRPr="00F87D54">
        <w:rPr>
          <w:i/>
          <w:sz w:val="20"/>
          <w:szCs w:val="20"/>
        </w:rPr>
        <w:t xml:space="preserve"> </w:t>
      </w:r>
    </w:p>
    <w:p w14:paraId="3B2615CC" w14:textId="77777777" w:rsidR="00E22EA8" w:rsidRPr="00F87D54" w:rsidRDefault="00E22EA8" w:rsidP="001C25A1">
      <w:pPr>
        <w:spacing w:after="0" w:line="360" w:lineRule="auto"/>
        <w:ind w:left="567" w:right="567"/>
        <w:rPr>
          <w:i/>
          <w:sz w:val="20"/>
          <w:szCs w:val="20"/>
        </w:rPr>
      </w:pPr>
    </w:p>
    <w:p w14:paraId="3F1F07C7" w14:textId="49F2AE96" w:rsidR="00E22EA8" w:rsidRPr="00F87D54" w:rsidRDefault="00E12804" w:rsidP="001C25A1">
      <w:pPr>
        <w:spacing w:after="0" w:line="360" w:lineRule="auto"/>
        <w:ind w:left="567" w:right="567"/>
        <w:rPr>
          <w:b/>
          <w:i/>
          <w:sz w:val="20"/>
          <w:szCs w:val="20"/>
        </w:rPr>
      </w:pPr>
      <w:r w:rsidRPr="00F87D54">
        <w:rPr>
          <w:b/>
          <w:i/>
          <w:sz w:val="20"/>
          <w:szCs w:val="20"/>
        </w:rPr>
        <w:t>‘’</w:t>
      </w:r>
      <w:r w:rsidR="00E22EA8" w:rsidRPr="00F87D54">
        <w:rPr>
          <w:b/>
          <w:i/>
          <w:sz w:val="20"/>
          <w:szCs w:val="20"/>
        </w:rPr>
        <w:t>RAZONES O MOTIVOS DE LA INCONFORMIDAD</w:t>
      </w:r>
    </w:p>
    <w:p w14:paraId="31B716B5" w14:textId="12202BBB" w:rsidR="00E12804" w:rsidRPr="00F87D54" w:rsidRDefault="002A6FE4" w:rsidP="001C25A1">
      <w:pPr>
        <w:spacing w:after="0" w:line="360" w:lineRule="auto"/>
        <w:ind w:left="567" w:right="567"/>
        <w:rPr>
          <w:i/>
          <w:sz w:val="20"/>
          <w:szCs w:val="20"/>
        </w:rPr>
      </w:pPr>
      <w:r w:rsidRPr="00F87D54">
        <w:rPr>
          <w:i/>
          <w:color w:val="000000"/>
          <w:sz w:val="20"/>
          <w:szCs w:val="14"/>
        </w:rPr>
        <w:t>NO ESTAN COMPLETOS LOS FORMATOS FUMP ADEMÁS DE TESTAR DATOS SIN ADJUNTAR EL ACTA DEL COMITE Y MENCIONAR Y APRPOBAR CUALES DATOS PERSONALES SON DE CARÁCTER CONFIDENCIAL</w:t>
      </w:r>
      <w:r w:rsidRPr="00F87D54">
        <w:rPr>
          <w:i/>
          <w:iCs/>
          <w:sz w:val="20"/>
          <w:szCs w:val="20"/>
        </w:rPr>
        <w:t>” (Sic.)</w:t>
      </w:r>
    </w:p>
    <w:p w14:paraId="01179437" w14:textId="6B58335B" w:rsidR="00E22EA8" w:rsidRPr="00F87D54" w:rsidRDefault="00E22EA8" w:rsidP="001C25A1">
      <w:pPr>
        <w:spacing w:after="0" w:line="360" w:lineRule="auto"/>
        <w:ind w:left="567" w:right="567" w:firstLine="33"/>
        <w:rPr>
          <w:i/>
          <w:sz w:val="20"/>
          <w:szCs w:val="20"/>
        </w:rPr>
      </w:pPr>
    </w:p>
    <w:p w14:paraId="009DB65C" w14:textId="45D040D7" w:rsidR="00E22EA8" w:rsidRPr="00F87D54" w:rsidRDefault="004D1D8F" w:rsidP="001C25A1">
      <w:pPr>
        <w:pStyle w:val="Ttulo2"/>
        <w:spacing w:before="0" w:after="0" w:line="360" w:lineRule="auto"/>
        <w:rPr>
          <w:sz w:val="22"/>
          <w:szCs w:val="22"/>
        </w:rPr>
      </w:pPr>
      <w:bookmarkStart w:id="5" w:name="_Toc193966116"/>
      <w:r w:rsidRPr="00F87D54">
        <w:rPr>
          <w:sz w:val="22"/>
          <w:szCs w:val="22"/>
        </w:rPr>
        <w:t>I</w:t>
      </w:r>
      <w:r w:rsidR="00E22EA8" w:rsidRPr="00F87D54">
        <w:rPr>
          <w:sz w:val="22"/>
          <w:szCs w:val="22"/>
        </w:rPr>
        <w:t>V. Trámite del Recurso de Revisión ante este Instituto</w:t>
      </w:r>
      <w:bookmarkEnd w:id="5"/>
    </w:p>
    <w:p w14:paraId="5C9B63F8" w14:textId="77777777" w:rsidR="009B2DAB" w:rsidRPr="00F87D54" w:rsidRDefault="009B2DAB" w:rsidP="001C25A1">
      <w:pPr>
        <w:spacing w:after="0" w:line="360" w:lineRule="auto"/>
        <w:rPr>
          <w:b/>
          <w:bCs/>
        </w:rPr>
      </w:pPr>
    </w:p>
    <w:p w14:paraId="173768ED" w14:textId="0391D0AB" w:rsidR="00E22EA8" w:rsidRPr="00F87D54" w:rsidRDefault="00E22EA8" w:rsidP="001C25A1">
      <w:pPr>
        <w:spacing w:after="0" w:line="360" w:lineRule="auto"/>
        <w:rPr>
          <w:bCs/>
        </w:rPr>
      </w:pPr>
      <w:r w:rsidRPr="00F87D54">
        <w:rPr>
          <w:b/>
          <w:bCs/>
        </w:rPr>
        <w:t>a) Turno del Medio de Impugnación.</w:t>
      </w:r>
      <w:r w:rsidR="000A706F" w:rsidRPr="00F87D54">
        <w:rPr>
          <w:bCs/>
        </w:rPr>
        <w:t xml:space="preserve"> El</w:t>
      </w:r>
      <w:r w:rsidR="00E64E18" w:rsidRPr="00F87D54">
        <w:rPr>
          <w:bCs/>
        </w:rPr>
        <w:t xml:space="preserve"> </w:t>
      </w:r>
      <w:r w:rsidR="002574E8" w:rsidRPr="00F87D54">
        <w:t>veintiuno</w:t>
      </w:r>
      <w:r w:rsidR="00E64E18" w:rsidRPr="00F87D54">
        <w:t xml:space="preserve"> de febrero de dos mil veinticinco</w:t>
      </w:r>
      <w:r w:rsidRPr="00F87D54">
        <w:rPr>
          <w:bCs/>
        </w:rPr>
        <w:t xml:space="preserve">, el </w:t>
      </w:r>
      <w:r w:rsidRPr="00F87D54">
        <w:rPr>
          <w:lang w:val="es-ES"/>
        </w:rPr>
        <w:t>Sistema de Acceso a la Información Mexiquense (SAIMEX),</w:t>
      </w:r>
      <w:r w:rsidRPr="00F87D54">
        <w:rPr>
          <w:bCs/>
        </w:rPr>
        <w:t xml:space="preserve"> asignó el número de expediente </w:t>
      </w:r>
      <w:r w:rsidR="002574E8" w:rsidRPr="00F87D54">
        <w:rPr>
          <w:b/>
          <w:bCs/>
        </w:rPr>
        <w:t>01846</w:t>
      </w:r>
      <w:r w:rsidR="00273073" w:rsidRPr="00F87D54">
        <w:rPr>
          <w:b/>
          <w:bCs/>
        </w:rPr>
        <w:t>/INFOEM/IP/RR/2025</w:t>
      </w:r>
      <w:r w:rsidRPr="00F87D54">
        <w:rPr>
          <w:bCs/>
        </w:rPr>
        <w:t xml:space="preserve">, al medio de impugnación que nos ocupa, con base en el sistema aprobado por el Pleno de este </w:t>
      </w:r>
      <w:r w:rsidR="00B65BCA" w:rsidRPr="00F87D54">
        <w:rPr>
          <w:bCs/>
        </w:rPr>
        <w:t>Organismo</w:t>
      </w:r>
      <w:r w:rsidRPr="00F87D54">
        <w:rPr>
          <w:bCs/>
        </w:rPr>
        <w:t xml:space="preserve"> Garante y lo turnó al Comisionado Ponente Luis Gustavo Parra Noriega, para los efectos del artículo 185, fracción I de la Ley de Transparencia y Acceso a la Información Pública del Estado de México y Municipios.</w:t>
      </w:r>
    </w:p>
    <w:p w14:paraId="59FB24F3" w14:textId="77777777" w:rsidR="005914EE" w:rsidRPr="00F87D54" w:rsidRDefault="005914EE" w:rsidP="001C25A1">
      <w:pPr>
        <w:spacing w:after="0" w:line="360" w:lineRule="auto"/>
        <w:rPr>
          <w:b/>
          <w:bCs/>
        </w:rPr>
      </w:pPr>
    </w:p>
    <w:p w14:paraId="61891480" w14:textId="4CB3F2B2" w:rsidR="00E22EA8" w:rsidRPr="00F87D54" w:rsidRDefault="00E22EA8" w:rsidP="001C25A1">
      <w:pPr>
        <w:spacing w:after="0" w:line="360" w:lineRule="auto"/>
      </w:pPr>
      <w:r w:rsidRPr="00F87D54">
        <w:rPr>
          <w:b/>
          <w:bCs/>
        </w:rPr>
        <w:t>b) Admisión del Recurso de Revisión</w:t>
      </w:r>
      <w:r w:rsidRPr="00F87D54">
        <w:rPr>
          <w:b/>
          <w:bCs/>
          <w:lang w:val="es-ES_tradnl"/>
        </w:rPr>
        <w:t xml:space="preserve">. </w:t>
      </w:r>
      <w:r w:rsidRPr="00F87D54">
        <w:rPr>
          <w:bCs/>
          <w:lang w:val="es-ES_tradnl"/>
        </w:rPr>
        <w:t>El</w:t>
      </w:r>
      <w:r w:rsidR="00E64E18" w:rsidRPr="00F87D54">
        <w:rPr>
          <w:bCs/>
          <w:lang w:val="es-ES_tradnl"/>
        </w:rPr>
        <w:t xml:space="preserve"> </w:t>
      </w:r>
      <w:r w:rsidR="002574E8" w:rsidRPr="00F87D54">
        <w:t>veintiséis</w:t>
      </w:r>
      <w:r w:rsidR="00E64E18" w:rsidRPr="00F87D54">
        <w:t xml:space="preserve"> de febrero de dos mil veinticinco</w:t>
      </w:r>
      <w:r w:rsidRPr="00F87D54">
        <w:rPr>
          <w:bCs/>
          <w:lang w:val="es-ES_tradnl"/>
        </w:rPr>
        <w:t xml:space="preserve">, se acordó la admisión del Recurso de Revisión interpuesto por </w:t>
      </w:r>
      <w:r w:rsidR="00261B92" w:rsidRPr="00F87D54">
        <w:rPr>
          <w:bCs/>
          <w:lang w:val="es-ES_tradnl"/>
        </w:rPr>
        <w:t>la persona</w:t>
      </w:r>
      <w:r w:rsidRPr="00F87D54">
        <w:rPr>
          <w:bCs/>
          <w:lang w:val="es-ES_tradnl"/>
        </w:rPr>
        <w:t xml:space="preserve"> Recurrente en contra del Sujeto Obligado, en términos del artículo 185, fracciones I y II de la Ley de Transparencia y Acceso a la Información Pública del Estado de México y Municipios, el cual fue notificado a las partes </w:t>
      </w:r>
      <w:r w:rsidR="00E10780" w:rsidRPr="00F87D54">
        <w:rPr>
          <w:bCs/>
          <w:lang w:val="es-ES_tradnl"/>
        </w:rPr>
        <w:t>el</w:t>
      </w:r>
      <w:r w:rsidR="000A706F" w:rsidRPr="00F87D54">
        <w:rPr>
          <w:bCs/>
          <w:lang w:val="es-ES_tradnl"/>
        </w:rPr>
        <w:t xml:space="preserve"> mismo día</w:t>
      </w:r>
      <w:r w:rsidRPr="00F87D54">
        <w:rPr>
          <w:bCs/>
          <w:lang w:val="es-ES_tradnl"/>
        </w:rPr>
        <w:t xml:space="preserve">, a través del Sistema de Acceso a la Información Mexiquense </w:t>
      </w:r>
      <w:r w:rsidRPr="00F87D54">
        <w:rPr>
          <w:bCs/>
          <w:lang w:val="es-ES_tradnl"/>
        </w:rPr>
        <w:lastRenderedPageBreak/>
        <w:t>(SAIMEX), en el que se les otorgó un plazo de siete días hábiles posteriores a la misma, para que manifestaran lo que a su derecho conviniera y formularan alegatos.</w:t>
      </w:r>
    </w:p>
    <w:p w14:paraId="07DA89A0" w14:textId="77777777" w:rsidR="00E22EA8" w:rsidRPr="00F87D54" w:rsidRDefault="00E22EA8" w:rsidP="001C25A1">
      <w:pPr>
        <w:spacing w:after="0" w:line="360" w:lineRule="auto"/>
        <w:rPr>
          <w:rFonts w:cs="Tahoma"/>
          <w:lang w:val="es-ES_tradnl"/>
        </w:rPr>
      </w:pPr>
    </w:p>
    <w:p w14:paraId="594A1936" w14:textId="201CD7A3" w:rsidR="00B40EA1" w:rsidRPr="00F87D54" w:rsidRDefault="00E10780" w:rsidP="001C25A1">
      <w:pPr>
        <w:spacing w:after="0" w:line="360" w:lineRule="auto"/>
        <w:rPr>
          <w:bCs/>
          <w:lang w:val="es-ES_tradnl"/>
        </w:rPr>
      </w:pPr>
      <w:r w:rsidRPr="00F87D54">
        <w:rPr>
          <w:b/>
        </w:rPr>
        <w:t>c</w:t>
      </w:r>
      <w:bookmarkStart w:id="6" w:name="_Hlk182976945"/>
      <w:r w:rsidR="002574E8" w:rsidRPr="00F87D54">
        <w:rPr>
          <w:b/>
        </w:rPr>
        <w:t>) Informe Justificado</w:t>
      </w:r>
      <w:r w:rsidR="00B40EA1" w:rsidRPr="00F87D54">
        <w:rPr>
          <w:b/>
        </w:rPr>
        <w:t xml:space="preserve">. </w:t>
      </w:r>
      <w:r w:rsidR="00B40EA1" w:rsidRPr="00F87D54">
        <w:rPr>
          <w:bCs/>
          <w:lang w:val="es-ES_tradnl"/>
        </w:rPr>
        <w:t>El veintiséis de marzo de dos mil veinticinco se recibió, a través de Sistema de Acceso a la Información Mexiquense (SAIMEX), el Informe Justificado del Sujeto Obligado, a través de la digitalización de los documentos siguientes:</w:t>
      </w:r>
    </w:p>
    <w:p w14:paraId="65817E6F" w14:textId="77777777" w:rsidR="00B40EA1" w:rsidRPr="00F87D54" w:rsidRDefault="00B40EA1" w:rsidP="001C25A1">
      <w:pPr>
        <w:spacing w:after="0" w:line="360" w:lineRule="auto"/>
        <w:rPr>
          <w:bCs/>
          <w:lang w:val="es-ES_tradnl"/>
        </w:rPr>
      </w:pPr>
    </w:p>
    <w:p w14:paraId="5A4BD1D0" w14:textId="5A204D9C" w:rsidR="00B40EA1" w:rsidRPr="00F87D54" w:rsidRDefault="00B40EA1" w:rsidP="001C25A1">
      <w:pPr>
        <w:spacing w:after="0" w:line="360" w:lineRule="auto"/>
        <w:rPr>
          <w:bCs/>
          <w:lang w:val="es-ES_tradnl"/>
        </w:rPr>
      </w:pPr>
      <w:r w:rsidRPr="00F87D54">
        <w:rPr>
          <w:bCs/>
          <w:lang w:val="es-ES_tradnl"/>
        </w:rPr>
        <w:t>i. Oficio sin número, del veintiséis de marzo de dos mil veinticinco, suscrito por la Titular de la Unidad de Transparencia y dirigido al Comisionado Ponente, por medio del cual mencionó lo siguiente:</w:t>
      </w:r>
    </w:p>
    <w:p w14:paraId="6970DF5C" w14:textId="77777777" w:rsidR="00B40EA1" w:rsidRPr="00F87D54" w:rsidRDefault="00B40EA1" w:rsidP="001C25A1">
      <w:pPr>
        <w:spacing w:after="0" w:line="360" w:lineRule="auto"/>
        <w:rPr>
          <w:bCs/>
          <w:lang w:val="es-ES_tradnl"/>
        </w:rPr>
      </w:pPr>
    </w:p>
    <w:p w14:paraId="16748A01" w14:textId="3B7D1580" w:rsidR="00B40EA1" w:rsidRPr="00F87D54" w:rsidRDefault="00B40EA1" w:rsidP="001C25A1">
      <w:pPr>
        <w:spacing w:after="0" w:line="360" w:lineRule="auto"/>
        <w:ind w:left="567" w:right="567"/>
        <w:rPr>
          <w:bCs/>
          <w:i/>
          <w:iCs/>
          <w:sz w:val="20"/>
          <w:szCs w:val="20"/>
          <w:lang w:val="es-ES_tradnl"/>
        </w:rPr>
      </w:pPr>
      <w:r w:rsidRPr="00F87D54">
        <w:rPr>
          <w:bCs/>
          <w:i/>
          <w:iCs/>
          <w:sz w:val="20"/>
          <w:szCs w:val="20"/>
          <w:lang w:val="es-ES_tradnl"/>
        </w:rPr>
        <w:t>“…</w:t>
      </w:r>
      <w:r w:rsidR="00F260D8" w:rsidRPr="00F87D54">
        <w:rPr>
          <w:bCs/>
          <w:i/>
          <w:iCs/>
          <w:sz w:val="20"/>
          <w:szCs w:val="20"/>
          <w:lang w:val="es-ES_tradnl"/>
        </w:rPr>
        <w:t>De acuerdo a la manifestación referente a: “el acta del comité y mencionar y aprobar cuales datos personales son de carácter confidencial” (Sic), atento a ello, esta Unidad de Transparencia precisa que por errores humanos, no adjunto el acuerdo del Comité de Transparencia mediante el cual se clasifica la información como confidencial por contener datos personales.</w:t>
      </w:r>
    </w:p>
    <w:p w14:paraId="707516D5" w14:textId="77777777" w:rsidR="00F260D8" w:rsidRPr="00F87D54" w:rsidRDefault="00F260D8" w:rsidP="001C25A1">
      <w:pPr>
        <w:spacing w:after="0" w:line="360" w:lineRule="auto"/>
        <w:ind w:left="567" w:right="567"/>
        <w:rPr>
          <w:bCs/>
          <w:i/>
          <w:iCs/>
          <w:sz w:val="20"/>
          <w:szCs w:val="20"/>
          <w:lang w:val="es-ES_tradnl"/>
        </w:rPr>
      </w:pPr>
    </w:p>
    <w:p w14:paraId="4D5A6140" w14:textId="0F418C66" w:rsidR="00F260D8" w:rsidRPr="00F87D54" w:rsidRDefault="00F260D8" w:rsidP="001C25A1">
      <w:pPr>
        <w:spacing w:after="0" w:line="360" w:lineRule="auto"/>
        <w:ind w:left="567" w:right="567"/>
        <w:rPr>
          <w:bCs/>
          <w:i/>
          <w:iCs/>
          <w:sz w:val="20"/>
          <w:szCs w:val="20"/>
          <w:lang w:val="es-ES_tradnl"/>
        </w:rPr>
      </w:pPr>
      <w:r w:rsidRPr="00F87D54">
        <w:rPr>
          <w:bCs/>
          <w:i/>
          <w:iCs/>
          <w:sz w:val="20"/>
          <w:szCs w:val="20"/>
          <w:lang w:val="es-ES_tradnl"/>
        </w:rPr>
        <w:t>Derivado de lo anterior, y con aras de garantizar el derecho humano de acceso a la información pública; se adjunta el Acuerdo número TEMOAYA/CT/1SE/10/2025, mediante el cual</w:t>
      </w:r>
      <w:r w:rsidR="002B5939" w:rsidRPr="00F87D54">
        <w:rPr>
          <w:bCs/>
          <w:i/>
          <w:iCs/>
          <w:sz w:val="20"/>
          <w:szCs w:val="20"/>
          <w:lang w:val="es-ES_tradnl"/>
        </w:rPr>
        <w:t xml:space="preserve">, el Comité de Transparencia del Ayuntamiento de Temoaya, aprueba por unanimidad de votos, que diversos datos personales referentes a: “RFC (Registro Federal de Contribuyentes), Domicilio Particular, CURP (Clave Única de Registro de Población), Numero de Seguridad Social y Clave ISSEMYM, Deducciones contenidas en recibos de pago, Fecha de Nacimiento y Estado Civil”, contenidos en los </w:t>
      </w:r>
      <w:r w:rsidR="000360F3" w:rsidRPr="00F87D54">
        <w:rPr>
          <w:bCs/>
          <w:i/>
          <w:iCs/>
          <w:sz w:val="20"/>
          <w:szCs w:val="20"/>
          <w:lang w:val="es-ES_tradnl"/>
        </w:rPr>
        <w:t>Formatos Únicos de Movimientos de Personal (F.U.M.P.); que serán entregados al particular en su respectiva versión publica y así colmar su derecho humano de acceso a la información pública.</w:t>
      </w:r>
    </w:p>
    <w:p w14:paraId="6C984152" w14:textId="77777777" w:rsidR="000360F3" w:rsidRPr="00F87D54" w:rsidRDefault="000360F3" w:rsidP="001C25A1">
      <w:pPr>
        <w:spacing w:after="0" w:line="360" w:lineRule="auto"/>
        <w:ind w:left="567" w:right="567"/>
        <w:rPr>
          <w:bCs/>
          <w:i/>
          <w:iCs/>
          <w:sz w:val="20"/>
          <w:szCs w:val="20"/>
          <w:lang w:val="es-ES_tradnl"/>
        </w:rPr>
      </w:pPr>
    </w:p>
    <w:p w14:paraId="5BACD374" w14:textId="08614B71" w:rsidR="000360F3" w:rsidRPr="00F87D54" w:rsidRDefault="000360F3" w:rsidP="001C25A1">
      <w:pPr>
        <w:spacing w:after="0" w:line="360" w:lineRule="auto"/>
        <w:ind w:left="567" w:right="567"/>
        <w:rPr>
          <w:bCs/>
          <w:i/>
          <w:iCs/>
          <w:sz w:val="20"/>
          <w:szCs w:val="20"/>
          <w:lang w:val="es-ES_tradnl"/>
        </w:rPr>
      </w:pPr>
      <w:r w:rsidRPr="00F87D54">
        <w:rPr>
          <w:bCs/>
          <w:i/>
          <w:iCs/>
          <w:sz w:val="20"/>
          <w:szCs w:val="20"/>
          <w:lang w:val="es-ES_tradnl"/>
        </w:rPr>
        <w:t>Así mismo, se informa que respecto al apartado de Entidad Federativa, se refiere a un país que es México, mismo que se divide en 32 estados que forman parte de la República Mexicana, por lo que es un dato público y por lo tanto se deja visible.</w:t>
      </w:r>
    </w:p>
    <w:p w14:paraId="36DF3ECC" w14:textId="77777777" w:rsidR="000360F3" w:rsidRPr="00F87D54" w:rsidRDefault="000360F3" w:rsidP="001C25A1">
      <w:pPr>
        <w:spacing w:after="0" w:line="360" w:lineRule="auto"/>
        <w:ind w:left="567" w:right="567"/>
        <w:rPr>
          <w:bCs/>
          <w:i/>
          <w:iCs/>
          <w:sz w:val="20"/>
          <w:szCs w:val="20"/>
          <w:lang w:val="es-ES_tradnl"/>
        </w:rPr>
      </w:pPr>
    </w:p>
    <w:p w14:paraId="11040A30" w14:textId="728806DA" w:rsidR="000360F3" w:rsidRPr="00F87D54" w:rsidRDefault="000360F3" w:rsidP="001C25A1">
      <w:pPr>
        <w:spacing w:after="0" w:line="360" w:lineRule="auto"/>
        <w:ind w:left="567" w:right="567"/>
        <w:rPr>
          <w:bCs/>
          <w:i/>
          <w:iCs/>
          <w:sz w:val="20"/>
          <w:szCs w:val="20"/>
          <w:lang w:val="es-ES_tradnl"/>
        </w:rPr>
      </w:pPr>
      <w:r w:rsidRPr="00F87D54">
        <w:rPr>
          <w:bCs/>
          <w:i/>
          <w:iCs/>
          <w:sz w:val="20"/>
          <w:szCs w:val="20"/>
          <w:lang w:val="es-ES_tradnl"/>
        </w:rPr>
        <w:t>De igual manera, se notifica, que si bien se entregó en la respuesta el Formato Único de Movimiento de Personal de la Titular de la Unidad de Transparencia, observo que se testo un dato público que es la escolaridad del servidor público, mismo que se debe dejar visible por lo tanto se vuelve adjuntar en versión pública correcta.</w:t>
      </w:r>
    </w:p>
    <w:p w14:paraId="28EAAFB2" w14:textId="77777777" w:rsidR="000360F3" w:rsidRPr="00F87D54" w:rsidRDefault="000360F3" w:rsidP="001C25A1">
      <w:pPr>
        <w:spacing w:after="0" w:line="360" w:lineRule="auto"/>
        <w:ind w:left="567" w:right="567"/>
        <w:rPr>
          <w:bCs/>
          <w:i/>
          <w:iCs/>
          <w:sz w:val="20"/>
          <w:szCs w:val="20"/>
          <w:lang w:val="es-ES_tradnl"/>
        </w:rPr>
      </w:pPr>
    </w:p>
    <w:p w14:paraId="46D129D5" w14:textId="2285582F" w:rsidR="000360F3" w:rsidRPr="00F87D54" w:rsidRDefault="000360F3" w:rsidP="001C25A1">
      <w:pPr>
        <w:spacing w:after="0" w:line="360" w:lineRule="auto"/>
        <w:ind w:left="567" w:right="567"/>
        <w:rPr>
          <w:bCs/>
          <w:i/>
          <w:iCs/>
          <w:sz w:val="20"/>
          <w:szCs w:val="20"/>
          <w:lang w:val="es-ES_tradnl"/>
        </w:rPr>
      </w:pPr>
      <w:r w:rsidRPr="00F87D54">
        <w:rPr>
          <w:bCs/>
          <w:i/>
          <w:iCs/>
          <w:sz w:val="20"/>
          <w:szCs w:val="20"/>
          <w:lang w:val="es-ES_tradnl"/>
        </w:rPr>
        <w:t xml:space="preserve">Finalmente, esta Unidad de Transparencia adjunta para pronta referencia el acuerdo número TEMOAYA/CT/1SE/10/2025, emitido en la Primera Sesión Extraordinaria del Comité de Transparencia, de fecha cuatro de febrero del año en curso, mediante la cual se clasifica la información como confidencial de la solicitud de acceso a la información </w:t>
      </w:r>
      <w:proofErr w:type="spellStart"/>
      <w:r w:rsidRPr="00F87D54">
        <w:rPr>
          <w:bCs/>
          <w:i/>
          <w:iCs/>
          <w:sz w:val="20"/>
          <w:szCs w:val="20"/>
          <w:lang w:val="es-ES_tradnl"/>
        </w:rPr>
        <w:t>publica</w:t>
      </w:r>
      <w:proofErr w:type="spellEnd"/>
      <w:r w:rsidRPr="00F87D54">
        <w:rPr>
          <w:bCs/>
          <w:i/>
          <w:iCs/>
          <w:sz w:val="20"/>
          <w:szCs w:val="20"/>
          <w:lang w:val="es-ES_tradnl"/>
        </w:rPr>
        <w:t xml:space="preserve"> número 00017/TEMOAYA/IP/2025; así como el Formato Único de Movimiento de Personal de la Titular de la Unidad de Transparencia.</w:t>
      </w:r>
    </w:p>
    <w:p w14:paraId="1750ECB0" w14:textId="68752E8F" w:rsidR="000360F3" w:rsidRPr="00F87D54" w:rsidRDefault="000360F3" w:rsidP="001C25A1">
      <w:pPr>
        <w:spacing w:after="0" w:line="360" w:lineRule="auto"/>
        <w:ind w:left="567" w:right="567"/>
        <w:rPr>
          <w:bCs/>
          <w:i/>
          <w:iCs/>
          <w:sz w:val="20"/>
          <w:szCs w:val="20"/>
          <w:lang w:val="es-ES_tradnl"/>
        </w:rPr>
      </w:pPr>
      <w:r w:rsidRPr="00F87D54">
        <w:rPr>
          <w:bCs/>
          <w:i/>
          <w:iCs/>
          <w:sz w:val="20"/>
          <w:szCs w:val="20"/>
          <w:lang w:val="es-ES_tradnl"/>
        </w:rPr>
        <w:t>…”</w:t>
      </w:r>
    </w:p>
    <w:p w14:paraId="2127292C" w14:textId="77777777" w:rsidR="000360F3" w:rsidRPr="00F87D54" w:rsidRDefault="000360F3" w:rsidP="001C25A1">
      <w:pPr>
        <w:spacing w:after="0" w:line="360" w:lineRule="auto"/>
        <w:rPr>
          <w:bCs/>
          <w:lang w:val="es-ES_tradnl"/>
        </w:rPr>
      </w:pPr>
    </w:p>
    <w:p w14:paraId="57F8FD02" w14:textId="415EE9CD" w:rsidR="000360F3" w:rsidRPr="00F87D54" w:rsidRDefault="000360F3" w:rsidP="001C25A1">
      <w:pPr>
        <w:spacing w:after="0" w:line="360" w:lineRule="auto"/>
        <w:rPr>
          <w:bCs/>
          <w:lang w:val="es-ES_tradnl"/>
        </w:rPr>
      </w:pPr>
      <w:r w:rsidRPr="00F87D54">
        <w:rPr>
          <w:bCs/>
          <w:lang w:val="es-ES_tradnl"/>
        </w:rPr>
        <w:t>ii. Ac</w:t>
      </w:r>
      <w:r w:rsidR="005924D1" w:rsidRPr="00F87D54">
        <w:rPr>
          <w:bCs/>
          <w:lang w:val="es-ES_tradnl"/>
        </w:rPr>
        <w:t>uerdo número TEMOAYA/CT/1SE/10/2025</w:t>
      </w:r>
      <w:r w:rsidR="005924D1" w:rsidRPr="00F87D54">
        <w:rPr>
          <w:bCs/>
          <w:sz w:val="24"/>
          <w:szCs w:val="24"/>
          <w:lang w:val="es-ES_tradnl"/>
        </w:rPr>
        <w:t xml:space="preserve">, </w:t>
      </w:r>
      <w:r w:rsidRPr="00F87D54">
        <w:rPr>
          <w:bCs/>
          <w:lang w:val="es-ES_tradnl"/>
        </w:rPr>
        <w:t>de la Primera Sesión Extraordinaria del Comité de Transparencia del</w:t>
      </w:r>
      <w:r w:rsidR="005924D1" w:rsidRPr="00F87D54">
        <w:rPr>
          <w:bCs/>
          <w:lang w:val="es-ES_tradnl"/>
        </w:rPr>
        <w:t xml:space="preserve"> cuatro de febrero de dos mil veinticinco, donde se aprueba por unanimidad de votos la clasificación como confidencial de los datos personales contenidos en los Formatos Únicos de Movimientos de Personal.</w:t>
      </w:r>
    </w:p>
    <w:p w14:paraId="2E8D24F3" w14:textId="77777777" w:rsidR="005924D1" w:rsidRPr="00F87D54" w:rsidRDefault="005924D1" w:rsidP="001C25A1">
      <w:pPr>
        <w:spacing w:after="0" w:line="360" w:lineRule="auto"/>
        <w:rPr>
          <w:bCs/>
          <w:lang w:val="es-ES_tradnl"/>
        </w:rPr>
      </w:pPr>
    </w:p>
    <w:p w14:paraId="688B4789" w14:textId="15AD8248" w:rsidR="005924D1" w:rsidRPr="00F87D54" w:rsidRDefault="005924D1" w:rsidP="001C25A1">
      <w:pPr>
        <w:spacing w:after="0" w:line="360" w:lineRule="auto"/>
        <w:rPr>
          <w:bCs/>
          <w:lang w:val="es-ES_tradnl"/>
        </w:rPr>
      </w:pPr>
      <w:r w:rsidRPr="00F87D54">
        <w:rPr>
          <w:bCs/>
          <w:lang w:val="es-ES_tradnl"/>
        </w:rPr>
        <w:t>iii. Formato Único de Movimientos de Personal</w:t>
      </w:r>
      <w:r w:rsidR="00C2090E" w:rsidRPr="00F87D54">
        <w:rPr>
          <w:bCs/>
          <w:lang w:val="es-ES_tradnl"/>
        </w:rPr>
        <w:t xml:space="preserve"> de la Titular de la Unidad de Transparencia</w:t>
      </w:r>
      <w:r w:rsidR="005C3027" w:rsidRPr="00F87D54">
        <w:rPr>
          <w:bCs/>
          <w:lang w:val="es-ES_tradnl"/>
        </w:rPr>
        <w:t>, no se pone a la vista porque el testado es accesible.</w:t>
      </w:r>
    </w:p>
    <w:p w14:paraId="1B06ADAB" w14:textId="77777777" w:rsidR="00B40EA1" w:rsidRPr="00F87D54" w:rsidRDefault="00B40EA1" w:rsidP="001C25A1">
      <w:pPr>
        <w:autoSpaceDE w:val="0"/>
        <w:autoSpaceDN w:val="0"/>
        <w:adjustRightInd w:val="0"/>
        <w:spacing w:after="0" w:line="360" w:lineRule="auto"/>
        <w:rPr>
          <w:rFonts w:cs="Tahoma"/>
          <w:b/>
        </w:rPr>
      </w:pPr>
    </w:p>
    <w:p w14:paraId="6A4140D3" w14:textId="713CB727" w:rsidR="00B40EA1" w:rsidRPr="00F87D54" w:rsidRDefault="00B40EA1" w:rsidP="001C25A1">
      <w:pPr>
        <w:autoSpaceDE w:val="0"/>
        <w:autoSpaceDN w:val="0"/>
        <w:adjustRightInd w:val="0"/>
        <w:spacing w:after="0" w:line="360" w:lineRule="auto"/>
        <w:rPr>
          <w:rFonts w:eastAsia="Times New Roman" w:cs="Tahoma"/>
          <w:b/>
          <w:bCs/>
          <w:color w:val="auto"/>
          <w:lang w:eastAsia="es-ES"/>
        </w:rPr>
      </w:pPr>
      <w:r w:rsidRPr="00F87D54">
        <w:rPr>
          <w:rFonts w:cs="Tahoma"/>
          <w:b/>
        </w:rPr>
        <w:t xml:space="preserve">d) </w:t>
      </w:r>
      <w:r w:rsidRPr="00F87D54">
        <w:rPr>
          <w:rFonts w:eastAsia="Times New Roman" w:cs="Tahoma"/>
          <w:b/>
          <w:bCs/>
          <w:color w:val="auto"/>
          <w:lang w:eastAsia="es-ES"/>
        </w:rPr>
        <w:t xml:space="preserve">Vista del informe Justificado. </w:t>
      </w:r>
      <w:r w:rsidRPr="00F87D54">
        <w:rPr>
          <w:rFonts w:eastAsia="Times New Roman" w:cs="Tahoma"/>
          <w:color w:val="auto"/>
          <w:lang w:eastAsia="es-ES"/>
        </w:rPr>
        <w:t xml:space="preserve">El </w:t>
      </w:r>
      <w:r w:rsidR="005924D1" w:rsidRPr="00F87D54">
        <w:rPr>
          <w:rFonts w:eastAsia="Times New Roman" w:cs="Tahoma"/>
          <w:color w:val="auto"/>
          <w:lang w:eastAsia="es-ES"/>
        </w:rPr>
        <w:t>veintiséis</w:t>
      </w:r>
      <w:r w:rsidRPr="00F87D54">
        <w:rPr>
          <w:rFonts w:eastAsia="Times New Roman" w:cs="Tahoma"/>
          <w:color w:val="auto"/>
          <w:lang w:eastAsia="es-ES"/>
        </w:rPr>
        <w:t xml:space="preserve"> de marzo de dos mil veinticinco, se dictó acuerdo por medio del cual </w:t>
      </w:r>
      <w:r w:rsidRPr="00F87D54">
        <w:rPr>
          <w:rFonts w:eastAsia="Times New Roman" w:cs="Tahoma"/>
          <w:bCs/>
          <w:color w:val="auto"/>
          <w:lang w:eastAsia="es-ES"/>
        </w:rPr>
        <w:t>se puso a la vista del Recurrente el Informe Justificado</w:t>
      </w:r>
      <w:r w:rsidRPr="00F87D54">
        <w:rPr>
          <w:rFonts w:eastAsia="Times New Roman" w:cs="Tahoma"/>
          <w:b/>
          <w:bCs/>
          <w:color w:val="auto"/>
          <w:lang w:eastAsia="es-ES"/>
        </w:rPr>
        <w:t xml:space="preserve"> </w:t>
      </w:r>
      <w:r w:rsidRPr="00F87D54">
        <w:rPr>
          <w:rFonts w:eastAsia="Times New Roman" w:cs="Tahoma"/>
          <w:color w:val="auto"/>
          <w:lang w:eastAsia="es-ES"/>
        </w:rPr>
        <w:t xml:space="preserve">entregado por el Sujeto Obligado, el cual fue notificado a las partes, a través del Sistema de Acceso a la Información Mexiquense (SAIMEX), el mismo día. </w:t>
      </w:r>
      <w:r w:rsidRPr="00F87D54">
        <w:rPr>
          <w:rFonts w:eastAsia="Times New Roman" w:cs="Tahoma"/>
          <w:b/>
          <w:bCs/>
          <w:color w:val="auto"/>
          <w:lang w:eastAsia="es-ES"/>
        </w:rPr>
        <w:t>Cabe señalar que el Particular fue omiso en realizar manifestación alguna.</w:t>
      </w:r>
    </w:p>
    <w:p w14:paraId="5E1816C9" w14:textId="6460D856" w:rsidR="00F933B4" w:rsidRPr="00F87D54" w:rsidRDefault="00F933B4" w:rsidP="001C25A1">
      <w:pPr>
        <w:spacing w:after="0" w:line="360" w:lineRule="auto"/>
        <w:rPr>
          <w:rFonts w:cs="Tahoma"/>
          <w:bCs/>
          <w:i/>
          <w:lang w:val="es-ES"/>
        </w:rPr>
      </w:pPr>
    </w:p>
    <w:bookmarkEnd w:id="6"/>
    <w:p w14:paraId="58013731" w14:textId="77777777" w:rsidR="0058767A" w:rsidRPr="00F87D54" w:rsidRDefault="0058767A" w:rsidP="001C25A1">
      <w:pPr>
        <w:spacing w:after="0" w:line="360" w:lineRule="auto"/>
      </w:pPr>
    </w:p>
    <w:p w14:paraId="73AC64D0" w14:textId="7E3FCD46" w:rsidR="00E22EA8" w:rsidRPr="00F87D54" w:rsidRDefault="00680F20" w:rsidP="001C25A1">
      <w:pPr>
        <w:spacing w:after="0" w:line="360" w:lineRule="auto"/>
        <w:rPr>
          <w:lang w:val="es-ES"/>
        </w:rPr>
      </w:pPr>
      <w:r w:rsidRPr="00F87D54">
        <w:rPr>
          <w:rFonts w:eastAsia="Times New Roman" w:cs="Tahoma"/>
          <w:b/>
          <w:szCs w:val="24"/>
          <w:lang w:eastAsia="es-ES"/>
        </w:rPr>
        <w:t>e</w:t>
      </w:r>
      <w:r w:rsidR="00E22EA8" w:rsidRPr="00F87D54">
        <w:rPr>
          <w:rFonts w:eastAsia="Times New Roman" w:cs="Tahoma"/>
          <w:b/>
          <w:szCs w:val="24"/>
          <w:lang w:eastAsia="es-ES"/>
        </w:rPr>
        <w:t>) Cierre de instrucción.</w:t>
      </w:r>
      <w:r w:rsidR="00E22EA8" w:rsidRPr="00F87D54">
        <w:rPr>
          <w:rFonts w:eastAsia="Times New Roman" w:cs="Tahoma"/>
          <w:szCs w:val="24"/>
          <w:lang w:eastAsia="es-ES"/>
        </w:rPr>
        <w:t xml:space="preserve"> El</w:t>
      </w:r>
      <w:r w:rsidR="00417F3A" w:rsidRPr="00F87D54">
        <w:rPr>
          <w:rFonts w:eastAsia="Times New Roman" w:cs="Tahoma"/>
          <w:szCs w:val="24"/>
          <w:lang w:eastAsia="es-ES"/>
        </w:rPr>
        <w:t xml:space="preserve"> </w:t>
      </w:r>
      <w:r w:rsidR="009028D6" w:rsidRPr="00F87D54">
        <w:rPr>
          <w:rFonts w:eastAsia="Times New Roman" w:cs="Tahoma"/>
          <w:szCs w:val="24"/>
          <w:lang w:eastAsia="es-ES"/>
        </w:rPr>
        <w:t>primero de abril</w:t>
      </w:r>
      <w:r w:rsidR="005C3BAC" w:rsidRPr="00F87D54">
        <w:rPr>
          <w:rFonts w:eastAsia="Times New Roman" w:cs="Tahoma"/>
          <w:szCs w:val="24"/>
          <w:lang w:eastAsia="es-ES"/>
        </w:rPr>
        <w:t xml:space="preserve"> de dos mil veinticinco</w:t>
      </w:r>
      <w:r w:rsidR="00E22EA8" w:rsidRPr="00F87D54">
        <w:rPr>
          <w:rFonts w:eastAsia="Times New Roman" w:cs="Tahoma"/>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E22EA8" w:rsidRPr="00F87D54">
        <w:rPr>
          <w:lang w:val="es-ES"/>
        </w:rPr>
        <w:t>acto que fue notificado a las partes, mediante el Sistema de Acceso a la Información Mexiquense (SAIMEX), el mismo día.</w:t>
      </w:r>
    </w:p>
    <w:p w14:paraId="5CA409A3" w14:textId="77777777" w:rsidR="004C21E6" w:rsidRPr="00F87D54" w:rsidRDefault="004C21E6" w:rsidP="001C25A1">
      <w:pPr>
        <w:spacing w:after="0" w:line="360" w:lineRule="auto"/>
        <w:rPr>
          <w:b/>
          <w:bCs/>
          <w:lang w:val="es-ES"/>
        </w:rPr>
      </w:pPr>
    </w:p>
    <w:p w14:paraId="1C132216" w14:textId="7A4FF25F" w:rsidR="005C690F" w:rsidRPr="00F87D54" w:rsidRDefault="007D6307" w:rsidP="001C25A1">
      <w:pPr>
        <w:spacing w:after="0" w:line="360" w:lineRule="auto"/>
        <w:rPr>
          <w:color w:val="000000"/>
        </w:rPr>
      </w:pPr>
      <w:r w:rsidRPr="00F87D54">
        <w:rPr>
          <w:color w:val="000000"/>
        </w:rPr>
        <w:t xml:space="preserve">En razón de que fue debidamente </w:t>
      </w:r>
      <w:r w:rsidR="00CC1F8C" w:rsidRPr="00F87D54">
        <w:rPr>
          <w:color w:val="000000"/>
        </w:rPr>
        <w:t>sustanciado</w:t>
      </w:r>
      <w:r w:rsidRPr="00F87D54">
        <w:rPr>
          <w:color w:val="000000"/>
        </w:rPr>
        <w:t xml:space="preserve"> e integrado el expediente electrónico y no existe diligencia pendiente de desahogo, se emite la resolución que conforme a Derecho proceda, de acuerdo a los siguientes:</w:t>
      </w:r>
    </w:p>
    <w:p w14:paraId="52633B77" w14:textId="77777777" w:rsidR="00737127" w:rsidRPr="00F87D54" w:rsidRDefault="00737127" w:rsidP="001C25A1">
      <w:pPr>
        <w:spacing w:after="0" w:line="360" w:lineRule="auto"/>
        <w:rPr>
          <w:color w:val="000000"/>
        </w:rPr>
      </w:pPr>
    </w:p>
    <w:p w14:paraId="250F6589" w14:textId="3F880C72" w:rsidR="005C690F" w:rsidRPr="00F87D54" w:rsidRDefault="00CD6238" w:rsidP="001C25A1">
      <w:pPr>
        <w:pStyle w:val="Ttulo1"/>
        <w:spacing w:before="0" w:after="0" w:line="360" w:lineRule="auto"/>
        <w:jc w:val="center"/>
        <w:rPr>
          <w:sz w:val="22"/>
          <w:szCs w:val="22"/>
        </w:rPr>
      </w:pPr>
      <w:bookmarkStart w:id="7" w:name="_Toc193966117"/>
      <w:r w:rsidRPr="00F87D54">
        <w:rPr>
          <w:sz w:val="22"/>
          <w:szCs w:val="22"/>
        </w:rPr>
        <w:t>C O N S I D E R A N D O S</w:t>
      </w:r>
      <w:bookmarkEnd w:id="7"/>
    </w:p>
    <w:p w14:paraId="5AB6ED71" w14:textId="77777777" w:rsidR="005C690F" w:rsidRPr="00F87D54" w:rsidRDefault="005C690F" w:rsidP="001C25A1">
      <w:pPr>
        <w:spacing w:after="0" w:line="360" w:lineRule="auto"/>
        <w:jc w:val="center"/>
        <w:rPr>
          <w:b/>
          <w:color w:val="000000"/>
        </w:rPr>
      </w:pPr>
    </w:p>
    <w:p w14:paraId="36BFFC7E" w14:textId="2F0F17EA" w:rsidR="005C690F" w:rsidRPr="00F87D54" w:rsidRDefault="007D6307" w:rsidP="001C25A1">
      <w:pPr>
        <w:pStyle w:val="Ttulo2"/>
        <w:spacing w:before="0" w:after="0" w:line="360" w:lineRule="auto"/>
        <w:rPr>
          <w:sz w:val="22"/>
          <w:szCs w:val="22"/>
        </w:rPr>
      </w:pPr>
      <w:bookmarkStart w:id="8" w:name="_Toc193966118"/>
      <w:r w:rsidRPr="00F87D54">
        <w:rPr>
          <w:sz w:val="22"/>
          <w:szCs w:val="22"/>
        </w:rPr>
        <w:t xml:space="preserve">PRIMERO. </w:t>
      </w:r>
      <w:r w:rsidR="00CD6238" w:rsidRPr="00F87D54">
        <w:rPr>
          <w:sz w:val="22"/>
          <w:szCs w:val="22"/>
        </w:rPr>
        <w:t>Competencia</w:t>
      </w:r>
      <w:bookmarkEnd w:id="8"/>
    </w:p>
    <w:p w14:paraId="552342DA" w14:textId="77777777" w:rsidR="007A1ACB" w:rsidRPr="00F87D54" w:rsidRDefault="007A1ACB" w:rsidP="001C25A1">
      <w:pPr>
        <w:spacing w:after="0" w:line="360" w:lineRule="auto"/>
        <w:rPr>
          <w:b/>
          <w:color w:val="000000"/>
        </w:rPr>
      </w:pPr>
    </w:p>
    <w:p w14:paraId="4EEE6C31" w14:textId="028F9C53" w:rsidR="006D6B66" w:rsidRPr="00F87D54" w:rsidRDefault="006D6B66" w:rsidP="001C25A1">
      <w:pPr>
        <w:spacing w:after="0" w:line="360" w:lineRule="auto"/>
        <w:contextualSpacing/>
        <w:rPr>
          <w:rFonts w:eastAsia="Times New Roman" w:cs="Tahoma"/>
          <w:bCs/>
          <w:lang w:eastAsia="es-ES"/>
        </w:rPr>
      </w:pPr>
      <w:bookmarkStart w:id="9" w:name="_heading=h.30j0zll" w:colFirst="0" w:colLast="0"/>
      <w:bookmarkStart w:id="10" w:name="_Hlk63334754"/>
      <w:bookmarkEnd w:id="9"/>
      <w:r w:rsidRPr="00F87D54">
        <w:rPr>
          <w:rFonts w:eastAsia="Times New Roman" w:cs="Tahoma"/>
          <w:bCs/>
          <w:lang w:eastAsia="es-ES"/>
        </w:rPr>
        <w:t xml:space="preserve">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w:t>
      </w:r>
      <w:r w:rsidR="00142D82" w:rsidRPr="00F87D54">
        <w:rPr>
          <w:rFonts w:eastAsia="Times New Roman" w:cs="Tahoma"/>
          <w:bCs/>
          <w:lang w:eastAsia="es-ES"/>
        </w:rPr>
        <w:t>trigésimo</w:t>
      </w:r>
      <w:r w:rsidRPr="00F87D54">
        <w:rPr>
          <w:rFonts w:eastAsia="Times New Roman" w:cs="Tahoma"/>
          <w:bCs/>
          <w:lang w:eastAsia="es-ES"/>
        </w:rPr>
        <w:t xml:space="preserve"> noveno, fracciones I, II, III, IV y V de la Constitución Política del Estado Libre y Soberano de México;</w:t>
      </w:r>
    </w:p>
    <w:p w14:paraId="38AC8630" w14:textId="2BB97F79" w:rsidR="006D6B66" w:rsidRPr="00F87D54" w:rsidRDefault="006D6B66" w:rsidP="001C25A1">
      <w:pPr>
        <w:spacing w:after="0" w:line="360" w:lineRule="auto"/>
        <w:contextualSpacing/>
        <w:rPr>
          <w:rFonts w:eastAsia="Times New Roman" w:cs="Tahoma"/>
          <w:bCs/>
          <w:lang w:eastAsia="es-ES"/>
        </w:rPr>
      </w:pPr>
      <w:r w:rsidRPr="00F87D54">
        <w:rPr>
          <w:rFonts w:eastAsia="Times New Roman" w:cs="Tahoma"/>
          <w:bCs/>
          <w:lang w:eastAsia="es-ES"/>
        </w:rPr>
        <w:t>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46691DD5" w14:textId="0456DF64" w:rsidR="005C690F" w:rsidRPr="00F87D54" w:rsidRDefault="007D6307" w:rsidP="001C25A1">
      <w:pPr>
        <w:pStyle w:val="Ttulo2"/>
        <w:spacing w:before="0" w:after="0" w:line="360" w:lineRule="auto"/>
        <w:rPr>
          <w:b w:val="0"/>
          <w:bCs/>
          <w:color w:val="auto"/>
          <w:sz w:val="22"/>
          <w:szCs w:val="22"/>
        </w:rPr>
      </w:pPr>
      <w:bookmarkStart w:id="11" w:name="_Toc193966119"/>
      <w:bookmarkEnd w:id="10"/>
      <w:r w:rsidRPr="00F87D54">
        <w:rPr>
          <w:sz w:val="22"/>
          <w:szCs w:val="22"/>
        </w:rPr>
        <w:lastRenderedPageBreak/>
        <w:t>SEGUNDO. Causales de</w:t>
      </w:r>
      <w:r w:rsidR="00CD6238" w:rsidRPr="00F87D54">
        <w:rPr>
          <w:sz w:val="22"/>
          <w:szCs w:val="22"/>
        </w:rPr>
        <w:t xml:space="preserve"> improcedencia </w:t>
      </w:r>
      <w:r w:rsidR="005C3027" w:rsidRPr="00F87D54">
        <w:rPr>
          <w:bCs/>
          <w:color w:val="auto"/>
          <w:sz w:val="22"/>
          <w:szCs w:val="22"/>
        </w:rPr>
        <w:t>sobreseimiento</w:t>
      </w:r>
      <w:bookmarkEnd w:id="11"/>
    </w:p>
    <w:p w14:paraId="49AA4CDE" w14:textId="77777777" w:rsidR="005C690F" w:rsidRPr="00F87D54" w:rsidRDefault="005C690F" w:rsidP="001C25A1">
      <w:pPr>
        <w:spacing w:after="0" w:line="360" w:lineRule="auto"/>
        <w:rPr>
          <w:color w:val="000000"/>
        </w:rPr>
      </w:pPr>
    </w:p>
    <w:p w14:paraId="2553CE58" w14:textId="77777777" w:rsidR="005C690F" w:rsidRPr="00F87D54" w:rsidRDefault="007D6307" w:rsidP="001C25A1">
      <w:pPr>
        <w:spacing w:after="0" w:line="360" w:lineRule="auto"/>
        <w:rPr>
          <w:color w:val="000000"/>
        </w:rPr>
      </w:pPr>
      <w:r w:rsidRPr="00F87D54">
        <w:rPr>
          <w:color w:val="000000"/>
        </w:rPr>
        <w:t xml:space="preserve">De las constancias que forma parte del Recurso de Revisión que se analiza, se advierte que previo al estudio del fondo de la </w:t>
      </w:r>
      <w:r w:rsidRPr="00F87D54">
        <w:rPr>
          <w:i/>
          <w:color w:val="000000"/>
        </w:rPr>
        <w:t>litis</w:t>
      </w:r>
      <w:r w:rsidRPr="00F87D54">
        <w:rPr>
          <w:color w:val="000000"/>
        </w:rPr>
        <w:t>, es necesario estudiar las causales de improcedencia y sobreseimiento que se adviertan, para determinar lo que en Derecho proceda.</w:t>
      </w:r>
    </w:p>
    <w:p w14:paraId="35A30074" w14:textId="77777777" w:rsidR="009B2DAB" w:rsidRPr="00F87D54" w:rsidRDefault="009B2DAB" w:rsidP="001C25A1">
      <w:pPr>
        <w:spacing w:after="0" w:line="360" w:lineRule="auto"/>
        <w:rPr>
          <w:color w:val="000000"/>
        </w:rPr>
      </w:pPr>
    </w:p>
    <w:p w14:paraId="3066DF0C" w14:textId="77777777" w:rsidR="005C690F" w:rsidRPr="00F87D54" w:rsidRDefault="007D6307" w:rsidP="001C25A1">
      <w:pPr>
        <w:spacing w:after="0" w:line="360" w:lineRule="auto"/>
        <w:rPr>
          <w:b/>
        </w:rPr>
      </w:pPr>
      <w:r w:rsidRPr="00F87D54">
        <w:rPr>
          <w:b/>
        </w:rPr>
        <w:t>Causales de improcedencia</w:t>
      </w:r>
    </w:p>
    <w:p w14:paraId="75878DC6" w14:textId="77777777" w:rsidR="005C690F" w:rsidRPr="00F87D54" w:rsidRDefault="005C690F" w:rsidP="001C25A1">
      <w:pPr>
        <w:spacing w:after="0" w:line="360" w:lineRule="auto"/>
      </w:pPr>
    </w:p>
    <w:p w14:paraId="6C56CA88" w14:textId="77777777" w:rsidR="005C690F" w:rsidRPr="00F87D54" w:rsidRDefault="007D6307" w:rsidP="001C25A1">
      <w:pPr>
        <w:spacing w:after="0" w:line="360" w:lineRule="auto"/>
        <w:rPr>
          <w:color w:val="000000"/>
        </w:rPr>
      </w:pPr>
      <w:r w:rsidRPr="00F87D54">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8A4A8EF" w14:textId="77777777" w:rsidR="005C690F" w:rsidRPr="00F87D54" w:rsidRDefault="005C690F" w:rsidP="001C25A1">
      <w:pPr>
        <w:spacing w:after="0" w:line="360" w:lineRule="auto"/>
        <w:rPr>
          <w:color w:val="000000"/>
        </w:rPr>
      </w:pPr>
    </w:p>
    <w:p w14:paraId="3FF1B775" w14:textId="71BDC8A3" w:rsidR="005C690F" w:rsidRPr="00F87D54" w:rsidRDefault="007D6307" w:rsidP="001C25A1">
      <w:pPr>
        <w:spacing w:after="0" w:line="360" w:lineRule="auto"/>
        <w:rPr>
          <w:color w:val="000000"/>
        </w:rPr>
      </w:pPr>
      <w:r w:rsidRPr="00F87D54">
        <w:rPr>
          <w:color w:val="000000"/>
        </w:rPr>
        <w:t>En el presente caso, </w:t>
      </w:r>
      <w:r w:rsidRPr="00F87D54">
        <w:rPr>
          <w:b/>
          <w:color w:val="000000"/>
        </w:rPr>
        <w:t>no se actualiza ninguna de las causales de improcedencia</w:t>
      </w:r>
      <w:r w:rsidRPr="00F87D54">
        <w:rPr>
          <w:color w:val="000000"/>
        </w:rPr>
        <w:t> establecidas en el ordenamiento jurídico previamente señalado, toda vez que: este Instituto no tiene conocimiento de que se encuentre en trámite algún medio de defensa presentado por la</w:t>
      </w:r>
      <w:r w:rsidR="00261B92" w:rsidRPr="00F87D54">
        <w:rPr>
          <w:color w:val="000000"/>
        </w:rPr>
        <w:t xml:space="preserve"> persona</w:t>
      </w:r>
      <w:r w:rsidRPr="00F87D54">
        <w:rPr>
          <w:color w:val="000000"/>
        </w:rPr>
        <w:t xml:space="preserve"> Recurrente ante otra instancia; no existió prevención alguna; la veracidad de la respuesta no formó parte del agravio; ni se realizó una consulta o ampliación a los alcances del requerimiento informativo.</w:t>
      </w:r>
    </w:p>
    <w:p w14:paraId="22563DDB" w14:textId="77777777" w:rsidR="008D3B3F" w:rsidRPr="00F87D54" w:rsidRDefault="008D3B3F" w:rsidP="001C25A1">
      <w:pPr>
        <w:spacing w:after="0" w:line="360" w:lineRule="auto"/>
        <w:rPr>
          <w:color w:val="000000"/>
        </w:rPr>
      </w:pPr>
    </w:p>
    <w:p w14:paraId="6B3F976F" w14:textId="2D63AA84" w:rsidR="005C3027" w:rsidRPr="00F87D54" w:rsidRDefault="007D6307" w:rsidP="001C25A1">
      <w:pPr>
        <w:spacing w:after="0" w:line="360" w:lineRule="auto"/>
      </w:pPr>
      <w:r w:rsidRPr="00F87D54">
        <w:lastRenderedPageBreak/>
        <w:t>Por lo cual, se actualiza la causal de procedencia del Recurso de Revisión señal</w:t>
      </w:r>
      <w:r w:rsidR="00261DF6" w:rsidRPr="00F87D54">
        <w:t>ada en el artículo 179, fracci</w:t>
      </w:r>
      <w:r w:rsidR="00230B8F" w:rsidRPr="00F87D54">
        <w:t xml:space="preserve">ón </w:t>
      </w:r>
      <w:r w:rsidR="00A9627B" w:rsidRPr="00F87D54">
        <w:t>II y V</w:t>
      </w:r>
      <w:r w:rsidRPr="00F87D54">
        <w:t>, de la Ley en cita, pues la p</w:t>
      </w:r>
      <w:r w:rsidR="00261B92" w:rsidRPr="00F87D54">
        <w:t>ersona</w:t>
      </w:r>
      <w:r w:rsidRPr="00F87D54">
        <w:t xml:space="preserve"> Recurrente se inconformó </w:t>
      </w:r>
      <w:r w:rsidR="00737127" w:rsidRPr="00F87D54">
        <w:t xml:space="preserve">de la </w:t>
      </w:r>
      <w:r w:rsidR="00A9627B" w:rsidRPr="00F87D54">
        <w:t>clasificación de la información y la ent</w:t>
      </w:r>
      <w:bookmarkStart w:id="12" w:name="_Toc189685434"/>
      <w:r w:rsidR="005C3027" w:rsidRPr="00F87D54">
        <w:t>rega de información incompleta.</w:t>
      </w:r>
    </w:p>
    <w:p w14:paraId="01228D46" w14:textId="77777777" w:rsidR="005C3027" w:rsidRPr="00F87D54" w:rsidRDefault="005C3027" w:rsidP="001C25A1">
      <w:pPr>
        <w:spacing w:after="0" w:line="360" w:lineRule="auto"/>
      </w:pPr>
    </w:p>
    <w:p w14:paraId="7B0BCC5D" w14:textId="47B70FB6" w:rsidR="001B1E08" w:rsidRPr="00F87D54" w:rsidRDefault="001B1E08" w:rsidP="001C25A1">
      <w:pPr>
        <w:spacing w:after="0" w:line="360" w:lineRule="auto"/>
        <w:rPr>
          <w:b/>
        </w:rPr>
      </w:pPr>
      <w:r w:rsidRPr="00F87D54">
        <w:rPr>
          <w:b/>
        </w:rPr>
        <w:t xml:space="preserve"> Causales de sobreseimiento</w:t>
      </w:r>
      <w:bookmarkEnd w:id="12"/>
    </w:p>
    <w:p w14:paraId="539343DE" w14:textId="77777777" w:rsidR="005C3027" w:rsidRPr="00F87D54" w:rsidRDefault="005C3027" w:rsidP="001C25A1">
      <w:pPr>
        <w:spacing w:after="0" w:line="360" w:lineRule="auto"/>
        <w:rPr>
          <w:b/>
        </w:rPr>
      </w:pPr>
    </w:p>
    <w:p w14:paraId="6ADE1EC2" w14:textId="77777777" w:rsidR="005C3027" w:rsidRPr="00F87D54" w:rsidRDefault="005C3027" w:rsidP="001C25A1">
      <w:pPr>
        <w:spacing w:after="0" w:line="360" w:lineRule="auto"/>
        <w:rPr>
          <w:color w:val="0D0D0D"/>
        </w:rPr>
      </w:pPr>
      <w:r w:rsidRPr="00F87D54">
        <w:rPr>
          <w:color w:val="0D0D0D"/>
        </w:rPr>
        <w:t>Por ser de previo y especial pronunciamiento, este Instituto analiza si se actualiza alguna causal de sobreseimiento.</w:t>
      </w:r>
    </w:p>
    <w:p w14:paraId="664EF4A1" w14:textId="77777777" w:rsidR="005C3027" w:rsidRPr="00F87D54" w:rsidRDefault="005C3027" w:rsidP="001C25A1">
      <w:pPr>
        <w:spacing w:after="0" w:line="360" w:lineRule="auto"/>
        <w:rPr>
          <w:color w:val="0D0D0D"/>
        </w:rPr>
      </w:pPr>
    </w:p>
    <w:p w14:paraId="7E0BC3F0" w14:textId="77777777" w:rsidR="005C3027" w:rsidRPr="00F87D54" w:rsidRDefault="005C3027" w:rsidP="001C25A1">
      <w:pPr>
        <w:spacing w:after="0" w:line="360" w:lineRule="auto"/>
        <w:rPr>
          <w:color w:val="000000"/>
        </w:rPr>
      </w:pPr>
      <w:r w:rsidRPr="00F87D54">
        <w:rPr>
          <w:color w:val="0D0D0D"/>
        </w:rPr>
        <w:t>Sobre el tema, e</w:t>
      </w:r>
      <w:r w:rsidRPr="00F87D54">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46FA3908" w14:textId="77777777" w:rsidR="005C3027" w:rsidRPr="00F87D54" w:rsidRDefault="005C3027" w:rsidP="001C25A1">
      <w:pPr>
        <w:spacing w:after="0" w:line="360" w:lineRule="auto"/>
        <w:rPr>
          <w:color w:val="000000"/>
        </w:rPr>
      </w:pPr>
    </w:p>
    <w:p w14:paraId="10659266" w14:textId="77777777" w:rsidR="001C25A1" w:rsidRPr="00F87D54" w:rsidRDefault="001C25A1" w:rsidP="001C25A1">
      <w:pPr>
        <w:spacing w:after="0" w:line="360" w:lineRule="auto"/>
        <w:contextualSpacing/>
        <w:rPr>
          <w:rFonts w:eastAsia="Times New Roman" w:cs="Tahoma"/>
          <w:bCs/>
          <w:color w:val="0D0D0D" w:themeColor="text1" w:themeTint="F2"/>
          <w:lang w:eastAsia="es-ES"/>
        </w:rPr>
      </w:pPr>
      <w:r w:rsidRPr="00F87D54">
        <w:rPr>
          <w:rFonts w:eastAsia="Times New Roman" w:cs="Tahoma"/>
          <w:bCs/>
          <w:color w:val="0D0D0D" w:themeColor="text1" w:themeTint="F2"/>
          <w:lang w:eastAsia="es-ES"/>
        </w:rPr>
        <w:t xml:space="preserve">Por tales motivos, se considera procedente entrar al fondo del presente asunto. </w:t>
      </w:r>
    </w:p>
    <w:p w14:paraId="6F992550" w14:textId="77777777" w:rsidR="001C25A1" w:rsidRPr="00F87D54" w:rsidRDefault="001C25A1" w:rsidP="001C25A1">
      <w:pPr>
        <w:spacing w:after="0" w:line="360" w:lineRule="auto"/>
        <w:rPr>
          <w:color w:val="000000"/>
        </w:rPr>
      </w:pPr>
    </w:p>
    <w:p w14:paraId="7E4EE3B2" w14:textId="77777777" w:rsidR="005C3027" w:rsidRPr="00F87D54" w:rsidRDefault="005C3027" w:rsidP="001C25A1">
      <w:pPr>
        <w:pStyle w:val="Ttulo2"/>
        <w:spacing w:before="0" w:after="0" w:line="360" w:lineRule="auto"/>
        <w:rPr>
          <w:b w:val="0"/>
          <w:bCs/>
          <w:color w:val="auto"/>
          <w:sz w:val="22"/>
          <w:szCs w:val="22"/>
        </w:rPr>
      </w:pPr>
      <w:bookmarkStart w:id="13" w:name="_Toc190259596"/>
      <w:bookmarkStart w:id="14" w:name="_Toc193966120"/>
      <w:r w:rsidRPr="00F87D54">
        <w:rPr>
          <w:bCs/>
          <w:color w:val="auto"/>
          <w:sz w:val="22"/>
          <w:szCs w:val="22"/>
        </w:rPr>
        <w:t>TERCERO. Determinación de la Controversia</w:t>
      </w:r>
      <w:bookmarkEnd w:id="13"/>
      <w:bookmarkEnd w:id="14"/>
    </w:p>
    <w:p w14:paraId="3382224B" w14:textId="77777777" w:rsidR="005C3027" w:rsidRPr="00F87D54" w:rsidRDefault="005C3027" w:rsidP="001C25A1">
      <w:pPr>
        <w:spacing w:after="0" w:line="360" w:lineRule="auto"/>
        <w:rPr>
          <w:b/>
          <w:color w:val="000000"/>
        </w:rPr>
      </w:pPr>
    </w:p>
    <w:p w14:paraId="06C38C31" w14:textId="4028DE99" w:rsidR="001B1E08" w:rsidRPr="00F87D54" w:rsidRDefault="005C3027" w:rsidP="001C25A1">
      <w:pPr>
        <w:spacing w:after="0" w:line="360" w:lineRule="auto"/>
        <w:rPr>
          <w:color w:val="000000"/>
        </w:rPr>
      </w:pPr>
      <w:r w:rsidRPr="00F87D54">
        <w:rPr>
          <w:color w:val="000000"/>
        </w:rPr>
        <w:t xml:space="preserve">Una vez realizado el estudio de las constancias que integran el expediente en que se actúa, se desprende que el Particular requirió </w:t>
      </w:r>
      <w:r w:rsidR="001B1E08" w:rsidRPr="00F87D54">
        <w:rPr>
          <w:rFonts w:cs="Tahoma"/>
        </w:rPr>
        <w:t>de todos los mandos medios y superiores, lo siguiente:</w:t>
      </w:r>
    </w:p>
    <w:p w14:paraId="16E5F66A" w14:textId="77777777" w:rsidR="001B1E08" w:rsidRPr="00F87D54" w:rsidRDefault="001B1E08" w:rsidP="001C25A1">
      <w:pPr>
        <w:spacing w:after="0" w:line="360" w:lineRule="auto"/>
        <w:rPr>
          <w:rFonts w:cs="Tahoma"/>
        </w:rPr>
      </w:pPr>
    </w:p>
    <w:p w14:paraId="0F2B0658" w14:textId="197F5F39" w:rsidR="001B1E08" w:rsidRPr="00F87D54" w:rsidRDefault="001B1E08" w:rsidP="001C25A1">
      <w:pPr>
        <w:pStyle w:val="Prrafodelista"/>
        <w:numPr>
          <w:ilvl w:val="0"/>
          <w:numId w:val="4"/>
        </w:numPr>
        <w:spacing w:line="360" w:lineRule="auto"/>
        <w:rPr>
          <w:rFonts w:cs="Tahoma"/>
        </w:rPr>
      </w:pPr>
      <w:r w:rsidRPr="00F87D54">
        <w:rPr>
          <w:rFonts w:cs="Tahoma"/>
        </w:rPr>
        <w:lastRenderedPageBreak/>
        <w:t>Listado con nombres</w:t>
      </w:r>
      <w:r w:rsidR="001C25A1" w:rsidRPr="00F87D54">
        <w:rPr>
          <w:rFonts w:cs="Tahoma"/>
        </w:rPr>
        <w:t>;</w:t>
      </w:r>
    </w:p>
    <w:p w14:paraId="009F1C8A" w14:textId="4674C501" w:rsidR="001B1E08" w:rsidRPr="00F87D54" w:rsidRDefault="001B1E08" w:rsidP="001C25A1">
      <w:pPr>
        <w:pStyle w:val="Prrafodelista"/>
        <w:numPr>
          <w:ilvl w:val="0"/>
          <w:numId w:val="4"/>
        </w:numPr>
        <w:spacing w:line="360" w:lineRule="auto"/>
        <w:rPr>
          <w:rFonts w:cs="Tahoma"/>
        </w:rPr>
      </w:pPr>
      <w:r w:rsidRPr="00F87D54">
        <w:rPr>
          <w:rFonts w:cs="Tahoma"/>
        </w:rPr>
        <w:t>Nombramiento</w:t>
      </w:r>
      <w:r w:rsidR="001C25A1" w:rsidRPr="00F87D54">
        <w:rPr>
          <w:rFonts w:cs="Tahoma"/>
        </w:rPr>
        <w:t>;</w:t>
      </w:r>
    </w:p>
    <w:p w14:paraId="731680F1" w14:textId="633C0C3E" w:rsidR="001B1E08" w:rsidRPr="00F87D54" w:rsidRDefault="001B1E08" w:rsidP="001C25A1">
      <w:pPr>
        <w:pStyle w:val="Prrafodelista"/>
        <w:numPr>
          <w:ilvl w:val="0"/>
          <w:numId w:val="4"/>
        </w:numPr>
        <w:spacing w:line="360" w:lineRule="auto"/>
        <w:rPr>
          <w:rFonts w:cs="Tahoma"/>
          <w:i/>
          <w:iCs/>
        </w:rPr>
      </w:pPr>
      <w:r w:rsidRPr="00F87D54">
        <w:rPr>
          <w:rFonts w:cs="Tahoma"/>
          <w:i/>
          <w:iCs/>
        </w:rPr>
        <w:t>Currículum Vitae</w:t>
      </w:r>
      <w:r w:rsidR="001C25A1" w:rsidRPr="00F87D54">
        <w:rPr>
          <w:rFonts w:cs="Tahoma"/>
        </w:rPr>
        <w:t>;</w:t>
      </w:r>
    </w:p>
    <w:p w14:paraId="415DA134" w14:textId="26CCC706" w:rsidR="001B1E08" w:rsidRPr="00F87D54" w:rsidRDefault="001B1E08" w:rsidP="001C25A1">
      <w:pPr>
        <w:pStyle w:val="Prrafodelista"/>
        <w:numPr>
          <w:ilvl w:val="0"/>
          <w:numId w:val="4"/>
        </w:numPr>
        <w:spacing w:line="360" w:lineRule="auto"/>
        <w:rPr>
          <w:rFonts w:cs="Tahoma"/>
        </w:rPr>
      </w:pPr>
      <w:r w:rsidRPr="00F87D54">
        <w:rPr>
          <w:rFonts w:cs="Tahoma"/>
        </w:rPr>
        <w:t>Documentos que acrediten la experiencia laboral</w:t>
      </w:r>
      <w:r w:rsidR="001C25A1" w:rsidRPr="00F87D54">
        <w:rPr>
          <w:rFonts w:cs="Tahoma"/>
        </w:rPr>
        <w:t>, y</w:t>
      </w:r>
    </w:p>
    <w:p w14:paraId="3FFE0C73" w14:textId="4EF3DB43" w:rsidR="001B1E08" w:rsidRPr="00F87D54" w:rsidRDefault="001B1E08" w:rsidP="001C25A1">
      <w:pPr>
        <w:pStyle w:val="Prrafodelista"/>
        <w:numPr>
          <w:ilvl w:val="0"/>
          <w:numId w:val="4"/>
        </w:numPr>
        <w:spacing w:line="360" w:lineRule="auto"/>
        <w:rPr>
          <w:rFonts w:cs="Tahoma"/>
        </w:rPr>
      </w:pPr>
      <w:r w:rsidRPr="00F87D54">
        <w:rPr>
          <w:rFonts w:cs="Tahoma"/>
        </w:rPr>
        <w:t>Formato Único de Movimiento</w:t>
      </w:r>
      <w:r w:rsidR="00D679B2" w:rsidRPr="00F87D54">
        <w:rPr>
          <w:rFonts w:cs="Tahoma"/>
        </w:rPr>
        <w:t>s</w:t>
      </w:r>
      <w:r w:rsidRPr="00F87D54">
        <w:rPr>
          <w:rFonts w:cs="Tahoma"/>
        </w:rPr>
        <w:t xml:space="preserve"> de</w:t>
      </w:r>
      <w:r w:rsidR="001C25A1" w:rsidRPr="00F87D54">
        <w:rPr>
          <w:rFonts w:cs="Tahoma"/>
        </w:rPr>
        <w:t>l p</w:t>
      </w:r>
      <w:r w:rsidR="00D679B2" w:rsidRPr="00F87D54">
        <w:rPr>
          <w:rFonts w:cs="Tahoma"/>
        </w:rPr>
        <w:t xml:space="preserve">ersonal de </w:t>
      </w:r>
      <w:r w:rsidRPr="00F87D54">
        <w:rPr>
          <w:rFonts w:cs="Tahoma"/>
        </w:rPr>
        <w:t>alta</w:t>
      </w:r>
      <w:r w:rsidR="001C25A1" w:rsidRPr="00F87D54">
        <w:rPr>
          <w:rFonts w:cs="Tahoma"/>
        </w:rPr>
        <w:t>.</w:t>
      </w:r>
    </w:p>
    <w:p w14:paraId="10307956" w14:textId="77777777" w:rsidR="001B1E08" w:rsidRPr="00F87D54" w:rsidRDefault="001B1E08" w:rsidP="001C25A1">
      <w:pPr>
        <w:spacing w:after="0" w:line="360" w:lineRule="auto"/>
        <w:rPr>
          <w:rFonts w:cs="Tahoma"/>
        </w:rPr>
      </w:pPr>
    </w:p>
    <w:p w14:paraId="2EAB9EC0" w14:textId="6B6B683D" w:rsidR="001B1E08" w:rsidRPr="00F87D54" w:rsidRDefault="001B1E08" w:rsidP="001C25A1">
      <w:pPr>
        <w:spacing w:after="0" w:line="360" w:lineRule="auto"/>
        <w:rPr>
          <w:color w:val="0D0D0D"/>
        </w:rPr>
      </w:pPr>
      <w:r w:rsidRPr="00F87D54">
        <w:rPr>
          <w:color w:val="000000"/>
        </w:rPr>
        <w:t>En respuesta, el Sujeto Obligado, a través de la Jefatura de Recursos Humanos adjuntó un l</w:t>
      </w:r>
      <w:r w:rsidRPr="00F87D54">
        <w:t>istado que contiene los nombres de los mandos medios y superiores, así como, los Nombramientos, Constancias de Mayoría, Formatos Únicos de Movimiento</w:t>
      </w:r>
      <w:r w:rsidR="00A75816" w:rsidRPr="00F87D54">
        <w:t>s de Personal</w:t>
      </w:r>
      <w:r w:rsidRPr="00F87D54">
        <w:t xml:space="preserve"> y Currículums Vitae</w:t>
      </w:r>
      <w:r w:rsidRPr="00F87D54">
        <w:rPr>
          <w:rFonts w:cs="Tahoma"/>
        </w:rPr>
        <w:t>;</w:t>
      </w:r>
      <w:r w:rsidRPr="00F87D54">
        <w:t xml:space="preserve"> </w:t>
      </w:r>
      <w:r w:rsidRPr="00F87D54">
        <w:rPr>
          <w:rFonts w:cs="Tahoma"/>
          <w:lang w:val="es-ES"/>
        </w:rPr>
        <w:t xml:space="preserve">ante dicha circunstancia, el Particular se inconformó de la entrega de información incompleta y la clasificación de la información, donde refirió que los FUMP no están completas, además, de que no adjuntaron el Acta de clasificación del Comité donde se aprobó la clasificación de los datos personales testados como confidenciales, lo cual </w:t>
      </w:r>
      <w:r w:rsidRPr="00F87D54">
        <w:rPr>
          <w:rFonts w:eastAsia="Calibri" w:cs="Tahoma"/>
        </w:rPr>
        <w:t>actualiza la causal de procedencia prevista en la fracción II y V, del artículo 179 de la Ley de Transparencia y Acceso a la Información Pública del Estado de México y Municipios</w:t>
      </w:r>
      <w:r w:rsidRPr="00F87D54">
        <w:rPr>
          <w:color w:val="0D0D0D"/>
        </w:rPr>
        <w:t>.</w:t>
      </w:r>
    </w:p>
    <w:p w14:paraId="08F602AC" w14:textId="77777777" w:rsidR="001B1E08" w:rsidRPr="00F87D54" w:rsidRDefault="001B1E08" w:rsidP="001C25A1">
      <w:pPr>
        <w:spacing w:after="0" w:line="360" w:lineRule="auto"/>
        <w:rPr>
          <w:color w:val="0D0D0D"/>
        </w:rPr>
      </w:pPr>
    </w:p>
    <w:p w14:paraId="60D12892" w14:textId="77777777" w:rsidR="001B1E08" w:rsidRPr="00F87D54" w:rsidRDefault="001B1E08" w:rsidP="001C25A1">
      <w:pPr>
        <w:spacing w:after="0" w:line="360" w:lineRule="auto"/>
        <w:rPr>
          <w:rFonts w:cs="Tahoma"/>
        </w:rPr>
      </w:pPr>
      <w:r w:rsidRPr="00F87D54">
        <w:rPr>
          <w:color w:val="000000"/>
          <w:lang w:eastAsia="es-ES_tradnl"/>
        </w:rPr>
        <w:t xml:space="preserve">Conforme a lo anterior, se logra vislumbrar que </w:t>
      </w:r>
      <w:r w:rsidRPr="00F87D54">
        <w:rPr>
          <w:rFonts w:eastAsia="Calibri" w:cs="Tahoma"/>
          <w:bCs/>
          <w:iCs/>
        </w:rPr>
        <w:t>la persona</w:t>
      </w:r>
      <w:r w:rsidRPr="00F87D54">
        <w:rPr>
          <w:color w:val="000000"/>
          <w:lang w:eastAsia="es-ES_tradnl"/>
        </w:rPr>
        <w:t xml:space="preserve"> Recurrente no se agravió de los puntos 1, 2, 3 y 4, sino de los </w:t>
      </w:r>
      <w:r w:rsidRPr="00F87D54">
        <w:rPr>
          <w:rFonts w:cs="Tahoma"/>
        </w:rPr>
        <w:t>Formatos Únicos de Movimiento de alta</w:t>
      </w:r>
      <w:r w:rsidRPr="00F87D54">
        <w:rPr>
          <w:color w:val="000000"/>
          <w:lang w:eastAsia="es-ES_tradnl"/>
        </w:rPr>
        <w:t>,</w:t>
      </w:r>
      <w:r w:rsidRPr="00F87D54">
        <w:rPr>
          <w:rFonts w:eastAsia="Calibri" w:cs="Tahoma"/>
          <w:color w:val="000000"/>
          <w:szCs w:val="24"/>
          <w:lang w:val="es-ES"/>
        </w:rPr>
        <w:t xml:space="preserve"> p</w:t>
      </w:r>
      <w:proofErr w:type="spellStart"/>
      <w:r w:rsidRPr="00F87D54">
        <w:rPr>
          <w:color w:val="000000"/>
          <w:lang w:eastAsia="es-ES_tradnl"/>
        </w:rPr>
        <w:t>or</w:t>
      </w:r>
      <w:proofErr w:type="spellEnd"/>
      <w:r w:rsidRPr="00F87D54">
        <w:rPr>
          <w:color w:val="000000"/>
          <w:lang w:eastAsia="es-ES_tradnl"/>
        </w:rPr>
        <w:t xml:space="preserve"> lo que, no se hará pronunciamiento alguno, respecto a dicha información, de conformidad con el artículo 195 de la Ley de Transparencia y Acceso a la Información Pública del Estado de México y Municipios, en relación con el diverso 195, fracción IV, de Código de Procedimientos Administrativos del Estado de México, que establece que será improcedente el recurso contra </w:t>
      </w:r>
      <w:r w:rsidRPr="00F87D54">
        <w:rPr>
          <w:b/>
          <w:bCs/>
          <w:color w:val="000000"/>
          <w:lang w:eastAsia="es-ES_tradnl"/>
        </w:rPr>
        <w:t>los actos que se hayan consentido tácitamente,</w:t>
      </w:r>
      <w:r w:rsidRPr="00F87D54">
        <w:rPr>
          <w:color w:val="000000"/>
          <w:lang w:eastAsia="es-ES_tradnl"/>
        </w:rPr>
        <w:t> entendiéndose por estos cuando el agravio no se haya promovido en el plazo señalado para el efecto.</w:t>
      </w:r>
    </w:p>
    <w:p w14:paraId="530E49B2" w14:textId="77777777" w:rsidR="001B1E08" w:rsidRPr="00F87D54" w:rsidRDefault="001B1E08" w:rsidP="001C25A1">
      <w:pPr>
        <w:spacing w:after="0" w:line="360" w:lineRule="auto"/>
        <w:rPr>
          <w:rFonts w:cs="Times New Roman"/>
          <w:color w:val="000000"/>
          <w:lang w:eastAsia="es-ES_tradnl"/>
        </w:rPr>
      </w:pPr>
      <w:r w:rsidRPr="00F87D54">
        <w:rPr>
          <w:color w:val="000000"/>
          <w:lang w:eastAsia="es-ES_tradnl"/>
        </w:rPr>
        <w:t> </w:t>
      </w:r>
    </w:p>
    <w:p w14:paraId="662E17A4" w14:textId="77777777" w:rsidR="001B1E08" w:rsidRPr="00F87D54" w:rsidRDefault="001B1E08" w:rsidP="001C25A1">
      <w:pPr>
        <w:spacing w:after="0" w:line="360" w:lineRule="auto"/>
        <w:rPr>
          <w:color w:val="000000"/>
          <w:lang w:eastAsia="es-ES_tradnl"/>
        </w:rPr>
      </w:pPr>
      <w:r w:rsidRPr="00F87D54">
        <w:rPr>
          <w:color w:val="000000"/>
          <w:lang w:eastAsia="es-ES_tradnl"/>
        </w:rPr>
        <w:lastRenderedPageBreak/>
        <w:t>De la misma manera resulta aplicable el criterio sostenido por el Poder Judicial de la Federación de rubro </w:t>
      </w:r>
      <w:r w:rsidRPr="00F87D54">
        <w:rPr>
          <w:b/>
          <w:bCs/>
          <w:color w:val="000000"/>
          <w:lang w:eastAsia="es-ES_tradnl"/>
        </w:rPr>
        <w:t>ACTOS CONSENTIDOS TÁCITAMENTE</w:t>
      </w:r>
      <w:r w:rsidRPr="00F87D54">
        <w:rPr>
          <w:color w:val="000000"/>
          <w:lang w:eastAsia="es-ES_tradnl"/>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114DD096" w14:textId="77777777" w:rsidR="001B1E08" w:rsidRPr="00F87D54" w:rsidRDefault="001B1E08" w:rsidP="001C25A1">
      <w:pPr>
        <w:spacing w:after="0" w:line="360" w:lineRule="auto"/>
        <w:rPr>
          <w:color w:val="000000"/>
          <w:lang w:eastAsia="es-ES_tradnl"/>
        </w:rPr>
      </w:pPr>
      <w:r w:rsidRPr="00F87D54">
        <w:rPr>
          <w:color w:val="000000"/>
          <w:lang w:eastAsia="es-ES_tradnl"/>
        </w:rPr>
        <w:t> </w:t>
      </w:r>
    </w:p>
    <w:p w14:paraId="7147D472" w14:textId="77777777" w:rsidR="001B1E08" w:rsidRPr="00F87D54" w:rsidRDefault="001B1E08" w:rsidP="001C25A1">
      <w:pPr>
        <w:spacing w:after="0" w:line="360" w:lineRule="auto"/>
        <w:rPr>
          <w:color w:val="000000"/>
          <w:lang w:eastAsia="es-ES_tradnl"/>
        </w:rPr>
      </w:pPr>
      <w:r w:rsidRPr="00F87D54">
        <w:rPr>
          <w:color w:val="000000"/>
          <w:lang w:eastAsia="es-ES_tradnl"/>
        </w:rPr>
        <w:t>Conforme a lo previo, en el caso de que el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14:paraId="6BADFDF7" w14:textId="77777777" w:rsidR="001B1E08" w:rsidRPr="00F87D54" w:rsidRDefault="001B1E08" w:rsidP="001C25A1">
      <w:pPr>
        <w:spacing w:after="0" w:line="360" w:lineRule="auto"/>
        <w:rPr>
          <w:color w:val="000000"/>
          <w:lang w:eastAsia="es-ES_tradnl"/>
        </w:rPr>
      </w:pPr>
      <w:r w:rsidRPr="00F87D54">
        <w:rPr>
          <w:color w:val="000000"/>
          <w:lang w:eastAsia="es-ES_tradnl"/>
        </w:rPr>
        <w:t> </w:t>
      </w:r>
    </w:p>
    <w:p w14:paraId="0CF4E3F2" w14:textId="47C7D626" w:rsidR="001B1E08" w:rsidRPr="00F87D54" w:rsidRDefault="001B1E08" w:rsidP="001C25A1">
      <w:pPr>
        <w:spacing w:after="0" w:line="360" w:lineRule="auto"/>
        <w:rPr>
          <w:color w:val="0D0D0D"/>
        </w:rPr>
      </w:pPr>
      <w:r w:rsidRPr="00F87D54">
        <w:rPr>
          <w:color w:val="000000"/>
          <w:lang w:eastAsia="es-ES_tradnl"/>
        </w:rPr>
        <w:t>Asimismo, resulta relevante traer a colaci</w:t>
      </w:r>
      <w:r w:rsidR="00142D82" w:rsidRPr="00F87D54">
        <w:rPr>
          <w:color w:val="000000"/>
          <w:lang w:eastAsia="es-ES_tradnl"/>
        </w:rPr>
        <w:t>ón el Criterio Orientador</w:t>
      </w:r>
      <w:r w:rsidRPr="00F87D54">
        <w:rPr>
          <w:color w:val="000000"/>
          <w:lang w:eastAsia="es-ES_tradnl"/>
        </w:rPr>
        <w:t xml:space="preserve">, de la Segunda Época, con número de registro SO/001/2020, emitido por el </w:t>
      </w:r>
      <w:r w:rsidR="00142D82" w:rsidRPr="00F87D54">
        <w:rPr>
          <w:color w:val="000000"/>
          <w:lang w:eastAsia="es-ES_tradnl"/>
        </w:rPr>
        <w:t xml:space="preserve">entonces </w:t>
      </w:r>
      <w:r w:rsidRPr="00F87D54">
        <w:rPr>
          <w:color w:val="000000"/>
          <w:lang w:eastAsia="es-ES_tradnl"/>
        </w:rPr>
        <w:t xml:space="preserve">Instituto Nacional de Transparencia, Acceso a la Información y Protección de Datos Personales </w:t>
      </w:r>
      <w:r w:rsidRPr="00F87D54">
        <w:rPr>
          <w:bCs/>
          <w:iCs/>
          <w:color w:val="000000"/>
          <w:lang w:eastAsia="es-ES_tradnl"/>
        </w:rPr>
        <w:t>vigente a la fecha de la solicitud</w:t>
      </w:r>
      <w:r w:rsidRPr="00F87D54">
        <w:rPr>
          <w:color w:val="000000"/>
          <w:lang w:eastAsia="es-ES_tradnl"/>
        </w:rPr>
        <w:t xml:space="preserve">, el cual establece que es improcedente entrar al análisis de las partes de la respuesta del Sujeto Obligado que no fueron impugnadas por </w:t>
      </w:r>
      <w:r w:rsidRPr="00F87D54">
        <w:rPr>
          <w:rFonts w:eastAsia="Calibri" w:cs="Tahoma"/>
          <w:bCs/>
          <w:iCs/>
        </w:rPr>
        <w:t>la persona</w:t>
      </w:r>
      <w:r w:rsidRPr="00F87D54">
        <w:rPr>
          <w:color w:val="000000"/>
          <w:lang w:eastAsia="es-ES_tradnl"/>
        </w:rPr>
        <w:t xml:space="preserve"> Recurrente; por lo que, en el presente caso, se tienen por consentidos los puntos 1, 2, 3 y 4, y únicamente se entrará al análisis de los </w:t>
      </w:r>
      <w:r w:rsidRPr="00F87D54">
        <w:rPr>
          <w:rFonts w:cs="Tahoma"/>
        </w:rPr>
        <w:t>Formatos Únicos de Movimiento</w:t>
      </w:r>
      <w:r w:rsidR="00A75816" w:rsidRPr="00F87D54">
        <w:rPr>
          <w:rFonts w:cs="Tahoma"/>
        </w:rPr>
        <w:t>s de Personal</w:t>
      </w:r>
      <w:r w:rsidRPr="00F87D54">
        <w:rPr>
          <w:rFonts w:cs="Tahoma"/>
        </w:rPr>
        <w:t xml:space="preserve"> de alta</w:t>
      </w:r>
      <w:r w:rsidRPr="00F87D54">
        <w:rPr>
          <w:color w:val="000000"/>
          <w:lang w:eastAsia="es-ES_tradnl"/>
        </w:rPr>
        <w:t>.</w:t>
      </w:r>
      <w:r w:rsidRPr="00F87D54">
        <w:rPr>
          <w:color w:val="0D0D0D"/>
        </w:rPr>
        <w:t xml:space="preserve"> </w:t>
      </w:r>
      <w:r w:rsidRPr="00F87D54">
        <w:rPr>
          <w:rFonts w:eastAsia="Calibri" w:cs="Tahoma"/>
        </w:rPr>
        <w:t xml:space="preserve">Así, las cosas, una vez admitido y notificado el Recurso de Revisión a las partes, </w:t>
      </w:r>
      <w:r w:rsidR="00A75816" w:rsidRPr="00F87D54">
        <w:rPr>
          <w:rFonts w:eastAsia="Calibri" w:cs="Tahoma"/>
        </w:rPr>
        <w:t xml:space="preserve">el Sujeto Obligado mencionó que debido a un error humano no se adjuntó el Acuerdo del Comité de Transparencia donde se aprueba la clasificación como confidencial de los datos personales </w:t>
      </w:r>
      <w:r w:rsidR="00C2090E" w:rsidRPr="00F87D54">
        <w:rPr>
          <w:rFonts w:eastAsia="Calibri" w:cs="Tahoma"/>
        </w:rPr>
        <w:t xml:space="preserve">contenido en los Formatos Únicos de Movimientos de Personal, asimismo, que el dato denominado “Entidad de Nacimiento” en los FUMP, se refiere al País de México, motivo por </w:t>
      </w:r>
      <w:r w:rsidR="00C2090E" w:rsidRPr="00F87D54">
        <w:rPr>
          <w:rFonts w:eastAsia="Calibri" w:cs="Tahoma"/>
        </w:rPr>
        <w:lastRenderedPageBreak/>
        <w:t xml:space="preserve">el cual se dejó a la vista por ser un dato público, además, que si bien la escolaridad de los servidores públicos es un dato público, sin embargo, se testo en la FUMP de la Titular de la Unidad de Transparencia, motivo por el cual adjuntó de nuevo el Formato Único de Movimientos de Personal de la Titular de la Unidad de Transparencia donde dejó visible la escolaridad y el </w:t>
      </w:r>
      <w:r w:rsidR="00C2090E" w:rsidRPr="00F87D54">
        <w:rPr>
          <w:bCs/>
          <w:lang w:val="es-ES_tradnl"/>
        </w:rPr>
        <w:t>Acuerdo número TEMOAYA/CT/1SE/10/2025</w:t>
      </w:r>
      <w:r w:rsidR="00C2090E" w:rsidRPr="00F87D54">
        <w:rPr>
          <w:bCs/>
          <w:sz w:val="24"/>
          <w:szCs w:val="24"/>
          <w:lang w:val="es-ES_tradnl"/>
        </w:rPr>
        <w:t xml:space="preserve">, </w:t>
      </w:r>
      <w:r w:rsidR="00C2090E" w:rsidRPr="00F87D54">
        <w:rPr>
          <w:bCs/>
          <w:lang w:val="es-ES_tradnl"/>
        </w:rPr>
        <w:t>de la Primera Sesión Extraordinaria del Comité de Transparencia del cuatro de febrero de dos mil veinticinco, donde se aprueba por unanimidad de votos la clasificación como confidencial de los datos personales contenidos en los Formatos Únicos de Movimientos de Personal.</w:t>
      </w:r>
    </w:p>
    <w:p w14:paraId="29D96E17" w14:textId="77777777" w:rsidR="001B1E08" w:rsidRPr="00F87D54" w:rsidRDefault="001B1E08" w:rsidP="001C25A1">
      <w:pPr>
        <w:spacing w:after="0" w:line="360" w:lineRule="auto"/>
        <w:ind w:right="567"/>
        <w:rPr>
          <w:i/>
          <w:iCs/>
          <w:sz w:val="20"/>
          <w:szCs w:val="20"/>
        </w:rPr>
      </w:pPr>
    </w:p>
    <w:p w14:paraId="15614485" w14:textId="4C315FF4" w:rsidR="001B1E08" w:rsidRPr="00F87D54" w:rsidRDefault="001B1E08" w:rsidP="001C25A1">
      <w:pPr>
        <w:tabs>
          <w:tab w:val="left" w:pos="4962"/>
        </w:tabs>
        <w:spacing w:after="0" w:line="360" w:lineRule="auto"/>
        <w:rPr>
          <w:rFonts w:eastAsia="Calibri" w:cs="Tahoma"/>
          <w:bCs/>
        </w:rPr>
      </w:pPr>
      <w:r w:rsidRPr="00F87D54">
        <w:rPr>
          <w:rFonts w:eastAsia="Calibri" w:cs="Tahoma"/>
          <w:iCs/>
          <w:lang w:val="es-ES" w:eastAsia="es-ES_tradnl"/>
        </w:rPr>
        <w:t>Lo anterior, se desprende de las documentales que obran en el expediente de referencia, materia de la presente resolución, consistente en: la solicitud de acceso a la información</w:t>
      </w:r>
      <w:r w:rsidR="00C2090E" w:rsidRPr="00F87D54">
        <w:rPr>
          <w:rFonts w:eastAsia="Calibri" w:cs="Tahoma"/>
          <w:iCs/>
          <w:lang w:val="es-ES" w:eastAsia="es-ES_tradnl"/>
        </w:rPr>
        <w:t xml:space="preserve">, </w:t>
      </w:r>
      <w:r w:rsidRPr="00F87D54">
        <w:rPr>
          <w:rFonts w:eastAsia="Calibri" w:cs="Tahoma"/>
          <w:iCs/>
          <w:lang w:eastAsia="es-ES_tradnl"/>
        </w:rPr>
        <w:t xml:space="preserve">el escrito </w:t>
      </w:r>
      <w:proofErr w:type="spellStart"/>
      <w:r w:rsidRPr="00F87D54">
        <w:rPr>
          <w:rFonts w:eastAsia="Calibri" w:cs="Tahoma"/>
          <w:iCs/>
          <w:lang w:eastAsia="es-ES_tradnl"/>
        </w:rPr>
        <w:t>recursal</w:t>
      </w:r>
      <w:proofErr w:type="spellEnd"/>
      <w:r w:rsidR="00C2090E" w:rsidRPr="00F87D54">
        <w:rPr>
          <w:rFonts w:eastAsia="Calibri" w:cs="Tahoma"/>
          <w:iCs/>
          <w:lang w:eastAsia="es-ES_tradnl"/>
        </w:rPr>
        <w:t xml:space="preserve"> y el Informe Justificado</w:t>
      </w:r>
      <w:r w:rsidRPr="00F87D54">
        <w:rPr>
          <w:rFonts w:eastAsia="Calibri" w:cs="Tahoma"/>
          <w:iCs/>
          <w:lang w:eastAsia="es-ES_tradnl"/>
        </w:rPr>
        <w:t xml:space="preserve">; </w:t>
      </w:r>
      <w:r w:rsidRPr="00F87D54">
        <w:rPr>
          <w:rFonts w:eastAsia="Calibri"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7AF0633A" w14:textId="77777777" w:rsidR="005C3027" w:rsidRPr="00F87D54" w:rsidRDefault="005C3027" w:rsidP="001C25A1">
      <w:pPr>
        <w:tabs>
          <w:tab w:val="left" w:pos="4962"/>
        </w:tabs>
        <w:spacing w:after="0" w:line="360" w:lineRule="auto"/>
        <w:rPr>
          <w:rFonts w:eastAsia="Calibri" w:cs="Tahoma"/>
          <w:bCs/>
        </w:rPr>
      </w:pPr>
    </w:p>
    <w:p w14:paraId="5D1D5AD0" w14:textId="77777777" w:rsidR="001A3219" w:rsidRPr="00F87D54" w:rsidRDefault="001A3219" w:rsidP="001C25A1">
      <w:pPr>
        <w:pStyle w:val="Ttulo2"/>
        <w:spacing w:before="0" w:after="0" w:line="360" w:lineRule="auto"/>
        <w:rPr>
          <w:b w:val="0"/>
          <w:bCs/>
          <w:color w:val="auto"/>
          <w:sz w:val="22"/>
          <w:szCs w:val="22"/>
        </w:rPr>
      </w:pPr>
      <w:bookmarkStart w:id="15" w:name="_Toc190259597"/>
      <w:bookmarkStart w:id="16" w:name="_Toc193966121"/>
      <w:r w:rsidRPr="00F87D54">
        <w:rPr>
          <w:bCs/>
          <w:color w:val="auto"/>
          <w:sz w:val="22"/>
          <w:szCs w:val="22"/>
        </w:rPr>
        <w:t>CUARTO. Marco normativo aplicable en materia de transparencia y acceso a la información pública</w:t>
      </w:r>
      <w:bookmarkEnd w:id="15"/>
      <w:bookmarkEnd w:id="16"/>
    </w:p>
    <w:p w14:paraId="4A31CA48" w14:textId="77777777" w:rsidR="001A3219" w:rsidRPr="00F87D54" w:rsidRDefault="001A3219" w:rsidP="001C25A1">
      <w:pPr>
        <w:spacing w:after="0" w:line="360" w:lineRule="auto"/>
        <w:rPr>
          <w:color w:val="000000"/>
        </w:rPr>
      </w:pPr>
    </w:p>
    <w:p w14:paraId="732A1B7F" w14:textId="77777777" w:rsidR="001A3219" w:rsidRPr="00F87D54" w:rsidRDefault="001A3219" w:rsidP="001C25A1">
      <w:pPr>
        <w:spacing w:after="0" w:line="360" w:lineRule="auto"/>
        <w:rPr>
          <w:color w:val="000000"/>
        </w:rPr>
      </w:pPr>
      <w:r w:rsidRPr="00F87D54">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026C5BA6" w14:textId="77777777" w:rsidR="001A3219" w:rsidRPr="00F87D54" w:rsidRDefault="001A3219" w:rsidP="001C25A1">
      <w:pPr>
        <w:spacing w:after="0" w:line="360" w:lineRule="auto"/>
        <w:rPr>
          <w:color w:val="000000"/>
        </w:rPr>
      </w:pPr>
    </w:p>
    <w:p w14:paraId="1204A9AD" w14:textId="77777777" w:rsidR="001A3219" w:rsidRPr="00F87D54" w:rsidRDefault="001A3219" w:rsidP="001C25A1">
      <w:pPr>
        <w:spacing w:after="0" w:line="360" w:lineRule="auto"/>
        <w:rPr>
          <w:color w:val="000000"/>
        </w:rPr>
      </w:pPr>
      <w:r w:rsidRPr="00F87D54">
        <w:rPr>
          <w:color w:val="000000"/>
        </w:rPr>
        <w:t xml:space="preserve">En materia local, el artículo 5°, fracción I de la Constitución Política del Estado Libre y Soberano de México, es coincidente con la Constitución Federal, en el sentido de la publicidad de toda la información, con la única restricción de proteger el interés público, así </w:t>
      </w:r>
      <w:r w:rsidRPr="00F87D54">
        <w:rPr>
          <w:color w:val="000000"/>
        </w:rPr>
        <w:lastRenderedPageBreak/>
        <w:t>como la información referente a la intimidad de la vida privada y la imagen de las personas, con las excepciones que establezca la ley reglamentaria.</w:t>
      </w:r>
    </w:p>
    <w:p w14:paraId="57EE186E" w14:textId="77777777" w:rsidR="001A3219" w:rsidRPr="00F87D54" w:rsidRDefault="001A3219" w:rsidP="001C25A1">
      <w:pPr>
        <w:spacing w:after="0" w:line="360" w:lineRule="auto"/>
        <w:rPr>
          <w:color w:val="000000"/>
        </w:rPr>
      </w:pPr>
    </w:p>
    <w:p w14:paraId="642C28D9" w14:textId="77777777" w:rsidR="001A3219" w:rsidRPr="00F87D54" w:rsidRDefault="001A3219" w:rsidP="001C25A1">
      <w:pPr>
        <w:spacing w:after="0" w:line="360" w:lineRule="auto"/>
        <w:rPr>
          <w:color w:val="000000"/>
        </w:rPr>
      </w:pPr>
      <w:r w:rsidRPr="00F87D54">
        <w:rPr>
          <w:color w:val="000000"/>
        </w:rPr>
        <w:t>Por su parte, la Ley de Transparencia y Acceso a la Información Pública del Estado de México y Municipios (Reglamentaria del artículo 5° de la Constitución Local), establece lo siguiente:</w:t>
      </w:r>
    </w:p>
    <w:p w14:paraId="0D27F476" w14:textId="77777777" w:rsidR="001A3219" w:rsidRPr="00F87D54" w:rsidRDefault="001A3219" w:rsidP="001C25A1">
      <w:pPr>
        <w:spacing w:after="0" w:line="360" w:lineRule="auto"/>
        <w:rPr>
          <w:color w:val="000000"/>
        </w:rPr>
      </w:pPr>
    </w:p>
    <w:p w14:paraId="50DA0E5C" w14:textId="77777777" w:rsidR="001A3219" w:rsidRPr="00F87D54" w:rsidRDefault="001A3219" w:rsidP="001C25A1">
      <w:pPr>
        <w:spacing w:after="0" w:line="360" w:lineRule="auto"/>
        <w:rPr>
          <w:color w:val="000000"/>
        </w:rPr>
      </w:pPr>
      <w:r w:rsidRPr="00F87D54">
        <w:rPr>
          <w:color w:val="000000"/>
        </w:rPr>
        <w:t>El artículo 12, que, quienes generen, recopilen, administren, manejen, procesen, archiven o conserven información pública serán responsables de la misma.</w:t>
      </w:r>
    </w:p>
    <w:p w14:paraId="5865C1CD" w14:textId="77777777" w:rsidR="001A3219" w:rsidRPr="00F87D54" w:rsidRDefault="001A3219" w:rsidP="001C25A1">
      <w:pPr>
        <w:spacing w:after="0" w:line="360" w:lineRule="auto"/>
        <w:rPr>
          <w:color w:val="000000"/>
        </w:rPr>
      </w:pPr>
    </w:p>
    <w:p w14:paraId="52C8C245" w14:textId="77777777" w:rsidR="001A3219" w:rsidRPr="00F87D54" w:rsidRDefault="001A3219" w:rsidP="001C25A1">
      <w:pPr>
        <w:widowControl w:val="0"/>
        <w:spacing w:after="0" w:line="360" w:lineRule="auto"/>
        <w:rPr>
          <w:color w:val="000000"/>
        </w:rPr>
      </w:pPr>
      <w:r w:rsidRPr="00F87D54">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7AD1A103" w14:textId="77777777" w:rsidR="001A3219" w:rsidRPr="00F87D54" w:rsidRDefault="001A3219" w:rsidP="001C25A1">
      <w:pPr>
        <w:spacing w:after="0" w:line="360" w:lineRule="auto"/>
        <w:rPr>
          <w:color w:val="000000"/>
        </w:rPr>
      </w:pPr>
    </w:p>
    <w:p w14:paraId="571AE906" w14:textId="77777777" w:rsidR="001A3219" w:rsidRPr="00F87D54" w:rsidRDefault="001A3219" w:rsidP="001C25A1">
      <w:pPr>
        <w:spacing w:after="0" w:line="360" w:lineRule="auto"/>
        <w:rPr>
          <w:color w:val="000000"/>
        </w:rPr>
      </w:pPr>
      <w:r w:rsidRPr="00F87D54">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31BAB7E" w14:textId="77777777" w:rsidR="005C3027" w:rsidRPr="00F87D54" w:rsidRDefault="005C3027" w:rsidP="001C25A1">
      <w:pPr>
        <w:tabs>
          <w:tab w:val="left" w:pos="4962"/>
        </w:tabs>
        <w:spacing w:after="0" w:line="360" w:lineRule="auto"/>
        <w:rPr>
          <w:rFonts w:eastAsia="Calibri" w:cs="Tahoma"/>
          <w:bCs/>
        </w:rPr>
      </w:pPr>
    </w:p>
    <w:p w14:paraId="43E1F52E" w14:textId="77777777" w:rsidR="001A3219" w:rsidRPr="00F87D54" w:rsidRDefault="001A3219" w:rsidP="001C25A1">
      <w:pPr>
        <w:pStyle w:val="Ttulo2"/>
        <w:spacing w:before="0" w:after="0" w:line="360" w:lineRule="auto"/>
        <w:rPr>
          <w:rFonts w:eastAsia="Times New Roman"/>
          <w:b w:val="0"/>
          <w:bCs/>
          <w:color w:val="auto"/>
          <w:sz w:val="22"/>
          <w:szCs w:val="22"/>
          <w:lang w:val="es-ES" w:eastAsia="es-ES"/>
        </w:rPr>
      </w:pPr>
      <w:bookmarkStart w:id="17" w:name="_Toc190259598"/>
      <w:bookmarkStart w:id="18" w:name="_Toc193966122"/>
      <w:r w:rsidRPr="00F87D54">
        <w:rPr>
          <w:rFonts w:eastAsia="Times New Roman"/>
          <w:bCs/>
          <w:color w:val="auto"/>
          <w:sz w:val="22"/>
          <w:szCs w:val="22"/>
          <w:lang w:val="es-ES" w:eastAsia="es-ES"/>
        </w:rPr>
        <w:t>QUINTO. Estudio de Fondo</w:t>
      </w:r>
      <w:bookmarkEnd w:id="17"/>
      <w:bookmarkEnd w:id="18"/>
    </w:p>
    <w:p w14:paraId="1C0DC55E" w14:textId="77777777" w:rsidR="001B1E08" w:rsidRPr="00F87D54" w:rsidRDefault="001B1E08" w:rsidP="001C25A1">
      <w:pPr>
        <w:spacing w:after="0" w:line="360" w:lineRule="auto"/>
        <w:rPr>
          <w:bCs/>
        </w:rPr>
      </w:pPr>
    </w:p>
    <w:p w14:paraId="575977B2" w14:textId="5D4534B3" w:rsidR="001B1E08" w:rsidRPr="00F87D54" w:rsidRDefault="001A3219" w:rsidP="001C25A1">
      <w:pPr>
        <w:spacing w:after="0" w:line="360" w:lineRule="auto"/>
        <w:rPr>
          <w:bCs/>
          <w:iCs/>
        </w:rPr>
      </w:pPr>
      <w:r w:rsidRPr="00F87D54">
        <w:rPr>
          <w:bCs/>
          <w:iCs/>
        </w:rPr>
        <w:t>Expuestas las posturas de las partes</w:t>
      </w:r>
      <w:r w:rsidR="001B1E08" w:rsidRPr="00F87D54">
        <w:rPr>
          <w:bCs/>
          <w:iCs/>
        </w:rPr>
        <w:t>, se procede al análisis del agravio hecho valer por la persona Recurrente</w:t>
      </w:r>
      <w:r w:rsidR="00976389" w:rsidRPr="00F87D54">
        <w:rPr>
          <w:bCs/>
          <w:iCs/>
        </w:rPr>
        <w:t>,</w:t>
      </w:r>
      <w:r w:rsidR="001B1E08" w:rsidRPr="00F87D54">
        <w:rPr>
          <w:bCs/>
          <w:iCs/>
        </w:rPr>
        <w:t xml:space="preserve"> por lo que, en principio es necesario contextualizar la solicitud de información.</w:t>
      </w:r>
    </w:p>
    <w:p w14:paraId="097E690A" w14:textId="77777777" w:rsidR="00976389" w:rsidRPr="00F87D54" w:rsidRDefault="00976389" w:rsidP="001C25A1">
      <w:pPr>
        <w:spacing w:after="0" w:line="360" w:lineRule="auto"/>
        <w:rPr>
          <w:bCs/>
          <w:iCs/>
        </w:rPr>
      </w:pPr>
    </w:p>
    <w:p w14:paraId="1FC08E3B" w14:textId="77777777" w:rsidR="00976389" w:rsidRPr="00F87D54" w:rsidRDefault="00976389" w:rsidP="001C25A1">
      <w:pPr>
        <w:spacing w:after="0" w:line="360" w:lineRule="auto"/>
        <w:ind w:right="-28"/>
        <w:contextualSpacing/>
        <w:rPr>
          <w:rFonts w:eastAsia="Calibri" w:cs="Tahoma"/>
          <w:bCs/>
        </w:rPr>
      </w:pPr>
      <w:r w:rsidRPr="00F87D54">
        <w:rPr>
          <w:rFonts w:eastAsia="Times New Roman" w:cs="Tahoma"/>
          <w:bCs/>
          <w:iCs/>
          <w:lang w:eastAsia="es-ES"/>
        </w:rPr>
        <w:t>Al respecto</w:t>
      </w:r>
      <w:r w:rsidRPr="00F87D54">
        <w:rPr>
          <w:rFonts w:eastAsia="Calibri" w:cs="Tahoma"/>
          <w:bCs/>
          <w:color w:val="auto"/>
        </w:rPr>
        <w:t xml:space="preserve">, </w:t>
      </w:r>
      <w:r w:rsidRPr="00F87D54">
        <w:rPr>
          <w:rFonts w:eastAsia="Calibri" w:cs="Tahoma"/>
          <w:bCs/>
        </w:rPr>
        <w:t xml:space="preserve">es necesario traer a colación la Guía Técnica 9 “La Administración del Personal Municipal”, que establece que son servidores públicos, son todas aquellas personas que </w:t>
      </w:r>
      <w:r w:rsidRPr="00F87D54">
        <w:rPr>
          <w:rFonts w:eastAsia="Calibri" w:cs="Tahoma"/>
          <w:bCs/>
        </w:rPr>
        <w:lastRenderedPageBreak/>
        <w:t>prestan su trabajo al servicio del municipio, conformado por las autoridades (Presidente Municipal, Síndico, Regidores, Comisarios, Delegados y Agentes Municipales), funcionarios (Secretario del Ayuntamiento, Directores, Tesoreros, Contralores y Jefes de Departamento) y empleados (puestos administrativos y técnicos).</w:t>
      </w:r>
    </w:p>
    <w:p w14:paraId="391D2E2C" w14:textId="77777777" w:rsidR="00976389" w:rsidRPr="00F87D54" w:rsidRDefault="00976389" w:rsidP="001C25A1">
      <w:pPr>
        <w:spacing w:after="0" w:line="360" w:lineRule="auto"/>
        <w:ind w:right="-28"/>
        <w:contextualSpacing/>
        <w:rPr>
          <w:rFonts w:eastAsia="Calibri" w:cs="Tahoma"/>
          <w:bCs/>
        </w:rPr>
      </w:pPr>
    </w:p>
    <w:p w14:paraId="2F81256D" w14:textId="77777777" w:rsidR="00976389" w:rsidRPr="00F87D54" w:rsidRDefault="00976389" w:rsidP="001C25A1">
      <w:pPr>
        <w:spacing w:after="0" w:line="360" w:lineRule="auto"/>
        <w:rPr>
          <w:rFonts w:cs="Tahoma"/>
          <w:bCs/>
          <w:iCs/>
        </w:rPr>
      </w:pPr>
      <w:r w:rsidRPr="00F87D54">
        <w:rPr>
          <w:rFonts w:cs="Tahoma"/>
          <w:bCs/>
          <w:iCs/>
        </w:rPr>
        <w:t>En ese orden de ideas, el primer párrafo, del artículo 108 de la Constitución Política de los Estados Unidos Mexicanos, establece que, en materia de responsabilidades, serán servidores públicos, los representantes de elección popular, l</w:t>
      </w:r>
      <w:r w:rsidRPr="00F87D54">
        <w:t>os funcionarios y empleados y, en general, a toda persona que desempeñe un empleo, cargo o comisión de cualquier naturaleza dentro de la Administración Pública</w:t>
      </w:r>
      <w:r w:rsidRPr="00F87D54">
        <w:rPr>
          <w:rFonts w:cs="Tahoma"/>
          <w:bCs/>
          <w:iCs/>
        </w:rPr>
        <w:t>. De la misma manera, el artículo 130 de la Constitución Política del Estado Libre y Soberano de México, precisa que son servidores públicos a todas las personas que desempeñen un empleo, cargo o comisión en los Municipios.</w:t>
      </w:r>
    </w:p>
    <w:p w14:paraId="08859F77" w14:textId="77777777" w:rsidR="00976389" w:rsidRPr="00F87D54" w:rsidRDefault="00976389" w:rsidP="001C25A1">
      <w:pPr>
        <w:spacing w:after="0" w:line="360" w:lineRule="auto"/>
        <w:ind w:right="-28"/>
        <w:contextualSpacing/>
        <w:rPr>
          <w:rFonts w:eastAsia="Calibri" w:cs="Tahoma"/>
          <w:b/>
        </w:rPr>
      </w:pPr>
    </w:p>
    <w:p w14:paraId="09435C0B" w14:textId="77777777" w:rsidR="00976389" w:rsidRPr="00F87D54" w:rsidRDefault="00976389" w:rsidP="001C25A1">
      <w:pPr>
        <w:spacing w:after="0" w:line="360" w:lineRule="auto"/>
        <w:ind w:right="-28"/>
        <w:contextualSpacing/>
        <w:rPr>
          <w:rFonts w:eastAsia="Calibri" w:cs="Tahoma"/>
          <w:bCs/>
          <w:color w:val="000000"/>
          <w:lang w:val="es-ES"/>
        </w:rPr>
      </w:pPr>
      <w:r w:rsidRPr="00F87D54">
        <w:rPr>
          <w:rFonts w:eastAsia="Calibri" w:cs="Tahoma"/>
          <w:bCs/>
          <w:color w:val="000000"/>
          <w:lang w:val="es-ES"/>
        </w:rPr>
        <w:t xml:space="preserve">Además, el artículo 4°, fracción VI, de la Ley del Trabajo de los servidores públicos del Estado y Municipios, precisa que son </w:t>
      </w:r>
      <w:r w:rsidRPr="00F87D54">
        <w:rPr>
          <w:rFonts w:eastAsia="Calibri" w:cs="Tahoma"/>
          <w:b/>
          <w:bCs/>
          <w:color w:val="000000"/>
          <w:lang w:val="es-ES"/>
        </w:rPr>
        <w:t>servidores públicos</w:t>
      </w:r>
      <w:r w:rsidRPr="00F87D54">
        <w:rPr>
          <w:rFonts w:eastAsia="Calibri" w:cs="Tahoma"/>
          <w:bCs/>
          <w:color w:val="000000"/>
          <w:lang w:val="es-ES"/>
        </w:rPr>
        <w:t>, todas las personas físicas que presten a una institución pública un trabajo personal subordinado, mediante el pago de un sueldo.</w:t>
      </w:r>
    </w:p>
    <w:p w14:paraId="782ED43B" w14:textId="77777777" w:rsidR="00976389" w:rsidRPr="00F87D54" w:rsidRDefault="00976389" w:rsidP="001C25A1">
      <w:pPr>
        <w:spacing w:after="0" w:line="360" w:lineRule="auto"/>
        <w:ind w:right="-28"/>
        <w:contextualSpacing/>
        <w:rPr>
          <w:rFonts w:eastAsia="Calibri" w:cs="Tahoma"/>
          <w:bCs/>
          <w:color w:val="auto"/>
        </w:rPr>
      </w:pPr>
    </w:p>
    <w:p w14:paraId="3790CB27" w14:textId="77777777" w:rsidR="00976389" w:rsidRPr="00F87D54" w:rsidRDefault="00976389" w:rsidP="001C25A1">
      <w:pPr>
        <w:spacing w:after="0" w:line="360" w:lineRule="auto"/>
        <w:ind w:right="-28"/>
        <w:contextualSpacing/>
      </w:pPr>
      <w:r w:rsidRPr="00F87D54">
        <w:rPr>
          <w:rFonts w:eastAsia="Calibri" w:cs="Tahoma"/>
          <w:bCs/>
          <w:color w:val="auto"/>
        </w:rPr>
        <w:t xml:space="preserve">En ese contexto, el artículo 45 de la Ley del Trabajo de los Servidores Públicos del Estado y Municipios, establece que, los servidores públicos iniciarán su servicio mediante un </w:t>
      </w:r>
      <w:r w:rsidRPr="00F87D54">
        <w:rPr>
          <w:b/>
          <w:bCs/>
        </w:rPr>
        <w:t>nombramiento</w:t>
      </w:r>
      <w:r w:rsidRPr="00F87D54">
        <w:t xml:space="preserve">, contrato o </w:t>
      </w:r>
      <w:r w:rsidRPr="00F87D54">
        <w:rPr>
          <w:b/>
        </w:rPr>
        <w:t>formato único de Movimientos de Personal</w:t>
      </w:r>
      <w:r w:rsidRPr="00F87D54">
        <w:t xml:space="preserve"> expedidos por quien estuviere facultado legalmente para extenderlo.</w:t>
      </w:r>
    </w:p>
    <w:p w14:paraId="48CE6A6A" w14:textId="77777777" w:rsidR="00976389" w:rsidRPr="00F87D54" w:rsidRDefault="00976389" w:rsidP="001C25A1">
      <w:pPr>
        <w:spacing w:after="0" w:line="360" w:lineRule="auto"/>
        <w:ind w:right="-28"/>
        <w:contextualSpacing/>
      </w:pPr>
    </w:p>
    <w:p w14:paraId="31D536C8" w14:textId="77777777" w:rsidR="00976389" w:rsidRPr="00F87D54" w:rsidRDefault="00976389" w:rsidP="001C25A1">
      <w:pPr>
        <w:spacing w:after="0" w:line="360" w:lineRule="auto"/>
        <w:ind w:right="-28"/>
        <w:contextualSpacing/>
      </w:pPr>
      <w:r w:rsidRPr="00F87D54">
        <w:t>Asimismo, el artículo 49 de la Ley antes mencionada, establece que, los nombramientos, contratos o formato único de Movimientos de Personal de los servidores públicos deberán contener lo siguiente:</w:t>
      </w:r>
    </w:p>
    <w:p w14:paraId="5BA35B10" w14:textId="77777777" w:rsidR="00976389" w:rsidRPr="00F87D54" w:rsidRDefault="00976389" w:rsidP="001C25A1">
      <w:pPr>
        <w:spacing w:after="0" w:line="360" w:lineRule="auto"/>
        <w:ind w:right="-28"/>
        <w:contextualSpacing/>
      </w:pPr>
    </w:p>
    <w:p w14:paraId="24E96ECC" w14:textId="77777777" w:rsidR="00976389" w:rsidRPr="00F87D54" w:rsidRDefault="00976389" w:rsidP="001C25A1">
      <w:pPr>
        <w:pStyle w:val="Prrafodelista"/>
        <w:numPr>
          <w:ilvl w:val="0"/>
          <w:numId w:val="5"/>
        </w:numPr>
        <w:spacing w:line="360" w:lineRule="auto"/>
        <w:ind w:right="-28"/>
        <w:rPr>
          <w:rFonts w:eastAsia="Palatino Linotype" w:cs="Palatino Linotype"/>
          <w:lang w:eastAsia="es-MX"/>
        </w:rPr>
      </w:pPr>
      <w:r w:rsidRPr="00F87D54">
        <w:lastRenderedPageBreak/>
        <w:t xml:space="preserve">Nombre completo del servidor público; </w:t>
      </w:r>
    </w:p>
    <w:p w14:paraId="2A4C56DC" w14:textId="77777777" w:rsidR="00976389" w:rsidRPr="00F87D54" w:rsidRDefault="00976389" w:rsidP="001C25A1">
      <w:pPr>
        <w:pStyle w:val="Prrafodelista"/>
        <w:numPr>
          <w:ilvl w:val="0"/>
          <w:numId w:val="5"/>
        </w:numPr>
        <w:spacing w:line="360" w:lineRule="auto"/>
        <w:ind w:right="-28"/>
        <w:rPr>
          <w:rFonts w:eastAsia="Palatino Linotype" w:cs="Palatino Linotype"/>
          <w:lang w:eastAsia="es-MX"/>
        </w:rPr>
      </w:pPr>
      <w:r w:rsidRPr="00F87D54">
        <w:t xml:space="preserve">Cargo para el que es designado, fecha de inicio de sus servicios y lugar de adscripción; </w:t>
      </w:r>
    </w:p>
    <w:p w14:paraId="4DAD0C17" w14:textId="77777777" w:rsidR="00976389" w:rsidRPr="00F87D54" w:rsidRDefault="00976389" w:rsidP="001C25A1">
      <w:pPr>
        <w:pStyle w:val="Prrafodelista"/>
        <w:numPr>
          <w:ilvl w:val="0"/>
          <w:numId w:val="5"/>
        </w:numPr>
        <w:spacing w:line="360" w:lineRule="auto"/>
        <w:ind w:right="-28"/>
        <w:rPr>
          <w:rFonts w:eastAsia="Palatino Linotype" w:cs="Palatino Linotype"/>
          <w:lang w:eastAsia="es-MX"/>
        </w:rPr>
      </w:pPr>
      <w:r w:rsidRPr="00F87D54">
        <w:t xml:space="preserve">Carácter del nombramiento, ya sea de servidores públicos generales o de confianza, así como la temporalidad del mismo; </w:t>
      </w:r>
    </w:p>
    <w:p w14:paraId="02B5A3DA" w14:textId="77777777" w:rsidR="00976389" w:rsidRPr="00F87D54" w:rsidRDefault="00976389" w:rsidP="001C25A1">
      <w:pPr>
        <w:pStyle w:val="Prrafodelista"/>
        <w:numPr>
          <w:ilvl w:val="0"/>
          <w:numId w:val="5"/>
        </w:numPr>
        <w:spacing w:line="360" w:lineRule="auto"/>
        <w:ind w:right="-28"/>
        <w:rPr>
          <w:rFonts w:eastAsia="Palatino Linotype" w:cs="Palatino Linotype"/>
          <w:lang w:eastAsia="es-MX"/>
        </w:rPr>
      </w:pPr>
      <w:r w:rsidRPr="00F87D54">
        <w:t>Remuneración correspondiente al puesto;</w:t>
      </w:r>
    </w:p>
    <w:p w14:paraId="0D5B9F57" w14:textId="77777777" w:rsidR="00976389" w:rsidRPr="00F87D54" w:rsidRDefault="00976389" w:rsidP="001C25A1">
      <w:pPr>
        <w:pStyle w:val="Prrafodelista"/>
        <w:numPr>
          <w:ilvl w:val="0"/>
          <w:numId w:val="5"/>
        </w:numPr>
        <w:spacing w:line="360" w:lineRule="auto"/>
        <w:ind w:right="-28"/>
        <w:rPr>
          <w:rFonts w:eastAsia="Palatino Linotype" w:cs="Palatino Linotype"/>
          <w:lang w:eastAsia="es-MX"/>
        </w:rPr>
      </w:pPr>
      <w:r w:rsidRPr="00F87D54">
        <w:t xml:space="preserve">Jornada de trabajo, y </w:t>
      </w:r>
    </w:p>
    <w:p w14:paraId="0EFC887B" w14:textId="77777777" w:rsidR="00976389" w:rsidRPr="00F87D54" w:rsidRDefault="00976389" w:rsidP="001C25A1">
      <w:pPr>
        <w:pStyle w:val="Prrafodelista"/>
        <w:numPr>
          <w:ilvl w:val="0"/>
          <w:numId w:val="5"/>
        </w:numPr>
        <w:spacing w:line="360" w:lineRule="auto"/>
        <w:ind w:right="-28"/>
        <w:rPr>
          <w:rFonts w:eastAsia="Palatino Linotype" w:cs="Palatino Linotype"/>
          <w:lang w:eastAsia="es-MX"/>
        </w:rPr>
      </w:pPr>
      <w:r w:rsidRPr="00F87D54">
        <w:t>Firma del servidor público autorizado para emitir el nombramiento, contrato o formato único de Movimientos de Personal, así como el fundamento legal de esa atribución.</w:t>
      </w:r>
    </w:p>
    <w:p w14:paraId="090C7FD3" w14:textId="77777777" w:rsidR="00976389" w:rsidRPr="00F87D54" w:rsidRDefault="00976389" w:rsidP="001C25A1">
      <w:pPr>
        <w:spacing w:after="0" w:line="360" w:lineRule="auto"/>
        <w:rPr>
          <w:rFonts w:eastAsia="Times New Roman" w:cs="Tahoma"/>
          <w:bCs/>
          <w:iCs/>
          <w:lang w:eastAsia="es-ES"/>
        </w:rPr>
      </w:pPr>
    </w:p>
    <w:p w14:paraId="3F906A6A" w14:textId="646250D1" w:rsidR="00976389" w:rsidRPr="00F87D54" w:rsidRDefault="00976389" w:rsidP="001C25A1">
      <w:pPr>
        <w:spacing w:after="0" w:line="360" w:lineRule="auto"/>
        <w:rPr>
          <w:rFonts w:eastAsia="Times New Roman" w:cs="Tahoma"/>
          <w:bCs/>
          <w:iCs/>
          <w:lang w:eastAsia="es-ES"/>
        </w:rPr>
      </w:pPr>
      <w:r w:rsidRPr="00F87D54">
        <w:rPr>
          <w:rFonts w:eastAsia="Times New Roman" w:cs="Tahoma"/>
          <w:bCs/>
          <w:iCs/>
          <w:lang w:eastAsia="es-ES"/>
        </w:rPr>
        <w:t xml:space="preserve">Ahora bien, de conformidad con los artículos 48 y 49 del Bando Municipal de Temoaya, dos mil veinticinco, establece que, </w:t>
      </w:r>
      <w:r w:rsidRPr="00F87D54">
        <w:t xml:space="preserve">para el despacho, estudio y planeación de los diversos asuntos municipales, el Ayuntamiento se auxiliará de una Dirección de Administración y Desarrollo de Personal, la cual se encargará de llevar a cabo todo lo relacionado con el movimiento del personal como el registro de bajas y altas. </w:t>
      </w:r>
    </w:p>
    <w:p w14:paraId="224F3728" w14:textId="77777777" w:rsidR="00976389" w:rsidRPr="00F87D54" w:rsidRDefault="00976389" w:rsidP="001C25A1">
      <w:pPr>
        <w:spacing w:after="0" w:line="360" w:lineRule="auto"/>
        <w:rPr>
          <w:rFonts w:eastAsia="Times New Roman" w:cs="Tahoma"/>
          <w:bCs/>
          <w:iCs/>
          <w:lang w:eastAsia="es-ES"/>
        </w:rPr>
      </w:pPr>
    </w:p>
    <w:p w14:paraId="5403BA6B" w14:textId="74ABAC7D" w:rsidR="00976389" w:rsidRPr="00F87D54" w:rsidRDefault="00976389" w:rsidP="001C25A1">
      <w:pPr>
        <w:spacing w:after="0" w:line="360" w:lineRule="auto"/>
      </w:pPr>
      <w:r w:rsidRPr="00F87D54">
        <w:rPr>
          <w:rFonts w:eastAsia="Calibri" w:cs="Tahoma"/>
          <w:bCs/>
          <w:color w:val="auto"/>
        </w:rPr>
        <w:t xml:space="preserve">Conforme a lo anterior, se logra vislumbrar que la pretensión de la persona Recurrente es </w:t>
      </w:r>
      <w:r w:rsidRPr="00F87D54">
        <w:rPr>
          <w:rFonts w:cs="Tahoma"/>
        </w:rPr>
        <w:t xml:space="preserve">obtener el </w:t>
      </w:r>
      <w:r w:rsidRPr="00F87D54">
        <w:t>Formato Único de Movimientos de Personal de los servidores públicos mencionados en el listado entregado en respuesta.</w:t>
      </w:r>
    </w:p>
    <w:p w14:paraId="2E138040" w14:textId="77777777" w:rsidR="00976389" w:rsidRPr="00F87D54" w:rsidRDefault="00976389" w:rsidP="001C25A1">
      <w:pPr>
        <w:spacing w:after="0" w:line="360" w:lineRule="auto"/>
        <w:ind w:right="-93"/>
        <w:rPr>
          <w:rFonts w:eastAsia="Times New Roman" w:cs="Tahoma"/>
          <w:color w:val="auto"/>
          <w:lang w:val="es-ES" w:eastAsia="es-ES"/>
        </w:rPr>
      </w:pPr>
    </w:p>
    <w:p w14:paraId="3D2BE7E0" w14:textId="77777777" w:rsidR="00976389" w:rsidRPr="00F87D54" w:rsidRDefault="00976389" w:rsidP="001C25A1">
      <w:pPr>
        <w:spacing w:after="0" w:line="360" w:lineRule="auto"/>
      </w:pPr>
      <w:r w:rsidRPr="00F87D54">
        <w:rPr>
          <w:color w:val="000000"/>
        </w:rPr>
        <w:t>Ahora bien, de las constancias que obran en el expediente electrónico, se advierte que el Sujeto Obligado</w:t>
      </w:r>
      <w:r w:rsidRPr="00F87D54">
        <w:rPr>
          <w:color w:val="0D0D0D"/>
        </w:rPr>
        <w:t>, turnó la solicitud de información a la Jefatura de Recursos Humanos</w:t>
      </w:r>
      <w:r w:rsidRPr="00F87D54">
        <w:rPr>
          <w:color w:val="000000"/>
        </w:rPr>
        <w:t xml:space="preserve">; </w:t>
      </w:r>
      <w:r w:rsidRPr="00F87D54">
        <w:t xml:space="preserve">por lo que, es oportuno hacer referencia al </w:t>
      </w:r>
      <w:r w:rsidRPr="00F87D54">
        <w:rPr>
          <w:b/>
        </w:rPr>
        <w:t>procedimiento de búsqueda que deben de seguir los Sujetos Obligados para localizar la información</w:t>
      </w:r>
      <w:r w:rsidRPr="00F87D54">
        <w:t xml:space="preserve">, el cual se encuentra previsto en el artículo 162 de la Ley de Transparencia y Acceso a la Información Pública del Estado de México y Municipios, el cual establece que las Unidades de Transparencia garantizarán que las </w:t>
      </w:r>
      <w:r w:rsidRPr="00F87D54">
        <w:lastRenderedPageBreak/>
        <w:t>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p>
    <w:p w14:paraId="586B40EF" w14:textId="77777777" w:rsidR="00976389" w:rsidRPr="00F87D54" w:rsidRDefault="00976389" w:rsidP="001C25A1">
      <w:pPr>
        <w:spacing w:after="0" w:line="360" w:lineRule="auto"/>
        <w:ind w:left="720"/>
      </w:pPr>
    </w:p>
    <w:p w14:paraId="25A6F262" w14:textId="77777777" w:rsidR="00976389" w:rsidRPr="00F87D54" w:rsidRDefault="00976389" w:rsidP="001C25A1">
      <w:pPr>
        <w:spacing w:after="0" w:line="360" w:lineRule="auto"/>
        <w:rPr>
          <w:color w:val="000000"/>
        </w:rPr>
      </w:pPr>
      <w:r w:rsidRPr="00F87D54">
        <w:rPr>
          <w:color w:val="000000"/>
        </w:rPr>
        <w:t xml:space="preserve">Así y de lo plasmado en párrafos anteriores, </w:t>
      </w:r>
      <w:r w:rsidRPr="00F87D54">
        <w:t xml:space="preserve">se logra colegir que el Sujeto Obligado cumplió con el procedimiento de búsqueda </w:t>
      </w:r>
      <w:r w:rsidRPr="00F87D54">
        <w:rPr>
          <w:color w:val="000000"/>
        </w:rPr>
        <w:t>establecido en el artículo 162 de la Ley de Transparencia y Acceso a la Información Pública del Estado de México y Municipios, toda vez, que gestionó el requerimiento de información al área competente para conocer de lo peticionado.</w:t>
      </w:r>
    </w:p>
    <w:p w14:paraId="213E8C61" w14:textId="77777777" w:rsidR="009024BE" w:rsidRPr="00F87D54" w:rsidRDefault="009024BE" w:rsidP="001C25A1">
      <w:pPr>
        <w:spacing w:after="0" w:line="360" w:lineRule="auto"/>
        <w:rPr>
          <w:color w:val="000000"/>
        </w:rPr>
      </w:pPr>
    </w:p>
    <w:p w14:paraId="779C37F5" w14:textId="4ECECDE0" w:rsidR="009024BE" w:rsidRPr="00F87D54" w:rsidRDefault="009024BE" w:rsidP="001C25A1">
      <w:pPr>
        <w:spacing w:after="0" w:line="360" w:lineRule="auto"/>
      </w:pPr>
      <w:r w:rsidRPr="00F87D54">
        <w:rPr>
          <w:color w:val="000000"/>
        </w:rPr>
        <w:t xml:space="preserve">Ahora bien, en respuesta, la Jefatura de Recursos Humanos entregó cuarenta y dos </w:t>
      </w:r>
      <w:r w:rsidRPr="00F87D54">
        <w:t>Formatos Únicos de Movimientos de Personal de todos los servidores públicos mencionados en el listado, tal y como se muestra en los extractos siguientes:</w:t>
      </w:r>
    </w:p>
    <w:p w14:paraId="6EBCE3D6" w14:textId="77777777" w:rsidR="009024BE" w:rsidRPr="00F87D54" w:rsidRDefault="009024BE" w:rsidP="001C25A1">
      <w:pPr>
        <w:spacing w:after="0" w:line="360" w:lineRule="auto"/>
      </w:pPr>
    </w:p>
    <w:p w14:paraId="5F7D844C" w14:textId="2F02F788" w:rsidR="009024BE" w:rsidRPr="00F87D54" w:rsidRDefault="009024BE" w:rsidP="001C25A1">
      <w:pPr>
        <w:spacing w:after="0" w:line="360" w:lineRule="auto"/>
        <w:jc w:val="center"/>
        <w:rPr>
          <w:color w:val="000000"/>
        </w:rPr>
      </w:pPr>
      <w:r w:rsidRPr="00F87D54">
        <w:rPr>
          <w:noProof/>
          <w:color w:val="000000"/>
        </w:rPr>
        <w:drawing>
          <wp:inline distT="0" distB="0" distL="0" distR="0" wp14:anchorId="1FDEF5A6" wp14:editId="320269FD">
            <wp:extent cx="4623748" cy="2421890"/>
            <wp:effectExtent l="0" t="0" r="571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94AD46.tmp"/>
                    <pic:cNvPicPr/>
                  </pic:nvPicPr>
                  <pic:blipFill>
                    <a:blip r:embed="rId9">
                      <a:extLst>
                        <a:ext uri="{28A0092B-C50C-407E-A947-70E740481C1C}">
                          <a14:useLocalDpi xmlns:a14="http://schemas.microsoft.com/office/drawing/2010/main" val="0"/>
                        </a:ext>
                      </a:extLst>
                    </a:blip>
                    <a:stretch>
                      <a:fillRect/>
                    </a:stretch>
                  </pic:blipFill>
                  <pic:spPr>
                    <a:xfrm>
                      <a:off x="0" y="0"/>
                      <a:ext cx="4651330" cy="2436337"/>
                    </a:xfrm>
                    <a:prstGeom prst="rect">
                      <a:avLst/>
                    </a:prstGeom>
                  </pic:spPr>
                </pic:pic>
              </a:graphicData>
            </a:graphic>
          </wp:inline>
        </w:drawing>
      </w:r>
    </w:p>
    <w:p w14:paraId="363C1A27" w14:textId="77777777" w:rsidR="009024BE" w:rsidRPr="00F87D54" w:rsidRDefault="009024BE" w:rsidP="001C25A1">
      <w:pPr>
        <w:spacing w:after="0" w:line="360" w:lineRule="auto"/>
        <w:rPr>
          <w:color w:val="000000"/>
        </w:rPr>
      </w:pPr>
    </w:p>
    <w:p w14:paraId="5635BD34" w14:textId="65F39FFA" w:rsidR="009024BE" w:rsidRPr="00F87D54" w:rsidRDefault="009024BE" w:rsidP="001C25A1">
      <w:pPr>
        <w:spacing w:after="0" w:line="360" w:lineRule="auto"/>
        <w:jc w:val="center"/>
        <w:rPr>
          <w:color w:val="000000"/>
        </w:rPr>
      </w:pPr>
      <w:r w:rsidRPr="00F87D54">
        <w:rPr>
          <w:noProof/>
          <w:color w:val="000000"/>
        </w:rPr>
        <w:lastRenderedPageBreak/>
        <w:drawing>
          <wp:inline distT="0" distB="0" distL="0" distR="0" wp14:anchorId="4E4D2A96" wp14:editId="0EF9799A">
            <wp:extent cx="4804410" cy="244013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94942.tmp"/>
                    <pic:cNvPicPr/>
                  </pic:nvPicPr>
                  <pic:blipFill>
                    <a:blip r:embed="rId10">
                      <a:extLst>
                        <a:ext uri="{28A0092B-C50C-407E-A947-70E740481C1C}">
                          <a14:useLocalDpi xmlns:a14="http://schemas.microsoft.com/office/drawing/2010/main" val="0"/>
                        </a:ext>
                      </a:extLst>
                    </a:blip>
                    <a:stretch>
                      <a:fillRect/>
                    </a:stretch>
                  </pic:blipFill>
                  <pic:spPr>
                    <a:xfrm>
                      <a:off x="0" y="0"/>
                      <a:ext cx="4834830" cy="2455581"/>
                    </a:xfrm>
                    <a:prstGeom prst="rect">
                      <a:avLst/>
                    </a:prstGeom>
                  </pic:spPr>
                </pic:pic>
              </a:graphicData>
            </a:graphic>
          </wp:inline>
        </w:drawing>
      </w:r>
    </w:p>
    <w:p w14:paraId="0F9344BC" w14:textId="77777777" w:rsidR="00976389" w:rsidRPr="00F87D54" w:rsidRDefault="00976389" w:rsidP="001C25A1">
      <w:pPr>
        <w:spacing w:after="0" w:line="360" w:lineRule="auto"/>
        <w:rPr>
          <w:bCs/>
          <w:iCs/>
        </w:rPr>
      </w:pPr>
    </w:p>
    <w:p w14:paraId="70A36FB1" w14:textId="2B72F1A1" w:rsidR="001B1E08" w:rsidRPr="00F87D54" w:rsidRDefault="00777303" w:rsidP="001C25A1">
      <w:pPr>
        <w:spacing w:after="0" w:line="360" w:lineRule="auto"/>
        <w:rPr>
          <w:b/>
          <w:bCs/>
        </w:rPr>
      </w:pPr>
      <w:r w:rsidRPr="00F87D54">
        <w:rPr>
          <w:bCs/>
          <w:iCs/>
        </w:rPr>
        <w:t xml:space="preserve">De lo anterior se observa que, si bien el Sujeto Obligado entregó todos los </w:t>
      </w:r>
      <w:r w:rsidRPr="00F87D54">
        <w:t>Formatos Únicos de Movimientos de Personal de todos los servidores públicos mencionados en el listado, omit</w:t>
      </w:r>
      <w:r w:rsidR="00DE02DF" w:rsidRPr="00F87D54">
        <w:t>ió pronunciarse sobre el Acta emitida</w:t>
      </w:r>
      <w:r w:rsidRPr="00F87D54">
        <w:t xml:space="preserve"> por el Comité de Transparencia </w:t>
      </w:r>
      <w:r w:rsidR="00DE02DF" w:rsidRPr="00F87D54">
        <w:t xml:space="preserve">donde se aprobó la clasificación como confidencial de los datos personales testados en los Formatos Únicos de Movimientos de Personal entregados, asimismo, de la revisión de los Formatos </w:t>
      </w:r>
      <w:r w:rsidR="00891D6C" w:rsidRPr="00F87D54">
        <w:t xml:space="preserve">se observa que en el FUMP de la Titular de la Unidad de Transparencia se testó la escolaridad del servidor público, </w:t>
      </w:r>
      <w:r w:rsidR="00B30556" w:rsidRPr="00F87D54">
        <w:t xml:space="preserve">lo cual da como resultado que el agravio sea </w:t>
      </w:r>
      <w:r w:rsidR="00B30556" w:rsidRPr="00F87D54">
        <w:rPr>
          <w:b/>
          <w:bCs/>
        </w:rPr>
        <w:t>PARCIALMENTE FUNDADO.</w:t>
      </w:r>
    </w:p>
    <w:p w14:paraId="1D5029C2" w14:textId="77777777" w:rsidR="00E8026B" w:rsidRPr="00F87D54" w:rsidRDefault="00E8026B" w:rsidP="001C25A1">
      <w:pPr>
        <w:spacing w:after="0" w:line="360" w:lineRule="auto"/>
      </w:pPr>
    </w:p>
    <w:p w14:paraId="046CE046" w14:textId="22A2F35D" w:rsidR="00E8026B" w:rsidRPr="00F87D54" w:rsidRDefault="001B1E08" w:rsidP="001C25A1">
      <w:pPr>
        <w:spacing w:after="0" w:line="360" w:lineRule="auto"/>
        <w:rPr>
          <w:bCs/>
          <w:lang w:val="es-ES_tradnl"/>
        </w:rPr>
      </w:pPr>
      <w:r w:rsidRPr="00F87D54">
        <w:rPr>
          <w:rFonts w:cs="Tahoma"/>
          <w:bCs/>
          <w:iCs/>
          <w:lang w:val="es-ES" w:eastAsia="es-ES"/>
        </w:rPr>
        <w:t>N</w:t>
      </w:r>
      <w:proofErr w:type="spellStart"/>
      <w:r w:rsidRPr="00F87D54">
        <w:rPr>
          <w:rFonts w:eastAsia="Calibri" w:cs="Times New Roman"/>
          <w:color w:val="000000"/>
        </w:rPr>
        <w:t>o</w:t>
      </w:r>
      <w:proofErr w:type="spellEnd"/>
      <w:r w:rsidRPr="00F87D54">
        <w:rPr>
          <w:rFonts w:eastAsia="Calibri" w:cs="Times New Roman"/>
          <w:color w:val="000000"/>
        </w:rPr>
        <w:t xml:space="preserve"> obstante, durante la sustanciación del Medio de Impugnación, la </w:t>
      </w:r>
      <w:r w:rsidR="00E8026B" w:rsidRPr="00F87D54">
        <w:rPr>
          <w:rFonts w:eastAsia="Calibri" w:cs="Times New Roman"/>
          <w:color w:val="000000"/>
        </w:rPr>
        <w:t xml:space="preserve">Titular de la Unidad de Transparencia mencionó que debido a un error humano </w:t>
      </w:r>
      <w:r w:rsidR="00E8026B" w:rsidRPr="00F87D54">
        <w:rPr>
          <w:rFonts w:eastAsia="Calibri" w:cs="Tahoma"/>
        </w:rPr>
        <w:t>no se adjuntó el Acuerdo del Comité de Transparencia donde se apr</w:t>
      </w:r>
      <w:r w:rsidR="001C25A1" w:rsidRPr="00F87D54">
        <w:rPr>
          <w:rFonts w:eastAsia="Calibri" w:cs="Tahoma"/>
        </w:rPr>
        <w:t>obaba</w:t>
      </w:r>
      <w:r w:rsidR="00E8026B" w:rsidRPr="00F87D54">
        <w:rPr>
          <w:rFonts w:eastAsia="Calibri" w:cs="Tahoma"/>
        </w:rPr>
        <w:t xml:space="preserve"> la clasificación como confidencial de los datos personales contenido en los Formatos Únicos de Movimientos de Personal, asimismo, que el dato denominado “Entidad de Nacimiento” en los FUMP, se refiere al País de México, motivo por el cual se dejó a la vista por ser un dato público, además, que si bien la escolaridad de los servidores públicos es un dato público, sin embargo, se testo en el FUMP de la Titular de la </w:t>
      </w:r>
      <w:r w:rsidR="00E8026B" w:rsidRPr="00F87D54">
        <w:rPr>
          <w:rFonts w:eastAsia="Calibri" w:cs="Tahoma"/>
        </w:rPr>
        <w:lastRenderedPageBreak/>
        <w:t xml:space="preserve">Unidad de Transparencia, motivo por el cual adjuntó de nuevo el Formato Único de Movimientos de Personal de la Titular de la Unidad de Transparencia donde dejó visible la escolaridad y el </w:t>
      </w:r>
      <w:r w:rsidR="00E8026B" w:rsidRPr="00F87D54">
        <w:rPr>
          <w:bCs/>
          <w:lang w:val="es-ES_tradnl"/>
        </w:rPr>
        <w:t>Acuerdo número TEMOAYA/CT/1SE/10/2025</w:t>
      </w:r>
      <w:r w:rsidR="00E8026B" w:rsidRPr="00F87D54">
        <w:rPr>
          <w:bCs/>
          <w:sz w:val="24"/>
          <w:szCs w:val="24"/>
          <w:lang w:val="es-ES_tradnl"/>
        </w:rPr>
        <w:t xml:space="preserve">, </w:t>
      </w:r>
      <w:r w:rsidR="00E8026B" w:rsidRPr="00F87D54">
        <w:rPr>
          <w:bCs/>
          <w:lang w:val="es-ES_tradnl"/>
        </w:rPr>
        <w:t>de la Primera Sesión Extraordinaria del Comité de Transparencia del cuatro de febrero de dos mil veinticinco, donde se aprueba por unanimidad de votos la clasificación como confidencial de los datos personales contenidos en los Formatos Únicos de Movimientos de Personal, tal y como se muestra en los extractos siguientes:</w:t>
      </w:r>
    </w:p>
    <w:p w14:paraId="5155DBCF" w14:textId="77777777" w:rsidR="00E8026B" w:rsidRPr="00F87D54" w:rsidRDefault="00E8026B" w:rsidP="001C25A1">
      <w:pPr>
        <w:spacing w:after="0" w:line="360" w:lineRule="auto"/>
        <w:rPr>
          <w:bCs/>
          <w:lang w:val="es-ES_tradnl"/>
        </w:rPr>
      </w:pPr>
    </w:p>
    <w:p w14:paraId="65DE7D06" w14:textId="380D1A7A" w:rsidR="00E8026B" w:rsidRPr="00F87D54" w:rsidRDefault="00B83793" w:rsidP="001C25A1">
      <w:pPr>
        <w:spacing w:after="0" w:line="360" w:lineRule="auto"/>
        <w:jc w:val="center"/>
        <w:rPr>
          <w:rFonts w:eastAsia="Calibri" w:cs="Times New Roman"/>
          <w:color w:val="000000"/>
        </w:rPr>
      </w:pPr>
      <w:r w:rsidRPr="00F87D54">
        <w:rPr>
          <w:rFonts w:eastAsia="Calibri" w:cs="Times New Roman"/>
          <w:noProof/>
          <w:color w:val="000000"/>
        </w:rPr>
        <w:drawing>
          <wp:inline distT="0" distB="0" distL="0" distR="0" wp14:anchorId="69BD7942" wp14:editId="70B0B167">
            <wp:extent cx="4448175" cy="23493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949F4B.tmp"/>
                    <pic:cNvPicPr/>
                  </pic:nvPicPr>
                  <pic:blipFill>
                    <a:blip r:embed="rId11">
                      <a:extLst>
                        <a:ext uri="{28A0092B-C50C-407E-A947-70E740481C1C}">
                          <a14:useLocalDpi xmlns:a14="http://schemas.microsoft.com/office/drawing/2010/main" val="0"/>
                        </a:ext>
                      </a:extLst>
                    </a:blip>
                    <a:stretch>
                      <a:fillRect/>
                    </a:stretch>
                  </pic:blipFill>
                  <pic:spPr>
                    <a:xfrm>
                      <a:off x="0" y="0"/>
                      <a:ext cx="4502094" cy="2377828"/>
                    </a:xfrm>
                    <a:prstGeom prst="rect">
                      <a:avLst/>
                    </a:prstGeom>
                  </pic:spPr>
                </pic:pic>
              </a:graphicData>
            </a:graphic>
          </wp:inline>
        </w:drawing>
      </w:r>
    </w:p>
    <w:p w14:paraId="28F6E59A" w14:textId="146883B3" w:rsidR="00B83793" w:rsidRPr="00F87D54" w:rsidRDefault="00B83793" w:rsidP="001C25A1">
      <w:pPr>
        <w:spacing w:after="0" w:line="360" w:lineRule="auto"/>
        <w:jc w:val="center"/>
        <w:rPr>
          <w:rFonts w:eastAsia="Calibri" w:cs="Times New Roman"/>
          <w:color w:val="000000"/>
        </w:rPr>
      </w:pPr>
      <w:r w:rsidRPr="00F87D54">
        <w:rPr>
          <w:rFonts w:eastAsia="Calibri" w:cs="Times New Roman"/>
          <w:noProof/>
          <w:color w:val="000000"/>
        </w:rPr>
        <w:drawing>
          <wp:inline distT="0" distB="0" distL="0" distR="0" wp14:anchorId="08912BBE" wp14:editId="57A5FE39">
            <wp:extent cx="4229100" cy="2761630"/>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943756.tmp"/>
                    <pic:cNvPicPr/>
                  </pic:nvPicPr>
                  <pic:blipFill>
                    <a:blip r:embed="rId12">
                      <a:extLst>
                        <a:ext uri="{28A0092B-C50C-407E-A947-70E740481C1C}">
                          <a14:useLocalDpi xmlns:a14="http://schemas.microsoft.com/office/drawing/2010/main" val="0"/>
                        </a:ext>
                      </a:extLst>
                    </a:blip>
                    <a:stretch>
                      <a:fillRect/>
                    </a:stretch>
                  </pic:blipFill>
                  <pic:spPr>
                    <a:xfrm>
                      <a:off x="0" y="0"/>
                      <a:ext cx="4252062" cy="2776624"/>
                    </a:xfrm>
                    <a:prstGeom prst="rect">
                      <a:avLst/>
                    </a:prstGeom>
                  </pic:spPr>
                </pic:pic>
              </a:graphicData>
            </a:graphic>
          </wp:inline>
        </w:drawing>
      </w:r>
    </w:p>
    <w:p w14:paraId="02F4DC5B" w14:textId="77777777" w:rsidR="001C25A1" w:rsidRPr="00F87D54" w:rsidRDefault="001C25A1" w:rsidP="001C25A1">
      <w:pPr>
        <w:spacing w:after="0" w:line="360" w:lineRule="auto"/>
        <w:jc w:val="center"/>
        <w:rPr>
          <w:rFonts w:eastAsia="Calibri" w:cs="Times New Roman"/>
          <w:color w:val="000000"/>
        </w:rPr>
      </w:pPr>
    </w:p>
    <w:p w14:paraId="1093C373" w14:textId="4592AA30" w:rsidR="00E8026B" w:rsidRPr="00F87D54" w:rsidRDefault="00B83793" w:rsidP="001C25A1">
      <w:pPr>
        <w:spacing w:after="0" w:line="360" w:lineRule="auto"/>
        <w:rPr>
          <w:rFonts w:eastAsia="Calibri" w:cs="Times New Roman"/>
          <w:b/>
          <w:bCs/>
          <w:color w:val="000000"/>
        </w:rPr>
      </w:pPr>
      <w:r w:rsidRPr="00F87D54">
        <w:rPr>
          <w:rFonts w:eastAsia="Calibri" w:cs="Times New Roman"/>
          <w:color w:val="000000"/>
        </w:rPr>
        <w:t xml:space="preserve">Ahora bien, este Instituto revisó el Formato </w:t>
      </w:r>
      <w:r w:rsidRPr="00F87D54">
        <w:rPr>
          <w:bCs/>
          <w:lang w:val="es-ES_tradnl"/>
        </w:rPr>
        <w:t>Único de Movimientos de Personal de la Titular de la Unidad de Transparencia, remitido en Informe Justificado, y se observó que todos los datos testados son accesibles</w:t>
      </w:r>
      <w:r w:rsidR="00126C82" w:rsidRPr="00F87D54">
        <w:rPr>
          <w:rFonts w:eastAsia="Calibri" w:cs="Times New Roman"/>
          <w:b/>
          <w:bCs/>
          <w:color w:val="000000"/>
        </w:rPr>
        <w:t>.</w:t>
      </w:r>
    </w:p>
    <w:p w14:paraId="00A803D5" w14:textId="77777777" w:rsidR="00126C82" w:rsidRPr="00F87D54" w:rsidRDefault="00126C82" w:rsidP="001C25A1">
      <w:pPr>
        <w:spacing w:after="0" w:line="360" w:lineRule="auto"/>
        <w:rPr>
          <w:rFonts w:eastAsia="Calibri" w:cs="Times New Roman"/>
          <w:b/>
          <w:bCs/>
          <w:color w:val="000000"/>
        </w:rPr>
      </w:pPr>
    </w:p>
    <w:p w14:paraId="65C47B0C" w14:textId="56674FBD" w:rsidR="00126C82" w:rsidRPr="00F87D54" w:rsidRDefault="00126C82" w:rsidP="001C25A1">
      <w:pPr>
        <w:tabs>
          <w:tab w:val="left" w:pos="4962"/>
        </w:tabs>
        <w:spacing w:after="0" w:line="360" w:lineRule="auto"/>
        <w:contextualSpacing/>
        <w:rPr>
          <w:rFonts w:eastAsia="Times New Roman" w:cs="Times New Roman"/>
          <w:bCs/>
          <w:iCs/>
          <w:color w:val="auto"/>
          <w:szCs w:val="20"/>
          <w:lang w:val="es-ES" w:eastAsia="es-ES"/>
        </w:rPr>
      </w:pPr>
      <w:r w:rsidRPr="00F87D54">
        <w:rPr>
          <w:rFonts w:eastAsia="Times New Roman" w:cs="Tahoma"/>
          <w:bCs/>
          <w:color w:val="auto"/>
          <w:lang w:eastAsia="es-ES"/>
        </w:rPr>
        <w:t>Así, este Instituto considera que, para atender el requerimiento de información, el</w:t>
      </w:r>
      <w:r w:rsidRPr="00F87D54">
        <w:rPr>
          <w:rFonts w:eastAsia="Times New Roman" w:cs="Times New Roman"/>
          <w:bCs/>
          <w:iCs/>
          <w:color w:val="auto"/>
          <w:szCs w:val="20"/>
          <w:lang w:val="es-ES" w:eastAsia="es-ES"/>
        </w:rPr>
        <w:t xml:space="preserve"> Sujeto Obligado deberá proporcionar el F</w:t>
      </w:r>
      <w:proofErr w:type="spellStart"/>
      <w:r w:rsidRPr="00F87D54">
        <w:rPr>
          <w:rFonts w:eastAsia="Calibri" w:cs="Times New Roman"/>
          <w:color w:val="000000"/>
        </w:rPr>
        <w:t>ormato</w:t>
      </w:r>
      <w:proofErr w:type="spellEnd"/>
      <w:r w:rsidRPr="00F87D54">
        <w:rPr>
          <w:rFonts w:eastAsia="Calibri" w:cs="Times New Roman"/>
          <w:color w:val="000000"/>
        </w:rPr>
        <w:t xml:space="preserve"> </w:t>
      </w:r>
      <w:r w:rsidRPr="00F87D54">
        <w:rPr>
          <w:bCs/>
          <w:lang w:val="es-ES_tradnl"/>
        </w:rPr>
        <w:t>Único de Movimientos de Personal de la Titular de la Unidad de Transparencia, en versión pública</w:t>
      </w:r>
      <w:r w:rsidRPr="00F87D54">
        <w:rPr>
          <w:rFonts w:eastAsia="Times New Roman" w:cs="Times New Roman"/>
          <w:bCs/>
          <w:iCs/>
          <w:color w:val="auto"/>
          <w:szCs w:val="20"/>
          <w:lang w:val="es-ES" w:eastAsia="es-ES"/>
        </w:rPr>
        <w:t>,</w:t>
      </w:r>
      <w:r w:rsidRPr="00F87D54">
        <w:rPr>
          <w:rFonts w:eastAsia="Calibri" w:cs="Tahoma"/>
          <w:bCs/>
          <w:color w:val="auto"/>
        </w:rPr>
        <w:t>; dicha</w:t>
      </w:r>
      <w:r w:rsidRPr="00F87D54">
        <w:rPr>
          <w:rFonts w:eastAsia="Times New Roman" w:cs="Tahoma"/>
          <w:bCs/>
          <w:iCs/>
          <w:color w:val="auto"/>
          <w:szCs w:val="24"/>
          <w:lang w:val="es-ES" w:eastAsia="es-ES"/>
        </w:rPr>
        <w:t xml:space="preserve"> determinación toma relevancia, pues </w:t>
      </w:r>
      <w:r w:rsidRPr="00F87D54">
        <w:rPr>
          <w:rFonts w:eastAsia="Times New Roman" w:cs="Tahoma"/>
          <w:color w:val="auto"/>
          <w:lang w:eastAsia="es-ES"/>
        </w:rPr>
        <w:t>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3DB16E86" w14:textId="77777777" w:rsidR="00126C82" w:rsidRPr="00F87D54" w:rsidRDefault="00126C82" w:rsidP="001C25A1">
      <w:pPr>
        <w:spacing w:after="0" w:line="360" w:lineRule="auto"/>
        <w:contextualSpacing/>
        <w:rPr>
          <w:rFonts w:eastAsia="Calibri" w:cs="Tahoma"/>
          <w:bCs/>
          <w:iCs/>
        </w:rPr>
      </w:pPr>
    </w:p>
    <w:p w14:paraId="5AE9EB7C" w14:textId="77777777" w:rsidR="00126C82" w:rsidRPr="00F87D54" w:rsidRDefault="00126C82" w:rsidP="001C25A1">
      <w:pPr>
        <w:spacing w:after="0" w:line="360" w:lineRule="auto"/>
        <w:contextualSpacing/>
        <w:rPr>
          <w:rFonts w:eastAsia="Calibri" w:cs="Tahoma"/>
          <w:bCs/>
          <w:iCs/>
        </w:rPr>
      </w:pPr>
      <w:r w:rsidRPr="00F87D54">
        <w:rPr>
          <w:rFonts w:eastAsia="Calibri" w:cs="Tahoma"/>
          <w:bCs/>
          <w:iCs/>
        </w:rPr>
        <w:t>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w:t>
      </w:r>
    </w:p>
    <w:p w14:paraId="0CFEA222" w14:textId="77777777" w:rsidR="00126C82" w:rsidRPr="00F87D54" w:rsidRDefault="00126C82" w:rsidP="001C25A1">
      <w:pPr>
        <w:spacing w:after="0" w:line="360" w:lineRule="auto"/>
        <w:contextualSpacing/>
        <w:rPr>
          <w:rFonts w:eastAsia="Calibri" w:cs="Tahoma"/>
          <w:bCs/>
          <w:iCs/>
        </w:rPr>
      </w:pPr>
    </w:p>
    <w:p w14:paraId="1F9EBD0F" w14:textId="5E17E4FA" w:rsidR="00126C82" w:rsidRPr="00F87D54" w:rsidRDefault="00126C82" w:rsidP="008C2270">
      <w:pPr>
        <w:autoSpaceDE w:val="0"/>
        <w:autoSpaceDN w:val="0"/>
        <w:adjustRightInd w:val="0"/>
        <w:spacing w:after="0" w:line="360" w:lineRule="auto"/>
        <w:contextualSpacing/>
        <w:rPr>
          <w:rFonts w:eastAsia="Times New Roman" w:cs="Times New Roman"/>
          <w:bCs/>
          <w:iCs/>
          <w:szCs w:val="20"/>
          <w:lang w:val="es-ES" w:eastAsia="es-ES"/>
        </w:rPr>
      </w:pPr>
      <w:r w:rsidRPr="00F87D54">
        <w:rPr>
          <w:rFonts w:eastAsia="Calibri" w:cs="Tahoma"/>
          <w:bCs/>
          <w:iC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w:t>
      </w:r>
      <w:r w:rsidRPr="00F87D54">
        <w:rPr>
          <w:rFonts w:eastAsia="Times New Roman" w:cs="Tahoma"/>
          <w:szCs w:val="24"/>
          <w:lang w:val="es-ES" w:eastAsia="es-ES"/>
        </w:rPr>
        <w:t>por lo que, en el presente caso, el Sujeto Obligado deberá entregar</w:t>
      </w:r>
      <w:r w:rsidRPr="00F87D54">
        <w:rPr>
          <w:rFonts w:eastAsia="Times New Roman" w:cs="Times New Roman"/>
          <w:bCs/>
          <w:iCs/>
          <w:szCs w:val="20"/>
          <w:lang w:val="es-ES" w:eastAsia="es-ES"/>
        </w:rPr>
        <w:t xml:space="preserve"> el F</w:t>
      </w:r>
      <w:proofErr w:type="spellStart"/>
      <w:r w:rsidRPr="00F87D54">
        <w:rPr>
          <w:rFonts w:eastAsia="Calibri" w:cs="Times New Roman"/>
          <w:color w:val="000000"/>
        </w:rPr>
        <w:t>ormato</w:t>
      </w:r>
      <w:proofErr w:type="spellEnd"/>
      <w:r w:rsidRPr="00F87D54">
        <w:rPr>
          <w:rFonts w:eastAsia="Calibri" w:cs="Times New Roman"/>
          <w:color w:val="000000"/>
        </w:rPr>
        <w:t xml:space="preserve"> </w:t>
      </w:r>
      <w:r w:rsidRPr="00F87D54">
        <w:rPr>
          <w:bCs/>
          <w:lang w:val="es-ES_tradnl"/>
        </w:rPr>
        <w:t xml:space="preserve">Único de </w:t>
      </w:r>
      <w:r w:rsidRPr="00F87D54">
        <w:rPr>
          <w:bCs/>
          <w:lang w:val="es-ES_tradnl"/>
        </w:rPr>
        <w:lastRenderedPageBreak/>
        <w:t>Movimientos de Personal de la Titular de la Unidad de Transparencia</w:t>
      </w:r>
      <w:r w:rsidRPr="00F87D54">
        <w:rPr>
          <w:rFonts w:eastAsia="Times New Roman" w:cs="Times New Roman"/>
          <w:bCs/>
          <w:iCs/>
          <w:szCs w:val="20"/>
          <w:lang w:val="es-ES" w:eastAsia="es-ES"/>
        </w:rPr>
        <w:t>; para lo cual, resulta necesario precisar que el documento contiene los siguientes datos:</w:t>
      </w:r>
    </w:p>
    <w:p w14:paraId="55B83179" w14:textId="77777777" w:rsidR="00126C82" w:rsidRPr="00F87D54" w:rsidRDefault="00126C82" w:rsidP="001C25A1">
      <w:pPr>
        <w:widowControl w:val="0"/>
        <w:autoSpaceDE w:val="0"/>
        <w:autoSpaceDN w:val="0"/>
        <w:adjustRightInd w:val="0"/>
        <w:spacing w:after="0" w:line="360" w:lineRule="auto"/>
        <w:contextualSpacing/>
        <w:rPr>
          <w:rFonts w:eastAsia="Times New Roman" w:cs="Times New Roman"/>
          <w:bCs/>
          <w:iCs/>
          <w:szCs w:val="20"/>
          <w:lang w:val="es-ES" w:eastAsia="es-ES"/>
        </w:rPr>
      </w:pPr>
    </w:p>
    <w:p w14:paraId="164EC2F4" w14:textId="2B2387DE" w:rsidR="00126C82" w:rsidRPr="00F87D54" w:rsidRDefault="00126C82" w:rsidP="001C25A1">
      <w:pPr>
        <w:pStyle w:val="Prrafodelista"/>
        <w:widowControl w:val="0"/>
        <w:numPr>
          <w:ilvl w:val="0"/>
          <w:numId w:val="7"/>
        </w:numPr>
        <w:autoSpaceDE w:val="0"/>
        <w:autoSpaceDN w:val="0"/>
        <w:adjustRightInd w:val="0"/>
        <w:spacing w:line="360" w:lineRule="auto"/>
        <w:rPr>
          <w:rFonts w:cs="Tahoma"/>
          <w:color w:val="auto"/>
          <w:lang w:val="es-ES"/>
        </w:rPr>
      </w:pPr>
      <w:r w:rsidRPr="00F87D54">
        <w:rPr>
          <w:color w:val="000000"/>
        </w:rPr>
        <w:t>Registro Federal de Contribuyentes del servidor público (RFC);</w:t>
      </w:r>
    </w:p>
    <w:p w14:paraId="2E96CE4D" w14:textId="25DDC06B" w:rsidR="00126C82" w:rsidRPr="00F87D54" w:rsidRDefault="00126C82" w:rsidP="001C25A1">
      <w:pPr>
        <w:pStyle w:val="Prrafodelista"/>
        <w:widowControl w:val="0"/>
        <w:numPr>
          <w:ilvl w:val="0"/>
          <w:numId w:val="7"/>
        </w:numPr>
        <w:autoSpaceDE w:val="0"/>
        <w:autoSpaceDN w:val="0"/>
        <w:adjustRightInd w:val="0"/>
        <w:spacing w:line="360" w:lineRule="auto"/>
        <w:rPr>
          <w:rFonts w:cs="Tahoma"/>
          <w:color w:val="auto"/>
          <w:lang w:val="es-ES"/>
        </w:rPr>
      </w:pPr>
      <w:r w:rsidRPr="00F87D54">
        <w:rPr>
          <w:rFonts w:cs="Tahoma"/>
          <w:color w:val="auto"/>
          <w:lang w:val="es-ES"/>
        </w:rPr>
        <w:t>Domicilio Particular</w:t>
      </w:r>
      <w:r w:rsidR="008C2270" w:rsidRPr="00F87D54">
        <w:rPr>
          <w:rFonts w:cs="Tahoma"/>
          <w:color w:val="auto"/>
          <w:lang w:val="es-ES"/>
        </w:rPr>
        <w:t>;</w:t>
      </w:r>
    </w:p>
    <w:p w14:paraId="16DB1005" w14:textId="0F002130" w:rsidR="00126C82" w:rsidRPr="00F87D54" w:rsidRDefault="00126C82" w:rsidP="001C25A1">
      <w:pPr>
        <w:pStyle w:val="Prrafodelista"/>
        <w:widowControl w:val="0"/>
        <w:numPr>
          <w:ilvl w:val="0"/>
          <w:numId w:val="7"/>
        </w:numPr>
        <w:autoSpaceDE w:val="0"/>
        <w:autoSpaceDN w:val="0"/>
        <w:adjustRightInd w:val="0"/>
        <w:spacing w:line="360" w:lineRule="auto"/>
        <w:rPr>
          <w:rFonts w:cs="Tahoma"/>
          <w:color w:val="auto"/>
          <w:lang w:val="es-ES"/>
        </w:rPr>
      </w:pPr>
      <w:r w:rsidRPr="00F87D54">
        <w:rPr>
          <w:rFonts w:cs="Tahoma"/>
          <w:color w:val="auto"/>
          <w:lang w:val="es-ES"/>
        </w:rPr>
        <w:t>Fecha de nacimiento, y</w:t>
      </w:r>
    </w:p>
    <w:p w14:paraId="2331CB4D" w14:textId="1305DACC" w:rsidR="00126C82" w:rsidRPr="00F87D54" w:rsidRDefault="00126C82" w:rsidP="001C25A1">
      <w:pPr>
        <w:pStyle w:val="Prrafodelista"/>
        <w:widowControl w:val="0"/>
        <w:numPr>
          <w:ilvl w:val="0"/>
          <w:numId w:val="7"/>
        </w:numPr>
        <w:autoSpaceDE w:val="0"/>
        <w:autoSpaceDN w:val="0"/>
        <w:adjustRightInd w:val="0"/>
        <w:spacing w:line="360" w:lineRule="auto"/>
        <w:rPr>
          <w:rFonts w:cs="Tahoma"/>
          <w:color w:val="auto"/>
          <w:lang w:val="es-ES"/>
        </w:rPr>
      </w:pPr>
      <w:r w:rsidRPr="00F87D54">
        <w:rPr>
          <w:rFonts w:cs="Tahoma"/>
          <w:color w:val="auto"/>
          <w:lang w:val="es-ES"/>
        </w:rPr>
        <w:t>Estado Civil.</w:t>
      </w:r>
    </w:p>
    <w:p w14:paraId="48A7BB2D" w14:textId="77777777" w:rsidR="00126C82" w:rsidRPr="00F87D54" w:rsidRDefault="00126C82" w:rsidP="001C25A1">
      <w:pPr>
        <w:spacing w:after="0" w:line="360" w:lineRule="auto"/>
        <w:rPr>
          <w:rFonts w:eastAsia="Calibri" w:cs="Times New Roman"/>
          <w:color w:val="000000"/>
        </w:rPr>
      </w:pPr>
    </w:p>
    <w:p w14:paraId="56E4F588" w14:textId="07176777" w:rsidR="00126C82" w:rsidRPr="00F87D54" w:rsidRDefault="003A2B7B" w:rsidP="001C25A1">
      <w:pPr>
        <w:autoSpaceDE w:val="0"/>
        <w:autoSpaceDN w:val="0"/>
        <w:spacing w:after="0" w:line="360" w:lineRule="auto"/>
        <w:rPr>
          <w:rFonts w:eastAsia="Calibri" w:cs="Tahoma"/>
          <w:bCs/>
          <w:color w:val="auto"/>
          <w:lang w:eastAsia="es-ES"/>
        </w:rPr>
      </w:pPr>
      <w:r w:rsidRPr="00F87D54">
        <w:rPr>
          <w:color w:val="000000"/>
        </w:rPr>
        <w:t>De lo anterior, resulta procedente analizar si dichos datos son públicos o privados</w:t>
      </w:r>
      <w:r w:rsidRPr="00F87D54">
        <w:rPr>
          <w:rFonts w:eastAsia="Times New Roman" w:cs="Tahoma"/>
          <w:bCs/>
          <w:color w:val="auto"/>
          <w:lang w:eastAsia="es-ES"/>
        </w:rPr>
        <w:t>; a</w:t>
      </w:r>
      <w:r w:rsidR="00126C82" w:rsidRPr="00F87D54">
        <w:rPr>
          <w:rFonts w:eastAsia="Times New Roman" w:cs="Tahoma"/>
          <w:bCs/>
          <w:color w:val="auto"/>
          <w:lang w:eastAsia="es-ES"/>
        </w:rPr>
        <w:t xml:space="preserve">l respecto, </w:t>
      </w:r>
      <w:r w:rsidR="00126C82" w:rsidRPr="00F87D54">
        <w:rPr>
          <w:rFonts w:eastAsia="Calibri" w:cs="Tahoma"/>
          <w:bCs/>
          <w:color w:val="auto"/>
          <w:lang w:eastAsia="es-ES"/>
        </w:rPr>
        <w:t xml:space="preserve">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14:paraId="28AC3B46" w14:textId="77777777" w:rsidR="00126C82" w:rsidRPr="00F87D54" w:rsidRDefault="00126C82" w:rsidP="001C25A1">
      <w:pPr>
        <w:autoSpaceDE w:val="0"/>
        <w:autoSpaceDN w:val="0"/>
        <w:spacing w:after="0" w:line="360" w:lineRule="auto"/>
        <w:rPr>
          <w:rFonts w:eastAsia="Calibri" w:cs="Tahoma"/>
          <w:bCs/>
          <w:color w:val="auto"/>
          <w:lang w:eastAsia="es-ES"/>
        </w:rPr>
      </w:pPr>
    </w:p>
    <w:p w14:paraId="726AB03D" w14:textId="7FC40245" w:rsidR="00126C82" w:rsidRPr="00F87D54" w:rsidRDefault="00126C82" w:rsidP="001C25A1">
      <w:pPr>
        <w:autoSpaceDE w:val="0"/>
        <w:autoSpaceDN w:val="0"/>
        <w:spacing w:after="0" w:line="360" w:lineRule="auto"/>
        <w:rPr>
          <w:rFonts w:eastAsia="Calibri" w:cs="Tahoma"/>
          <w:bCs/>
          <w:color w:val="auto"/>
          <w:lang w:eastAsia="es-ES"/>
        </w:rPr>
      </w:pPr>
      <w:r w:rsidRPr="00F87D54">
        <w:rPr>
          <w:rFonts w:eastAsia="Calibri" w:cs="Tahoma"/>
          <w:bCs/>
          <w:color w:val="auto"/>
          <w:lang w:eastAsia="es-ES"/>
        </w:rPr>
        <w:t xml:space="preserve">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p>
    <w:p w14:paraId="01F7FCC4" w14:textId="77777777" w:rsidR="00126C82" w:rsidRPr="00F87D54" w:rsidRDefault="00126C82" w:rsidP="001C25A1">
      <w:pPr>
        <w:spacing w:after="0" w:line="360" w:lineRule="auto"/>
        <w:rPr>
          <w:rFonts w:eastAsia="Calibri" w:cs="Tahoma"/>
          <w:bCs/>
          <w:color w:val="auto"/>
          <w:lang w:eastAsia="es-ES"/>
        </w:rPr>
      </w:pPr>
    </w:p>
    <w:p w14:paraId="21A88E32" w14:textId="77777777" w:rsidR="00126C82" w:rsidRPr="00F87D54" w:rsidRDefault="00126C82" w:rsidP="001C25A1">
      <w:pPr>
        <w:spacing w:after="0" w:line="360" w:lineRule="auto"/>
        <w:rPr>
          <w:rFonts w:eastAsia="Calibri" w:cs="Tahoma"/>
          <w:bCs/>
          <w:color w:val="auto"/>
          <w:lang w:eastAsia="es-ES"/>
        </w:rPr>
      </w:pPr>
      <w:r w:rsidRPr="00F87D54">
        <w:rPr>
          <w:rFonts w:eastAsia="Calibri" w:cs="Tahoma"/>
          <w:bCs/>
          <w:color w:val="auto"/>
          <w:lang w:eastAsia="es-ES"/>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5A63E756" w14:textId="77777777" w:rsidR="00126C82" w:rsidRPr="00F87D54" w:rsidRDefault="00126C82" w:rsidP="001C25A1">
      <w:pPr>
        <w:spacing w:after="0" w:line="360" w:lineRule="auto"/>
        <w:rPr>
          <w:rFonts w:eastAsia="Calibri" w:cs="Tahoma"/>
          <w:bCs/>
          <w:color w:val="auto"/>
          <w:lang w:eastAsia="es-ES"/>
        </w:rPr>
      </w:pPr>
    </w:p>
    <w:p w14:paraId="45AEB08C" w14:textId="77777777" w:rsidR="00126C82" w:rsidRPr="00F87D54" w:rsidRDefault="00126C82" w:rsidP="001C25A1">
      <w:pPr>
        <w:spacing w:after="0" w:line="360" w:lineRule="auto"/>
        <w:rPr>
          <w:rFonts w:eastAsia="Calibri" w:cs="Tahoma"/>
          <w:bCs/>
          <w:color w:val="auto"/>
          <w:lang w:eastAsia="es-ES"/>
        </w:rPr>
      </w:pPr>
      <w:r w:rsidRPr="00F87D54">
        <w:rPr>
          <w:rFonts w:eastAsia="Calibri" w:cs="Tahoma"/>
          <w:bCs/>
          <w:color w:val="auto"/>
          <w:lang w:eastAsia="es-ES"/>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59B7D0B0" w14:textId="77777777" w:rsidR="00126C82" w:rsidRPr="00F87D54" w:rsidRDefault="00126C82" w:rsidP="001C25A1">
      <w:pPr>
        <w:spacing w:after="0" w:line="360" w:lineRule="auto"/>
        <w:rPr>
          <w:rFonts w:eastAsia="Calibri" w:cs="Tahoma"/>
          <w:bCs/>
          <w:color w:val="auto"/>
          <w:lang w:eastAsia="es-ES"/>
        </w:rPr>
      </w:pPr>
    </w:p>
    <w:p w14:paraId="7BCDC401" w14:textId="77777777" w:rsidR="00126C82" w:rsidRPr="00F87D54" w:rsidRDefault="00126C82" w:rsidP="001C25A1">
      <w:pPr>
        <w:spacing w:after="0" w:line="360" w:lineRule="auto"/>
        <w:rPr>
          <w:rFonts w:eastAsia="Calibri" w:cs="Tahoma"/>
          <w:bCs/>
          <w:color w:val="auto"/>
          <w:lang w:eastAsia="es-ES"/>
        </w:rPr>
      </w:pPr>
      <w:r w:rsidRPr="00F87D54">
        <w:rPr>
          <w:rFonts w:eastAsia="Calibri" w:cs="Tahoma"/>
          <w:bCs/>
          <w:color w:val="auto"/>
          <w:lang w:eastAsia="es-ES"/>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1FE552ED" w14:textId="77777777" w:rsidR="00126C82" w:rsidRPr="00F87D54" w:rsidRDefault="00126C82" w:rsidP="001C25A1">
      <w:pPr>
        <w:spacing w:after="0" w:line="360" w:lineRule="auto"/>
        <w:rPr>
          <w:rFonts w:eastAsia="Calibri" w:cs="Tahoma"/>
          <w:bCs/>
          <w:color w:val="auto"/>
          <w:lang w:eastAsia="es-ES"/>
        </w:rPr>
      </w:pPr>
    </w:p>
    <w:p w14:paraId="3BAB0B9D" w14:textId="77777777" w:rsidR="00126C82" w:rsidRPr="00F87D54" w:rsidRDefault="00126C82" w:rsidP="001C25A1">
      <w:pPr>
        <w:spacing w:after="0" w:line="360" w:lineRule="auto"/>
        <w:rPr>
          <w:rFonts w:eastAsia="Calibri" w:cs="Tahoma"/>
          <w:bCs/>
          <w:color w:val="auto"/>
          <w:lang w:eastAsia="es-ES"/>
        </w:rPr>
      </w:pPr>
      <w:r w:rsidRPr="00F87D54">
        <w:rPr>
          <w:rFonts w:eastAsia="Calibri" w:cs="Tahoma"/>
          <w:bCs/>
          <w:color w:val="auto"/>
          <w:lang w:eastAsia="es-ES"/>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2BE964BF" w14:textId="77777777" w:rsidR="00126C82" w:rsidRPr="00F87D54" w:rsidRDefault="00126C82" w:rsidP="001C25A1">
      <w:pPr>
        <w:spacing w:after="0" w:line="360" w:lineRule="auto"/>
        <w:rPr>
          <w:rFonts w:eastAsia="Calibri" w:cs="Tahoma"/>
          <w:bCs/>
          <w:color w:val="auto"/>
          <w:lang w:eastAsia="es-ES"/>
        </w:rPr>
      </w:pPr>
    </w:p>
    <w:p w14:paraId="33CABDA4" w14:textId="77777777" w:rsidR="00126C82" w:rsidRPr="00F87D54" w:rsidRDefault="00126C82" w:rsidP="001C25A1">
      <w:pPr>
        <w:spacing w:after="0" w:line="360" w:lineRule="auto"/>
        <w:rPr>
          <w:rFonts w:eastAsia="Calibri" w:cs="Tahoma"/>
          <w:bCs/>
          <w:color w:val="auto"/>
          <w:lang w:eastAsia="es-ES"/>
        </w:rPr>
      </w:pPr>
      <w:r w:rsidRPr="00F87D54">
        <w:rPr>
          <w:rFonts w:eastAsia="Calibri" w:cs="Tahoma"/>
          <w:bCs/>
          <w:color w:val="auto"/>
          <w:lang w:eastAsia="es-ES"/>
        </w:rPr>
        <w:t>En términos de lo expuesto, la documentación y aquellos datos que se consideren confidenciales, serán una limitante del derecho de acceso a la información, siempre y cuando:</w:t>
      </w:r>
    </w:p>
    <w:p w14:paraId="03DA16A5" w14:textId="77777777" w:rsidR="00126C82" w:rsidRPr="00F87D54" w:rsidRDefault="00126C82" w:rsidP="001C25A1">
      <w:pPr>
        <w:spacing w:after="0" w:line="360" w:lineRule="auto"/>
        <w:rPr>
          <w:rFonts w:eastAsia="Calibri" w:cs="Tahoma"/>
          <w:bCs/>
          <w:color w:val="auto"/>
          <w:lang w:eastAsia="es-ES"/>
        </w:rPr>
      </w:pPr>
    </w:p>
    <w:p w14:paraId="60A37827" w14:textId="77777777" w:rsidR="00126C82" w:rsidRPr="00F87D54" w:rsidRDefault="00126C82" w:rsidP="001C25A1">
      <w:pPr>
        <w:numPr>
          <w:ilvl w:val="0"/>
          <w:numId w:val="8"/>
        </w:numPr>
        <w:spacing w:after="0" w:line="360" w:lineRule="auto"/>
        <w:contextualSpacing/>
        <w:jc w:val="left"/>
        <w:rPr>
          <w:rFonts w:eastAsia="Calibri" w:cs="Tahoma"/>
          <w:bCs/>
          <w:color w:val="auto"/>
          <w:lang w:eastAsia="es-ES"/>
        </w:rPr>
      </w:pPr>
      <w:r w:rsidRPr="00F87D54">
        <w:rPr>
          <w:rFonts w:eastAsia="Calibri" w:cs="Tahoma"/>
          <w:bCs/>
          <w:color w:val="auto"/>
          <w:lang w:eastAsia="es-ES"/>
        </w:rPr>
        <w:t xml:space="preserve">Se trate de datos personales o información privada; esto es, información concerniente a una persona física o jurídico colectiva y que esta sea identificada o identificable. </w:t>
      </w:r>
    </w:p>
    <w:p w14:paraId="7A45638E" w14:textId="77777777" w:rsidR="00126C82" w:rsidRPr="00F87D54" w:rsidRDefault="00126C82" w:rsidP="001C25A1">
      <w:pPr>
        <w:numPr>
          <w:ilvl w:val="0"/>
          <w:numId w:val="8"/>
        </w:numPr>
        <w:spacing w:after="0" w:line="360" w:lineRule="auto"/>
        <w:contextualSpacing/>
        <w:jc w:val="left"/>
        <w:rPr>
          <w:rFonts w:eastAsia="Calibri" w:cs="Tahoma"/>
          <w:bCs/>
          <w:color w:val="auto"/>
          <w:lang w:eastAsia="es-ES"/>
        </w:rPr>
      </w:pPr>
      <w:r w:rsidRPr="00F87D54">
        <w:rPr>
          <w:rFonts w:eastAsia="Calibri" w:cs="Tahoma"/>
          <w:bCs/>
          <w:color w:val="auto"/>
          <w:lang w:eastAsia="es-ES"/>
        </w:rPr>
        <w:t xml:space="preserve">Para la difusión de los datos, se requiera el consentimiento del titular. </w:t>
      </w:r>
    </w:p>
    <w:p w14:paraId="5309344C" w14:textId="77777777" w:rsidR="00126C82" w:rsidRPr="00F87D54" w:rsidRDefault="00126C82" w:rsidP="001C25A1">
      <w:pPr>
        <w:spacing w:after="0" w:line="360" w:lineRule="auto"/>
        <w:rPr>
          <w:rFonts w:eastAsia="Calibri" w:cs="Tahoma"/>
          <w:bCs/>
          <w:color w:val="auto"/>
          <w:lang w:eastAsia="es-ES"/>
        </w:rPr>
      </w:pPr>
    </w:p>
    <w:p w14:paraId="23282F3D" w14:textId="77777777" w:rsidR="00126C82" w:rsidRPr="00F87D54" w:rsidRDefault="00126C82" w:rsidP="001C25A1">
      <w:pPr>
        <w:spacing w:after="0" w:line="360" w:lineRule="auto"/>
        <w:rPr>
          <w:rFonts w:eastAsia="Calibri" w:cs="Tahoma"/>
          <w:bCs/>
          <w:color w:val="auto"/>
          <w:lang w:eastAsia="es-ES"/>
        </w:rPr>
      </w:pPr>
      <w:r w:rsidRPr="00F87D54">
        <w:rPr>
          <w:rFonts w:eastAsia="Calibri" w:cs="Tahoma"/>
          <w:bCs/>
          <w:color w:val="auto"/>
          <w:lang w:eastAsia="es-ES"/>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57A8F2A7" w14:textId="77777777" w:rsidR="00126C82" w:rsidRPr="00F87D54" w:rsidRDefault="00126C82" w:rsidP="001C25A1">
      <w:pPr>
        <w:spacing w:after="0" w:line="360" w:lineRule="auto"/>
        <w:rPr>
          <w:rFonts w:eastAsia="Calibri" w:cs="Tahoma"/>
          <w:bCs/>
          <w:color w:val="auto"/>
          <w:lang w:eastAsia="es-ES"/>
        </w:rPr>
      </w:pPr>
    </w:p>
    <w:p w14:paraId="0771D30D" w14:textId="77777777" w:rsidR="00126C82" w:rsidRPr="00F87D54" w:rsidRDefault="00126C82" w:rsidP="001C25A1">
      <w:pPr>
        <w:spacing w:after="0" w:line="360" w:lineRule="auto"/>
        <w:rPr>
          <w:rFonts w:eastAsia="Calibri" w:cs="Tahoma"/>
          <w:bCs/>
          <w:color w:val="auto"/>
          <w:lang w:eastAsia="es-ES"/>
        </w:rPr>
      </w:pPr>
      <w:r w:rsidRPr="00F87D54">
        <w:rPr>
          <w:rFonts w:eastAsia="Calibri" w:cs="Tahoma"/>
          <w:bCs/>
          <w:color w:val="auto"/>
          <w:lang w:eastAsia="es-ES"/>
        </w:rPr>
        <w:t>Además, en el artículo 5° de dicho ordenamiento jurídico, establece que es la Ley aplicable para todo tratamiento de datos personales.</w:t>
      </w:r>
    </w:p>
    <w:p w14:paraId="34BA6028" w14:textId="77777777" w:rsidR="00126C82" w:rsidRPr="00F87D54" w:rsidRDefault="00126C82" w:rsidP="001C25A1">
      <w:pPr>
        <w:spacing w:after="0" w:line="360" w:lineRule="auto"/>
        <w:rPr>
          <w:rFonts w:eastAsia="Calibri" w:cs="Tahoma"/>
          <w:bCs/>
          <w:color w:val="auto"/>
          <w:lang w:eastAsia="es-ES"/>
        </w:rPr>
      </w:pPr>
    </w:p>
    <w:p w14:paraId="6D07AE7A" w14:textId="0FC0C5D5" w:rsidR="00126C82" w:rsidRPr="00F87D54" w:rsidRDefault="00126C82" w:rsidP="001C25A1">
      <w:pPr>
        <w:spacing w:after="0" w:line="360" w:lineRule="auto"/>
        <w:rPr>
          <w:rFonts w:eastAsia="Calibri" w:cs="Tahoma"/>
          <w:bCs/>
          <w:color w:val="auto"/>
        </w:rPr>
      </w:pPr>
      <w:r w:rsidRPr="00F87D54">
        <w:rPr>
          <w:rFonts w:eastAsia="Calibri" w:cs="Tahoma"/>
          <w:bCs/>
          <w:color w:val="auto"/>
        </w:rPr>
        <w:t>Bajo ese</w:t>
      </w:r>
      <w:r w:rsidR="003A2B7B" w:rsidRPr="00F87D54">
        <w:rPr>
          <w:rFonts w:eastAsia="Calibri" w:cs="Tahoma"/>
          <w:bCs/>
          <w:color w:val="auto"/>
        </w:rPr>
        <w:t xml:space="preserve"> contexto, se analizarán los</w:t>
      </w:r>
      <w:r w:rsidRPr="00F87D54">
        <w:rPr>
          <w:rFonts w:eastAsia="Calibri" w:cs="Tahoma"/>
          <w:bCs/>
          <w:color w:val="auto"/>
        </w:rPr>
        <w:t xml:space="preserve"> datos personales</w:t>
      </w:r>
      <w:r w:rsidR="003A2B7B" w:rsidRPr="00F87D54">
        <w:rPr>
          <w:rFonts w:eastAsia="Calibri" w:cs="Tahoma"/>
          <w:bCs/>
          <w:color w:val="auto"/>
        </w:rPr>
        <w:t xml:space="preserve"> encontrados en el documento entregado</w:t>
      </w:r>
      <w:r w:rsidRPr="00F87D54">
        <w:rPr>
          <w:rFonts w:eastAsia="Calibri" w:cs="Tahoma"/>
          <w:bCs/>
          <w:color w:val="auto"/>
        </w:rPr>
        <w:t>; esto es, verificar si actualizan la causal de clasificación establecida en el artículo 143, fracción I, de la Ley de Transparencia y Acceso a la Información Pública del Estado de México y Municipios.</w:t>
      </w:r>
    </w:p>
    <w:p w14:paraId="7172371F" w14:textId="77777777" w:rsidR="003A2B7B" w:rsidRPr="00F87D54" w:rsidRDefault="003A2B7B" w:rsidP="001C25A1">
      <w:pPr>
        <w:spacing w:after="0" w:line="360" w:lineRule="auto"/>
        <w:rPr>
          <w:rFonts w:eastAsia="Calibri" w:cs="Tahoma"/>
          <w:bCs/>
          <w:color w:val="auto"/>
        </w:rPr>
      </w:pPr>
    </w:p>
    <w:p w14:paraId="4594E0AF" w14:textId="77777777" w:rsidR="003A2B7B" w:rsidRPr="00F87D54" w:rsidRDefault="003A2B7B" w:rsidP="001C25A1">
      <w:pPr>
        <w:numPr>
          <w:ilvl w:val="0"/>
          <w:numId w:val="9"/>
        </w:numPr>
        <w:spacing w:after="0" w:line="360" w:lineRule="auto"/>
        <w:rPr>
          <w:b/>
          <w:color w:val="000000"/>
        </w:rPr>
      </w:pPr>
      <w:r w:rsidRPr="00F87D54">
        <w:rPr>
          <w:b/>
          <w:color w:val="000000"/>
        </w:rPr>
        <w:t>Registro Federal de Contribuyentes (RFC)</w:t>
      </w:r>
    </w:p>
    <w:p w14:paraId="7B7C68B3" w14:textId="77777777" w:rsidR="003A2B7B" w:rsidRPr="00F87D54" w:rsidRDefault="003A2B7B" w:rsidP="001C25A1">
      <w:pPr>
        <w:spacing w:after="0" w:line="360" w:lineRule="auto"/>
        <w:rPr>
          <w:color w:val="000000"/>
        </w:rPr>
      </w:pPr>
    </w:p>
    <w:p w14:paraId="6EC984AC" w14:textId="77777777" w:rsidR="003A2B7B" w:rsidRPr="00F87D54" w:rsidRDefault="003A2B7B" w:rsidP="001C25A1">
      <w:pPr>
        <w:spacing w:after="0" w:line="360" w:lineRule="auto"/>
        <w:rPr>
          <w:color w:val="000000"/>
        </w:rPr>
      </w:pPr>
      <w:r w:rsidRPr="00F87D54">
        <w:rPr>
          <w:color w:val="000000"/>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43F3BF2F" w14:textId="77777777" w:rsidR="003A2B7B" w:rsidRPr="00F87D54" w:rsidRDefault="003A2B7B" w:rsidP="001C25A1">
      <w:pPr>
        <w:spacing w:after="0" w:line="360" w:lineRule="auto"/>
        <w:rPr>
          <w:color w:val="000000"/>
        </w:rPr>
      </w:pPr>
    </w:p>
    <w:p w14:paraId="78FA3BEC" w14:textId="77777777" w:rsidR="003A2B7B" w:rsidRPr="00F87D54" w:rsidRDefault="003A2B7B" w:rsidP="001C25A1">
      <w:pPr>
        <w:spacing w:after="0" w:line="360" w:lineRule="auto"/>
        <w:rPr>
          <w:color w:val="000000"/>
        </w:rPr>
      </w:pPr>
      <w:r w:rsidRPr="00F87D54">
        <w:rPr>
          <w:color w:val="000000"/>
        </w:rPr>
        <w:t xml:space="preserve">De acuerdo a lo establecido en el artículo en comento, esta clave se compone de trece caracteres alfanuméricos, con datos obtenidos de los apellidos, nombre(s), fecha de nacimiento del titular, más una </w:t>
      </w:r>
      <w:proofErr w:type="spellStart"/>
      <w:r w:rsidRPr="00F87D54">
        <w:rPr>
          <w:color w:val="000000"/>
        </w:rPr>
        <w:t>homoclave</w:t>
      </w:r>
      <w:proofErr w:type="spellEnd"/>
      <w:r w:rsidRPr="00F87D54">
        <w:rPr>
          <w:color w:val="000000"/>
        </w:rPr>
        <w:t xml:space="preserve"> que establece el sistema automático del Servicio de Administración Tributaria.</w:t>
      </w:r>
    </w:p>
    <w:p w14:paraId="32D9C25F" w14:textId="77777777" w:rsidR="003A2B7B" w:rsidRPr="00F87D54" w:rsidRDefault="003A2B7B" w:rsidP="001C25A1">
      <w:pPr>
        <w:spacing w:after="0" w:line="360" w:lineRule="auto"/>
        <w:rPr>
          <w:color w:val="000000"/>
        </w:rPr>
      </w:pPr>
    </w:p>
    <w:p w14:paraId="6702973E" w14:textId="77777777" w:rsidR="003A2B7B" w:rsidRPr="00F87D54" w:rsidRDefault="003A2B7B" w:rsidP="001C25A1">
      <w:pPr>
        <w:spacing w:after="0" w:line="360" w:lineRule="auto"/>
        <w:rPr>
          <w:color w:val="000000"/>
        </w:rPr>
      </w:pPr>
      <w:r w:rsidRPr="00F87D54">
        <w:rPr>
          <w:color w:val="000000"/>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69711278" w14:textId="77777777" w:rsidR="003A2B7B" w:rsidRPr="00F87D54" w:rsidRDefault="003A2B7B" w:rsidP="001C25A1">
      <w:pPr>
        <w:spacing w:after="0" w:line="360" w:lineRule="auto"/>
        <w:rPr>
          <w:color w:val="000000"/>
        </w:rPr>
      </w:pPr>
    </w:p>
    <w:p w14:paraId="31DE637B" w14:textId="77777777" w:rsidR="003A2B7B" w:rsidRPr="00F87D54" w:rsidRDefault="003A2B7B" w:rsidP="001C25A1">
      <w:pPr>
        <w:spacing w:after="0" w:line="360" w:lineRule="auto"/>
        <w:rPr>
          <w:color w:val="000000"/>
        </w:rPr>
      </w:pPr>
      <w:r w:rsidRPr="00F87D54">
        <w:rPr>
          <w:color w:val="000000"/>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3B9B3003" w14:textId="77777777" w:rsidR="003A2B7B" w:rsidRPr="00F87D54" w:rsidRDefault="003A2B7B" w:rsidP="001C25A1">
      <w:pPr>
        <w:spacing w:after="0" w:line="360" w:lineRule="auto"/>
        <w:rPr>
          <w:color w:val="000000"/>
        </w:rPr>
      </w:pPr>
    </w:p>
    <w:p w14:paraId="4B8DC41F" w14:textId="110075FC" w:rsidR="003A2B7B" w:rsidRPr="00F87D54" w:rsidRDefault="003A2B7B" w:rsidP="001C25A1">
      <w:pPr>
        <w:spacing w:after="0" w:line="360" w:lineRule="auto"/>
        <w:rPr>
          <w:color w:val="000000"/>
        </w:rPr>
      </w:pPr>
      <w:r w:rsidRPr="00F87D54">
        <w:rPr>
          <w:color w:val="000000"/>
        </w:rPr>
        <w:t>Lo anterior, resulta congruente c</w:t>
      </w:r>
      <w:r w:rsidR="00142D82" w:rsidRPr="00F87D54">
        <w:rPr>
          <w:color w:val="000000"/>
        </w:rPr>
        <w:t>on el Criterio Orientador</w:t>
      </w:r>
      <w:r w:rsidRPr="00F87D54">
        <w:rPr>
          <w:color w:val="000000"/>
        </w:rPr>
        <w:t xml:space="preserve">, de la Segunda Época, con número de registro SO/019/2017, emitido por el </w:t>
      </w:r>
      <w:r w:rsidR="00142D82" w:rsidRPr="00F87D54">
        <w:rPr>
          <w:color w:val="000000"/>
        </w:rPr>
        <w:t xml:space="preserve">entonces </w:t>
      </w:r>
      <w:r w:rsidRPr="00F87D54">
        <w:rPr>
          <w:color w:val="000000"/>
        </w:rPr>
        <w:t>Instituto Nacional de Transparencia, Acceso a la Información y Protección de Datos Personales</w:t>
      </w:r>
      <w:r w:rsidR="00142D82" w:rsidRPr="00F87D54">
        <w:rPr>
          <w:color w:val="000000"/>
        </w:rPr>
        <w:t xml:space="preserve"> vigente a la fecha de la solicitud</w:t>
      </w:r>
      <w:r w:rsidRPr="00F87D54">
        <w:rPr>
          <w:color w:val="000000"/>
        </w:rPr>
        <w:t>, en el cual se señala lo siguiente:</w:t>
      </w:r>
    </w:p>
    <w:p w14:paraId="18A9BBB8" w14:textId="77777777" w:rsidR="003A2B7B" w:rsidRPr="00F87D54" w:rsidRDefault="003A2B7B" w:rsidP="001C25A1">
      <w:pPr>
        <w:spacing w:after="0" w:line="360" w:lineRule="auto"/>
        <w:rPr>
          <w:color w:val="000000"/>
        </w:rPr>
      </w:pPr>
    </w:p>
    <w:p w14:paraId="42934F3F" w14:textId="77777777" w:rsidR="003A2B7B" w:rsidRPr="00F87D54" w:rsidRDefault="003A2B7B" w:rsidP="001C25A1">
      <w:pPr>
        <w:spacing w:after="0" w:line="360" w:lineRule="auto"/>
        <w:ind w:left="567" w:right="567"/>
        <w:rPr>
          <w:i/>
          <w:color w:val="000000"/>
          <w:sz w:val="20"/>
          <w:szCs w:val="20"/>
        </w:rPr>
      </w:pPr>
      <w:r w:rsidRPr="00F87D54">
        <w:rPr>
          <w:b/>
          <w:i/>
          <w:color w:val="000000"/>
          <w:sz w:val="20"/>
          <w:szCs w:val="20"/>
        </w:rPr>
        <w:t>“Registro Federal de Contribuyentes (RFC) de personas físicas.</w:t>
      </w:r>
      <w:r w:rsidRPr="00F87D54">
        <w:rPr>
          <w:i/>
          <w:color w:val="000000"/>
          <w:sz w:val="20"/>
          <w:szCs w:val="20"/>
        </w:rPr>
        <w:t xml:space="preserve"> El RFC es una clave de carácter fiscal, única e irrepetible, que permite identificar al titular, su edad y fecha de nacimiento, por lo que es un dato personal de carácter confidencial.”</w:t>
      </w:r>
    </w:p>
    <w:p w14:paraId="2853EFB7" w14:textId="77777777" w:rsidR="003A2B7B" w:rsidRPr="00F87D54" w:rsidRDefault="003A2B7B" w:rsidP="001C25A1">
      <w:pPr>
        <w:spacing w:after="0" w:line="360" w:lineRule="auto"/>
        <w:rPr>
          <w:color w:val="000000"/>
        </w:rPr>
      </w:pPr>
    </w:p>
    <w:p w14:paraId="3720126D" w14:textId="77777777" w:rsidR="003A2B7B" w:rsidRPr="00F87D54" w:rsidRDefault="003A2B7B" w:rsidP="001C25A1">
      <w:pPr>
        <w:spacing w:after="0" w:line="360" w:lineRule="auto"/>
        <w:rPr>
          <w:color w:val="000000"/>
        </w:rPr>
      </w:pPr>
      <w:r w:rsidRPr="00F87D54">
        <w:rPr>
          <w:color w:val="000000"/>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 Cabe señalar que dicho dato es accesible.</w:t>
      </w:r>
    </w:p>
    <w:p w14:paraId="2E61AA83" w14:textId="77777777" w:rsidR="003A2B7B" w:rsidRPr="00F87D54" w:rsidRDefault="003A2B7B" w:rsidP="001C25A1">
      <w:pPr>
        <w:spacing w:after="0" w:line="360" w:lineRule="auto"/>
        <w:rPr>
          <w:color w:val="000000"/>
        </w:rPr>
      </w:pPr>
    </w:p>
    <w:p w14:paraId="43C47C12" w14:textId="6901F7B1" w:rsidR="003A2B7B" w:rsidRPr="00F87D54" w:rsidRDefault="003A2B7B" w:rsidP="001C25A1">
      <w:pPr>
        <w:pStyle w:val="Prrafodelista"/>
        <w:numPr>
          <w:ilvl w:val="0"/>
          <w:numId w:val="10"/>
        </w:numPr>
        <w:spacing w:line="360" w:lineRule="auto"/>
        <w:ind w:right="-93"/>
        <w:rPr>
          <w:rFonts w:eastAsiaTheme="minorHAnsi" w:cs="Tahoma"/>
          <w:lang w:val="es-ES"/>
        </w:rPr>
      </w:pPr>
      <w:r w:rsidRPr="00F87D54">
        <w:rPr>
          <w:b/>
          <w:bCs/>
        </w:rPr>
        <w:t>Domicilio Particular</w:t>
      </w:r>
    </w:p>
    <w:p w14:paraId="63D895E7" w14:textId="77777777" w:rsidR="003A2B7B" w:rsidRPr="00F87D54" w:rsidRDefault="003A2B7B" w:rsidP="001C25A1">
      <w:pPr>
        <w:pStyle w:val="Prrafodelista"/>
        <w:spacing w:line="360" w:lineRule="auto"/>
        <w:ind w:left="780" w:right="-93"/>
        <w:rPr>
          <w:rFonts w:eastAsiaTheme="minorHAnsi" w:cs="Tahoma"/>
          <w:lang w:val="es-ES"/>
        </w:rPr>
      </w:pPr>
    </w:p>
    <w:p w14:paraId="06FBB72F" w14:textId="77777777" w:rsidR="003A2B7B" w:rsidRPr="00F87D54" w:rsidRDefault="003A2B7B" w:rsidP="001C25A1">
      <w:pPr>
        <w:spacing w:after="0" w:line="360" w:lineRule="auto"/>
        <w:ind w:right="-93"/>
        <w:rPr>
          <w:rFonts w:eastAsiaTheme="minorHAnsi" w:cs="Tahoma"/>
          <w:lang w:val="es-ES"/>
        </w:rPr>
      </w:pPr>
      <w:r w:rsidRPr="00F87D54">
        <w:rPr>
          <w:rFonts w:eastAsiaTheme="minorHAnsi" w:cs="Tahoma"/>
          <w:lang w:val="es-E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01AF27A5" w14:textId="77777777" w:rsidR="003A2B7B" w:rsidRPr="00F87D54" w:rsidRDefault="003A2B7B" w:rsidP="001C25A1">
      <w:pPr>
        <w:spacing w:after="0" w:line="360" w:lineRule="auto"/>
        <w:ind w:right="-93"/>
        <w:rPr>
          <w:rFonts w:eastAsiaTheme="minorHAnsi" w:cs="Tahoma"/>
          <w:lang w:val="es-ES"/>
        </w:rPr>
      </w:pPr>
    </w:p>
    <w:p w14:paraId="3790A6CE" w14:textId="77777777" w:rsidR="003A2B7B" w:rsidRPr="00F87D54" w:rsidRDefault="003A2B7B" w:rsidP="001C25A1">
      <w:pPr>
        <w:spacing w:after="0" w:line="360" w:lineRule="auto"/>
        <w:ind w:right="-93"/>
        <w:rPr>
          <w:rFonts w:eastAsiaTheme="minorHAnsi" w:cs="Tahoma"/>
          <w:lang w:val="es-ES"/>
        </w:rPr>
      </w:pPr>
      <w:r w:rsidRPr="00F87D54">
        <w:rPr>
          <w:rFonts w:eastAsiaTheme="minorHAnsi" w:cs="Tahoma"/>
          <w:lang w:val="es-ES"/>
        </w:rPr>
        <w:t>De la misma manera, lo establece el artículo 29 del Código Civil Federal, al precisar que el domicilio de personas físicas</w:t>
      </w:r>
      <w:r w:rsidRPr="00F87D54">
        <w:rPr>
          <w:rFonts w:eastAsiaTheme="minorHAnsi" w:cs="Tahoma"/>
          <w:b/>
          <w:lang w:val="es-ES"/>
        </w:rPr>
        <w:t xml:space="preserve">, </w:t>
      </w:r>
      <w:r w:rsidRPr="00F87D54">
        <w:rPr>
          <w:rFonts w:eastAsiaTheme="minorHAnsi" w:cs="Tahoma"/>
          <w:lang w:val="es-ES"/>
        </w:rPr>
        <w:t>es el lugar donde residen habitualmente, el lugar del centro principal de sus negocios, donde residan o el lugar donde se encuentren.</w:t>
      </w:r>
    </w:p>
    <w:p w14:paraId="435BF9B7" w14:textId="77777777" w:rsidR="003A2B7B" w:rsidRPr="00F87D54" w:rsidRDefault="003A2B7B" w:rsidP="001C25A1">
      <w:pPr>
        <w:spacing w:after="0" w:line="360" w:lineRule="auto"/>
        <w:ind w:right="-93"/>
        <w:rPr>
          <w:rFonts w:eastAsiaTheme="minorHAnsi" w:cs="Tahoma"/>
          <w:b/>
          <w:lang w:val="es-ES"/>
        </w:rPr>
      </w:pPr>
    </w:p>
    <w:p w14:paraId="3A87B9E6" w14:textId="77777777" w:rsidR="003A2B7B" w:rsidRPr="00F87D54" w:rsidRDefault="003A2B7B" w:rsidP="001C25A1">
      <w:pPr>
        <w:spacing w:after="0" w:line="360" w:lineRule="auto"/>
        <w:ind w:right="-93"/>
        <w:rPr>
          <w:rFonts w:eastAsiaTheme="minorHAnsi" w:cs="Tahoma"/>
          <w:lang w:val="es-ES"/>
        </w:rPr>
      </w:pPr>
      <w:r w:rsidRPr="00F87D54">
        <w:rPr>
          <w:rFonts w:eastAsiaTheme="minorHAnsi" w:cs="Tahoma"/>
          <w:lang w:val="es-ES"/>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03F36CEC" w14:textId="77777777" w:rsidR="003A2B7B" w:rsidRPr="00F87D54" w:rsidRDefault="003A2B7B" w:rsidP="001C25A1">
      <w:pPr>
        <w:spacing w:after="0" w:line="360" w:lineRule="auto"/>
        <w:ind w:right="-93"/>
        <w:rPr>
          <w:rFonts w:eastAsiaTheme="minorHAnsi" w:cs="Tahoma"/>
          <w:lang w:val="es-ES"/>
        </w:rPr>
      </w:pPr>
    </w:p>
    <w:p w14:paraId="2CA64E56" w14:textId="77777777" w:rsidR="003A2B7B" w:rsidRPr="00F87D54" w:rsidRDefault="003A2B7B" w:rsidP="001C25A1">
      <w:pPr>
        <w:spacing w:after="0" w:line="360" w:lineRule="auto"/>
        <w:ind w:right="-93"/>
        <w:rPr>
          <w:rFonts w:eastAsiaTheme="minorHAnsi" w:cs="Tahoma"/>
          <w:lang w:val="es-ES"/>
        </w:rPr>
      </w:pPr>
      <w:r w:rsidRPr="00F87D54">
        <w:rPr>
          <w:rFonts w:eastAsiaTheme="minorHAnsi" w:cs="Tahoma"/>
          <w:lang w:val="es-ES"/>
        </w:rPr>
        <w:lastRenderedPageBreak/>
        <w:t>La misma suerte corre el comprobante de domicilio, pues mediante este se acredita que los servidores públicos viven donde señalan en los documentos que entregan; sin embargo, es de señalar que este documento guarda la naturaleza de privado, pues no abona en nada a la transparencia, ni rinde cuentas de la forma de actuar de la trabajadora, al contrario la hace ubicable en su carácter de particular, por lo que, se concluye que el comprobante guarda la naturaleza de privado.</w:t>
      </w:r>
    </w:p>
    <w:p w14:paraId="0318005A" w14:textId="77777777" w:rsidR="003A2B7B" w:rsidRPr="00F87D54" w:rsidRDefault="003A2B7B" w:rsidP="001C25A1">
      <w:pPr>
        <w:spacing w:after="0" w:line="360" w:lineRule="auto"/>
        <w:ind w:right="-93"/>
        <w:rPr>
          <w:rFonts w:eastAsiaTheme="minorHAnsi" w:cs="Tahoma"/>
          <w:lang w:val="es-ES"/>
        </w:rPr>
      </w:pPr>
    </w:p>
    <w:p w14:paraId="73D72B4B" w14:textId="7C7D149F" w:rsidR="003A2B7B" w:rsidRPr="00F87D54" w:rsidRDefault="003A2B7B" w:rsidP="001C25A1">
      <w:pPr>
        <w:spacing w:after="0" w:line="360" w:lineRule="auto"/>
        <w:ind w:right="-93"/>
        <w:rPr>
          <w:rFonts w:eastAsiaTheme="minorHAnsi" w:cs="Tahoma"/>
          <w:lang w:val="es-ES"/>
        </w:rPr>
      </w:pPr>
      <w:r w:rsidRPr="00F87D54">
        <w:rPr>
          <w:rFonts w:eastAsiaTheme="minorHAnsi" w:cs="Tahoma"/>
          <w:lang w:val="es-ES"/>
        </w:rPr>
        <w:t>Por lo tanto, se actualiza la clasificación del domicilio y su comprobante, de conformidad con la fracción I, del artículo 143 de la Ley de Transparencia y Acceso a la Información Pública del Estado de México y Municipios.</w:t>
      </w:r>
    </w:p>
    <w:p w14:paraId="025D04FC" w14:textId="77777777" w:rsidR="003A2B7B" w:rsidRPr="00F87D54" w:rsidRDefault="003A2B7B" w:rsidP="001C25A1">
      <w:pPr>
        <w:spacing w:after="0" w:line="360" w:lineRule="auto"/>
        <w:rPr>
          <w:rFonts w:eastAsia="Calibri" w:cs="Tahoma"/>
          <w:bCs/>
          <w:color w:val="auto"/>
        </w:rPr>
      </w:pPr>
    </w:p>
    <w:p w14:paraId="70E58446" w14:textId="77777777" w:rsidR="003A2B7B" w:rsidRPr="00F87D54" w:rsidRDefault="003A2B7B" w:rsidP="001C25A1">
      <w:pPr>
        <w:numPr>
          <w:ilvl w:val="0"/>
          <w:numId w:val="3"/>
        </w:numPr>
        <w:spacing w:after="0" w:line="360" w:lineRule="auto"/>
        <w:contextualSpacing/>
        <w:jc w:val="left"/>
        <w:rPr>
          <w:rFonts w:eastAsia="Calibri" w:cs="Tahoma"/>
          <w:b/>
          <w:bCs/>
        </w:rPr>
      </w:pPr>
      <w:r w:rsidRPr="00F87D54">
        <w:rPr>
          <w:rFonts w:eastAsia="Calibri" w:cs="Tahoma"/>
          <w:b/>
          <w:bCs/>
        </w:rPr>
        <w:t>Fecha de nacimiento</w:t>
      </w:r>
    </w:p>
    <w:p w14:paraId="681804CD" w14:textId="77777777" w:rsidR="00BC1922" w:rsidRPr="00F87D54" w:rsidRDefault="00BC1922" w:rsidP="001C25A1">
      <w:pPr>
        <w:spacing w:after="0" w:line="360" w:lineRule="auto"/>
        <w:ind w:left="720"/>
        <w:contextualSpacing/>
        <w:jc w:val="left"/>
        <w:rPr>
          <w:rFonts w:eastAsia="Calibri" w:cs="Tahoma"/>
          <w:b/>
          <w:bCs/>
        </w:rPr>
      </w:pPr>
    </w:p>
    <w:p w14:paraId="30106D23" w14:textId="77777777" w:rsidR="003A2B7B" w:rsidRPr="00F87D54" w:rsidRDefault="003A2B7B" w:rsidP="001C25A1">
      <w:pPr>
        <w:spacing w:after="0" w:line="360" w:lineRule="auto"/>
        <w:rPr>
          <w:rFonts w:eastAsia="Calibri" w:cs="Tahoma"/>
          <w:bCs/>
          <w:lang w:val="es-ES_tradnl"/>
        </w:rPr>
      </w:pPr>
      <w:r w:rsidRPr="00F87D54">
        <w:rPr>
          <w:rFonts w:eastAsia="Calibri" w:cs="Tahoma"/>
          <w:bCs/>
          <w:lang w:val="es-ES_tradnl"/>
        </w:rPr>
        <w:t>La fecha de nacimiento es un dato personal, toda vez que consiste en información concerniente a una persona física identificada o identificable, toda vez que revela el día exacto en que nació así como, la edad de la persona, que tal como se analizó previamente es clasificada, más aún cuando este dato se encuentra vinculado con el nombre de una persona en específico.</w:t>
      </w:r>
    </w:p>
    <w:p w14:paraId="0137AD5D" w14:textId="77777777" w:rsidR="003A2B7B" w:rsidRPr="00F87D54" w:rsidRDefault="003A2B7B" w:rsidP="001C25A1">
      <w:pPr>
        <w:spacing w:after="0" w:line="360" w:lineRule="auto"/>
        <w:rPr>
          <w:rFonts w:eastAsia="Calibri" w:cs="Tahoma"/>
          <w:bCs/>
          <w:lang w:val="es-ES_tradnl"/>
        </w:rPr>
      </w:pPr>
    </w:p>
    <w:p w14:paraId="50026D80" w14:textId="77777777" w:rsidR="003A2B7B" w:rsidRPr="00F87D54" w:rsidRDefault="003A2B7B" w:rsidP="001C25A1">
      <w:pPr>
        <w:spacing w:after="0" w:line="360" w:lineRule="auto"/>
        <w:rPr>
          <w:rFonts w:eastAsia="Calibri" w:cs="Tahoma"/>
          <w:bCs/>
          <w:lang w:val="es-ES_tradnl"/>
        </w:rPr>
      </w:pPr>
      <w:r w:rsidRPr="00F87D54">
        <w:rPr>
          <w:rFonts w:eastAsia="Calibri" w:cs="Tahoma"/>
          <w:bCs/>
          <w:lang w:val="es-ES_tradnl"/>
        </w:rPr>
        <w:t xml:space="preserve"> Conforme a lo anterior, se colige que se trate de un dato concerniente a la vida privada de la persona, en virtud de que darlo a conocer se afectaría la intimidad de la misma; por lo tanto, es considerado un dato de carácter confidencial, en términos de lo dispuesto en el artículo 143, fracción I de la Ley de Transparencia y Acceso a la Información Pública del Estado de México y Municipios.</w:t>
      </w:r>
    </w:p>
    <w:p w14:paraId="082FA17E" w14:textId="77777777" w:rsidR="003A2B7B" w:rsidRPr="00F87D54" w:rsidRDefault="003A2B7B" w:rsidP="001C25A1">
      <w:pPr>
        <w:spacing w:after="0" w:line="360" w:lineRule="auto"/>
        <w:rPr>
          <w:rFonts w:eastAsia="Calibri" w:cs="Tahoma"/>
          <w:b/>
          <w:bCs/>
          <w:sz w:val="20"/>
        </w:rPr>
      </w:pPr>
    </w:p>
    <w:p w14:paraId="32FF73D1" w14:textId="77777777" w:rsidR="003A2B7B" w:rsidRPr="00F87D54" w:rsidRDefault="003A2B7B" w:rsidP="001C25A1">
      <w:pPr>
        <w:numPr>
          <w:ilvl w:val="0"/>
          <w:numId w:val="3"/>
        </w:numPr>
        <w:spacing w:after="0" w:line="360" w:lineRule="auto"/>
        <w:contextualSpacing/>
        <w:jc w:val="left"/>
        <w:rPr>
          <w:rFonts w:eastAsia="Calibri" w:cs="Tahoma"/>
          <w:b/>
          <w:bCs/>
        </w:rPr>
      </w:pPr>
      <w:r w:rsidRPr="00F87D54">
        <w:rPr>
          <w:rFonts w:eastAsia="Calibri" w:cs="Tahoma"/>
          <w:b/>
          <w:bCs/>
        </w:rPr>
        <w:t>Estado civil</w:t>
      </w:r>
    </w:p>
    <w:p w14:paraId="0D0AF6D0" w14:textId="77777777" w:rsidR="003A2B7B" w:rsidRPr="00F87D54" w:rsidRDefault="003A2B7B" w:rsidP="001C25A1">
      <w:pPr>
        <w:spacing w:after="0" w:line="360" w:lineRule="auto"/>
        <w:rPr>
          <w:rFonts w:eastAsia="Calibri" w:cs="Tahoma"/>
          <w:b/>
          <w:bCs/>
          <w:sz w:val="20"/>
        </w:rPr>
      </w:pPr>
    </w:p>
    <w:p w14:paraId="78AB53E3" w14:textId="77777777" w:rsidR="003A2B7B" w:rsidRPr="00F87D54" w:rsidRDefault="003A2B7B" w:rsidP="001C25A1">
      <w:pPr>
        <w:spacing w:after="0" w:line="360" w:lineRule="auto"/>
        <w:rPr>
          <w:rFonts w:eastAsia="Calibri" w:cs="Tahoma"/>
          <w:bCs/>
          <w:lang w:val="es-ES"/>
        </w:rPr>
      </w:pPr>
      <w:r w:rsidRPr="00F87D54">
        <w:rPr>
          <w:rFonts w:eastAsia="Calibri" w:cs="Tahoma"/>
          <w:bCs/>
          <w:lang w:val="es-ES"/>
        </w:rPr>
        <w:lastRenderedPageBreak/>
        <w:t>El estado civil es un atributo de la personalidad, de acuerdo al artículo 2.3 del Código Civil del Estado de México, e indica si las personas son solteras o casadas y sólo se comprueba con las constancias relativas del Registro Civil. Por lo que es un tema que tiene que ver con la vida privada, ya que, para acceder a un cargo público, el estado civil de las personas es irrelevante, ya que tener uno u otro no influye en el mejor o menor desempeño de un cargo público.</w:t>
      </w:r>
    </w:p>
    <w:p w14:paraId="5FBE32DC" w14:textId="77777777" w:rsidR="003A2B7B" w:rsidRPr="00F87D54" w:rsidRDefault="003A2B7B" w:rsidP="001C25A1">
      <w:pPr>
        <w:spacing w:after="0" w:line="360" w:lineRule="auto"/>
        <w:rPr>
          <w:rFonts w:eastAsia="Calibri" w:cs="Tahoma"/>
          <w:bCs/>
          <w:lang w:val="es-ES"/>
        </w:rPr>
      </w:pPr>
    </w:p>
    <w:p w14:paraId="1EB20474" w14:textId="77777777" w:rsidR="003A2B7B" w:rsidRPr="00F87D54" w:rsidRDefault="003A2B7B" w:rsidP="001C25A1">
      <w:pPr>
        <w:spacing w:after="0" w:line="360" w:lineRule="auto"/>
        <w:rPr>
          <w:rFonts w:eastAsia="Calibri" w:cs="Tahoma"/>
          <w:bCs/>
          <w:lang w:val="es-ES"/>
        </w:rPr>
      </w:pPr>
      <w:r w:rsidRPr="00F87D54">
        <w:rPr>
          <w:rFonts w:eastAsia="Calibri" w:cs="Tahoma"/>
          <w:bCs/>
          <w:lang w:val="es-ES"/>
        </w:rPr>
        <w:t>De esta manera, se trata de un dato personal confidencial que tiene que ver únicamente con la vida privada de las personas, motivo por el cual se considera un dato personal en términos del artículo 143, fracción I de la Ley de Transparencia y Acceso a la Información Pública del Estado de México y Municipios.</w:t>
      </w:r>
    </w:p>
    <w:p w14:paraId="658D0408" w14:textId="77777777" w:rsidR="00BC1922" w:rsidRPr="00F87D54" w:rsidRDefault="00BC1922" w:rsidP="001C25A1">
      <w:pPr>
        <w:spacing w:after="0" w:line="360" w:lineRule="auto"/>
        <w:rPr>
          <w:rFonts w:eastAsia="Calibri" w:cs="Tahoma"/>
          <w:bCs/>
          <w:lang w:val="es-ES"/>
        </w:rPr>
      </w:pPr>
    </w:p>
    <w:p w14:paraId="19CAA14B" w14:textId="6F1A1E47" w:rsidR="00B30556" w:rsidRPr="00F87D54" w:rsidRDefault="00B30556" w:rsidP="00B30556">
      <w:pPr>
        <w:spacing w:after="0" w:line="360" w:lineRule="auto"/>
        <w:rPr>
          <w:rFonts w:cs="Tahoma"/>
          <w:lang w:val="es-ES_tradnl"/>
        </w:rPr>
      </w:pPr>
      <w:r w:rsidRPr="00F87D54">
        <w:rPr>
          <w:rFonts w:eastAsia="Calibri" w:cs="Tahoma"/>
          <w:bCs/>
          <w:lang w:val="es-ES"/>
        </w:rPr>
        <w:t xml:space="preserve">Conforme a lo anterior, se logra vislumbrar que el Sujeto Obligado proporcionó los FUMP, en donde testó los datos personales que contenían estos, con lo cual da cumplimiento a los artículos 143, fracción I, de la Ley de la matera; en ese contexto, </w:t>
      </w:r>
      <w:r w:rsidRPr="00F87D54">
        <w:rPr>
          <w:rFonts w:cs="Tahoma"/>
          <w:lang w:val="es-ES_tradnl"/>
        </w:rPr>
        <w:t xml:space="preserve">este Instituto revisó el Acuerdo emitido por el Comité de Transparencia, proporcionado en Informe Justificado, en donde de manera fundada y motivada, acredita la clasificación del Registro Federal de Contribuyentes, domicilio particular, fecha de nacimiento y Estado Civil, de los servidores públicos, y válida la versión pública, por lo que, atendió lo establecido en el artículo 168 de la Ley de Transparencia y Acceso a la Información Pública del Estado de México y Municipios. </w:t>
      </w:r>
    </w:p>
    <w:p w14:paraId="56E87852" w14:textId="2544D775" w:rsidR="00B30556" w:rsidRPr="00F87D54" w:rsidRDefault="00B30556" w:rsidP="00B30556">
      <w:pPr>
        <w:spacing w:after="0" w:line="360" w:lineRule="auto"/>
        <w:rPr>
          <w:lang w:val="es-ES"/>
        </w:rPr>
      </w:pPr>
      <w:r w:rsidRPr="00F87D54">
        <w:rPr>
          <w:lang w:val="es-ES"/>
        </w:rPr>
        <w:t>En ese orden de ideas, si bien en Informe Justificado proporcionó el Acuerdo del Comité de Transparencia donde se valida la clasificación de los FUMPS entregados, lo cierto es que el de la Titular de la Unidad de Transparencia, se encuentran accesibles los datos, por lo que, para evitar la vulneración de los datos personales, se considera que deberá entregarlo de nueva cuenta, en donde no se permita el acceso a los mismos.</w:t>
      </w:r>
    </w:p>
    <w:p w14:paraId="3B01A802" w14:textId="0D9A7093" w:rsidR="00B30556" w:rsidRPr="00F87D54" w:rsidRDefault="00B30556" w:rsidP="001C25A1">
      <w:pPr>
        <w:spacing w:after="0" w:line="360" w:lineRule="auto"/>
        <w:rPr>
          <w:rFonts w:eastAsia="Calibri" w:cs="Tahoma"/>
          <w:bCs/>
          <w:lang w:val="es-ES"/>
        </w:rPr>
      </w:pPr>
    </w:p>
    <w:p w14:paraId="7552BCFD" w14:textId="5549A8B4" w:rsidR="00B30556" w:rsidRPr="00F87D54" w:rsidRDefault="00B30556" w:rsidP="002C6F65">
      <w:pPr>
        <w:spacing w:after="0" w:line="360" w:lineRule="auto"/>
        <w:rPr>
          <w:rFonts w:eastAsia="Calibri" w:cs="Tahoma"/>
          <w:b/>
          <w:bCs/>
          <w:iCs/>
        </w:rPr>
      </w:pPr>
      <w:r w:rsidRPr="00F87D54">
        <w:rPr>
          <w:rFonts w:eastAsia="Calibri" w:cs="Tahoma"/>
          <w:bCs/>
        </w:rPr>
        <w:t xml:space="preserve">Lo anterior, toma sustento en </w:t>
      </w:r>
      <w:r w:rsidR="002C6F65" w:rsidRPr="00F87D54">
        <w:rPr>
          <w:rFonts w:eastAsia="Calibri" w:cs="Tahoma"/>
          <w:bCs/>
        </w:rPr>
        <w:t xml:space="preserve">el Quincuagésimo octavo de los </w:t>
      </w:r>
      <w:r w:rsidRPr="00F87D54">
        <w:rPr>
          <w:rFonts w:eastAsia="Calibri" w:cs="Tahoma"/>
          <w:bCs/>
        </w:rPr>
        <w:t xml:space="preserve">Lineamientos generales en materia de clasificación y desclasificación de la información, así como para la elaboración de versiones públicas, vigentes a la fecha de la solicitud, </w:t>
      </w:r>
      <w:r w:rsidR="002C6F65" w:rsidRPr="00F87D54">
        <w:rPr>
          <w:rFonts w:eastAsia="Calibri" w:cs="Tahoma"/>
          <w:bCs/>
        </w:rPr>
        <w:t>que establece que l</w:t>
      </w:r>
      <w:r w:rsidRPr="00F87D54">
        <w:rPr>
          <w:rFonts w:eastAsia="Calibri" w:cs="Tahoma"/>
          <w:bCs/>
          <w:iCs/>
        </w:rPr>
        <w:t>os sujetos obligados garantizarán que los sistemas o medios empleados para eliminar la información en las versiones públicas</w:t>
      </w:r>
      <w:r w:rsidRPr="00F87D54">
        <w:rPr>
          <w:rFonts w:eastAsia="Calibri" w:cs="Tahoma"/>
          <w:b/>
          <w:bCs/>
          <w:iCs/>
        </w:rPr>
        <w:t xml:space="preserve"> no permitan la recuperación o visualización de la misma.</w:t>
      </w:r>
    </w:p>
    <w:p w14:paraId="718B2A09" w14:textId="77777777" w:rsidR="00B30556" w:rsidRPr="00F87D54" w:rsidRDefault="00B30556" w:rsidP="001C25A1">
      <w:pPr>
        <w:spacing w:after="0" w:line="360" w:lineRule="auto"/>
        <w:rPr>
          <w:rFonts w:eastAsia="Calibri" w:cs="Tahoma"/>
          <w:bCs/>
          <w:lang w:val="es-ES"/>
        </w:rPr>
      </w:pPr>
    </w:p>
    <w:p w14:paraId="4EEC68D8" w14:textId="77777777" w:rsidR="00E55228" w:rsidRPr="00F87D54" w:rsidRDefault="00E55228" w:rsidP="001C25A1">
      <w:pPr>
        <w:pStyle w:val="Ttulo2"/>
        <w:spacing w:before="0" w:after="0" w:line="360" w:lineRule="auto"/>
        <w:rPr>
          <w:b w:val="0"/>
          <w:bCs/>
          <w:color w:val="auto"/>
          <w:sz w:val="22"/>
          <w:szCs w:val="22"/>
        </w:rPr>
      </w:pPr>
      <w:bookmarkStart w:id="19" w:name="_Toc190259599"/>
      <w:bookmarkStart w:id="20" w:name="_Toc193966123"/>
      <w:r w:rsidRPr="00F87D54">
        <w:rPr>
          <w:bCs/>
          <w:color w:val="auto"/>
          <w:sz w:val="22"/>
          <w:szCs w:val="22"/>
        </w:rPr>
        <w:t>SEXTO. Decisión</w:t>
      </w:r>
      <w:bookmarkEnd w:id="19"/>
      <w:bookmarkEnd w:id="20"/>
    </w:p>
    <w:p w14:paraId="5E7F02A1" w14:textId="77777777" w:rsidR="00E55228" w:rsidRPr="00F87D54" w:rsidRDefault="00E55228" w:rsidP="001C25A1">
      <w:pPr>
        <w:spacing w:after="0" w:line="360" w:lineRule="auto"/>
        <w:rPr>
          <w:b/>
        </w:rPr>
      </w:pPr>
    </w:p>
    <w:p w14:paraId="4994C45D" w14:textId="09A7B4CA" w:rsidR="00E55228" w:rsidRPr="00F87D54" w:rsidRDefault="00E55228" w:rsidP="001C25A1">
      <w:pPr>
        <w:spacing w:after="0" w:line="360" w:lineRule="auto"/>
        <w:rPr>
          <w:rFonts w:cs="Tahoma"/>
        </w:rPr>
      </w:pPr>
      <w:r w:rsidRPr="00F87D54">
        <w:rPr>
          <w:rFonts w:cs="Tahoma"/>
        </w:rPr>
        <w:t xml:space="preserve">Con fundamento en el artículo 186, fracción III, de la Ley de Transparencia y Acceso a la Información Pública del Estado de México y Municipios, este Instituto considera procedente </w:t>
      </w:r>
      <w:r w:rsidRPr="00F87D54">
        <w:rPr>
          <w:b/>
          <w:bCs/>
        </w:rPr>
        <w:t>MODIFICAR</w:t>
      </w:r>
      <w:r w:rsidRPr="00F87D54">
        <w:rPr>
          <w:rFonts w:cs="Tahoma"/>
        </w:rPr>
        <w:t xml:space="preserve"> la respuesta otorgada por el Sujeto Obligado a l</w:t>
      </w:r>
      <w:r w:rsidR="00970EDB" w:rsidRPr="00F87D54">
        <w:rPr>
          <w:rFonts w:cs="Tahoma"/>
        </w:rPr>
        <w:t>a solicitud de información 00017/TEMOAYA/IP/2025</w:t>
      </w:r>
      <w:r w:rsidRPr="00F87D54">
        <w:rPr>
          <w:rFonts w:cs="Tahoma"/>
        </w:rPr>
        <w:t>, a efecto de que entregue, en versión pública, la información solicitada.</w:t>
      </w:r>
    </w:p>
    <w:p w14:paraId="238D79DF" w14:textId="77777777" w:rsidR="00E55228" w:rsidRPr="00F87D54" w:rsidRDefault="00E55228" w:rsidP="001C25A1">
      <w:pPr>
        <w:spacing w:after="0" w:line="360" w:lineRule="auto"/>
        <w:rPr>
          <w:rFonts w:cs="Tahoma"/>
        </w:rPr>
      </w:pPr>
    </w:p>
    <w:p w14:paraId="38FE602E" w14:textId="77777777" w:rsidR="00E55228" w:rsidRPr="00F87D54" w:rsidRDefault="00E55228" w:rsidP="001C25A1">
      <w:pPr>
        <w:spacing w:after="0" w:line="360" w:lineRule="auto"/>
        <w:rPr>
          <w:b/>
        </w:rPr>
      </w:pPr>
      <w:r w:rsidRPr="00F87D54">
        <w:rPr>
          <w:b/>
        </w:rPr>
        <w:t>Términos de la Resolución para conocimiento del Particular</w:t>
      </w:r>
    </w:p>
    <w:p w14:paraId="11BC9E1B" w14:textId="77777777" w:rsidR="00E55228" w:rsidRPr="00F87D54" w:rsidRDefault="00E55228" w:rsidP="001C25A1">
      <w:pPr>
        <w:spacing w:after="0" w:line="360" w:lineRule="auto"/>
        <w:rPr>
          <w:b/>
        </w:rPr>
      </w:pPr>
    </w:p>
    <w:p w14:paraId="0C0A19AD" w14:textId="79DF3EDF" w:rsidR="00E55228" w:rsidRPr="00F87D54" w:rsidRDefault="00E55228" w:rsidP="001C25A1">
      <w:pPr>
        <w:spacing w:after="0" w:line="360" w:lineRule="auto"/>
      </w:pPr>
      <w:bookmarkStart w:id="21" w:name="_heading=h.1fob9te"/>
      <w:bookmarkEnd w:id="21"/>
      <w:r w:rsidRPr="00F87D54">
        <w:t>Se le hace del conocimiento a la persona Recurrente que, en el presente asunto, se le da parcialmente la razón, pues el Sujeto Obligado</w:t>
      </w:r>
      <w:r w:rsidR="00970EDB" w:rsidRPr="00F87D54">
        <w:t>, en respuesta,</w:t>
      </w:r>
      <w:r w:rsidRPr="00F87D54">
        <w:t xml:space="preserve"> si bien proporcionó parte de la información solicitada,</w:t>
      </w:r>
      <w:r w:rsidR="00970EDB" w:rsidRPr="00F87D54">
        <w:t xml:space="preserve"> en Informe Justificado entregó la información faltante, sin embargo, el testado en el documento entregado es accesible</w:t>
      </w:r>
      <w:r w:rsidRPr="00F87D54">
        <w:t>, por lo que, deberá entregar la informaci</w:t>
      </w:r>
      <w:r w:rsidR="00970EDB" w:rsidRPr="00F87D54">
        <w:t>ón solicitada de manera correcta</w:t>
      </w:r>
      <w:r w:rsidRPr="00F87D54">
        <w:t>.</w:t>
      </w:r>
    </w:p>
    <w:p w14:paraId="7A87A73C" w14:textId="77777777" w:rsidR="00E55228" w:rsidRPr="00F87D54" w:rsidRDefault="00E55228" w:rsidP="001C25A1">
      <w:pPr>
        <w:spacing w:after="0" w:line="360" w:lineRule="auto"/>
      </w:pPr>
    </w:p>
    <w:p w14:paraId="41279B23" w14:textId="77777777" w:rsidR="00E55228" w:rsidRPr="00F87D54" w:rsidRDefault="00E55228" w:rsidP="001C25A1">
      <w:pPr>
        <w:spacing w:after="0" w:line="360" w:lineRule="auto"/>
        <w:ind w:right="-28"/>
        <w:rPr>
          <w:rFonts w:eastAsia="Calibri" w:cs="Tahoma"/>
        </w:rPr>
      </w:pPr>
      <w:r w:rsidRPr="00F87D54">
        <w:rPr>
          <w:rFonts w:eastAsia="Calibri" w:cs="Tahoma"/>
          <w:bCs/>
          <w:iCs/>
          <w:color w:val="auto"/>
        </w:rPr>
        <w:t xml:space="preserve">Finalmente, se le informa que la labor de este Instituto de Transparencia, Acceso a la Información Pública y Protección de Datos Personales del Estado de México y Municipios, es </w:t>
      </w:r>
      <w:r w:rsidRPr="00F87D54">
        <w:rPr>
          <w:rFonts w:eastAsia="Calibri" w:cs="Tahoma"/>
          <w:bCs/>
          <w:iCs/>
          <w:color w:val="auto"/>
        </w:rPr>
        <w:lastRenderedPageBreak/>
        <w:t>apoyar a la población a acceder a la información pública y garantizar la protección de los datos personales.</w:t>
      </w:r>
    </w:p>
    <w:p w14:paraId="27776EC0" w14:textId="77777777" w:rsidR="00E55228" w:rsidRPr="00F87D54" w:rsidRDefault="00E55228" w:rsidP="001C25A1">
      <w:pPr>
        <w:spacing w:after="0" w:line="360" w:lineRule="auto"/>
      </w:pPr>
    </w:p>
    <w:p w14:paraId="2BE077D8" w14:textId="77777777" w:rsidR="00E55228" w:rsidRPr="00F87D54" w:rsidRDefault="00E55228" w:rsidP="001C25A1">
      <w:pPr>
        <w:spacing w:after="0" w:line="360" w:lineRule="auto"/>
      </w:pPr>
      <w:r w:rsidRPr="00F87D54">
        <w:t>Por lo expuesto y fundado, este Pleno:</w:t>
      </w:r>
    </w:p>
    <w:p w14:paraId="5D6266DE" w14:textId="77777777" w:rsidR="00E55228" w:rsidRPr="00F87D54" w:rsidRDefault="00E55228" w:rsidP="001C25A1">
      <w:pPr>
        <w:spacing w:after="0" w:line="360" w:lineRule="auto"/>
      </w:pPr>
    </w:p>
    <w:p w14:paraId="231144D7" w14:textId="77777777" w:rsidR="00E55228" w:rsidRPr="00F87D54" w:rsidRDefault="00E55228" w:rsidP="001C25A1">
      <w:pPr>
        <w:pStyle w:val="Ttulo1"/>
        <w:spacing w:before="0" w:after="0" w:line="360" w:lineRule="auto"/>
        <w:jc w:val="center"/>
        <w:rPr>
          <w:b w:val="0"/>
          <w:bCs/>
          <w:color w:val="auto"/>
          <w:sz w:val="22"/>
          <w:szCs w:val="22"/>
        </w:rPr>
      </w:pPr>
      <w:bookmarkStart w:id="22" w:name="_Toc190259600"/>
      <w:bookmarkStart w:id="23" w:name="_Toc193966124"/>
      <w:r w:rsidRPr="00F87D54">
        <w:rPr>
          <w:bCs/>
          <w:color w:val="auto"/>
          <w:sz w:val="22"/>
          <w:szCs w:val="22"/>
        </w:rPr>
        <w:t>R E S U E L V E</w:t>
      </w:r>
      <w:bookmarkEnd w:id="22"/>
      <w:bookmarkEnd w:id="23"/>
    </w:p>
    <w:p w14:paraId="688ABF0D" w14:textId="77777777" w:rsidR="00E55228" w:rsidRPr="00F87D54" w:rsidRDefault="00E55228" w:rsidP="001C25A1">
      <w:pPr>
        <w:spacing w:after="0" w:line="360" w:lineRule="auto"/>
      </w:pPr>
    </w:p>
    <w:p w14:paraId="2DD0327C" w14:textId="33F50623" w:rsidR="00E55228" w:rsidRPr="00F87D54" w:rsidRDefault="00E55228" w:rsidP="001C25A1">
      <w:pPr>
        <w:spacing w:after="0" w:line="360" w:lineRule="auto"/>
      </w:pPr>
      <w:r w:rsidRPr="00F87D54">
        <w:rPr>
          <w:b/>
        </w:rPr>
        <w:t xml:space="preserve">PRIMERO. </w:t>
      </w:r>
      <w:r w:rsidRPr="00F87D54">
        <w:t xml:space="preserve">Se </w:t>
      </w:r>
      <w:r w:rsidRPr="00F87D54">
        <w:rPr>
          <w:b/>
        </w:rPr>
        <w:t xml:space="preserve">MODIFICA </w:t>
      </w:r>
      <w:r w:rsidRPr="00F87D54">
        <w:t>la respuesta entr</w:t>
      </w:r>
      <w:r w:rsidR="00970EDB" w:rsidRPr="00F87D54">
        <w:t>egada por el Ayuntamiento de Temoaya</w:t>
      </w:r>
      <w:r w:rsidRPr="00F87D54">
        <w:t>, a la solicitud de información</w:t>
      </w:r>
      <w:r w:rsidR="00970EDB" w:rsidRPr="00F87D54">
        <w:rPr>
          <w:rFonts w:cs="Tahoma"/>
        </w:rPr>
        <w:t xml:space="preserve"> 00017/TEMOAYA/IP/2025</w:t>
      </w:r>
      <w:r w:rsidRPr="00F87D54">
        <w:rPr>
          <w:color w:val="000000"/>
        </w:rPr>
        <w:t>,</w:t>
      </w:r>
      <w:r w:rsidRPr="00F87D54">
        <w:t xml:space="preserve"> por resultar </w:t>
      </w:r>
      <w:r w:rsidR="00841259" w:rsidRPr="00F87D54">
        <w:rPr>
          <w:b/>
          <w:bCs/>
        </w:rPr>
        <w:t xml:space="preserve">PARCIALMENTE </w:t>
      </w:r>
      <w:r w:rsidRPr="00F87D54">
        <w:rPr>
          <w:b/>
          <w:bCs/>
        </w:rPr>
        <w:t>FUNDADAS</w:t>
      </w:r>
      <w:r w:rsidRPr="00F87D54">
        <w:rPr>
          <w:b/>
        </w:rPr>
        <w:t xml:space="preserve"> </w:t>
      </w:r>
      <w:r w:rsidRPr="00F87D54">
        <w:t>las razones o motivos de inconformidad hechos valer por la persona Recurrente, en términos de los considerandos QUINTO y SEXTO de la presente Resolución.</w:t>
      </w:r>
    </w:p>
    <w:p w14:paraId="70E31FD9" w14:textId="77777777" w:rsidR="008973A6" w:rsidRPr="00F87D54" w:rsidRDefault="008973A6" w:rsidP="001C25A1">
      <w:pPr>
        <w:spacing w:after="0" w:line="360" w:lineRule="auto"/>
      </w:pPr>
    </w:p>
    <w:p w14:paraId="1A9156AD" w14:textId="59F94A86" w:rsidR="00E55228" w:rsidRPr="00F87D54" w:rsidRDefault="00E55228" w:rsidP="001C25A1">
      <w:pPr>
        <w:spacing w:after="0" w:line="360" w:lineRule="auto"/>
        <w:rPr>
          <w:rFonts w:eastAsia="Times New Roman" w:cs="Tahoma"/>
          <w:iCs/>
          <w:color w:val="auto"/>
        </w:rPr>
      </w:pPr>
      <w:r w:rsidRPr="00F87D54">
        <w:rPr>
          <w:b/>
        </w:rPr>
        <w:t xml:space="preserve">SEGUNDO. </w:t>
      </w:r>
      <w:r w:rsidRPr="00F87D54">
        <w:t xml:space="preserve">Se </w:t>
      </w:r>
      <w:r w:rsidRPr="00F87D54">
        <w:rPr>
          <w:b/>
        </w:rPr>
        <w:t>ORDENA</w:t>
      </w:r>
      <w:r w:rsidRPr="00F87D54">
        <w:t xml:space="preserve"> al Sujeto Obligado</w:t>
      </w:r>
      <w:r w:rsidRPr="00F87D54">
        <w:rPr>
          <w:b/>
        </w:rPr>
        <w:t xml:space="preserve">, </w:t>
      </w:r>
      <w:r w:rsidRPr="00F87D54">
        <w:t xml:space="preserve">a efecto de que previa búsqueda exhaustiva y razonable en los archivos de las unidades administrativas competentes, entregue a través del Sistema de Acceso a la Información Mexiquense (SAIMEX), en versión pública, </w:t>
      </w:r>
      <w:r w:rsidRPr="00F87D54">
        <w:rPr>
          <w:rFonts w:eastAsia="Times New Roman" w:cs="Tahoma"/>
          <w:iCs/>
          <w:color w:val="auto"/>
        </w:rPr>
        <w:t>lo siguiente:</w:t>
      </w:r>
    </w:p>
    <w:p w14:paraId="54B6E152" w14:textId="77777777" w:rsidR="00E55228" w:rsidRPr="00F87D54" w:rsidRDefault="00E55228" w:rsidP="001C25A1">
      <w:pPr>
        <w:pStyle w:val="paragraph"/>
        <w:spacing w:before="0" w:beforeAutospacing="0" w:after="0" w:afterAutospacing="0" w:line="360" w:lineRule="auto"/>
        <w:ind w:right="-30"/>
        <w:jc w:val="both"/>
        <w:textAlignment w:val="baseline"/>
        <w:rPr>
          <w:rFonts w:ascii="Palatino Linotype" w:hAnsi="Palatino Linotype"/>
          <w:sz w:val="22"/>
          <w:szCs w:val="22"/>
          <w:lang w:val="es-MX"/>
        </w:rPr>
      </w:pPr>
    </w:p>
    <w:p w14:paraId="06EEE2A8" w14:textId="05D9DD55" w:rsidR="00E55228" w:rsidRPr="00F87D54" w:rsidRDefault="00970EDB" w:rsidP="00B30556">
      <w:pPr>
        <w:pStyle w:val="Prrafodelista"/>
        <w:numPr>
          <w:ilvl w:val="0"/>
          <w:numId w:val="11"/>
        </w:numPr>
        <w:spacing w:line="360" w:lineRule="auto"/>
        <w:rPr>
          <w:bCs/>
          <w:iCs/>
          <w:szCs w:val="20"/>
          <w:lang w:val="es-ES"/>
        </w:rPr>
      </w:pPr>
      <w:r w:rsidRPr="00F87D54">
        <w:rPr>
          <w:bCs/>
          <w:iCs/>
          <w:color w:val="auto"/>
          <w:szCs w:val="20"/>
          <w:lang w:val="es-ES"/>
        </w:rPr>
        <w:t>El Formato Único de Movimientos de Personal de la Titular de la Unidad de Transparencia</w:t>
      </w:r>
      <w:r w:rsidR="00B30556" w:rsidRPr="00F87D54">
        <w:rPr>
          <w:bCs/>
          <w:iCs/>
          <w:color w:val="auto"/>
          <w:szCs w:val="20"/>
          <w:lang w:val="es-ES"/>
        </w:rPr>
        <w:t>, proporcionado en Informe Justificad</w:t>
      </w:r>
      <w:r w:rsidR="002C6F65" w:rsidRPr="00F87D54">
        <w:rPr>
          <w:bCs/>
          <w:iCs/>
          <w:color w:val="auto"/>
          <w:szCs w:val="20"/>
          <w:lang w:val="es-ES"/>
        </w:rPr>
        <w:t>o</w:t>
      </w:r>
      <w:r w:rsidRPr="00F87D54">
        <w:rPr>
          <w:bCs/>
          <w:iCs/>
          <w:color w:val="auto"/>
          <w:szCs w:val="20"/>
          <w:lang w:val="es-ES"/>
        </w:rPr>
        <w:t>.</w:t>
      </w:r>
    </w:p>
    <w:p w14:paraId="2214DC39" w14:textId="77777777" w:rsidR="00E55228" w:rsidRPr="00F87D54" w:rsidRDefault="00E55228" w:rsidP="001C25A1">
      <w:pPr>
        <w:spacing w:after="0" w:line="360" w:lineRule="auto"/>
        <w:ind w:right="-28"/>
        <w:rPr>
          <w:rFonts w:cs="Tahoma"/>
          <w:bCs/>
          <w:iCs/>
          <w:lang w:eastAsia="es-ES"/>
        </w:rPr>
      </w:pPr>
    </w:p>
    <w:p w14:paraId="6DF1846F" w14:textId="77777777" w:rsidR="00E55228" w:rsidRPr="00F87D54" w:rsidRDefault="00E55228" w:rsidP="001C25A1">
      <w:pPr>
        <w:spacing w:after="0" w:line="360" w:lineRule="auto"/>
        <w:ind w:right="-28"/>
        <w:rPr>
          <w:b/>
        </w:rPr>
      </w:pPr>
      <w:r w:rsidRPr="00F87D54">
        <w:rPr>
          <w:b/>
        </w:rPr>
        <w:t xml:space="preserve">TERCERO. NOTIFÍQUESE POR SAIMEX </w:t>
      </w:r>
      <w:r w:rsidRPr="00F87D54">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w:t>
      </w:r>
      <w:r w:rsidRPr="00F87D54">
        <w:lastRenderedPageBreak/>
        <w:t>conformidad con lo previsto en los artículos 198, 200, fracción III, 214, 215 y 216 de la Ley referida.</w:t>
      </w:r>
    </w:p>
    <w:p w14:paraId="657282F8" w14:textId="77777777" w:rsidR="00E55228" w:rsidRPr="00F87D54" w:rsidRDefault="00E55228" w:rsidP="001C25A1">
      <w:pPr>
        <w:spacing w:after="0" w:line="360" w:lineRule="auto"/>
        <w:ind w:right="-28"/>
        <w:rPr>
          <w:color w:val="000000"/>
        </w:rPr>
      </w:pPr>
    </w:p>
    <w:p w14:paraId="75174C9E" w14:textId="77777777" w:rsidR="00E55228" w:rsidRPr="00F87D54" w:rsidRDefault="00E55228" w:rsidP="001C25A1">
      <w:pPr>
        <w:spacing w:after="0" w:line="360" w:lineRule="auto"/>
        <w:rPr>
          <w:color w:val="000000"/>
        </w:rPr>
      </w:pPr>
      <w:r w:rsidRPr="00F87D54">
        <w:rPr>
          <w:color w:val="000000"/>
        </w:rPr>
        <w:t>De conformidad con el artículo 198 de la Ley de la materia, de considerarlo procedente, el Sujeto Obligado de manera fundada y motivada, podrá solicitar una ampliación de plazo para el cumplimiento de la presente resolución.</w:t>
      </w:r>
    </w:p>
    <w:p w14:paraId="19E33227" w14:textId="77777777" w:rsidR="00E55228" w:rsidRPr="00F87D54" w:rsidRDefault="00E55228" w:rsidP="001C25A1">
      <w:pPr>
        <w:spacing w:after="0" w:line="360" w:lineRule="auto"/>
        <w:rPr>
          <w:color w:val="000000"/>
        </w:rPr>
      </w:pPr>
    </w:p>
    <w:p w14:paraId="3C07B33F" w14:textId="77777777" w:rsidR="00E55228" w:rsidRPr="00F87D54" w:rsidRDefault="00E55228" w:rsidP="001C25A1">
      <w:pPr>
        <w:spacing w:after="0" w:line="360" w:lineRule="auto"/>
        <w:contextualSpacing/>
        <w:rPr>
          <w:color w:val="000000"/>
        </w:rPr>
      </w:pPr>
      <w:r w:rsidRPr="00F87D54">
        <w:rPr>
          <w:b/>
          <w:bCs/>
          <w:color w:val="000000"/>
        </w:rPr>
        <w:t xml:space="preserve">CUARTO. </w:t>
      </w:r>
      <w:r w:rsidRPr="00F87D54">
        <w:rPr>
          <w:b/>
        </w:rPr>
        <w:t>NOTIFÍQUESE POR SAIMEX</w:t>
      </w:r>
      <w:r w:rsidRPr="00F87D54">
        <w:rPr>
          <w:color w:val="000000"/>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079CBB1C" w14:textId="77777777" w:rsidR="00F469C9" w:rsidRPr="00F87D54" w:rsidRDefault="00F469C9" w:rsidP="001C25A1">
      <w:pPr>
        <w:spacing w:after="0" w:line="360" w:lineRule="auto"/>
        <w:rPr>
          <w:rFonts w:eastAsia="Calibri" w:cs="Tahoma"/>
          <w:bCs/>
        </w:rPr>
      </w:pPr>
    </w:p>
    <w:p w14:paraId="22C2DF97" w14:textId="376AFA5B" w:rsidR="00F469C9" w:rsidRPr="001F4A28" w:rsidRDefault="00F469C9" w:rsidP="001C25A1">
      <w:pPr>
        <w:spacing w:after="0" w:line="360" w:lineRule="auto"/>
        <w:rPr>
          <w:rFonts w:eastAsia="Calibri" w:cs="Tahoma"/>
          <w:bCs/>
        </w:rPr>
      </w:pPr>
      <w:r w:rsidRPr="00F87D54">
        <w:rPr>
          <w:rFonts w:eastAsia="Calibri" w:cs="Tahoma"/>
          <w:bCs/>
        </w:rPr>
        <w:t xml:space="preserve">ASÍ LO RESUELVE, POR </w:t>
      </w:r>
      <w:r w:rsidRPr="00F87D54">
        <w:rPr>
          <w:rFonts w:eastAsia="Calibri" w:cs="Tahoma"/>
          <w:b/>
        </w:rPr>
        <w:t>UNANIMIDAD</w:t>
      </w:r>
      <w:r w:rsidRPr="00F87D54">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52A26" w:rsidRPr="00F87D54">
        <w:rPr>
          <w:rFonts w:eastAsia="Calibri" w:cs="Tahoma"/>
          <w:bCs/>
        </w:rPr>
        <w:t>DÉCIMA</w:t>
      </w:r>
      <w:r w:rsidRPr="00F87D54">
        <w:rPr>
          <w:rFonts w:eastAsia="Calibri" w:cs="Tahoma"/>
          <w:bCs/>
        </w:rPr>
        <w:t xml:space="preserve"> </w:t>
      </w:r>
      <w:r w:rsidR="00970EDB" w:rsidRPr="00F87D54">
        <w:rPr>
          <w:rFonts w:eastAsia="Calibri" w:cs="Tahoma"/>
          <w:bCs/>
        </w:rPr>
        <w:t>SEGUNDA</w:t>
      </w:r>
      <w:r w:rsidR="008E2788" w:rsidRPr="00F87D54">
        <w:rPr>
          <w:rFonts w:eastAsia="Calibri" w:cs="Tahoma"/>
          <w:bCs/>
        </w:rPr>
        <w:t xml:space="preserve"> </w:t>
      </w:r>
      <w:r w:rsidRPr="00F87D54">
        <w:rPr>
          <w:rFonts w:eastAsia="Calibri" w:cs="Tahoma"/>
          <w:bCs/>
        </w:rPr>
        <w:t xml:space="preserve">SESIÓN ORDINARIA, CELEBRADA EL  </w:t>
      </w:r>
      <w:r w:rsidR="00970EDB" w:rsidRPr="00F87D54">
        <w:rPr>
          <w:rFonts w:eastAsia="Calibri" w:cs="Tahoma"/>
          <w:bCs/>
        </w:rPr>
        <w:t>DOS DE ABRIL</w:t>
      </w:r>
      <w:r w:rsidRPr="00F87D54">
        <w:rPr>
          <w:rFonts w:eastAsia="Calibri" w:cs="Tahoma"/>
          <w:bCs/>
        </w:rPr>
        <w:t xml:space="preserve"> DE DOS MIL VEINTICINCO, ANTE EL SECRETARIO TÉCNICO DEL PLENO, ALEXIS TAPIA RAMÍREZ.</w:t>
      </w:r>
    </w:p>
    <w:p w14:paraId="13056077" w14:textId="77777777" w:rsidR="00F469C9" w:rsidRPr="00F469C9" w:rsidRDefault="00F469C9" w:rsidP="001C25A1">
      <w:pPr>
        <w:spacing w:after="0" w:line="360" w:lineRule="auto"/>
      </w:pPr>
    </w:p>
    <w:p w14:paraId="2897B061" w14:textId="77777777" w:rsidR="00F469C9" w:rsidRDefault="00F469C9" w:rsidP="001C25A1">
      <w:pPr>
        <w:spacing w:after="0" w:line="360" w:lineRule="auto"/>
        <w:contextualSpacing/>
        <w:rPr>
          <w:color w:val="000000"/>
        </w:rPr>
      </w:pPr>
    </w:p>
    <w:p w14:paraId="74E8DB3F" w14:textId="77777777" w:rsidR="00C556AB" w:rsidRDefault="00C556AB" w:rsidP="001C25A1">
      <w:pPr>
        <w:spacing w:after="0" w:line="360" w:lineRule="auto"/>
      </w:pPr>
    </w:p>
    <w:p w14:paraId="1A555613" w14:textId="77777777" w:rsidR="00023BBD" w:rsidRPr="00E64957" w:rsidRDefault="00023BBD" w:rsidP="001C25A1">
      <w:pPr>
        <w:spacing w:after="0" w:line="360" w:lineRule="auto"/>
      </w:pPr>
    </w:p>
    <w:p w14:paraId="2DB71CAF" w14:textId="49BEE08C" w:rsidR="001D4F21" w:rsidRDefault="001D4F21" w:rsidP="001C25A1">
      <w:pPr>
        <w:spacing w:after="0" w:line="360" w:lineRule="auto"/>
        <w:rPr>
          <w:color w:val="000000"/>
        </w:rPr>
      </w:pPr>
    </w:p>
    <w:p w14:paraId="38B4EF2E" w14:textId="77777777" w:rsidR="001D4F21" w:rsidRDefault="001D4F21" w:rsidP="001C25A1">
      <w:pPr>
        <w:spacing w:after="0" w:line="360" w:lineRule="auto"/>
        <w:rPr>
          <w:color w:val="000000"/>
        </w:rPr>
      </w:pPr>
    </w:p>
    <w:p w14:paraId="4201A0A0" w14:textId="77777777" w:rsidR="00E864E9" w:rsidRDefault="00E864E9" w:rsidP="001C25A1">
      <w:pPr>
        <w:tabs>
          <w:tab w:val="right" w:pos="8931"/>
        </w:tabs>
        <w:spacing w:after="0" w:line="360" w:lineRule="auto"/>
      </w:pPr>
    </w:p>
    <w:p w14:paraId="543728D1" w14:textId="77777777" w:rsidR="00E864E9" w:rsidRDefault="00E864E9" w:rsidP="001C25A1">
      <w:pPr>
        <w:tabs>
          <w:tab w:val="right" w:pos="8931"/>
        </w:tabs>
        <w:spacing w:after="0" w:line="360" w:lineRule="auto"/>
      </w:pPr>
    </w:p>
    <w:p w14:paraId="0E4439D0" w14:textId="5248D3C9" w:rsidR="007B58B9" w:rsidRDefault="007B58B9" w:rsidP="001C25A1">
      <w:pPr>
        <w:spacing w:after="0" w:line="360" w:lineRule="auto"/>
      </w:pPr>
    </w:p>
    <w:p w14:paraId="26916C77" w14:textId="77777777" w:rsidR="00A37EDE" w:rsidRPr="007B58B9" w:rsidRDefault="00A37EDE" w:rsidP="001C25A1">
      <w:pPr>
        <w:spacing w:after="0" w:line="360" w:lineRule="auto"/>
      </w:pPr>
    </w:p>
    <w:sectPr w:rsidR="00A37EDE" w:rsidRPr="007B58B9" w:rsidSect="000B49C4">
      <w:headerReference w:type="even" r:id="rId13"/>
      <w:headerReference w:type="default" r:id="rId14"/>
      <w:footerReference w:type="even" r:id="rId15"/>
      <w:footerReference w:type="default" r:id="rId16"/>
      <w:headerReference w:type="first" r:id="rId17"/>
      <w:footerReference w:type="first" r:id="rId18"/>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509E7" w14:textId="77777777" w:rsidR="002B7791" w:rsidRDefault="002B7791">
      <w:pPr>
        <w:spacing w:after="0" w:line="240" w:lineRule="auto"/>
      </w:pPr>
      <w:r>
        <w:separator/>
      </w:r>
    </w:p>
  </w:endnote>
  <w:endnote w:type="continuationSeparator" w:id="0">
    <w:p w14:paraId="17FF0EEE" w14:textId="77777777" w:rsidR="002B7791" w:rsidRDefault="002B7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C53DA" w14:textId="77777777" w:rsidR="00BC1922" w:rsidRDefault="00BC192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A4140">
      <w:rPr>
        <w:b/>
        <w:noProof/>
        <w:color w:val="000000"/>
        <w:sz w:val="24"/>
        <w:szCs w:val="24"/>
      </w:rPr>
      <w:t>30</w:t>
    </w:r>
    <w:r>
      <w:rPr>
        <w:b/>
        <w:color w:val="000000"/>
        <w:sz w:val="24"/>
        <w:szCs w:val="24"/>
      </w:rPr>
      <w:fldChar w:fldCharType="end"/>
    </w:r>
  </w:p>
  <w:p w14:paraId="7EB9860B" w14:textId="77777777" w:rsidR="00BC1922" w:rsidRDefault="00BC192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28E74" w14:textId="39395077" w:rsidR="00BC1922" w:rsidRDefault="00BC192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A4140">
      <w:rPr>
        <w:b/>
        <w:noProof/>
        <w:color w:val="000000"/>
        <w:sz w:val="24"/>
        <w:szCs w:val="24"/>
      </w:rPr>
      <w:t>29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A4140">
      <w:rPr>
        <w:b/>
        <w:noProof/>
        <w:color w:val="000000"/>
        <w:sz w:val="24"/>
        <w:szCs w:val="24"/>
      </w:rPr>
      <w:t>30</w:t>
    </w:r>
    <w:r>
      <w:rPr>
        <w:b/>
        <w:color w:val="000000"/>
        <w:sz w:val="24"/>
        <w:szCs w:val="24"/>
      </w:rPr>
      <w:fldChar w:fldCharType="end"/>
    </w:r>
  </w:p>
  <w:p w14:paraId="0D7FA8D9" w14:textId="77777777" w:rsidR="00BC1922" w:rsidRDefault="00BC1922">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ECEF7" w14:textId="77777777" w:rsidR="00BC1922" w:rsidRDefault="00BC192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A4140">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A4140">
      <w:rPr>
        <w:b/>
        <w:noProof/>
        <w:color w:val="000000"/>
        <w:sz w:val="24"/>
        <w:szCs w:val="24"/>
      </w:rPr>
      <w:t>30</w:t>
    </w:r>
    <w:r>
      <w:rPr>
        <w:b/>
        <w:color w:val="000000"/>
        <w:sz w:val="24"/>
        <w:szCs w:val="24"/>
      </w:rPr>
      <w:fldChar w:fldCharType="end"/>
    </w:r>
  </w:p>
  <w:p w14:paraId="6796AF5F" w14:textId="77777777" w:rsidR="00BC1922" w:rsidRDefault="00BC192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95620" w14:textId="77777777" w:rsidR="002B7791" w:rsidRDefault="002B7791">
      <w:pPr>
        <w:spacing w:after="0" w:line="240" w:lineRule="auto"/>
      </w:pPr>
      <w:r>
        <w:separator/>
      </w:r>
    </w:p>
  </w:footnote>
  <w:footnote w:type="continuationSeparator" w:id="0">
    <w:p w14:paraId="309CAEF9" w14:textId="77777777" w:rsidR="002B7791" w:rsidRDefault="002B7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A9F14" w14:textId="77777777" w:rsidR="00BC1922" w:rsidRDefault="00BC1922">
    <w:pPr>
      <w:widowControl w:val="0"/>
      <w:pBdr>
        <w:top w:val="nil"/>
        <w:left w:val="nil"/>
        <w:bottom w:val="nil"/>
        <w:right w:val="nil"/>
        <w:between w:val="nil"/>
      </w:pBdr>
      <w:spacing w:after="0" w:line="276" w:lineRule="auto"/>
      <w:jc w:val="left"/>
      <w:rPr>
        <w:color w:val="000000"/>
      </w:rPr>
    </w:pPr>
  </w:p>
  <w:tbl>
    <w:tblPr>
      <w:tblStyle w:val="2"/>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BC1922" w14:paraId="10C29E94" w14:textId="77777777">
      <w:trPr>
        <w:trHeight w:val="132"/>
      </w:trPr>
      <w:tc>
        <w:tcPr>
          <w:tcW w:w="2691" w:type="dxa"/>
        </w:tcPr>
        <w:p w14:paraId="7D85A4B8" w14:textId="77777777" w:rsidR="00BC1922" w:rsidRDefault="00BC1922">
          <w:pPr>
            <w:tabs>
              <w:tab w:val="right" w:pos="8838"/>
            </w:tabs>
            <w:ind w:right="-105"/>
            <w:rPr>
              <w:b/>
            </w:rPr>
          </w:pPr>
          <w:r>
            <w:rPr>
              <w:b/>
            </w:rPr>
            <w:t>Recurso de Revisión:</w:t>
          </w:r>
        </w:p>
      </w:tc>
      <w:tc>
        <w:tcPr>
          <w:tcW w:w="3405" w:type="dxa"/>
        </w:tcPr>
        <w:p w14:paraId="0B0D1A9D" w14:textId="77777777" w:rsidR="00BC1922" w:rsidRDefault="00BC1922">
          <w:pPr>
            <w:tabs>
              <w:tab w:val="right" w:pos="8838"/>
            </w:tabs>
            <w:ind w:left="-28" w:right="-32"/>
          </w:pPr>
          <w:r>
            <w:t>03846/INFOEM/IP/RR/2020</w:t>
          </w:r>
        </w:p>
      </w:tc>
    </w:tr>
    <w:tr w:rsidR="00BC1922" w14:paraId="2F47AC72" w14:textId="77777777">
      <w:trPr>
        <w:trHeight w:val="261"/>
      </w:trPr>
      <w:tc>
        <w:tcPr>
          <w:tcW w:w="2691" w:type="dxa"/>
        </w:tcPr>
        <w:p w14:paraId="154A4752" w14:textId="77777777" w:rsidR="00BC1922" w:rsidRDefault="00BC1922">
          <w:pPr>
            <w:tabs>
              <w:tab w:val="right" w:pos="8838"/>
            </w:tabs>
            <w:ind w:right="-105"/>
            <w:rPr>
              <w:b/>
            </w:rPr>
          </w:pPr>
          <w:r>
            <w:rPr>
              <w:b/>
            </w:rPr>
            <w:t>Sujeto Obligado:</w:t>
          </w:r>
        </w:p>
      </w:tc>
      <w:tc>
        <w:tcPr>
          <w:tcW w:w="3405" w:type="dxa"/>
        </w:tcPr>
        <w:p w14:paraId="5D9EC711" w14:textId="77777777" w:rsidR="00BC1922" w:rsidRDefault="00BC1922">
          <w:pPr>
            <w:tabs>
              <w:tab w:val="right" w:pos="8838"/>
            </w:tabs>
            <w:ind w:right="-32"/>
          </w:pPr>
          <w:r>
            <w:t>Ayuntamiento de Temascalcingo</w:t>
          </w:r>
        </w:p>
      </w:tc>
    </w:tr>
    <w:tr w:rsidR="00BC1922" w14:paraId="11FBB450" w14:textId="77777777">
      <w:trPr>
        <w:trHeight w:val="261"/>
      </w:trPr>
      <w:tc>
        <w:tcPr>
          <w:tcW w:w="2691" w:type="dxa"/>
        </w:tcPr>
        <w:p w14:paraId="6BAF6003" w14:textId="77777777" w:rsidR="00BC1922" w:rsidRDefault="00BC1922">
          <w:pPr>
            <w:tabs>
              <w:tab w:val="right" w:pos="8838"/>
            </w:tabs>
            <w:ind w:right="-105"/>
            <w:rPr>
              <w:b/>
            </w:rPr>
          </w:pPr>
          <w:r>
            <w:rPr>
              <w:b/>
            </w:rPr>
            <w:t>Comisionado Ponente:</w:t>
          </w:r>
        </w:p>
      </w:tc>
      <w:tc>
        <w:tcPr>
          <w:tcW w:w="3405" w:type="dxa"/>
        </w:tcPr>
        <w:p w14:paraId="420341AF" w14:textId="77777777" w:rsidR="00BC1922" w:rsidRDefault="00BC1922">
          <w:pPr>
            <w:tabs>
              <w:tab w:val="right" w:pos="8838"/>
            </w:tabs>
            <w:ind w:right="-32"/>
            <w:rPr>
              <w:b/>
            </w:rPr>
          </w:pPr>
          <w:r>
            <w:t>Luis Gustavo Parra Noriega</w:t>
          </w:r>
        </w:p>
      </w:tc>
    </w:tr>
  </w:tbl>
  <w:p w14:paraId="00411D75" w14:textId="77777777" w:rsidR="00BC1922" w:rsidRDefault="002B7791">
    <w:pPr>
      <w:pBdr>
        <w:top w:val="nil"/>
        <w:left w:val="nil"/>
        <w:bottom w:val="nil"/>
        <w:right w:val="nil"/>
        <w:between w:val="nil"/>
      </w:pBdr>
      <w:tabs>
        <w:tab w:val="center" w:pos="4419"/>
        <w:tab w:val="right" w:pos="8838"/>
      </w:tabs>
      <w:spacing w:after="0" w:line="240" w:lineRule="auto"/>
      <w:rPr>
        <w:color w:val="000000"/>
      </w:rPr>
    </w:pPr>
    <w:r>
      <w:rPr>
        <w:color w:val="000000"/>
      </w:rPr>
      <w:pict w14:anchorId="390D4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8C837" w14:textId="67B323BB" w:rsidR="00BC1922" w:rsidRDefault="002B7791">
    <w:pPr>
      <w:widowControl w:val="0"/>
      <w:pBdr>
        <w:top w:val="nil"/>
        <w:left w:val="nil"/>
        <w:bottom w:val="nil"/>
        <w:right w:val="nil"/>
        <w:between w:val="nil"/>
      </w:pBdr>
      <w:spacing w:after="0" w:line="276" w:lineRule="auto"/>
      <w:jc w:val="left"/>
    </w:pPr>
    <w:r>
      <w:rPr>
        <w:color w:val="000000"/>
      </w:rPr>
      <w:pict w14:anchorId="4CAD8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margin-left:-85.35pt;margin-top:-137.45pt;width:663.5pt;height:12in;z-index:-251659776;mso-wrap-edited:f;mso-width-percent:0;mso-height-percent:0;mso-position-horizontal-relative:margin;mso-position-vertical-relative:margin;mso-width-percent:0;mso-height-percent:0">
          <v:imagedata r:id="rId1" o:title="image5"/>
          <w10:wrap anchorx="margin" anchory="margin"/>
        </v:shape>
      </w:pict>
    </w:r>
  </w:p>
  <w:tbl>
    <w:tblPr>
      <w:tblStyle w:val="3"/>
      <w:tblW w:w="6662"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693"/>
      <w:gridCol w:w="3969"/>
    </w:tblGrid>
    <w:tr w:rsidR="00BC1922" w14:paraId="40D5D5A3" w14:textId="77777777" w:rsidTr="00DB47EB">
      <w:trPr>
        <w:trHeight w:val="138"/>
      </w:trPr>
      <w:tc>
        <w:tcPr>
          <w:tcW w:w="2693" w:type="dxa"/>
          <w:vAlign w:val="center"/>
        </w:tcPr>
        <w:p w14:paraId="43377EBE" w14:textId="77777777" w:rsidR="00BC1922" w:rsidRDefault="00BC1922" w:rsidP="008C266D">
          <w:pPr>
            <w:tabs>
              <w:tab w:val="right" w:pos="8838"/>
            </w:tabs>
            <w:ind w:left="-108" w:right="-105"/>
            <w:jc w:val="left"/>
            <w:rPr>
              <w:b/>
            </w:rPr>
          </w:pPr>
        </w:p>
        <w:p w14:paraId="1DB5C8D0" w14:textId="7E98B3D2" w:rsidR="00BC1922" w:rsidRDefault="00BC1922" w:rsidP="008C266D">
          <w:pPr>
            <w:tabs>
              <w:tab w:val="right" w:pos="8838"/>
            </w:tabs>
            <w:ind w:left="-108" w:right="-105"/>
            <w:jc w:val="left"/>
            <w:rPr>
              <w:b/>
            </w:rPr>
          </w:pPr>
          <w:r>
            <w:rPr>
              <w:b/>
            </w:rPr>
            <w:t>Recurso de Revisión:</w:t>
          </w:r>
        </w:p>
      </w:tc>
      <w:tc>
        <w:tcPr>
          <w:tcW w:w="3969" w:type="dxa"/>
        </w:tcPr>
        <w:p w14:paraId="5BCC69C4" w14:textId="77777777" w:rsidR="00BC1922" w:rsidRPr="00EF0C39" w:rsidRDefault="00BC1922" w:rsidP="008C266D">
          <w:pPr>
            <w:tabs>
              <w:tab w:val="right" w:pos="8838"/>
            </w:tabs>
            <w:ind w:right="57"/>
          </w:pPr>
        </w:p>
        <w:p w14:paraId="61E59D71" w14:textId="12AD0B9A" w:rsidR="00BC1922" w:rsidRPr="00EF0C39" w:rsidRDefault="00BC1922" w:rsidP="008C266D">
          <w:pPr>
            <w:tabs>
              <w:tab w:val="right" w:pos="8838"/>
            </w:tabs>
            <w:ind w:right="57"/>
          </w:pPr>
          <w:r>
            <w:t>01846/INFOEM/IP/RR/2025</w:t>
          </w:r>
        </w:p>
      </w:tc>
    </w:tr>
    <w:tr w:rsidR="00BC1922" w14:paraId="7A281F30" w14:textId="77777777" w:rsidTr="00DB47EB">
      <w:trPr>
        <w:trHeight w:val="273"/>
      </w:trPr>
      <w:tc>
        <w:tcPr>
          <w:tcW w:w="2693" w:type="dxa"/>
        </w:tcPr>
        <w:p w14:paraId="6671A308" w14:textId="77777777" w:rsidR="00BC1922" w:rsidRDefault="00BC1922" w:rsidP="008C266D">
          <w:pPr>
            <w:tabs>
              <w:tab w:val="right" w:pos="8838"/>
            </w:tabs>
            <w:ind w:left="-108" w:right="-105"/>
            <w:rPr>
              <w:b/>
            </w:rPr>
          </w:pPr>
          <w:r>
            <w:rPr>
              <w:b/>
            </w:rPr>
            <w:t>Sujeto Obligado:</w:t>
          </w:r>
        </w:p>
      </w:tc>
      <w:tc>
        <w:tcPr>
          <w:tcW w:w="3969" w:type="dxa"/>
        </w:tcPr>
        <w:p w14:paraId="30885B6D" w14:textId="10F56827" w:rsidR="00BC1922" w:rsidRPr="00EF0C39" w:rsidRDefault="00BC1922" w:rsidP="00530A93">
          <w:pPr>
            <w:tabs>
              <w:tab w:val="right" w:pos="8838"/>
            </w:tabs>
          </w:pPr>
          <w:r>
            <w:t>Ayuntamiento de Temoaya</w:t>
          </w:r>
        </w:p>
      </w:tc>
    </w:tr>
    <w:tr w:rsidR="00BC1922" w14:paraId="00C22F2F" w14:textId="77777777" w:rsidTr="00DB47EB">
      <w:trPr>
        <w:trHeight w:val="273"/>
      </w:trPr>
      <w:tc>
        <w:tcPr>
          <w:tcW w:w="2693" w:type="dxa"/>
        </w:tcPr>
        <w:p w14:paraId="70417649" w14:textId="77777777" w:rsidR="00BC1922" w:rsidRDefault="00BC1922" w:rsidP="008C266D">
          <w:pPr>
            <w:tabs>
              <w:tab w:val="right" w:pos="8838"/>
            </w:tabs>
            <w:ind w:left="-108" w:right="-105"/>
            <w:rPr>
              <w:b/>
            </w:rPr>
          </w:pPr>
          <w:r>
            <w:rPr>
              <w:b/>
            </w:rPr>
            <w:t>Comisionado Ponente:</w:t>
          </w:r>
        </w:p>
      </w:tc>
      <w:tc>
        <w:tcPr>
          <w:tcW w:w="3969" w:type="dxa"/>
        </w:tcPr>
        <w:p w14:paraId="5E6EB38B" w14:textId="77777777" w:rsidR="00BC1922" w:rsidRPr="00EF0C39" w:rsidRDefault="00BC1922" w:rsidP="008C266D">
          <w:pPr>
            <w:tabs>
              <w:tab w:val="right" w:pos="8838"/>
            </w:tabs>
            <w:ind w:right="-170"/>
          </w:pPr>
          <w:r w:rsidRPr="00EF0C39">
            <w:t>Luis Gustavo Parra Noriega</w:t>
          </w:r>
        </w:p>
        <w:p w14:paraId="1A63C67B" w14:textId="77777777" w:rsidR="00BC1922" w:rsidRPr="00EF0C39" w:rsidRDefault="00BC1922" w:rsidP="008C266D">
          <w:pPr>
            <w:tabs>
              <w:tab w:val="right" w:pos="8838"/>
            </w:tabs>
            <w:ind w:right="-170"/>
            <w:rPr>
              <w:b/>
            </w:rPr>
          </w:pPr>
        </w:p>
      </w:tc>
    </w:tr>
  </w:tbl>
  <w:p w14:paraId="3498D107" w14:textId="7E17876C" w:rsidR="00BC1922" w:rsidRDefault="00BC1922" w:rsidP="008C26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AA3F9" w14:textId="77777777" w:rsidR="00BC1922" w:rsidRDefault="00BC1922">
    <w:pPr>
      <w:widowControl w:val="0"/>
      <w:pBdr>
        <w:top w:val="nil"/>
        <w:left w:val="nil"/>
        <w:bottom w:val="nil"/>
        <w:right w:val="nil"/>
        <w:between w:val="nil"/>
      </w:pBdr>
      <w:spacing w:after="0" w:line="276" w:lineRule="auto"/>
      <w:jc w:val="left"/>
      <w:rPr>
        <w:color w:val="000000"/>
      </w:rPr>
    </w:pPr>
  </w:p>
  <w:tbl>
    <w:tblPr>
      <w:tblStyle w:val="1"/>
      <w:tblW w:w="6804" w:type="dxa"/>
      <w:tblInd w:w="3828"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BC1922" w14:paraId="6B3232BD" w14:textId="77777777" w:rsidTr="00C74438">
      <w:trPr>
        <w:trHeight w:val="132"/>
      </w:trPr>
      <w:tc>
        <w:tcPr>
          <w:tcW w:w="2551" w:type="dxa"/>
        </w:tcPr>
        <w:p w14:paraId="38F16E2F" w14:textId="77777777" w:rsidR="00BC1922" w:rsidRDefault="00BC1922">
          <w:pPr>
            <w:tabs>
              <w:tab w:val="right" w:pos="8838"/>
            </w:tabs>
            <w:ind w:right="-105"/>
            <w:rPr>
              <w:b/>
            </w:rPr>
          </w:pPr>
          <w:r>
            <w:rPr>
              <w:b/>
            </w:rPr>
            <w:t>Recurso de Revisión:</w:t>
          </w:r>
        </w:p>
      </w:tc>
      <w:tc>
        <w:tcPr>
          <w:tcW w:w="4253" w:type="dxa"/>
        </w:tcPr>
        <w:p w14:paraId="211CDC0A" w14:textId="7B926699" w:rsidR="00BC1922" w:rsidRPr="00026C6B" w:rsidRDefault="00BC1922" w:rsidP="00026C6B">
          <w:r>
            <w:t>01846/INFOEM/IP/RR/2025</w:t>
          </w:r>
        </w:p>
      </w:tc>
    </w:tr>
    <w:tr w:rsidR="00BC1922" w14:paraId="6AA3CC58" w14:textId="77777777" w:rsidTr="00C74438">
      <w:trPr>
        <w:trHeight w:val="132"/>
      </w:trPr>
      <w:tc>
        <w:tcPr>
          <w:tcW w:w="2551" w:type="dxa"/>
          <w:shd w:val="clear" w:color="auto" w:fill="auto"/>
        </w:tcPr>
        <w:p w14:paraId="7FD164F5" w14:textId="77777777" w:rsidR="00BC1922" w:rsidRDefault="00BC1922">
          <w:pPr>
            <w:tabs>
              <w:tab w:val="left" w:pos="1875"/>
            </w:tabs>
            <w:ind w:right="-105"/>
            <w:rPr>
              <w:b/>
            </w:rPr>
          </w:pPr>
          <w:r>
            <w:rPr>
              <w:b/>
            </w:rPr>
            <w:t>Recurrente:</w:t>
          </w:r>
          <w:r>
            <w:rPr>
              <w:b/>
            </w:rPr>
            <w:tab/>
          </w:r>
        </w:p>
      </w:tc>
      <w:tc>
        <w:tcPr>
          <w:tcW w:w="4253" w:type="dxa"/>
          <w:shd w:val="clear" w:color="auto" w:fill="auto"/>
        </w:tcPr>
        <w:p w14:paraId="1F1B0537" w14:textId="22B471A1" w:rsidR="00BC1922" w:rsidRPr="00EF0C39" w:rsidRDefault="00515EA5" w:rsidP="006D7FDA">
          <w:pPr>
            <w:tabs>
              <w:tab w:val="right" w:pos="8838"/>
            </w:tabs>
            <w:ind w:right="-250"/>
          </w:pPr>
          <w:r w:rsidRPr="00515EA5">
            <w:rPr>
              <w:highlight w:val="black"/>
            </w:rPr>
            <w:t>XXXXXXXXXXXXXXX</w:t>
          </w:r>
        </w:p>
      </w:tc>
    </w:tr>
    <w:tr w:rsidR="00BC1922" w14:paraId="5113CAA6" w14:textId="77777777" w:rsidTr="00C74438">
      <w:trPr>
        <w:trHeight w:val="261"/>
      </w:trPr>
      <w:tc>
        <w:tcPr>
          <w:tcW w:w="2551" w:type="dxa"/>
        </w:tcPr>
        <w:p w14:paraId="28E3431B" w14:textId="30EC7C18" w:rsidR="00BC1922" w:rsidRDefault="00BC1922">
          <w:pPr>
            <w:tabs>
              <w:tab w:val="right" w:pos="8838"/>
            </w:tabs>
            <w:ind w:right="-105"/>
            <w:rPr>
              <w:b/>
            </w:rPr>
          </w:pPr>
          <w:r>
            <w:rPr>
              <w:b/>
            </w:rPr>
            <w:t>Sujeto Obligado:</w:t>
          </w:r>
        </w:p>
      </w:tc>
      <w:tc>
        <w:tcPr>
          <w:tcW w:w="4253" w:type="dxa"/>
        </w:tcPr>
        <w:p w14:paraId="3192354E" w14:textId="5B695279" w:rsidR="00BC1922" w:rsidRPr="00026C6B" w:rsidRDefault="00BC1922" w:rsidP="00026C6B">
          <w:r>
            <w:t>Ayuntamiento de Temoaya</w:t>
          </w:r>
        </w:p>
      </w:tc>
    </w:tr>
    <w:tr w:rsidR="00BC1922" w14:paraId="5D4C2A35" w14:textId="77777777" w:rsidTr="00C74438">
      <w:trPr>
        <w:trHeight w:val="261"/>
      </w:trPr>
      <w:tc>
        <w:tcPr>
          <w:tcW w:w="2551" w:type="dxa"/>
        </w:tcPr>
        <w:p w14:paraId="7F522FEC" w14:textId="77777777" w:rsidR="00BC1922" w:rsidRDefault="00BC1922">
          <w:pPr>
            <w:tabs>
              <w:tab w:val="right" w:pos="8838"/>
            </w:tabs>
            <w:ind w:right="-105"/>
            <w:rPr>
              <w:b/>
            </w:rPr>
          </w:pPr>
          <w:r>
            <w:rPr>
              <w:b/>
            </w:rPr>
            <w:t>Comisionado Ponente:</w:t>
          </w:r>
        </w:p>
      </w:tc>
      <w:tc>
        <w:tcPr>
          <w:tcW w:w="4253" w:type="dxa"/>
        </w:tcPr>
        <w:p w14:paraId="0F0566F9" w14:textId="77777777" w:rsidR="00BC1922" w:rsidRPr="00EF0C39" w:rsidRDefault="00BC1922" w:rsidP="00C46A25">
          <w:pPr>
            <w:tabs>
              <w:tab w:val="right" w:pos="8838"/>
            </w:tabs>
            <w:ind w:right="-32"/>
            <w:rPr>
              <w:b/>
            </w:rPr>
          </w:pPr>
          <w:r w:rsidRPr="00EF0C39">
            <w:t>Luis Gustavo Parra Noriega</w:t>
          </w:r>
        </w:p>
      </w:tc>
    </w:tr>
  </w:tbl>
  <w:p w14:paraId="4DFC2598" w14:textId="77777777" w:rsidR="00BC1922" w:rsidRDefault="002B7791">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389CC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89.1pt;margin-top:-125pt;width:663.5pt;height:12in;z-index:-251658752;mso-wrap-edited:f;mso-width-percent:0;mso-height-percent:0;mso-position-horizontal-relative:margin;mso-position-vertical-relative:margin;mso-width-percent:0;mso-height-percent:0">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0833E4"/>
    <w:multiLevelType w:val="hybridMultilevel"/>
    <w:tmpl w:val="02A86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644BCB"/>
    <w:multiLevelType w:val="hybridMultilevel"/>
    <w:tmpl w:val="FB5A2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F2D0CBB"/>
    <w:multiLevelType w:val="hybridMultilevel"/>
    <w:tmpl w:val="1C7E7F2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3A174753"/>
    <w:multiLevelType w:val="hybridMultilevel"/>
    <w:tmpl w:val="981AB4BA"/>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15050ED"/>
    <w:multiLevelType w:val="hybridMultilevel"/>
    <w:tmpl w:val="CAE43C6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1574F22"/>
    <w:multiLevelType w:val="hybridMultilevel"/>
    <w:tmpl w:val="29DEB0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669936AE"/>
    <w:multiLevelType w:val="hybridMultilevel"/>
    <w:tmpl w:val="C2F24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
  </w:num>
  <w:num w:numId="6">
    <w:abstractNumId w:val="4"/>
  </w:num>
  <w:num w:numId="7">
    <w:abstractNumId w:val="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90F"/>
    <w:rsid w:val="00001ADF"/>
    <w:rsid w:val="00003081"/>
    <w:rsid w:val="000053EA"/>
    <w:rsid w:val="0000637C"/>
    <w:rsid w:val="00006A45"/>
    <w:rsid w:val="0001108B"/>
    <w:rsid w:val="00011477"/>
    <w:rsid w:val="00011608"/>
    <w:rsid w:val="00014EE2"/>
    <w:rsid w:val="00016290"/>
    <w:rsid w:val="000201B0"/>
    <w:rsid w:val="00021BE0"/>
    <w:rsid w:val="00023BBD"/>
    <w:rsid w:val="0002588C"/>
    <w:rsid w:val="00026B5A"/>
    <w:rsid w:val="00026C6B"/>
    <w:rsid w:val="0003084A"/>
    <w:rsid w:val="000316C2"/>
    <w:rsid w:val="00033026"/>
    <w:rsid w:val="0003318A"/>
    <w:rsid w:val="00033683"/>
    <w:rsid w:val="00033F2C"/>
    <w:rsid w:val="000360F3"/>
    <w:rsid w:val="0003782D"/>
    <w:rsid w:val="0004134C"/>
    <w:rsid w:val="000426D2"/>
    <w:rsid w:val="00050E2E"/>
    <w:rsid w:val="000602BA"/>
    <w:rsid w:val="00061123"/>
    <w:rsid w:val="000709AA"/>
    <w:rsid w:val="000735F0"/>
    <w:rsid w:val="00075996"/>
    <w:rsid w:val="00075A71"/>
    <w:rsid w:val="00075CAF"/>
    <w:rsid w:val="00081D01"/>
    <w:rsid w:val="0008295C"/>
    <w:rsid w:val="00082B5B"/>
    <w:rsid w:val="00083169"/>
    <w:rsid w:val="000866B0"/>
    <w:rsid w:val="00087074"/>
    <w:rsid w:val="00087EDB"/>
    <w:rsid w:val="0009167E"/>
    <w:rsid w:val="00092501"/>
    <w:rsid w:val="000946F3"/>
    <w:rsid w:val="00095FB6"/>
    <w:rsid w:val="00096C21"/>
    <w:rsid w:val="00096CFE"/>
    <w:rsid w:val="00097C52"/>
    <w:rsid w:val="000A2EA2"/>
    <w:rsid w:val="000A3910"/>
    <w:rsid w:val="000A5B44"/>
    <w:rsid w:val="000A706F"/>
    <w:rsid w:val="000B2470"/>
    <w:rsid w:val="000B3514"/>
    <w:rsid w:val="000B3C56"/>
    <w:rsid w:val="000B4503"/>
    <w:rsid w:val="000B49C4"/>
    <w:rsid w:val="000B6A30"/>
    <w:rsid w:val="000C0CBE"/>
    <w:rsid w:val="000C10A2"/>
    <w:rsid w:val="000C4A35"/>
    <w:rsid w:val="000C567D"/>
    <w:rsid w:val="000C7D5D"/>
    <w:rsid w:val="000D04D2"/>
    <w:rsid w:val="000D1EFD"/>
    <w:rsid w:val="000D257F"/>
    <w:rsid w:val="000D3AD3"/>
    <w:rsid w:val="000D46ED"/>
    <w:rsid w:val="000D6774"/>
    <w:rsid w:val="000D7457"/>
    <w:rsid w:val="000E3169"/>
    <w:rsid w:val="000F3B49"/>
    <w:rsid w:val="000F3EA8"/>
    <w:rsid w:val="000F4583"/>
    <w:rsid w:val="000F4AC1"/>
    <w:rsid w:val="000F562C"/>
    <w:rsid w:val="000F6219"/>
    <w:rsid w:val="000F6E36"/>
    <w:rsid w:val="001055EA"/>
    <w:rsid w:val="001061B1"/>
    <w:rsid w:val="001065C6"/>
    <w:rsid w:val="0011010D"/>
    <w:rsid w:val="001135C1"/>
    <w:rsid w:val="00115992"/>
    <w:rsid w:val="00116C35"/>
    <w:rsid w:val="00122ED0"/>
    <w:rsid w:val="00122FBD"/>
    <w:rsid w:val="00123FD7"/>
    <w:rsid w:val="00124AF7"/>
    <w:rsid w:val="00125905"/>
    <w:rsid w:val="00125F26"/>
    <w:rsid w:val="0012618B"/>
    <w:rsid w:val="00126AD3"/>
    <w:rsid w:val="00126C82"/>
    <w:rsid w:val="001325F3"/>
    <w:rsid w:val="00132F29"/>
    <w:rsid w:val="00134465"/>
    <w:rsid w:val="001418BD"/>
    <w:rsid w:val="00141BAD"/>
    <w:rsid w:val="001425CB"/>
    <w:rsid w:val="00142D82"/>
    <w:rsid w:val="001434E7"/>
    <w:rsid w:val="001479C0"/>
    <w:rsid w:val="001502AB"/>
    <w:rsid w:val="001507E8"/>
    <w:rsid w:val="00153139"/>
    <w:rsid w:val="001548D6"/>
    <w:rsid w:val="001558BD"/>
    <w:rsid w:val="00155BD1"/>
    <w:rsid w:val="001566D4"/>
    <w:rsid w:val="0016373E"/>
    <w:rsid w:val="00163D9F"/>
    <w:rsid w:val="00165AB2"/>
    <w:rsid w:val="00166452"/>
    <w:rsid w:val="00166907"/>
    <w:rsid w:val="00166A42"/>
    <w:rsid w:val="00170ACC"/>
    <w:rsid w:val="001710E2"/>
    <w:rsid w:val="0017245F"/>
    <w:rsid w:val="00175910"/>
    <w:rsid w:val="00181D59"/>
    <w:rsid w:val="00184025"/>
    <w:rsid w:val="00184ED6"/>
    <w:rsid w:val="00192C48"/>
    <w:rsid w:val="00195EC3"/>
    <w:rsid w:val="0019787E"/>
    <w:rsid w:val="001A0321"/>
    <w:rsid w:val="001A2062"/>
    <w:rsid w:val="001A3219"/>
    <w:rsid w:val="001A5B6F"/>
    <w:rsid w:val="001B1E08"/>
    <w:rsid w:val="001B2090"/>
    <w:rsid w:val="001B34AA"/>
    <w:rsid w:val="001B7EFB"/>
    <w:rsid w:val="001C25A1"/>
    <w:rsid w:val="001C54E3"/>
    <w:rsid w:val="001C638A"/>
    <w:rsid w:val="001D1635"/>
    <w:rsid w:val="001D24CD"/>
    <w:rsid w:val="001D3FB9"/>
    <w:rsid w:val="001D4F21"/>
    <w:rsid w:val="001D5DBE"/>
    <w:rsid w:val="001D7D0E"/>
    <w:rsid w:val="001E0AF1"/>
    <w:rsid w:val="001E4284"/>
    <w:rsid w:val="001E4ECA"/>
    <w:rsid w:val="001E6077"/>
    <w:rsid w:val="001E6D53"/>
    <w:rsid w:val="001F285F"/>
    <w:rsid w:val="001F6FD5"/>
    <w:rsid w:val="002025F4"/>
    <w:rsid w:val="00203F8C"/>
    <w:rsid w:val="00204DE3"/>
    <w:rsid w:val="0020727C"/>
    <w:rsid w:val="00211CD8"/>
    <w:rsid w:val="002217AE"/>
    <w:rsid w:val="00223487"/>
    <w:rsid w:val="002238B8"/>
    <w:rsid w:val="00227456"/>
    <w:rsid w:val="00230985"/>
    <w:rsid w:val="00230B8F"/>
    <w:rsid w:val="002371F5"/>
    <w:rsid w:val="00243764"/>
    <w:rsid w:val="002475DE"/>
    <w:rsid w:val="00247B52"/>
    <w:rsid w:val="00251665"/>
    <w:rsid w:val="00252910"/>
    <w:rsid w:val="002529AD"/>
    <w:rsid w:val="00252A2A"/>
    <w:rsid w:val="00253448"/>
    <w:rsid w:val="00253A9C"/>
    <w:rsid w:val="0025520C"/>
    <w:rsid w:val="002574E8"/>
    <w:rsid w:val="00257C2B"/>
    <w:rsid w:val="0026163E"/>
    <w:rsid w:val="00261B92"/>
    <w:rsid w:val="00261CB4"/>
    <w:rsid w:val="00261DF6"/>
    <w:rsid w:val="0026345D"/>
    <w:rsid w:val="00266E26"/>
    <w:rsid w:val="00267457"/>
    <w:rsid w:val="00271E85"/>
    <w:rsid w:val="00273073"/>
    <w:rsid w:val="00273A4E"/>
    <w:rsid w:val="00273E63"/>
    <w:rsid w:val="00274745"/>
    <w:rsid w:val="00276A32"/>
    <w:rsid w:val="00280625"/>
    <w:rsid w:val="00280CF8"/>
    <w:rsid w:val="00282176"/>
    <w:rsid w:val="002822A3"/>
    <w:rsid w:val="00287374"/>
    <w:rsid w:val="0029130B"/>
    <w:rsid w:val="00291318"/>
    <w:rsid w:val="0029310D"/>
    <w:rsid w:val="00293A22"/>
    <w:rsid w:val="00294C03"/>
    <w:rsid w:val="00295482"/>
    <w:rsid w:val="0029784D"/>
    <w:rsid w:val="002A02CD"/>
    <w:rsid w:val="002A5DEB"/>
    <w:rsid w:val="002A6FE4"/>
    <w:rsid w:val="002B2FEA"/>
    <w:rsid w:val="002B5939"/>
    <w:rsid w:val="002B5A2D"/>
    <w:rsid w:val="002B772B"/>
    <w:rsid w:val="002B7791"/>
    <w:rsid w:val="002C0C3A"/>
    <w:rsid w:val="002C3D85"/>
    <w:rsid w:val="002C4A39"/>
    <w:rsid w:val="002C516D"/>
    <w:rsid w:val="002C6F65"/>
    <w:rsid w:val="002C7C43"/>
    <w:rsid w:val="002D2107"/>
    <w:rsid w:val="002D2619"/>
    <w:rsid w:val="002D2A77"/>
    <w:rsid w:val="002E2627"/>
    <w:rsid w:val="002E34B7"/>
    <w:rsid w:val="002E5C60"/>
    <w:rsid w:val="002E6125"/>
    <w:rsid w:val="002F0526"/>
    <w:rsid w:val="002F08A1"/>
    <w:rsid w:val="002F12B4"/>
    <w:rsid w:val="002F32D7"/>
    <w:rsid w:val="002F44A5"/>
    <w:rsid w:val="002F5845"/>
    <w:rsid w:val="002F5AA8"/>
    <w:rsid w:val="002F5CFB"/>
    <w:rsid w:val="002F72B7"/>
    <w:rsid w:val="0030116D"/>
    <w:rsid w:val="00302BCB"/>
    <w:rsid w:val="003037BC"/>
    <w:rsid w:val="00303A1B"/>
    <w:rsid w:val="00303BA0"/>
    <w:rsid w:val="00310366"/>
    <w:rsid w:val="00310A3F"/>
    <w:rsid w:val="00311CAF"/>
    <w:rsid w:val="00312EFE"/>
    <w:rsid w:val="003131F2"/>
    <w:rsid w:val="00313684"/>
    <w:rsid w:val="00314919"/>
    <w:rsid w:val="003155C2"/>
    <w:rsid w:val="00316458"/>
    <w:rsid w:val="00320D4E"/>
    <w:rsid w:val="0032276A"/>
    <w:rsid w:val="0032438A"/>
    <w:rsid w:val="00325B13"/>
    <w:rsid w:val="00325D1E"/>
    <w:rsid w:val="00330566"/>
    <w:rsid w:val="00330942"/>
    <w:rsid w:val="00333468"/>
    <w:rsid w:val="0033681E"/>
    <w:rsid w:val="00336E20"/>
    <w:rsid w:val="00341669"/>
    <w:rsid w:val="00342343"/>
    <w:rsid w:val="00342465"/>
    <w:rsid w:val="00345E3B"/>
    <w:rsid w:val="00353296"/>
    <w:rsid w:val="0035368D"/>
    <w:rsid w:val="00353E69"/>
    <w:rsid w:val="00354255"/>
    <w:rsid w:val="00355D05"/>
    <w:rsid w:val="00356E1B"/>
    <w:rsid w:val="003602C9"/>
    <w:rsid w:val="0036042F"/>
    <w:rsid w:val="003663BF"/>
    <w:rsid w:val="00366BB8"/>
    <w:rsid w:val="00376AEF"/>
    <w:rsid w:val="00381132"/>
    <w:rsid w:val="003814AE"/>
    <w:rsid w:val="0038398F"/>
    <w:rsid w:val="00384E94"/>
    <w:rsid w:val="003876F1"/>
    <w:rsid w:val="00390A24"/>
    <w:rsid w:val="00391317"/>
    <w:rsid w:val="0039615C"/>
    <w:rsid w:val="003A2B31"/>
    <w:rsid w:val="003A2B7B"/>
    <w:rsid w:val="003A47C4"/>
    <w:rsid w:val="003A4CF8"/>
    <w:rsid w:val="003A4EEC"/>
    <w:rsid w:val="003B072A"/>
    <w:rsid w:val="003B3C6F"/>
    <w:rsid w:val="003B5A66"/>
    <w:rsid w:val="003B6F0C"/>
    <w:rsid w:val="003C13CD"/>
    <w:rsid w:val="003C28F2"/>
    <w:rsid w:val="003C7338"/>
    <w:rsid w:val="003D0D51"/>
    <w:rsid w:val="003D1DC8"/>
    <w:rsid w:val="003D25DC"/>
    <w:rsid w:val="003D35DB"/>
    <w:rsid w:val="003D6C3F"/>
    <w:rsid w:val="003D6EF7"/>
    <w:rsid w:val="003E1C9F"/>
    <w:rsid w:val="003E20C8"/>
    <w:rsid w:val="003E33FE"/>
    <w:rsid w:val="003E540A"/>
    <w:rsid w:val="003F0A87"/>
    <w:rsid w:val="003F1D74"/>
    <w:rsid w:val="003F2BF4"/>
    <w:rsid w:val="003F4C6D"/>
    <w:rsid w:val="003F5F91"/>
    <w:rsid w:val="003F6C55"/>
    <w:rsid w:val="0041096D"/>
    <w:rsid w:val="00417AAE"/>
    <w:rsid w:val="00417F3A"/>
    <w:rsid w:val="00420209"/>
    <w:rsid w:val="004206D5"/>
    <w:rsid w:val="004214D5"/>
    <w:rsid w:val="00422311"/>
    <w:rsid w:val="004326F9"/>
    <w:rsid w:val="00433CD5"/>
    <w:rsid w:val="00434B43"/>
    <w:rsid w:val="004352C6"/>
    <w:rsid w:val="00436F80"/>
    <w:rsid w:val="0044017B"/>
    <w:rsid w:val="00442432"/>
    <w:rsid w:val="0044320C"/>
    <w:rsid w:val="0044451C"/>
    <w:rsid w:val="00446CA3"/>
    <w:rsid w:val="0045046D"/>
    <w:rsid w:val="00455EA5"/>
    <w:rsid w:val="004569CF"/>
    <w:rsid w:val="00456B23"/>
    <w:rsid w:val="00461DF2"/>
    <w:rsid w:val="004649E0"/>
    <w:rsid w:val="00471E99"/>
    <w:rsid w:val="004721AA"/>
    <w:rsid w:val="00473151"/>
    <w:rsid w:val="00474793"/>
    <w:rsid w:val="00475E62"/>
    <w:rsid w:val="00481F23"/>
    <w:rsid w:val="00483320"/>
    <w:rsid w:val="00484E27"/>
    <w:rsid w:val="004922AA"/>
    <w:rsid w:val="004967C5"/>
    <w:rsid w:val="0049788F"/>
    <w:rsid w:val="004A10E6"/>
    <w:rsid w:val="004B0C65"/>
    <w:rsid w:val="004B27E7"/>
    <w:rsid w:val="004B33EF"/>
    <w:rsid w:val="004B58D3"/>
    <w:rsid w:val="004B7343"/>
    <w:rsid w:val="004B73FB"/>
    <w:rsid w:val="004C21E6"/>
    <w:rsid w:val="004C465F"/>
    <w:rsid w:val="004C56AA"/>
    <w:rsid w:val="004C6321"/>
    <w:rsid w:val="004D1D8F"/>
    <w:rsid w:val="004D243B"/>
    <w:rsid w:val="004D63D9"/>
    <w:rsid w:val="004E0AD6"/>
    <w:rsid w:val="004E22FF"/>
    <w:rsid w:val="004E3063"/>
    <w:rsid w:val="004E47CC"/>
    <w:rsid w:val="004F0490"/>
    <w:rsid w:val="004F34BD"/>
    <w:rsid w:val="004F56D3"/>
    <w:rsid w:val="004F59FB"/>
    <w:rsid w:val="004F76F4"/>
    <w:rsid w:val="004F7F19"/>
    <w:rsid w:val="00500B4F"/>
    <w:rsid w:val="005018D0"/>
    <w:rsid w:val="005026BD"/>
    <w:rsid w:val="0050610A"/>
    <w:rsid w:val="00506126"/>
    <w:rsid w:val="0051107B"/>
    <w:rsid w:val="00511E76"/>
    <w:rsid w:val="00512046"/>
    <w:rsid w:val="005126B1"/>
    <w:rsid w:val="00512879"/>
    <w:rsid w:val="0051497B"/>
    <w:rsid w:val="00515399"/>
    <w:rsid w:val="00515EA5"/>
    <w:rsid w:val="00521F1D"/>
    <w:rsid w:val="00521F47"/>
    <w:rsid w:val="00522A47"/>
    <w:rsid w:val="00523008"/>
    <w:rsid w:val="00524283"/>
    <w:rsid w:val="00525A14"/>
    <w:rsid w:val="00526EC4"/>
    <w:rsid w:val="00527563"/>
    <w:rsid w:val="005302BB"/>
    <w:rsid w:val="00530A93"/>
    <w:rsid w:val="00530B10"/>
    <w:rsid w:val="0053198B"/>
    <w:rsid w:val="00531A8A"/>
    <w:rsid w:val="005357B3"/>
    <w:rsid w:val="00535A8D"/>
    <w:rsid w:val="00535CAD"/>
    <w:rsid w:val="00537C32"/>
    <w:rsid w:val="00545D04"/>
    <w:rsid w:val="00550C0B"/>
    <w:rsid w:val="005520E3"/>
    <w:rsid w:val="00552C67"/>
    <w:rsid w:val="005569DD"/>
    <w:rsid w:val="00562D89"/>
    <w:rsid w:val="0056443F"/>
    <w:rsid w:val="00572946"/>
    <w:rsid w:val="005732F8"/>
    <w:rsid w:val="00580345"/>
    <w:rsid w:val="005816DE"/>
    <w:rsid w:val="00582FC0"/>
    <w:rsid w:val="00585C29"/>
    <w:rsid w:val="0058767A"/>
    <w:rsid w:val="00590FB7"/>
    <w:rsid w:val="005914EE"/>
    <w:rsid w:val="005924D1"/>
    <w:rsid w:val="005A0A77"/>
    <w:rsid w:val="005A39F4"/>
    <w:rsid w:val="005A79D9"/>
    <w:rsid w:val="005A7C36"/>
    <w:rsid w:val="005B21C9"/>
    <w:rsid w:val="005B6BFA"/>
    <w:rsid w:val="005C03D2"/>
    <w:rsid w:val="005C20B7"/>
    <w:rsid w:val="005C3027"/>
    <w:rsid w:val="005C3BAC"/>
    <w:rsid w:val="005C4598"/>
    <w:rsid w:val="005C4CCD"/>
    <w:rsid w:val="005C6174"/>
    <w:rsid w:val="005C690F"/>
    <w:rsid w:val="005C6E2D"/>
    <w:rsid w:val="005C757F"/>
    <w:rsid w:val="005C7E59"/>
    <w:rsid w:val="005D1E83"/>
    <w:rsid w:val="005D2071"/>
    <w:rsid w:val="005D22D8"/>
    <w:rsid w:val="005D31EC"/>
    <w:rsid w:val="005D38F1"/>
    <w:rsid w:val="005D4959"/>
    <w:rsid w:val="005D53B0"/>
    <w:rsid w:val="005D73EF"/>
    <w:rsid w:val="005E16CC"/>
    <w:rsid w:val="005F199D"/>
    <w:rsid w:val="005F36FE"/>
    <w:rsid w:val="005F38B6"/>
    <w:rsid w:val="005F4B93"/>
    <w:rsid w:val="005F5498"/>
    <w:rsid w:val="005F773E"/>
    <w:rsid w:val="005F785A"/>
    <w:rsid w:val="00600A20"/>
    <w:rsid w:val="00602E5C"/>
    <w:rsid w:val="006033D0"/>
    <w:rsid w:val="006037C1"/>
    <w:rsid w:val="006059DA"/>
    <w:rsid w:val="00606B1A"/>
    <w:rsid w:val="00615DA3"/>
    <w:rsid w:val="006207EF"/>
    <w:rsid w:val="00621F2D"/>
    <w:rsid w:val="00622401"/>
    <w:rsid w:val="00622CFB"/>
    <w:rsid w:val="006241B8"/>
    <w:rsid w:val="006242F2"/>
    <w:rsid w:val="00624488"/>
    <w:rsid w:val="006245B4"/>
    <w:rsid w:val="006271E6"/>
    <w:rsid w:val="006272E2"/>
    <w:rsid w:val="00627513"/>
    <w:rsid w:val="00631035"/>
    <w:rsid w:val="00631EA9"/>
    <w:rsid w:val="00632F61"/>
    <w:rsid w:val="00635A27"/>
    <w:rsid w:val="00637B1E"/>
    <w:rsid w:val="0064067B"/>
    <w:rsid w:val="006418B3"/>
    <w:rsid w:val="00644832"/>
    <w:rsid w:val="00644B2E"/>
    <w:rsid w:val="00652A26"/>
    <w:rsid w:val="00654DE3"/>
    <w:rsid w:val="00655B7F"/>
    <w:rsid w:val="006573B9"/>
    <w:rsid w:val="00660AAD"/>
    <w:rsid w:val="00661603"/>
    <w:rsid w:val="0066178F"/>
    <w:rsid w:val="00661B94"/>
    <w:rsid w:val="00662C70"/>
    <w:rsid w:val="00662D89"/>
    <w:rsid w:val="0066640F"/>
    <w:rsid w:val="006664D4"/>
    <w:rsid w:val="00667F81"/>
    <w:rsid w:val="00670EAA"/>
    <w:rsid w:val="006715A0"/>
    <w:rsid w:val="00671B38"/>
    <w:rsid w:val="00671BB1"/>
    <w:rsid w:val="006731C7"/>
    <w:rsid w:val="00673306"/>
    <w:rsid w:val="00674E18"/>
    <w:rsid w:val="00680F20"/>
    <w:rsid w:val="00684E69"/>
    <w:rsid w:val="00687BCB"/>
    <w:rsid w:val="00690202"/>
    <w:rsid w:val="0069037C"/>
    <w:rsid w:val="00692763"/>
    <w:rsid w:val="00692CEE"/>
    <w:rsid w:val="00694971"/>
    <w:rsid w:val="0069657C"/>
    <w:rsid w:val="006A0BA4"/>
    <w:rsid w:val="006A0CDD"/>
    <w:rsid w:val="006A57D7"/>
    <w:rsid w:val="006B083B"/>
    <w:rsid w:val="006B3839"/>
    <w:rsid w:val="006B4C0B"/>
    <w:rsid w:val="006C0BD7"/>
    <w:rsid w:val="006C25E4"/>
    <w:rsid w:val="006C3470"/>
    <w:rsid w:val="006C43E9"/>
    <w:rsid w:val="006C6EBC"/>
    <w:rsid w:val="006C7CD1"/>
    <w:rsid w:val="006C7E76"/>
    <w:rsid w:val="006D16BD"/>
    <w:rsid w:val="006D1CE7"/>
    <w:rsid w:val="006D2366"/>
    <w:rsid w:val="006D2960"/>
    <w:rsid w:val="006D49E4"/>
    <w:rsid w:val="006D619F"/>
    <w:rsid w:val="006D65A5"/>
    <w:rsid w:val="006D6790"/>
    <w:rsid w:val="006D6B66"/>
    <w:rsid w:val="006D7FDA"/>
    <w:rsid w:val="006E33C5"/>
    <w:rsid w:val="006E72D4"/>
    <w:rsid w:val="006E7C4E"/>
    <w:rsid w:val="006E7CFC"/>
    <w:rsid w:val="006F134A"/>
    <w:rsid w:val="006F1838"/>
    <w:rsid w:val="006F272D"/>
    <w:rsid w:val="006F4CC9"/>
    <w:rsid w:val="006F79F1"/>
    <w:rsid w:val="006F7CBF"/>
    <w:rsid w:val="007001B2"/>
    <w:rsid w:val="00702D5F"/>
    <w:rsid w:val="007041F9"/>
    <w:rsid w:val="00704B14"/>
    <w:rsid w:val="00705FBB"/>
    <w:rsid w:val="0070627A"/>
    <w:rsid w:val="0070680E"/>
    <w:rsid w:val="0071036C"/>
    <w:rsid w:val="00712ED6"/>
    <w:rsid w:val="00716DFD"/>
    <w:rsid w:val="00717D87"/>
    <w:rsid w:val="007248C4"/>
    <w:rsid w:val="00724F05"/>
    <w:rsid w:val="007279D2"/>
    <w:rsid w:val="0073003B"/>
    <w:rsid w:val="00730D55"/>
    <w:rsid w:val="00730D6D"/>
    <w:rsid w:val="00731FB9"/>
    <w:rsid w:val="007331D2"/>
    <w:rsid w:val="00737127"/>
    <w:rsid w:val="00741DC7"/>
    <w:rsid w:val="007428C7"/>
    <w:rsid w:val="0074523A"/>
    <w:rsid w:val="00747CDF"/>
    <w:rsid w:val="00751A94"/>
    <w:rsid w:val="00754B31"/>
    <w:rsid w:val="00762A7C"/>
    <w:rsid w:val="00764BBE"/>
    <w:rsid w:val="0076657F"/>
    <w:rsid w:val="007709FF"/>
    <w:rsid w:val="00770BF5"/>
    <w:rsid w:val="00770DC0"/>
    <w:rsid w:val="00770E69"/>
    <w:rsid w:val="00771614"/>
    <w:rsid w:val="007723F6"/>
    <w:rsid w:val="00773F8C"/>
    <w:rsid w:val="00775391"/>
    <w:rsid w:val="00777303"/>
    <w:rsid w:val="0077760E"/>
    <w:rsid w:val="00781F61"/>
    <w:rsid w:val="007823A6"/>
    <w:rsid w:val="00782D16"/>
    <w:rsid w:val="00783335"/>
    <w:rsid w:val="00784CEA"/>
    <w:rsid w:val="00792220"/>
    <w:rsid w:val="00792309"/>
    <w:rsid w:val="00796030"/>
    <w:rsid w:val="007962A6"/>
    <w:rsid w:val="00796712"/>
    <w:rsid w:val="007A097D"/>
    <w:rsid w:val="007A0BC3"/>
    <w:rsid w:val="007A1ACB"/>
    <w:rsid w:val="007A2872"/>
    <w:rsid w:val="007A3334"/>
    <w:rsid w:val="007A540E"/>
    <w:rsid w:val="007A6A27"/>
    <w:rsid w:val="007B0293"/>
    <w:rsid w:val="007B38A7"/>
    <w:rsid w:val="007B4143"/>
    <w:rsid w:val="007B4717"/>
    <w:rsid w:val="007B4E28"/>
    <w:rsid w:val="007B58B9"/>
    <w:rsid w:val="007B5B46"/>
    <w:rsid w:val="007B5CE4"/>
    <w:rsid w:val="007B65AB"/>
    <w:rsid w:val="007B6F45"/>
    <w:rsid w:val="007C02D1"/>
    <w:rsid w:val="007C636E"/>
    <w:rsid w:val="007C76F2"/>
    <w:rsid w:val="007C7BAF"/>
    <w:rsid w:val="007D04B8"/>
    <w:rsid w:val="007D086D"/>
    <w:rsid w:val="007D354B"/>
    <w:rsid w:val="007D6307"/>
    <w:rsid w:val="007E0603"/>
    <w:rsid w:val="007E172B"/>
    <w:rsid w:val="007E1EF5"/>
    <w:rsid w:val="007E25E4"/>
    <w:rsid w:val="007E278E"/>
    <w:rsid w:val="007E64DE"/>
    <w:rsid w:val="007E6532"/>
    <w:rsid w:val="007E65E1"/>
    <w:rsid w:val="007E79A0"/>
    <w:rsid w:val="007E7B3F"/>
    <w:rsid w:val="007F4407"/>
    <w:rsid w:val="007F6273"/>
    <w:rsid w:val="007F75BA"/>
    <w:rsid w:val="00800641"/>
    <w:rsid w:val="008027F2"/>
    <w:rsid w:val="00803119"/>
    <w:rsid w:val="00803884"/>
    <w:rsid w:val="0081186D"/>
    <w:rsid w:val="00812FF1"/>
    <w:rsid w:val="0081756A"/>
    <w:rsid w:val="008201FA"/>
    <w:rsid w:val="008234EA"/>
    <w:rsid w:val="00826071"/>
    <w:rsid w:val="00826E84"/>
    <w:rsid w:val="00830986"/>
    <w:rsid w:val="00830ECF"/>
    <w:rsid w:val="00836749"/>
    <w:rsid w:val="00841259"/>
    <w:rsid w:val="008416D9"/>
    <w:rsid w:val="008441D0"/>
    <w:rsid w:val="00850BF6"/>
    <w:rsid w:val="00853828"/>
    <w:rsid w:val="00853AA3"/>
    <w:rsid w:val="008546E5"/>
    <w:rsid w:val="0085490B"/>
    <w:rsid w:val="008614CC"/>
    <w:rsid w:val="0086265B"/>
    <w:rsid w:val="0086309F"/>
    <w:rsid w:val="008638A5"/>
    <w:rsid w:val="00864C7E"/>
    <w:rsid w:val="008659CE"/>
    <w:rsid w:val="008758D4"/>
    <w:rsid w:val="00877B42"/>
    <w:rsid w:val="00881288"/>
    <w:rsid w:val="0088400C"/>
    <w:rsid w:val="00884148"/>
    <w:rsid w:val="00884812"/>
    <w:rsid w:val="00884B61"/>
    <w:rsid w:val="008870EB"/>
    <w:rsid w:val="00891D6C"/>
    <w:rsid w:val="008932E1"/>
    <w:rsid w:val="008956AA"/>
    <w:rsid w:val="008973A6"/>
    <w:rsid w:val="00897A05"/>
    <w:rsid w:val="008A1159"/>
    <w:rsid w:val="008A1573"/>
    <w:rsid w:val="008A233A"/>
    <w:rsid w:val="008A460F"/>
    <w:rsid w:val="008A60AE"/>
    <w:rsid w:val="008A64DD"/>
    <w:rsid w:val="008B21BC"/>
    <w:rsid w:val="008B270A"/>
    <w:rsid w:val="008B7D4E"/>
    <w:rsid w:val="008C1DC5"/>
    <w:rsid w:val="008C1F18"/>
    <w:rsid w:val="008C1FA8"/>
    <w:rsid w:val="008C2270"/>
    <w:rsid w:val="008C266D"/>
    <w:rsid w:val="008C37E8"/>
    <w:rsid w:val="008C40B1"/>
    <w:rsid w:val="008D28E1"/>
    <w:rsid w:val="008D3B3F"/>
    <w:rsid w:val="008D43A8"/>
    <w:rsid w:val="008D46FC"/>
    <w:rsid w:val="008D58F4"/>
    <w:rsid w:val="008D7C22"/>
    <w:rsid w:val="008E0D53"/>
    <w:rsid w:val="008E0DC4"/>
    <w:rsid w:val="008E2788"/>
    <w:rsid w:val="008E5E71"/>
    <w:rsid w:val="008E7959"/>
    <w:rsid w:val="008F0749"/>
    <w:rsid w:val="008F4E82"/>
    <w:rsid w:val="008F5A51"/>
    <w:rsid w:val="00900916"/>
    <w:rsid w:val="009019A8"/>
    <w:rsid w:val="009024BE"/>
    <w:rsid w:val="009028D6"/>
    <w:rsid w:val="0090431D"/>
    <w:rsid w:val="009048A7"/>
    <w:rsid w:val="00905638"/>
    <w:rsid w:val="00910872"/>
    <w:rsid w:val="00913AC7"/>
    <w:rsid w:val="00915E1E"/>
    <w:rsid w:val="00916347"/>
    <w:rsid w:val="00922F61"/>
    <w:rsid w:val="00926758"/>
    <w:rsid w:val="00927131"/>
    <w:rsid w:val="009319F4"/>
    <w:rsid w:val="00933E27"/>
    <w:rsid w:val="00934D26"/>
    <w:rsid w:val="00937325"/>
    <w:rsid w:val="00937C87"/>
    <w:rsid w:val="00940831"/>
    <w:rsid w:val="00943435"/>
    <w:rsid w:val="00945CB8"/>
    <w:rsid w:val="009502F9"/>
    <w:rsid w:val="00950D76"/>
    <w:rsid w:val="00950ED4"/>
    <w:rsid w:val="0095477E"/>
    <w:rsid w:val="0095571A"/>
    <w:rsid w:val="00956E0E"/>
    <w:rsid w:val="00960DEA"/>
    <w:rsid w:val="00960E46"/>
    <w:rsid w:val="00962C51"/>
    <w:rsid w:val="00963E6F"/>
    <w:rsid w:val="009643D0"/>
    <w:rsid w:val="00965741"/>
    <w:rsid w:val="00966BF0"/>
    <w:rsid w:val="00970EDB"/>
    <w:rsid w:val="00972243"/>
    <w:rsid w:val="009739BA"/>
    <w:rsid w:val="0097583D"/>
    <w:rsid w:val="00976389"/>
    <w:rsid w:val="00977989"/>
    <w:rsid w:val="00983208"/>
    <w:rsid w:val="00983A37"/>
    <w:rsid w:val="00983F77"/>
    <w:rsid w:val="00986D91"/>
    <w:rsid w:val="00992901"/>
    <w:rsid w:val="009948FA"/>
    <w:rsid w:val="00996BDA"/>
    <w:rsid w:val="009973CB"/>
    <w:rsid w:val="009A5A8E"/>
    <w:rsid w:val="009A68CC"/>
    <w:rsid w:val="009B1B0E"/>
    <w:rsid w:val="009B2DAB"/>
    <w:rsid w:val="009B3CF8"/>
    <w:rsid w:val="009B614F"/>
    <w:rsid w:val="009C04AF"/>
    <w:rsid w:val="009C11B4"/>
    <w:rsid w:val="009C1F1B"/>
    <w:rsid w:val="009C3A1D"/>
    <w:rsid w:val="009C3C89"/>
    <w:rsid w:val="009C6467"/>
    <w:rsid w:val="009C7C0B"/>
    <w:rsid w:val="009D07C4"/>
    <w:rsid w:val="009D41AB"/>
    <w:rsid w:val="009D4333"/>
    <w:rsid w:val="009D443C"/>
    <w:rsid w:val="009D4BA7"/>
    <w:rsid w:val="009D7D07"/>
    <w:rsid w:val="009E03A4"/>
    <w:rsid w:val="009E0F24"/>
    <w:rsid w:val="009E263E"/>
    <w:rsid w:val="009E29E8"/>
    <w:rsid w:val="009E2E2A"/>
    <w:rsid w:val="009E4128"/>
    <w:rsid w:val="009E4A04"/>
    <w:rsid w:val="009E67C8"/>
    <w:rsid w:val="009F3790"/>
    <w:rsid w:val="009F39DF"/>
    <w:rsid w:val="009F6813"/>
    <w:rsid w:val="00A03F8F"/>
    <w:rsid w:val="00A042BC"/>
    <w:rsid w:val="00A045F2"/>
    <w:rsid w:val="00A071E9"/>
    <w:rsid w:val="00A1369B"/>
    <w:rsid w:val="00A16D8E"/>
    <w:rsid w:val="00A20875"/>
    <w:rsid w:val="00A244C7"/>
    <w:rsid w:val="00A26A71"/>
    <w:rsid w:val="00A32124"/>
    <w:rsid w:val="00A33F9B"/>
    <w:rsid w:val="00A361DB"/>
    <w:rsid w:val="00A36DDE"/>
    <w:rsid w:val="00A36E65"/>
    <w:rsid w:val="00A37912"/>
    <w:rsid w:val="00A37EDE"/>
    <w:rsid w:val="00A41A9E"/>
    <w:rsid w:val="00A43BA2"/>
    <w:rsid w:val="00A45EE8"/>
    <w:rsid w:val="00A462A9"/>
    <w:rsid w:val="00A46AC6"/>
    <w:rsid w:val="00A51D86"/>
    <w:rsid w:val="00A52408"/>
    <w:rsid w:val="00A538A9"/>
    <w:rsid w:val="00A54AEE"/>
    <w:rsid w:val="00A55E82"/>
    <w:rsid w:val="00A56228"/>
    <w:rsid w:val="00A60433"/>
    <w:rsid w:val="00A60BDF"/>
    <w:rsid w:val="00A620E2"/>
    <w:rsid w:val="00A63444"/>
    <w:rsid w:val="00A63E30"/>
    <w:rsid w:val="00A6488A"/>
    <w:rsid w:val="00A660B5"/>
    <w:rsid w:val="00A6766D"/>
    <w:rsid w:val="00A73E9A"/>
    <w:rsid w:val="00A7487F"/>
    <w:rsid w:val="00A753B3"/>
    <w:rsid w:val="00A75816"/>
    <w:rsid w:val="00A75C5D"/>
    <w:rsid w:val="00A805B7"/>
    <w:rsid w:val="00A8342D"/>
    <w:rsid w:val="00A84DFE"/>
    <w:rsid w:val="00A84E9B"/>
    <w:rsid w:val="00A85D07"/>
    <w:rsid w:val="00A915DD"/>
    <w:rsid w:val="00A9286C"/>
    <w:rsid w:val="00A94490"/>
    <w:rsid w:val="00A95E07"/>
    <w:rsid w:val="00A9627B"/>
    <w:rsid w:val="00AA1178"/>
    <w:rsid w:val="00AA21E0"/>
    <w:rsid w:val="00AA345B"/>
    <w:rsid w:val="00AA556D"/>
    <w:rsid w:val="00AA6BA1"/>
    <w:rsid w:val="00AB0BA1"/>
    <w:rsid w:val="00AB1C9F"/>
    <w:rsid w:val="00AB328F"/>
    <w:rsid w:val="00AB4AC2"/>
    <w:rsid w:val="00AB4F34"/>
    <w:rsid w:val="00AB51A8"/>
    <w:rsid w:val="00AC0AE0"/>
    <w:rsid w:val="00AC45E1"/>
    <w:rsid w:val="00AC4EC9"/>
    <w:rsid w:val="00AC5D01"/>
    <w:rsid w:val="00AC70CA"/>
    <w:rsid w:val="00AC7111"/>
    <w:rsid w:val="00AD3E0D"/>
    <w:rsid w:val="00AD468B"/>
    <w:rsid w:val="00AD4F7B"/>
    <w:rsid w:val="00AD7954"/>
    <w:rsid w:val="00AE23FB"/>
    <w:rsid w:val="00AE256C"/>
    <w:rsid w:val="00AE5058"/>
    <w:rsid w:val="00AF4BF2"/>
    <w:rsid w:val="00AF4DA4"/>
    <w:rsid w:val="00AF592A"/>
    <w:rsid w:val="00AF7546"/>
    <w:rsid w:val="00B00C4E"/>
    <w:rsid w:val="00B02796"/>
    <w:rsid w:val="00B02A3F"/>
    <w:rsid w:val="00B03080"/>
    <w:rsid w:val="00B04A35"/>
    <w:rsid w:val="00B04BE1"/>
    <w:rsid w:val="00B050D9"/>
    <w:rsid w:val="00B123FB"/>
    <w:rsid w:val="00B1247F"/>
    <w:rsid w:val="00B153FA"/>
    <w:rsid w:val="00B22A17"/>
    <w:rsid w:val="00B22B9F"/>
    <w:rsid w:val="00B22F78"/>
    <w:rsid w:val="00B27131"/>
    <w:rsid w:val="00B27951"/>
    <w:rsid w:val="00B30556"/>
    <w:rsid w:val="00B32689"/>
    <w:rsid w:val="00B331EC"/>
    <w:rsid w:val="00B35F83"/>
    <w:rsid w:val="00B36A30"/>
    <w:rsid w:val="00B40EA1"/>
    <w:rsid w:val="00B42F31"/>
    <w:rsid w:val="00B43D92"/>
    <w:rsid w:val="00B51050"/>
    <w:rsid w:val="00B52CAD"/>
    <w:rsid w:val="00B53EAF"/>
    <w:rsid w:val="00B62820"/>
    <w:rsid w:val="00B65BCA"/>
    <w:rsid w:val="00B6639B"/>
    <w:rsid w:val="00B66F84"/>
    <w:rsid w:val="00B675A3"/>
    <w:rsid w:val="00B67947"/>
    <w:rsid w:val="00B7570D"/>
    <w:rsid w:val="00B83793"/>
    <w:rsid w:val="00B84F6E"/>
    <w:rsid w:val="00B941C8"/>
    <w:rsid w:val="00B9500B"/>
    <w:rsid w:val="00B95FB6"/>
    <w:rsid w:val="00B970C0"/>
    <w:rsid w:val="00BA1D80"/>
    <w:rsid w:val="00BA4E6F"/>
    <w:rsid w:val="00BA56A8"/>
    <w:rsid w:val="00BA784F"/>
    <w:rsid w:val="00BA7A1E"/>
    <w:rsid w:val="00BB4FD9"/>
    <w:rsid w:val="00BB5711"/>
    <w:rsid w:val="00BB5722"/>
    <w:rsid w:val="00BB6693"/>
    <w:rsid w:val="00BB6BB6"/>
    <w:rsid w:val="00BB6CD0"/>
    <w:rsid w:val="00BC02E9"/>
    <w:rsid w:val="00BC08E4"/>
    <w:rsid w:val="00BC17E4"/>
    <w:rsid w:val="00BC1922"/>
    <w:rsid w:val="00BC3EC5"/>
    <w:rsid w:val="00BC46B6"/>
    <w:rsid w:val="00BC5546"/>
    <w:rsid w:val="00BD2771"/>
    <w:rsid w:val="00BD2FD1"/>
    <w:rsid w:val="00BD35AA"/>
    <w:rsid w:val="00BD3C78"/>
    <w:rsid w:val="00BD6505"/>
    <w:rsid w:val="00BE1F66"/>
    <w:rsid w:val="00BE57BB"/>
    <w:rsid w:val="00BE7118"/>
    <w:rsid w:val="00BF0C25"/>
    <w:rsid w:val="00BF5AD6"/>
    <w:rsid w:val="00BF7869"/>
    <w:rsid w:val="00C06004"/>
    <w:rsid w:val="00C06389"/>
    <w:rsid w:val="00C11279"/>
    <w:rsid w:val="00C11A18"/>
    <w:rsid w:val="00C12B98"/>
    <w:rsid w:val="00C13A67"/>
    <w:rsid w:val="00C13CD5"/>
    <w:rsid w:val="00C157A7"/>
    <w:rsid w:val="00C2090E"/>
    <w:rsid w:val="00C218B8"/>
    <w:rsid w:val="00C26633"/>
    <w:rsid w:val="00C335A8"/>
    <w:rsid w:val="00C34810"/>
    <w:rsid w:val="00C362E2"/>
    <w:rsid w:val="00C4052B"/>
    <w:rsid w:val="00C409B6"/>
    <w:rsid w:val="00C40CD5"/>
    <w:rsid w:val="00C40DD3"/>
    <w:rsid w:val="00C42A8E"/>
    <w:rsid w:val="00C42EF8"/>
    <w:rsid w:val="00C43296"/>
    <w:rsid w:val="00C44308"/>
    <w:rsid w:val="00C46A25"/>
    <w:rsid w:val="00C47E88"/>
    <w:rsid w:val="00C500A8"/>
    <w:rsid w:val="00C51B7F"/>
    <w:rsid w:val="00C529B0"/>
    <w:rsid w:val="00C53D9F"/>
    <w:rsid w:val="00C540CA"/>
    <w:rsid w:val="00C556AB"/>
    <w:rsid w:val="00C56B62"/>
    <w:rsid w:val="00C60D14"/>
    <w:rsid w:val="00C64E46"/>
    <w:rsid w:val="00C650CF"/>
    <w:rsid w:val="00C65690"/>
    <w:rsid w:val="00C66F2D"/>
    <w:rsid w:val="00C67C95"/>
    <w:rsid w:val="00C67CE6"/>
    <w:rsid w:val="00C67E9C"/>
    <w:rsid w:val="00C71FA2"/>
    <w:rsid w:val="00C7208B"/>
    <w:rsid w:val="00C73227"/>
    <w:rsid w:val="00C737F2"/>
    <w:rsid w:val="00C74438"/>
    <w:rsid w:val="00C74467"/>
    <w:rsid w:val="00C75DFF"/>
    <w:rsid w:val="00C77D00"/>
    <w:rsid w:val="00C77FDE"/>
    <w:rsid w:val="00C8054F"/>
    <w:rsid w:val="00C8214A"/>
    <w:rsid w:val="00C825E5"/>
    <w:rsid w:val="00C8345C"/>
    <w:rsid w:val="00C849B4"/>
    <w:rsid w:val="00C85CD7"/>
    <w:rsid w:val="00C91A6F"/>
    <w:rsid w:val="00C91E33"/>
    <w:rsid w:val="00C930C8"/>
    <w:rsid w:val="00C946E8"/>
    <w:rsid w:val="00CA45CB"/>
    <w:rsid w:val="00CA4C3A"/>
    <w:rsid w:val="00CA4E57"/>
    <w:rsid w:val="00CA7AA6"/>
    <w:rsid w:val="00CA7ADA"/>
    <w:rsid w:val="00CA7C07"/>
    <w:rsid w:val="00CA7F1D"/>
    <w:rsid w:val="00CB5C38"/>
    <w:rsid w:val="00CC1C87"/>
    <w:rsid w:val="00CC1F8C"/>
    <w:rsid w:val="00CC29B3"/>
    <w:rsid w:val="00CC2EA8"/>
    <w:rsid w:val="00CC5500"/>
    <w:rsid w:val="00CC6E48"/>
    <w:rsid w:val="00CD4DE8"/>
    <w:rsid w:val="00CD5841"/>
    <w:rsid w:val="00CD5A8F"/>
    <w:rsid w:val="00CD611D"/>
    <w:rsid w:val="00CD6238"/>
    <w:rsid w:val="00CD6617"/>
    <w:rsid w:val="00CD6876"/>
    <w:rsid w:val="00CD6D28"/>
    <w:rsid w:val="00CE0F1F"/>
    <w:rsid w:val="00CE2494"/>
    <w:rsid w:val="00CE2973"/>
    <w:rsid w:val="00CE4073"/>
    <w:rsid w:val="00CE719D"/>
    <w:rsid w:val="00CE724E"/>
    <w:rsid w:val="00CE7470"/>
    <w:rsid w:val="00CE7DD9"/>
    <w:rsid w:val="00CE7F68"/>
    <w:rsid w:val="00CF23A0"/>
    <w:rsid w:val="00CF4EFF"/>
    <w:rsid w:val="00CF55B7"/>
    <w:rsid w:val="00CF6B54"/>
    <w:rsid w:val="00CF723E"/>
    <w:rsid w:val="00D02831"/>
    <w:rsid w:val="00D0364B"/>
    <w:rsid w:val="00D04C47"/>
    <w:rsid w:val="00D0791C"/>
    <w:rsid w:val="00D07E4B"/>
    <w:rsid w:val="00D13CEA"/>
    <w:rsid w:val="00D13F20"/>
    <w:rsid w:val="00D144B1"/>
    <w:rsid w:val="00D15014"/>
    <w:rsid w:val="00D15AA1"/>
    <w:rsid w:val="00D164BC"/>
    <w:rsid w:val="00D203E4"/>
    <w:rsid w:val="00D23481"/>
    <w:rsid w:val="00D25C63"/>
    <w:rsid w:val="00D279F0"/>
    <w:rsid w:val="00D3496C"/>
    <w:rsid w:val="00D36A13"/>
    <w:rsid w:val="00D36A9F"/>
    <w:rsid w:val="00D42E23"/>
    <w:rsid w:val="00D466A8"/>
    <w:rsid w:val="00D46E14"/>
    <w:rsid w:val="00D51004"/>
    <w:rsid w:val="00D52EC1"/>
    <w:rsid w:val="00D579E6"/>
    <w:rsid w:val="00D61FF9"/>
    <w:rsid w:val="00D62480"/>
    <w:rsid w:val="00D629E3"/>
    <w:rsid w:val="00D64273"/>
    <w:rsid w:val="00D64C4F"/>
    <w:rsid w:val="00D66DDB"/>
    <w:rsid w:val="00D679B2"/>
    <w:rsid w:val="00D70766"/>
    <w:rsid w:val="00D7252C"/>
    <w:rsid w:val="00D7768F"/>
    <w:rsid w:val="00D82691"/>
    <w:rsid w:val="00D8327A"/>
    <w:rsid w:val="00D837B0"/>
    <w:rsid w:val="00D83FBA"/>
    <w:rsid w:val="00D855ED"/>
    <w:rsid w:val="00D906B2"/>
    <w:rsid w:val="00D91F3E"/>
    <w:rsid w:val="00D92325"/>
    <w:rsid w:val="00D95A1B"/>
    <w:rsid w:val="00DA1EA0"/>
    <w:rsid w:val="00DA2E83"/>
    <w:rsid w:val="00DA3868"/>
    <w:rsid w:val="00DA3A68"/>
    <w:rsid w:val="00DA4E7C"/>
    <w:rsid w:val="00DB277C"/>
    <w:rsid w:val="00DB3FB8"/>
    <w:rsid w:val="00DB47EB"/>
    <w:rsid w:val="00DB5A7F"/>
    <w:rsid w:val="00DB7DC5"/>
    <w:rsid w:val="00DC0C32"/>
    <w:rsid w:val="00DC175C"/>
    <w:rsid w:val="00DC4C2A"/>
    <w:rsid w:val="00DC69D9"/>
    <w:rsid w:val="00DC7159"/>
    <w:rsid w:val="00DC7C06"/>
    <w:rsid w:val="00DC7E08"/>
    <w:rsid w:val="00DD0CD5"/>
    <w:rsid w:val="00DD1932"/>
    <w:rsid w:val="00DD2423"/>
    <w:rsid w:val="00DD4191"/>
    <w:rsid w:val="00DD732B"/>
    <w:rsid w:val="00DE00CB"/>
    <w:rsid w:val="00DE02CA"/>
    <w:rsid w:val="00DE02DF"/>
    <w:rsid w:val="00DE224D"/>
    <w:rsid w:val="00DE41C5"/>
    <w:rsid w:val="00DE7747"/>
    <w:rsid w:val="00DF43D9"/>
    <w:rsid w:val="00DF7F84"/>
    <w:rsid w:val="00E022A1"/>
    <w:rsid w:val="00E0245B"/>
    <w:rsid w:val="00E02A52"/>
    <w:rsid w:val="00E0447A"/>
    <w:rsid w:val="00E052B8"/>
    <w:rsid w:val="00E10780"/>
    <w:rsid w:val="00E12804"/>
    <w:rsid w:val="00E134FA"/>
    <w:rsid w:val="00E22006"/>
    <w:rsid w:val="00E22EA8"/>
    <w:rsid w:val="00E23058"/>
    <w:rsid w:val="00E25D40"/>
    <w:rsid w:val="00E319EF"/>
    <w:rsid w:val="00E31CB8"/>
    <w:rsid w:val="00E332FF"/>
    <w:rsid w:val="00E354BF"/>
    <w:rsid w:val="00E361ED"/>
    <w:rsid w:val="00E40395"/>
    <w:rsid w:val="00E40CA6"/>
    <w:rsid w:val="00E41747"/>
    <w:rsid w:val="00E44D06"/>
    <w:rsid w:val="00E46240"/>
    <w:rsid w:val="00E54144"/>
    <w:rsid w:val="00E547F7"/>
    <w:rsid w:val="00E55228"/>
    <w:rsid w:val="00E567DF"/>
    <w:rsid w:val="00E57404"/>
    <w:rsid w:val="00E57A6E"/>
    <w:rsid w:val="00E64BEF"/>
    <w:rsid w:val="00E64E18"/>
    <w:rsid w:val="00E66BEB"/>
    <w:rsid w:val="00E71771"/>
    <w:rsid w:val="00E73985"/>
    <w:rsid w:val="00E7452D"/>
    <w:rsid w:val="00E8026B"/>
    <w:rsid w:val="00E81B7C"/>
    <w:rsid w:val="00E85AC5"/>
    <w:rsid w:val="00E864E9"/>
    <w:rsid w:val="00E909E3"/>
    <w:rsid w:val="00E91D41"/>
    <w:rsid w:val="00E9742F"/>
    <w:rsid w:val="00EA372C"/>
    <w:rsid w:val="00EB020F"/>
    <w:rsid w:val="00EB33A4"/>
    <w:rsid w:val="00EB6216"/>
    <w:rsid w:val="00EB6CF0"/>
    <w:rsid w:val="00EC1274"/>
    <w:rsid w:val="00EC285A"/>
    <w:rsid w:val="00EC3047"/>
    <w:rsid w:val="00EC4067"/>
    <w:rsid w:val="00EC4F2E"/>
    <w:rsid w:val="00EC506E"/>
    <w:rsid w:val="00EC5C68"/>
    <w:rsid w:val="00EC6576"/>
    <w:rsid w:val="00ED3001"/>
    <w:rsid w:val="00ED3627"/>
    <w:rsid w:val="00ED37B8"/>
    <w:rsid w:val="00ED3C94"/>
    <w:rsid w:val="00ED5B5F"/>
    <w:rsid w:val="00ED67BB"/>
    <w:rsid w:val="00EE1B70"/>
    <w:rsid w:val="00EE3EC4"/>
    <w:rsid w:val="00EE53C1"/>
    <w:rsid w:val="00EF0C39"/>
    <w:rsid w:val="00EF6C8B"/>
    <w:rsid w:val="00F028A5"/>
    <w:rsid w:val="00F02ACE"/>
    <w:rsid w:val="00F03463"/>
    <w:rsid w:val="00F03E2D"/>
    <w:rsid w:val="00F05082"/>
    <w:rsid w:val="00F06AF6"/>
    <w:rsid w:val="00F104DF"/>
    <w:rsid w:val="00F16F36"/>
    <w:rsid w:val="00F20567"/>
    <w:rsid w:val="00F21BA6"/>
    <w:rsid w:val="00F260D8"/>
    <w:rsid w:val="00F26C65"/>
    <w:rsid w:val="00F316B5"/>
    <w:rsid w:val="00F42088"/>
    <w:rsid w:val="00F427D0"/>
    <w:rsid w:val="00F43789"/>
    <w:rsid w:val="00F469C9"/>
    <w:rsid w:val="00F50072"/>
    <w:rsid w:val="00F507C6"/>
    <w:rsid w:val="00F51CCB"/>
    <w:rsid w:val="00F51D19"/>
    <w:rsid w:val="00F530A8"/>
    <w:rsid w:val="00F550A0"/>
    <w:rsid w:val="00F56168"/>
    <w:rsid w:val="00F62018"/>
    <w:rsid w:val="00F62E83"/>
    <w:rsid w:val="00F65096"/>
    <w:rsid w:val="00F65D8D"/>
    <w:rsid w:val="00F70A24"/>
    <w:rsid w:val="00F71565"/>
    <w:rsid w:val="00F7237E"/>
    <w:rsid w:val="00F73D29"/>
    <w:rsid w:val="00F80790"/>
    <w:rsid w:val="00F8788F"/>
    <w:rsid w:val="00F87926"/>
    <w:rsid w:val="00F87D54"/>
    <w:rsid w:val="00F908B7"/>
    <w:rsid w:val="00F91851"/>
    <w:rsid w:val="00F933B4"/>
    <w:rsid w:val="00F936DE"/>
    <w:rsid w:val="00F93F64"/>
    <w:rsid w:val="00F941BA"/>
    <w:rsid w:val="00F955F5"/>
    <w:rsid w:val="00FA03D1"/>
    <w:rsid w:val="00FA2ED3"/>
    <w:rsid w:val="00FA3A0C"/>
    <w:rsid w:val="00FA3EA6"/>
    <w:rsid w:val="00FA4140"/>
    <w:rsid w:val="00FA4838"/>
    <w:rsid w:val="00FA6B8E"/>
    <w:rsid w:val="00FB0D59"/>
    <w:rsid w:val="00FB1BAA"/>
    <w:rsid w:val="00FB1BCD"/>
    <w:rsid w:val="00FB1D33"/>
    <w:rsid w:val="00FB7C3A"/>
    <w:rsid w:val="00FC01D5"/>
    <w:rsid w:val="00FC2034"/>
    <w:rsid w:val="00FC387F"/>
    <w:rsid w:val="00FC3D4A"/>
    <w:rsid w:val="00FC6F1F"/>
    <w:rsid w:val="00FD1CEA"/>
    <w:rsid w:val="00FD34DC"/>
    <w:rsid w:val="00FD5141"/>
    <w:rsid w:val="00FD5CCF"/>
    <w:rsid w:val="00FE58DC"/>
    <w:rsid w:val="00FE609B"/>
    <w:rsid w:val="00FE62B8"/>
    <w:rsid w:val="00FF1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B0F61"/>
  <w15:docId w15:val="{AC7952D2-BA0F-4FAD-97EA-516D766C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6389"/>
    <w:pPr>
      <w:spacing w:line="254" w:lineRule="auto"/>
    </w:pPr>
    <w:rPr>
      <w:color w:val="000000" w:themeColor="text1"/>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3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TDC">
    <w:name w:val="TOC Heading"/>
    <w:basedOn w:val="Ttulo1"/>
    <w:next w:val="Normal"/>
    <w:uiPriority w:val="39"/>
    <w:unhideWhenUsed/>
    <w:qFormat/>
    <w:rsid w:val="00C4052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4052B"/>
    <w:pPr>
      <w:spacing w:after="100"/>
    </w:pPr>
  </w:style>
  <w:style w:type="paragraph" w:styleId="TDC2">
    <w:name w:val="toc 2"/>
    <w:basedOn w:val="Normal"/>
    <w:next w:val="Normal"/>
    <w:autoRedefine/>
    <w:uiPriority w:val="39"/>
    <w:unhideWhenUsed/>
    <w:rsid w:val="00C4052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8064">
      <w:bodyDiv w:val="1"/>
      <w:marLeft w:val="0"/>
      <w:marRight w:val="0"/>
      <w:marTop w:val="0"/>
      <w:marBottom w:val="0"/>
      <w:divBdr>
        <w:top w:val="none" w:sz="0" w:space="0" w:color="auto"/>
        <w:left w:val="none" w:sz="0" w:space="0" w:color="auto"/>
        <w:bottom w:val="none" w:sz="0" w:space="0" w:color="auto"/>
        <w:right w:val="none" w:sz="0" w:space="0" w:color="auto"/>
      </w:divBdr>
    </w:div>
    <w:div w:id="31005225">
      <w:bodyDiv w:val="1"/>
      <w:marLeft w:val="0"/>
      <w:marRight w:val="0"/>
      <w:marTop w:val="0"/>
      <w:marBottom w:val="0"/>
      <w:divBdr>
        <w:top w:val="none" w:sz="0" w:space="0" w:color="auto"/>
        <w:left w:val="none" w:sz="0" w:space="0" w:color="auto"/>
        <w:bottom w:val="none" w:sz="0" w:space="0" w:color="auto"/>
        <w:right w:val="none" w:sz="0" w:space="0" w:color="auto"/>
      </w:divBdr>
    </w:div>
    <w:div w:id="66348591">
      <w:bodyDiv w:val="1"/>
      <w:marLeft w:val="0"/>
      <w:marRight w:val="0"/>
      <w:marTop w:val="0"/>
      <w:marBottom w:val="0"/>
      <w:divBdr>
        <w:top w:val="none" w:sz="0" w:space="0" w:color="auto"/>
        <w:left w:val="none" w:sz="0" w:space="0" w:color="auto"/>
        <w:bottom w:val="none" w:sz="0" w:space="0" w:color="auto"/>
        <w:right w:val="none" w:sz="0" w:space="0" w:color="auto"/>
      </w:divBdr>
    </w:div>
    <w:div w:id="75444692">
      <w:bodyDiv w:val="1"/>
      <w:marLeft w:val="0"/>
      <w:marRight w:val="0"/>
      <w:marTop w:val="0"/>
      <w:marBottom w:val="0"/>
      <w:divBdr>
        <w:top w:val="none" w:sz="0" w:space="0" w:color="auto"/>
        <w:left w:val="none" w:sz="0" w:space="0" w:color="auto"/>
        <w:bottom w:val="none" w:sz="0" w:space="0" w:color="auto"/>
        <w:right w:val="none" w:sz="0" w:space="0" w:color="auto"/>
      </w:divBdr>
    </w:div>
    <w:div w:id="95179579">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61548693">
      <w:bodyDiv w:val="1"/>
      <w:marLeft w:val="0"/>
      <w:marRight w:val="0"/>
      <w:marTop w:val="0"/>
      <w:marBottom w:val="0"/>
      <w:divBdr>
        <w:top w:val="none" w:sz="0" w:space="0" w:color="auto"/>
        <w:left w:val="none" w:sz="0" w:space="0" w:color="auto"/>
        <w:bottom w:val="none" w:sz="0" w:space="0" w:color="auto"/>
        <w:right w:val="none" w:sz="0" w:space="0" w:color="auto"/>
      </w:divBdr>
    </w:div>
    <w:div w:id="188031732">
      <w:bodyDiv w:val="1"/>
      <w:marLeft w:val="0"/>
      <w:marRight w:val="0"/>
      <w:marTop w:val="0"/>
      <w:marBottom w:val="0"/>
      <w:divBdr>
        <w:top w:val="none" w:sz="0" w:space="0" w:color="auto"/>
        <w:left w:val="none" w:sz="0" w:space="0" w:color="auto"/>
        <w:bottom w:val="none" w:sz="0" w:space="0" w:color="auto"/>
        <w:right w:val="none" w:sz="0" w:space="0" w:color="auto"/>
      </w:divBdr>
    </w:div>
    <w:div w:id="211500099">
      <w:bodyDiv w:val="1"/>
      <w:marLeft w:val="0"/>
      <w:marRight w:val="0"/>
      <w:marTop w:val="0"/>
      <w:marBottom w:val="0"/>
      <w:divBdr>
        <w:top w:val="none" w:sz="0" w:space="0" w:color="auto"/>
        <w:left w:val="none" w:sz="0" w:space="0" w:color="auto"/>
        <w:bottom w:val="none" w:sz="0" w:space="0" w:color="auto"/>
        <w:right w:val="none" w:sz="0" w:space="0" w:color="auto"/>
      </w:divBdr>
    </w:div>
    <w:div w:id="238367303">
      <w:bodyDiv w:val="1"/>
      <w:marLeft w:val="0"/>
      <w:marRight w:val="0"/>
      <w:marTop w:val="0"/>
      <w:marBottom w:val="0"/>
      <w:divBdr>
        <w:top w:val="none" w:sz="0" w:space="0" w:color="auto"/>
        <w:left w:val="none" w:sz="0" w:space="0" w:color="auto"/>
        <w:bottom w:val="none" w:sz="0" w:space="0" w:color="auto"/>
        <w:right w:val="none" w:sz="0" w:space="0" w:color="auto"/>
      </w:divBdr>
    </w:div>
    <w:div w:id="243883936">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47029534">
      <w:bodyDiv w:val="1"/>
      <w:marLeft w:val="0"/>
      <w:marRight w:val="0"/>
      <w:marTop w:val="0"/>
      <w:marBottom w:val="0"/>
      <w:divBdr>
        <w:top w:val="none" w:sz="0" w:space="0" w:color="auto"/>
        <w:left w:val="none" w:sz="0" w:space="0" w:color="auto"/>
        <w:bottom w:val="none" w:sz="0" w:space="0" w:color="auto"/>
        <w:right w:val="none" w:sz="0" w:space="0" w:color="auto"/>
      </w:divBdr>
    </w:div>
    <w:div w:id="347219776">
      <w:bodyDiv w:val="1"/>
      <w:marLeft w:val="0"/>
      <w:marRight w:val="0"/>
      <w:marTop w:val="0"/>
      <w:marBottom w:val="0"/>
      <w:divBdr>
        <w:top w:val="none" w:sz="0" w:space="0" w:color="auto"/>
        <w:left w:val="none" w:sz="0" w:space="0" w:color="auto"/>
        <w:bottom w:val="none" w:sz="0" w:space="0" w:color="auto"/>
        <w:right w:val="none" w:sz="0" w:space="0" w:color="auto"/>
      </w:divBdr>
    </w:div>
    <w:div w:id="349069491">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454718827">
      <w:bodyDiv w:val="1"/>
      <w:marLeft w:val="0"/>
      <w:marRight w:val="0"/>
      <w:marTop w:val="0"/>
      <w:marBottom w:val="0"/>
      <w:divBdr>
        <w:top w:val="none" w:sz="0" w:space="0" w:color="auto"/>
        <w:left w:val="none" w:sz="0" w:space="0" w:color="auto"/>
        <w:bottom w:val="none" w:sz="0" w:space="0" w:color="auto"/>
        <w:right w:val="none" w:sz="0" w:space="0" w:color="auto"/>
      </w:divBdr>
    </w:div>
    <w:div w:id="466317430">
      <w:bodyDiv w:val="1"/>
      <w:marLeft w:val="0"/>
      <w:marRight w:val="0"/>
      <w:marTop w:val="0"/>
      <w:marBottom w:val="0"/>
      <w:divBdr>
        <w:top w:val="none" w:sz="0" w:space="0" w:color="auto"/>
        <w:left w:val="none" w:sz="0" w:space="0" w:color="auto"/>
        <w:bottom w:val="none" w:sz="0" w:space="0" w:color="auto"/>
        <w:right w:val="none" w:sz="0" w:space="0" w:color="auto"/>
      </w:divBdr>
    </w:div>
    <w:div w:id="469056934">
      <w:bodyDiv w:val="1"/>
      <w:marLeft w:val="0"/>
      <w:marRight w:val="0"/>
      <w:marTop w:val="0"/>
      <w:marBottom w:val="0"/>
      <w:divBdr>
        <w:top w:val="none" w:sz="0" w:space="0" w:color="auto"/>
        <w:left w:val="none" w:sz="0" w:space="0" w:color="auto"/>
        <w:bottom w:val="none" w:sz="0" w:space="0" w:color="auto"/>
        <w:right w:val="none" w:sz="0" w:space="0" w:color="auto"/>
      </w:divBdr>
    </w:div>
    <w:div w:id="484904314">
      <w:bodyDiv w:val="1"/>
      <w:marLeft w:val="0"/>
      <w:marRight w:val="0"/>
      <w:marTop w:val="0"/>
      <w:marBottom w:val="0"/>
      <w:divBdr>
        <w:top w:val="none" w:sz="0" w:space="0" w:color="auto"/>
        <w:left w:val="none" w:sz="0" w:space="0" w:color="auto"/>
        <w:bottom w:val="none" w:sz="0" w:space="0" w:color="auto"/>
        <w:right w:val="none" w:sz="0" w:space="0" w:color="auto"/>
      </w:divBdr>
    </w:div>
    <w:div w:id="586154936">
      <w:bodyDiv w:val="1"/>
      <w:marLeft w:val="0"/>
      <w:marRight w:val="0"/>
      <w:marTop w:val="0"/>
      <w:marBottom w:val="0"/>
      <w:divBdr>
        <w:top w:val="none" w:sz="0" w:space="0" w:color="auto"/>
        <w:left w:val="none" w:sz="0" w:space="0" w:color="auto"/>
        <w:bottom w:val="none" w:sz="0" w:space="0" w:color="auto"/>
        <w:right w:val="none" w:sz="0" w:space="0" w:color="auto"/>
      </w:divBdr>
    </w:div>
    <w:div w:id="634944190">
      <w:bodyDiv w:val="1"/>
      <w:marLeft w:val="0"/>
      <w:marRight w:val="0"/>
      <w:marTop w:val="0"/>
      <w:marBottom w:val="0"/>
      <w:divBdr>
        <w:top w:val="none" w:sz="0" w:space="0" w:color="auto"/>
        <w:left w:val="none" w:sz="0" w:space="0" w:color="auto"/>
        <w:bottom w:val="none" w:sz="0" w:space="0" w:color="auto"/>
        <w:right w:val="none" w:sz="0" w:space="0" w:color="auto"/>
      </w:divBdr>
    </w:div>
    <w:div w:id="639963624">
      <w:bodyDiv w:val="1"/>
      <w:marLeft w:val="0"/>
      <w:marRight w:val="0"/>
      <w:marTop w:val="0"/>
      <w:marBottom w:val="0"/>
      <w:divBdr>
        <w:top w:val="none" w:sz="0" w:space="0" w:color="auto"/>
        <w:left w:val="none" w:sz="0" w:space="0" w:color="auto"/>
        <w:bottom w:val="none" w:sz="0" w:space="0" w:color="auto"/>
        <w:right w:val="none" w:sz="0" w:space="0" w:color="auto"/>
      </w:divBdr>
    </w:div>
    <w:div w:id="645402130">
      <w:bodyDiv w:val="1"/>
      <w:marLeft w:val="0"/>
      <w:marRight w:val="0"/>
      <w:marTop w:val="0"/>
      <w:marBottom w:val="0"/>
      <w:divBdr>
        <w:top w:val="none" w:sz="0" w:space="0" w:color="auto"/>
        <w:left w:val="none" w:sz="0" w:space="0" w:color="auto"/>
        <w:bottom w:val="none" w:sz="0" w:space="0" w:color="auto"/>
        <w:right w:val="none" w:sz="0" w:space="0" w:color="auto"/>
      </w:divBdr>
    </w:div>
    <w:div w:id="686836146">
      <w:bodyDiv w:val="1"/>
      <w:marLeft w:val="0"/>
      <w:marRight w:val="0"/>
      <w:marTop w:val="0"/>
      <w:marBottom w:val="0"/>
      <w:divBdr>
        <w:top w:val="none" w:sz="0" w:space="0" w:color="auto"/>
        <w:left w:val="none" w:sz="0" w:space="0" w:color="auto"/>
        <w:bottom w:val="none" w:sz="0" w:space="0" w:color="auto"/>
        <w:right w:val="none" w:sz="0" w:space="0" w:color="auto"/>
      </w:divBdr>
    </w:div>
    <w:div w:id="730033078">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67580846">
      <w:bodyDiv w:val="1"/>
      <w:marLeft w:val="0"/>
      <w:marRight w:val="0"/>
      <w:marTop w:val="0"/>
      <w:marBottom w:val="0"/>
      <w:divBdr>
        <w:top w:val="none" w:sz="0" w:space="0" w:color="auto"/>
        <w:left w:val="none" w:sz="0" w:space="0" w:color="auto"/>
        <w:bottom w:val="none" w:sz="0" w:space="0" w:color="auto"/>
        <w:right w:val="none" w:sz="0" w:space="0" w:color="auto"/>
      </w:divBdr>
    </w:div>
    <w:div w:id="772359099">
      <w:bodyDiv w:val="1"/>
      <w:marLeft w:val="0"/>
      <w:marRight w:val="0"/>
      <w:marTop w:val="0"/>
      <w:marBottom w:val="0"/>
      <w:divBdr>
        <w:top w:val="none" w:sz="0" w:space="0" w:color="auto"/>
        <w:left w:val="none" w:sz="0" w:space="0" w:color="auto"/>
        <w:bottom w:val="none" w:sz="0" w:space="0" w:color="auto"/>
        <w:right w:val="none" w:sz="0" w:space="0" w:color="auto"/>
      </w:divBdr>
    </w:div>
    <w:div w:id="802773721">
      <w:bodyDiv w:val="1"/>
      <w:marLeft w:val="0"/>
      <w:marRight w:val="0"/>
      <w:marTop w:val="0"/>
      <w:marBottom w:val="0"/>
      <w:divBdr>
        <w:top w:val="none" w:sz="0" w:space="0" w:color="auto"/>
        <w:left w:val="none" w:sz="0" w:space="0" w:color="auto"/>
        <w:bottom w:val="none" w:sz="0" w:space="0" w:color="auto"/>
        <w:right w:val="none" w:sz="0" w:space="0" w:color="auto"/>
      </w:divBdr>
    </w:div>
    <w:div w:id="839389233">
      <w:bodyDiv w:val="1"/>
      <w:marLeft w:val="0"/>
      <w:marRight w:val="0"/>
      <w:marTop w:val="0"/>
      <w:marBottom w:val="0"/>
      <w:divBdr>
        <w:top w:val="none" w:sz="0" w:space="0" w:color="auto"/>
        <w:left w:val="none" w:sz="0" w:space="0" w:color="auto"/>
        <w:bottom w:val="none" w:sz="0" w:space="0" w:color="auto"/>
        <w:right w:val="none" w:sz="0" w:space="0" w:color="auto"/>
      </w:divBdr>
    </w:div>
    <w:div w:id="850222671">
      <w:bodyDiv w:val="1"/>
      <w:marLeft w:val="0"/>
      <w:marRight w:val="0"/>
      <w:marTop w:val="0"/>
      <w:marBottom w:val="0"/>
      <w:divBdr>
        <w:top w:val="none" w:sz="0" w:space="0" w:color="auto"/>
        <w:left w:val="none" w:sz="0" w:space="0" w:color="auto"/>
        <w:bottom w:val="none" w:sz="0" w:space="0" w:color="auto"/>
        <w:right w:val="none" w:sz="0" w:space="0" w:color="auto"/>
      </w:divBdr>
    </w:div>
    <w:div w:id="875970713">
      <w:bodyDiv w:val="1"/>
      <w:marLeft w:val="0"/>
      <w:marRight w:val="0"/>
      <w:marTop w:val="0"/>
      <w:marBottom w:val="0"/>
      <w:divBdr>
        <w:top w:val="none" w:sz="0" w:space="0" w:color="auto"/>
        <w:left w:val="none" w:sz="0" w:space="0" w:color="auto"/>
        <w:bottom w:val="none" w:sz="0" w:space="0" w:color="auto"/>
        <w:right w:val="none" w:sz="0" w:space="0" w:color="auto"/>
      </w:divBdr>
    </w:div>
    <w:div w:id="934705975">
      <w:bodyDiv w:val="1"/>
      <w:marLeft w:val="0"/>
      <w:marRight w:val="0"/>
      <w:marTop w:val="0"/>
      <w:marBottom w:val="0"/>
      <w:divBdr>
        <w:top w:val="none" w:sz="0" w:space="0" w:color="auto"/>
        <w:left w:val="none" w:sz="0" w:space="0" w:color="auto"/>
        <w:bottom w:val="none" w:sz="0" w:space="0" w:color="auto"/>
        <w:right w:val="none" w:sz="0" w:space="0" w:color="auto"/>
      </w:divBdr>
    </w:div>
    <w:div w:id="952827934">
      <w:bodyDiv w:val="1"/>
      <w:marLeft w:val="0"/>
      <w:marRight w:val="0"/>
      <w:marTop w:val="0"/>
      <w:marBottom w:val="0"/>
      <w:divBdr>
        <w:top w:val="none" w:sz="0" w:space="0" w:color="auto"/>
        <w:left w:val="none" w:sz="0" w:space="0" w:color="auto"/>
        <w:bottom w:val="none" w:sz="0" w:space="0" w:color="auto"/>
        <w:right w:val="none" w:sz="0" w:space="0" w:color="auto"/>
      </w:divBdr>
    </w:div>
    <w:div w:id="1060321789">
      <w:bodyDiv w:val="1"/>
      <w:marLeft w:val="0"/>
      <w:marRight w:val="0"/>
      <w:marTop w:val="0"/>
      <w:marBottom w:val="0"/>
      <w:divBdr>
        <w:top w:val="none" w:sz="0" w:space="0" w:color="auto"/>
        <w:left w:val="none" w:sz="0" w:space="0" w:color="auto"/>
        <w:bottom w:val="none" w:sz="0" w:space="0" w:color="auto"/>
        <w:right w:val="none" w:sz="0" w:space="0" w:color="auto"/>
      </w:divBdr>
    </w:div>
    <w:div w:id="1070736064">
      <w:bodyDiv w:val="1"/>
      <w:marLeft w:val="0"/>
      <w:marRight w:val="0"/>
      <w:marTop w:val="0"/>
      <w:marBottom w:val="0"/>
      <w:divBdr>
        <w:top w:val="none" w:sz="0" w:space="0" w:color="auto"/>
        <w:left w:val="none" w:sz="0" w:space="0" w:color="auto"/>
        <w:bottom w:val="none" w:sz="0" w:space="0" w:color="auto"/>
        <w:right w:val="none" w:sz="0" w:space="0" w:color="auto"/>
      </w:divBdr>
    </w:div>
    <w:div w:id="1096288685">
      <w:bodyDiv w:val="1"/>
      <w:marLeft w:val="0"/>
      <w:marRight w:val="0"/>
      <w:marTop w:val="0"/>
      <w:marBottom w:val="0"/>
      <w:divBdr>
        <w:top w:val="none" w:sz="0" w:space="0" w:color="auto"/>
        <w:left w:val="none" w:sz="0" w:space="0" w:color="auto"/>
        <w:bottom w:val="none" w:sz="0" w:space="0" w:color="auto"/>
        <w:right w:val="none" w:sz="0" w:space="0" w:color="auto"/>
      </w:divBdr>
    </w:div>
    <w:div w:id="1121143689">
      <w:bodyDiv w:val="1"/>
      <w:marLeft w:val="0"/>
      <w:marRight w:val="0"/>
      <w:marTop w:val="0"/>
      <w:marBottom w:val="0"/>
      <w:divBdr>
        <w:top w:val="none" w:sz="0" w:space="0" w:color="auto"/>
        <w:left w:val="none" w:sz="0" w:space="0" w:color="auto"/>
        <w:bottom w:val="none" w:sz="0" w:space="0" w:color="auto"/>
        <w:right w:val="none" w:sz="0" w:space="0" w:color="auto"/>
      </w:divBdr>
    </w:div>
    <w:div w:id="1146749580">
      <w:bodyDiv w:val="1"/>
      <w:marLeft w:val="0"/>
      <w:marRight w:val="0"/>
      <w:marTop w:val="0"/>
      <w:marBottom w:val="0"/>
      <w:divBdr>
        <w:top w:val="none" w:sz="0" w:space="0" w:color="auto"/>
        <w:left w:val="none" w:sz="0" w:space="0" w:color="auto"/>
        <w:bottom w:val="none" w:sz="0" w:space="0" w:color="auto"/>
        <w:right w:val="none" w:sz="0" w:space="0" w:color="auto"/>
      </w:divBdr>
    </w:div>
    <w:div w:id="1149589980">
      <w:bodyDiv w:val="1"/>
      <w:marLeft w:val="0"/>
      <w:marRight w:val="0"/>
      <w:marTop w:val="0"/>
      <w:marBottom w:val="0"/>
      <w:divBdr>
        <w:top w:val="none" w:sz="0" w:space="0" w:color="auto"/>
        <w:left w:val="none" w:sz="0" w:space="0" w:color="auto"/>
        <w:bottom w:val="none" w:sz="0" w:space="0" w:color="auto"/>
        <w:right w:val="none" w:sz="0" w:space="0" w:color="auto"/>
      </w:divBdr>
    </w:div>
    <w:div w:id="1166507363">
      <w:bodyDiv w:val="1"/>
      <w:marLeft w:val="0"/>
      <w:marRight w:val="0"/>
      <w:marTop w:val="0"/>
      <w:marBottom w:val="0"/>
      <w:divBdr>
        <w:top w:val="none" w:sz="0" w:space="0" w:color="auto"/>
        <w:left w:val="none" w:sz="0" w:space="0" w:color="auto"/>
        <w:bottom w:val="none" w:sz="0" w:space="0" w:color="auto"/>
        <w:right w:val="none" w:sz="0" w:space="0" w:color="auto"/>
      </w:divBdr>
    </w:div>
    <w:div w:id="1204369781">
      <w:bodyDiv w:val="1"/>
      <w:marLeft w:val="0"/>
      <w:marRight w:val="0"/>
      <w:marTop w:val="0"/>
      <w:marBottom w:val="0"/>
      <w:divBdr>
        <w:top w:val="none" w:sz="0" w:space="0" w:color="auto"/>
        <w:left w:val="none" w:sz="0" w:space="0" w:color="auto"/>
        <w:bottom w:val="none" w:sz="0" w:space="0" w:color="auto"/>
        <w:right w:val="none" w:sz="0" w:space="0" w:color="auto"/>
      </w:divBdr>
    </w:div>
    <w:div w:id="1208180446">
      <w:bodyDiv w:val="1"/>
      <w:marLeft w:val="0"/>
      <w:marRight w:val="0"/>
      <w:marTop w:val="0"/>
      <w:marBottom w:val="0"/>
      <w:divBdr>
        <w:top w:val="none" w:sz="0" w:space="0" w:color="auto"/>
        <w:left w:val="none" w:sz="0" w:space="0" w:color="auto"/>
        <w:bottom w:val="none" w:sz="0" w:space="0" w:color="auto"/>
        <w:right w:val="none" w:sz="0" w:space="0" w:color="auto"/>
      </w:divBdr>
    </w:div>
    <w:div w:id="1222863811">
      <w:bodyDiv w:val="1"/>
      <w:marLeft w:val="0"/>
      <w:marRight w:val="0"/>
      <w:marTop w:val="0"/>
      <w:marBottom w:val="0"/>
      <w:divBdr>
        <w:top w:val="none" w:sz="0" w:space="0" w:color="auto"/>
        <w:left w:val="none" w:sz="0" w:space="0" w:color="auto"/>
        <w:bottom w:val="none" w:sz="0" w:space="0" w:color="auto"/>
        <w:right w:val="none" w:sz="0" w:space="0" w:color="auto"/>
      </w:divBdr>
    </w:div>
    <w:div w:id="1240554962">
      <w:bodyDiv w:val="1"/>
      <w:marLeft w:val="0"/>
      <w:marRight w:val="0"/>
      <w:marTop w:val="0"/>
      <w:marBottom w:val="0"/>
      <w:divBdr>
        <w:top w:val="none" w:sz="0" w:space="0" w:color="auto"/>
        <w:left w:val="none" w:sz="0" w:space="0" w:color="auto"/>
        <w:bottom w:val="none" w:sz="0" w:space="0" w:color="auto"/>
        <w:right w:val="none" w:sz="0" w:space="0" w:color="auto"/>
      </w:divBdr>
    </w:div>
    <w:div w:id="1279222341">
      <w:bodyDiv w:val="1"/>
      <w:marLeft w:val="0"/>
      <w:marRight w:val="0"/>
      <w:marTop w:val="0"/>
      <w:marBottom w:val="0"/>
      <w:divBdr>
        <w:top w:val="none" w:sz="0" w:space="0" w:color="auto"/>
        <w:left w:val="none" w:sz="0" w:space="0" w:color="auto"/>
        <w:bottom w:val="none" w:sz="0" w:space="0" w:color="auto"/>
        <w:right w:val="none" w:sz="0" w:space="0" w:color="auto"/>
      </w:divBdr>
    </w:div>
    <w:div w:id="1303148255">
      <w:bodyDiv w:val="1"/>
      <w:marLeft w:val="0"/>
      <w:marRight w:val="0"/>
      <w:marTop w:val="0"/>
      <w:marBottom w:val="0"/>
      <w:divBdr>
        <w:top w:val="none" w:sz="0" w:space="0" w:color="auto"/>
        <w:left w:val="none" w:sz="0" w:space="0" w:color="auto"/>
        <w:bottom w:val="none" w:sz="0" w:space="0" w:color="auto"/>
        <w:right w:val="none" w:sz="0" w:space="0" w:color="auto"/>
      </w:divBdr>
    </w:div>
    <w:div w:id="1318192754">
      <w:bodyDiv w:val="1"/>
      <w:marLeft w:val="0"/>
      <w:marRight w:val="0"/>
      <w:marTop w:val="0"/>
      <w:marBottom w:val="0"/>
      <w:divBdr>
        <w:top w:val="none" w:sz="0" w:space="0" w:color="auto"/>
        <w:left w:val="none" w:sz="0" w:space="0" w:color="auto"/>
        <w:bottom w:val="none" w:sz="0" w:space="0" w:color="auto"/>
        <w:right w:val="none" w:sz="0" w:space="0" w:color="auto"/>
      </w:divBdr>
    </w:div>
    <w:div w:id="1365247893">
      <w:bodyDiv w:val="1"/>
      <w:marLeft w:val="0"/>
      <w:marRight w:val="0"/>
      <w:marTop w:val="0"/>
      <w:marBottom w:val="0"/>
      <w:divBdr>
        <w:top w:val="none" w:sz="0" w:space="0" w:color="auto"/>
        <w:left w:val="none" w:sz="0" w:space="0" w:color="auto"/>
        <w:bottom w:val="none" w:sz="0" w:space="0" w:color="auto"/>
        <w:right w:val="none" w:sz="0" w:space="0" w:color="auto"/>
      </w:divBdr>
    </w:div>
    <w:div w:id="1395740382">
      <w:bodyDiv w:val="1"/>
      <w:marLeft w:val="0"/>
      <w:marRight w:val="0"/>
      <w:marTop w:val="0"/>
      <w:marBottom w:val="0"/>
      <w:divBdr>
        <w:top w:val="none" w:sz="0" w:space="0" w:color="auto"/>
        <w:left w:val="none" w:sz="0" w:space="0" w:color="auto"/>
        <w:bottom w:val="none" w:sz="0" w:space="0" w:color="auto"/>
        <w:right w:val="none" w:sz="0" w:space="0" w:color="auto"/>
      </w:divBdr>
    </w:div>
    <w:div w:id="1488748300">
      <w:bodyDiv w:val="1"/>
      <w:marLeft w:val="0"/>
      <w:marRight w:val="0"/>
      <w:marTop w:val="0"/>
      <w:marBottom w:val="0"/>
      <w:divBdr>
        <w:top w:val="none" w:sz="0" w:space="0" w:color="auto"/>
        <w:left w:val="none" w:sz="0" w:space="0" w:color="auto"/>
        <w:bottom w:val="none" w:sz="0" w:space="0" w:color="auto"/>
        <w:right w:val="none" w:sz="0" w:space="0" w:color="auto"/>
      </w:divBdr>
    </w:div>
    <w:div w:id="1491218193">
      <w:bodyDiv w:val="1"/>
      <w:marLeft w:val="0"/>
      <w:marRight w:val="0"/>
      <w:marTop w:val="0"/>
      <w:marBottom w:val="0"/>
      <w:divBdr>
        <w:top w:val="none" w:sz="0" w:space="0" w:color="auto"/>
        <w:left w:val="none" w:sz="0" w:space="0" w:color="auto"/>
        <w:bottom w:val="none" w:sz="0" w:space="0" w:color="auto"/>
        <w:right w:val="none" w:sz="0" w:space="0" w:color="auto"/>
      </w:divBdr>
    </w:div>
    <w:div w:id="1541362030">
      <w:bodyDiv w:val="1"/>
      <w:marLeft w:val="0"/>
      <w:marRight w:val="0"/>
      <w:marTop w:val="0"/>
      <w:marBottom w:val="0"/>
      <w:divBdr>
        <w:top w:val="none" w:sz="0" w:space="0" w:color="auto"/>
        <w:left w:val="none" w:sz="0" w:space="0" w:color="auto"/>
        <w:bottom w:val="none" w:sz="0" w:space="0" w:color="auto"/>
        <w:right w:val="none" w:sz="0" w:space="0" w:color="auto"/>
      </w:divBdr>
    </w:div>
    <w:div w:id="1561557014">
      <w:bodyDiv w:val="1"/>
      <w:marLeft w:val="0"/>
      <w:marRight w:val="0"/>
      <w:marTop w:val="0"/>
      <w:marBottom w:val="0"/>
      <w:divBdr>
        <w:top w:val="none" w:sz="0" w:space="0" w:color="auto"/>
        <w:left w:val="none" w:sz="0" w:space="0" w:color="auto"/>
        <w:bottom w:val="none" w:sz="0" w:space="0" w:color="auto"/>
        <w:right w:val="none" w:sz="0" w:space="0" w:color="auto"/>
      </w:divBdr>
    </w:div>
    <w:div w:id="1563564928">
      <w:bodyDiv w:val="1"/>
      <w:marLeft w:val="0"/>
      <w:marRight w:val="0"/>
      <w:marTop w:val="0"/>
      <w:marBottom w:val="0"/>
      <w:divBdr>
        <w:top w:val="none" w:sz="0" w:space="0" w:color="auto"/>
        <w:left w:val="none" w:sz="0" w:space="0" w:color="auto"/>
        <w:bottom w:val="none" w:sz="0" w:space="0" w:color="auto"/>
        <w:right w:val="none" w:sz="0" w:space="0" w:color="auto"/>
      </w:divBdr>
    </w:div>
    <w:div w:id="1584486929">
      <w:bodyDiv w:val="1"/>
      <w:marLeft w:val="0"/>
      <w:marRight w:val="0"/>
      <w:marTop w:val="0"/>
      <w:marBottom w:val="0"/>
      <w:divBdr>
        <w:top w:val="none" w:sz="0" w:space="0" w:color="auto"/>
        <w:left w:val="none" w:sz="0" w:space="0" w:color="auto"/>
        <w:bottom w:val="none" w:sz="0" w:space="0" w:color="auto"/>
        <w:right w:val="none" w:sz="0" w:space="0" w:color="auto"/>
      </w:divBdr>
    </w:div>
    <w:div w:id="1663896990">
      <w:bodyDiv w:val="1"/>
      <w:marLeft w:val="0"/>
      <w:marRight w:val="0"/>
      <w:marTop w:val="0"/>
      <w:marBottom w:val="0"/>
      <w:divBdr>
        <w:top w:val="none" w:sz="0" w:space="0" w:color="auto"/>
        <w:left w:val="none" w:sz="0" w:space="0" w:color="auto"/>
        <w:bottom w:val="none" w:sz="0" w:space="0" w:color="auto"/>
        <w:right w:val="none" w:sz="0" w:space="0" w:color="auto"/>
      </w:divBdr>
    </w:div>
    <w:div w:id="1671983403">
      <w:bodyDiv w:val="1"/>
      <w:marLeft w:val="0"/>
      <w:marRight w:val="0"/>
      <w:marTop w:val="0"/>
      <w:marBottom w:val="0"/>
      <w:divBdr>
        <w:top w:val="none" w:sz="0" w:space="0" w:color="auto"/>
        <w:left w:val="none" w:sz="0" w:space="0" w:color="auto"/>
        <w:bottom w:val="none" w:sz="0" w:space="0" w:color="auto"/>
        <w:right w:val="none" w:sz="0" w:space="0" w:color="auto"/>
      </w:divBdr>
    </w:div>
    <w:div w:id="1733960535">
      <w:bodyDiv w:val="1"/>
      <w:marLeft w:val="0"/>
      <w:marRight w:val="0"/>
      <w:marTop w:val="0"/>
      <w:marBottom w:val="0"/>
      <w:divBdr>
        <w:top w:val="none" w:sz="0" w:space="0" w:color="auto"/>
        <w:left w:val="none" w:sz="0" w:space="0" w:color="auto"/>
        <w:bottom w:val="none" w:sz="0" w:space="0" w:color="auto"/>
        <w:right w:val="none" w:sz="0" w:space="0" w:color="auto"/>
      </w:divBdr>
    </w:div>
    <w:div w:id="1758165129">
      <w:bodyDiv w:val="1"/>
      <w:marLeft w:val="0"/>
      <w:marRight w:val="0"/>
      <w:marTop w:val="0"/>
      <w:marBottom w:val="0"/>
      <w:divBdr>
        <w:top w:val="none" w:sz="0" w:space="0" w:color="auto"/>
        <w:left w:val="none" w:sz="0" w:space="0" w:color="auto"/>
        <w:bottom w:val="none" w:sz="0" w:space="0" w:color="auto"/>
        <w:right w:val="none" w:sz="0" w:space="0" w:color="auto"/>
      </w:divBdr>
    </w:div>
    <w:div w:id="1785881260">
      <w:bodyDiv w:val="1"/>
      <w:marLeft w:val="0"/>
      <w:marRight w:val="0"/>
      <w:marTop w:val="0"/>
      <w:marBottom w:val="0"/>
      <w:divBdr>
        <w:top w:val="none" w:sz="0" w:space="0" w:color="auto"/>
        <w:left w:val="none" w:sz="0" w:space="0" w:color="auto"/>
        <w:bottom w:val="none" w:sz="0" w:space="0" w:color="auto"/>
        <w:right w:val="none" w:sz="0" w:space="0" w:color="auto"/>
      </w:divBdr>
    </w:div>
    <w:div w:id="1861620433">
      <w:bodyDiv w:val="1"/>
      <w:marLeft w:val="0"/>
      <w:marRight w:val="0"/>
      <w:marTop w:val="0"/>
      <w:marBottom w:val="0"/>
      <w:divBdr>
        <w:top w:val="none" w:sz="0" w:space="0" w:color="auto"/>
        <w:left w:val="none" w:sz="0" w:space="0" w:color="auto"/>
        <w:bottom w:val="none" w:sz="0" w:space="0" w:color="auto"/>
        <w:right w:val="none" w:sz="0" w:space="0" w:color="auto"/>
      </w:divBdr>
    </w:div>
    <w:div w:id="1927107230">
      <w:bodyDiv w:val="1"/>
      <w:marLeft w:val="0"/>
      <w:marRight w:val="0"/>
      <w:marTop w:val="0"/>
      <w:marBottom w:val="0"/>
      <w:divBdr>
        <w:top w:val="none" w:sz="0" w:space="0" w:color="auto"/>
        <w:left w:val="none" w:sz="0" w:space="0" w:color="auto"/>
        <w:bottom w:val="none" w:sz="0" w:space="0" w:color="auto"/>
        <w:right w:val="none" w:sz="0" w:space="0" w:color="auto"/>
      </w:divBdr>
    </w:div>
    <w:div w:id="1962103896">
      <w:bodyDiv w:val="1"/>
      <w:marLeft w:val="0"/>
      <w:marRight w:val="0"/>
      <w:marTop w:val="0"/>
      <w:marBottom w:val="0"/>
      <w:divBdr>
        <w:top w:val="none" w:sz="0" w:space="0" w:color="auto"/>
        <w:left w:val="none" w:sz="0" w:space="0" w:color="auto"/>
        <w:bottom w:val="none" w:sz="0" w:space="0" w:color="auto"/>
        <w:right w:val="none" w:sz="0" w:space="0" w:color="auto"/>
      </w:divBdr>
    </w:div>
    <w:div w:id="1962758511">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111077527">
      <w:bodyDiv w:val="1"/>
      <w:marLeft w:val="0"/>
      <w:marRight w:val="0"/>
      <w:marTop w:val="0"/>
      <w:marBottom w:val="0"/>
      <w:divBdr>
        <w:top w:val="none" w:sz="0" w:space="0" w:color="auto"/>
        <w:left w:val="none" w:sz="0" w:space="0" w:color="auto"/>
        <w:bottom w:val="none" w:sz="0" w:space="0" w:color="auto"/>
        <w:right w:val="none" w:sz="0" w:space="0" w:color="auto"/>
      </w:divBdr>
    </w:div>
    <w:div w:id="2125225496">
      <w:bodyDiv w:val="1"/>
      <w:marLeft w:val="0"/>
      <w:marRight w:val="0"/>
      <w:marTop w:val="0"/>
      <w:marBottom w:val="0"/>
      <w:divBdr>
        <w:top w:val="none" w:sz="0" w:space="0" w:color="auto"/>
        <w:left w:val="none" w:sz="0" w:space="0" w:color="auto"/>
        <w:bottom w:val="none" w:sz="0" w:space="0" w:color="auto"/>
        <w:right w:val="none" w:sz="0" w:space="0" w:color="auto"/>
      </w:divBdr>
    </w:div>
    <w:div w:id="213335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tmp"/><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tmp"/><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tmp"/><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4B1818C-0D5B-4E5D-B5BB-FE7B18DD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6850</Words>
  <Characters>37679</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HECTOR FABIAN ORDOÑEZ GARCIA</cp:lastModifiedBy>
  <cp:revision>4</cp:revision>
  <cp:lastPrinted>2025-04-04T16:38:00Z</cp:lastPrinted>
  <dcterms:created xsi:type="dcterms:W3CDTF">2025-04-04T16:38:00Z</dcterms:created>
  <dcterms:modified xsi:type="dcterms:W3CDTF">2025-04-28T20:36:00Z</dcterms:modified>
</cp:coreProperties>
</file>