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3EA20" w14:textId="77777777" w:rsidR="00595180" w:rsidRPr="00A26E9F" w:rsidRDefault="002463AB">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A26E9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A26E9F">
        <w:rPr>
          <w:rFonts w:ascii="Palatino Linotype" w:eastAsia="Palatino Linotype" w:hAnsi="Palatino Linotype" w:cs="Palatino Linotype"/>
          <w:b/>
          <w:sz w:val="22"/>
          <w:szCs w:val="22"/>
        </w:rPr>
        <w:t>a once de junio de dos mil veinticinco</w:t>
      </w:r>
      <w:r w:rsidRPr="00A26E9F">
        <w:rPr>
          <w:rFonts w:ascii="Palatino Linotype" w:eastAsia="Palatino Linotype" w:hAnsi="Palatino Linotype" w:cs="Palatino Linotype"/>
          <w:sz w:val="22"/>
          <w:szCs w:val="22"/>
        </w:rPr>
        <w:t xml:space="preserve">. </w:t>
      </w:r>
    </w:p>
    <w:p w14:paraId="1F39A0DF" w14:textId="7666C0CD" w:rsidR="00595180" w:rsidRPr="00A26E9F" w:rsidRDefault="002463AB">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A26E9F">
        <w:rPr>
          <w:rFonts w:ascii="Palatino Linotype" w:eastAsia="Palatino Linotype" w:hAnsi="Palatino Linotype" w:cs="Palatino Linotype"/>
          <w:b/>
          <w:sz w:val="22"/>
          <w:szCs w:val="22"/>
        </w:rPr>
        <w:t>Visto</w:t>
      </w:r>
      <w:r w:rsidRPr="00A26E9F">
        <w:rPr>
          <w:rFonts w:ascii="Palatino Linotype" w:eastAsia="Palatino Linotype" w:hAnsi="Palatino Linotype" w:cs="Palatino Linotype"/>
          <w:sz w:val="22"/>
          <w:szCs w:val="22"/>
        </w:rPr>
        <w:t xml:space="preserve"> el expediente formado con motivo del recurso de revisión </w:t>
      </w:r>
      <w:r w:rsidRPr="00A26E9F">
        <w:rPr>
          <w:rFonts w:ascii="Palatino Linotype" w:eastAsia="Palatino Linotype" w:hAnsi="Palatino Linotype" w:cs="Palatino Linotype"/>
          <w:b/>
          <w:sz w:val="22"/>
          <w:szCs w:val="22"/>
        </w:rPr>
        <w:t>03189/INFOEM/IP/RR/2025</w:t>
      </w:r>
      <w:r w:rsidRPr="00A26E9F">
        <w:rPr>
          <w:rFonts w:ascii="Palatino Linotype" w:eastAsia="Palatino Linotype" w:hAnsi="Palatino Linotype" w:cs="Palatino Linotype"/>
          <w:sz w:val="22"/>
          <w:szCs w:val="22"/>
        </w:rPr>
        <w:t>, interpuesto por</w:t>
      </w:r>
      <w:r w:rsidRPr="00A26E9F">
        <w:rPr>
          <w:rFonts w:ascii="Palatino Linotype" w:eastAsia="Palatino Linotype" w:hAnsi="Palatino Linotype" w:cs="Palatino Linotype"/>
          <w:sz w:val="20"/>
          <w:szCs w:val="20"/>
        </w:rPr>
        <w:t xml:space="preserve"> </w:t>
      </w:r>
      <w:r w:rsidR="00242EAC" w:rsidRPr="00242EAC">
        <w:rPr>
          <w:rFonts w:ascii="Palatino Linotype" w:eastAsia="Palatino Linotype" w:hAnsi="Palatino Linotype" w:cs="Palatino Linotype"/>
          <w:b/>
          <w:sz w:val="21"/>
          <w:szCs w:val="21"/>
        </w:rPr>
        <w:t>XXXXXX XXXXX XXXX</w:t>
      </w:r>
      <w:r w:rsidRPr="00A26E9F">
        <w:rPr>
          <w:rFonts w:ascii="Palatino Linotype" w:eastAsia="Palatino Linotype" w:hAnsi="Palatino Linotype" w:cs="Palatino Linotype"/>
          <w:b/>
          <w:sz w:val="22"/>
          <w:szCs w:val="22"/>
        </w:rPr>
        <w:t>,</w:t>
      </w:r>
      <w:r w:rsidRPr="00A26E9F">
        <w:rPr>
          <w:rFonts w:ascii="Palatino Linotype" w:eastAsia="Palatino Linotype" w:hAnsi="Palatino Linotype" w:cs="Palatino Linotype"/>
          <w:sz w:val="22"/>
          <w:szCs w:val="22"/>
        </w:rPr>
        <w:t xml:space="preserve"> en lo sucesivo</w:t>
      </w:r>
      <w:r w:rsidRPr="00A26E9F">
        <w:rPr>
          <w:rFonts w:ascii="Palatino Linotype" w:eastAsia="Palatino Linotype" w:hAnsi="Palatino Linotype" w:cs="Palatino Linotype"/>
          <w:b/>
          <w:sz w:val="22"/>
          <w:szCs w:val="22"/>
        </w:rPr>
        <w:t xml:space="preserve"> la parte</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en contra de la respuesta a su solicitud por parte del</w:t>
      </w:r>
      <w:r w:rsidRPr="00A26E9F">
        <w:t xml:space="preserve"> </w:t>
      </w:r>
      <w:r w:rsidRPr="00A26E9F">
        <w:rPr>
          <w:rFonts w:ascii="Palatino Linotype" w:eastAsia="Palatino Linotype" w:hAnsi="Palatino Linotype" w:cs="Palatino Linotype"/>
          <w:b/>
          <w:sz w:val="22"/>
          <w:szCs w:val="22"/>
        </w:rPr>
        <w:t>Centro de Conciliación Laboral del Estado de México</w:t>
      </w:r>
      <w:r w:rsidRPr="00A26E9F">
        <w:rPr>
          <w:rFonts w:ascii="Palatino Linotype" w:eastAsia="Palatino Linotype" w:hAnsi="Palatino Linotype" w:cs="Palatino Linotype"/>
          <w:sz w:val="22"/>
          <w:szCs w:val="22"/>
        </w:rPr>
        <w:t>,</w:t>
      </w:r>
      <w:r w:rsidRPr="00A26E9F">
        <w:rPr>
          <w:rFonts w:ascii="Palatino Linotype" w:eastAsia="Palatino Linotype" w:hAnsi="Palatino Linotype" w:cs="Palatino Linotype"/>
          <w:b/>
          <w:sz w:val="22"/>
          <w:szCs w:val="22"/>
        </w:rPr>
        <w:t xml:space="preserve"> </w:t>
      </w:r>
      <w:r w:rsidRPr="00A26E9F">
        <w:rPr>
          <w:rFonts w:ascii="Palatino Linotype" w:eastAsia="Palatino Linotype" w:hAnsi="Palatino Linotype" w:cs="Palatino Linotype"/>
          <w:sz w:val="22"/>
          <w:szCs w:val="22"/>
        </w:rPr>
        <w:t xml:space="preserve">en lo sucesivo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 xml:space="preserve">se procede a dictar la presente resolución con base en los siguientes: </w:t>
      </w:r>
    </w:p>
    <w:p w14:paraId="00DD5D4A" w14:textId="77777777" w:rsidR="00595180" w:rsidRPr="00A26E9F" w:rsidRDefault="002463AB">
      <w:pPr>
        <w:spacing w:before="240" w:after="240" w:line="360" w:lineRule="auto"/>
        <w:jc w:val="center"/>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I. A N T E C E D E N T E S</w:t>
      </w:r>
    </w:p>
    <w:p w14:paraId="47507DEE" w14:textId="77777777" w:rsidR="00595180" w:rsidRPr="00A26E9F" w:rsidRDefault="002463AB">
      <w:pPr>
        <w:spacing w:before="240" w:after="240"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1. Solicitud de acceso a la información.</w:t>
      </w:r>
      <w:r w:rsidRPr="00A26E9F">
        <w:rPr>
          <w:rFonts w:ascii="Palatino Linotype" w:eastAsia="Palatino Linotype" w:hAnsi="Palatino Linotype" w:cs="Palatino Linotype"/>
          <w:sz w:val="22"/>
          <w:szCs w:val="22"/>
        </w:rPr>
        <w:t xml:space="preserve"> Con fecha </w:t>
      </w:r>
      <w:r w:rsidRPr="00A26E9F">
        <w:rPr>
          <w:rFonts w:ascii="Palatino Linotype" w:eastAsia="Palatino Linotype" w:hAnsi="Palatino Linotype" w:cs="Palatino Linotype"/>
          <w:b/>
          <w:sz w:val="22"/>
          <w:szCs w:val="22"/>
        </w:rPr>
        <w:t>veinticinco de febrero de dos mil veinticinco</w:t>
      </w:r>
      <w:r w:rsidRPr="00A26E9F">
        <w:rPr>
          <w:rFonts w:ascii="Palatino Linotype" w:eastAsia="Palatino Linotype" w:hAnsi="Palatino Linotype" w:cs="Palatino Linotype"/>
          <w:sz w:val="22"/>
          <w:szCs w:val="22"/>
        </w:rPr>
        <w:t xml:space="preserve">, la parte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a través del Sistema de Acceso a la Información Mexiquense, en lo subsecuente el SAIMEX, formuló solicitud de acceso a información pública al</w:t>
      </w:r>
      <w:r w:rsidRPr="00A26E9F">
        <w:rPr>
          <w:rFonts w:ascii="Palatino Linotype" w:eastAsia="Palatino Linotype" w:hAnsi="Palatino Linotype" w:cs="Palatino Linotype"/>
          <w:b/>
          <w:sz w:val="22"/>
          <w:szCs w:val="22"/>
        </w:rPr>
        <w:t xml:space="preserve"> Sujeto Obligado</w:t>
      </w:r>
      <w:r w:rsidRPr="00A26E9F">
        <w:rPr>
          <w:rFonts w:ascii="Palatino Linotype" w:eastAsia="Palatino Linotype" w:hAnsi="Palatino Linotype" w:cs="Palatino Linotype"/>
          <w:sz w:val="22"/>
          <w:szCs w:val="22"/>
        </w:rPr>
        <w:t>; misma a la que se le asignó el número</w:t>
      </w:r>
      <w:r w:rsidRPr="00A26E9F">
        <w:t xml:space="preserve"> </w:t>
      </w:r>
      <w:r w:rsidRPr="00A26E9F">
        <w:rPr>
          <w:rFonts w:ascii="Palatino Linotype" w:eastAsia="Palatino Linotype" w:hAnsi="Palatino Linotype" w:cs="Palatino Linotype"/>
          <w:b/>
          <w:sz w:val="22"/>
          <w:szCs w:val="22"/>
        </w:rPr>
        <w:t>00015/CCLEM/IP/2025</w:t>
      </w:r>
      <w:r w:rsidRPr="00A26E9F">
        <w:rPr>
          <w:rFonts w:ascii="Palatino Linotype" w:eastAsia="Palatino Linotype" w:hAnsi="Palatino Linotype" w:cs="Palatino Linotype"/>
          <w:sz w:val="22"/>
          <w:szCs w:val="22"/>
        </w:rPr>
        <w:t>, mediante la cual se requirió la información siguiente:</w:t>
      </w:r>
    </w:p>
    <w:p w14:paraId="75FBE714" w14:textId="77777777" w:rsidR="00595180" w:rsidRPr="00A26E9F" w:rsidRDefault="002463AB">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A26E9F">
        <w:rPr>
          <w:rFonts w:ascii="Palatino Linotype" w:eastAsia="Palatino Linotype" w:hAnsi="Palatino Linotype" w:cs="Palatino Linotype"/>
          <w:i/>
          <w:sz w:val="22"/>
          <w:szCs w:val="22"/>
        </w:rPr>
        <w:t xml:space="preserve">“SOLICITUD DE INFORMACIÓN Con fundamento en los artículos [corresponde citar artículos aplicables] de la Ley de Transparencia y Acceso a la Información Pública del Estado de México y Municipios, así como en la Ley de Archivos y Administración de Documentos del Estado de México, solicito atentamente la siguiente información respecto al Centro de Conciliación Laboral del Estado de México: Clasificación Archivística: Indicar si el Centro de Conciliación Laboral del Estado de México cuenta con la clasificación archivística debidamente establecida. En caso afirmativo, proporcionar una copia del instrumento normativo correspondiente. Archivo de Concentración: Informar si en cada una de las sedes del Centro de Conciliación Laboral del Estado de México existe un archivo de concentración. En caso afirmativo, detallar su ubicación y si cuenta con los </w:t>
      </w:r>
      <w:r w:rsidRPr="00A26E9F">
        <w:rPr>
          <w:rFonts w:ascii="Palatino Linotype" w:eastAsia="Palatino Linotype" w:hAnsi="Palatino Linotype" w:cs="Palatino Linotype"/>
          <w:i/>
          <w:sz w:val="22"/>
          <w:szCs w:val="22"/>
        </w:rPr>
        <w:lastRenderedPageBreak/>
        <w:t xml:space="preserve">lineamientos correspondientes. Supervisión de Gestión Documental: Indicar si el Área Coordinadora de Archivos ha vigilado el cumplimiento de las disposiciones en materia de gestión documental y administración de archivos dentro del Centro de Conciliación Laboral del Estado de México. Asimismo, precisar qué mecanismos de supervisión se han implementado y proporcionar evidencia documental de dichas acciones. Inventarios Documentales: Informar si cada sede del Centro de Conciliación Laboral del Estado de México cuenta con los inventarios documentales correspondientes a los años 2020, 2021 y 2022. En caso afirmativo, proporcionar una copia de los mismos. Expedientes Concentrados por Año y Sede: a) Indicar cuántos expedientes fueron concentrados o se prevé concentrar del año 2020, desglosado por cada sede del Centro de Conciliación Laboral del Estado de México. b) Indicar cuántos expedientes fueron concentrados o se prevé concentrar del año 2021, desglosado por cada sede del Centro de Conciliación Laboral del Estado de México. c) Indicar cuántos expedientes fueron concentrados o se prevé concentrar del año 2022, desglosado por cada sede del Centro de Conciliación Laboral del Estado de México. Plazo para Archivo de Concentración: Indicar el plazo legal y/o normativo que tiene el Centro de Conciliación Laboral del Estado de México para realizar el archivo de concentración conforme a la normatividad aplicable. En caso de existir lineamientos internos, proporcionar una copia de estos. Solicito que la información sea entregada en formato digital y, en caso de ser posible, en formatos abiertos conforme a la legislación en materia de transparencia. Agradezco su atención y quedo atento a la respuesta dentro de los plazos establecidos en la normatividad aplicable." (Sic) </w:t>
      </w:r>
    </w:p>
    <w:p w14:paraId="5BDCEAD7" w14:textId="77777777" w:rsidR="00595180" w:rsidRPr="00A26E9F" w:rsidRDefault="002463AB">
      <w:pPr>
        <w:spacing w:before="240" w:after="240"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Modalidad de Entrega:</w:t>
      </w:r>
      <w:r w:rsidRPr="00A26E9F">
        <w:rPr>
          <w:rFonts w:ascii="Palatino Linotype" w:eastAsia="Palatino Linotype" w:hAnsi="Palatino Linotype" w:cs="Palatino Linotype"/>
          <w:sz w:val="22"/>
          <w:szCs w:val="22"/>
        </w:rPr>
        <w:t xml:space="preserve"> a través del Sistema de Acceso a la Información Mexiquense (SAIMEX)</w:t>
      </w:r>
    </w:p>
    <w:p w14:paraId="452A2E9E" w14:textId="77777777" w:rsidR="00595180" w:rsidRPr="00A26E9F" w:rsidRDefault="002463AB">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A26E9F">
        <w:rPr>
          <w:rFonts w:ascii="Palatino Linotype" w:eastAsia="Palatino Linotype" w:hAnsi="Palatino Linotype" w:cs="Palatino Linotype"/>
          <w:b/>
          <w:sz w:val="22"/>
          <w:szCs w:val="22"/>
        </w:rPr>
        <w:t xml:space="preserve">2. Respuesta. </w:t>
      </w:r>
      <w:r w:rsidRPr="00A26E9F">
        <w:rPr>
          <w:rFonts w:ascii="Palatino Linotype" w:eastAsia="Palatino Linotype" w:hAnsi="Palatino Linotype" w:cs="Palatino Linotype"/>
          <w:sz w:val="22"/>
          <w:szCs w:val="22"/>
        </w:rPr>
        <w:t xml:space="preserve">El </w:t>
      </w:r>
      <w:r w:rsidRPr="00A26E9F">
        <w:rPr>
          <w:rFonts w:ascii="Palatino Linotype" w:eastAsia="Palatino Linotype" w:hAnsi="Palatino Linotype" w:cs="Palatino Linotype"/>
          <w:b/>
          <w:sz w:val="22"/>
          <w:szCs w:val="22"/>
        </w:rPr>
        <w:t>siete de marzo de dos mil veinticinco</w:t>
      </w:r>
      <w:r w:rsidRPr="00A26E9F">
        <w:rPr>
          <w:rFonts w:ascii="Palatino Linotype" w:eastAsia="Palatino Linotype" w:hAnsi="Palatino Linotype" w:cs="Palatino Linotype"/>
          <w:sz w:val="22"/>
          <w:szCs w:val="22"/>
        </w:rPr>
        <w:t xml:space="preserve">,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envió su respuesta a la solicitud de acceso a la información, sustancialmente en los términos siguientes:</w:t>
      </w:r>
    </w:p>
    <w:p w14:paraId="7E4B4E8B" w14:textId="77777777" w:rsidR="00595180" w:rsidRPr="00A26E9F" w:rsidRDefault="002463AB">
      <w:pPr>
        <w:spacing w:before="240" w:after="240"/>
        <w:ind w:left="567" w:right="902"/>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“En atención a su solicitud de información pública con número de folio 00015/CCLEM/IP/2025, de fecha 25 de febrero del año en curso, presentada por usted a través del Sistema de Acceso a la Información Mexiquense (SAIMEX), me permito informar a Usted que concluido el análisis a su petición y después de una búsqueda exhaustiva en los archivos que obran en este Centro de Conciliación Laboral del Estado de México, con fundamento en lo dispuesto por el artículo 12 y </w:t>
      </w:r>
      <w:r w:rsidRPr="00A26E9F">
        <w:rPr>
          <w:rFonts w:ascii="Palatino Linotype" w:eastAsia="Palatino Linotype" w:hAnsi="Palatino Linotype" w:cs="Palatino Linotype"/>
          <w:i/>
          <w:sz w:val="22"/>
          <w:szCs w:val="22"/>
        </w:rPr>
        <w:lastRenderedPageBreak/>
        <w:t xml:space="preserve">53 fracciones II, V y VI de la Ley de Transparencia y Acceso a la Información Pública del Estado de México y Municipios, y a efecto de dar atención a su solicitud de información, me permito hacer de su conocimiento que mediante oficio 209C0201000100S-0502/2025 de fecha 07 de marzo del año en curso, la Servidora Pública Habilitada de la Unidad de Apoyo Administrativo del Centro de Conciliación Laboral del Estado de México, otorga contestación a su solicitud de información, mismo que se anexa al presente. (Anexo 1) De conformidad con el artículo 176 de la Ley de Transparencia y Acceso a la Información Pública del Estado de México y Municipios, se hace de su conocimiento que tiene usted derecho a promover recurso de revisión en un lapso de 15 días hábiles, a partir de la notificación de esta respuesta. Asimismo, </w:t>
      </w:r>
      <w:r w:rsidRPr="00A26E9F">
        <w:rPr>
          <w:rFonts w:ascii="Palatino Linotype" w:eastAsia="Palatino Linotype" w:hAnsi="Palatino Linotype" w:cs="Palatino Linotype"/>
          <w:b/>
          <w:i/>
          <w:sz w:val="22"/>
          <w:szCs w:val="22"/>
          <w:u w:val="single"/>
        </w:rPr>
        <w:t>se adjuntan los enlaces electrónicos que forman parte de la respuesta y que contienen la información de su interés. https://cclaboral.edomex.gob.mx/sites/cclaboral.edomex.gob.mx/files/files/transparencia/Cuadro%20General%20de%20Clasificaci%C3%B3n%202024%20Validaci%C3%B3n.pdf https://agemex.edomex.gob.mx/</w:t>
      </w:r>
      <w:r w:rsidRPr="00A26E9F">
        <w:rPr>
          <w:rFonts w:ascii="Palatino Linotype" w:eastAsia="Palatino Linotype" w:hAnsi="Palatino Linotype" w:cs="Palatino Linotype"/>
          <w:i/>
          <w:sz w:val="22"/>
          <w:szCs w:val="22"/>
        </w:rPr>
        <w:t>” (Sic)</w:t>
      </w:r>
    </w:p>
    <w:p w14:paraId="2A1120F6"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Adjunto a la respuesta,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entregó un archivo electrónico que contiene la información siguiente:</w:t>
      </w:r>
    </w:p>
    <w:p w14:paraId="6E2A3795" w14:textId="77777777" w:rsidR="00595180" w:rsidRPr="00A26E9F" w:rsidRDefault="002463AB">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Oficio del 07 de marzo de 2025, a través del cual la Titular de la UIPPE, hizo del conocimiento de la persona solicitante que, después de una búsqueda exhaustiva en los archivos que obran en este Centro de Conciliación Laboral del Estado de México, se remite la respuesta de la Servidora Pública Habilitada de la Unidad de Apoyo Administrativo.</w:t>
      </w:r>
    </w:p>
    <w:p w14:paraId="64A35480" w14:textId="77777777" w:rsidR="00595180" w:rsidRPr="00A26E9F" w:rsidRDefault="00595180">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8ED98A0" w14:textId="77777777" w:rsidR="00595180" w:rsidRPr="00A26E9F" w:rsidRDefault="002463AB">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Oficio del 07 de marzo de 2025, a través de la cual la </w:t>
      </w:r>
      <w:proofErr w:type="gramStart"/>
      <w:r w:rsidRPr="00A26E9F">
        <w:rPr>
          <w:rFonts w:ascii="Palatino Linotype" w:eastAsia="Palatino Linotype" w:hAnsi="Palatino Linotype" w:cs="Palatino Linotype"/>
          <w:sz w:val="22"/>
          <w:szCs w:val="22"/>
        </w:rPr>
        <w:t>Jefa</w:t>
      </w:r>
      <w:proofErr w:type="gramEnd"/>
      <w:r w:rsidRPr="00A26E9F">
        <w:rPr>
          <w:rFonts w:ascii="Palatino Linotype" w:eastAsia="Palatino Linotype" w:hAnsi="Palatino Linotype" w:cs="Palatino Linotype"/>
          <w:sz w:val="22"/>
          <w:szCs w:val="22"/>
        </w:rPr>
        <w:t xml:space="preserve"> de Apoyo Administrativo informó al Titular de la UIPPE que con relación a la solicitud de información, se proporcionaba lo siguiente:</w:t>
      </w:r>
    </w:p>
    <w:p w14:paraId="7E052210" w14:textId="77777777" w:rsidR="00595180" w:rsidRPr="00A26E9F" w:rsidRDefault="00595180">
      <w:pPr>
        <w:pBdr>
          <w:top w:val="nil"/>
          <w:left w:val="nil"/>
          <w:bottom w:val="nil"/>
          <w:right w:val="nil"/>
          <w:between w:val="nil"/>
        </w:pBdr>
        <w:ind w:left="720"/>
        <w:rPr>
          <w:rFonts w:ascii="Palatino Linotype" w:eastAsia="Palatino Linotype" w:hAnsi="Palatino Linotype" w:cs="Palatino Linotype"/>
          <w:sz w:val="22"/>
          <w:szCs w:val="22"/>
        </w:rPr>
      </w:pPr>
    </w:p>
    <w:p w14:paraId="25F8CE41" w14:textId="77777777" w:rsidR="00595180" w:rsidRPr="00A26E9F" w:rsidRDefault="002463A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Clasificación Archivística</w:t>
      </w:r>
      <w:r w:rsidRPr="00A26E9F">
        <w:rPr>
          <w:rFonts w:ascii="Palatino Linotype" w:eastAsia="Palatino Linotype" w:hAnsi="Palatino Linotype" w:cs="Palatino Linotype"/>
          <w:b/>
          <w:sz w:val="22"/>
          <w:szCs w:val="22"/>
        </w:rPr>
        <w:t>:</w:t>
      </w:r>
      <w:r w:rsidRPr="00A26E9F">
        <w:rPr>
          <w:rFonts w:ascii="Palatino Linotype" w:eastAsia="Palatino Linotype" w:hAnsi="Palatino Linotype" w:cs="Palatino Linotype"/>
          <w:sz w:val="22"/>
          <w:szCs w:val="22"/>
        </w:rPr>
        <w:t xml:space="preserve"> En respuesta, la Ley de Archivos y Administración de Documentos del Estado de México y Municipios, establece la elaboración del </w:t>
      </w:r>
      <w:r w:rsidRPr="00A26E9F">
        <w:rPr>
          <w:rFonts w:ascii="Palatino Linotype" w:eastAsia="Palatino Linotype" w:hAnsi="Palatino Linotype" w:cs="Palatino Linotype"/>
          <w:b/>
          <w:sz w:val="22"/>
          <w:szCs w:val="22"/>
        </w:rPr>
        <w:t>Cuadro General de Clasificación Archivística</w:t>
      </w:r>
      <w:r w:rsidRPr="00A26E9F">
        <w:rPr>
          <w:rFonts w:ascii="Palatino Linotype" w:eastAsia="Palatino Linotype" w:hAnsi="Palatino Linotype" w:cs="Palatino Linotype"/>
          <w:sz w:val="22"/>
          <w:szCs w:val="22"/>
        </w:rPr>
        <w:t>, con el cual se informa que ya se cuenta y está debidamente aprobado y publicado en la página oficial de ese Organismo, proporcionando los pasos e imágenes para su consulta:</w:t>
      </w:r>
    </w:p>
    <w:p w14:paraId="550D52A1" w14:textId="77777777" w:rsidR="00595180" w:rsidRPr="00A26E9F" w:rsidRDefault="00595180">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7B27BB1C" w14:textId="77777777" w:rsidR="00595180" w:rsidRPr="00A26E9F" w:rsidRDefault="002463AB">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el buscador ingresar a la página oficial del Centro de Conciliación.</w:t>
      </w:r>
    </w:p>
    <w:p w14:paraId="3E420C18" w14:textId="77777777" w:rsidR="00595180" w:rsidRPr="00A26E9F" w:rsidRDefault="002463AB">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Una vez dentro de la página ubicar el apartado de transparencia y dar clic en el mismo.</w:t>
      </w:r>
    </w:p>
    <w:p w14:paraId="06D6D65B" w14:textId="77777777" w:rsidR="00595180" w:rsidRPr="00A26E9F" w:rsidRDefault="002463AB">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roofErr w:type="gramStart"/>
      <w:r w:rsidRPr="00A26E9F">
        <w:rPr>
          <w:rFonts w:ascii="Palatino Linotype" w:eastAsia="Palatino Linotype" w:hAnsi="Palatino Linotype" w:cs="Palatino Linotype"/>
          <w:sz w:val="22"/>
          <w:szCs w:val="22"/>
        </w:rPr>
        <w:t xml:space="preserve">El portal desplazará una serie de apartados donde tenemos que ubicar el </w:t>
      </w:r>
      <w:proofErr w:type="spellStart"/>
      <w:r w:rsidRPr="00A26E9F">
        <w:rPr>
          <w:rFonts w:ascii="Palatino Linotype" w:eastAsia="Palatino Linotype" w:hAnsi="Palatino Linotype" w:cs="Palatino Linotype"/>
          <w:sz w:val="22"/>
          <w:szCs w:val="22"/>
        </w:rPr>
        <w:t>oe</w:t>
      </w:r>
      <w:proofErr w:type="spellEnd"/>
      <w:r w:rsidRPr="00A26E9F">
        <w:rPr>
          <w:rFonts w:ascii="Palatino Linotype" w:eastAsia="Palatino Linotype" w:hAnsi="Palatino Linotype" w:cs="Palatino Linotype"/>
          <w:sz w:val="22"/>
          <w:szCs w:val="22"/>
        </w:rPr>
        <w:t xml:space="preserve"> nombre “Archivo’ en donde encontrará el enlacé que muestra el Cuadro Genera!</w:t>
      </w:r>
      <w:proofErr w:type="gramEnd"/>
      <w:r w:rsidRPr="00A26E9F">
        <w:rPr>
          <w:rFonts w:ascii="Palatino Linotype" w:eastAsia="Palatino Linotype" w:hAnsi="Palatino Linotype" w:cs="Palatino Linotype"/>
          <w:sz w:val="22"/>
          <w:szCs w:val="22"/>
        </w:rPr>
        <w:t xml:space="preserve"> De Clasificación Archivística.</w:t>
      </w:r>
    </w:p>
    <w:p w14:paraId="7AEA082B" w14:textId="77777777" w:rsidR="00595180" w:rsidRPr="00A26E9F" w:rsidRDefault="00595180">
      <w:pPr>
        <w:pBdr>
          <w:top w:val="nil"/>
          <w:left w:val="nil"/>
          <w:bottom w:val="nil"/>
          <w:right w:val="nil"/>
          <w:between w:val="nil"/>
        </w:pBdr>
        <w:spacing w:line="276" w:lineRule="auto"/>
        <w:ind w:left="1080" w:right="49"/>
        <w:jc w:val="both"/>
        <w:rPr>
          <w:rFonts w:ascii="Palatino Linotype" w:eastAsia="Palatino Linotype" w:hAnsi="Palatino Linotype" w:cs="Palatino Linotype"/>
          <w:sz w:val="22"/>
          <w:szCs w:val="22"/>
        </w:rPr>
      </w:pPr>
    </w:p>
    <w:p w14:paraId="7F4852C7" w14:textId="77777777" w:rsidR="00595180" w:rsidRPr="00A26E9F" w:rsidRDefault="002463A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Archivo de Concentración</w:t>
      </w:r>
      <w:r w:rsidRPr="00A26E9F">
        <w:rPr>
          <w:rFonts w:ascii="Palatino Linotype" w:eastAsia="Palatino Linotype" w:hAnsi="Palatino Linotype" w:cs="Palatino Linotype"/>
          <w:sz w:val="22"/>
          <w:szCs w:val="22"/>
        </w:rPr>
        <w:t xml:space="preserve">: El Artículo 22 de la Ley General de Archivos nos dice que: Los sujetos obligados podrán coordinarse para establecer archivos de concentración o históricos comunes, en los términos que establezcan las disposiciones jurídicas aplicables. </w:t>
      </w:r>
    </w:p>
    <w:p w14:paraId="149C918F" w14:textId="77777777" w:rsidR="00595180" w:rsidRPr="00A26E9F" w:rsidRDefault="00595180">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5588D8C4" w14:textId="77777777" w:rsidR="00595180" w:rsidRPr="00A26E9F" w:rsidRDefault="002463AB">
      <w:pPr>
        <w:pBdr>
          <w:top w:val="nil"/>
          <w:left w:val="nil"/>
          <w:bottom w:val="nil"/>
          <w:right w:val="nil"/>
          <w:between w:val="nil"/>
        </w:pBdr>
        <w:spacing w:line="276" w:lineRule="auto"/>
        <w:ind w:left="720" w:right="49"/>
        <w:jc w:val="both"/>
        <w:rPr>
          <w:rFonts w:ascii="Palatino Linotype" w:eastAsia="Palatino Linotype" w:hAnsi="Palatino Linotype" w:cs="Palatino Linotype"/>
          <w:b/>
          <w:sz w:val="22"/>
          <w:szCs w:val="22"/>
          <w:u w:val="single"/>
        </w:rPr>
      </w:pPr>
      <w:r w:rsidRPr="00A26E9F">
        <w:rPr>
          <w:rFonts w:ascii="Palatino Linotype" w:eastAsia="Palatino Linotype" w:hAnsi="Palatino Linotype" w:cs="Palatino Linotype"/>
          <w:sz w:val="22"/>
          <w:szCs w:val="22"/>
        </w:rPr>
        <w:t xml:space="preserve">El convenio o instrumento que dé origen a la coordinación referida en el párrafo anterior, deberá identificar a los responsables de la administración de los archivos. Los sujetos obligados que cuenten con oficinas regionales podrán habilitar unidades de resguardo del archivo de concentración regional, </w:t>
      </w:r>
      <w:r w:rsidRPr="00A26E9F">
        <w:rPr>
          <w:rFonts w:ascii="Palatino Linotype" w:eastAsia="Palatino Linotype" w:hAnsi="Palatino Linotype" w:cs="Palatino Linotype"/>
          <w:b/>
          <w:sz w:val="22"/>
          <w:szCs w:val="22"/>
          <w:u w:val="single"/>
        </w:rPr>
        <w:t>y por ello se indica que esa Área coordinadora de archivos actualmente está haciendo las gestiones y procedimientos correspondientes para la creación del Archivo de Concentración.</w:t>
      </w:r>
    </w:p>
    <w:p w14:paraId="7DF0AB6B" w14:textId="77777777" w:rsidR="00595180" w:rsidRPr="00A26E9F" w:rsidRDefault="00595180">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14ED2E5F" w14:textId="77777777" w:rsidR="00595180" w:rsidRPr="00A26E9F" w:rsidRDefault="002463A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Supervisión de Gestión Documental</w:t>
      </w:r>
      <w:r w:rsidRPr="00A26E9F">
        <w:rPr>
          <w:rFonts w:ascii="Palatino Linotype" w:eastAsia="Palatino Linotype" w:hAnsi="Palatino Linotype" w:cs="Palatino Linotype"/>
          <w:b/>
          <w:sz w:val="22"/>
          <w:szCs w:val="22"/>
        </w:rPr>
        <w:t>:</w:t>
      </w:r>
      <w:r w:rsidRPr="00A26E9F">
        <w:rPr>
          <w:rFonts w:ascii="Palatino Linotype" w:eastAsia="Palatino Linotype" w:hAnsi="Palatino Linotype" w:cs="Palatino Linotype"/>
          <w:sz w:val="22"/>
          <w:szCs w:val="22"/>
        </w:rPr>
        <w:t xml:space="preserve"> Se indica que se anexa copia del Acta de </w:t>
      </w:r>
      <w:proofErr w:type="gramStart"/>
      <w:r w:rsidRPr="00A26E9F">
        <w:rPr>
          <w:rFonts w:ascii="Palatino Linotype" w:eastAsia="Palatino Linotype" w:hAnsi="Palatino Linotype" w:cs="Palatino Linotype"/>
          <w:sz w:val="22"/>
          <w:szCs w:val="22"/>
        </w:rPr>
        <w:t>la  Primera</w:t>
      </w:r>
      <w:proofErr w:type="gramEnd"/>
      <w:r w:rsidRPr="00A26E9F">
        <w:rPr>
          <w:rFonts w:ascii="Palatino Linotype" w:eastAsia="Palatino Linotype" w:hAnsi="Palatino Linotype" w:cs="Palatino Linotype"/>
          <w:sz w:val="22"/>
          <w:szCs w:val="22"/>
        </w:rPr>
        <w:t xml:space="preserve"> Sesión Ordinaria del Grupo Interdisciplinario de Archivo del CCLEM, el cual se encarga de la supervisión y cumplimiento de las actividades en materia de gestión archivística.</w:t>
      </w:r>
    </w:p>
    <w:p w14:paraId="6A18A7C9" w14:textId="77777777" w:rsidR="00595180" w:rsidRPr="00A26E9F" w:rsidRDefault="00595180">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4EE9A97A" w14:textId="77777777" w:rsidR="00595180" w:rsidRPr="00A26E9F" w:rsidRDefault="002463A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Inventarios Documentales:</w:t>
      </w:r>
      <w:r w:rsidRPr="00A26E9F">
        <w:rPr>
          <w:rFonts w:ascii="Palatino Linotype" w:eastAsia="Palatino Linotype" w:hAnsi="Palatino Linotype" w:cs="Palatino Linotype"/>
          <w:sz w:val="22"/>
          <w:szCs w:val="22"/>
        </w:rPr>
        <w:t xml:space="preserve"> Derivado de los trabajos que se están gestionando para la creación del Archivo de Concentración aún no se cuenta con los inventarios documentales correspondientes y por ende los expedientes continúan al resguardo de las áreas productoras de la información.</w:t>
      </w:r>
    </w:p>
    <w:p w14:paraId="751796E4" w14:textId="77777777" w:rsidR="00595180" w:rsidRPr="00A26E9F" w:rsidRDefault="00595180">
      <w:pPr>
        <w:pBdr>
          <w:top w:val="nil"/>
          <w:left w:val="nil"/>
          <w:bottom w:val="nil"/>
          <w:right w:val="nil"/>
          <w:between w:val="nil"/>
        </w:pBdr>
        <w:ind w:left="720"/>
        <w:rPr>
          <w:rFonts w:ascii="Palatino Linotype" w:eastAsia="Palatino Linotype" w:hAnsi="Palatino Linotype" w:cs="Palatino Linotype"/>
          <w:sz w:val="22"/>
          <w:szCs w:val="22"/>
        </w:rPr>
      </w:pPr>
    </w:p>
    <w:p w14:paraId="2504A669" w14:textId="77777777" w:rsidR="00595180" w:rsidRPr="00A26E9F" w:rsidRDefault="002463A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Expedientes concentrados por año y sede:</w:t>
      </w:r>
      <w:r w:rsidRPr="00A26E9F">
        <w:rPr>
          <w:rFonts w:ascii="Palatino Linotype" w:eastAsia="Palatino Linotype" w:hAnsi="Palatino Linotype" w:cs="Palatino Linotype"/>
          <w:sz w:val="22"/>
          <w:szCs w:val="22"/>
        </w:rPr>
        <w:t xml:space="preserve"> Al no existir archivo de concentración no se tiene la certeza del número exacto de expedientes que se prevé concentrar de los años que anteceden.</w:t>
      </w:r>
    </w:p>
    <w:p w14:paraId="3E70CE1B" w14:textId="77777777" w:rsidR="00595180" w:rsidRPr="00A26E9F" w:rsidRDefault="00595180">
      <w:pPr>
        <w:pBdr>
          <w:top w:val="nil"/>
          <w:left w:val="nil"/>
          <w:bottom w:val="nil"/>
          <w:right w:val="nil"/>
          <w:between w:val="nil"/>
        </w:pBdr>
        <w:ind w:left="720"/>
        <w:rPr>
          <w:rFonts w:ascii="Palatino Linotype" w:eastAsia="Palatino Linotype" w:hAnsi="Palatino Linotype" w:cs="Palatino Linotype"/>
          <w:sz w:val="22"/>
          <w:szCs w:val="22"/>
        </w:rPr>
      </w:pPr>
    </w:p>
    <w:p w14:paraId="089FB1FC" w14:textId="77777777" w:rsidR="00595180" w:rsidRPr="00A26E9F" w:rsidRDefault="002463A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Plazo para archivo de concentración</w:t>
      </w:r>
      <w:r w:rsidRPr="00A26E9F">
        <w:rPr>
          <w:rFonts w:ascii="Palatino Linotype" w:eastAsia="Palatino Linotype" w:hAnsi="Palatino Linotype" w:cs="Palatino Linotype"/>
          <w:b/>
          <w:sz w:val="22"/>
          <w:szCs w:val="22"/>
        </w:rPr>
        <w:t>:</w:t>
      </w:r>
      <w:r w:rsidRPr="00A26E9F">
        <w:rPr>
          <w:rFonts w:ascii="Palatino Linotype" w:eastAsia="Palatino Linotype" w:hAnsi="Palatino Linotype" w:cs="Palatino Linotype"/>
          <w:sz w:val="22"/>
          <w:szCs w:val="22"/>
        </w:rPr>
        <w:t xml:space="preserve"> Se indica que, la Ley de Archivos y Administración de Documentos del Estado de México y Municipios puntualiza la </w:t>
      </w:r>
      <w:r w:rsidRPr="00A26E9F">
        <w:rPr>
          <w:rFonts w:ascii="Palatino Linotype" w:eastAsia="Palatino Linotype" w:hAnsi="Palatino Linotype" w:cs="Palatino Linotype"/>
          <w:sz w:val="22"/>
          <w:szCs w:val="22"/>
        </w:rPr>
        <w:lastRenderedPageBreak/>
        <w:t>creación de un Archivo de Concentración dentro de cada Organismo, y que por cuanto hace al plazo para la conservación de documentos en archivos de concentración depende de la vigencia documental, el término precautorio, el periodo de reserva y otros periodos adicionales; y, por ello se indica que se anexa el link de los CRITERIOS TECNICOS QUE DEBERAN OBSERVAR LAS DEPENDENCIAS Y ORGANISMOS AUXILIARES DE LA ADMINISTRACIÓN PÚBLICA ESTATAL PAPA LA ELABORACIÓN, ACTUALIZACIÓN, REGISTRO Y VALIDACIÓN DEL CATÁLOGO DE DISPOSICIÓN DOCUMENTAL”, los cuales especifican la vigencia documental de los expedientes, proporcionando los pasos e imágenes para su consulta:</w:t>
      </w:r>
    </w:p>
    <w:p w14:paraId="717BD1A8" w14:textId="77777777" w:rsidR="00595180" w:rsidRPr="00A26E9F" w:rsidRDefault="00595180">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36271451" w14:textId="77777777" w:rsidR="00595180" w:rsidRPr="00A26E9F" w:rsidRDefault="002463AB">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el buscador ingresar a la página oficial del Archivo General del Estado de México.</w:t>
      </w:r>
    </w:p>
    <w:p w14:paraId="14432BB0" w14:textId="77777777" w:rsidR="00595180" w:rsidRPr="00A26E9F" w:rsidRDefault="002463AB">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el carrusel de noticias buscar los criterios antes mencionados y dar clic en el recuadro.</w:t>
      </w:r>
    </w:p>
    <w:p w14:paraId="6FEFC49E" w14:textId="77777777" w:rsidR="00595180" w:rsidRPr="00A26E9F" w:rsidRDefault="00595180">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5C56DEC1" w14:textId="77777777" w:rsidR="00595180" w:rsidRPr="00A26E9F" w:rsidRDefault="002463AB">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Acta de la primera sesión ordinaria 2024 del Grupo Interdisciplinario del Centro de Conciliación Laboral del Estado de México, del 12 de marzo de 2024, a través de la cual, entre otras cuestiones, se llevó a cabo la presentación de los nuevos integrantes del Grupo Interdisciplinario, así como la actualización del acta de integrantes de dicho grupo:</w:t>
      </w:r>
    </w:p>
    <w:p w14:paraId="0BAC679C" w14:textId="77777777" w:rsidR="00595180" w:rsidRPr="00A26E9F" w:rsidRDefault="00595180">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700F88D0" w14:textId="77777777" w:rsidR="00595180" w:rsidRPr="00A26E9F" w:rsidRDefault="002463A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noProof/>
          <w:sz w:val="22"/>
          <w:szCs w:val="22"/>
        </w:rPr>
        <w:drawing>
          <wp:inline distT="0" distB="0" distL="0" distR="0" wp14:anchorId="68C8A886" wp14:editId="74F60AE5">
            <wp:extent cx="5257800" cy="223837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57800" cy="2238375"/>
                    </a:xfrm>
                    <a:prstGeom prst="rect">
                      <a:avLst/>
                    </a:prstGeom>
                    <a:ln/>
                  </pic:spPr>
                </pic:pic>
              </a:graphicData>
            </a:graphic>
          </wp:inline>
        </w:drawing>
      </w:r>
    </w:p>
    <w:p w14:paraId="1F0075CC" w14:textId="77777777" w:rsidR="00595180" w:rsidRPr="00A26E9F" w:rsidRDefault="00595180">
      <w:pPr>
        <w:pBdr>
          <w:top w:val="nil"/>
          <w:left w:val="nil"/>
          <w:bottom w:val="nil"/>
          <w:right w:val="nil"/>
          <w:between w:val="nil"/>
        </w:pBdr>
        <w:spacing w:line="276" w:lineRule="auto"/>
        <w:ind w:left="360" w:right="49"/>
        <w:jc w:val="both"/>
        <w:rPr>
          <w:rFonts w:ascii="Palatino Linotype" w:eastAsia="Palatino Linotype" w:hAnsi="Palatino Linotype" w:cs="Palatino Linotype"/>
          <w:b/>
          <w:sz w:val="22"/>
          <w:szCs w:val="22"/>
        </w:rPr>
      </w:pPr>
    </w:p>
    <w:p w14:paraId="6FB3CBAD"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lastRenderedPageBreak/>
        <w:t xml:space="preserve">3. Interposición del recurso de revisión. </w:t>
      </w:r>
      <w:r w:rsidRPr="00A26E9F">
        <w:rPr>
          <w:rFonts w:ascii="Palatino Linotype" w:eastAsia="Palatino Linotype" w:hAnsi="Palatino Linotype" w:cs="Palatino Linotype"/>
          <w:sz w:val="22"/>
          <w:szCs w:val="22"/>
        </w:rPr>
        <w:t xml:space="preserve">Inconforme con los términos de la respuesta emitida por parte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el</w:t>
      </w:r>
      <w:r w:rsidRPr="00A26E9F">
        <w:rPr>
          <w:rFonts w:ascii="Palatino Linotype" w:eastAsia="Palatino Linotype" w:hAnsi="Palatino Linotype" w:cs="Palatino Linotype"/>
          <w:b/>
          <w:sz w:val="22"/>
          <w:szCs w:val="22"/>
        </w:rPr>
        <w:t xml:space="preserve"> dieciocho de marzo de dos mil veinticinco,</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la parte</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interpuso el recurso de revisión a través de </w:t>
      </w:r>
      <w:r w:rsidRPr="00A26E9F">
        <w:rPr>
          <w:rFonts w:ascii="Palatino Linotype" w:eastAsia="Palatino Linotype" w:hAnsi="Palatino Linotype" w:cs="Palatino Linotype"/>
          <w:b/>
          <w:sz w:val="22"/>
          <w:szCs w:val="22"/>
        </w:rPr>
        <w:t xml:space="preserve">SAIMEX, </w:t>
      </w:r>
      <w:r w:rsidRPr="00A26E9F">
        <w:rPr>
          <w:rFonts w:ascii="Palatino Linotype" w:eastAsia="Palatino Linotype" w:hAnsi="Palatino Linotype" w:cs="Palatino Linotype"/>
          <w:sz w:val="22"/>
          <w:szCs w:val="22"/>
        </w:rPr>
        <w:t>en donde se manifestó de la siguiente manera:</w:t>
      </w:r>
    </w:p>
    <w:p w14:paraId="5F99B15E" w14:textId="77777777" w:rsidR="00595180" w:rsidRPr="00A26E9F" w:rsidRDefault="002463AB">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 xml:space="preserve">a) Acto impugnado: </w:t>
      </w:r>
      <w:r w:rsidRPr="00A26E9F">
        <w:rPr>
          <w:rFonts w:ascii="Palatino Linotype" w:eastAsia="Palatino Linotype" w:hAnsi="Palatino Linotype" w:cs="Palatino Linotype"/>
          <w:i/>
          <w:sz w:val="22"/>
          <w:szCs w:val="22"/>
        </w:rPr>
        <w:t xml:space="preserve">“ASUNTO: RECURSO DE REVISIÓN TOCUCA, ESTADO DE MÉXICO, A [FECHA] LIC. MARCO ANTONIO HERNÁNDEZ REYESTITULAR DE LA UNIDAD DE INFORMACIÓN, PLANEACIÓN, PROGRAMACIÓN Y EVALUACIÓNDEL CENTRO DE CONCILIACIÓN LABORAL DEL ESTADO DE MÉXICOPRESENTE FOLIO DE SOLICITUD DE INFORMACIÓN: 00015/CCLEM/IP/2025FOLIO DE RESPUESTA: 209C0201000200S/T037/2025 Por medio del presente escrito y con fundamento en los artículos 176, 177, 178 y demás relativos de la Ley de Transparencia y Acceso a la Información Pública del Estado de México y Municipios, interpongo RECURSO DE REVISIÓN en contra de la respuesta emitida por la Unidad de Información, Planeación, Programación y Evaluación del Centro de Conciliación Laboral del Estado de México, </w:t>
      </w:r>
      <w:r w:rsidRPr="00A26E9F">
        <w:rPr>
          <w:rFonts w:ascii="Palatino Linotype" w:eastAsia="Palatino Linotype" w:hAnsi="Palatino Linotype" w:cs="Palatino Linotype"/>
          <w:b/>
          <w:i/>
          <w:sz w:val="22"/>
          <w:szCs w:val="22"/>
          <w:u w:val="single"/>
        </w:rPr>
        <w:t>toda vez que la información proporcionada es insuficiente, incongruente y omite responder de manera clara y completa a la solicitud realizada.</w:t>
      </w:r>
      <w:r w:rsidRPr="00A26E9F">
        <w:rPr>
          <w:rFonts w:ascii="Palatino Linotype" w:eastAsia="Palatino Linotype" w:hAnsi="Palatino Linotype" w:cs="Palatino Linotype"/>
          <w:i/>
          <w:sz w:val="22"/>
          <w:szCs w:val="22"/>
        </w:rPr>
        <w:t xml:space="preserve"> ANTECEDENTES Con fecha 25 de febrero de 2025, presenté solicitud de información con folio 00015/CCLEM/IP/2025, en la cual solicito: Clasificación Archivística: Confirmación de la existencia del Cuadro General de Clasificación Archivística y copia del instrumento normativo. Archivo de Concentración: Ubicación de los archivos de concentración y lineamientos. Supervisión de Gestión Documental: Evidencia documental sobre los mecanismos de supervisión. Inventarios Documentales: Copias de los inventarios documentales de 2020, 2021 y 2022. Expedientes Concentrados por Año y Sede: Datos desglosados por sede. Plazo para Archivo de Concentración: Normativa aplicable y lineamientos internos. Con fecha 07 de marzo de 2025, se me notificó la respuesta mediante el oficio 209C0201000200S/T037/2025, en la cual se menciona: </w:t>
      </w:r>
      <w:r w:rsidRPr="00A26E9F">
        <w:rPr>
          <w:rFonts w:ascii="Palatino Linotype" w:eastAsia="Palatino Linotype" w:hAnsi="Palatino Linotype" w:cs="Palatino Linotype"/>
          <w:i/>
          <w:sz w:val="22"/>
          <w:szCs w:val="22"/>
          <w:u w:val="single"/>
        </w:rPr>
        <w:t>Se cuenta con un Cuadro General de Clasificación Archivística, pero no se proporciona el documento solicitado.</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i/>
          <w:sz w:val="22"/>
          <w:szCs w:val="22"/>
          <w:u w:val="single"/>
        </w:rPr>
        <w:t>No existe archivo de concentración consolidado, por lo que no se entrega información sobre su ubicación o lineamientos.</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i/>
          <w:sz w:val="22"/>
          <w:szCs w:val="22"/>
          <w:u w:val="single"/>
        </w:rPr>
        <w:t>Se anexa un acta de sesión que no responde de manera clara a los mecanismos de supervisión documental.</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i/>
          <w:sz w:val="22"/>
          <w:szCs w:val="22"/>
          <w:u w:val="single"/>
        </w:rPr>
        <w:t xml:space="preserve">No se </w:t>
      </w:r>
      <w:r w:rsidRPr="00A26E9F">
        <w:rPr>
          <w:rFonts w:ascii="Palatino Linotype" w:eastAsia="Palatino Linotype" w:hAnsi="Palatino Linotype" w:cs="Palatino Linotype"/>
          <w:i/>
          <w:sz w:val="22"/>
          <w:szCs w:val="22"/>
          <w:u w:val="single"/>
        </w:rPr>
        <w:lastRenderedPageBreak/>
        <w:t>entregan los inventarios documentales, argumentando que no existen.</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i/>
          <w:sz w:val="22"/>
          <w:szCs w:val="22"/>
          <w:u w:val="single"/>
        </w:rPr>
        <w:t>No se responde de manera precisa a la solicitud de expedientes concentrados por año y sede.</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i/>
          <w:sz w:val="22"/>
          <w:szCs w:val="22"/>
          <w:u w:val="single"/>
        </w:rPr>
        <w:t>Se mencionan criterios técnicos sobre el archivo de concentración, pero no se entregan lineamientos internos.</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b/>
          <w:i/>
          <w:sz w:val="22"/>
          <w:szCs w:val="22"/>
        </w:rPr>
        <w:t>AGRAVIOS INCOMPLETITUD DE LA RESPUESTA:</w:t>
      </w:r>
      <w:r w:rsidRPr="00A26E9F">
        <w:rPr>
          <w:rFonts w:ascii="Palatino Linotype" w:eastAsia="Palatino Linotype" w:hAnsi="Palatino Linotype" w:cs="Palatino Linotype"/>
          <w:i/>
          <w:sz w:val="22"/>
          <w:szCs w:val="22"/>
        </w:rPr>
        <w:t xml:space="preserve"> La información proporcionada no satisface la solicitud, pues se menciona la existencia de </w:t>
      </w:r>
      <w:proofErr w:type="gramStart"/>
      <w:r w:rsidRPr="00A26E9F">
        <w:rPr>
          <w:rFonts w:ascii="Palatino Linotype" w:eastAsia="Palatino Linotype" w:hAnsi="Palatino Linotype" w:cs="Palatino Linotype"/>
          <w:i/>
          <w:sz w:val="22"/>
          <w:szCs w:val="22"/>
        </w:rPr>
        <w:t>documentos</w:t>
      </w:r>
      <w:proofErr w:type="gramEnd"/>
      <w:r w:rsidRPr="00A26E9F">
        <w:rPr>
          <w:rFonts w:ascii="Palatino Linotype" w:eastAsia="Palatino Linotype" w:hAnsi="Palatino Linotype" w:cs="Palatino Linotype"/>
          <w:i/>
          <w:sz w:val="22"/>
          <w:szCs w:val="22"/>
        </w:rPr>
        <w:t xml:space="preserve"> pero no se entregan copias, incumpliendo lo dispuesto en el artículo 12 de la Ley de Transparencia. </w:t>
      </w:r>
      <w:r w:rsidRPr="00A26E9F">
        <w:rPr>
          <w:rFonts w:ascii="Palatino Linotype" w:eastAsia="Palatino Linotype" w:hAnsi="Palatino Linotype" w:cs="Palatino Linotype"/>
          <w:b/>
          <w:i/>
          <w:sz w:val="22"/>
          <w:szCs w:val="22"/>
        </w:rPr>
        <w:t>NEGATIVA INJUSTIFICADA:</w:t>
      </w:r>
      <w:r w:rsidRPr="00A26E9F">
        <w:rPr>
          <w:rFonts w:ascii="Palatino Linotype" w:eastAsia="Palatino Linotype" w:hAnsi="Palatino Linotype" w:cs="Palatino Linotype"/>
          <w:i/>
          <w:sz w:val="22"/>
          <w:szCs w:val="22"/>
        </w:rPr>
        <w:t xml:space="preserve"> Se niega la información sobre los inventarios documentales bajo el argumento de que "aún no se cuenta con ellos", sin justificar adecuadamente la inexistencia conforme a la normatividad aplicable. </w:t>
      </w:r>
      <w:r w:rsidRPr="00A26E9F">
        <w:rPr>
          <w:rFonts w:ascii="Palatino Linotype" w:eastAsia="Palatino Linotype" w:hAnsi="Palatino Linotype" w:cs="Palatino Linotype"/>
          <w:b/>
          <w:i/>
          <w:sz w:val="22"/>
          <w:szCs w:val="22"/>
        </w:rPr>
        <w:t xml:space="preserve">FALTA DE CLARIDAD: </w:t>
      </w:r>
      <w:r w:rsidRPr="00A26E9F">
        <w:rPr>
          <w:rFonts w:ascii="Palatino Linotype" w:eastAsia="Palatino Linotype" w:hAnsi="Palatino Linotype" w:cs="Palatino Linotype"/>
          <w:i/>
          <w:sz w:val="22"/>
          <w:szCs w:val="22"/>
        </w:rPr>
        <w:t xml:space="preserve">No se responde de manera específica a la solicitud sobre expedientes concentrados, archivo de concentración y mecanismos de supervisión documental. </w:t>
      </w:r>
      <w:r w:rsidRPr="00A26E9F">
        <w:rPr>
          <w:rFonts w:ascii="Palatino Linotype" w:eastAsia="Palatino Linotype" w:hAnsi="Palatino Linotype" w:cs="Palatino Linotype"/>
          <w:b/>
          <w:i/>
          <w:sz w:val="22"/>
          <w:szCs w:val="22"/>
        </w:rPr>
        <w:t>OMISIÓN DE DOCUMENTOS:</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i/>
          <w:sz w:val="22"/>
          <w:szCs w:val="22"/>
          <w:u w:val="single"/>
        </w:rPr>
        <w:t xml:space="preserve">Se menciona la existencia de normativa y </w:t>
      </w:r>
      <w:proofErr w:type="gramStart"/>
      <w:r w:rsidRPr="00A26E9F">
        <w:rPr>
          <w:rFonts w:ascii="Palatino Linotype" w:eastAsia="Palatino Linotype" w:hAnsi="Palatino Linotype" w:cs="Palatino Linotype"/>
          <w:i/>
          <w:sz w:val="22"/>
          <w:szCs w:val="22"/>
          <w:u w:val="single"/>
        </w:rPr>
        <w:t>lineamientos</w:t>
      </w:r>
      <w:proofErr w:type="gramEnd"/>
      <w:r w:rsidRPr="00A26E9F">
        <w:rPr>
          <w:rFonts w:ascii="Palatino Linotype" w:eastAsia="Palatino Linotype" w:hAnsi="Palatino Linotype" w:cs="Palatino Linotype"/>
          <w:i/>
          <w:sz w:val="22"/>
          <w:szCs w:val="22"/>
          <w:u w:val="single"/>
        </w:rPr>
        <w:t xml:space="preserve"> pero no se proporciona copia de los mismos,</w:t>
      </w:r>
      <w:r w:rsidRPr="00A26E9F">
        <w:rPr>
          <w:rFonts w:ascii="Palatino Linotype" w:eastAsia="Palatino Linotype" w:hAnsi="Palatino Linotype" w:cs="Palatino Linotype"/>
          <w:i/>
          <w:sz w:val="22"/>
          <w:szCs w:val="22"/>
        </w:rPr>
        <w:t xml:space="preserve"> incumpliendo con el principio de máxima publicidad establecido en la Ley de Transparencia. </w:t>
      </w:r>
      <w:r w:rsidRPr="00A26E9F">
        <w:rPr>
          <w:rFonts w:ascii="Palatino Linotype" w:eastAsia="Palatino Linotype" w:hAnsi="Palatino Linotype" w:cs="Palatino Linotype"/>
          <w:i/>
          <w:sz w:val="22"/>
          <w:szCs w:val="22"/>
          <w:u w:val="single"/>
        </w:rPr>
        <w:t>PETICIONES Se instruya a la Unidad de Información, Planeación, Programación y Evaluación a proporcionar copia digital del Cuadro General de Clasificación Archivística y cualquier documento normativo relacionado</w:t>
      </w:r>
      <w:r w:rsidRPr="00A26E9F">
        <w:rPr>
          <w:rFonts w:ascii="Palatino Linotype" w:eastAsia="Palatino Linotype" w:hAnsi="Palatino Linotype" w:cs="Palatino Linotype"/>
          <w:i/>
          <w:sz w:val="22"/>
          <w:szCs w:val="22"/>
        </w:rPr>
        <w:t xml:space="preserve">. Se entregue un informe detallado sobre los mecanismos de supervisión de la gestión documental, con evidencia documental. Se entreguen los inventarios documentales de los años 2020, 2021 y 2022 o, en su defecto, una declaración formal de inexistencia firmada por el Comité de Transparencia. Se entregue la información desglosada por sede de los expedientes concentrados por año. </w:t>
      </w:r>
      <w:r w:rsidRPr="00A26E9F">
        <w:rPr>
          <w:rFonts w:ascii="Palatino Linotype" w:eastAsia="Palatino Linotype" w:hAnsi="Palatino Linotype" w:cs="Palatino Linotype"/>
          <w:i/>
          <w:sz w:val="22"/>
          <w:szCs w:val="22"/>
          <w:u w:val="single"/>
        </w:rPr>
        <w:t>Se proporcionen los lineamientos internos sobre archivo de concentración, o en su caso, una declaración formal de su inexistencia.</w:t>
      </w:r>
      <w:r w:rsidRPr="00A26E9F">
        <w:rPr>
          <w:rFonts w:ascii="Palatino Linotype" w:eastAsia="Palatino Linotype" w:hAnsi="Palatino Linotype" w:cs="Palatino Linotype"/>
          <w:i/>
          <w:sz w:val="22"/>
          <w:szCs w:val="22"/>
        </w:rPr>
        <w:t xml:space="preserve"> Se dicten las medidas necesarias para garantizar el cumplimiento del derecho de acceso a la información. En virtud de lo anterior, solicito que esta autoridad revise la presente impugnación y se pronuncie en consecuencia.” (Sic)</w:t>
      </w:r>
    </w:p>
    <w:p w14:paraId="2636575D" w14:textId="77777777" w:rsidR="00595180" w:rsidRPr="00A26E9F" w:rsidRDefault="002463AB">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A26E9F">
        <w:rPr>
          <w:rFonts w:ascii="Palatino Linotype" w:eastAsia="Palatino Linotype" w:hAnsi="Palatino Linotype" w:cs="Palatino Linotype"/>
          <w:b/>
          <w:sz w:val="22"/>
          <w:szCs w:val="22"/>
        </w:rPr>
        <w:t>b) Razones o motivos de inconformidad</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i/>
          <w:sz w:val="22"/>
          <w:szCs w:val="22"/>
        </w:rPr>
        <w:t xml:space="preserve">“ASUNTO: RECURSO DE REVISIÓN TOCUCA, ESTADO DE MÉXICO, A [FECHA] LIC. MARCO ANTONIO HERNÁNDEZ REYESTITULAR DE LA UNIDAD DE INFORMACIÓN, PLANEACIÓN, PROGRAMACIÓN Y EVALUACIÓNDEL CENTRO DE CONCILIACIÓN LABORAL DEL ESTADO DE MÉXICOPRESENTE FOLIO DE SOLICITUD DE INFORMACIÓN: </w:t>
      </w:r>
      <w:r w:rsidRPr="00A26E9F">
        <w:rPr>
          <w:rFonts w:ascii="Palatino Linotype" w:eastAsia="Palatino Linotype" w:hAnsi="Palatino Linotype" w:cs="Palatino Linotype"/>
          <w:i/>
          <w:sz w:val="22"/>
          <w:szCs w:val="22"/>
        </w:rPr>
        <w:lastRenderedPageBreak/>
        <w:t xml:space="preserve">00015/CCLEM/IP/2025FOLIO DE RESPUESTA: 209C0201000200S/T037/2025 Por medio del presente escrito y con fundamento en los artículos 176, 177, 178 y demás relativos de la Ley de Transparencia y Acceso a la Información Pública del Estado de México y Municipios, interpongo RECURSO DE REVISIÓN en contra de la respuesta emitida por la Unidad de Información, Planeación, Programación y Evaluación del Centro de Conciliación Laboral del Estado de México, toda vez que la </w:t>
      </w:r>
      <w:r w:rsidRPr="00A26E9F">
        <w:rPr>
          <w:rFonts w:ascii="Palatino Linotype" w:eastAsia="Palatino Linotype" w:hAnsi="Palatino Linotype" w:cs="Palatino Linotype"/>
          <w:b/>
          <w:i/>
          <w:sz w:val="22"/>
          <w:szCs w:val="22"/>
        </w:rPr>
        <w:t xml:space="preserve">información proporcionada es insuficiente, incongruente y omite responder de manera clara y completa a la solicitud realizada. </w:t>
      </w:r>
      <w:r w:rsidRPr="00A26E9F">
        <w:rPr>
          <w:rFonts w:ascii="Palatino Linotype" w:eastAsia="Palatino Linotype" w:hAnsi="Palatino Linotype" w:cs="Palatino Linotype"/>
          <w:i/>
          <w:sz w:val="22"/>
          <w:szCs w:val="22"/>
        </w:rPr>
        <w:t xml:space="preserve">ANTECEDENTES Con fecha 25 de febrero de 2025, presenté solicitud de información con folio 00015/CCLEM/IP/2025, en la cual solicito: Clasificación Archivística: Confirmación de la existencia del Cuadro General de Clasificación Archivística y copia del instrumento normativo. Archivo de Concentración: Ubicación de los archivos de concentración y lineamientos. Supervisión de Gestión Documental: Evidencia documental sobre los mecanismos de supervisión. Inventarios Documentales: Copias de los inventarios documentales de 2020, 2021 y 2022. Expedientes Concentrados por Año y Sede: Datos desglosados por sede. Plazo para Archivo de Concentración: Normativa aplicable y lineamientos internos. Con fecha 07 de marzo de 2025, se me notificó la respuesta mediante el oficio 209C0201000200S/T037/2025, en la cual se menciona: </w:t>
      </w:r>
      <w:r w:rsidRPr="00A26E9F">
        <w:rPr>
          <w:rFonts w:ascii="Palatino Linotype" w:eastAsia="Palatino Linotype" w:hAnsi="Palatino Linotype" w:cs="Palatino Linotype"/>
          <w:i/>
          <w:sz w:val="22"/>
          <w:szCs w:val="22"/>
          <w:u w:val="single"/>
        </w:rPr>
        <w:t>Se cuenta con un Cuadro General de Clasificación Archivística, pero no se proporciona el documento solicitado. No existe archivo de concentración consolidado, por lo que no se entrega información sobre su ubicación o lineamientos. Se anexa un acta de sesión que no responde de manera clara a los mecanismos de supervisión documental. No se entregan los inventarios documentales, argumentando que no existen. No se responde de manera precisa a la solicitud de expedientes concentrados por año y sede. Se mencionan criterios técnicos sobre el archivo de concentración, pero no se entregan lineamientos internos.</w:t>
      </w:r>
      <w:r w:rsidRPr="00A26E9F">
        <w:rPr>
          <w:rFonts w:ascii="Palatino Linotype" w:eastAsia="Palatino Linotype" w:hAnsi="Palatino Linotype" w:cs="Palatino Linotype"/>
          <w:i/>
          <w:sz w:val="22"/>
          <w:szCs w:val="22"/>
        </w:rPr>
        <w:t xml:space="preserve"> AGRAVIOS </w:t>
      </w:r>
      <w:r w:rsidRPr="00A26E9F">
        <w:rPr>
          <w:rFonts w:ascii="Palatino Linotype" w:eastAsia="Palatino Linotype" w:hAnsi="Palatino Linotype" w:cs="Palatino Linotype"/>
          <w:b/>
          <w:i/>
          <w:sz w:val="22"/>
          <w:szCs w:val="22"/>
        </w:rPr>
        <w:t>INCOMPLETITUD DE LA RESPUESTA</w:t>
      </w:r>
      <w:r w:rsidRPr="00A26E9F">
        <w:rPr>
          <w:rFonts w:ascii="Palatino Linotype" w:eastAsia="Palatino Linotype" w:hAnsi="Palatino Linotype" w:cs="Palatino Linotype"/>
          <w:i/>
          <w:sz w:val="22"/>
          <w:szCs w:val="22"/>
        </w:rPr>
        <w:t xml:space="preserve">: La información proporcionada no satisface la solicitud, pues se menciona la existencia de </w:t>
      </w:r>
      <w:proofErr w:type="gramStart"/>
      <w:r w:rsidRPr="00A26E9F">
        <w:rPr>
          <w:rFonts w:ascii="Palatino Linotype" w:eastAsia="Palatino Linotype" w:hAnsi="Palatino Linotype" w:cs="Palatino Linotype"/>
          <w:i/>
          <w:sz w:val="22"/>
          <w:szCs w:val="22"/>
        </w:rPr>
        <w:t>documentos</w:t>
      </w:r>
      <w:proofErr w:type="gramEnd"/>
      <w:r w:rsidRPr="00A26E9F">
        <w:rPr>
          <w:rFonts w:ascii="Palatino Linotype" w:eastAsia="Palatino Linotype" w:hAnsi="Palatino Linotype" w:cs="Palatino Linotype"/>
          <w:i/>
          <w:sz w:val="22"/>
          <w:szCs w:val="22"/>
        </w:rPr>
        <w:t xml:space="preserve"> pero no se entregan copias, incumpliendo lo dispuesto en el artículo 12 de la Ley de Transparencia. </w:t>
      </w:r>
      <w:r w:rsidRPr="00A26E9F">
        <w:rPr>
          <w:rFonts w:ascii="Palatino Linotype" w:eastAsia="Palatino Linotype" w:hAnsi="Palatino Linotype" w:cs="Palatino Linotype"/>
          <w:b/>
          <w:i/>
          <w:sz w:val="22"/>
          <w:szCs w:val="22"/>
        </w:rPr>
        <w:t>NEGATIVA INJUSTIFICADA:</w:t>
      </w:r>
      <w:r w:rsidRPr="00A26E9F">
        <w:rPr>
          <w:rFonts w:ascii="Palatino Linotype" w:eastAsia="Palatino Linotype" w:hAnsi="Palatino Linotype" w:cs="Palatino Linotype"/>
          <w:i/>
          <w:sz w:val="22"/>
          <w:szCs w:val="22"/>
        </w:rPr>
        <w:t xml:space="preserve"> Se niega la información sobre los inventarios documentales bajo el argumento de que "aún no se cuenta con ellos", sin justificar adecuadamente la inexistencia conforme a la normatividad aplicable. FALTA DE CLARIDAD: No se responde de manera específica a la solicitud sobre expedientes concentrados, archivo </w:t>
      </w:r>
      <w:r w:rsidRPr="00A26E9F">
        <w:rPr>
          <w:rFonts w:ascii="Palatino Linotype" w:eastAsia="Palatino Linotype" w:hAnsi="Palatino Linotype" w:cs="Palatino Linotype"/>
          <w:i/>
          <w:sz w:val="22"/>
          <w:szCs w:val="22"/>
        </w:rPr>
        <w:lastRenderedPageBreak/>
        <w:t xml:space="preserve">de concentración y mecanismos de supervisión documental. OMISIÓN DE DOCUMENTOS: Se menciona la existencia de normativa y </w:t>
      </w:r>
      <w:proofErr w:type="gramStart"/>
      <w:r w:rsidRPr="00A26E9F">
        <w:rPr>
          <w:rFonts w:ascii="Palatino Linotype" w:eastAsia="Palatino Linotype" w:hAnsi="Palatino Linotype" w:cs="Palatino Linotype"/>
          <w:i/>
          <w:sz w:val="22"/>
          <w:szCs w:val="22"/>
        </w:rPr>
        <w:t>lineamientos</w:t>
      </w:r>
      <w:proofErr w:type="gramEnd"/>
      <w:r w:rsidRPr="00A26E9F">
        <w:rPr>
          <w:rFonts w:ascii="Palatino Linotype" w:eastAsia="Palatino Linotype" w:hAnsi="Palatino Linotype" w:cs="Palatino Linotype"/>
          <w:i/>
          <w:sz w:val="22"/>
          <w:szCs w:val="22"/>
        </w:rPr>
        <w:t xml:space="preserve"> pero no se proporciona copia de los mismos, incumpliendo con el principio de máxima publicidad establecido en la Ley de Transparencia. PETICIONES </w:t>
      </w:r>
      <w:r w:rsidRPr="00A26E9F">
        <w:rPr>
          <w:rFonts w:ascii="Palatino Linotype" w:eastAsia="Palatino Linotype" w:hAnsi="Palatino Linotype" w:cs="Palatino Linotype"/>
          <w:i/>
          <w:sz w:val="22"/>
          <w:szCs w:val="22"/>
          <w:u w:val="single"/>
        </w:rPr>
        <w:t xml:space="preserve">Se instruya a la Unidad de Información, Planeación, Programación y Evaluación a proporcionar copia digital del Cuadro General de Clasificación Archivística y cualquier documento normativo relacionado. Se entregue un informe detallado sobre los mecanismos de supervisión de la gestión documental, con evidencia documental. </w:t>
      </w:r>
      <w:r w:rsidRPr="00A26E9F">
        <w:rPr>
          <w:rFonts w:ascii="Palatino Linotype" w:eastAsia="Palatino Linotype" w:hAnsi="Palatino Linotype" w:cs="Palatino Linotype"/>
          <w:i/>
          <w:sz w:val="22"/>
          <w:szCs w:val="22"/>
        </w:rPr>
        <w:t>Se entreguen los inventarios documentales de los años 2020, 2021 y 2022 o, en su defecto, una declaración formal de inexistencia firmada por el Comité de Transparencia. Se entregue la información desglosada por sede de los expedientes concentrados por año. Se proporcionen los lineamientos internos sobre archivo de concentración, o en su caso, una declaración formal de su inexistencia. Se dicten las medidas necesarias para garantizar el cumplimiento del derecho de acceso a la información. En virtud de lo anterior, solicito que esta autoridad revise la presente impugnación y se pronuncie en consecuencia.” (Sic)</w:t>
      </w:r>
    </w:p>
    <w:p w14:paraId="0DC25A10" w14:textId="77777777" w:rsidR="00595180" w:rsidRPr="00A26E9F" w:rsidRDefault="00595180">
      <w:pPr>
        <w:spacing w:line="276" w:lineRule="auto"/>
        <w:ind w:left="567" w:right="900"/>
        <w:jc w:val="both"/>
        <w:rPr>
          <w:rFonts w:ascii="Palatino Linotype" w:eastAsia="Palatino Linotype" w:hAnsi="Palatino Linotype" w:cs="Palatino Linotype"/>
          <w:i/>
          <w:sz w:val="22"/>
          <w:szCs w:val="22"/>
        </w:rPr>
      </w:pPr>
    </w:p>
    <w:p w14:paraId="7405D207" w14:textId="77777777" w:rsidR="00595180" w:rsidRPr="00A26E9F" w:rsidRDefault="002463AB">
      <w:pPr>
        <w:spacing w:line="360" w:lineRule="auto"/>
        <w:ind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 xml:space="preserve">4. Turno. </w:t>
      </w:r>
      <w:r w:rsidRPr="00A26E9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26E9F">
        <w:rPr>
          <w:rFonts w:ascii="Palatino Linotype" w:eastAsia="Palatino Linotype" w:hAnsi="Palatino Linotype" w:cs="Palatino Linotype"/>
          <w:b/>
          <w:sz w:val="22"/>
          <w:szCs w:val="22"/>
        </w:rPr>
        <w:t xml:space="preserve">Guadalupe Ramírez Peña, </w:t>
      </w:r>
      <w:r w:rsidRPr="00A26E9F">
        <w:rPr>
          <w:rFonts w:ascii="Palatino Linotype" w:eastAsia="Palatino Linotype" w:hAnsi="Palatino Linotype" w:cs="Palatino Linotype"/>
          <w:sz w:val="22"/>
          <w:szCs w:val="22"/>
        </w:rPr>
        <w:t xml:space="preserve">a efecto de que analizara sobre su admisión o su </w:t>
      </w:r>
      <w:proofErr w:type="spellStart"/>
      <w:r w:rsidRPr="00A26E9F">
        <w:rPr>
          <w:rFonts w:ascii="Palatino Linotype" w:eastAsia="Palatino Linotype" w:hAnsi="Palatino Linotype" w:cs="Palatino Linotype"/>
          <w:sz w:val="22"/>
          <w:szCs w:val="22"/>
        </w:rPr>
        <w:t>desechamiento</w:t>
      </w:r>
      <w:proofErr w:type="spellEnd"/>
      <w:r w:rsidRPr="00A26E9F">
        <w:rPr>
          <w:rFonts w:ascii="Palatino Linotype" w:eastAsia="Palatino Linotype" w:hAnsi="Palatino Linotype" w:cs="Palatino Linotype"/>
          <w:sz w:val="22"/>
          <w:szCs w:val="22"/>
        </w:rPr>
        <w:t>.</w:t>
      </w:r>
    </w:p>
    <w:p w14:paraId="1E575BEB" w14:textId="77777777" w:rsidR="00595180" w:rsidRPr="00A26E9F" w:rsidRDefault="00595180">
      <w:pPr>
        <w:spacing w:line="360" w:lineRule="auto"/>
        <w:ind w:right="51"/>
        <w:jc w:val="both"/>
        <w:rPr>
          <w:rFonts w:ascii="Palatino Linotype" w:eastAsia="Palatino Linotype" w:hAnsi="Palatino Linotype" w:cs="Palatino Linotype"/>
          <w:sz w:val="22"/>
          <w:szCs w:val="22"/>
        </w:rPr>
      </w:pPr>
    </w:p>
    <w:p w14:paraId="186E0623"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5. Admisión del Recurso de revisión.</w:t>
      </w:r>
      <w:r w:rsidRPr="00A26E9F">
        <w:rPr>
          <w:rFonts w:ascii="Palatino Linotype" w:eastAsia="Palatino Linotype" w:hAnsi="Palatino Linotype" w:cs="Palatino Linotype"/>
          <w:sz w:val="22"/>
          <w:szCs w:val="22"/>
        </w:rPr>
        <w:t xml:space="preserve"> El </w:t>
      </w:r>
      <w:r w:rsidRPr="00A26E9F">
        <w:rPr>
          <w:rFonts w:ascii="Palatino Linotype" w:eastAsia="Palatino Linotype" w:hAnsi="Palatino Linotype" w:cs="Palatino Linotype"/>
          <w:b/>
          <w:sz w:val="22"/>
          <w:szCs w:val="22"/>
        </w:rPr>
        <w:t xml:space="preserve">veintiuno de marzo de dos mil veinticinco, </w:t>
      </w:r>
      <w:r w:rsidRPr="00A26E9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presentara su informe justificado.</w:t>
      </w:r>
    </w:p>
    <w:p w14:paraId="4FEE364B"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0A5C353" w14:textId="77777777" w:rsidR="00595180" w:rsidRPr="00A26E9F" w:rsidRDefault="002463A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A26E9F">
        <w:rPr>
          <w:rFonts w:ascii="Palatino Linotype" w:eastAsia="Palatino Linotype" w:hAnsi="Palatino Linotype" w:cs="Palatino Linotype"/>
          <w:b/>
          <w:sz w:val="22"/>
          <w:szCs w:val="22"/>
        </w:rPr>
        <w:t>6. Manifestaciones</w:t>
      </w:r>
      <w:r w:rsidRPr="00A26E9F">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 xml:space="preserve">en fecha </w:t>
      </w:r>
      <w:r w:rsidRPr="00A26E9F">
        <w:rPr>
          <w:rFonts w:ascii="Palatino Linotype" w:eastAsia="Palatino Linotype" w:hAnsi="Palatino Linotype" w:cs="Palatino Linotype"/>
          <w:b/>
          <w:sz w:val="22"/>
          <w:szCs w:val="22"/>
        </w:rPr>
        <w:t>primero de abril de dos mil veinticinco</w:t>
      </w:r>
      <w:r w:rsidRPr="00A26E9F">
        <w:rPr>
          <w:rFonts w:ascii="Palatino Linotype" w:eastAsia="Palatino Linotype" w:hAnsi="Palatino Linotype" w:cs="Palatino Linotype"/>
          <w:sz w:val="22"/>
          <w:szCs w:val="22"/>
        </w:rPr>
        <w:t xml:space="preserve"> rindió su informe justificado, a través de un archivo electrónico que contiene lo siguiente:</w:t>
      </w:r>
    </w:p>
    <w:p w14:paraId="72430617" w14:textId="77777777" w:rsidR="00595180" w:rsidRPr="00A26E9F" w:rsidRDefault="0059518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04D9061" w14:textId="77777777" w:rsidR="00595180" w:rsidRPr="00A26E9F" w:rsidRDefault="002463AB">
      <w:pPr>
        <w:numPr>
          <w:ilvl w:val="0"/>
          <w:numId w:val="6"/>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Oficio del primero de abril de dos mil veinticinco, a través del cual el Titular de la UIPPE rinde informe justificado, en el que de manera medular se ratifica la respuesta inicial.</w:t>
      </w:r>
    </w:p>
    <w:p w14:paraId="0AA8872C" w14:textId="77777777" w:rsidR="00595180" w:rsidRPr="00A26E9F" w:rsidRDefault="0059518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E5663B8" w14:textId="77777777" w:rsidR="00595180" w:rsidRPr="00A26E9F" w:rsidRDefault="002463A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Documento el anterior que se hizo del conocimiento de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 xml:space="preserve">a fin de que hiciera valer alegatos o manifestaciones que conforme a derecho resulten procedentes; no </w:t>
      </w:r>
      <w:proofErr w:type="gramStart"/>
      <w:r w:rsidRPr="00A26E9F">
        <w:rPr>
          <w:rFonts w:ascii="Palatino Linotype" w:eastAsia="Palatino Linotype" w:hAnsi="Palatino Linotype" w:cs="Palatino Linotype"/>
          <w:sz w:val="22"/>
          <w:szCs w:val="22"/>
        </w:rPr>
        <w:t>obstante</w:t>
      </w:r>
      <w:proofErr w:type="gramEnd"/>
      <w:r w:rsidRPr="00A26E9F">
        <w:rPr>
          <w:rFonts w:ascii="Palatino Linotype" w:eastAsia="Palatino Linotype" w:hAnsi="Palatino Linotype" w:cs="Palatino Linotype"/>
          <w:sz w:val="22"/>
          <w:szCs w:val="22"/>
        </w:rPr>
        <w:t xml:space="preserve"> fue omisa en ejercer dicha prerrogativa.</w:t>
      </w:r>
    </w:p>
    <w:p w14:paraId="533C87A6" w14:textId="77777777" w:rsidR="00595180" w:rsidRPr="00A26E9F" w:rsidRDefault="0059518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42CC43E" w14:textId="77777777" w:rsidR="00595180" w:rsidRPr="00A26E9F" w:rsidRDefault="002463A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7. Ampliación del término para resolver</w:t>
      </w:r>
      <w:r w:rsidRPr="00A26E9F">
        <w:rPr>
          <w:rFonts w:ascii="Palatino Linotype" w:eastAsia="Palatino Linotype" w:hAnsi="Palatino Linotype" w:cs="Palatino Linotype"/>
          <w:sz w:val="22"/>
          <w:szCs w:val="22"/>
        </w:rPr>
        <w:t xml:space="preserve">. Mediante acuerdo del </w:t>
      </w:r>
      <w:r w:rsidRPr="00A26E9F">
        <w:rPr>
          <w:rFonts w:ascii="Palatino Linotype" w:eastAsia="Palatino Linotype" w:hAnsi="Palatino Linotype" w:cs="Palatino Linotype"/>
          <w:b/>
          <w:sz w:val="22"/>
          <w:szCs w:val="22"/>
        </w:rPr>
        <w:t>cuatro de junio de dos mil veinticinco</w:t>
      </w:r>
      <w:r w:rsidRPr="00A26E9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4716FAA"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1ED5B13D"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6FD3AE5"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3BC90C7A"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Por ello, es menester precisar </w:t>
      </w:r>
      <w:proofErr w:type="gramStart"/>
      <w:r w:rsidRPr="00A26E9F">
        <w:rPr>
          <w:rFonts w:ascii="Palatino Linotype" w:eastAsia="Palatino Linotype" w:hAnsi="Palatino Linotype" w:cs="Palatino Linotype"/>
          <w:sz w:val="22"/>
          <w:szCs w:val="22"/>
        </w:rPr>
        <w:t>que</w:t>
      </w:r>
      <w:proofErr w:type="gramEnd"/>
      <w:r w:rsidRPr="00A26E9F">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w:t>
      </w:r>
      <w:r w:rsidRPr="00A26E9F">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2AF08162"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7A05701"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36A95E"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50C3320"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11FA0A"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CB219F1"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799F0E5" w14:textId="77777777" w:rsidR="00595180" w:rsidRPr="00A26E9F" w:rsidRDefault="00595180">
      <w:pPr>
        <w:spacing w:line="360" w:lineRule="auto"/>
        <w:jc w:val="both"/>
        <w:rPr>
          <w:rFonts w:ascii="Palatino Linotype" w:eastAsia="Palatino Linotype" w:hAnsi="Palatino Linotype" w:cs="Palatino Linotype"/>
          <w:strike/>
          <w:sz w:val="22"/>
          <w:szCs w:val="22"/>
        </w:rPr>
      </w:pPr>
    </w:p>
    <w:p w14:paraId="57BB3976" w14:textId="77777777" w:rsidR="00595180" w:rsidRPr="00A26E9F" w:rsidRDefault="002463A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Complejidad del Asunto:</w:t>
      </w:r>
      <w:r w:rsidRPr="00A26E9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4984D84" w14:textId="77777777" w:rsidR="00595180" w:rsidRPr="00A26E9F" w:rsidRDefault="002463A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Actividad Procesal del interesado</w:t>
      </w:r>
      <w:r w:rsidRPr="00A26E9F">
        <w:rPr>
          <w:rFonts w:ascii="Palatino Linotype" w:eastAsia="Palatino Linotype" w:hAnsi="Palatino Linotype" w:cs="Palatino Linotype"/>
          <w:sz w:val="22"/>
          <w:szCs w:val="22"/>
        </w:rPr>
        <w:t>. Acciones u omisiones del interesado.</w:t>
      </w:r>
    </w:p>
    <w:p w14:paraId="21E29F24" w14:textId="77777777" w:rsidR="00595180" w:rsidRPr="00A26E9F" w:rsidRDefault="002463A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Conducta de la Autoridad:</w:t>
      </w:r>
      <w:r w:rsidRPr="00A26E9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DFFE7EC" w14:textId="77777777" w:rsidR="00595180" w:rsidRPr="00A26E9F" w:rsidRDefault="002463AB">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La afectación generada en la situación jurídica de la persona involucrada en el proceso:</w:t>
      </w:r>
      <w:r w:rsidRPr="00A26E9F">
        <w:rPr>
          <w:rFonts w:ascii="Palatino Linotype" w:eastAsia="Palatino Linotype" w:hAnsi="Palatino Linotype" w:cs="Palatino Linotype"/>
          <w:sz w:val="22"/>
          <w:szCs w:val="22"/>
        </w:rPr>
        <w:t xml:space="preserve"> Violación a sus derechos humanos.</w:t>
      </w:r>
    </w:p>
    <w:p w14:paraId="2D70F2EC" w14:textId="77777777" w:rsidR="00595180" w:rsidRPr="00A26E9F" w:rsidRDefault="00595180">
      <w:pPr>
        <w:tabs>
          <w:tab w:val="left" w:pos="993"/>
        </w:tabs>
        <w:spacing w:line="360" w:lineRule="auto"/>
        <w:ind w:left="567" w:right="900"/>
        <w:jc w:val="both"/>
        <w:rPr>
          <w:rFonts w:ascii="Palatino Linotype" w:eastAsia="Palatino Linotype" w:hAnsi="Palatino Linotype" w:cs="Palatino Linotype"/>
          <w:sz w:val="22"/>
          <w:szCs w:val="22"/>
        </w:rPr>
      </w:pPr>
    </w:p>
    <w:p w14:paraId="61240553"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ED26D5"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4DF77F83"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26E9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26E9F">
        <w:rPr>
          <w:rFonts w:ascii="Palatino Linotype" w:eastAsia="Palatino Linotype" w:hAnsi="Palatino Linotype" w:cs="Palatino Linotype"/>
          <w:sz w:val="22"/>
          <w:szCs w:val="22"/>
        </w:rPr>
        <w:t>, visible en la Gaceta del Seminario Judicial de la Federación con el registro digital 205635.</w:t>
      </w:r>
    </w:p>
    <w:p w14:paraId="2AE39F08" w14:textId="77777777" w:rsidR="00595180" w:rsidRPr="00A26E9F" w:rsidRDefault="00595180">
      <w:pPr>
        <w:spacing w:line="360" w:lineRule="auto"/>
        <w:jc w:val="both"/>
        <w:rPr>
          <w:rFonts w:ascii="Palatino Linotype" w:eastAsia="Palatino Linotype" w:hAnsi="Palatino Linotype" w:cs="Palatino Linotype"/>
          <w:b/>
          <w:sz w:val="22"/>
          <w:szCs w:val="22"/>
        </w:rPr>
      </w:pPr>
    </w:p>
    <w:p w14:paraId="7958B298"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C8765D"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5771C572"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2B08353"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8AAE9FD" w14:textId="77777777" w:rsidR="00595180" w:rsidRPr="00A26E9F" w:rsidRDefault="002463AB">
      <w:pPr>
        <w:spacing w:line="360" w:lineRule="auto"/>
        <w:ind w:left="851" w:right="90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i/>
          <w:sz w:val="22"/>
          <w:szCs w:val="22"/>
        </w:rPr>
        <w:t>“PLAZO RAZONABLE PARA RESOLVER. DIMENSIÓN Y EFECTOS DE ESTE CONCEPTO CUANDO SE ADUCE EXCESIVA CARGA DE TRABAJO</w:t>
      </w: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sz w:val="22"/>
          <w:szCs w:val="22"/>
        </w:rPr>
        <w:t xml:space="preserve"> consultable en el Seminario Judicial de la Federación y su gaceta, con el registro digital 2002351.</w:t>
      </w:r>
    </w:p>
    <w:p w14:paraId="1FDF326E" w14:textId="77777777" w:rsidR="00595180" w:rsidRPr="00A26E9F" w:rsidRDefault="002463AB">
      <w:pPr>
        <w:spacing w:line="360" w:lineRule="auto"/>
        <w:ind w:left="851" w:right="90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26E9F">
        <w:rPr>
          <w:rFonts w:ascii="Palatino Linotype" w:eastAsia="Palatino Linotype" w:hAnsi="Palatino Linotype" w:cs="Palatino Linotype"/>
          <w:sz w:val="22"/>
          <w:szCs w:val="22"/>
        </w:rPr>
        <w:t>, visible en el Seminario Judicial de la Federación y su gaceta, con el registro digital 2002350.</w:t>
      </w:r>
    </w:p>
    <w:p w14:paraId="509E5D2F" w14:textId="77777777" w:rsidR="00595180" w:rsidRPr="00A26E9F" w:rsidRDefault="00595180">
      <w:pPr>
        <w:spacing w:line="360" w:lineRule="auto"/>
        <w:ind w:left="851" w:right="900"/>
        <w:jc w:val="both"/>
        <w:rPr>
          <w:rFonts w:ascii="Palatino Linotype" w:eastAsia="Palatino Linotype" w:hAnsi="Palatino Linotype" w:cs="Palatino Linotype"/>
          <w:sz w:val="22"/>
          <w:szCs w:val="22"/>
        </w:rPr>
      </w:pPr>
    </w:p>
    <w:p w14:paraId="6669A8E4"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E812457"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3B5C24ED"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 xml:space="preserve">8. Cierre de instrucción. </w:t>
      </w:r>
      <w:r w:rsidRPr="00A26E9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A26E9F">
        <w:rPr>
          <w:rFonts w:ascii="Palatino Linotype" w:eastAsia="Palatino Linotype" w:hAnsi="Palatino Linotype" w:cs="Palatino Linotype"/>
          <w:b/>
          <w:sz w:val="22"/>
          <w:szCs w:val="22"/>
        </w:rPr>
        <w:t>diez de junio de dos mil veinticinco,</w:t>
      </w:r>
      <w:r w:rsidRPr="00A26E9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590173BC"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27C1D2C2" w14:textId="77777777" w:rsidR="00595180" w:rsidRPr="00A26E9F" w:rsidRDefault="002463A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1BF1FB0" w14:textId="77777777" w:rsidR="00595180" w:rsidRPr="00A26E9F" w:rsidRDefault="002463AB">
      <w:pPr>
        <w:widowControl w:val="0"/>
        <w:spacing w:before="240" w:after="240" w:line="360" w:lineRule="auto"/>
        <w:jc w:val="center"/>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II. C O N S I D E R A N D O S</w:t>
      </w:r>
    </w:p>
    <w:p w14:paraId="2C2F7A28"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lastRenderedPageBreak/>
        <w:t>Primero. Competencia.</w:t>
      </w:r>
      <w:r w:rsidRPr="00A26E9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46E147E"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7E14F5F1" w14:textId="77777777" w:rsidR="00595180" w:rsidRPr="00A26E9F" w:rsidRDefault="002463AB">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A26E9F">
        <w:rPr>
          <w:rFonts w:ascii="Palatino Linotype" w:eastAsia="Palatino Linotype" w:hAnsi="Palatino Linotype" w:cs="Palatino Linotype"/>
          <w:b/>
          <w:sz w:val="22"/>
          <w:szCs w:val="22"/>
        </w:rPr>
        <w:t>Segundo. Oportunidad y Procedibilidad del Recurso de Revisión</w:t>
      </w:r>
      <w:r w:rsidRPr="00A26E9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52C2C65"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AAFCC54"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 xml:space="preserve">remitió la respuesta a la solicitud de información el </w:t>
      </w:r>
      <w:r w:rsidRPr="00A26E9F">
        <w:rPr>
          <w:rFonts w:ascii="Palatino Linotype" w:eastAsia="Palatino Linotype" w:hAnsi="Palatino Linotype" w:cs="Palatino Linotype"/>
          <w:b/>
          <w:sz w:val="22"/>
          <w:szCs w:val="22"/>
        </w:rPr>
        <w:t xml:space="preserve">siete de marzo de dos mil veinticinco, </w:t>
      </w:r>
      <w:r w:rsidRPr="00A26E9F">
        <w:rPr>
          <w:rFonts w:ascii="Palatino Linotype" w:eastAsia="Palatino Linotype" w:hAnsi="Palatino Linotype" w:cs="Palatino Linotype"/>
          <w:sz w:val="22"/>
          <w:szCs w:val="22"/>
        </w:rPr>
        <w:t xml:space="preserve">mientras que el recurso de revisión interpuesto por </w:t>
      </w:r>
      <w:r w:rsidRPr="00A26E9F">
        <w:rPr>
          <w:rFonts w:ascii="Palatino Linotype" w:eastAsia="Palatino Linotype" w:hAnsi="Palatino Linotype" w:cs="Palatino Linotype"/>
          <w:b/>
          <w:sz w:val="22"/>
          <w:szCs w:val="22"/>
        </w:rPr>
        <w:t>la parte</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se tuvo por presentado el </w:t>
      </w:r>
      <w:r w:rsidRPr="00A26E9F">
        <w:rPr>
          <w:rFonts w:ascii="Palatino Linotype" w:eastAsia="Palatino Linotype" w:hAnsi="Palatino Linotype" w:cs="Palatino Linotype"/>
          <w:b/>
          <w:sz w:val="22"/>
          <w:szCs w:val="22"/>
        </w:rPr>
        <w:t>dieciocho de marzo de dos mil veinticinco</w:t>
      </w:r>
      <w:r w:rsidRPr="00A26E9F">
        <w:rPr>
          <w:rFonts w:ascii="Palatino Linotype" w:eastAsia="Palatino Linotype" w:hAnsi="Palatino Linotype" w:cs="Palatino Linotype"/>
          <w:sz w:val="22"/>
          <w:szCs w:val="22"/>
        </w:rPr>
        <w:t xml:space="preserve"> esto es, al </w:t>
      </w:r>
      <w:r w:rsidRPr="00A26E9F">
        <w:rPr>
          <w:rFonts w:ascii="Palatino Linotype" w:eastAsia="Palatino Linotype" w:hAnsi="Palatino Linotype" w:cs="Palatino Linotype"/>
          <w:b/>
          <w:sz w:val="22"/>
          <w:szCs w:val="22"/>
        </w:rPr>
        <w:t xml:space="preserve">sexto </w:t>
      </w:r>
      <w:r w:rsidRPr="00A26E9F">
        <w:rPr>
          <w:rFonts w:ascii="Palatino Linotype" w:eastAsia="Palatino Linotype" w:hAnsi="Palatino Linotype" w:cs="Palatino Linotype"/>
          <w:sz w:val="22"/>
          <w:szCs w:val="22"/>
        </w:rPr>
        <w:t xml:space="preserve">día hábil siguiente a aquel en que </w:t>
      </w:r>
      <w:r w:rsidRPr="00A26E9F">
        <w:rPr>
          <w:rFonts w:ascii="Palatino Linotype" w:eastAsia="Palatino Linotype" w:hAnsi="Palatino Linotype" w:cs="Palatino Linotype"/>
          <w:b/>
          <w:sz w:val="22"/>
          <w:szCs w:val="22"/>
        </w:rPr>
        <w:t>se tuvo conocimiento de la respuesta impugnada</w:t>
      </w:r>
      <w:r w:rsidRPr="00A26E9F">
        <w:rPr>
          <w:rFonts w:ascii="Palatino Linotype" w:eastAsia="Palatino Linotype" w:hAnsi="Palatino Linotype" w:cs="Palatino Linotype"/>
          <w:sz w:val="22"/>
          <w:szCs w:val="22"/>
        </w:rPr>
        <w:t xml:space="preserve">. </w:t>
      </w:r>
    </w:p>
    <w:p w14:paraId="153E5762"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13AB0C2B"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23FE7EA0"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754C9205" w14:textId="77777777" w:rsidR="00595180" w:rsidRPr="00A26E9F" w:rsidRDefault="002463AB">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A26E9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58AB81D" w14:textId="77777777" w:rsidR="00595180" w:rsidRPr="00A26E9F" w:rsidRDefault="00595180">
      <w:pPr>
        <w:tabs>
          <w:tab w:val="left" w:pos="7938"/>
        </w:tabs>
        <w:spacing w:line="360" w:lineRule="auto"/>
        <w:jc w:val="both"/>
        <w:rPr>
          <w:rFonts w:ascii="Palatino Linotype" w:eastAsia="Palatino Linotype" w:hAnsi="Palatino Linotype" w:cs="Palatino Linotype"/>
          <w:sz w:val="22"/>
          <w:szCs w:val="22"/>
        </w:rPr>
      </w:pPr>
    </w:p>
    <w:p w14:paraId="05C5F267"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 efecto de sustentar lo anterior, es de suma importancia mencionar que si bien la persona solicitante </w:t>
      </w:r>
      <w:r w:rsidRPr="00A26E9F">
        <w:rPr>
          <w:rFonts w:ascii="Palatino Linotype" w:eastAsia="Palatino Linotype" w:hAnsi="Palatino Linotype" w:cs="Palatino Linotype"/>
          <w:b/>
          <w:sz w:val="22"/>
          <w:szCs w:val="22"/>
        </w:rPr>
        <w:t xml:space="preserve">proporcionó un seudónimo, </w:t>
      </w:r>
      <w:r w:rsidRPr="00A26E9F">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5F0FFEF"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5997353C" w14:textId="77777777" w:rsidR="00595180" w:rsidRPr="00A26E9F" w:rsidRDefault="002463AB">
      <w:pPr>
        <w:ind w:left="851" w:right="902"/>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b/>
          <w:i/>
          <w:sz w:val="22"/>
          <w:szCs w:val="22"/>
        </w:rPr>
        <w:t xml:space="preserve">Las solicitudes </w:t>
      </w:r>
      <w:r w:rsidRPr="00A26E9F">
        <w:rPr>
          <w:rFonts w:ascii="Palatino Linotype" w:eastAsia="Palatino Linotype" w:hAnsi="Palatino Linotype" w:cs="Palatino Linotype"/>
          <w:i/>
          <w:sz w:val="22"/>
          <w:szCs w:val="22"/>
        </w:rPr>
        <w:t xml:space="preserve">anónimas, con nombre incompleto o </w:t>
      </w:r>
      <w:r w:rsidRPr="00A26E9F">
        <w:rPr>
          <w:rFonts w:ascii="Palatino Linotype" w:eastAsia="Palatino Linotype" w:hAnsi="Palatino Linotype" w:cs="Palatino Linotype"/>
          <w:b/>
          <w:i/>
          <w:sz w:val="22"/>
          <w:szCs w:val="22"/>
        </w:rPr>
        <w:t>seudónimo serán procedentes para su trámite por parte del sujeto obligado ante quien se presente</w:t>
      </w:r>
      <w:r w:rsidRPr="00A26E9F">
        <w:rPr>
          <w:rFonts w:ascii="Palatino Linotype" w:eastAsia="Palatino Linotype" w:hAnsi="Palatino Linotype" w:cs="Palatino Linotype"/>
          <w:i/>
          <w:sz w:val="22"/>
          <w:szCs w:val="22"/>
        </w:rPr>
        <w:t>. No podrá requerirse información adicional con motivo del nombre proporcionado por el solicitante."</w:t>
      </w:r>
    </w:p>
    <w:p w14:paraId="18E22E98"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382230FF"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A26E9F">
        <w:rPr>
          <w:rFonts w:ascii="Palatino Linotype" w:eastAsia="Palatino Linotype" w:hAnsi="Palatino Linotype" w:cs="Palatino Linotype"/>
          <w:b/>
          <w:sz w:val="22"/>
          <w:szCs w:val="22"/>
        </w:rPr>
        <w:t>la parte</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en sus motivos de inconformidad, de acuerdo al artículo 179, fracciones I y V del ordenamiento legal citado, que a la letra dice: </w:t>
      </w:r>
    </w:p>
    <w:p w14:paraId="12BE6DD2"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2E87DA32" w14:textId="77777777" w:rsidR="00595180" w:rsidRPr="00A26E9F" w:rsidRDefault="002463AB">
      <w:pPr>
        <w:ind w:left="567" w:right="902"/>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b/>
          <w:i/>
          <w:sz w:val="22"/>
          <w:szCs w:val="22"/>
        </w:rPr>
        <w:t>Artículo 179.</w:t>
      </w:r>
      <w:r w:rsidRPr="00A26E9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CCA7FE4" w14:textId="77777777" w:rsidR="00595180" w:rsidRPr="00A26E9F" w:rsidRDefault="002463AB">
      <w:pPr>
        <w:ind w:left="567" w:right="902"/>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I. La negativa a la información solicitada;</w:t>
      </w:r>
    </w:p>
    <w:p w14:paraId="6F990B7E" w14:textId="77777777" w:rsidR="00595180" w:rsidRPr="00A26E9F" w:rsidRDefault="002463AB">
      <w:pPr>
        <w:ind w:left="567" w:right="902"/>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5D5ACD6B" w14:textId="77777777" w:rsidR="00595180" w:rsidRPr="00A26E9F" w:rsidRDefault="002463AB">
      <w:pPr>
        <w:ind w:left="567" w:right="902"/>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lastRenderedPageBreak/>
        <w:t xml:space="preserve">V. La entrega de información incompleta; </w:t>
      </w:r>
      <w:r w:rsidRPr="00A26E9F">
        <w:rPr>
          <w:rFonts w:ascii="Palatino Linotype" w:eastAsia="Palatino Linotype" w:hAnsi="Palatino Linotype" w:cs="Palatino Linotype"/>
          <w:b/>
          <w:i/>
          <w:sz w:val="22"/>
          <w:szCs w:val="22"/>
        </w:rPr>
        <w:br/>
      </w:r>
      <w:r w:rsidRPr="00A26E9F">
        <w:rPr>
          <w:rFonts w:ascii="Palatino Linotype" w:eastAsia="Palatino Linotype" w:hAnsi="Palatino Linotype" w:cs="Palatino Linotype"/>
          <w:i/>
          <w:sz w:val="22"/>
          <w:szCs w:val="22"/>
        </w:rPr>
        <w:t>[…]”</w:t>
      </w:r>
    </w:p>
    <w:p w14:paraId="7F876A64" w14:textId="77777777" w:rsidR="00595180" w:rsidRPr="00A26E9F" w:rsidRDefault="00595180">
      <w:pPr>
        <w:ind w:left="567"/>
        <w:rPr>
          <w:rFonts w:ascii="Palatino Linotype" w:eastAsia="Palatino Linotype" w:hAnsi="Palatino Linotype" w:cs="Palatino Linotype"/>
          <w:b/>
          <w:i/>
          <w:sz w:val="22"/>
          <w:szCs w:val="22"/>
        </w:rPr>
      </w:pPr>
    </w:p>
    <w:p w14:paraId="09098D72" w14:textId="77777777" w:rsidR="00595180" w:rsidRPr="00A26E9F" w:rsidRDefault="002463AB">
      <w:pPr>
        <w:ind w:left="567" w:right="900"/>
        <w:jc w:val="right"/>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 </w:t>
      </w:r>
      <w:r w:rsidRPr="00A26E9F">
        <w:rPr>
          <w:rFonts w:ascii="Palatino Linotype" w:eastAsia="Palatino Linotype" w:hAnsi="Palatino Linotype" w:cs="Palatino Linotype"/>
          <w:i/>
          <w:sz w:val="22"/>
          <w:szCs w:val="22"/>
        </w:rPr>
        <w:t>(Énfasis añadido)</w:t>
      </w:r>
    </w:p>
    <w:p w14:paraId="4E83FF7E" w14:textId="77777777" w:rsidR="00595180" w:rsidRPr="00A26E9F" w:rsidRDefault="00595180">
      <w:pPr>
        <w:spacing w:line="360" w:lineRule="auto"/>
        <w:jc w:val="both"/>
        <w:rPr>
          <w:rFonts w:ascii="Palatino Linotype" w:eastAsia="Palatino Linotype" w:hAnsi="Palatino Linotype" w:cs="Palatino Linotype"/>
          <w:b/>
          <w:sz w:val="22"/>
          <w:szCs w:val="22"/>
        </w:rPr>
      </w:pPr>
    </w:p>
    <w:p w14:paraId="38ED5DA4" w14:textId="77777777" w:rsidR="00595180" w:rsidRPr="00A26E9F" w:rsidRDefault="002463AB">
      <w:pPr>
        <w:spacing w:line="360" w:lineRule="auto"/>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 xml:space="preserve">Tercero. Materia de la revisión. </w:t>
      </w:r>
      <w:r w:rsidRPr="00A26E9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26E9F">
        <w:rPr>
          <w:rFonts w:ascii="Palatino Linotype" w:eastAsia="Palatino Linotype" w:hAnsi="Palatino Linotype" w:cs="Palatino Linotype"/>
          <w:b/>
          <w:sz w:val="22"/>
          <w:szCs w:val="22"/>
        </w:rPr>
        <w:t>verificar si la respuesta e informe justificado otorgados por el Sujeto Obligado son adecuados y suficientes para satisfacer el derecho de acceso a la información pública de la parte Recurrente,</w:t>
      </w:r>
      <w:r w:rsidRPr="00A26E9F">
        <w:rPr>
          <w:rFonts w:ascii="Palatino Linotype" w:eastAsia="Palatino Linotype" w:hAnsi="Palatino Linotype" w:cs="Palatino Linotype"/>
          <w:sz w:val="22"/>
          <w:szCs w:val="22"/>
        </w:rPr>
        <w:t xml:space="preserve"> o en su defecto, en caso de ser procedente, ordenar la entrega de la información oportuna.</w:t>
      </w:r>
    </w:p>
    <w:p w14:paraId="052E2064"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559D5E90"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 xml:space="preserve">Cuarto. Estudio del asunto. </w:t>
      </w:r>
      <w:r w:rsidRPr="00A26E9F">
        <w:rPr>
          <w:rFonts w:ascii="Palatino Linotype" w:eastAsia="Palatino Linotype" w:hAnsi="Palatino Linotype" w:cs="Palatino Linotype"/>
          <w:sz w:val="22"/>
          <w:szCs w:val="22"/>
        </w:rPr>
        <w:t xml:space="preserve">Antes de entrar al análisis de los pronunciamientos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141AA09"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1F24C814" w14:textId="77777777" w:rsidR="00595180" w:rsidRPr="00A26E9F" w:rsidRDefault="002463AB">
      <w:pPr>
        <w:spacing w:line="276" w:lineRule="auto"/>
        <w:ind w:left="851" w:right="8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26E9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11C7291" w14:textId="77777777" w:rsidR="00595180" w:rsidRPr="00A26E9F" w:rsidRDefault="002463AB">
      <w:pPr>
        <w:spacing w:line="276" w:lineRule="auto"/>
        <w:ind w:left="851" w:right="8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B641392" w14:textId="77777777" w:rsidR="00595180" w:rsidRPr="00A26E9F" w:rsidRDefault="002463AB">
      <w:pPr>
        <w:spacing w:line="276" w:lineRule="auto"/>
        <w:ind w:left="851" w:right="8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26E9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94F9B48" w14:textId="77777777" w:rsidR="00595180" w:rsidRPr="00A26E9F" w:rsidRDefault="002463AB">
      <w:pPr>
        <w:spacing w:line="276" w:lineRule="auto"/>
        <w:ind w:left="851" w:right="8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i/>
          <w:sz w:val="22"/>
          <w:szCs w:val="22"/>
        </w:rPr>
        <w:t>[…]</w:t>
      </w:r>
    </w:p>
    <w:p w14:paraId="2E0511CB" w14:textId="77777777" w:rsidR="00595180" w:rsidRPr="00A26E9F" w:rsidRDefault="002463AB">
      <w:pPr>
        <w:spacing w:line="276" w:lineRule="auto"/>
        <w:ind w:left="851" w:right="90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i/>
          <w:sz w:val="22"/>
          <w:szCs w:val="22"/>
        </w:rPr>
        <w:t>“Artículo 6o.</w:t>
      </w:r>
    </w:p>
    <w:p w14:paraId="13885D29" w14:textId="77777777" w:rsidR="00595180" w:rsidRPr="00A26E9F" w:rsidRDefault="002463AB">
      <w:pPr>
        <w:spacing w:line="276" w:lineRule="auto"/>
        <w:ind w:left="851" w:right="90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i/>
          <w:sz w:val="22"/>
          <w:szCs w:val="22"/>
        </w:rPr>
        <w:t>[...]</w:t>
      </w:r>
    </w:p>
    <w:p w14:paraId="716A9B26" w14:textId="77777777" w:rsidR="00595180" w:rsidRPr="00A26E9F" w:rsidRDefault="002463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 xml:space="preserve">A. Para el ejercicio del derecho de acceso a la información, la Federación y </w:t>
      </w:r>
      <w:r w:rsidRPr="00A26E9F">
        <w:rPr>
          <w:rFonts w:ascii="Palatino Linotype" w:eastAsia="Palatino Linotype" w:hAnsi="Palatino Linotype" w:cs="Palatino Linotype"/>
          <w:b/>
          <w:i/>
          <w:sz w:val="22"/>
          <w:szCs w:val="22"/>
          <w:u w:val="single"/>
        </w:rPr>
        <w:t>las entidades federativas</w:t>
      </w:r>
      <w:r w:rsidRPr="00A26E9F">
        <w:rPr>
          <w:rFonts w:ascii="Palatino Linotype" w:eastAsia="Palatino Linotype" w:hAnsi="Palatino Linotype" w:cs="Palatino Linotype"/>
          <w:b/>
          <w:i/>
          <w:sz w:val="22"/>
          <w:szCs w:val="22"/>
        </w:rPr>
        <w:t>,</w:t>
      </w:r>
      <w:r w:rsidRPr="00A26E9F">
        <w:rPr>
          <w:rFonts w:ascii="Palatino Linotype" w:eastAsia="Palatino Linotype" w:hAnsi="Palatino Linotype" w:cs="Palatino Linotype"/>
          <w:i/>
          <w:sz w:val="22"/>
          <w:szCs w:val="22"/>
        </w:rPr>
        <w:t xml:space="preserve"> en el ámbito de sus respectivas competencias, se regirán por los siguientes principios y bases:</w:t>
      </w:r>
    </w:p>
    <w:p w14:paraId="21CEF5EB" w14:textId="77777777" w:rsidR="00595180" w:rsidRPr="00A26E9F" w:rsidRDefault="002463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w:t>
      </w:r>
      <w:r w:rsidRPr="00A26E9F">
        <w:rPr>
          <w:rFonts w:ascii="Palatino Linotype" w:eastAsia="Palatino Linotype" w:hAnsi="Palatino Linotype" w:cs="Palatino Linotype"/>
          <w:b/>
          <w:i/>
          <w:sz w:val="22"/>
          <w:szCs w:val="22"/>
        </w:rPr>
        <w:t xml:space="preserve">I. </w:t>
      </w:r>
      <w:r w:rsidRPr="00A26E9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26E9F">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26E9F">
        <w:rPr>
          <w:rFonts w:ascii="Palatino Linotype" w:eastAsia="Palatino Linotype" w:hAnsi="Palatino Linotype" w:cs="Palatino Linotype"/>
          <w:b/>
          <w:i/>
          <w:sz w:val="22"/>
          <w:szCs w:val="22"/>
        </w:rPr>
        <w:t>es pública y sólo podrá ser reservada temporalmente por razones de interés público y seguridad nacional,</w:t>
      </w:r>
      <w:r w:rsidRPr="00A26E9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BD0E9E" w14:textId="77777777" w:rsidR="00595180" w:rsidRPr="00A26E9F" w:rsidRDefault="002463AB">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EE6797F" w14:textId="77777777" w:rsidR="00595180" w:rsidRPr="00A26E9F" w:rsidRDefault="002463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w:t>
      </w:r>
      <w:r w:rsidRPr="00A26E9F">
        <w:rPr>
          <w:rFonts w:ascii="Palatino Linotype" w:eastAsia="Palatino Linotype" w:hAnsi="Palatino Linotype" w:cs="Palatino Linotype"/>
          <w:b/>
          <w:i/>
          <w:sz w:val="22"/>
          <w:szCs w:val="22"/>
        </w:rPr>
        <w:t xml:space="preserve">III. </w:t>
      </w:r>
      <w:r w:rsidRPr="00A26E9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26E9F">
        <w:rPr>
          <w:rFonts w:ascii="Palatino Linotype" w:eastAsia="Palatino Linotype" w:hAnsi="Palatino Linotype" w:cs="Palatino Linotype"/>
          <w:i/>
          <w:sz w:val="22"/>
          <w:szCs w:val="22"/>
        </w:rPr>
        <w:t xml:space="preserve"> a sus datos personales o a la rectificación de éstos.</w:t>
      </w:r>
    </w:p>
    <w:p w14:paraId="2ACFDC86" w14:textId="77777777" w:rsidR="00595180" w:rsidRPr="00A26E9F" w:rsidRDefault="002463AB">
      <w:pPr>
        <w:pBdr>
          <w:top w:val="nil"/>
          <w:left w:val="nil"/>
          <w:bottom w:val="nil"/>
          <w:right w:val="nil"/>
          <w:between w:val="nil"/>
        </w:pBdr>
        <w:spacing w:before="240" w:after="240"/>
        <w:ind w:left="851" w:right="851"/>
        <w:jc w:val="both"/>
      </w:pPr>
      <w:r w:rsidRPr="00A26E9F">
        <w:rPr>
          <w:rFonts w:ascii="Palatino Linotype" w:eastAsia="Palatino Linotype" w:hAnsi="Palatino Linotype" w:cs="Palatino Linotype"/>
          <w:b/>
          <w:i/>
          <w:sz w:val="22"/>
          <w:szCs w:val="22"/>
        </w:rPr>
        <w:t>…</w:t>
      </w:r>
    </w:p>
    <w:p w14:paraId="034BBCED" w14:textId="77777777" w:rsidR="00595180" w:rsidRPr="00A26E9F" w:rsidRDefault="002463A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lastRenderedPageBreak/>
        <w:t>IV.</w:t>
      </w:r>
      <w:r w:rsidRPr="00A26E9F">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B9B8513" w14:textId="77777777" w:rsidR="00595180" w:rsidRPr="00A26E9F" w:rsidRDefault="002463AB">
      <w:pPr>
        <w:pBdr>
          <w:top w:val="nil"/>
          <w:left w:val="nil"/>
          <w:bottom w:val="nil"/>
          <w:right w:val="nil"/>
          <w:between w:val="nil"/>
        </w:pBdr>
        <w:spacing w:before="240" w:after="240"/>
        <w:ind w:left="851" w:right="851"/>
        <w:jc w:val="both"/>
      </w:pPr>
      <w:r w:rsidRPr="00A26E9F">
        <w:rPr>
          <w:rFonts w:ascii="Palatino Linotype" w:eastAsia="Palatino Linotype" w:hAnsi="Palatino Linotype" w:cs="Palatino Linotype"/>
          <w:b/>
          <w:i/>
          <w:sz w:val="22"/>
          <w:szCs w:val="22"/>
        </w:rPr>
        <w:t xml:space="preserve">V. </w:t>
      </w:r>
      <w:r w:rsidRPr="00A26E9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4CED7D" w14:textId="77777777" w:rsidR="00595180" w:rsidRPr="00A26E9F" w:rsidRDefault="002463AB">
      <w:pPr>
        <w:pBdr>
          <w:top w:val="nil"/>
          <w:left w:val="nil"/>
          <w:bottom w:val="nil"/>
          <w:right w:val="nil"/>
          <w:between w:val="nil"/>
        </w:pBdr>
        <w:spacing w:before="240" w:after="240"/>
        <w:ind w:left="851" w:right="851"/>
        <w:jc w:val="both"/>
      </w:pPr>
      <w:r w:rsidRPr="00A26E9F">
        <w:rPr>
          <w:rFonts w:ascii="Palatino Linotype" w:eastAsia="Palatino Linotype" w:hAnsi="Palatino Linotype" w:cs="Palatino Linotype"/>
          <w:i/>
          <w:sz w:val="22"/>
          <w:szCs w:val="22"/>
        </w:rPr>
        <w:t> </w:t>
      </w:r>
      <w:r w:rsidRPr="00A26E9F">
        <w:rPr>
          <w:rFonts w:ascii="Palatino Linotype" w:eastAsia="Palatino Linotype" w:hAnsi="Palatino Linotype" w:cs="Palatino Linotype"/>
          <w:b/>
          <w:i/>
          <w:sz w:val="22"/>
          <w:szCs w:val="22"/>
        </w:rPr>
        <w:t xml:space="preserve">VI. </w:t>
      </w:r>
      <w:r w:rsidRPr="00A26E9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A3FBF19" w14:textId="77777777" w:rsidR="00595180" w:rsidRPr="00A26E9F" w:rsidRDefault="002463AB">
      <w:pPr>
        <w:pBdr>
          <w:top w:val="nil"/>
          <w:left w:val="nil"/>
          <w:bottom w:val="nil"/>
          <w:right w:val="nil"/>
          <w:between w:val="nil"/>
        </w:pBdr>
        <w:spacing w:before="240" w:after="240"/>
        <w:ind w:left="851" w:right="851"/>
        <w:jc w:val="both"/>
      </w:pPr>
      <w:r w:rsidRPr="00A26E9F">
        <w:rPr>
          <w:rFonts w:ascii="Palatino Linotype" w:eastAsia="Palatino Linotype" w:hAnsi="Palatino Linotype" w:cs="Palatino Linotype"/>
          <w:i/>
          <w:sz w:val="22"/>
          <w:szCs w:val="22"/>
        </w:rPr>
        <w:t> </w:t>
      </w:r>
      <w:r w:rsidRPr="00A26E9F">
        <w:rPr>
          <w:rFonts w:ascii="Palatino Linotype" w:eastAsia="Palatino Linotype" w:hAnsi="Palatino Linotype" w:cs="Palatino Linotype"/>
          <w:b/>
          <w:i/>
          <w:sz w:val="22"/>
          <w:szCs w:val="22"/>
        </w:rPr>
        <w:t xml:space="preserve">VII. </w:t>
      </w:r>
      <w:r w:rsidRPr="00A26E9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A9305D0" w14:textId="77777777" w:rsidR="00595180" w:rsidRPr="00A26E9F" w:rsidRDefault="00595180">
      <w:pPr>
        <w:spacing w:line="276" w:lineRule="auto"/>
        <w:ind w:left="851" w:right="851"/>
        <w:jc w:val="both"/>
        <w:rPr>
          <w:rFonts w:ascii="Palatino Linotype" w:eastAsia="Palatino Linotype" w:hAnsi="Palatino Linotype" w:cs="Palatino Linotype"/>
          <w:sz w:val="22"/>
          <w:szCs w:val="22"/>
        </w:rPr>
      </w:pPr>
    </w:p>
    <w:p w14:paraId="6552CD55"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49C2EBD"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6B9E1F9"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b/>
          <w:i/>
          <w:sz w:val="22"/>
          <w:szCs w:val="22"/>
        </w:rPr>
        <w:t>Artículo 4</w:t>
      </w:r>
      <w:r w:rsidRPr="00A26E9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41EFB15" w14:textId="77777777" w:rsidR="00595180" w:rsidRPr="00A26E9F" w:rsidRDefault="00595180">
      <w:pPr>
        <w:spacing w:line="276" w:lineRule="auto"/>
        <w:ind w:left="567" w:right="616"/>
        <w:jc w:val="both"/>
        <w:rPr>
          <w:rFonts w:ascii="Palatino Linotype" w:eastAsia="Palatino Linotype" w:hAnsi="Palatino Linotype" w:cs="Palatino Linotype"/>
          <w:i/>
          <w:sz w:val="22"/>
          <w:szCs w:val="22"/>
        </w:rPr>
      </w:pPr>
    </w:p>
    <w:p w14:paraId="3392FE24"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w:t>
      </w:r>
      <w:r w:rsidRPr="00A26E9F">
        <w:rPr>
          <w:rFonts w:ascii="Palatino Linotype" w:eastAsia="Palatino Linotype" w:hAnsi="Palatino Linotype" w:cs="Palatino Linotype"/>
          <w:b/>
          <w:i/>
          <w:sz w:val="22"/>
          <w:szCs w:val="22"/>
        </w:rPr>
        <w:lastRenderedPageBreak/>
        <w:t>manera permanente a cualquier persona</w:t>
      </w:r>
      <w:r w:rsidRPr="00A26E9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2C76AF" w14:textId="77777777" w:rsidR="00595180" w:rsidRPr="00A26E9F" w:rsidRDefault="00595180">
      <w:pPr>
        <w:spacing w:line="276" w:lineRule="auto"/>
        <w:ind w:left="567" w:right="616"/>
        <w:jc w:val="both"/>
        <w:rPr>
          <w:rFonts w:ascii="Palatino Linotype" w:eastAsia="Palatino Linotype" w:hAnsi="Palatino Linotype" w:cs="Palatino Linotype"/>
          <w:i/>
          <w:sz w:val="22"/>
          <w:szCs w:val="22"/>
        </w:rPr>
      </w:pPr>
    </w:p>
    <w:p w14:paraId="29D1D59E"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26E9F">
        <w:rPr>
          <w:rFonts w:ascii="Palatino Linotype" w:eastAsia="Palatino Linotype" w:hAnsi="Palatino Linotype" w:cs="Palatino Linotype"/>
          <w:i/>
          <w:sz w:val="22"/>
          <w:szCs w:val="22"/>
        </w:rPr>
        <w:t>.”</w:t>
      </w:r>
    </w:p>
    <w:p w14:paraId="71FCD128"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AF0E5AB"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6A78798"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7409AE14"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“Artículo 12.-</w:t>
      </w:r>
      <w:r w:rsidRPr="00A26E9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26829A1" w14:textId="77777777" w:rsidR="00595180" w:rsidRPr="00A26E9F" w:rsidRDefault="00595180">
      <w:pPr>
        <w:spacing w:line="276" w:lineRule="auto"/>
        <w:ind w:left="567" w:right="616"/>
        <w:jc w:val="both"/>
        <w:rPr>
          <w:rFonts w:ascii="Palatino Linotype" w:eastAsia="Palatino Linotype" w:hAnsi="Palatino Linotype" w:cs="Palatino Linotype"/>
          <w:i/>
          <w:sz w:val="22"/>
          <w:szCs w:val="22"/>
        </w:rPr>
      </w:pPr>
    </w:p>
    <w:p w14:paraId="6111E2C6" w14:textId="77777777" w:rsidR="00595180" w:rsidRPr="00A26E9F" w:rsidRDefault="002463AB">
      <w:pP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635A53E" w14:textId="77777777" w:rsidR="00595180" w:rsidRPr="00A26E9F" w:rsidRDefault="00595180">
      <w:pPr>
        <w:spacing w:line="360" w:lineRule="auto"/>
        <w:ind w:left="567" w:right="616"/>
        <w:jc w:val="both"/>
        <w:rPr>
          <w:rFonts w:ascii="Palatino Linotype" w:eastAsia="Palatino Linotype" w:hAnsi="Palatino Linotype" w:cs="Palatino Linotype"/>
          <w:i/>
          <w:sz w:val="22"/>
          <w:szCs w:val="22"/>
        </w:rPr>
      </w:pPr>
    </w:p>
    <w:p w14:paraId="5310F0CC" w14:textId="77777777" w:rsidR="00595180" w:rsidRPr="00A26E9F" w:rsidRDefault="002463AB">
      <w:pPr>
        <w:spacing w:line="360" w:lineRule="auto"/>
        <w:ind w:right="-93"/>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BF2A191" w14:textId="77777777" w:rsidR="00595180" w:rsidRPr="00A26E9F" w:rsidRDefault="00595180">
      <w:pPr>
        <w:spacing w:line="360" w:lineRule="auto"/>
        <w:ind w:right="-93"/>
        <w:jc w:val="both"/>
        <w:rPr>
          <w:rFonts w:ascii="Palatino Linotype" w:eastAsia="Palatino Linotype" w:hAnsi="Palatino Linotype" w:cs="Palatino Linotype"/>
          <w:sz w:val="22"/>
          <w:szCs w:val="22"/>
        </w:rPr>
      </w:pPr>
    </w:p>
    <w:p w14:paraId="362D2140" w14:textId="77777777" w:rsidR="00595180" w:rsidRPr="00A26E9F" w:rsidRDefault="002463AB">
      <w:pPr>
        <w:spacing w:line="360" w:lineRule="auto"/>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26E9F">
        <w:rPr>
          <w:rFonts w:ascii="Palatino Linotype" w:eastAsia="Palatino Linotype" w:hAnsi="Palatino Linotype" w:cs="Palatino Linotype"/>
          <w:b/>
          <w:sz w:val="22"/>
          <w:szCs w:val="22"/>
        </w:rPr>
        <w:t xml:space="preserve"> </w:t>
      </w:r>
    </w:p>
    <w:p w14:paraId="7C616B77"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b/>
          <w:i/>
          <w:sz w:val="22"/>
          <w:szCs w:val="22"/>
        </w:rPr>
        <w:t>No existe obligación de elaborar documentos ad hoc para atender las solicitudes de acceso a la información.</w:t>
      </w:r>
      <w:r w:rsidRPr="00A26E9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0649E8E" w14:textId="77777777" w:rsidR="00595180" w:rsidRPr="00A26E9F" w:rsidRDefault="00595180">
      <w:pPr>
        <w:spacing w:line="360" w:lineRule="auto"/>
        <w:ind w:right="-93"/>
        <w:jc w:val="both"/>
        <w:rPr>
          <w:rFonts w:ascii="Palatino Linotype" w:eastAsia="Palatino Linotype" w:hAnsi="Palatino Linotype" w:cs="Palatino Linotype"/>
          <w:sz w:val="22"/>
          <w:szCs w:val="22"/>
        </w:rPr>
      </w:pPr>
    </w:p>
    <w:p w14:paraId="6F237DD5"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F9F42D3"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5BD36899"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860AE84"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1013DE3D"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418D4B" w14:textId="77777777" w:rsidR="00595180" w:rsidRPr="00A26E9F" w:rsidRDefault="00595180">
      <w:pPr>
        <w:spacing w:line="360" w:lineRule="auto"/>
        <w:ind w:left="851" w:right="899"/>
        <w:jc w:val="both"/>
        <w:rPr>
          <w:rFonts w:ascii="Palatino Linotype" w:eastAsia="Palatino Linotype" w:hAnsi="Palatino Linotype" w:cs="Palatino Linotype"/>
          <w:i/>
          <w:sz w:val="22"/>
          <w:szCs w:val="22"/>
        </w:rPr>
      </w:pPr>
    </w:p>
    <w:p w14:paraId="1ED66CDC"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b/>
          <w:i/>
          <w:sz w:val="22"/>
          <w:szCs w:val="22"/>
        </w:rPr>
        <w:t xml:space="preserve">Artículo 3. </w:t>
      </w:r>
      <w:r w:rsidRPr="00A26E9F">
        <w:rPr>
          <w:rFonts w:ascii="Palatino Linotype" w:eastAsia="Palatino Linotype" w:hAnsi="Palatino Linotype" w:cs="Palatino Linotype"/>
          <w:i/>
          <w:sz w:val="22"/>
          <w:szCs w:val="22"/>
        </w:rPr>
        <w:t>Para los efectos de la presente Ley se entenderá por:</w:t>
      </w:r>
    </w:p>
    <w:p w14:paraId="231AFC01"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5D428229"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XI. Documento:</w:t>
      </w:r>
      <w:r w:rsidRPr="00A26E9F">
        <w:rPr>
          <w:rFonts w:ascii="Palatino Linotype" w:eastAsia="Palatino Linotype" w:hAnsi="Palatino Linotype" w:cs="Palatino Linotype"/>
          <w:i/>
          <w:sz w:val="22"/>
          <w:szCs w:val="22"/>
        </w:rPr>
        <w:t xml:space="preserve"> Los expedientes, reportes, estudios, actas</w:t>
      </w:r>
      <w:r w:rsidRPr="00A26E9F">
        <w:rPr>
          <w:rFonts w:ascii="Palatino Linotype" w:eastAsia="Palatino Linotype" w:hAnsi="Palatino Linotype" w:cs="Palatino Linotype"/>
          <w:b/>
          <w:i/>
          <w:sz w:val="22"/>
          <w:szCs w:val="22"/>
        </w:rPr>
        <w:t>,</w:t>
      </w:r>
      <w:r w:rsidRPr="00A26E9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B8849E4" w14:textId="77777777" w:rsidR="00595180" w:rsidRPr="00A26E9F" w:rsidRDefault="00595180">
      <w:pPr>
        <w:spacing w:line="360" w:lineRule="auto"/>
        <w:ind w:left="851" w:right="899"/>
        <w:jc w:val="both"/>
        <w:rPr>
          <w:rFonts w:ascii="Palatino Linotype" w:eastAsia="Palatino Linotype" w:hAnsi="Palatino Linotype" w:cs="Palatino Linotype"/>
          <w:sz w:val="22"/>
          <w:szCs w:val="22"/>
        </w:rPr>
      </w:pPr>
    </w:p>
    <w:p w14:paraId="1687985B"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w:t>
      </w:r>
      <w:r w:rsidRPr="00A26E9F">
        <w:rPr>
          <w:rFonts w:ascii="Palatino Linotype" w:eastAsia="Palatino Linotype" w:hAnsi="Palatino Linotype" w:cs="Palatino Linotype"/>
          <w:sz w:val="22"/>
          <w:szCs w:val="22"/>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6AEC9D71"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1260F5B5" w14:textId="77777777" w:rsidR="00595180" w:rsidRPr="00A26E9F" w:rsidRDefault="002463AB">
      <w:pP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sz w:val="22"/>
          <w:szCs w:val="22"/>
        </w:rPr>
        <w:t>“</w:t>
      </w:r>
      <w:r w:rsidRPr="00A26E9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26E9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CBEEBC2"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En </w:t>
      </w:r>
      <w:proofErr w:type="gramStart"/>
      <w:r w:rsidRPr="00A26E9F">
        <w:rPr>
          <w:rFonts w:ascii="Palatino Linotype" w:eastAsia="Palatino Linotype" w:hAnsi="Palatino Linotype" w:cs="Palatino Linotype"/>
          <w:i/>
          <w:sz w:val="22"/>
          <w:szCs w:val="22"/>
        </w:rPr>
        <w:t>consecuencia</w:t>
      </w:r>
      <w:proofErr w:type="gramEnd"/>
      <w:r w:rsidRPr="00A26E9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3674480"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26E9F">
        <w:rPr>
          <w:rFonts w:ascii="Palatino Linotype" w:eastAsia="Palatino Linotype" w:hAnsi="Palatino Linotype" w:cs="Palatino Linotype"/>
          <w:i/>
          <w:sz w:val="22"/>
          <w:szCs w:val="22"/>
        </w:rPr>
        <w:t>que</w:t>
      </w:r>
      <w:proofErr w:type="gramEnd"/>
      <w:r w:rsidRPr="00A26E9F">
        <w:rPr>
          <w:rFonts w:ascii="Palatino Linotype" w:eastAsia="Palatino Linotype" w:hAnsi="Palatino Linotype" w:cs="Palatino Linotype"/>
          <w:i/>
          <w:sz w:val="22"/>
          <w:szCs w:val="22"/>
        </w:rPr>
        <w:t xml:space="preserve"> en ejercicio de las atribuciones conferidas, sea generada por los Sujetos Obligados;</w:t>
      </w:r>
    </w:p>
    <w:p w14:paraId="1BBB9FDE" w14:textId="77777777" w:rsidR="00595180" w:rsidRPr="00A26E9F" w:rsidRDefault="002463AB">
      <w:pP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26E9F">
        <w:rPr>
          <w:rFonts w:ascii="Palatino Linotype" w:eastAsia="Palatino Linotype" w:hAnsi="Palatino Linotype" w:cs="Palatino Linotype"/>
          <w:b/>
          <w:i/>
          <w:sz w:val="22"/>
          <w:szCs w:val="22"/>
        </w:rPr>
        <w:t>que</w:t>
      </w:r>
      <w:proofErr w:type="gramEnd"/>
      <w:r w:rsidRPr="00A26E9F">
        <w:rPr>
          <w:rFonts w:ascii="Palatino Linotype" w:eastAsia="Palatino Linotype" w:hAnsi="Palatino Linotype" w:cs="Palatino Linotype"/>
          <w:b/>
          <w:i/>
          <w:sz w:val="22"/>
          <w:szCs w:val="22"/>
        </w:rPr>
        <w:t xml:space="preserve"> en ejercicio de las atribuciones conferidas, sea administrada por los Sujetos Obligados, y</w:t>
      </w:r>
    </w:p>
    <w:p w14:paraId="07F0D86D" w14:textId="77777777" w:rsidR="00595180" w:rsidRPr="00A26E9F" w:rsidRDefault="002463AB">
      <w:pP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26E9F">
        <w:rPr>
          <w:rFonts w:ascii="Palatino Linotype" w:eastAsia="Palatino Linotype" w:hAnsi="Palatino Linotype" w:cs="Palatino Linotype"/>
          <w:b/>
          <w:i/>
          <w:sz w:val="22"/>
          <w:szCs w:val="22"/>
        </w:rPr>
        <w:t>que</w:t>
      </w:r>
      <w:proofErr w:type="gramEnd"/>
      <w:r w:rsidRPr="00A26E9F">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3DAB79BB" w14:textId="77777777" w:rsidR="00595180" w:rsidRPr="00A26E9F" w:rsidRDefault="00595180">
      <w:pPr>
        <w:spacing w:line="276" w:lineRule="auto"/>
        <w:ind w:left="567" w:right="616"/>
        <w:jc w:val="both"/>
        <w:rPr>
          <w:rFonts w:ascii="Palatino Linotype" w:eastAsia="Palatino Linotype" w:hAnsi="Palatino Linotype" w:cs="Palatino Linotype"/>
          <w:b/>
          <w:i/>
          <w:sz w:val="22"/>
          <w:szCs w:val="22"/>
        </w:rPr>
      </w:pPr>
    </w:p>
    <w:p w14:paraId="7669D43F"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ahí que 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26E9F">
        <w:rPr>
          <w:rFonts w:ascii="Palatino Linotype" w:eastAsia="Palatino Linotype" w:hAnsi="Palatino Linotype" w:cs="Palatino Linotype"/>
          <w:sz w:val="22"/>
          <w:szCs w:val="22"/>
          <w:vertAlign w:val="superscript"/>
        </w:rPr>
        <w:footnoteReference w:id="1"/>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sz w:val="22"/>
          <w:szCs w:val="22"/>
        </w:rPr>
        <w:lastRenderedPageBreak/>
        <w:t>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26E9F">
        <w:rPr>
          <w:rFonts w:ascii="Palatino Linotype" w:eastAsia="Palatino Linotype" w:hAnsi="Palatino Linotype" w:cs="Palatino Linotype"/>
          <w:sz w:val="22"/>
          <w:szCs w:val="22"/>
          <w:vertAlign w:val="superscript"/>
        </w:rPr>
        <w:footnoteReference w:id="2"/>
      </w:r>
      <w:r w:rsidRPr="00A26E9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55006281" w14:textId="77777777" w:rsidR="00595180" w:rsidRPr="00A26E9F" w:rsidRDefault="00595180">
      <w:pPr>
        <w:spacing w:line="360" w:lineRule="auto"/>
        <w:ind w:right="-150"/>
        <w:jc w:val="both"/>
        <w:rPr>
          <w:rFonts w:ascii="Palatino Linotype" w:eastAsia="Palatino Linotype" w:hAnsi="Palatino Linotype" w:cs="Palatino Linotype"/>
          <w:sz w:val="22"/>
          <w:szCs w:val="22"/>
        </w:rPr>
      </w:pPr>
    </w:p>
    <w:p w14:paraId="0ACFE52E" w14:textId="77777777" w:rsidR="00595180" w:rsidRPr="00A26E9F" w:rsidRDefault="002463A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A26E9F">
        <w:rPr>
          <w:rFonts w:ascii="Palatino Linotype" w:eastAsia="Palatino Linotype" w:hAnsi="Palatino Linotype" w:cs="Palatino Linotype"/>
          <w:sz w:val="22"/>
          <w:szCs w:val="22"/>
        </w:rPr>
        <w:t xml:space="preserve">Para ello, conviene iniciar el presente estudio señalando que la persona solicitante requirió del </w:t>
      </w:r>
      <w:r w:rsidRPr="00A26E9F">
        <w:rPr>
          <w:rFonts w:ascii="Palatino Linotype" w:eastAsia="Palatino Linotype" w:hAnsi="Palatino Linotype" w:cs="Palatino Linotype"/>
          <w:b/>
          <w:sz w:val="22"/>
          <w:szCs w:val="22"/>
        </w:rPr>
        <w:t xml:space="preserve">Sujeto Obligado, a la fecha de la solicitud (25 de febrero de 2025), </w:t>
      </w:r>
      <w:r w:rsidRPr="00A26E9F">
        <w:rPr>
          <w:rFonts w:ascii="Palatino Linotype" w:eastAsia="Palatino Linotype" w:hAnsi="Palatino Linotype" w:cs="Palatino Linotype"/>
          <w:sz w:val="22"/>
          <w:szCs w:val="22"/>
        </w:rPr>
        <w:t>lo siguiente:</w:t>
      </w:r>
    </w:p>
    <w:p w14:paraId="6497C1EB" w14:textId="77777777" w:rsidR="00595180" w:rsidRPr="00A26E9F" w:rsidRDefault="0059518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CF734A8" w14:textId="77777777" w:rsidR="00595180" w:rsidRPr="00A26E9F" w:rsidRDefault="002463AB">
      <w:pPr>
        <w:numPr>
          <w:ilvl w:val="0"/>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Sobre su clasificación Archivística: </w:t>
      </w:r>
    </w:p>
    <w:p w14:paraId="22ABD42B" w14:textId="77777777" w:rsidR="00595180" w:rsidRPr="00A26E9F" w:rsidRDefault="00595180">
      <w:pPr>
        <w:pBdr>
          <w:top w:val="nil"/>
          <w:left w:val="nil"/>
          <w:bottom w:val="nil"/>
          <w:right w:val="nil"/>
          <w:between w:val="nil"/>
        </w:pBdr>
        <w:spacing w:line="276" w:lineRule="auto"/>
        <w:ind w:left="360" w:right="-150"/>
        <w:jc w:val="both"/>
        <w:rPr>
          <w:rFonts w:ascii="Palatino Linotype" w:eastAsia="Palatino Linotype" w:hAnsi="Palatino Linotype" w:cs="Palatino Linotype"/>
          <w:sz w:val="22"/>
          <w:szCs w:val="22"/>
        </w:rPr>
      </w:pPr>
    </w:p>
    <w:p w14:paraId="34F745DF"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Indicar si el Centro de Conciliación Laboral del Estado de México cuenta con la clasificación archivística debidamente establecida</w:t>
      </w:r>
      <w:r w:rsidRPr="00A26E9F">
        <w:rPr>
          <w:rFonts w:ascii="Palatino Linotype" w:eastAsia="Palatino Linotype" w:hAnsi="Palatino Linotype" w:cs="Palatino Linotype"/>
          <w:sz w:val="22"/>
          <w:szCs w:val="22"/>
        </w:rPr>
        <w:t xml:space="preserve">. </w:t>
      </w:r>
    </w:p>
    <w:p w14:paraId="0D404419"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En caso afirmativo, </w:t>
      </w:r>
      <w:r w:rsidRPr="00A26E9F">
        <w:rPr>
          <w:rFonts w:ascii="Palatino Linotype" w:eastAsia="Palatino Linotype" w:hAnsi="Palatino Linotype" w:cs="Palatino Linotype"/>
          <w:b/>
          <w:sz w:val="22"/>
          <w:szCs w:val="22"/>
        </w:rPr>
        <w:t xml:space="preserve">proporcionar una copia del instrumento normativo correspondiente. </w:t>
      </w:r>
    </w:p>
    <w:p w14:paraId="75811C84" w14:textId="77777777" w:rsidR="00595180" w:rsidRPr="00A26E9F" w:rsidRDefault="00595180">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752FDEF3" w14:textId="77777777" w:rsidR="00595180" w:rsidRPr="00A26E9F" w:rsidRDefault="002463AB">
      <w:pPr>
        <w:numPr>
          <w:ilvl w:val="0"/>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Sobre el Archivo de Concentración: </w:t>
      </w:r>
    </w:p>
    <w:p w14:paraId="4888F8CD"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Informar si en cada una de las sedes del Centro de Conciliación Laboral del Estado de México existe un archivo de concentración.</w:t>
      </w:r>
      <w:r w:rsidRPr="00A26E9F">
        <w:rPr>
          <w:rFonts w:ascii="Palatino Linotype" w:eastAsia="Palatino Linotype" w:hAnsi="Palatino Linotype" w:cs="Palatino Linotype"/>
          <w:sz w:val="22"/>
          <w:szCs w:val="22"/>
        </w:rPr>
        <w:t xml:space="preserve"> </w:t>
      </w:r>
    </w:p>
    <w:p w14:paraId="49BDB94C"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 xml:space="preserve">En caso afirmativo, detallar su ubicación y si cuenta con los lineamientos correspondientes. </w:t>
      </w:r>
    </w:p>
    <w:p w14:paraId="0E7A76DF" w14:textId="77777777" w:rsidR="00595180" w:rsidRPr="00A26E9F" w:rsidRDefault="00595180">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0B2F0FD3" w14:textId="77777777" w:rsidR="00595180" w:rsidRPr="00A26E9F" w:rsidRDefault="002463AB">
      <w:pPr>
        <w:numPr>
          <w:ilvl w:val="0"/>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Sobre la Supervisión de Gestión Documental: </w:t>
      </w:r>
    </w:p>
    <w:p w14:paraId="277EB7B8" w14:textId="77777777" w:rsidR="00595180" w:rsidRPr="00A26E9F" w:rsidRDefault="00595180">
      <w:pPr>
        <w:pBdr>
          <w:top w:val="nil"/>
          <w:left w:val="nil"/>
          <w:bottom w:val="nil"/>
          <w:right w:val="nil"/>
          <w:between w:val="nil"/>
        </w:pBdr>
        <w:spacing w:line="276" w:lineRule="auto"/>
        <w:ind w:left="360" w:right="-150"/>
        <w:jc w:val="both"/>
        <w:rPr>
          <w:rFonts w:ascii="Palatino Linotype" w:eastAsia="Palatino Linotype" w:hAnsi="Palatino Linotype" w:cs="Palatino Linotype"/>
          <w:sz w:val="22"/>
          <w:szCs w:val="22"/>
        </w:rPr>
      </w:pPr>
    </w:p>
    <w:p w14:paraId="435ACBCF"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 xml:space="preserve">Indicar si el Área Coordinadora de Archivos ha vigilado el cumplimiento de las disposiciones en materia de gestión documental y administración de archivos dentro del Centro de Conciliación Laboral del Estado de México. </w:t>
      </w:r>
    </w:p>
    <w:p w14:paraId="0D49A65C" w14:textId="77777777" w:rsidR="00595180" w:rsidRPr="00A26E9F" w:rsidRDefault="00595180">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5D7FC8F3"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 xml:space="preserve">Precisar los mecanismos de supervisión que se han implementado con evidencia documental de dichas acciones. </w:t>
      </w:r>
    </w:p>
    <w:p w14:paraId="0A4CEE98" w14:textId="77777777" w:rsidR="00595180" w:rsidRPr="00A26E9F" w:rsidRDefault="00595180">
      <w:pPr>
        <w:pBdr>
          <w:top w:val="nil"/>
          <w:left w:val="nil"/>
          <w:bottom w:val="nil"/>
          <w:right w:val="nil"/>
          <w:between w:val="nil"/>
        </w:pBdr>
        <w:ind w:left="720"/>
        <w:rPr>
          <w:rFonts w:ascii="Palatino Linotype" w:eastAsia="Palatino Linotype" w:hAnsi="Palatino Linotype" w:cs="Palatino Linotype"/>
          <w:sz w:val="22"/>
          <w:szCs w:val="22"/>
        </w:rPr>
      </w:pPr>
    </w:p>
    <w:p w14:paraId="4469E84D" w14:textId="77777777" w:rsidR="00595180" w:rsidRPr="00A26E9F" w:rsidRDefault="002463AB">
      <w:pPr>
        <w:numPr>
          <w:ilvl w:val="0"/>
          <w:numId w:val="7"/>
        </w:numPr>
        <w:pBdr>
          <w:top w:val="nil"/>
          <w:left w:val="nil"/>
          <w:bottom w:val="nil"/>
          <w:right w:val="nil"/>
          <w:between w:val="nil"/>
        </w:pBdr>
        <w:spacing w:line="276" w:lineRule="auto"/>
        <w:ind w:left="426" w:right="-150" w:hanging="426"/>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Sobre los Inventarios Documentales: </w:t>
      </w:r>
    </w:p>
    <w:p w14:paraId="2E01BCD2"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 xml:space="preserve">Informar si cada sede del Centro de Conciliación Laboral del Estado de México cuenta con los inventarios documentales correspondientes a los años 2020, 2021 y 2022. </w:t>
      </w:r>
    </w:p>
    <w:p w14:paraId="13B59EE1"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 xml:space="preserve">En caso afirmativo, proporcionar una copia de los mismos. </w:t>
      </w:r>
    </w:p>
    <w:p w14:paraId="399CE85E" w14:textId="77777777" w:rsidR="00595180" w:rsidRPr="00A26E9F" w:rsidRDefault="00595180">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538B34B1" w14:textId="77777777" w:rsidR="00595180" w:rsidRPr="00A26E9F" w:rsidRDefault="002463AB">
      <w:pPr>
        <w:numPr>
          <w:ilvl w:val="0"/>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Sobre los Expedientes Concentrados por Año y Sede: </w:t>
      </w:r>
    </w:p>
    <w:p w14:paraId="1E713C46" w14:textId="77777777" w:rsidR="00595180" w:rsidRPr="00A26E9F" w:rsidRDefault="002463AB">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Número de expedientes que fueron remitidos a las sedes de archivo de concentración o se prevén remitir de los años 2020, 2021 y 2022, proporcionando la información desglosada por sede.</w:t>
      </w:r>
    </w:p>
    <w:p w14:paraId="79221853" w14:textId="77777777" w:rsidR="00595180" w:rsidRPr="00A26E9F" w:rsidRDefault="00595180">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2C0C329F" w14:textId="77777777" w:rsidR="00595180" w:rsidRPr="00A26E9F" w:rsidRDefault="002463AB">
      <w:pPr>
        <w:numPr>
          <w:ilvl w:val="0"/>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Sobre el plazo para Archivo de Concentración: </w:t>
      </w:r>
    </w:p>
    <w:p w14:paraId="6AFECB03" w14:textId="77777777" w:rsidR="00595180" w:rsidRPr="00A26E9F" w:rsidRDefault="002463AB">
      <w:pPr>
        <w:numPr>
          <w:ilvl w:val="0"/>
          <w:numId w:val="9"/>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Indicar el plazo legal y/o normativo que tiene el Centro de Conciliación Laboral del Estado de México para realizar el archivo de concentración conforme a la normatividad aplicable.</w:t>
      </w:r>
    </w:p>
    <w:p w14:paraId="4BBF1658" w14:textId="77777777" w:rsidR="00595180" w:rsidRPr="00A26E9F" w:rsidRDefault="002463AB">
      <w:pPr>
        <w:numPr>
          <w:ilvl w:val="0"/>
          <w:numId w:val="9"/>
        </w:num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En caso de existir lineamientos internos, proporcionar una copia de estos.</w:t>
      </w:r>
    </w:p>
    <w:p w14:paraId="7CC9094E" w14:textId="77777777" w:rsidR="00595180" w:rsidRPr="00A26E9F" w:rsidRDefault="0059518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776DF49" w14:textId="77777777" w:rsidR="00595180" w:rsidRPr="00A26E9F" w:rsidRDefault="002463A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En respuesta,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por conducto de la Titular de la Unidad de Información, Planeación, Programación y Evaluación, la cual remitió la contestación emitida por la Servidor Público Habilitado de la Unidad de Apoyo Administrativo, la cual se pronunció sobre cada punto de la solicitud, en los términos que más adelante se detallarán.</w:t>
      </w:r>
    </w:p>
    <w:p w14:paraId="3660C75D" w14:textId="77777777" w:rsidR="00595180" w:rsidRPr="00A26E9F" w:rsidRDefault="0059518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9CD1E71" w14:textId="77777777" w:rsidR="00595180" w:rsidRPr="00A26E9F" w:rsidRDefault="002463AB">
      <w:pP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Inconforme con la respuesta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 xml:space="preserve">promovió el presente recurso de revisión en el que a manera de motivos de inconformidad </w:t>
      </w:r>
      <w:r w:rsidRPr="00A26E9F">
        <w:rPr>
          <w:rFonts w:ascii="Palatino Linotype" w:eastAsia="Palatino Linotype" w:hAnsi="Palatino Linotype" w:cs="Palatino Linotype"/>
          <w:b/>
          <w:sz w:val="22"/>
          <w:szCs w:val="22"/>
        </w:rPr>
        <w:t>se adolece medularmente de la negativa a la entrega a la información y de la entrega de información incompleta.</w:t>
      </w:r>
    </w:p>
    <w:p w14:paraId="0D159EDC" w14:textId="77777777" w:rsidR="00595180" w:rsidRPr="00A26E9F" w:rsidRDefault="00595180">
      <w:pPr>
        <w:spacing w:line="360" w:lineRule="auto"/>
        <w:ind w:right="49"/>
        <w:jc w:val="both"/>
        <w:rPr>
          <w:rFonts w:ascii="Palatino Linotype" w:eastAsia="Palatino Linotype" w:hAnsi="Palatino Linotype" w:cs="Palatino Linotype"/>
          <w:b/>
          <w:sz w:val="22"/>
          <w:szCs w:val="22"/>
        </w:rPr>
      </w:pPr>
    </w:p>
    <w:p w14:paraId="117C0E2E"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Admitido el presente recurso de revisión, en términos del artículo 185 fracción II</w:t>
      </w:r>
      <w:r w:rsidRPr="00A26E9F">
        <w:rPr>
          <w:rFonts w:ascii="Palatino Linotype" w:eastAsia="Palatino Linotype" w:hAnsi="Palatino Linotype" w:cs="Palatino Linotype"/>
          <w:sz w:val="22"/>
          <w:szCs w:val="22"/>
          <w:vertAlign w:val="superscript"/>
        </w:rPr>
        <w:footnoteReference w:id="3"/>
      </w:r>
      <w:r w:rsidRPr="00A26E9F">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F38AD49"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1C5CBAA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Es de señalar que, durante la etapa de manifestaciones</w:t>
      </w:r>
      <w:r w:rsidRPr="00A26E9F">
        <w:rPr>
          <w:rFonts w:ascii="Palatino Linotype" w:eastAsia="Palatino Linotype" w:hAnsi="Palatino Linotype" w:cs="Palatino Linotype"/>
          <w:b/>
          <w:sz w:val="22"/>
          <w:szCs w:val="22"/>
        </w:rPr>
        <w:t xml:space="preserve">, </w:t>
      </w:r>
      <w:r w:rsidRPr="00A26E9F">
        <w:rPr>
          <w:rFonts w:ascii="Palatino Linotype" w:eastAsia="Palatino Linotype" w:hAnsi="Palatino Linotype" w:cs="Palatino Linotype"/>
          <w:sz w:val="22"/>
          <w:szCs w:val="22"/>
        </w:rPr>
        <w:t xml:space="preserve">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rindió su informe justificado en el que de manera medular ratificó la respuesta inicial.</w:t>
      </w:r>
    </w:p>
    <w:p w14:paraId="2C71C9E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45A601B"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Por su lado,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fue omisa en rendir alegatos o manifestaciones que conforme a derecho resulten procedentes.</w:t>
      </w:r>
    </w:p>
    <w:p w14:paraId="3A25BB75"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955490" w14:textId="77777777" w:rsidR="00595180" w:rsidRPr="00A26E9F" w:rsidRDefault="002463AB">
      <w:pPr>
        <w:spacing w:line="360" w:lineRule="auto"/>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Una vez establecidas las posturas de las partes, es de indicar que, en el caso </w:t>
      </w:r>
      <w:r w:rsidRPr="00A26E9F">
        <w:rPr>
          <w:rFonts w:ascii="Palatino Linotype" w:eastAsia="Palatino Linotype" w:hAnsi="Palatino Linotype" w:cs="Palatino Linotype"/>
          <w:b/>
          <w:sz w:val="22"/>
          <w:szCs w:val="22"/>
        </w:rPr>
        <w:t xml:space="preserve">los motivos de inconformidad no versan sobre la totalidad de los puntos de la solicitud; </w:t>
      </w:r>
      <w:proofErr w:type="gramStart"/>
      <w:r w:rsidRPr="00A26E9F">
        <w:rPr>
          <w:rFonts w:ascii="Palatino Linotype" w:eastAsia="Palatino Linotype" w:hAnsi="Palatino Linotype" w:cs="Palatino Linotype"/>
          <w:sz w:val="22"/>
          <w:szCs w:val="22"/>
        </w:rPr>
        <w:t>ya que</w:t>
      </w:r>
      <w:proofErr w:type="gramEnd"/>
      <w:r w:rsidRPr="00A26E9F">
        <w:rPr>
          <w:rFonts w:ascii="Palatino Linotype" w:eastAsia="Palatino Linotype" w:hAnsi="Palatino Linotype" w:cs="Palatino Linotype"/>
          <w:sz w:val="22"/>
          <w:szCs w:val="22"/>
        </w:rPr>
        <w:t xml:space="preserve"> de su lectura, sobre el requerimiento relativo a “</w:t>
      </w:r>
      <w:r w:rsidRPr="00A26E9F">
        <w:rPr>
          <w:rFonts w:ascii="Palatino Linotype" w:eastAsia="Palatino Linotype" w:hAnsi="Palatino Linotype" w:cs="Palatino Linotype"/>
          <w:i/>
          <w:sz w:val="22"/>
          <w:szCs w:val="22"/>
        </w:rPr>
        <w:t>Plazo para Archivo de Concentración: Indicar el plazo legal y/o normativo que tiene el Centro de Conciliación Laboral del Estado de México para realizar el archivo de concentración conforme a la normatividad aplicable. En caso de existir lineamientos internos, proporcionar una copia de estos</w:t>
      </w:r>
      <w:r w:rsidRPr="00A26E9F">
        <w:rPr>
          <w:rFonts w:ascii="Palatino Linotype" w:eastAsia="Palatino Linotype" w:hAnsi="Palatino Linotype" w:cs="Palatino Linotype"/>
          <w:sz w:val="22"/>
          <w:szCs w:val="22"/>
        </w:rPr>
        <w:t xml:space="preserve">”, solamente se advierte que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sobre dicho punto de la solicitud, únicamente se inconforma de que no le proporcionan lineamientos internos que establecen el plazo para implementar el archivo de concentración.</w:t>
      </w:r>
    </w:p>
    <w:p w14:paraId="7FDA0913"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A9B2C44" w14:textId="77777777" w:rsidR="00595180" w:rsidRPr="00A26E9F" w:rsidRDefault="002463AB">
      <w:pPr>
        <w:spacing w:line="360" w:lineRule="auto"/>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Por tanto, </w:t>
      </w:r>
      <w:r w:rsidRPr="00A26E9F">
        <w:rPr>
          <w:rFonts w:ascii="Palatino Linotype" w:eastAsia="Palatino Linotype" w:hAnsi="Palatino Linotype" w:cs="Palatino Linotype"/>
          <w:b/>
          <w:sz w:val="22"/>
          <w:szCs w:val="22"/>
        </w:rPr>
        <w:t>al no haberse impugnado lo relativo al plazo para Archivo de Concentración: Indicar el plazo legal y/o normativo que tiene el Centro de Conciliación Laboral del Estado de México para realizar el archivo de concentración conforme a la normatividad aplicable</w:t>
      </w:r>
      <w:r w:rsidRPr="00A26E9F">
        <w:rPr>
          <w:rFonts w:ascii="Palatino Linotype" w:eastAsia="Palatino Linotype" w:hAnsi="Palatino Linotype" w:cs="Palatino Linotype"/>
          <w:sz w:val="22"/>
          <w:szCs w:val="22"/>
        </w:rPr>
        <w:t xml:space="preserve">, por ende, no pueden producirse efectos jurídicos tendentes a revocar, confirmar </w:t>
      </w:r>
      <w:r w:rsidRPr="00A26E9F">
        <w:rPr>
          <w:rFonts w:ascii="Palatino Linotype" w:eastAsia="Palatino Linotype" w:hAnsi="Palatino Linotype" w:cs="Palatino Linotype"/>
          <w:sz w:val="22"/>
          <w:szCs w:val="22"/>
        </w:rPr>
        <w:lastRenderedPageBreak/>
        <w:t xml:space="preserve">o modificar el acto reclamado, ya que, sobre dicha parte de la solicitud, la misma se encuentra satisfecha por la parte </w:t>
      </w:r>
      <w:r w:rsidRPr="00A26E9F">
        <w:rPr>
          <w:rFonts w:ascii="Palatino Linotype" w:eastAsia="Palatino Linotype" w:hAnsi="Palatino Linotype" w:cs="Palatino Linotype"/>
          <w:b/>
          <w:sz w:val="22"/>
          <w:szCs w:val="22"/>
        </w:rPr>
        <w:t>Recurrente.</w:t>
      </w:r>
    </w:p>
    <w:p w14:paraId="5DFE0B09"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75FA4C68"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Lo anterior es así, debido a que cuando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 xml:space="preserve">impugna la respuesta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E522074"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4FB3C08E" w14:textId="77777777" w:rsidR="00595180" w:rsidRPr="00A26E9F" w:rsidRDefault="002463AB">
      <w:pP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 xml:space="preserve">“REVISIÓN EN AMPARO. LOS RESOLUTIVOS NO COMBATIDOS DEBEN DECLARARSE FIRMES. </w:t>
      </w:r>
      <w:r w:rsidRPr="00A26E9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DEEED30" w14:textId="77777777" w:rsidR="00595180" w:rsidRPr="00A26E9F" w:rsidRDefault="00595180">
      <w:pPr>
        <w:spacing w:line="276" w:lineRule="auto"/>
        <w:ind w:left="567" w:right="616"/>
        <w:jc w:val="both"/>
        <w:rPr>
          <w:rFonts w:ascii="Palatino Linotype" w:eastAsia="Palatino Linotype" w:hAnsi="Palatino Linotype" w:cs="Palatino Linotype"/>
          <w:i/>
          <w:sz w:val="22"/>
          <w:szCs w:val="22"/>
        </w:rPr>
      </w:pPr>
    </w:p>
    <w:p w14:paraId="120E2FF8"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Consecuentemente, se insiste, ante la falta de impugnación en contra de todos los puntos de la solicitud, los no controvertidos deben declararse consentidos.</w:t>
      </w:r>
    </w:p>
    <w:p w14:paraId="4552F54A"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1A98FA91"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Lo anterior se sustenta con lo plasmado en el criterio 01/20 emitido por el entonces Instituto Nacional de Transparencia, Acceso a la Información, y Protección de Datos Personales, INAI, que lleva por rubro y texto los siguientes: </w:t>
      </w:r>
    </w:p>
    <w:p w14:paraId="79D1489D"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CDBBB39" w14:textId="77777777" w:rsidR="00595180" w:rsidRPr="00A26E9F" w:rsidRDefault="002463AB">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lastRenderedPageBreak/>
        <w:t>“</w:t>
      </w:r>
      <w:r w:rsidRPr="00A26E9F">
        <w:rPr>
          <w:rFonts w:ascii="Palatino Linotype" w:eastAsia="Palatino Linotype" w:hAnsi="Palatino Linotype" w:cs="Palatino Linotype"/>
          <w:b/>
          <w:i/>
          <w:sz w:val="22"/>
          <w:szCs w:val="22"/>
        </w:rPr>
        <w:t xml:space="preserve">Actos consentidos tácitamente. Improcedencia de su análisis. </w:t>
      </w:r>
      <w:r w:rsidRPr="00A26E9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4AA7437" w14:textId="77777777" w:rsidR="00595180" w:rsidRPr="00A26E9F" w:rsidRDefault="00595180">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5A393B38"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60A1B9FE" w14:textId="77777777" w:rsidR="00595180" w:rsidRPr="00A26E9F" w:rsidRDefault="00595180">
      <w:pPr>
        <w:spacing w:line="360" w:lineRule="auto"/>
        <w:ind w:left="851" w:right="900"/>
        <w:jc w:val="both"/>
        <w:rPr>
          <w:rFonts w:ascii="Palatino Linotype" w:eastAsia="Palatino Linotype" w:hAnsi="Palatino Linotype" w:cs="Palatino Linotype"/>
          <w:b/>
          <w:i/>
          <w:smallCaps/>
          <w:sz w:val="22"/>
          <w:szCs w:val="22"/>
        </w:rPr>
      </w:pPr>
    </w:p>
    <w:p w14:paraId="37693FA2" w14:textId="77777777" w:rsidR="00595180" w:rsidRPr="00A26E9F" w:rsidRDefault="002463AB">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i/>
          <w:smallCaps/>
          <w:sz w:val="22"/>
          <w:szCs w:val="22"/>
        </w:rPr>
        <w:t xml:space="preserve">“ACTOS CONSENTIDOS. SON LOS QUE NO SE IMPUGNAN MEDIANTE EL RECURSO IDÓNEO. </w:t>
      </w:r>
      <w:r w:rsidRPr="00A26E9F">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26E9F">
        <w:rPr>
          <w:rFonts w:ascii="Palatino Linotype" w:eastAsia="Palatino Linotype" w:hAnsi="Palatino Linotype" w:cs="Palatino Linotype"/>
          <w:i/>
          <w:sz w:val="22"/>
          <w:szCs w:val="22"/>
        </w:rPr>
        <w:t>ya que</w:t>
      </w:r>
      <w:proofErr w:type="gramEnd"/>
      <w:r w:rsidRPr="00A26E9F">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BBAF514"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58E831"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En ese sentido, atendiendo los motivos de inconformidad, </w:t>
      </w:r>
      <w:r w:rsidRPr="00A26E9F">
        <w:rPr>
          <w:rFonts w:ascii="Palatino Linotype" w:eastAsia="Palatino Linotype" w:hAnsi="Palatino Linotype" w:cs="Palatino Linotype"/>
          <w:b/>
          <w:sz w:val="22"/>
          <w:szCs w:val="22"/>
        </w:rPr>
        <w:t>en el presente asunto únicamente se procederá al estudio del resto de los puntos de la solicitud.</w:t>
      </w:r>
    </w:p>
    <w:p w14:paraId="23D0772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F787E85"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 xml:space="preserve">en contraposición con el motivo de inconformidad alegado por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C9A7C40"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D9D651C"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4A3CD669"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1AFA6213"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29123E9"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51B4D2D" w14:textId="77777777" w:rsidR="00595180" w:rsidRPr="00A26E9F" w:rsidRDefault="002463AB">
      <w:pPr>
        <w:spacing w:line="360" w:lineRule="auto"/>
        <w:ind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w:t>
      </w:r>
      <w:r w:rsidRPr="00A26E9F">
        <w:rPr>
          <w:rFonts w:ascii="Palatino Linotype" w:eastAsia="Palatino Linotype" w:hAnsi="Palatino Linotype" w:cs="Palatino Linotype"/>
          <w:sz w:val="22"/>
          <w:szCs w:val="22"/>
        </w:rPr>
        <w:lastRenderedPageBreak/>
        <w:t>58 y 59, de la Ley de Transparencia y Acceso a la Información Pública del Estado de México y Municipios.</w:t>
      </w:r>
    </w:p>
    <w:p w14:paraId="636CA5A4" w14:textId="77777777" w:rsidR="00595180" w:rsidRPr="00A26E9F" w:rsidRDefault="00595180">
      <w:pPr>
        <w:spacing w:line="360" w:lineRule="auto"/>
        <w:ind w:right="51"/>
        <w:jc w:val="both"/>
        <w:rPr>
          <w:rFonts w:ascii="Palatino Linotype" w:eastAsia="Palatino Linotype" w:hAnsi="Palatino Linotype" w:cs="Palatino Linotype"/>
          <w:sz w:val="22"/>
          <w:szCs w:val="22"/>
        </w:rPr>
      </w:pPr>
    </w:p>
    <w:p w14:paraId="5A1B6CCD"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929E7B6"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07AB18E6"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Al respecto, es de suma importancia mencionar que, derivado del análisis de las constancias que obran en el expediente electrónico en el que se actúa, se advirtió que </w:t>
      </w:r>
      <w:proofErr w:type="gramStart"/>
      <w:r w:rsidRPr="00A26E9F">
        <w:rPr>
          <w:rFonts w:ascii="Palatino Linotype" w:eastAsia="Palatino Linotype" w:hAnsi="Palatino Linotype" w:cs="Palatino Linotype"/>
          <w:sz w:val="22"/>
          <w:szCs w:val="22"/>
        </w:rPr>
        <w:t>quien  se</w:t>
      </w:r>
      <w:proofErr w:type="gramEnd"/>
      <w:r w:rsidRPr="00A26E9F">
        <w:rPr>
          <w:rFonts w:ascii="Palatino Linotype" w:eastAsia="Palatino Linotype" w:hAnsi="Palatino Linotype" w:cs="Palatino Linotype"/>
          <w:sz w:val="22"/>
          <w:szCs w:val="22"/>
        </w:rPr>
        <w:t xml:space="preserve"> pronunció sobre lo requerido fue la Titular de la Unidad de Información, Planeación, Programación y Evaluación y la Unidad de Apoyo Administrativo, las cuales conforme el Manual General de Organización vigente, tienen dentro de sus atribuciones conocer sobre el tema de archivos y clasificación archivística.</w:t>
      </w:r>
    </w:p>
    <w:p w14:paraId="49E6D29F"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 </w:t>
      </w:r>
    </w:p>
    <w:p w14:paraId="372AF7E7"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La Titular de la UIPPE, tiene dentro de sus funciones “</w:t>
      </w:r>
      <w:r w:rsidRPr="00A26E9F">
        <w:rPr>
          <w:rFonts w:ascii="Palatino Linotype" w:eastAsia="Palatino Linotype" w:hAnsi="Palatino Linotype" w:cs="Palatino Linotype"/>
          <w:b/>
          <w:i/>
          <w:sz w:val="22"/>
          <w:szCs w:val="22"/>
        </w:rPr>
        <w:t>Impulsar la publicación, así como la clasificación de la información existente en los archivos de las unidades administrativas, cuando se cubran los supuestos de reserva o confidencialidad previstos en las leyes generales y estatales de transparencia, acceso a la información y protección de datos personales.</w:t>
      </w:r>
      <w:r w:rsidRPr="00A26E9F">
        <w:rPr>
          <w:rFonts w:ascii="Palatino Linotype" w:eastAsia="Palatino Linotype" w:hAnsi="Palatino Linotype" w:cs="Palatino Linotype"/>
          <w:sz w:val="22"/>
          <w:szCs w:val="22"/>
        </w:rPr>
        <w:t>”</w:t>
      </w:r>
    </w:p>
    <w:p w14:paraId="0675201B"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565D4E59"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Por su lado, la Unidad de Apoyo Administrativo tiene dentro de sus funciones “</w:t>
      </w:r>
      <w:r w:rsidRPr="00A26E9F">
        <w:rPr>
          <w:rFonts w:ascii="Palatino Linotype" w:eastAsia="Palatino Linotype" w:hAnsi="Palatino Linotype" w:cs="Palatino Linotype"/>
          <w:i/>
          <w:sz w:val="22"/>
          <w:szCs w:val="22"/>
        </w:rPr>
        <w:t>Mantener el archivo resguardado de los documentos fuente, libros, registros y estados financieros…</w:t>
      </w:r>
      <w:r w:rsidRPr="00A26E9F">
        <w:rPr>
          <w:rFonts w:ascii="Palatino Linotype" w:eastAsia="Palatino Linotype" w:hAnsi="Palatino Linotype" w:cs="Palatino Linotype"/>
          <w:sz w:val="22"/>
          <w:szCs w:val="22"/>
        </w:rPr>
        <w:t>”.</w:t>
      </w:r>
    </w:p>
    <w:p w14:paraId="5493A26B"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3ECAC6E7"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Con base en lo anterior, se tiene que en el caso se pronunciaron todas las unidades administrativas competentes; por lo que, se cumplió con el procedimiento establecido por el artículo 162 de la Ley de Transparencia y Acceso a la Información Pública del Estado de México y Municipios, que de conformidad con la fracción XXXIX del artículo tercero de la legislación local vigente en materia de transparencia, dispone lo siguiente: </w:t>
      </w:r>
    </w:p>
    <w:p w14:paraId="043D5234" w14:textId="77777777" w:rsidR="00595180" w:rsidRPr="00A26E9F" w:rsidRDefault="00595180">
      <w:pPr>
        <w:rPr>
          <w:sz w:val="22"/>
          <w:szCs w:val="22"/>
        </w:rPr>
      </w:pPr>
    </w:p>
    <w:p w14:paraId="3F8756E7" w14:textId="77777777" w:rsidR="00595180" w:rsidRPr="00A26E9F" w:rsidRDefault="002463AB">
      <w:pPr>
        <w:pBdr>
          <w:top w:val="nil"/>
          <w:left w:val="nil"/>
          <w:bottom w:val="nil"/>
          <w:right w:val="nil"/>
          <w:between w:val="nil"/>
        </w:pBdr>
        <w:ind w:left="864" w:right="864"/>
        <w:jc w:val="both"/>
        <w:rPr>
          <w:sz w:val="22"/>
          <w:szCs w:val="22"/>
        </w:rPr>
      </w:pPr>
      <w:r w:rsidRPr="00A26E9F">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61DB6BB" w14:textId="77777777" w:rsidR="00595180" w:rsidRPr="00A26E9F" w:rsidRDefault="00595180">
      <w:pPr>
        <w:rPr>
          <w:sz w:val="22"/>
          <w:szCs w:val="22"/>
        </w:rPr>
      </w:pPr>
    </w:p>
    <w:p w14:paraId="7CF80377" w14:textId="77777777" w:rsidR="00595180" w:rsidRPr="00A26E9F" w:rsidRDefault="002463AB">
      <w:pPr>
        <w:pBdr>
          <w:top w:val="nil"/>
          <w:left w:val="nil"/>
          <w:bottom w:val="nil"/>
          <w:right w:val="nil"/>
          <w:between w:val="nil"/>
        </w:pBdr>
        <w:shd w:val="clear" w:color="auto" w:fill="FFFFFF"/>
        <w:spacing w:line="360" w:lineRule="auto"/>
        <w:jc w:val="both"/>
        <w:rPr>
          <w:sz w:val="22"/>
          <w:szCs w:val="22"/>
        </w:rPr>
      </w:pPr>
      <w:r w:rsidRPr="00A26E9F">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1A9DCC6" w14:textId="77777777" w:rsidR="00595180" w:rsidRPr="00A26E9F" w:rsidRDefault="00595180">
      <w:pPr>
        <w:rPr>
          <w:sz w:val="22"/>
          <w:szCs w:val="22"/>
        </w:rPr>
      </w:pPr>
    </w:p>
    <w:p w14:paraId="7C876B2C" w14:textId="77777777" w:rsidR="00595180" w:rsidRPr="00A26E9F" w:rsidRDefault="002463AB">
      <w:pPr>
        <w:pBdr>
          <w:top w:val="nil"/>
          <w:left w:val="nil"/>
          <w:bottom w:val="nil"/>
          <w:right w:val="nil"/>
          <w:between w:val="nil"/>
        </w:pBdr>
        <w:ind w:left="864" w:right="864"/>
        <w:jc w:val="both"/>
        <w:rPr>
          <w:sz w:val="22"/>
          <w:szCs w:val="22"/>
        </w:rPr>
      </w:pPr>
      <w:r w:rsidRPr="00A26E9F">
        <w:rPr>
          <w:rFonts w:ascii="Palatino Linotype" w:eastAsia="Palatino Linotype" w:hAnsi="Palatino Linotype" w:cs="Palatino Linotype"/>
          <w:i/>
          <w:sz w:val="22"/>
          <w:szCs w:val="22"/>
        </w:rPr>
        <w:t xml:space="preserve">“Artículo 162. Las unidades de transparencia deberán garantizar que las solicitudes </w:t>
      </w:r>
      <w:r w:rsidRPr="00A26E9F">
        <w:rPr>
          <w:rFonts w:ascii="Palatino Linotype" w:eastAsia="Palatino Linotype" w:hAnsi="Palatino Linotype" w:cs="Palatino Linotype"/>
          <w:b/>
          <w:i/>
          <w:sz w:val="22"/>
          <w:szCs w:val="22"/>
        </w:rPr>
        <w:t xml:space="preserve">se turnen a todas las Áreas competentes </w:t>
      </w:r>
      <w:r w:rsidRPr="00A26E9F">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72276F9E"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DF1EB52"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esta manera, es que en el caso se dio cumplimiento al procedimiento de turnar la solicitud de información a todas las unidades administrativas que conforme sus atribuciones pueden conocer de la información requerida.</w:t>
      </w:r>
    </w:p>
    <w:p w14:paraId="74DD8A6B"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72141EC8"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Una vez precisado lo anterior, se procede al análisis de los requerimientos planteados por la parte </w:t>
      </w:r>
      <w:r w:rsidRPr="00A26E9F">
        <w:rPr>
          <w:rFonts w:ascii="Palatino Linotype" w:eastAsia="Palatino Linotype" w:hAnsi="Palatino Linotype" w:cs="Palatino Linotype"/>
          <w:b/>
          <w:sz w:val="22"/>
          <w:szCs w:val="22"/>
        </w:rPr>
        <w:t xml:space="preserve">Recurrente, </w:t>
      </w:r>
      <w:r w:rsidRPr="00A26E9F">
        <w:rPr>
          <w:rFonts w:ascii="Palatino Linotype" w:eastAsia="Palatino Linotype" w:hAnsi="Palatino Linotype" w:cs="Palatino Linotype"/>
          <w:sz w:val="22"/>
          <w:szCs w:val="22"/>
        </w:rPr>
        <w:t>así como de la información proporcionada en respuesta por los servidores públicos habilitados para atender los mismos, a través de la siguiente tabla, para un mejor entendimiento.</w:t>
      </w:r>
    </w:p>
    <w:p w14:paraId="08EDDEDD" w14:textId="77777777" w:rsidR="00595180" w:rsidRPr="00A26E9F" w:rsidRDefault="00595180">
      <w:pPr>
        <w:spacing w:line="360" w:lineRule="auto"/>
        <w:jc w:val="both"/>
        <w:rPr>
          <w:rFonts w:ascii="Palatino Linotype" w:eastAsia="Palatino Linotype" w:hAnsi="Palatino Linotype" w:cs="Palatino Linotype"/>
          <w:sz w:val="22"/>
          <w:szCs w:val="22"/>
        </w:rPr>
      </w:pPr>
    </w:p>
    <w:tbl>
      <w:tblPr>
        <w:tblStyle w:val="a9"/>
        <w:tblW w:w="88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39"/>
        <w:gridCol w:w="5289"/>
      </w:tblGrid>
      <w:tr w:rsidR="00823421" w:rsidRPr="00A26E9F" w14:paraId="4688DFCA" w14:textId="77777777">
        <w:trPr>
          <w:jc w:val="center"/>
        </w:trPr>
        <w:tc>
          <w:tcPr>
            <w:tcW w:w="3539" w:type="dxa"/>
            <w:shd w:val="clear" w:color="auto" w:fill="D0CECE"/>
            <w:vAlign w:val="center"/>
          </w:tcPr>
          <w:p w14:paraId="288B6FAC" w14:textId="77777777" w:rsidR="00595180" w:rsidRPr="00A26E9F" w:rsidRDefault="002463AB">
            <w:pPr>
              <w:spacing w:before="120" w:after="120"/>
              <w:ind w:right="-6"/>
              <w:jc w:val="center"/>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Requerimientos de información</w:t>
            </w:r>
          </w:p>
        </w:tc>
        <w:tc>
          <w:tcPr>
            <w:tcW w:w="5289" w:type="dxa"/>
            <w:shd w:val="clear" w:color="auto" w:fill="D0CECE"/>
            <w:vAlign w:val="center"/>
          </w:tcPr>
          <w:p w14:paraId="0847D37C" w14:textId="77777777" w:rsidR="00595180" w:rsidRPr="00A26E9F" w:rsidRDefault="002463AB">
            <w:pPr>
              <w:spacing w:before="120" w:after="120"/>
              <w:ind w:right="-6"/>
              <w:jc w:val="center"/>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Respuesta</w:t>
            </w:r>
          </w:p>
        </w:tc>
      </w:tr>
      <w:tr w:rsidR="00823421" w:rsidRPr="00A26E9F" w14:paraId="1F9AB783" w14:textId="77777777">
        <w:trPr>
          <w:jc w:val="center"/>
        </w:trPr>
        <w:tc>
          <w:tcPr>
            <w:tcW w:w="3539" w:type="dxa"/>
          </w:tcPr>
          <w:p w14:paraId="0BFE1483" w14:textId="77777777" w:rsidR="00595180" w:rsidRPr="00A26E9F" w:rsidRDefault="002463AB">
            <w:pPr>
              <w:ind w:left="29"/>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sz w:val="18"/>
                <w:szCs w:val="18"/>
              </w:rPr>
              <w:t xml:space="preserve">1. Sobre su clasificación Archivística: </w:t>
            </w:r>
          </w:p>
          <w:p w14:paraId="2D65AE0C" w14:textId="77777777" w:rsidR="00595180" w:rsidRPr="00A26E9F" w:rsidRDefault="00595180">
            <w:pPr>
              <w:ind w:left="29"/>
              <w:jc w:val="both"/>
              <w:rPr>
                <w:rFonts w:ascii="Palatino Linotype" w:eastAsia="Palatino Linotype" w:hAnsi="Palatino Linotype" w:cs="Palatino Linotype"/>
                <w:sz w:val="18"/>
                <w:szCs w:val="18"/>
              </w:rPr>
            </w:pPr>
          </w:p>
          <w:p w14:paraId="30D2CEA3" w14:textId="77777777" w:rsidR="00595180" w:rsidRPr="00A26E9F" w:rsidRDefault="002463AB">
            <w:pPr>
              <w:numPr>
                <w:ilvl w:val="0"/>
                <w:numId w:val="9"/>
              </w:numPr>
              <w:pBdr>
                <w:top w:val="nil"/>
                <w:left w:val="nil"/>
                <w:bottom w:val="nil"/>
                <w:right w:val="nil"/>
                <w:between w:val="nil"/>
              </w:pBd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Indicar si el Centro de Conciliación Laboral del Estado de México cuenta con la clasificación archivística debidamente establecida</w:t>
            </w:r>
            <w:r w:rsidRPr="00A26E9F">
              <w:rPr>
                <w:rFonts w:ascii="Palatino Linotype" w:eastAsia="Palatino Linotype" w:hAnsi="Palatino Linotype" w:cs="Palatino Linotype"/>
                <w:sz w:val="18"/>
                <w:szCs w:val="18"/>
              </w:rPr>
              <w:t xml:space="preserve">. </w:t>
            </w:r>
          </w:p>
          <w:p w14:paraId="224E199C" w14:textId="77777777" w:rsidR="00595180" w:rsidRPr="00A26E9F" w:rsidRDefault="00595180">
            <w:pPr>
              <w:pBdr>
                <w:top w:val="nil"/>
                <w:left w:val="nil"/>
                <w:bottom w:val="nil"/>
                <w:right w:val="nil"/>
                <w:between w:val="nil"/>
              </w:pBdr>
              <w:ind w:left="454"/>
              <w:jc w:val="both"/>
              <w:rPr>
                <w:rFonts w:ascii="Palatino Linotype" w:eastAsia="Palatino Linotype" w:hAnsi="Palatino Linotype" w:cs="Palatino Linotype"/>
                <w:b/>
                <w:sz w:val="18"/>
                <w:szCs w:val="18"/>
              </w:rPr>
            </w:pPr>
          </w:p>
          <w:p w14:paraId="293939B5" w14:textId="77777777" w:rsidR="00595180" w:rsidRPr="00A26E9F" w:rsidRDefault="002463AB">
            <w:pPr>
              <w:numPr>
                <w:ilvl w:val="0"/>
                <w:numId w:val="9"/>
              </w:numPr>
              <w:pBdr>
                <w:top w:val="nil"/>
                <w:left w:val="nil"/>
                <w:bottom w:val="nil"/>
                <w:right w:val="nil"/>
                <w:between w:val="nil"/>
              </w:pBd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sz w:val="18"/>
                <w:szCs w:val="18"/>
              </w:rPr>
              <w:t xml:space="preserve">En caso afirmativo, </w:t>
            </w:r>
            <w:r w:rsidRPr="00A26E9F">
              <w:rPr>
                <w:rFonts w:ascii="Palatino Linotype" w:eastAsia="Palatino Linotype" w:hAnsi="Palatino Linotype" w:cs="Palatino Linotype"/>
                <w:b/>
                <w:sz w:val="18"/>
                <w:szCs w:val="18"/>
              </w:rPr>
              <w:t xml:space="preserve">proporcionar una copia del instrumento normativo correspondiente. </w:t>
            </w:r>
          </w:p>
          <w:p w14:paraId="1367ABE6" w14:textId="77777777" w:rsidR="00595180" w:rsidRPr="00A26E9F" w:rsidRDefault="00595180">
            <w:pPr>
              <w:jc w:val="both"/>
              <w:rPr>
                <w:rFonts w:ascii="Palatino Linotype" w:eastAsia="Palatino Linotype" w:hAnsi="Palatino Linotype" w:cs="Palatino Linotype"/>
                <w:sz w:val="18"/>
                <w:szCs w:val="18"/>
              </w:rPr>
            </w:pPr>
          </w:p>
        </w:tc>
        <w:tc>
          <w:tcPr>
            <w:tcW w:w="5289" w:type="dxa"/>
          </w:tcPr>
          <w:p w14:paraId="0B3A538D" w14:textId="77777777" w:rsidR="00595180" w:rsidRPr="00A26E9F" w:rsidRDefault="002463AB">
            <w:pPr>
              <w:spacing w:before="120" w:after="120"/>
              <w:jc w:val="both"/>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Unidad de Apoyo Administrativo:</w:t>
            </w:r>
          </w:p>
          <w:p w14:paraId="57A3F627"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 xml:space="preserve">Asumió contar con el </w:t>
            </w:r>
            <w:r w:rsidRPr="00A26E9F">
              <w:rPr>
                <w:rFonts w:ascii="Palatino Linotype" w:eastAsia="Palatino Linotype" w:hAnsi="Palatino Linotype" w:cs="Palatino Linotype"/>
                <w:b/>
                <w:sz w:val="20"/>
                <w:szCs w:val="20"/>
              </w:rPr>
              <w:t>Cuadro General de Clasificación Archivística</w:t>
            </w:r>
            <w:r w:rsidRPr="00A26E9F">
              <w:rPr>
                <w:rFonts w:ascii="Palatino Linotype" w:eastAsia="Palatino Linotype" w:hAnsi="Palatino Linotype" w:cs="Palatino Linotype"/>
                <w:sz w:val="20"/>
                <w:szCs w:val="20"/>
              </w:rPr>
              <w:t>, el cual refirió que se encuentra aprobado y publicado en la página oficial de ese Organismo, proporcionando los pasos e imágenes para su consulta; no obstante, también proporcionó en el apartado de la respuesta del SAIMEX, la liga electrónica en formato abierto para consultar dicho instrumento (</w:t>
            </w:r>
            <w:hyperlink r:id="rId9">
              <w:r w:rsidRPr="00A26E9F">
                <w:rPr>
                  <w:rFonts w:ascii="Palatino Linotype" w:eastAsia="Palatino Linotype" w:hAnsi="Palatino Linotype" w:cs="Palatino Linotype"/>
                  <w:sz w:val="20"/>
                  <w:szCs w:val="20"/>
                  <w:u w:val="single"/>
                </w:rPr>
                <w:t>https://cclaboral.edomex.gob.mx/sites/cclaboral.edomex.gob.mx/files/files/transparencia/Cuadro%20General%20de%20Clasificaci%C3%B3n%202024%20Validaci%C3%B3n.pdf</w:t>
              </w:r>
            </w:hyperlink>
            <w:r w:rsidRPr="00A26E9F">
              <w:rPr>
                <w:rFonts w:ascii="Palatino Linotype" w:eastAsia="Palatino Linotype" w:hAnsi="Palatino Linotype" w:cs="Palatino Linotype"/>
                <w:sz w:val="20"/>
                <w:szCs w:val="20"/>
              </w:rPr>
              <w:t xml:space="preserve"> ), y que de su consulta se advierte lo siguiente:</w:t>
            </w:r>
          </w:p>
          <w:p w14:paraId="48271D45"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noProof/>
                <w:sz w:val="20"/>
                <w:szCs w:val="20"/>
              </w:rPr>
              <w:drawing>
                <wp:inline distT="0" distB="0" distL="0" distR="0" wp14:anchorId="1E0CFAD0" wp14:editId="72FECEB5">
                  <wp:extent cx="3221355" cy="2894965"/>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21355" cy="2894965"/>
                          </a:xfrm>
                          <a:prstGeom prst="rect">
                            <a:avLst/>
                          </a:prstGeom>
                          <a:ln/>
                        </pic:spPr>
                      </pic:pic>
                    </a:graphicData>
                  </a:graphic>
                </wp:inline>
              </w:drawing>
            </w:r>
          </w:p>
        </w:tc>
      </w:tr>
      <w:tr w:rsidR="00823421" w:rsidRPr="00A26E9F" w14:paraId="6B0A67F8" w14:textId="77777777">
        <w:trPr>
          <w:jc w:val="center"/>
        </w:trPr>
        <w:tc>
          <w:tcPr>
            <w:tcW w:w="3539" w:type="dxa"/>
          </w:tcPr>
          <w:p w14:paraId="0D7ECF18" w14:textId="77777777" w:rsidR="00595180" w:rsidRPr="00A26E9F" w:rsidRDefault="002463AB">
            <w:pPr>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sz w:val="18"/>
                <w:szCs w:val="18"/>
              </w:rPr>
              <w:t xml:space="preserve">2. Sobre el Archivo de Concentración: </w:t>
            </w:r>
          </w:p>
          <w:p w14:paraId="54DB8F87" w14:textId="77777777" w:rsidR="00595180" w:rsidRPr="00A26E9F" w:rsidRDefault="002463AB">
            <w:pPr>
              <w:numPr>
                <w:ilvl w:val="0"/>
                <w:numId w:val="8"/>
              </w:numPr>
              <w:ind w:left="454"/>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b/>
                <w:sz w:val="18"/>
                <w:szCs w:val="18"/>
              </w:rPr>
              <w:t>Informar si en cada una de las sedes del Centro de Conciliación Laboral del Estado de México existe un archivo de concentración.</w:t>
            </w:r>
            <w:r w:rsidRPr="00A26E9F">
              <w:rPr>
                <w:rFonts w:ascii="Palatino Linotype" w:eastAsia="Palatino Linotype" w:hAnsi="Palatino Linotype" w:cs="Palatino Linotype"/>
                <w:sz w:val="18"/>
                <w:szCs w:val="18"/>
              </w:rPr>
              <w:t xml:space="preserve"> </w:t>
            </w:r>
          </w:p>
          <w:p w14:paraId="061E16A6" w14:textId="77777777" w:rsidR="00595180" w:rsidRPr="00A26E9F" w:rsidRDefault="002463AB">
            <w:pPr>
              <w:numPr>
                <w:ilvl w:val="0"/>
                <w:numId w:val="8"/>
              </w:numP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 xml:space="preserve">En caso afirmativo, detallar su ubicación y si cuenta con los lineamientos correspondientes. </w:t>
            </w:r>
          </w:p>
          <w:p w14:paraId="4B57814C" w14:textId="77777777" w:rsidR="00595180" w:rsidRPr="00A26E9F" w:rsidRDefault="00595180">
            <w:pPr>
              <w:jc w:val="both"/>
              <w:rPr>
                <w:rFonts w:ascii="Palatino Linotype" w:eastAsia="Palatino Linotype" w:hAnsi="Palatino Linotype" w:cs="Palatino Linotype"/>
                <w:sz w:val="18"/>
                <w:szCs w:val="18"/>
              </w:rPr>
            </w:pPr>
          </w:p>
        </w:tc>
        <w:tc>
          <w:tcPr>
            <w:tcW w:w="5289" w:type="dxa"/>
          </w:tcPr>
          <w:p w14:paraId="770813C7" w14:textId="77777777" w:rsidR="00595180" w:rsidRPr="00A26E9F" w:rsidRDefault="002463AB">
            <w:pPr>
              <w:spacing w:before="120" w:after="120"/>
              <w:jc w:val="both"/>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Unidad de Apoyo Administrativo</w:t>
            </w:r>
          </w:p>
          <w:p w14:paraId="0BEBAAF6"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 xml:space="preserve">Indicó que el </w:t>
            </w:r>
            <w:r w:rsidRPr="00A26E9F">
              <w:rPr>
                <w:rFonts w:ascii="Palatino Linotype" w:eastAsia="Palatino Linotype" w:hAnsi="Palatino Linotype" w:cs="Palatino Linotype"/>
                <w:b/>
                <w:sz w:val="20"/>
                <w:szCs w:val="20"/>
                <w:u w:val="single"/>
              </w:rPr>
              <w:t>Área coordinadora de archivos actualmente está haciendo las gestiones y procedimientos correspondientes para la creación del Archivo de Concentración,</w:t>
            </w:r>
            <w:r w:rsidRPr="00A26E9F">
              <w:rPr>
                <w:rFonts w:ascii="Palatino Linotype" w:eastAsia="Palatino Linotype" w:hAnsi="Palatino Linotype" w:cs="Palatino Linotype"/>
                <w:sz w:val="20"/>
                <w:szCs w:val="20"/>
              </w:rPr>
              <w:t xml:space="preserve"> atendiendo lo dispuesto en el artículo 22 de la Ley General de Archivos que refiere que los sujetos obligados podrán coordinarse para establecer archivos de concentración o históricos comunes, en los términos que </w:t>
            </w:r>
            <w:r w:rsidRPr="00A26E9F">
              <w:rPr>
                <w:rFonts w:ascii="Palatino Linotype" w:eastAsia="Palatino Linotype" w:hAnsi="Palatino Linotype" w:cs="Palatino Linotype"/>
                <w:sz w:val="20"/>
                <w:szCs w:val="20"/>
              </w:rPr>
              <w:lastRenderedPageBreak/>
              <w:t>establezcan las disposiciones jurídicas aplicables, así como, que en el caso de que los sujetos obligados que cuenten con oficinas regionales podrán habilitar unidades de resguardo del archivo de concentración regional.</w:t>
            </w:r>
          </w:p>
        </w:tc>
      </w:tr>
      <w:tr w:rsidR="00823421" w:rsidRPr="00A26E9F" w14:paraId="061DFB59" w14:textId="77777777">
        <w:trPr>
          <w:jc w:val="center"/>
        </w:trPr>
        <w:tc>
          <w:tcPr>
            <w:tcW w:w="3539" w:type="dxa"/>
          </w:tcPr>
          <w:p w14:paraId="094395AD" w14:textId="77777777" w:rsidR="00595180" w:rsidRPr="00A26E9F" w:rsidRDefault="002463AB">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sz w:val="18"/>
                <w:szCs w:val="18"/>
              </w:rPr>
              <w:lastRenderedPageBreak/>
              <w:t xml:space="preserve">Sobre la Supervisión de Gestión Documental: </w:t>
            </w:r>
          </w:p>
          <w:p w14:paraId="00D1B5A4" w14:textId="77777777" w:rsidR="00595180" w:rsidRPr="00A26E9F" w:rsidRDefault="002463AB">
            <w:pPr>
              <w:numPr>
                <w:ilvl w:val="0"/>
                <w:numId w:val="8"/>
              </w:numPr>
              <w:ind w:left="454"/>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b/>
                <w:sz w:val="18"/>
                <w:szCs w:val="18"/>
              </w:rPr>
              <w:t xml:space="preserve">Indicar si el Área Coordinadora de Archivos ha vigilado el cumplimiento de las disposiciones en materia de gestión documental y administración de archivos dentro del Centro de Conciliación Laboral del Estado de México. </w:t>
            </w:r>
          </w:p>
          <w:p w14:paraId="0831F301" w14:textId="77777777" w:rsidR="00595180" w:rsidRPr="00A26E9F" w:rsidRDefault="002463AB">
            <w:pPr>
              <w:numPr>
                <w:ilvl w:val="0"/>
                <w:numId w:val="8"/>
              </w:numP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 xml:space="preserve">Precisar los mecanismos de supervisión que se han implementado con evidencia documental de dichas acciones. </w:t>
            </w:r>
          </w:p>
          <w:p w14:paraId="7F441719" w14:textId="77777777" w:rsidR="00595180" w:rsidRPr="00A26E9F" w:rsidRDefault="00595180">
            <w:pPr>
              <w:jc w:val="both"/>
              <w:rPr>
                <w:rFonts w:ascii="Palatino Linotype" w:eastAsia="Palatino Linotype" w:hAnsi="Palatino Linotype" w:cs="Palatino Linotype"/>
                <w:sz w:val="18"/>
                <w:szCs w:val="18"/>
              </w:rPr>
            </w:pPr>
          </w:p>
        </w:tc>
        <w:tc>
          <w:tcPr>
            <w:tcW w:w="5289" w:type="dxa"/>
          </w:tcPr>
          <w:p w14:paraId="72370617" w14:textId="77777777" w:rsidR="00595180" w:rsidRPr="00A26E9F" w:rsidRDefault="002463AB">
            <w:pPr>
              <w:spacing w:before="120" w:after="120"/>
              <w:jc w:val="both"/>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Unidad de Apoyo Administrativo</w:t>
            </w:r>
          </w:p>
          <w:p w14:paraId="43F18715"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 xml:space="preserve">Se indica que se anexa copia del Acta de </w:t>
            </w:r>
            <w:proofErr w:type="gramStart"/>
            <w:r w:rsidRPr="00A26E9F">
              <w:rPr>
                <w:rFonts w:ascii="Palatino Linotype" w:eastAsia="Palatino Linotype" w:hAnsi="Palatino Linotype" w:cs="Palatino Linotype"/>
                <w:sz w:val="20"/>
                <w:szCs w:val="20"/>
              </w:rPr>
              <w:t>la  Primera</w:t>
            </w:r>
            <w:proofErr w:type="gramEnd"/>
            <w:r w:rsidRPr="00A26E9F">
              <w:rPr>
                <w:rFonts w:ascii="Palatino Linotype" w:eastAsia="Palatino Linotype" w:hAnsi="Palatino Linotype" w:cs="Palatino Linotype"/>
                <w:sz w:val="20"/>
                <w:szCs w:val="20"/>
              </w:rPr>
              <w:t xml:space="preserve"> Sesión Ordinaria del Grupo Interdisciplinario de Archivo del CCLEM, el cual se encarga de la supervisión y cumplimiento de las actividades en materia de gestión archivística.</w:t>
            </w:r>
          </w:p>
          <w:p w14:paraId="23D80BAB"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 xml:space="preserve">Se </w:t>
            </w:r>
            <w:proofErr w:type="spellStart"/>
            <w:r w:rsidRPr="00A26E9F">
              <w:rPr>
                <w:rFonts w:ascii="Palatino Linotype" w:eastAsia="Palatino Linotype" w:hAnsi="Palatino Linotype" w:cs="Palatino Linotype"/>
                <w:sz w:val="20"/>
                <w:szCs w:val="20"/>
              </w:rPr>
              <w:t>ajuntó</w:t>
            </w:r>
            <w:proofErr w:type="spellEnd"/>
            <w:r w:rsidRPr="00A26E9F">
              <w:rPr>
                <w:rFonts w:ascii="Palatino Linotype" w:eastAsia="Palatino Linotype" w:hAnsi="Palatino Linotype" w:cs="Palatino Linotype"/>
                <w:sz w:val="20"/>
                <w:szCs w:val="20"/>
              </w:rPr>
              <w:t xml:space="preserve"> a la respuesta el Acta de la primera sesión ordinaria 2024 del Grupo Interdisciplinario del Centro de Conciliación Laboral del Estado de México, del 12 de marzo de 2024, a través de la cual, entre otras cuestiones, se llevó a cabo la presentación de los nuevos integrantes del Grupo Interdisciplinario, así como la actualización del acta de integrantes de dicho grupo:</w:t>
            </w:r>
          </w:p>
          <w:p w14:paraId="32446D33"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noProof/>
                <w:sz w:val="22"/>
                <w:szCs w:val="22"/>
              </w:rPr>
              <w:drawing>
                <wp:inline distT="0" distB="0" distL="0" distR="0" wp14:anchorId="344CEB18" wp14:editId="05E3BC95">
                  <wp:extent cx="3212552" cy="1367663"/>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12552" cy="1367663"/>
                          </a:xfrm>
                          <a:prstGeom prst="rect">
                            <a:avLst/>
                          </a:prstGeom>
                          <a:ln/>
                        </pic:spPr>
                      </pic:pic>
                    </a:graphicData>
                  </a:graphic>
                </wp:inline>
              </w:drawing>
            </w:r>
          </w:p>
        </w:tc>
      </w:tr>
      <w:tr w:rsidR="00823421" w:rsidRPr="00A26E9F" w14:paraId="37B778E1" w14:textId="77777777">
        <w:trPr>
          <w:jc w:val="center"/>
        </w:trPr>
        <w:tc>
          <w:tcPr>
            <w:tcW w:w="3539" w:type="dxa"/>
          </w:tcPr>
          <w:p w14:paraId="47403330" w14:textId="77777777" w:rsidR="00595180" w:rsidRPr="00A26E9F" w:rsidRDefault="002463AB">
            <w:pPr>
              <w:tabs>
                <w:tab w:val="left" w:pos="232"/>
              </w:tabs>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sz w:val="18"/>
                <w:szCs w:val="18"/>
              </w:rPr>
              <w:t xml:space="preserve">4.Sobre los Inventarios Documentales: </w:t>
            </w:r>
          </w:p>
          <w:p w14:paraId="04F89893" w14:textId="77777777" w:rsidR="00595180" w:rsidRPr="00A26E9F" w:rsidRDefault="002463AB">
            <w:pPr>
              <w:numPr>
                <w:ilvl w:val="0"/>
                <w:numId w:val="8"/>
              </w:numP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 xml:space="preserve">Informar si cada sede del Centro de Conciliación Laboral del Estado de México cuenta con los inventarios documentales correspondientes a los años 2020, 2021 y 2022. </w:t>
            </w:r>
          </w:p>
          <w:p w14:paraId="5001F49A" w14:textId="77777777" w:rsidR="00595180" w:rsidRPr="00A26E9F" w:rsidRDefault="002463AB">
            <w:pPr>
              <w:numPr>
                <w:ilvl w:val="0"/>
                <w:numId w:val="8"/>
              </w:numP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 xml:space="preserve">En caso afirmativo, proporcionar una copia de los mismos. </w:t>
            </w:r>
          </w:p>
          <w:p w14:paraId="7611906F" w14:textId="77777777" w:rsidR="00595180" w:rsidRPr="00A26E9F" w:rsidRDefault="00595180">
            <w:pPr>
              <w:jc w:val="both"/>
              <w:rPr>
                <w:rFonts w:ascii="Palatino Linotype" w:eastAsia="Palatino Linotype" w:hAnsi="Palatino Linotype" w:cs="Palatino Linotype"/>
                <w:sz w:val="18"/>
                <w:szCs w:val="18"/>
              </w:rPr>
            </w:pPr>
          </w:p>
        </w:tc>
        <w:tc>
          <w:tcPr>
            <w:tcW w:w="5289" w:type="dxa"/>
          </w:tcPr>
          <w:p w14:paraId="1ADEE006" w14:textId="77777777" w:rsidR="00595180" w:rsidRPr="00A26E9F" w:rsidRDefault="002463AB">
            <w:pPr>
              <w:spacing w:before="120" w:after="120"/>
              <w:jc w:val="both"/>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Unidad de Apoyo Administrativo</w:t>
            </w:r>
          </w:p>
          <w:p w14:paraId="7344F6A8"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Se indica que derivado de los trabajos que se están gestionando para la creación del Archivo de Concentración aún no se cuenta con los inventarios documentales correspondientes y por ende los expedientes continúan al resguardo de las áreas productoras de la información.</w:t>
            </w:r>
          </w:p>
        </w:tc>
      </w:tr>
      <w:tr w:rsidR="00823421" w:rsidRPr="00A26E9F" w14:paraId="29FD0114" w14:textId="77777777">
        <w:trPr>
          <w:jc w:val="center"/>
        </w:trPr>
        <w:tc>
          <w:tcPr>
            <w:tcW w:w="3539" w:type="dxa"/>
          </w:tcPr>
          <w:p w14:paraId="14A50E4E" w14:textId="77777777" w:rsidR="00595180" w:rsidRPr="00A26E9F" w:rsidRDefault="002463AB">
            <w:pPr>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sz w:val="18"/>
                <w:szCs w:val="18"/>
              </w:rPr>
              <w:t xml:space="preserve">5.Sobre los Expedientes Concentrados por Año y Sede: </w:t>
            </w:r>
          </w:p>
          <w:p w14:paraId="1B229384" w14:textId="77777777" w:rsidR="00595180" w:rsidRPr="00A26E9F" w:rsidRDefault="002463AB">
            <w:pPr>
              <w:numPr>
                <w:ilvl w:val="0"/>
                <w:numId w:val="8"/>
              </w:numPr>
              <w:pBdr>
                <w:top w:val="nil"/>
                <w:left w:val="nil"/>
                <w:bottom w:val="nil"/>
                <w:right w:val="nil"/>
                <w:between w:val="nil"/>
              </w:pBdr>
              <w:spacing w:line="276" w:lineRule="auto"/>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 xml:space="preserve">Número de expedientes que fueron remitidos a las sedes de archivo de concentración o se prevén remitir de los años 2020, 2021 y 2022, </w:t>
            </w:r>
            <w:r w:rsidRPr="00A26E9F">
              <w:rPr>
                <w:rFonts w:ascii="Palatino Linotype" w:eastAsia="Palatino Linotype" w:hAnsi="Palatino Linotype" w:cs="Palatino Linotype"/>
                <w:b/>
                <w:sz w:val="18"/>
                <w:szCs w:val="18"/>
              </w:rPr>
              <w:lastRenderedPageBreak/>
              <w:t>proporcionando la información desglosada por sede.</w:t>
            </w:r>
          </w:p>
          <w:p w14:paraId="1881E5E1" w14:textId="77777777" w:rsidR="00595180" w:rsidRPr="00A26E9F" w:rsidRDefault="00595180">
            <w:pPr>
              <w:jc w:val="both"/>
              <w:rPr>
                <w:rFonts w:ascii="Palatino Linotype" w:eastAsia="Palatino Linotype" w:hAnsi="Palatino Linotype" w:cs="Palatino Linotype"/>
                <w:sz w:val="18"/>
                <w:szCs w:val="18"/>
              </w:rPr>
            </w:pPr>
          </w:p>
        </w:tc>
        <w:tc>
          <w:tcPr>
            <w:tcW w:w="5289" w:type="dxa"/>
          </w:tcPr>
          <w:p w14:paraId="4A5CA1AF" w14:textId="77777777" w:rsidR="00595180" w:rsidRPr="00A26E9F" w:rsidRDefault="002463AB">
            <w:pPr>
              <w:spacing w:before="120" w:after="120"/>
              <w:jc w:val="both"/>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lastRenderedPageBreak/>
              <w:t>Unidad de Apoyo Administrativo</w:t>
            </w:r>
          </w:p>
          <w:p w14:paraId="5EB39236"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Se indica que al no</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sz w:val="20"/>
                <w:szCs w:val="20"/>
              </w:rPr>
              <w:t>existir archivo de concentración no se tiene la certeza del número exacto de expedientes que se prevé concentrar de los años que anteceden.</w:t>
            </w:r>
          </w:p>
        </w:tc>
      </w:tr>
      <w:tr w:rsidR="00823421" w:rsidRPr="00A26E9F" w14:paraId="40B3FDB8" w14:textId="77777777">
        <w:trPr>
          <w:jc w:val="center"/>
        </w:trPr>
        <w:tc>
          <w:tcPr>
            <w:tcW w:w="3539" w:type="dxa"/>
          </w:tcPr>
          <w:p w14:paraId="6A1F1F79" w14:textId="77777777" w:rsidR="00595180" w:rsidRPr="00A26E9F" w:rsidRDefault="002463AB">
            <w:pPr>
              <w:jc w:val="both"/>
              <w:rPr>
                <w:rFonts w:ascii="Palatino Linotype" w:eastAsia="Palatino Linotype" w:hAnsi="Palatino Linotype" w:cs="Palatino Linotype"/>
                <w:sz w:val="18"/>
                <w:szCs w:val="18"/>
              </w:rPr>
            </w:pPr>
            <w:r w:rsidRPr="00A26E9F">
              <w:rPr>
                <w:rFonts w:ascii="Palatino Linotype" w:eastAsia="Palatino Linotype" w:hAnsi="Palatino Linotype" w:cs="Palatino Linotype"/>
                <w:sz w:val="18"/>
                <w:szCs w:val="18"/>
              </w:rPr>
              <w:t xml:space="preserve">6. Sobre el plazo para Archivo de Concentración: </w:t>
            </w:r>
          </w:p>
          <w:p w14:paraId="47076289" w14:textId="77777777" w:rsidR="00595180" w:rsidRPr="00A26E9F" w:rsidRDefault="002463AB">
            <w:pPr>
              <w:numPr>
                <w:ilvl w:val="0"/>
                <w:numId w:val="9"/>
              </w:numPr>
              <w:ind w:left="454"/>
              <w:jc w:val="both"/>
              <w:rPr>
                <w:rFonts w:ascii="Palatino Linotype" w:eastAsia="Palatino Linotype" w:hAnsi="Palatino Linotype" w:cs="Palatino Linotype"/>
                <w:b/>
                <w:sz w:val="18"/>
                <w:szCs w:val="18"/>
              </w:rPr>
            </w:pPr>
            <w:r w:rsidRPr="00A26E9F">
              <w:rPr>
                <w:rFonts w:ascii="Palatino Linotype" w:eastAsia="Palatino Linotype" w:hAnsi="Palatino Linotype" w:cs="Palatino Linotype"/>
                <w:b/>
                <w:sz w:val="18"/>
                <w:szCs w:val="18"/>
              </w:rPr>
              <w:t>Lineamientos internos, que prevén el plazo legal y/o normativo que tiene el Centro de Conciliación Laboral del Estado de México para implementar el archivo de concentración.</w:t>
            </w:r>
          </w:p>
          <w:p w14:paraId="015C0C19" w14:textId="77777777" w:rsidR="00595180" w:rsidRPr="00A26E9F" w:rsidRDefault="00595180">
            <w:pPr>
              <w:jc w:val="both"/>
              <w:rPr>
                <w:rFonts w:ascii="Palatino Linotype" w:eastAsia="Palatino Linotype" w:hAnsi="Palatino Linotype" w:cs="Palatino Linotype"/>
                <w:sz w:val="18"/>
                <w:szCs w:val="18"/>
              </w:rPr>
            </w:pPr>
          </w:p>
        </w:tc>
        <w:tc>
          <w:tcPr>
            <w:tcW w:w="5289" w:type="dxa"/>
          </w:tcPr>
          <w:p w14:paraId="4348C4E4" w14:textId="77777777" w:rsidR="00595180" w:rsidRPr="00A26E9F" w:rsidRDefault="002463AB">
            <w:pPr>
              <w:spacing w:before="120" w:after="120"/>
              <w:jc w:val="both"/>
              <w:rPr>
                <w:rFonts w:ascii="Palatino Linotype" w:eastAsia="Palatino Linotype" w:hAnsi="Palatino Linotype" w:cs="Palatino Linotype"/>
                <w:b/>
                <w:sz w:val="20"/>
                <w:szCs w:val="20"/>
              </w:rPr>
            </w:pPr>
            <w:r w:rsidRPr="00A26E9F">
              <w:rPr>
                <w:rFonts w:ascii="Palatino Linotype" w:eastAsia="Palatino Linotype" w:hAnsi="Palatino Linotype" w:cs="Palatino Linotype"/>
                <w:b/>
                <w:sz w:val="20"/>
                <w:szCs w:val="20"/>
              </w:rPr>
              <w:t>Unidad de Apoyo Administrativo</w:t>
            </w:r>
          </w:p>
          <w:p w14:paraId="59B6464E" w14:textId="77777777" w:rsidR="00595180" w:rsidRPr="00A26E9F" w:rsidRDefault="002463AB">
            <w:pPr>
              <w:spacing w:before="120" w:after="120"/>
              <w:jc w:val="both"/>
              <w:rPr>
                <w:rFonts w:ascii="Palatino Linotype" w:eastAsia="Palatino Linotype" w:hAnsi="Palatino Linotype" w:cs="Palatino Linotype"/>
                <w:sz w:val="20"/>
                <w:szCs w:val="20"/>
              </w:rPr>
            </w:pPr>
            <w:r w:rsidRPr="00A26E9F">
              <w:rPr>
                <w:rFonts w:ascii="Palatino Linotype" w:eastAsia="Palatino Linotype" w:hAnsi="Palatino Linotype" w:cs="Palatino Linotype"/>
                <w:sz w:val="20"/>
                <w:szCs w:val="20"/>
              </w:rPr>
              <w:t xml:space="preserve">Se indica que, la Ley de Archivos y Administración de Documentos del Estado de México y Municipios puntualiza la creación de un Archivo de Concentración dentro de cada Organismo, y que por cuanto hace al plazo para la conservación de documentos en archivos de concentración depende de la vigencia documental, el término precautorio, el periodo de reserva y otros periodos adicionales; y, por ello se indica que se anexa el link de los CRITERIOS TECNICOS QUE DEBERAN OBSERVAR LAS DEPENDENCIAS Y ORGANISMOS AUXILIARES DE LA ADMINISTRACIÓN PÚBLICA ESTATAL PAPA LA ELABORACIÓN, ACTUALIZACIÓN, REGISTRO Y VALIDACIÓN DEL CATÁLOGO DE DISPOSICIÓN DOCUMENTAL”, los cuales especifican la vigencia documental de los expedientes, proporcionando los pasos e imágenes para su consulta, así como en el apartado de la respuesta del SAIMEX se advierte que fue proporcionado el link en formato abierto </w:t>
            </w:r>
            <w:r w:rsidRPr="00A26E9F">
              <w:rPr>
                <w:rFonts w:ascii="Palatino Linotype" w:eastAsia="Palatino Linotype" w:hAnsi="Palatino Linotype" w:cs="Palatino Linotype"/>
                <w:b/>
                <w:i/>
                <w:sz w:val="20"/>
                <w:szCs w:val="20"/>
                <w:u w:val="single"/>
              </w:rPr>
              <w:t>https://agemex.edomex.gob.mx/.</w:t>
            </w:r>
          </w:p>
        </w:tc>
      </w:tr>
    </w:tbl>
    <w:p w14:paraId="54195E73"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6C493D1D"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Sobre el punto 1, se estima oportuno traer a contexto, el contenido de los artículos 4 fracción XX y 13 fracción I de la Ley de Archivos y Administración de Documentos del Estado de México y Municipios, que disponen lo siguiente:</w:t>
      </w:r>
    </w:p>
    <w:p w14:paraId="50BA6B7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1ABA47E5"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“Artículo 4. Además de las definiciones previstas en la Ley General, para los efectos de esta Ley se entenderá por:</w:t>
      </w:r>
    </w:p>
    <w:p w14:paraId="7764D97B"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72F833D9"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 xml:space="preserve">XX. Cuadro General de Clasificación Archivística: </w:t>
      </w:r>
      <w:r w:rsidRPr="00A26E9F">
        <w:rPr>
          <w:rFonts w:ascii="Palatino Linotype" w:eastAsia="Palatino Linotype" w:hAnsi="Palatino Linotype" w:cs="Palatino Linotype"/>
          <w:i/>
          <w:sz w:val="22"/>
          <w:szCs w:val="22"/>
        </w:rPr>
        <w:t>Al instrumento técnico que refleja la estructura de un Archivo con base en las atribuciones y funciones de cada Sujeto Obligado;</w:t>
      </w:r>
    </w:p>
    <w:p w14:paraId="36EA08E3"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B63CC73"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lastRenderedPageBreak/>
        <w:t xml:space="preserve">Artículo 13. Los Sujetos Obligados deberán contar con los Instrumentos de Control y Consulta Archivísticos conforme a sus atribuciones y funciones, manteniéndolos actualizados y disponibles; y contarán al menos con los siguientes: </w:t>
      </w:r>
    </w:p>
    <w:p w14:paraId="4EA72567"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D52C126"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 xml:space="preserve">I. Cuadro General de Clasificación </w:t>
      </w:r>
      <w:proofErr w:type="gramStart"/>
      <w:r w:rsidRPr="00A26E9F">
        <w:rPr>
          <w:rFonts w:ascii="Palatino Linotype" w:eastAsia="Palatino Linotype" w:hAnsi="Palatino Linotype" w:cs="Palatino Linotype"/>
          <w:b/>
          <w:i/>
          <w:sz w:val="22"/>
          <w:szCs w:val="22"/>
        </w:rPr>
        <w:t>Archivística</w:t>
      </w:r>
      <w:r w:rsidRPr="00A26E9F">
        <w:rPr>
          <w:rFonts w:ascii="Palatino Linotype" w:eastAsia="Palatino Linotype" w:hAnsi="Palatino Linotype" w:cs="Palatino Linotype"/>
          <w:i/>
          <w:sz w:val="22"/>
          <w:szCs w:val="22"/>
        </w:rPr>
        <w:t>;[</w:t>
      </w:r>
      <w:proofErr w:type="gramEnd"/>
      <w:r w:rsidRPr="00A26E9F">
        <w:rPr>
          <w:rFonts w:ascii="Palatino Linotype" w:eastAsia="Palatino Linotype" w:hAnsi="Palatino Linotype" w:cs="Palatino Linotype"/>
          <w:i/>
          <w:sz w:val="22"/>
          <w:szCs w:val="22"/>
        </w:rPr>
        <w:t>…]”</w:t>
      </w:r>
    </w:p>
    <w:p w14:paraId="6AC8BBC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1D792C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Como se desprende de lo anterior, el Cuadro General de Clasificación Archivística se define como el instrumento técnico que refleja la estructura de un Archivo con base en las atribuciones y funciones de cada Sujeto Obligado; instrumento al que se encuentran constreñidos los sujetos obligados a contar con el mismo.</w:t>
      </w:r>
    </w:p>
    <w:p w14:paraId="3627015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16C062F"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Ahora, en respuesta al requerimiento de mérito, se advierte que el Servidor Público Habilitado Competente hizo entrega en el apartado de respuesta del SAIMEX del link en formato abierto que permite la consulta del Cuadro General de Clasificación Archivística del </w:t>
      </w:r>
      <w:r w:rsidRPr="00A26E9F">
        <w:rPr>
          <w:rFonts w:ascii="Palatino Linotype" w:eastAsia="Palatino Linotype" w:hAnsi="Palatino Linotype" w:cs="Palatino Linotype"/>
          <w:b/>
          <w:sz w:val="22"/>
          <w:szCs w:val="22"/>
        </w:rPr>
        <w:t>Sujeto Obligado.</w:t>
      </w:r>
    </w:p>
    <w:p w14:paraId="7835F1C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889E5D7" w14:textId="77777777" w:rsidR="00595180" w:rsidRPr="00A26E9F" w:rsidRDefault="002463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esta manera, resulta oportuno traer a colación lo señalado en el artículo 161 de la Ley de Transparencia y Acceso a la Información Pública del Estado de México y Municipios</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D4354ED" w14:textId="77777777" w:rsidR="00595180" w:rsidRPr="00A26E9F" w:rsidRDefault="0059518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1DF08C" w14:textId="77777777" w:rsidR="00595180" w:rsidRPr="00A26E9F" w:rsidRDefault="002463AB">
      <w:pPr>
        <w:spacing w:line="360" w:lineRule="auto"/>
        <w:ind w:left="284"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 La fuente</w:t>
      </w:r>
    </w:p>
    <w:p w14:paraId="56A20CCA" w14:textId="77777777" w:rsidR="00595180" w:rsidRPr="00A26E9F" w:rsidRDefault="002463AB">
      <w:pPr>
        <w:spacing w:line="360" w:lineRule="auto"/>
        <w:ind w:left="284"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b) El lugar y</w:t>
      </w:r>
    </w:p>
    <w:p w14:paraId="21D18ABC" w14:textId="77777777" w:rsidR="00595180" w:rsidRPr="00A26E9F" w:rsidRDefault="002463AB">
      <w:pPr>
        <w:spacing w:line="360" w:lineRule="auto"/>
        <w:ind w:left="284"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c) La forma</w:t>
      </w:r>
    </w:p>
    <w:p w14:paraId="7EC4109B" w14:textId="77777777" w:rsidR="00595180" w:rsidRPr="00A26E9F" w:rsidRDefault="00595180">
      <w:pPr>
        <w:spacing w:line="360" w:lineRule="auto"/>
        <w:ind w:left="284" w:right="51"/>
        <w:jc w:val="both"/>
        <w:rPr>
          <w:rFonts w:ascii="Palatino Linotype" w:eastAsia="Palatino Linotype" w:hAnsi="Palatino Linotype" w:cs="Palatino Linotype"/>
          <w:sz w:val="22"/>
          <w:szCs w:val="22"/>
        </w:rPr>
      </w:pPr>
    </w:p>
    <w:p w14:paraId="42BE00FF"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Asimismo, se establece que la fuente de la información deberá ser:</w:t>
      </w:r>
    </w:p>
    <w:p w14:paraId="0E3905B0" w14:textId="77777777" w:rsidR="00595180" w:rsidRPr="00A26E9F" w:rsidRDefault="002463AB">
      <w:pPr>
        <w:spacing w:line="360" w:lineRule="auto"/>
        <w:ind w:left="284"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 Precisa</w:t>
      </w:r>
    </w:p>
    <w:p w14:paraId="3C9BFC9E" w14:textId="77777777" w:rsidR="00595180" w:rsidRPr="00A26E9F" w:rsidRDefault="002463AB">
      <w:pPr>
        <w:spacing w:line="360" w:lineRule="auto"/>
        <w:ind w:left="284"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b) Concreta</w:t>
      </w:r>
    </w:p>
    <w:p w14:paraId="4736FE68" w14:textId="77777777" w:rsidR="00595180" w:rsidRPr="00A26E9F" w:rsidRDefault="002463AB">
      <w:pPr>
        <w:spacing w:line="360" w:lineRule="auto"/>
        <w:ind w:left="284" w:right="51"/>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c) Y no debe implicar que el solicitante realice una búsqueda en toda la información que se encuentre disponible.</w:t>
      </w:r>
    </w:p>
    <w:p w14:paraId="23CAC0C9" w14:textId="77777777" w:rsidR="00595180" w:rsidRPr="00A26E9F" w:rsidRDefault="00595180">
      <w:pPr>
        <w:ind w:left="284" w:right="51"/>
        <w:jc w:val="both"/>
        <w:rPr>
          <w:rFonts w:ascii="Palatino Linotype" w:eastAsia="Palatino Linotype" w:hAnsi="Palatino Linotype" w:cs="Palatino Linotype"/>
          <w:sz w:val="22"/>
          <w:szCs w:val="22"/>
        </w:rPr>
      </w:pPr>
    </w:p>
    <w:p w14:paraId="3452B32A"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14:paraId="63B02B6C"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787EADEA" w14:textId="77777777" w:rsidR="00595180" w:rsidRPr="00A26E9F" w:rsidRDefault="002463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este sentido, este Organismo Garante procedió a la consulta de liga electrónica entregada en respuesta,</w:t>
      </w:r>
      <w:r w:rsidRPr="00A26E9F">
        <w:rPr>
          <w:rFonts w:ascii="Palatino Linotype" w:eastAsia="Palatino Linotype" w:hAnsi="Palatino Linotype" w:cs="Palatino Linotype"/>
          <w:b/>
          <w:sz w:val="22"/>
          <w:szCs w:val="22"/>
        </w:rPr>
        <w:t xml:space="preserve"> </w:t>
      </w:r>
      <w:r w:rsidRPr="00A26E9F">
        <w:rPr>
          <w:rFonts w:ascii="Palatino Linotype" w:eastAsia="Palatino Linotype" w:hAnsi="Palatino Linotype" w:cs="Palatino Linotype"/>
          <w:sz w:val="22"/>
          <w:szCs w:val="22"/>
        </w:rPr>
        <w:t xml:space="preserve">advirtiendo que en efecto dicha liga dirige al instrumento requerido por el particular como quedó precisado en el cuadro de análisis; y, en </w:t>
      </w:r>
      <w:proofErr w:type="gramStart"/>
      <w:r w:rsidRPr="00A26E9F">
        <w:rPr>
          <w:rFonts w:ascii="Palatino Linotype" w:eastAsia="Palatino Linotype" w:hAnsi="Palatino Linotype" w:cs="Palatino Linotype"/>
          <w:sz w:val="22"/>
          <w:szCs w:val="22"/>
        </w:rPr>
        <w:t>consecuencia</w:t>
      </w:r>
      <w:proofErr w:type="gramEnd"/>
      <w:r w:rsidRPr="00A26E9F">
        <w:rPr>
          <w:rFonts w:ascii="Palatino Linotype" w:eastAsia="Palatino Linotype" w:hAnsi="Palatino Linotype" w:cs="Palatino Linotype"/>
          <w:sz w:val="22"/>
          <w:szCs w:val="22"/>
        </w:rPr>
        <w:t xml:space="preserve"> resulta dable tener por atendido dicho punto.</w:t>
      </w:r>
    </w:p>
    <w:p w14:paraId="2EE2E87D" w14:textId="77777777" w:rsidR="00595180" w:rsidRPr="00A26E9F" w:rsidRDefault="0059518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FDCE43" w14:textId="77777777" w:rsidR="00595180" w:rsidRPr="00A26E9F" w:rsidRDefault="002463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por cuanto hace a los puntos </w:t>
      </w:r>
      <w:r w:rsidRPr="00A26E9F">
        <w:rPr>
          <w:rFonts w:ascii="Palatino Linotype" w:eastAsia="Palatino Linotype" w:hAnsi="Palatino Linotype" w:cs="Palatino Linotype"/>
          <w:b/>
          <w:sz w:val="22"/>
          <w:szCs w:val="22"/>
        </w:rPr>
        <w:t>2 y 5</w:t>
      </w:r>
      <w:r w:rsidRPr="00A26E9F">
        <w:rPr>
          <w:rFonts w:ascii="Palatino Linotype" w:eastAsia="Palatino Linotype" w:hAnsi="Palatino Linotype" w:cs="Palatino Linotype"/>
          <w:sz w:val="22"/>
          <w:szCs w:val="22"/>
        </w:rPr>
        <w:t>, resulta procedente su análisis en conjunto, en virtud de que la naturaleza de la información está estrechamente relacionada.</w:t>
      </w:r>
    </w:p>
    <w:p w14:paraId="10DECBCA"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E3CC9FE"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los requerimientos de información, el particular solicita se le proporcione lo siguiente: </w:t>
      </w:r>
    </w:p>
    <w:p w14:paraId="0D1DE54D"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EF26E26" w14:textId="77777777" w:rsidR="00595180" w:rsidRPr="00A26E9F" w:rsidRDefault="002463A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Si en cada sede del Centro de Conciliación Laboral del Estado de México se cuenta con archivo de concentración, y, de ser afirmativo, se proporcione ubicación y lineamientos.</w:t>
      </w:r>
    </w:p>
    <w:p w14:paraId="457883F7" w14:textId="77777777" w:rsidR="00595180" w:rsidRPr="00A26E9F" w:rsidRDefault="002463A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lastRenderedPageBreak/>
        <w:t>Número de expedientes que fueron remitidos a las sedes de archivo de concentración o se prevén remitir de los años 2020, 2021 y 2022, proporcionando la información desglosada por sede.</w:t>
      </w:r>
    </w:p>
    <w:p w14:paraId="3B6B849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6CAFB0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sz w:val="22"/>
          <w:szCs w:val="22"/>
        </w:rPr>
        <w:t xml:space="preserve">Al respecto, previo al estudio de fondo de los requerimientos en cuestión resulta importante aclarar que, </w:t>
      </w:r>
      <w:r w:rsidRPr="00A26E9F">
        <w:rPr>
          <w:rFonts w:ascii="Palatino Linotype" w:eastAsia="Palatino Linotype" w:hAnsi="Palatino Linotype" w:cs="Palatino Linotype"/>
          <w:b/>
          <w:sz w:val="22"/>
          <w:szCs w:val="22"/>
        </w:rPr>
        <w:t>si bien el particular hace referencia a sedes del Sujeto Obligado</w:t>
      </w:r>
      <w:r w:rsidRPr="00A26E9F">
        <w:rPr>
          <w:rFonts w:ascii="Palatino Linotype" w:eastAsia="Palatino Linotype" w:hAnsi="Palatino Linotype" w:cs="Palatino Linotype"/>
          <w:sz w:val="22"/>
          <w:szCs w:val="22"/>
        </w:rPr>
        <w:t xml:space="preserve">, de la normatividad que regula a este último como lo es su Manual General de Organización vigente, se advierte que el Centro de Conciliación Laboral del Estado de México tiene tres Direcciones Regionales de Conciliación Laboral; por lo que, para efectos del presente asunto, </w:t>
      </w:r>
      <w:r w:rsidRPr="00A26E9F">
        <w:rPr>
          <w:rFonts w:ascii="Palatino Linotype" w:eastAsia="Palatino Linotype" w:hAnsi="Palatino Linotype" w:cs="Palatino Linotype"/>
          <w:b/>
          <w:sz w:val="22"/>
          <w:szCs w:val="22"/>
          <w:u w:val="single"/>
        </w:rPr>
        <w:t>se tendrá que a las sedes que se refiere el solicitante es a dichas Direcciones Regionales.</w:t>
      </w:r>
    </w:p>
    <w:p w14:paraId="540D621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0799DD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Precisado lo anterior, se procede al análisis de la naturaleza de la información requerida y para ello es menester de este Órgano Garante traer a contexto el contenido de los artículos 4 fracciones V, XI y XXVIII, 11 fracción II, 21 y 22 de la Ley de Archivos y Administración de Documentos del Estado de México y Municipios, así como los transitorios Octavo y Décimo Cuarto de la misma, que disponen lo siguiente: </w:t>
      </w:r>
    </w:p>
    <w:p w14:paraId="74A940D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C2A0626"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“Artículo 4. Además de las definiciones previstas en la Ley General, para los efectos de esta Ley se entenderá por:</w:t>
      </w:r>
    </w:p>
    <w:p w14:paraId="133AAB8F"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4CD458ED"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V. Archivo de Concentración: Al integrado por documentos transferidos desde las áreas o unidades productoras, cuyo uso y consulta es esporádica y que permanecen en él, hasta su Disposición Documental;</w:t>
      </w:r>
    </w:p>
    <w:p w14:paraId="09645CFC"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6A4FDDB3"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XXVIII. Expediente: A la unidad documental compuesta por Documentos de Archivo, ordenados y relacionados por un mismo asunto, actividad o trámite de los Sujetos Obligados;</w:t>
      </w:r>
    </w:p>
    <w:p w14:paraId="14F91809"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lastRenderedPageBreak/>
        <w:t>[…]”</w:t>
      </w:r>
    </w:p>
    <w:p w14:paraId="331BDC59"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“Artículo 11. Los Sujetos Obligados deberán:</w:t>
      </w:r>
    </w:p>
    <w:p w14:paraId="4EE11C52"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2D085566"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II. Establecer un Sistema Institucional para la administración de sus Archivos y llevar a cabo los procesos de Gestión Documental; </w:t>
      </w:r>
    </w:p>
    <w:p w14:paraId="33C0FB34"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 […]”</w:t>
      </w:r>
    </w:p>
    <w:p w14:paraId="0D71C8DE"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6133B15B"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Artículo 21. El Sistema Institucional de cada Sujeto Obligado deberá integrarse por: </w:t>
      </w:r>
    </w:p>
    <w:p w14:paraId="1727DF8E"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I. Un Área Coordinadora de Archivos, y </w:t>
      </w:r>
    </w:p>
    <w:p w14:paraId="6FB808D9"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II. Las Áreas Operativas siguientes: </w:t>
      </w:r>
    </w:p>
    <w:p w14:paraId="02386ADE"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a) De correspondencia; </w:t>
      </w:r>
    </w:p>
    <w:p w14:paraId="496867D7"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b) Archivo de Trámite, por área o unidad administrativa; </w:t>
      </w:r>
    </w:p>
    <w:p w14:paraId="45648EDB"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c) Archivo de Concentración, y </w:t>
      </w:r>
    </w:p>
    <w:p w14:paraId="3DC939AE"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d) Archivo Histórico, en su caso, sujeto a la capacidad presupuestal y técnica del Sujeto Obligado.”</w:t>
      </w:r>
    </w:p>
    <w:p w14:paraId="6BB6A50B"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8E69938"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Artículo 22. Los Sujetos Obligados podrán coordinarse para establecer Archivos de Concentración o Históricos comunes con la denominación de regionales, en los términos que establezcan las disposiciones jurídicas aplicables. </w:t>
      </w:r>
    </w:p>
    <w:p w14:paraId="2190EDDC"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001D5B5"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El convenio o instrumento jurídico que dé origen a la coordinación referida en el párrafo anterior, deberá identificar a las personas responsables de la Administración de los Archivos. </w:t>
      </w:r>
    </w:p>
    <w:p w14:paraId="717050D9"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CDA9BB3"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u w:val="single"/>
        </w:rPr>
        <w:t>Los Sujetos Obligados que cuenten con oficinas regionales podrán habilitar unidades de resguardo del Archivo de Concentración Regional</w:t>
      </w:r>
      <w:r w:rsidRPr="00A26E9F">
        <w:rPr>
          <w:rFonts w:ascii="Palatino Linotype" w:eastAsia="Palatino Linotype" w:hAnsi="Palatino Linotype" w:cs="Palatino Linotype"/>
          <w:i/>
          <w:sz w:val="22"/>
          <w:szCs w:val="22"/>
        </w:rPr>
        <w:t>.”</w:t>
      </w:r>
    </w:p>
    <w:p w14:paraId="6994206E"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2AD0648" w14:textId="77777777" w:rsidR="00595180" w:rsidRPr="00A26E9F" w:rsidRDefault="002463AB">
      <w:pPr>
        <w:pBdr>
          <w:top w:val="nil"/>
          <w:left w:val="nil"/>
          <w:bottom w:val="nil"/>
          <w:right w:val="nil"/>
          <w:between w:val="nil"/>
        </w:pBdr>
        <w:spacing w:line="276" w:lineRule="auto"/>
        <w:ind w:left="567" w:right="616"/>
        <w:jc w:val="center"/>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T R A N S I T O R I O S</w:t>
      </w:r>
    </w:p>
    <w:p w14:paraId="72D6EEB1"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OCTAVO.</w:t>
      </w:r>
      <w:r w:rsidRPr="00A26E9F">
        <w:rPr>
          <w:rFonts w:ascii="Palatino Linotype" w:eastAsia="Palatino Linotype" w:hAnsi="Palatino Linotype" w:cs="Palatino Linotype"/>
          <w:i/>
          <w:sz w:val="22"/>
          <w:szCs w:val="22"/>
        </w:rPr>
        <w:t xml:space="preserve"> Los Sujetos Obligados deberán implementar su Sistema Institucional, dentro de los seis meses posteriores a la entrada en vigor de la presente Ley.</w:t>
      </w:r>
    </w:p>
    <w:p w14:paraId="3A8FE3ED"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w:t>
      </w:r>
    </w:p>
    <w:p w14:paraId="3D27DD08"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DÉCIMO CUARTO.</w:t>
      </w:r>
      <w:r w:rsidRPr="00A26E9F">
        <w:rPr>
          <w:rFonts w:ascii="Palatino Linotype" w:eastAsia="Palatino Linotype" w:hAnsi="Palatino Linotype" w:cs="Palatino Linotype"/>
          <w:i/>
          <w:sz w:val="22"/>
          <w:szCs w:val="22"/>
        </w:rPr>
        <w:t xml:space="preserve"> En tanto las Dependencias y Organismos Auxiliares del Ejecutivo Estatal designan un Área Coordinadora de Archivos, y conforman sus </w:t>
      </w:r>
      <w:r w:rsidRPr="00A26E9F">
        <w:rPr>
          <w:rFonts w:ascii="Palatino Linotype" w:eastAsia="Palatino Linotype" w:hAnsi="Palatino Linotype" w:cs="Palatino Linotype"/>
          <w:i/>
          <w:sz w:val="22"/>
          <w:szCs w:val="22"/>
        </w:rPr>
        <w:lastRenderedPageBreak/>
        <w:t xml:space="preserve">distintas Áreas Operativas, podrán auxiliarse de las unidades administrativas de la Secretaría de Finanzas para realizar las atribuciones previstas en la presente </w:t>
      </w:r>
      <w:proofErr w:type="gramStart"/>
      <w:r w:rsidRPr="00A26E9F">
        <w:rPr>
          <w:rFonts w:ascii="Palatino Linotype" w:eastAsia="Palatino Linotype" w:hAnsi="Palatino Linotype" w:cs="Palatino Linotype"/>
          <w:i/>
          <w:sz w:val="22"/>
          <w:szCs w:val="22"/>
        </w:rPr>
        <w:t>Ley.[</w:t>
      </w:r>
      <w:proofErr w:type="gramEnd"/>
      <w:r w:rsidRPr="00A26E9F">
        <w:rPr>
          <w:rFonts w:ascii="Palatino Linotype" w:eastAsia="Palatino Linotype" w:hAnsi="Palatino Linotype" w:cs="Palatino Linotype"/>
          <w:i/>
          <w:sz w:val="22"/>
          <w:szCs w:val="22"/>
        </w:rPr>
        <w:t>…]”</w:t>
      </w:r>
    </w:p>
    <w:p w14:paraId="3D573EE5"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7149980" w14:textId="77777777" w:rsidR="00595180" w:rsidRPr="00A26E9F" w:rsidRDefault="002463AB">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(Énfasis añadido)</w:t>
      </w:r>
    </w:p>
    <w:p w14:paraId="4C51BA3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660927C"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las disposiciones legales transcritas de advierte que, se le conoce como Archivo de Concentración al integrado por documentos transferidos (incluidos los expedientes) desde las áreas o unidades productoras, cuyo uso y consulta es esporádica y que permanecen en él, hasta su Disposición Documental.</w:t>
      </w:r>
    </w:p>
    <w:p w14:paraId="71E09116"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F2AE484"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Asimismo, se encuentra establecido que todos los sujetos obligados se encuentran constreñidos a implementar su </w:t>
      </w:r>
      <w:r w:rsidRPr="00A26E9F">
        <w:rPr>
          <w:rFonts w:ascii="Palatino Linotype" w:eastAsia="Palatino Linotype" w:hAnsi="Palatino Linotype" w:cs="Palatino Linotype"/>
          <w:b/>
          <w:sz w:val="22"/>
          <w:szCs w:val="22"/>
        </w:rPr>
        <w:t>Sistema Institucional de Archivos</w:t>
      </w:r>
      <w:r w:rsidRPr="00A26E9F">
        <w:rPr>
          <w:rFonts w:ascii="Palatino Linotype" w:eastAsia="Palatino Linotype" w:hAnsi="Palatino Linotype" w:cs="Palatino Linotype"/>
          <w:sz w:val="22"/>
          <w:szCs w:val="22"/>
        </w:rPr>
        <w:t xml:space="preserve">, para la administración de sus Archivos y llevar a cabo los procesos de Gestión Documental, </w:t>
      </w:r>
      <w:r w:rsidRPr="00A26E9F">
        <w:rPr>
          <w:rFonts w:ascii="Palatino Linotype" w:eastAsia="Palatino Linotype" w:hAnsi="Palatino Linotype" w:cs="Palatino Linotype"/>
          <w:b/>
          <w:sz w:val="22"/>
          <w:szCs w:val="22"/>
        </w:rPr>
        <w:t>el cual se integra, entre otros, por un Archivo de Concentración</w:t>
      </w:r>
      <w:r w:rsidRPr="00A26E9F">
        <w:rPr>
          <w:rFonts w:ascii="Palatino Linotype" w:eastAsia="Palatino Linotype" w:hAnsi="Palatino Linotype" w:cs="Palatino Linotype"/>
          <w:sz w:val="22"/>
          <w:szCs w:val="22"/>
        </w:rPr>
        <w:t xml:space="preserve">; debiéndose implementar dicho sistema, </w:t>
      </w:r>
      <w:r w:rsidRPr="00A26E9F">
        <w:rPr>
          <w:rFonts w:ascii="Palatino Linotype" w:eastAsia="Palatino Linotype" w:hAnsi="Palatino Linotype" w:cs="Palatino Linotype"/>
          <w:b/>
          <w:sz w:val="22"/>
          <w:szCs w:val="22"/>
        </w:rPr>
        <w:t>dentro de los seis meses posteriores a la entrada en vigor de la presente Ley</w:t>
      </w:r>
      <w:r w:rsidRPr="00A26E9F">
        <w:rPr>
          <w:rFonts w:ascii="Palatino Linotype" w:eastAsia="Palatino Linotype" w:hAnsi="Palatino Linotype" w:cs="Palatino Linotype"/>
          <w:sz w:val="22"/>
          <w:szCs w:val="22"/>
        </w:rPr>
        <w:t>.</w:t>
      </w:r>
    </w:p>
    <w:p w14:paraId="3B8D689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F2D52E"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Consecuentemente, en el caso de archivos de concentración regionales, la Ley de la materia </w:t>
      </w:r>
      <w:r w:rsidRPr="00A26E9F">
        <w:rPr>
          <w:rFonts w:ascii="Palatino Linotype" w:eastAsia="Palatino Linotype" w:hAnsi="Palatino Linotype" w:cs="Palatino Linotype"/>
          <w:b/>
          <w:sz w:val="22"/>
          <w:szCs w:val="22"/>
          <w:u w:val="single"/>
        </w:rPr>
        <w:t>dispone que los Sujetos Obligados que cuenten con oficinas regionales</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u w:val="single"/>
        </w:rPr>
        <w:t>podrán habilitar unidades de resguardo del Archivo de Concentración Regional,</w:t>
      </w:r>
      <w:r w:rsidRPr="00A26E9F">
        <w:rPr>
          <w:rFonts w:ascii="Palatino Linotype" w:eastAsia="Palatino Linotype" w:hAnsi="Palatino Linotype" w:cs="Palatino Linotype"/>
          <w:b/>
          <w:sz w:val="22"/>
          <w:szCs w:val="22"/>
        </w:rPr>
        <w:t xml:space="preserve"> </w:t>
      </w:r>
      <w:r w:rsidRPr="00A26E9F">
        <w:rPr>
          <w:rFonts w:ascii="Palatino Linotype" w:eastAsia="Palatino Linotype" w:hAnsi="Palatino Linotype" w:cs="Palatino Linotype"/>
          <w:sz w:val="22"/>
          <w:szCs w:val="22"/>
        </w:rPr>
        <w:t xml:space="preserve">en otras </w:t>
      </w:r>
      <w:proofErr w:type="gramStart"/>
      <w:r w:rsidRPr="00A26E9F">
        <w:rPr>
          <w:rFonts w:ascii="Palatino Linotype" w:eastAsia="Palatino Linotype" w:hAnsi="Palatino Linotype" w:cs="Palatino Linotype"/>
          <w:sz w:val="22"/>
          <w:szCs w:val="22"/>
        </w:rPr>
        <w:t>palabras</w:t>
      </w:r>
      <w:proofErr w:type="gramEnd"/>
      <w:r w:rsidRPr="00A26E9F">
        <w:rPr>
          <w:rFonts w:ascii="Palatino Linotype" w:eastAsia="Palatino Linotype" w:hAnsi="Palatino Linotype" w:cs="Palatino Linotype"/>
          <w:sz w:val="22"/>
          <w:szCs w:val="22"/>
        </w:rPr>
        <w:t xml:space="preserve"> es una atribución potestativa de los sujetos obligados crear unidades de resguardo del archivo de concentración o bien archivos de concentración regionales, cuando los entes obligados cuenten con oficinas de ese tipo.</w:t>
      </w:r>
    </w:p>
    <w:p w14:paraId="10E91B82"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59D0FCE0"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En el caso, es de recordar que el requerimiento de información analizado bajo el </w:t>
      </w:r>
      <w:r w:rsidRPr="00A26E9F">
        <w:rPr>
          <w:rFonts w:ascii="Palatino Linotype" w:eastAsia="Palatino Linotype" w:hAnsi="Palatino Linotype" w:cs="Palatino Linotype"/>
          <w:b/>
          <w:sz w:val="22"/>
          <w:szCs w:val="22"/>
        </w:rPr>
        <w:t>punto 2</w:t>
      </w:r>
      <w:r w:rsidRPr="00A26E9F">
        <w:rPr>
          <w:rFonts w:ascii="Palatino Linotype" w:eastAsia="Palatino Linotype" w:hAnsi="Palatino Linotype" w:cs="Palatino Linotype"/>
          <w:sz w:val="22"/>
          <w:szCs w:val="22"/>
        </w:rPr>
        <w:t>, consiste en términos generales en conocer “</w:t>
      </w:r>
      <w:r w:rsidRPr="00A26E9F">
        <w:rPr>
          <w:rFonts w:ascii="Palatino Linotype" w:eastAsia="Palatino Linotype" w:hAnsi="Palatino Linotype" w:cs="Palatino Linotype"/>
          <w:b/>
          <w:i/>
          <w:sz w:val="22"/>
          <w:szCs w:val="22"/>
        </w:rPr>
        <w:t>Si en cada sede del Centro de Conciliación Laboral del Estado de México se cuenta con archivo de concentración, y, de ser afirmativo, se proporcione ubicación y lineamientos</w:t>
      </w:r>
      <w:r w:rsidRPr="00A26E9F">
        <w:rPr>
          <w:rFonts w:ascii="Palatino Linotype" w:eastAsia="Palatino Linotype" w:hAnsi="Palatino Linotype" w:cs="Palatino Linotype"/>
          <w:b/>
          <w:sz w:val="22"/>
          <w:szCs w:val="22"/>
        </w:rPr>
        <w:t xml:space="preserve">.”; </w:t>
      </w:r>
      <w:r w:rsidRPr="00A26E9F">
        <w:rPr>
          <w:rFonts w:ascii="Palatino Linotype" w:eastAsia="Palatino Linotype" w:hAnsi="Palatino Linotype" w:cs="Palatino Linotype"/>
          <w:sz w:val="22"/>
          <w:szCs w:val="22"/>
        </w:rPr>
        <w:t xml:space="preserve">requerimiento que está relacionado con los </w:t>
      </w:r>
      <w:r w:rsidRPr="00A26E9F">
        <w:rPr>
          <w:rFonts w:ascii="Palatino Linotype" w:eastAsia="Palatino Linotype" w:hAnsi="Palatino Linotype" w:cs="Palatino Linotype"/>
          <w:sz w:val="22"/>
          <w:szCs w:val="22"/>
        </w:rPr>
        <w:lastRenderedPageBreak/>
        <w:t xml:space="preserve">archivos de concentración regionales con que cuenta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dada las Direcciones Regionales que tiene bajo su estructura orgánica.</w:t>
      </w:r>
    </w:p>
    <w:p w14:paraId="4182157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367F1668"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Por lo que, atendiendo que el particular no es experto en la materia, para efectos de la presente resolución, se tendrá que la información a la que pretende acceder es respecto de los archivos de concentración regionales con que cuenta el ente obligado respecto de sus Direcciones Regionales.</w:t>
      </w:r>
    </w:p>
    <w:p w14:paraId="448B5DE3"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319D9998"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Ahora, conforme el Manual General de Organización vigente del ente obligado, se advierte que este cuenta con tres Direcciones Regionales de Conciliación Laboral, mismas que se aprecian dentro de su estructura orgánica siguiente:</w:t>
      </w:r>
    </w:p>
    <w:p w14:paraId="061A24AE"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3FDCD20"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noProof/>
          <w:sz w:val="22"/>
          <w:szCs w:val="22"/>
        </w:rPr>
        <w:drawing>
          <wp:inline distT="0" distB="0" distL="0" distR="0" wp14:anchorId="0CC650D6" wp14:editId="2F17D7C4">
            <wp:extent cx="5612765" cy="3822970"/>
            <wp:effectExtent l="9525" t="9525" r="9525" b="9525"/>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14930"/>
                    <a:stretch>
                      <a:fillRect/>
                    </a:stretch>
                  </pic:blipFill>
                  <pic:spPr>
                    <a:xfrm>
                      <a:off x="0" y="0"/>
                      <a:ext cx="5612765" cy="3822970"/>
                    </a:xfrm>
                    <a:prstGeom prst="rect">
                      <a:avLst/>
                    </a:prstGeom>
                    <a:ln w="9525">
                      <a:solidFill>
                        <a:srgbClr val="4F81BD"/>
                      </a:solidFill>
                      <a:prstDash val="solid"/>
                    </a:ln>
                  </pic:spPr>
                </pic:pic>
              </a:graphicData>
            </a:graphic>
          </wp:inline>
        </w:drawing>
      </w:r>
    </w:p>
    <w:p w14:paraId="2AB31B05"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42052D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A26E9F">
        <w:rPr>
          <w:rFonts w:ascii="Palatino Linotype" w:eastAsia="Palatino Linotype" w:hAnsi="Palatino Linotype" w:cs="Palatino Linotype"/>
          <w:sz w:val="22"/>
          <w:szCs w:val="22"/>
        </w:rPr>
        <w:t xml:space="preserve">De ahí que, en materia de archivos y gestión documental, en términos del artículo 22 de la Ley de Archivos de la entidad,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 xml:space="preserve">al contar con oficinas regionales, refiriéndonos a las Direcciones Regionales de Conciliación Laboral, </w:t>
      </w:r>
      <w:r w:rsidRPr="00A26E9F">
        <w:rPr>
          <w:rFonts w:ascii="Palatino Linotype" w:eastAsia="Palatino Linotype" w:hAnsi="Palatino Linotype" w:cs="Palatino Linotype"/>
          <w:b/>
          <w:sz w:val="22"/>
          <w:szCs w:val="22"/>
          <w:u w:val="single"/>
        </w:rPr>
        <w:t>tiene la atribución potestativa de habilitar unidades de resguardo del Archivo de Concentración Regional o bien archivos de concentración regionales.</w:t>
      </w:r>
    </w:p>
    <w:p w14:paraId="57174C56"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33D8629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del análisis a la respuesta, se advierte que el Servidor Público Habilitado competente refirió a </w:t>
      </w:r>
      <w:r w:rsidRPr="00A26E9F">
        <w:rPr>
          <w:rFonts w:ascii="Palatino Linotype" w:eastAsia="Palatino Linotype" w:hAnsi="Palatino Linotype" w:cs="Palatino Linotype"/>
          <w:i/>
          <w:sz w:val="22"/>
          <w:szCs w:val="22"/>
        </w:rPr>
        <w:t>grosso modo</w:t>
      </w:r>
      <w:r w:rsidRPr="00A26E9F">
        <w:rPr>
          <w:rFonts w:ascii="Palatino Linotype" w:eastAsia="Palatino Linotype" w:hAnsi="Palatino Linotype" w:cs="Palatino Linotype"/>
          <w:sz w:val="22"/>
          <w:szCs w:val="22"/>
        </w:rPr>
        <w:t xml:space="preserve"> que, en términos del artículo 22 de la Ley General de Archivos, el </w:t>
      </w:r>
      <w:r w:rsidRPr="00A26E9F">
        <w:rPr>
          <w:rFonts w:ascii="Palatino Linotype" w:eastAsia="Palatino Linotype" w:hAnsi="Palatino Linotype" w:cs="Palatino Linotype"/>
          <w:b/>
          <w:sz w:val="22"/>
          <w:szCs w:val="22"/>
          <w:u w:val="single"/>
        </w:rPr>
        <w:t>Área coordinadora de archivos actualmente está haciendo las gestiones y procedimientos correspondientes para la creación de ese Archivo de Concentración, refiriéndose con ello al archivo de concentración por regiones (Direcciones Regionales).</w:t>
      </w:r>
    </w:p>
    <w:p w14:paraId="0F4B5BE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10877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Numeral que refirió el ente obligado, que hace referencia al igual que la Ley de Archivos de la Entidad, </w:t>
      </w:r>
      <w:r w:rsidRPr="00A26E9F">
        <w:rPr>
          <w:rFonts w:ascii="Palatino Linotype" w:eastAsia="Palatino Linotype" w:hAnsi="Palatino Linotype" w:cs="Palatino Linotype"/>
          <w:b/>
          <w:sz w:val="22"/>
          <w:szCs w:val="22"/>
          <w:u w:val="single"/>
        </w:rPr>
        <w:t>que los sujetos obligados que cuenten con oficinas regionales podrán habilitar unidades de resguardo del archivo de concentración regional o bien, archivos de concentración regional.</w:t>
      </w:r>
    </w:p>
    <w:p w14:paraId="6A2A2AC2"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EB753B4"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esta manera, de la respuesta del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 xml:space="preserve">se desprende de manera concreta que </w:t>
      </w:r>
      <w:r w:rsidRPr="00A26E9F">
        <w:rPr>
          <w:rFonts w:ascii="Palatino Linotype" w:eastAsia="Palatino Linotype" w:hAnsi="Palatino Linotype" w:cs="Palatino Linotype"/>
          <w:b/>
          <w:sz w:val="22"/>
          <w:szCs w:val="22"/>
        </w:rPr>
        <w:t>no cuenta con un Archivo de Concentración por regiones, es decir, no cuenta con archivos de concentración por Dirección Regional, ya que se están haciendo las gestiones correspondientes para su creación.</w:t>
      </w:r>
    </w:p>
    <w:p w14:paraId="0A130A9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891EFD"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Por lo tanto, atendiendo que es una atribución potestativa que establece la Ley relativa a contar o no con archivos de concentración regionales respecto de las oficinas regionales, al advertirse en el presente asunto que las Direcciones Regionales de Conciliación Laboral no </w:t>
      </w:r>
      <w:r w:rsidRPr="00A26E9F">
        <w:rPr>
          <w:rFonts w:ascii="Palatino Linotype" w:eastAsia="Palatino Linotype" w:hAnsi="Palatino Linotype" w:cs="Palatino Linotype"/>
          <w:sz w:val="22"/>
          <w:szCs w:val="22"/>
        </w:rPr>
        <w:lastRenderedPageBreak/>
        <w:t>cuentan con los mismos, es que el pronunciamiento del Servidor Público Habilitado competente resulta suficiente para atender el punto en análisis, ya que se indicó que se está gestionando, máxime que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0276A03D"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BEDECD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por cuanto hace al requerimiento previsto en el </w:t>
      </w:r>
      <w:r w:rsidRPr="00A26E9F">
        <w:rPr>
          <w:rFonts w:ascii="Palatino Linotype" w:eastAsia="Palatino Linotype" w:hAnsi="Palatino Linotype" w:cs="Palatino Linotype"/>
          <w:b/>
          <w:sz w:val="22"/>
          <w:szCs w:val="22"/>
        </w:rPr>
        <w:t>numeral 5</w:t>
      </w:r>
      <w:r w:rsidRPr="00A26E9F">
        <w:rPr>
          <w:rFonts w:ascii="Palatino Linotype" w:eastAsia="Palatino Linotype" w:hAnsi="Palatino Linotype" w:cs="Palatino Linotype"/>
          <w:sz w:val="22"/>
          <w:szCs w:val="22"/>
        </w:rPr>
        <w:t>, relativo al “</w:t>
      </w:r>
      <w:r w:rsidRPr="00A26E9F">
        <w:rPr>
          <w:rFonts w:ascii="Palatino Linotype" w:eastAsia="Palatino Linotype" w:hAnsi="Palatino Linotype" w:cs="Palatino Linotype"/>
          <w:b/>
          <w:i/>
          <w:sz w:val="22"/>
          <w:szCs w:val="22"/>
        </w:rPr>
        <w:t xml:space="preserve">Número de expedientes que fueron remitidos a las sedes de archivo de concentración o se prevén remitir de los años 2020, 2021 y 2022, proporcionando la información desglosada por sede.”; </w:t>
      </w:r>
      <w:r w:rsidRPr="00A26E9F">
        <w:rPr>
          <w:rFonts w:ascii="Palatino Linotype" w:eastAsia="Palatino Linotype" w:hAnsi="Palatino Linotype" w:cs="Palatino Linotype"/>
          <w:sz w:val="22"/>
          <w:szCs w:val="22"/>
        </w:rPr>
        <w:t>el mismo se considera que no puede ser atendido por el ente obligado, ni resulta procedente ordenar la entrega de información alguna.</w:t>
      </w:r>
    </w:p>
    <w:p w14:paraId="11A40C84"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D80D99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Lo anterior porque retomando los argumentos esgrimidos con antelación, el particular, en primer </w:t>
      </w:r>
      <w:proofErr w:type="gramStart"/>
      <w:r w:rsidRPr="00A26E9F">
        <w:rPr>
          <w:rFonts w:ascii="Palatino Linotype" w:eastAsia="Palatino Linotype" w:hAnsi="Palatino Linotype" w:cs="Palatino Linotype"/>
          <w:sz w:val="22"/>
          <w:szCs w:val="22"/>
        </w:rPr>
        <w:t>lugar,  requiere</w:t>
      </w:r>
      <w:proofErr w:type="gramEnd"/>
      <w:r w:rsidRPr="00A26E9F">
        <w:rPr>
          <w:rFonts w:ascii="Palatino Linotype" w:eastAsia="Palatino Linotype" w:hAnsi="Palatino Linotype" w:cs="Palatino Linotype"/>
          <w:sz w:val="22"/>
          <w:szCs w:val="22"/>
        </w:rPr>
        <w:t xml:space="preserve"> el número de expedientes remitidos a los archivos de concentración de las Direcciones Regionales de Conciliación Laboral, información que no cuenta con ella el ente obligado, al encontrarse gestionando la creación de ese tipo archivo de concentración regional, conforme lo informado en respuesta.</w:t>
      </w:r>
    </w:p>
    <w:p w14:paraId="3328C4E2"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E15E712"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segundo lugar, no escapa de la óptica de este órgano garante que, del requerimiento en análisis, el particular también pretende acceder al “</w:t>
      </w:r>
      <w:r w:rsidRPr="00A26E9F">
        <w:rPr>
          <w:rFonts w:ascii="Palatino Linotype" w:eastAsia="Palatino Linotype" w:hAnsi="Palatino Linotype" w:cs="Palatino Linotype"/>
          <w:b/>
          <w:i/>
          <w:sz w:val="22"/>
          <w:szCs w:val="22"/>
        </w:rPr>
        <w:t xml:space="preserve">número de expedientes </w:t>
      </w:r>
      <w:r w:rsidRPr="00A26E9F">
        <w:rPr>
          <w:rFonts w:ascii="Palatino Linotype" w:eastAsia="Palatino Linotype" w:hAnsi="Palatino Linotype" w:cs="Palatino Linotype"/>
          <w:b/>
          <w:i/>
          <w:sz w:val="22"/>
          <w:szCs w:val="22"/>
          <w:u w:val="single"/>
        </w:rPr>
        <w:t>que se prevén</w:t>
      </w:r>
      <w:r w:rsidRPr="00A26E9F">
        <w:rPr>
          <w:rFonts w:ascii="Palatino Linotype" w:eastAsia="Palatino Linotype" w:hAnsi="Palatino Linotype" w:cs="Palatino Linotype"/>
          <w:b/>
          <w:i/>
          <w:sz w:val="22"/>
          <w:szCs w:val="22"/>
        </w:rPr>
        <w:t xml:space="preserve"> remitir de los años 2020, 2021 y 2022”</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i/>
          <w:sz w:val="22"/>
          <w:szCs w:val="22"/>
        </w:rPr>
        <w:t>a los archivos de concentración regionales</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sz w:val="22"/>
          <w:szCs w:val="22"/>
        </w:rPr>
        <w:t>lo cual</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sz w:val="22"/>
          <w:szCs w:val="22"/>
        </w:rPr>
        <w:t xml:space="preserve">se considera que atendiendo los términos en que se formuló el requerimiento, se desprende que la pretensión de la persona solicitante es obtener un pronunciamiento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en el sentido de que responda una situación en particular que aún no ocurre.</w:t>
      </w:r>
    </w:p>
    <w:p w14:paraId="694E76A0"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i/>
          <w:sz w:val="22"/>
          <w:szCs w:val="22"/>
        </w:rPr>
        <w:t xml:space="preserve"> </w:t>
      </w:r>
    </w:p>
    <w:p w14:paraId="0229D735"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 cuestionamiento no se pueden colmar con documentos que obren en los archivos del Sujeto Obligado.</w:t>
      </w:r>
    </w:p>
    <w:p w14:paraId="1A31C22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1F1367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Por tanto, dicho requerimiento NO constituye un derecho de acceso a la información y por lo tanto no es atendible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1DC37934"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F0D910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Máxime </w:t>
      </w:r>
      <w:proofErr w:type="gramStart"/>
      <w:r w:rsidRPr="00A26E9F">
        <w:rPr>
          <w:rFonts w:ascii="Palatino Linotype" w:eastAsia="Palatino Linotype" w:hAnsi="Palatino Linotype" w:cs="Palatino Linotype"/>
          <w:sz w:val="22"/>
          <w:szCs w:val="22"/>
        </w:rPr>
        <w:t>que</w:t>
      </w:r>
      <w:proofErr w:type="gramEnd"/>
      <w:r w:rsidRPr="00A26E9F">
        <w:rPr>
          <w:rFonts w:ascii="Palatino Linotype" w:eastAsia="Palatino Linotype" w:hAnsi="Palatino Linotype" w:cs="Palatino Linotype"/>
          <w:sz w:val="22"/>
          <w:szCs w:val="22"/>
        </w:rPr>
        <w:t xml:space="preserve"> no obstante que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no está constreñido a atender el requerimiento en cuestión, en respuesta señaló que no se tiene la certeza del número exacto de expedientes que se prevé concentrar de los años que se requieren; con lo cual se pude dar por atendido dicho punto.</w:t>
      </w:r>
    </w:p>
    <w:p w14:paraId="7682129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10CCC0"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en el requerimiento analizado bajo el </w:t>
      </w:r>
      <w:r w:rsidRPr="00A26E9F">
        <w:rPr>
          <w:rFonts w:ascii="Palatino Linotype" w:eastAsia="Palatino Linotype" w:hAnsi="Palatino Linotype" w:cs="Palatino Linotype"/>
          <w:b/>
          <w:sz w:val="22"/>
          <w:szCs w:val="22"/>
        </w:rPr>
        <w:t>punto 3,</w:t>
      </w:r>
      <w:r w:rsidRPr="00A26E9F">
        <w:rPr>
          <w:rFonts w:ascii="Palatino Linotype" w:eastAsia="Palatino Linotype" w:hAnsi="Palatino Linotype" w:cs="Palatino Linotype"/>
          <w:sz w:val="22"/>
          <w:szCs w:val="22"/>
        </w:rPr>
        <w:t xml:space="preserve"> se advierte que el particular requiere se </w:t>
      </w:r>
      <w:proofErr w:type="gramStart"/>
      <w:r w:rsidRPr="00A26E9F">
        <w:rPr>
          <w:rFonts w:ascii="Palatino Linotype" w:eastAsia="Palatino Linotype" w:hAnsi="Palatino Linotype" w:cs="Palatino Linotype"/>
          <w:sz w:val="22"/>
          <w:szCs w:val="22"/>
        </w:rPr>
        <w:t>le  “</w:t>
      </w:r>
      <w:proofErr w:type="gramEnd"/>
      <w:r w:rsidRPr="00A26E9F">
        <w:rPr>
          <w:rFonts w:ascii="Palatino Linotype" w:eastAsia="Palatino Linotype" w:hAnsi="Palatino Linotype" w:cs="Palatino Linotype"/>
          <w:b/>
          <w:i/>
          <w:sz w:val="22"/>
          <w:szCs w:val="22"/>
        </w:rPr>
        <w:t>informe si el Área Coordinadora de Archivos ha vigilado el cumplimiento de las disposiciones en materia de gestión documental y administración de archivos dentro del Centro de Conciliación Laboral del Estado de México; precisando los mecanismos de supervisión que se han implementado con evidencia documental de dichas acciones.”</w:t>
      </w:r>
      <w:r w:rsidRPr="00A26E9F">
        <w:rPr>
          <w:rFonts w:ascii="Palatino Linotype" w:eastAsia="Palatino Linotype" w:hAnsi="Palatino Linotype" w:cs="Palatino Linotype"/>
          <w:sz w:val="22"/>
          <w:szCs w:val="22"/>
        </w:rPr>
        <w:t>.</w:t>
      </w:r>
    </w:p>
    <w:p w14:paraId="5A8BD91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214EEA6"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 xml:space="preserve">Sobre lo peticionado, se advierte que el particular pretende acceder a los mecanismos que ha implementado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para el cumplimiento de las disposiciones en materia de archivos y gestión documental.</w:t>
      </w:r>
    </w:p>
    <w:p w14:paraId="38142A3A"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8A4B754"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Por lo que, de una interpretación sistemática y armónica a la Ley de Archivos de la Entidad, se advierte que, dentro de dichos mecanismos que los sujetos obligados se encuentran constreñidos a implementar para cumplir con las disposiciones en la materia, están, por lo menos los Instrumentos de Control y Consulta Archivísticos, los cuales propician la organización, control y conservación de los Documentos de Archivo a lo largo de su Ciclo Vital, así como, describen las Series, Expedientes o Documentos de Archivo y que permiten la localización, Transferencia o Baja Documental; instrumentos que se encuentran previstos en el artículo 13 de dicha Ley, a saber:</w:t>
      </w:r>
    </w:p>
    <w:p w14:paraId="6219FD8F"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A215475"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“Artículo 13. Los Sujetos Obligados deberán contar con los Instrumentos de Control y Consulta Archivísticos conforme a sus atribuciones y funciones, manteniéndolos actualizados y disponibles; y contarán al menos con los siguientes: </w:t>
      </w:r>
    </w:p>
    <w:p w14:paraId="0BB1C980"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I. Cuadro General de Clasificación Archivística; </w:t>
      </w:r>
    </w:p>
    <w:p w14:paraId="3E8BE16E"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II. Catálogo de Disposición Documental, y </w:t>
      </w:r>
    </w:p>
    <w:p w14:paraId="17542011"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III. Inventarios Documentales. </w:t>
      </w:r>
    </w:p>
    <w:p w14:paraId="115EDD42"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La estructura del Cuadro General de Clasificación Archivística atenderá los niveles de Fondo Documental, Sección y Serie, sin que esto excluya la posibilidad de que existan niveles intermedios, los cuales serán identificados mediante una clave alfanumérica.”</w:t>
      </w:r>
    </w:p>
    <w:p w14:paraId="7F5ADF7A"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C3C357E" w14:textId="77777777" w:rsidR="00595180" w:rsidRPr="00A26E9F" w:rsidRDefault="002463AB">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(Énfasis añadido)</w:t>
      </w:r>
    </w:p>
    <w:p w14:paraId="0CDD0B74"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El </w:t>
      </w:r>
      <w:r w:rsidRPr="00A26E9F">
        <w:rPr>
          <w:rFonts w:ascii="Palatino Linotype" w:eastAsia="Palatino Linotype" w:hAnsi="Palatino Linotype" w:cs="Palatino Linotype"/>
          <w:b/>
          <w:sz w:val="22"/>
          <w:szCs w:val="22"/>
          <w:u w:val="single"/>
        </w:rPr>
        <w:t>cuadro general de clasificación archivística</w:t>
      </w:r>
      <w:r w:rsidRPr="00A26E9F">
        <w:rPr>
          <w:rFonts w:ascii="Palatino Linotype" w:eastAsia="Palatino Linotype" w:hAnsi="Palatino Linotype" w:cs="Palatino Linotype"/>
          <w:sz w:val="22"/>
          <w:szCs w:val="22"/>
        </w:rPr>
        <w:t>, como se ha mencionado, es instrumento técnico que refleja la estructura de un Archivo con base en las atribuciones y funciones de cada Sujeto Obligado.</w:t>
      </w:r>
    </w:p>
    <w:p w14:paraId="170D0B1A"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6FB37E"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 xml:space="preserve">El </w:t>
      </w:r>
      <w:r w:rsidRPr="00A26E9F">
        <w:rPr>
          <w:rFonts w:ascii="Palatino Linotype" w:eastAsia="Palatino Linotype" w:hAnsi="Palatino Linotype" w:cs="Palatino Linotype"/>
          <w:b/>
          <w:sz w:val="22"/>
          <w:szCs w:val="22"/>
          <w:u w:val="single"/>
        </w:rPr>
        <w:t>catálogo de disposición documental</w:t>
      </w:r>
      <w:r w:rsidRPr="00A26E9F">
        <w:rPr>
          <w:rFonts w:ascii="Palatino Linotype" w:eastAsia="Palatino Linotype" w:hAnsi="Palatino Linotype" w:cs="Palatino Linotype"/>
          <w:sz w:val="22"/>
          <w:szCs w:val="22"/>
        </w:rPr>
        <w:t>, corresponde al registro general y sistemático que establece los valores documentales, la Vigencia Documental, los plazos de conservación y la Disposición Documental.</w:t>
      </w:r>
    </w:p>
    <w:p w14:paraId="5A45DAD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4E848EF"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Los </w:t>
      </w:r>
      <w:r w:rsidRPr="00A26E9F">
        <w:rPr>
          <w:rFonts w:ascii="Palatino Linotype" w:eastAsia="Palatino Linotype" w:hAnsi="Palatino Linotype" w:cs="Palatino Linotype"/>
          <w:b/>
          <w:sz w:val="22"/>
          <w:szCs w:val="22"/>
          <w:u w:val="single"/>
        </w:rPr>
        <w:t>inventarios documentales</w:t>
      </w:r>
      <w:r w:rsidRPr="00A26E9F">
        <w:rPr>
          <w:rFonts w:ascii="Palatino Linotype" w:eastAsia="Palatino Linotype" w:hAnsi="Palatino Linotype" w:cs="Palatino Linotype"/>
          <w:sz w:val="22"/>
          <w:szCs w:val="22"/>
        </w:rPr>
        <w:t>, son los Instrumentos de Consulta Archivística que describen las Series documentales y Expedientes de un Archivo y que permiten su localización (inventario general), para las Transferencias (inventario de Transferencia) o para la Baja Documental (inventario de Baja Documental).</w:t>
      </w:r>
    </w:p>
    <w:p w14:paraId="1E42DDD4"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644E22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esta manera, si bien en respuesta el Servidor Público Habilitado competente, para colmar lo peticionado, hizo entrega del Acta de </w:t>
      </w:r>
      <w:proofErr w:type="gramStart"/>
      <w:r w:rsidRPr="00A26E9F">
        <w:rPr>
          <w:rFonts w:ascii="Palatino Linotype" w:eastAsia="Palatino Linotype" w:hAnsi="Palatino Linotype" w:cs="Palatino Linotype"/>
          <w:sz w:val="22"/>
          <w:szCs w:val="22"/>
        </w:rPr>
        <w:t>la  Primera</w:t>
      </w:r>
      <w:proofErr w:type="gramEnd"/>
      <w:r w:rsidRPr="00A26E9F">
        <w:rPr>
          <w:rFonts w:ascii="Palatino Linotype" w:eastAsia="Palatino Linotype" w:hAnsi="Palatino Linotype" w:cs="Palatino Linotype"/>
          <w:sz w:val="22"/>
          <w:szCs w:val="22"/>
        </w:rPr>
        <w:t xml:space="preserve"> Sesión Ordinaria del 2024, del Grupo Interdisciplinario de Archivo del </w:t>
      </w:r>
      <w:r w:rsidRPr="00A26E9F">
        <w:rPr>
          <w:rFonts w:ascii="Palatino Linotype" w:eastAsia="Palatino Linotype" w:hAnsi="Palatino Linotype" w:cs="Palatino Linotype"/>
          <w:b/>
          <w:sz w:val="21"/>
          <w:szCs w:val="21"/>
        </w:rPr>
        <w:t>Centro de Conciliación Laboral del Estado de México</w:t>
      </w:r>
      <w:r w:rsidRPr="00A26E9F">
        <w:rPr>
          <w:rFonts w:ascii="Palatino Linotype" w:eastAsia="Palatino Linotype" w:hAnsi="Palatino Linotype" w:cs="Palatino Linotype"/>
          <w:sz w:val="22"/>
          <w:szCs w:val="22"/>
        </w:rPr>
        <w:t>, señalando que este grupo se encarga de la supervisión y cumplimiento de las actividades en materia de gestión archivística; dicha documental resulta insuficiente para colmar lo peticionado.</w:t>
      </w:r>
    </w:p>
    <w:p w14:paraId="1BA5181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798D722"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Se afirma lo anterior, en virtud de que, el </w:t>
      </w:r>
      <w:r w:rsidRPr="00A26E9F">
        <w:rPr>
          <w:rFonts w:ascii="Palatino Linotype" w:eastAsia="Palatino Linotype" w:hAnsi="Palatino Linotype" w:cs="Palatino Linotype"/>
          <w:b/>
          <w:sz w:val="22"/>
          <w:szCs w:val="22"/>
        </w:rPr>
        <w:t xml:space="preserve">ente obligado </w:t>
      </w:r>
      <w:r w:rsidRPr="00A26E9F">
        <w:rPr>
          <w:rFonts w:ascii="Palatino Linotype" w:eastAsia="Palatino Linotype" w:hAnsi="Palatino Linotype" w:cs="Palatino Linotype"/>
          <w:sz w:val="22"/>
          <w:szCs w:val="22"/>
        </w:rPr>
        <w:t xml:space="preserve">para el cumplimiento de las disposiciones en materia de archivo y gestión documental, además de instalar el Grupo Interdisciplinario de Archivo, el cual coadyuva con las áreas o unidades administrativas productoras de la documentación en el establecimiento de los valores documentales, vigencias, plazos de conservación y Disposición Documental durante el proceso de elaboración de las Fichas Técnicas de Valoración Documental; </w:t>
      </w:r>
      <w:r w:rsidRPr="00A26E9F">
        <w:rPr>
          <w:rFonts w:ascii="Palatino Linotype" w:eastAsia="Palatino Linotype" w:hAnsi="Palatino Linotype" w:cs="Palatino Linotype"/>
          <w:b/>
          <w:sz w:val="22"/>
          <w:szCs w:val="22"/>
        </w:rPr>
        <w:t>también debe contar con instrumentos que permitan un control y consulta archivísticos, como los antes mencionados.</w:t>
      </w:r>
    </w:p>
    <w:p w14:paraId="2D820B78"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0FEC572"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 xml:space="preserve">Por lo que, en el caso se reporta un cumplimiento parcial, pues si bien se entregó el acta de integración del grupo interdisciplinario, </w:t>
      </w:r>
      <w:r w:rsidRPr="00A26E9F">
        <w:rPr>
          <w:rFonts w:ascii="Palatino Linotype" w:eastAsia="Palatino Linotype" w:hAnsi="Palatino Linotype" w:cs="Palatino Linotype"/>
          <w:b/>
          <w:sz w:val="22"/>
          <w:szCs w:val="22"/>
        </w:rPr>
        <w:t>así como el cuadro general de clasificación archivística</w:t>
      </w:r>
      <w:r w:rsidRPr="00A26E9F">
        <w:rPr>
          <w:rFonts w:ascii="Palatino Linotype" w:eastAsia="Palatino Linotype" w:hAnsi="Palatino Linotype" w:cs="Palatino Linotype"/>
          <w:sz w:val="22"/>
          <w:szCs w:val="22"/>
        </w:rPr>
        <w:t xml:space="preserve">, hace falta la entrega, de manera enunciativa más no limitativa de, los </w:t>
      </w:r>
      <w:r w:rsidRPr="00A26E9F">
        <w:rPr>
          <w:rFonts w:ascii="Palatino Linotype" w:eastAsia="Palatino Linotype" w:hAnsi="Palatino Linotype" w:cs="Palatino Linotype"/>
          <w:b/>
          <w:sz w:val="22"/>
          <w:szCs w:val="22"/>
          <w:u w:val="single"/>
        </w:rPr>
        <w:t>inventarios documentales así como el catálogo de disposición documental</w:t>
      </w:r>
      <w:r w:rsidRPr="00A26E9F">
        <w:rPr>
          <w:rFonts w:ascii="Palatino Linotype" w:eastAsia="Palatino Linotype" w:hAnsi="Palatino Linotype" w:cs="Palatino Linotype"/>
          <w:sz w:val="22"/>
          <w:szCs w:val="22"/>
        </w:rPr>
        <w:t>, por corresponder a documentales que se pudieran catalogar como mecanismos implementados para el cumplimiento de las disposiciones en la materia de archivos y gestión documental.</w:t>
      </w:r>
    </w:p>
    <w:p w14:paraId="78E991D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38D910B"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ahí que,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no fue exhaustivo en su respuesta, y por tanto a fin de colmar el requerimiento en cuestión, resulta procedente ordenar, previa búsqueda exhaustiva y razonable</w:t>
      </w:r>
      <w:r w:rsidRPr="00A26E9F">
        <w:rPr>
          <w:rFonts w:ascii="Palatino Linotype" w:eastAsia="Palatino Linotype" w:hAnsi="Palatino Linotype" w:cs="Palatino Linotype"/>
          <w:b/>
          <w:sz w:val="22"/>
          <w:szCs w:val="22"/>
        </w:rPr>
        <w:t xml:space="preserve">, la entrega del Catálogo de Disposición Documental vigente al 25 de febrero de 2025, </w:t>
      </w:r>
      <w:r w:rsidRPr="00A26E9F">
        <w:rPr>
          <w:rFonts w:ascii="Palatino Linotype" w:eastAsia="Palatino Linotype" w:hAnsi="Palatino Linotype" w:cs="Palatino Linotype"/>
          <w:sz w:val="22"/>
          <w:szCs w:val="22"/>
        </w:rPr>
        <w:t>así como, los inventarios documentales, en los términos que más adelante se establecerán.</w:t>
      </w:r>
    </w:p>
    <w:p w14:paraId="59023108"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41FD82C"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respecto al requerimiento analizado bajo el punto 4, relativo a </w:t>
      </w:r>
      <w:r w:rsidRPr="00A26E9F">
        <w:rPr>
          <w:rFonts w:ascii="Palatino Linotype" w:eastAsia="Palatino Linotype" w:hAnsi="Palatino Linotype" w:cs="Palatino Linotype"/>
          <w:b/>
          <w:i/>
          <w:sz w:val="22"/>
          <w:szCs w:val="22"/>
        </w:rPr>
        <w:t>informar si cada sede del Centro de Conciliación Laboral del Estado de México cuenta con los inventarios documentales correspondientes a los años 2020, 2021 y 2022 y en caso afirmativo, se proporcione una copia de los mismos</w:t>
      </w:r>
      <w:r w:rsidRPr="00A26E9F">
        <w:rPr>
          <w:rFonts w:ascii="Palatino Linotype" w:eastAsia="Palatino Linotype" w:hAnsi="Palatino Linotype" w:cs="Palatino Linotype"/>
          <w:sz w:val="22"/>
          <w:szCs w:val="22"/>
        </w:rPr>
        <w:t>; resulta importante traer a contexto el contenido de los artículos 4 fracción XXXVII, 13 fracción III y 30, fracción II de la Ley de Archivos y Administración de Documentos del Estado de México y Municipios, que disponen lo siguiente:</w:t>
      </w:r>
    </w:p>
    <w:p w14:paraId="14B4E8C7"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B52D722"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“Artículo 4. Además de las definiciones previstas en la Ley General, para los efectos de esta Ley se entenderá por:</w:t>
      </w:r>
    </w:p>
    <w:p w14:paraId="34142013"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031F41F6"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XXXVII. Inventarios Documentales: A los Instrumentos de Consulta Archivística que describen las Series documentales y Expedientes de un Archivo y que permiten su localización (inventario general), para las Transferencias </w:t>
      </w:r>
      <w:r w:rsidRPr="00A26E9F">
        <w:rPr>
          <w:rFonts w:ascii="Palatino Linotype" w:eastAsia="Palatino Linotype" w:hAnsi="Palatino Linotype" w:cs="Palatino Linotype"/>
          <w:b/>
          <w:i/>
          <w:sz w:val="22"/>
          <w:szCs w:val="22"/>
        </w:rPr>
        <w:lastRenderedPageBreak/>
        <w:t>(inventario de Transferencia) o para la Baja Documental (inventario de Baja Documental);</w:t>
      </w:r>
    </w:p>
    <w:p w14:paraId="613231AA"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5DA8228C"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164232E6"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“Artículo 13. Los Sujetos Obligados deberán contar con los Instrumentos de Control y Consulta Archivísticos conforme a sus atribuciones y funciones, manteniéndolos actualizados y disponibles; y contarán al menos con los siguientes:</w:t>
      </w:r>
    </w:p>
    <w:p w14:paraId="04A75376"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2239884C"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III. Inventarios </w:t>
      </w:r>
      <w:proofErr w:type="gramStart"/>
      <w:r w:rsidRPr="00A26E9F">
        <w:rPr>
          <w:rFonts w:ascii="Palatino Linotype" w:eastAsia="Palatino Linotype" w:hAnsi="Palatino Linotype" w:cs="Palatino Linotype"/>
          <w:b/>
          <w:i/>
          <w:sz w:val="22"/>
          <w:szCs w:val="22"/>
        </w:rPr>
        <w:t>Documentales.[</w:t>
      </w:r>
      <w:proofErr w:type="gramEnd"/>
      <w:r w:rsidRPr="00A26E9F">
        <w:rPr>
          <w:rFonts w:ascii="Palatino Linotype" w:eastAsia="Palatino Linotype" w:hAnsi="Palatino Linotype" w:cs="Palatino Linotype"/>
          <w:b/>
          <w:i/>
          <w:sz w:val="22"/>
          <w:szCs w:val="22"/>
        </w:rPr>
        <w:t>…]”</w:t>
      </w:r>
    </w:p>
    <w:p w14:paraId="142E8874"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835907F"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 xml:space="preserve">Artículo 30. Cada área o unidad administrativa debe contar con un Archivo de Trámite que tendrá las siguientes funciones: </w:t>
      </w:r>
    </w:p>
    <w:p w14:paraId="19F5477C"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1C4105F"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w:t>
      </w:r>
    </w:p>
    <w:p w14:paraId="09B512C9"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II. Asegurar la localización y consulta de los Expedientes mediante la elaboración de los Inventarios Documentales;”</w:t>
      </w:r>
    </w:p>
    <w:p w14:paraId="029E6FAE"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p>
    <w:p w14:paraId="132F24B4" w14:textId="77777777" w:rsidR="00595180" w:rsidRPr="00A26E9F" w:rsidRDefault="002463AB">
      <w:pPr>
        <w:pBdr>
          <w:top w:val="nil"/>
          <w:left w:val="nil"/>
          <w:bottom w:val="nil"/>
          <w:right w:val="nil"/>
          <w:between w:val="nil"/>
        </w:pBdr>
        <w:spacing w:line="276" w:lineRule="auto"/>
        <w:ind w:left="567" w:right="616"/>
        <w:jc w:val="right"/>
        <w:rPr>
          <w:rFonts w:ascii="Palatino Linotype" w:eastAsia="Palatino Linotype" w:hAnsi="Palatino Linotype" w:cs="Palatino Linotype"/>
          <w:b/>
          <w:i/>
          <w:sz w:val="22"/>
          <w:szCs w:val="22"/>
        </w:rPr>
      </w:pPr>
      <w:r w:rsidRPr="00A26E9F">
        <w:rPr>
          <w:rFonts w:ascii="Palatino Linotype" w:eastAsia="Palatino Linotype" w:hAnsi="Palatino Linotype" w:cs="Palatino Linotype"/>
          <w:b/>
          <w:i/>
          <w:sz w:val="22"/>
          <w:szCs w:val="22"/>
        </w:rPr>
        <w:t>(</w:t>
      </w:r>
      <w:r w:rsidRPr="00A26E9F">
        <w:rPr>
          <w:rFonts w:ascii="Palatino Linotype" w:eastAsia="Palatino Linotype" w:hAnsi="Palatino Linotype" w:cs="Palatino Linotype"/>
          <w:i/>
          <w:sz w:val="22"/>
          <w:szCs w:val="22"/>
        </w:rPr>
        <w:t>Énfasis añadido</w:t>
      </w:r>
      <w:r w:rsidRPr="00A26E9F">
        <w:rPr>
          <w:rFonts w:ascii="Palatino Linotype" w:eastAsia="Palatino Linotype" w:hAnsi="Palatino Linotype" w:cs="Palatino Linotype"/>
          <w:b/>
          <w:i/>
          <w:sz w:val="22"/>
          <w:szCs w:val="22"/>
        </w:rPr>
        <w:t>)</w:t>
      </w:r>
    </w:p>
    <w:p w14:paraId="129FD39B"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las disposiciones legales transcritas, se desprende las áreas o unidades administrativas que integran los sujetos obligados, deben contar con un archivo de trámite, las cuales dentro de sus funciones se encuentra la de asegurar la localización y consulta de los Expedientes </w:t>
      </w:r>
      <w:r w:rsidRPr="00A26E9F">
        <w:rPr>
          <w:rFonts w:ascii="Palatino Linotype" w:eastAsia="Palatino Linotype" w:hAnsi="Palatino Linotype" w:cs="Palatino Linotype"/>
          <w:b/>
          <w:sz w:val="22"/>
          <w:szCs w:val="22"/>
          <w:u w:val="single"/>
        </w:rPr>
        <w:t xml:space="preserve">mediante la elaboración de los Inventarios Documentales, </w:t>
      </w:r>
      <w:r w:rsidRPr="00A26E9F">
        <w:rPr>
          <w:rFonts w:ascii="Palatino Linotype" w:eastAsia="Palatino Linotype" w:hAnsi="Palatino Linotype" w:cs="Palatino Linotype"/>
          <w:sz w:val="22"/>
          <w:szCs w:val="22"/>
        </w:rPr>
        <w:t>mismos que son de tres tipos y conforme la Guía de implementación para los sujetos obligados del Ejecutivo Estatal –</w:t>
      </w:r>
      <w:r w:rsidRPr="00A26E9F">
        <w:t xml:space="preserve"> consultable en el siguiente enlace: </w:t>
      </w:r>
      <w:hyperlink r:id="rId12">
        <w:r w:rsidRPr="00A26E9F">
          <w:rPr>
            <w:rFonts w:ascii="Palatino Linotype" w:eastAsia="Palatino Linotype" w:hAnsi="Palatino Linotype" w:cs="Palatino Linotype"/>
            <w:sz w:val="22"/>
            <w:szCs w:val="22"/>
            <w:u w:val="single"/>
          </w:rPr>
          <w:t>https://agemex.edomex.gob.mx/Documento/Visualizar/guias_tecnicas/guia_implementacion_laademym.pdf</w:t>
        </w:r>
      </w:hyperlink>
      <w:r w:rsidRPr="00A26E9F">
        <w:rPr>
          <w:rFonts w:ascii="Palatino Linotype" w:eastAsia="Palatino Linotype" w:hAnsi="Palatino Linotype" w:cs="Palatino Linotype"/>
          <w:sz w:val="22"/>
          <w:szCs w:val="22"/>
        </w:rPr>
        <w:t xml:space="preserve"> - se definen de la siguiente manera: </w:t>
      </w:r>
    </w:p>
    <w:p w14:paraId="18858CFF"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7EC224" w14:textId="77777777" w:rsidR="00595180" w:rsidRPr="00A26E9F" w:rsidRDefault="002463AB">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Inventario general:</w:t>
      </w:r>
      <w:r w:rsidRPr="00A26E9F">
        <w:t xml:space="preserve"> </w:t>
      </w:r>
      <w:r w:rsidRPr="00A26E9F">
        <w:rPr>
          <w:rFonts w:ascii="Palatino Linotype" w:eastAsia="Palatino Linotype" w:hAnsi="Palatino Linotype" w:cs="Palatino Linotype"/>
          <w:sz w:val="22"/>
          <w:szCs w:val="22"/>
        </w:rPr>
        <w:t>instrumento de consulta que describe los expedientes que resguardan los Archivos de Trámite, Concentración e Histórico para facilitar su localización.</w:t>
      </w:r>
    </w:p>
    <w:p w14:paraId="57EABF0F" w14:textId="77777777" w:rsidR="00595180" w:rsidRPr="00A26E9F" w:rsidRDefault="002463AB">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lastRenderedPageBreak/>
        <w:t>Inventario de transferencia:</w:t>
      </w:r>
      <w:r w:rsidRPr="00A26E9F">
        <w:t xml:space="preserve"> </w:t>
      </w:r>
      <w:r w:rsidRPr="00A26E9F">
        <w:rPr>
          <w:rFonts w:ascii="Palatino Linotype" w:eastAsia="Palatino Linotype" w:hAnsi="Palatino Linotype" w:cs="Palatino Linotype"/>
          <w:sz w:val="22"/>
          <w:szCs w:val="22"/>
        </w:rPr>
        <w:t>describe los expedientes de los archivos que son transferidos del Archivo de Trámite al Archivo de Concentración o de éste al Archivo Histórico. Tiene como finalidad contribuir al flujo documental controlado de los expedientes que han cumplido su plazo de conservación en el Archivo de Trámite y deben pasar, para su guarda precautoria, al Archivo de Concentración o de éste al Archivo Histórico.</w:t>
      </w:r>
    </w:p>
    <w:p w14:paraId="63B09670" w14:textId="77777777" w:rsidR="00595180" w:rsidRPr="00A26E9F" w:rsidRDefault="002463AB">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u w:val="single"/>
        </w:rPr>
        <w:t>Inventario de baja documental:</w:t>
      </w:r>
      <w:r w:rsidRPr="00A26E9F">
        <w:t xml:space="preserve"> </w:t>
      </w:r>
      <w:r w:rsidRPr="00A26E9F">
        <w:rPr>
          <w:rFonts w:ascii="Palatino Linotype" w:eastAsia="Palatino Linotype" w:hAnsi="Palatino Linotype" w:cs="Palatino Linotype"/>
          <w:sz w:val="22"/>
          <w:szCs w:val="22"/>
        </w:rPr>
        <w:t>describe los expedientes y series documentales que serán destruidos debido a que prescribieron sus valores primarios y no poseen valores secundarios.</w:t>
      </w:r>
    </w:p>
    <w:p w14:paraId="0888276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5D20D1"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en atención al requerimiento en análisis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informó que derivado de los trabajos que se están gestionando para la creación del Archivo de Concentración a que hizo referencia en su respuesta, aún no se cuenta con los inventarios documentales correspondientes y por ende los expedientes continúan al resguardo de las áreas productoras de la información.</w:t>
      </w:r>
    </w:p>
    <w:p w14:paraId="11C0CFD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CF128E5"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Sin embargo, dicho pronunciamiento resulta insuficiente para tener por colmado el requerimiento en cuestión, pues conforme las disposiciones legales transcritas, la obligación de elaborar los inventarios documentales corresponden a las unidades administrativas que integran al Sujeto Obligado, mismas que en el caso no se advierte que hayan realizado un pronunciamiento al respecto.</w:t>
      </w:r>
    </w:p>
    <w:p w14:paraId="3ABA93D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2C74161"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Además que, si bien la pretensión del particular es obtener los inventarios documentales, en concreto de las Direcciones Regionales, independientemente de que estas no cuenten con un archivo de concentración regional, están obligadas al menos a llevar un inventario general en donde describan los expedientes que resguardan sus Archivos de Trámite, así </w:t>
      </w:r>
      <w:r w:rsidRPr="00A26E9F">
        <w:rPr>
          <w:rFonts w:ascii="Palatino Linotype" w:eastAsia="Palatino Linotype" w:hAnsi="Palatino Linotype" w:cs="Palatino Linotype"/>
          <w:sz w:val="22"/>
          <w:szCs w:val="22"/>
        </w:rPr>
        <w:lastRenderedPageBreak/>
        <w:t xml:space="preserve">como a tener los inventarios de trasferencia al archivo de concentración principal para </w:t>
      </w:r>
      <w:r w:rsidRPr="00A26E9F">
        <w:rPr>
          <w:rFonts w:ascii="Palatino Linotype" w:eastAsia="Palatino Linotype" w:hAnsi="Palatino Linotype" w:cs="Palatino Linotype"/>
          <w:b/>
          <w:sz w:val="22"/>
          <w:szCs w:val="22"/>
        </w:rPr>
        <w:t xml:space="preserve">su </w:t>
      </w:r>
      <w:r w:rsidRPr="00A26E9F">
        <w:rPr>
          <w:rFonts w:ascii="Palatino Linotype" w:eastAsia="Palatino Linotype" w:hAnsi="Palatino Linotype" w:cs="Palatino Linotype"/>
          <w:sz w:val="22"/>
          <w:szCs w:val="22"/>
        </w:rPr>
        <w:t>guarda precautoria</w:t>
      </w:r>
      <w:r w:rsidRPr="00A26E9F">
        <w:rPr>
          <w:rFonts w:ascii="Palatino Linotype" w:eastAsia="Palatino Linotype" w:hAnsi="Palatino Linotype" w:cs="Palatino Linotype"/>
          <w:b/>
          <w:sz w:val="22"/>
          <w:szCs w:val="22"/>
        </w:rPr>
        <w:t xml:space="preserve"> </w:t>
      </w:r>
      <w:r w:rsidRPr="00A26E9F">
        <w:rPr>
          <w:rFonts w:ascii="Palatino Linotype" w:eastAsia="Palatino Linotype" w:hAnsi="Palatino Linotype" w:cs="Palatino Linotype"/>
          <w:sz w:val="22"/>
          <w:szCs w:val="22"/>
        </w:rPr>
        <w:t>y el baja documental, este último, en el caso de que de acuerdo a los plazos de conservación de la documentación se haya procedido a su baja documental.</w:t>
      </w:r>
    </w:p>
    <w:p w14:paraId="5123F3A3"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B46A667"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De ahí que, en el caso se desprende que 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no fue exhaustivo en su respuesta, aunado a que, para atender el punto en cuestión tendría que solicitar la información a las Direcciones Regionales de Conciliación Laboral para que, previa búsqueda exhaustiva y razonable se proporcione la información solicitada.</w:t>
      </w:r>
    </w:p>
    <w:p w14:paraId="106AB6B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8F0DA67" w14:textId="77777777" w:rsidR="00595180" w:rsidRPr="00A26E9F" w:rsidRDefault="002463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tal sentido, resulta aplicable el Criterio 02/17 emitido por el Peno del Instituto Nacional de Transparencia y Acceso a la Información y Protección de Datos Personales, de título y texto siguientes:</w:t>
      </w:r>
    </w:p>
    <w:p w14:paraId="7AF7A3A4" w14:textId="77777777" w:rsidR="00595180" w:rsidRPr="00A26E9F" w:rsidRDefault="00595180">
      <w:pPr>
        <w:pBdr>
          <w:top w:val="nil"/>
          <w:left w:val="nil"/>
          <w:bottom w:val="nil"/>
          <w:right w:val="nil"/>
          <w:between w:val="nil"/>
        </w:pBdr>
        <w:spacing w:line="360" w:lineRule="auto"/>
        <w:jc w:val="both"/>
      </w:pPr>
    </w:p>
    <w:p w14:paraId="094DBEF2" w14:textId="77777777" w:rsidR="00595180" w:rsidRPr="00A26E9F" w:rsidRDefault="002463A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 xml:space="preserve">“Congruencia y exhaustividad. Sus alcances para garantizar el derecho de acceso a la información. </w:t>
      </w:r>
      <w:r w:rsidRPr="00A26E9F">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26E9F">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26E9F">
        <w:rPr>
          <w:rFonts w:ascii="Palatino Linotype" w:eastAsia="Palatino Linotype" w:hAnsi="Palatino Linotype" w:cs="Palatino Linotype"/>
          <w:i/>
          <w:sz w:val="22"/>
          <w:szCs w:val="22"/>
        </w:rPr>
        <w:t xml:space="preserve">; mientras que </w:t>
      </w:r>
      <w:r w:rsidRPr="00A26E9F">
        <w:rPr>
          <w:rFonts w:ascii="Palatino Linotype" w:eastAsia="Palatino Linotype" w:hAnsi="Palatino Linotype" w:cs="Palatino Linotype"/>
          <w:b/>
          <w:i/>
          <w:sz w:val="22"/>
          <w:szCs w:val="22"/>
        </w:rPr>
        <w:t>la exhaustividad significa que dicha respuesta se refiera expresamente a cada uno de los puntos solicitados</w:t>
      </w:r>
      <w:r w:rsidRPr="00A26E9F">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A300D7" w14:textId="77777777" w:rsidR="00595180" w:rsidRPr="00A26E9F" w:rsidRDefault="00595180">
      <w:pPr>
        <w:spacing w:line="360" w:lineRule="auto"/>
        <w:ind w:right="-7"/>
        <w:jc w:val="both"/>
        <w:rPr>
          <w:rFonts w:ascii="Palatino Linotype" w:eastAsia="Palatino Linotype" w:hAnsi="Palatino Linotype" w:cs="Palatino Linotype"/>
        </w:rPr>
      </w:pPr>
    </w:p>
    <w:p w14:paraId="3663F10D" w14:textId="77777777" w:rsidR="00595180" w:rsidRPr="00A26E9F"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ahí que, la respuesta proporcionada al requerimiento en análisis no cumple con los principios de búsqueda exhaustiva, congruencia y exhaustividad.</w:t>
      </w:r>
    </w:p>
    <w:p w14:paraId="33235B5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E74B7E1"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 xml:space="preserve">Por lo tanto, se considera que en el caso los motivos de inconformidad del particular resultan parcialmente fundados, siendo procedente </w:t>
      </w:r>
      <w:r w:rsidRPr="00A26E9F">
        <w:rPr>
          <w:rFonts w:ascii="Palatino Linotype" w:eastAsia="Palatino Linotype" w:hAnsi="Palatino Linotype" w:cs="Palatino Linotype"/>
          <w:b/>
          <w:sz w:val="22"/>
          <w:szCs w:val="22"/>
        </w:rPr>
        <w:t xml:space="preserve">Modificar </w:t>
      </w:r>
      <w:r w:rsidRPr="00A26E9F">
        <w:rPr>
          <w:rFonts w:ascii="Palatino Linotype" w:eastAsia="Palatino Linotype" w:hAnsi="Palatino Linotype" w:cs="Palatino Linotype"/>
          <w:sz w:val="22"/>
          <w:szCs w:val="22"/>
        </w:rPr>
        <w:t xml:space="preserve">la respuesta del </w:t>
      </w:r>
      <w:r w:rsidRPr="00A26E9F">
        <w:rPr>
          <w:rFonts w:ascii="Palatino Linotype" w:eastAsia="Palatino Linotype" w:hAnsi="Palatino Linotype" w:cs="Palatino Linotype"/>
          <w:b/>
          <w:sz w:val="22"/>
          <w:szCs w:val="22"/>
        </w:rPr>
        <w:t xml:space="preserve">Sujeto Obligado </w:t>
      </w:r>
      <w:r w:rsidRPr="00A26E9F">
        <w:rPr>
          <w:rFonts w:ascii="Palatino Linotype" w:eastAsia="Palatino Linotype" w:hAnsi="Palatino Linotype" w:cs="Palatino Linotype"/>
          <w:sz w:val="22"/>
          <w:szCs w:val="22"/>
        </w:rPr>
        <w:t>y ordenar que en cumplimiento a la presente se entregue, previa búsqueda exhaustiva y razonable, los documentos donde consten: los inventarios documentales (general, de transferencia y de baja documental) de las Direcciones Regionales de Conciliación Laboral, respecto de los ejercicios 2020, 2021 y 2022.</w:t>
      </w:r>
    </w:p>
    <w:p w14:paraId="0EBF1C5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AE005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Sin embargo, de ser el caso, de que derivado de la búsqueda exhaustiva y razonable que 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efectué en las unidades administrativas competentes que pudieran contar con la información, </w:t>
      </w:r>
      <w:r w:rsidRPr="00A26E9F">
        <w:rPr>
          <w:rFonts w:ascii="Palatino Linotype" w:eastAsia="Palatino Linotype" w:hAnsi="Palatino Linotype" w:cs="Palatino Linotype"/>
          <w:b/>
          <w:sz w:val="22"/>
          <w:szCs w:val="22"/>
        </w:rPr>
        <w:t>no se llegara a localizar los inventarios de baja documental, al no haberse determinado la baja documental de documentación en los ejercicios indicados,  bastará con que así se haga del conocimiento de la persona solicitante para tener por colmado su derecho de acceso a la información, en términos de lo dispuesto por el artículo 19, párrafo segundo</w:t>
      </w:r>
      <w:r w:rsidRPr="00A26E9F">
        <w:rPr>
          <w:rFonts w:ascii="Palatino Linotype" w:eastAsia="Palatino Linotype" w:hAnsi="Palatino Linotype" w:cs="Palatino Linotype"/>
          <w:sz w:val="22"/>
          <w:szCs w:val="22"/>
        </w:rPr>
        <w:t xml:space="preserve"> de la Ley de Transparencia y Acceso a la Información Pública del Estado de México y Municipios.</w:t>
      </w:r>
    </w:p>
    <w:p w14:paraId="32506DFD"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2984EF6"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Finalmente, respecto al requerimiento señalado en el punto 6, relativo a “</w:t>
      </w:r>
      <w:r w:rsidRPr="00A26E9F">
        <w:rPr>
          <w:rFonts w:ascii="Palatino Linotype" w:eastAsia="Palatino Linotype" w:hAnsi="Palatino Linotype" w:cs="Palatino Linotype"/>
          <w:b/>
          <w:i/>
          <w:sz w:val="22"/>
          <w:szCs w:val="22"/>
        </w:rPr>
        <w:t xml:space="preserve">Lineamientos internos que prevén el plazo legal que tiene el Centro de Conciliación Laboral del Estado de México para implementar el archivo de concentración”; </w:t>
      </w:r>
      <w:r w:rsidRPr="00A26E9F">
        <w:rPr>
          <w:rFonts w:ascii="Palatino Linotype" w:eastAsia="Palatino Linotype" w:hAnsi="Palatino Linotype" w:cs="Palatino Linotype"/>
          <w:sz w:val="22"/>
          <w:szCs w:val="22"/>
        </w:rPr>
        <w:t>es de indicar que la pretensión del particular es acceder a normatividad, de manera específica, lineamientos que señalen el plazo que tiene el ente obligado para integrar su archivo de concentración.</w:t>
      </w:r>
    </w:p>
    <w:p w14:paraId="381A1B38"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C9303BE"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Información la anterior, que se encuentra relacionada con la obligación de transparencia común prevista en la fracción I del artículo 92 de la Ley de Transparencia Local, que dispone lo siguiente: </w:t>
      </w:r>
    </w:p>
    <w:p w14:paraId="0F03660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06E7B8E"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986BBF7" w14:textId="77777777" w:rsidR="00595180" w:rsidRPr="00A26E9F" w:rsidRDefault="0059518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40E5FA93"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b/>
          <w:i/>
          <w:sz w:val="22"/>
          <w:szCs w:val="22"/>
        </w:rPr>
        <w:t>I. El marco normativo aplicable al sujeto obligado</w:t>
      </w:r>
      <w:r w:rsidRPr="00A26E9F">
        <w:rPr>
          <w:rFonts w:ascii="Palatino Linotype" w:eastAsia="Palatino Linotype" w:hAnsi="Palatino Linotype" w:cs="Palatino Linotype"/>
          <w:i/>
          <w:sz w:val="22"/>
          <w:szCs w:val="22"/>
        </w:rPr>
        <w:t xml:space="preserve">, en el que deberá incluirse leyes, códigos, reglamentos, decretos de creación, acuerdos, convenios, manuales de organización y procedimientos, reglas de operación, criterios, políticas, </w:t>
      </w:r>
      <w:r w:rsidRPr="00A26E9F">
        <w:rPr>
          <w:rFonts w:ascii="Palatino Linotype" w:eastAsia="Palatino Linotype" w:hAnsi="Palatino Linotype" w:cs="Palatino Linotype"/>
          <w:b/>
          <w:i/>
          <w:sz w:val="22"/>
          <w:szCs w:val="22"/>
        </w:rPr>
        <w:t xml:space="preserve">entre </w:t>
      </w:r>
      <w:proofErr w:type="gramStart"/>
      <w:r w:rsidRPr="00A26E9F">
        <w:rPr>
          <w:rFonts w:ascii="Palatino Linotype" w:eastAsia="Palatino Linotype" w:hAnsi="Palatino Linotype" w:cs="Palatino Linotype"/>
          <w:b/>
          <w:i/>
          <w:sz w:val="22"/>
          <w:szCs w:val="22"/>
        </w:rPr>
        <w:t>otros;</w:t>
      </w:r>
      <w:r w:rsidRPr="00A26E9F">
        <w:rPr>
          <w:rFonts w:ascii="Palatino Linotype" w:eastAsia="Palatino Linotype" w:hAnsi="Palatino Linotype" w:cs="Palatino Linotype"/>
          <w:i/>
          <w:sz w:val="22"/>
          <w:szCs w:val="22"/>
        </w:rPr>
        <w:t>[</w:t>
      </w:r>
      <w:proofErr w:type="gramEnd"/>
      <w:r w:rsidRPr="00A26E9F">
        <w:rPr>
          <w:rFonts w:ascii="Palatino Linotype" w:eastAsia="Palatino Linotype" w:hAnsi="Palatino Linotype" w:cs="Palatino Linotype"/>
          <w:i/>
          <w:sz w:val="22"/>
          <w:szCs w:val="22"/>
        </w:rPr>
        <w:t>…]”</w:t>
      </w:r>
    </w:p>
    <w:p w14:paraId="51CABF6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1CCE3E"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Como se advierte de lo anterior, los sujetos obligados están constreñidos a poner a disposición al público el marco normativo que le es aplicable.</w:t>
      </w:r>
    </w:p>
    <w:p w14:paraId="6E2110D7"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58FECAA"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Ahora, en atención a dicho punto, 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indicó que, la Ley de Archivos y Administración de Documentos del Estado de México y Municipios puntualiza la creación de un Archivo de Concentración dentro de cada Organismo, </w:t>
      </w:r>
      <w:r w:rsidRPr="00A26E9F">
        <w:rPr>
          <w:rFonts w:ascii="Palatino Linotype" w:eastAsia="Palatino Linotype" w:hAnsi="Palatino Linotype" w:cs="Palatino Linotype"/>
          <w:b/>
          <w:sz w:val="22"/>
          <w:szCs w:val="22"/>
        </w:rPr>
        <w:t>y que por cuanto hace al plazo para la conservación de documentos en archivos de concentración depende de la vigencia documental, el término precautorio, el periodo de reserva y otros periodos adicionales; y, por ello se indica que se anexa el link de los CRITERIOS TECNICOS QUE DEBERAN OBSERVAR LAS DEPENDENCIAS Y ORGANISMOS AUXILIARES DE LA ADMINISTRACIÓN PÚBLICA ESTATAL PAPA LA ELABORACIÓN, ACTUALIZACIÓN, REGISTRO Y VALIDACIÓN DEL CATÁLOGO DE DISPOSICIÓN DOCUMENTAL”</w:t>
      </w:r>
      <w:r w:rsidRPr="00A26E9F">
        <w:rPr>
          <w:rFonts w:ascii="Palatino Linotype" w:eastAsia="Palatino Linotype" w:hAnsi="Palatino Linotype" w:cs="Palatino Linotype"/>
          <w:sz w:val="22"/>
          <w:szCs w:val="22"/>
        </w:rPr>
        <w:t xml:space="preserve">, los cuales especifican la vigencia documental de los expedientes, proporcionando los pasos e imágenes para su consulta, así como en el apartado de la respuesta del SAIMEX se advierte que fue proporcionado el link en formato abierto </w:t>
      </w:r>
      <w:r w:rsidRPr="00A26E9F">
        <w:rPr>
          <w:rFonts w:ascii="Palatino Linotype" w:eastAsia="Palatino Linotype" w:hAnsi="Palatino Linotype" w:cs="Palatino Linotype"/>
          <w:b/>
          <w:i/>
          <w:sz w:val="22"/>
          <w:szCs w:val="22"/>
          <w:u w:val="single"/>
        </w:rPr>
        <w:t>https://agemex.edomex.gob.mx/.</w:t>
      </w:r>
    </w:p>
    <w:p w14:paraId="7D76E03D"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8583FD"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Sin embargo, como se logra visualizar de la respuesta el ente obligado se pronunció sobre normatividad -criterios- que prevén el plazo para la conservación de documentos en archivos de concentración, remitiendo los criterios que utiliza para tales efectos; información que no corresponde con lo solicitado, ya que el particular pretende acceder a lineamientos internos que prevén el plazo que tiene el Centro de Conciliación Laboral del Estado de México para implementar el archivo de concentración.</w:t>
      </w:r>
    </w:p>
    <w:p w14:paraId="2125564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06AD12F"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De ahí que la respuesta carece de los principios de congruencia y exhaustividad anteriormente señalados, ya que el ente público no se pronunció en concreto sobre el tipo de información a la que se pretende acceder.</w:t>
      </w:r>
    </w:p>
    <w:p w14:paraId="0CE7BC30"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12B352F"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Por tanto, lo procedente es </w:t>
      </w:r>
      <w:r w:rsidRPr="00A26E9F">
        <w:rPr>
          <w:rFonts w:ascii="Palatino Linotype" w:eastAsia="Palatino Linotype" w:hAnsi="Palatino Linotype" w:cs="Palatino Linotype"/>
          <w:b/>
          <w:sz w:val="22"/>
          <w:szCs w:val="22"/>
        </w:rPr>
        <w:t xml:space="preserve">Modificar </w:t>
      </w:r>
      <w:r w:rsidRPr="00A26E9F">
        <w:rPr>
          <w:rFonts w:ascii="Palatino Linotype" w:eastAsia="Palatino Linotype" w:hAnsi="Palatino Linotype" w:cs="Palatino Linotype"/>
          <w:sz w:val="22"/>
          <w:szCs w:val="22"/>
        </w:rPr>
        <w:t xml:space="preserve">la respuesta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y ordenar </w:t>
      </w:r>
      <w:proofErr w:type="gramStart"/>
      <w:r w:rsidRPr="00A26E9F">
        <w:rPr>
          <w:rFonts w:ascii="Palatino Linotype" w:eastAsia="Palatino Linotype" w:hAnsi="Palatino Linotype" w:cs="Palatino Linotype"/>
          <w:sz w:val="22"/>
          <w:szCs w:val="22"/>
        </w:rPr>
        <w:t>que</w:t>
      </w:r>
      <w:proofErr w:type="gramEnd"/>
      <w:r w:rsidRPr="00A26E9F">
        <w:rPr>
          <w:rFonts w:ascii="Palatino Linotype" w:eastAsia="Palatino Linotype" w:hAnsi="Palatino Linotype" w:cs="Palatino Linotype"/>
          <w:sz w:val="22"/>
          <w:szCs w:val="22"/>
        </w:rPr>
        <w:t xml:space="preserve"> en cumplimiento a la presente, se haga entrega, previa búsqueda exhaustiva y razonable de lo siguiente:</w:t>
      </w:r>
    </w:p>
    <w:p w14:paraId="61A42B4E"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1E4A5E" w14:textId="77777777" w:rsidR="00595180" w:rsidRPr="00A26E9F" w:rsidRDefault="002463A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26E9F">
        <w:rPr>
          <w:rFonts w:ascii="Palatino Linotype" w:eastAsia="Palatino Linotype" w:hAnsi="Palatino Linotype" w:cs="Palatino Linotype"/>
          <w:b/>
          <w:sz w:val="22"/>
          <w:szCs w:val="22"/>
        </w:rPr>
        <w:t>Lineamientos internos que regulen el plazo para implementar el Archivo de Concentración en el Centro de Conciliación Laboral del Estado de México, vigentes al 25 de febrero de 2025.</w:t>
      </w:r>
    </w:p>
    <w:p w14:paraId="0F17DBB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15557D9"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 xml:space="preserve">Sin embargo, de ser el caso, de que derivado de la búsqueda exhaustiva y razonable que 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efectué en las unidades administrativas competentes que pudieran contar con la información, </w:t>
      </w:r>
      <w:r w:rsidRPr="00A26E9F">
        <w:rPr>
          <w:rFonts w:ascii="Palatino Linotype" w:eastAsia="Palatino Linotype" w:hAnsi="Palatino Linotype" w:cs="Palatino Linotype"/>
          <w:b/>
          <w:sz w:val="22"/>
          <w:szCs w:val="22"/>
        </w:rPr>
        <w:t>no se llegara a localizar los lineamientos internos que se ordenan, por no haberse generado, poseído o administrado, bastará con que así se haga del conocimiento de la persona solicitante para tener por colmado su derecho de acceso a la información, en términos de lo dispuesto por el artículo 19, párrafo segundo</w:t>
      </w:r>
      <w:r w:rsidRPr="00A26E9F">
        <w:rPr>
          <w:rFonts w:ascii="Palatino Linotype" w:eastAsia="Palatino Linotype" w:hAnsi="Palatino Linotype" w:cs="Palatino Linotype"/>
          <w:sz w:val="22"/>
          <w:szCs w:val="22"/>
        </w:rPr>
        <w:t xml:space="preserve"> de la Ley de Transparencia y Acceso a la Información Pública del Estado de México y Municipios.</w:t>
      </w:r>
    </w:p>
    <w:p w14:paraId="6217DB2C"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4021CB"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Finalmente, no escapa de la óptica de este Órgano Garante que en sus motivos de inconformidad el particular requirió “</w:t>
      </w:r>
      <w:r w:rsidRPr="00A26E9F">
        <w:rPr>
          <w:rFonts w:ascii="Palatino Linotype" w:eastAsia="Palatino Linotype" w:hAnsi="Palatino Linotype" w:cs="Palatino Linotype"/>
          <w:b/>
          <w:i/>
          <w:sz w:val="22"/>
          <w:szCs w:val="22"/>
        </w:rPr>
        <w:t>Se entregue un informe detallado sobre los mecanismos de supervisión de la gestión documental, con evidencia documental</w:t>
      </w:r>
      <w:r w:rsidRPr="00A26E9F">
        <w:rPr>
          <w:rFonts w:ascii="Palatino Linotype" w:eastAsia="Palatino Linotype" w:hAnsi="Palatino Linotype" w:cs="Palatino Linotype"/>
          <w:sz w:val="22"/>
          <w:szCs w:val="22"/>
        </w:rPr>
        <w:t xml:space="preserve">”; documento que no fue solicitado, como se desprende del antecedente marcado con el numeral primero de la presente resolución,  por lo que constituye en su totalidad nuevo requerimiento de información, configurándose así lo que se conoce como </w:t>
      </w:r>
      <w:r w:rsidRPr="00A26E9F">
        <w:rPr>
          <w:rFonts w:ascii="Palatino Linotype" w:eastAsia="Palatino Linotype" w:hAnsi="Palatino Linotype" w:cs="Palatino Linotype"/>
          <w:i/>
          <w:sz w:val="22"/>
          <w:szCs w:val="22"/>
        </w:rPr>
        <w:t xml:space="preserve">plus </w:t>
      </w:r>
      <w:proofErr w:type="spellStart"/>
      <w:r w:rsidRPr="00A26E9F">
        <w:rPr>
          <w:rFonts w:ascii="Palatino Linotype" w:eastAsia="Palatino Linotype" w:hAnsi="Palatino Linotype" w:cs="Palatino Linotype"/>
          <w:i/>
          <w:sz w:val="22"/>
          <w:szCs w:val="22"/>
        </w:rPr>
        <w:t>petitio</w:t>
      </w:r>
      <w:proofErr w:type="spellEnd"/>
      <w:r w:rsidRPr="00A26E9F">
        <w:rPr>
          <w:rFonts w:ascii="Palatino Linotype" w:eastAsia="Palatino Linotype" w:hAnsi="Palatino Linotype" w:cs="Palatino Linotype"/>
          <w:b/>
          <w:i/>
          <w:sz w:val="22"/>
          <w:szCs w:val="22"/>
        </w:rPr>
        <w:t xml:space="preserve">, </w:t>
      </w:r>
      <w:r w:rsidRPr="00A26E9F">
        <w:rPr>
          <w:rFonts w:ascii="Palatino Linotype" w:eastAsia="Palatino Linotype" w:hAnsi="Palatino Linotype" w:cs="Palatino Linotype"/>
          <w:sz w:val="22"/>
          <w:szCs w:val="22"/>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xml:space="preserve"> formuló un nuevo cuestionamiento, en el que solicitó información que no formó parte de su solicitud inicial y por lo tanto es inatendible a través del recurso de revisión. </w:t>
      </w:r>
    </w:p>
    <w:p w14:paraId="5F5D376B"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623F970"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14:paraId="7D24F0EF"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D3C0A52"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En este orden de ideas, una vez formulada su solicitud inicial,</w:t>
      </w:r>
      <w:r w:rsidRPr="00A26E9F">
        <w:rPr>
          <w:rFonts w:ascii="Palatino Linotype" w:eastAsia="Palatino Linotype" w:hAnsi="Palatino Linotype" w:cs="Palatino Linotype"/>
          <w:i/>
          <w:sz w:val="22"/>
          <w:szCs w:val="22"/>
        </w:rPr>
        <w:t xml:space="preserve"> </w:t>
      </w:r>
      <w:r w:rsidRPr="00A26E9F">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5364AB4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80AB0AF" w14:textId="77777777" w:rsidR="00595180" w:rsidRPr="00A26E9F" w:rsidRDefault="002463A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lastRenderedPageBreak/>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2D28FBC6"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84F9860" w14:textId="77777777" w:rsidR="00595180" w:rsidRPr="00A26E9F" w:rsidRDefault="002463AB">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i/>
          <w:sz w:val="22"/>
          <w:szCs w:val="22"/>
        </w:rPr>
        <w:t>“</w:t>
      </w:r>
      <w:r w:rsidRPr="00A26E9F">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A26E9F">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A26E9F">
        <w:rPr>
          <w:rFonts w:ascii="Palatino Linotype" w:eastAsia="Palatino Linotype" w:hAnsi="Palatino Linotype" w:cs="Palatino Linotype"/>
          <w:b/>
          <w:i/>
          <w:sz w:val="22"/>
          <w:szCs w:val="22"/>
        </w:rPr>
        <w:t>.</w:t>
      </w:r>
      <w:r w:rsidRPr="00A26E9F">
        <w:rPr>
          <w:rFonts w:ascii="Palatino Linotype" w:eastAsia="Palatino Linotype" w:hAnsi="Palatino Linotype" w:cs="Palatino Linotype"/>
          <w:i/>
          <w:sz w:val="22"/>
          <w:szCs w:val="22"/>
        </w:rPr>
        <w:t>”</w:t>
      </w:r>
    </w:p>
    <w:p w14:paraId="40954C41" w14:textId="77777777" w:rsidR="00595180" w:rsidRPr="00A26E9F" w:rsidRDefault="0059518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9B27FD" w14:textId="77777777" w:rsidR="00595180" w:rsidRPr="00A26E9F" w:rsidRDefault="002463A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6D59EE99" w14:textId="77777777" w:rsidR="00595180" w:rsidRPr="00A26E9F" w:rsidRDefault="002463AB">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A26E9F">
        <w:rPr>
          <w:rFonts w:ascii="Palatino Linotype" w:eastAsia="Palatino Linotype" w:hAnsi="Palatino Linotype" w:cs="Palatino Linotype"/>
          <w:b/>
          <w:sz w:val="22"/>
          <w:szCs w:val="22"/>
        </w:rPr>
        <w:t>III. R E S U E L V E</w:t>
      </w:r>
    </w:p>
    <w:p w14:paraId="2E234DAF" w14:textId="77777777" w:rsidR="00595180" w:rsidRPr="00A26E9F" w:rsidRDefault="00595180">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1B67EDD8" w14:textId="77777777" w:rsidR="00595180" w:rsidRPr="00A26E9F" w:rsidRDefault="002463AB">
      <w:pPr>
        <w:spacing w:line="360" w:lineRule="auto"/>
        <w:jc w:val="both"/>
        <w:rPr>
          <w:rFonts w:ascii="Palatino Linotype" w:eastAsia="Palatino Linotype" w:hAnsi="Palatino Linotype" w:cs="Palatino Linotype"/>
          <w:b/>
          <w:sz w:val="22"/>
          <w:szCs w:val="22"/>
        </w:rPr>
      </w:pPr>
      <w:bookmarkStart w:id="11" w:name="_heading=h.h7nzb79wlra" w:colFirst="0" w:colLast="0"/>
      <w:bookmarkEnd w:id="11"/>
      <w:r w:rsidRPr="00A26E9F">
        <w:rPr>
          <w:rFonts w:ascii="Palatino Linotype" w:eastAsia="Palatino Linotype" w:hAnsi="Palatino Linotype" w:cs="Palatino Linotype"/>
          <w:b/>
          <w:sz w:val="22"/>
          <w:szCs w:val="22"/>
        </w:rPr>
        <w:t xml:space="preserve">Primero. </w:t>
      </w:r>
      <w:r w:rsidRPr="00A26E9F">
        <w:rPr>
          <w:rFonts w:ascii="Palatino Linotype" w:eastAsia="Palatino Linotype" w:hAnsi="Palatino Linotype" w:cs="Palatino Linotype"/>
          <w:sz w:val="22"/>
          <w:szCs w:val="22"/>
        </w:rPr>
        <w:t xml:space="preserve">Resultan </w:t>
      </w:r>
      <w:r w:rsidRPr="00A26E9F">
        <w:rPr>
          <w:rFonts w:ascii="Palatino Linotype" w:eastAsia="Palatino Linotype" w:hAnsi="Palatino Linotype" w:cs="Palatino Linotype"/>
          <w:b/>
          <w:sz w:val="22"/>
          <w:szCs w:val="22"/>
        </w:rPr>
        <w:t>parcialmente</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fundadas</w:t>
      </w:r>
      <w:r w:rsidRPr="00A26E9F">
        <w:rPr>
          <w:rFonts w:ascii="Palatino Linotype" w:eastAsia="Palatino Linotype" w:hAnsi="Palatino Linotype" w:cs="Palatino Linotype"/>
          <w:sz w:val="22"/>
          <w:szCs w:val="22"/>
        </w:rPr>
        <w:t xml:space="preserve"> las razones o motivos de inconformidad hechos valer por la parte</w:t>
      </w:r>
      <w:r w:rsidRPr="00A26E9F">
        <w:rPr>
          <w:rFonts w:ascii="Palatino Linotype" w:eastAsia="Palatino Linotype" w:hAnsi="Palatino Linotype" w:cs="Palatino Linotype"/>
          <w:b/>
          <w:sz w:val="22"/>
          <w:szCs w:val="22"/>
        </w:rPr>
        <w:t xml:space="preserve"> Recurrente</w:t>
      </w:r>
      <w:r w:rsidRPr="00A26E9F">
        <w:rPr>
          <w:rFonts w:ascii="Palatino Linotype" w:eastAsia="Palatino Linotype" w:hAnsi="Palatino Linotype" w:cs="Palatino Linotype"/>
          <w:sz w:val="22"/>
          <w:szCs w:val="22"/>
        </w:rPr>
        <w:t xml:space="preserve"> en el recurso de revisión </w:t>
      </w:r>
      <w:r w:rsidRPr="00A26E9F">
        <w:rPr>
          <w:rFonts w:ascii="Palatino Linotype" w:eastAsia="Palatino Linotype" w:hAnsi="Palatino Linotype" w:cs="Palatino Linotype"/>
          <w:b/>
          <w:sz w:val="22"/>
          <w:szCs w:val="22"/>
        </w:rPr>
        <w:t>03189/INFOEM/IP/RR/2025</w:t>
      </w:r>
      <w:r w:rsidRPr="00A26E9F">
        <w:rPr>
          <w:rFonts w:ascii="Palatino Linotype" w:eastAsia="Palatino Linotype" w:hAnsi="Palatino Linotype" w:cs="Palatino Linotype"/>
          <w:sz w:val="22"/>
          <w:szCs w:val="22"/>
        </w:rPr>
        <w:t xml:space="preserve">; por lo que, en términos del </w:t>
      </w:r>
      <w:r w:rsidRPr="00A26E9F">
        <w:rPr>
          <w:rFonts w:ascii="Palatino Linotype" w:eastAsia="Palatino Linotype" w:hAnsi="Palatino Linotype" w:cs="Palatino Linotype"/>
          <w:b/>
          <w:sz w:val="22"/>
          <w:szCs w:val="22"/>
        </w:rPr>
        <w:t>Considerando</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 xml:space="preserve">Cuarto </w:t>
      </w:r>
      <w:r w:rsidRPr="00A26E9F">
        <w:rPr>
          <w:rFonts w:ascii="Palatino Linotype" w:eastAsia="Palatino Linotype" w:hAnsi="Palatino Linotype" w:cs="Palatino Linotype"/>
          <w:sz w:val="22"/>
          <w:szCs w:val="22"/>
        </w:rPr>
        <w:t xml:space="preserve">de esta resolución, se </w:t>
      </w:r>
      <w:r w:rsidRPr="00A26E9F">
        <w:rPr>
          <w:rFonts w:ascii="Palatino Linotype" w:eastAsia="Palatino Linotype" w:hAnsi="Palatino Linotype" w:cs="Palatino Linotype"/>
          <w:b/>
          <w:sz w:val="22"/>
          <w:szCs w:val="22"/>
        </w:rPr>
        <w:t xml:space="preserve">Modifica </w:t>
      </w:r>
      <w:r w:rsidRPr="00A26E9F">
        <w:rPr>
          <w:rFonts w:ascii="Palatino Linotype" w:eastAsia="Palatino Linotype" w:hAnsi="Palatino Linotype" w:cs="Palatino Linotype"/>
          <w:sz w:val="22"/>
          <w:szCs w:val="22"/>
        </w:rPr>
        <w:t xml:space="preserve">la respuesta emitida por el </w:t>
      </w:r>
      <w:r w:rsidRPr="00A26E9F">
        <w:rPr>
          <w:rFonts w:ascii="Palatino Linotype" w:eastAsia="Palatino Linotype" w:hAnsi="Palatino Linotype" w:cs="Palatino Linotype"/>
          <w:b/>
          <w:sz w:val="22"/>
          <w:szCs w:val="22"/>
        </w:rPr>
        <w:t>Sujeto Obligado.</w:t>
      </w:r>
    </w:p>
    <w:p w14:paraId="7D1C44F1" w14:textId="77777777" w:rsidR="00595180" w:rsidRPr="00A26E9F" w:rsidRDefault="00595180">
      <w:pPr>
        <w:spacing w:line="360" w:lineRule="auto"/>
        <w:jc w:val="both"/>
        <w:rPr>
          <w:rFonts w:ascii="Palatino Linotype" w:eastAsia="Palatino Linotype" w:hAnsi="Palatino Linotype" w:cs="Palatino Linotype"/>
          <w:b/>
          <w:sz w:val="22"/>
          <w:szCs w:val="22"/>
        </w:rPr>
      </w:pPr>
    </w:p>
    <w:p w14:paraId="408DCAB6" w14:textId="77777777" w:rsidR="00595180" w:rsidRPr="00A26E9F" w:rsidRDefault="002463AB">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A26E9F">
        <w:rPr>
          <w:rFonts w:ascii="Palatino Linotype" w:eastAsia="Palatino Linotype" w:hAnsi="Palatino Linotype" w:cs="Palatino Linotype"/>
          <w:b/>
          <w:sz w:val="22"/>
          <w:szCs w:val="22"/>
        </w:rPr>
        <w:lastRenderedPageBreak/>
        <w:t xml:space="preserve">Segundo. </w:t>
      </w:r>
      <w:r w:rsidRPr="00A26E9F">
        <w:rPr>
          <w:rFonts w:ascii="Palatino Linotype" w:eastAsia="Palatino Linotype" w:hAnsi="Palatino Linotype" w:cs="Palatino Linotype"/>
          <w:sz w:val="22"/>
          <w:szCs w:val="22"/>
        </w:rPr>
        <w:t xml:space="preserve">Se </w:t>
      </w:r>
      <w:r w:rsidRPr="00A26E9F">
        <w:rPr>
          <w:rFonts w:ascii="Palatino Linotype" w:eastAsia="Palatino Linotype" w:hAnsi="Palatino Linotype" w:cs="Palatino Linotype"/>
          <w:b/>
          <w:sz w:val="22"/>
          <w:szCs w:val="22"/>
        </w:rPr>
        <w:t>Ordena</w:t>
      </w:r>
      <w:r w:rsidRPr="00A26E9F">
        <w:rPr>
          <w:rFonts w:ascii="Palatino Linotype" w:eastAsia="Palatino Linotype" w:hAnsi="Palatino Linotype" w:cs="Palatino Linotype"/>
          <w:sz w:val="22"/>
          <w:szCs w:val="22"/>
        </w:rPr>
        <w:t xml:space="preserve"> al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en términos del Considerando </w:t>
      </w:r>
      <w:r w:rsidRPr="00A26E9F">
        <w:rPr>
          <w:rFonts w:ascii="Palatino Linotype" w:eastAsia="Palatino Linotype" w:hAnsi="Palatino Linotype" w:cs="Palatino Linotype"/>
          <w:b/>
          <w:sz w:val="22"/>
          <w:szCs w:val="22"/>
        </w:rPr>
        <w:t xml:space="preserve">Cuarto </w:t>
      </w:r>
      <w:r w:rsidRPr="00A26E9F">
        <w:rPr>
          <w:rFonts w:ascii="Palatino Linotype" w:eastAsia="Palatino Linotype" w:hAnsi="Palatino Linotype" w:cs="Palatino Linotype"/>
          <w:sz w:val="22"/>
          <w:szCs w:val="22"/>
        </w:rPr>
        <w:t xml:space="preserve">de esta resolución, </w:t>
      </w:r>
      <w:r w:rsidRPr="00A26E9F">
        <w:rPr>
          <w:rFonts w:ascii="Palatino Linotype" w:eastAsia="Palatino Linotype" w:hAnsi="Palatino Linotype" w:cs="Palatino Linotype"/>
          <w:b/>
          <w:sz w:val="22"/>
          <w:szCs w:val="22"/>
        </w:rPr>
        <w:t xml:space="preserve">haga entrega vía Sistema de Acceso a la Información Mexiquense (SAIMEX), </w:t>
      </w:r>
      <w:r w:rsidRPr="00A26E9F">
        <w:rPr>
          <w:rFonts w:ascii="Palatino Linotype" w:eastAsia="Palatino Linotype" w:hAnsi="Palatino Linotype" w:cs="Palatino Linotype"/>
          <w:sz w:val="22"/>
          <w:szCs w:val="22"/>
        </w:rPr>
        <w:t>lo siguiente:</w:t>
      </w:r>
    </w:p>
    <w:p w14:paraId="1AA67705"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7F30B88E" w14:textId="77777777" w:rsidR="00595180" w:rsidRPr="00A26E9F" w:rsidRDefault="002463AB">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3" w:name="_heading=h.3yqjhwsrvtx2" w:colFirst="0" w:colLast="0"/>
      <w:bookmarkEnd w:id="13"/>
      <w:r w:rsidRPr="00A26E9F">
        <w:rPr>
          <w:rFonts w:ascii="Palatino Linotype" w:eastAsia="Palatino Linotype" w:hAnsi="Palatino Linotype" w:cs="Palatino Linotype"/>
          <w:sz w:val="22"/>
          <w:szCs w:val="22"/>
        </w:rPr>
        <w:t>El Catálogo de Disposición Documental vigente al 25 de febrero de 2025;</w:t>
      </w:r>
    </w:p>
    <w:p w14:paraId="0B251334" w14:textId="77777777" w:rsidR="00595180" w:rsidRPr="00A26E9F" w:rsidRDefault="00595180">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285E6FDC" w14:textId="77777777" w:rsidR="00595180" w:rsidRPr="00A26E9F" w:rsidRDefault="002463AB">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Los inventarios documentales (general, de transferencia y de baja documental) de las Direcciones Regionales de Conciliación Laboral, de los ejercicios 2020, 2021 y 2022; y</w:t>
      </w:r>
    </w:p>
    <w:p w14:paraId="49F606B7" w14:textId="77777777" w:rsidR="00595180" w:rsidRPr="00A26E9F" w:rsidRDefault="00595180">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7E6C725E" w14:textId="77777777" w:rsidR="00595180" w:rsidRPr="00A26E9F" w:rsidRDefault="002463AB">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Lineamientos internos que regulen el plazo para implementar el Archivo de Concentración en el Centro de Conciliación Laboral del Estado de México, vigentes al 25 de febrero de 2025.</w:t>
      </w:r>
    </w:p>
    <w:p w14:paraId="216C82D3" w14:textId="77777777" w:rsidR="00595180" w:rsidRPr="00A26E9F" w:rsidRDefault="00595180">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5AE3AA19" w14:textId="77777777" w:rsidR="00595180" w:rsidRPr="00A26E9F" w:rsidRDefault="002463AB">
      <w:pPr>
        <w:pBdr>
          <w:top w:val="nil"/>
          <w:left w:val="nil"/>
          <w:bottom w:val="nil"/>
          <w:right w:val="nil"/>
          <w:between w:val="nil"/>
        </w:pBdr>
        <w:ind w:left="360"/>
        <w:jc w:val="both"/>
        <w:rPr>
          <w:rFonts w:ascii="Palatino Linotype" w:eastAsia="Palatino Linotype" w:hAnsi="Palatino Linotype" w:cs="Palatino Linotype"/>
          <w:i/>
          <w:sz w:val="22"/>
          <w:szCs w:val="22"/>
        </w:rPr>
      </w:pPr>
      <w:r w:rsidRPr="00A26E9F">
        <w:rPr>
          <w:rFonts w:ascii="Palatino Linotype" w:eastAsia="Palatino Linotype" w:hAnsi="Palatino Linotype" w:cs="Palatino Linotype"/>
          <w:i/>
          <w:sz w:val="22"/>
          <w:szCs w:val="22"/>
        </w:rPr>
        <w:t xml:space="preserve">De ser el caso, que en los archivos del </w:t>
      </w:r>
      <w:r w:rsidRPr="00A26E9F">
        <w:rPr>
          <w:rFonts w:ascii="Palatino Linotype" w:eastAsia="Palatino Linotype" w:hAnsi="Palatino Linotype" w:cs="Palatino Linotype"/>
          <w:b/>
          <w:i/>
          <w:sz w:val="22"/>
          <w:szCs w:val="22"/>
        </w:rPr>
        <w:t xml:space="preserve">Sujeto Obligado </w:t>
      </w:r>
      <w:r w:rsidRPr="00A26E9F">
        <w:rPr>
          <w:rFonts w:ascii="Palatino Linotype" w:eastAsia="Palatino Linotype" w:hAnsi="Palatino Linotype" w:cs="Palatino Linotype"/>
          <w:i/>
          <w:sz w:val="22"/>
          <w:szCs w:val="22"/>
        </w:rPr>
        <w:t xml:space="preserve">no obre la información que se ordena en los puntos 2 y 3; </w:t>
      </w:r>
      <w:r w:rsidRPr="00A26E9F">
        <w:rPr>
          <w:rFonts w:ascii="Palatino Linotype" w:eastAsia="Palatino Linotype" w:hAnsi="Palatino Linotype" w:cs="Palatino Linotype"/>
          <w:b/>
          <w:i/>
          <w:sz w:val="22"/>
          <w:szCs w:val="22"/>
          <w:u w:val="single"/>
        </w:rPr>
        <w:t>el punto 2</w:t>
      </w:r>
      <w:r w:rsidRPr="00A26E9F">
        <w:rPr>
          <w:rFonts w:ascii="Palatino Linotype" w:eastAsia="Palatino Linotype" w:hAnsi="Palatino Linotype" w:cs="Palatino Linotype"/>
          <w:b/>
          <w:i/>
          <w:sz w:val="22"/>
          <w:szCs w:val="22"/>
        </w:rPr>
        <w:t xml:space="preserve"> (únicamente por cuanto hace a los inventarios de baja documental), al no haberse determinado la baja documental de documentación en los ejercicios indicados</w:t>
      </w:r>
      <w:r w:rsidRPr="00A26E9F">
        <w:rPr>
          <w:rFonts w:ascii="Palatino Linotype" w:eastAsia="Palatino Linotype" w:hAnsi="Palatino Linotype" w:cs="Palatino Linotype"/>
          <w:i/>
          <w:sz w:val="22"/>
          <w:szCs w:val="22"/>
        </w:rPr>
        <w:t xml:space="preserve">; y, </w:t>
      </w:r>
      <w:r w:rsidRPr="00A26E9F">
        <w:rPr>
          <w:rFonts w:ascii="Palatino Linotype" w:eastAsia="Palatino Linotype" w:hAnsi="Palatino Linotype" w:cs="Palatino Linotype"/>
          <w:b/>
          <w:i/>
          <w:sz w:val="22"/>
          <w:szCs w:val="22"/>
          <w:u w:val="single"/>
        </w:rPr>
        <w:t>el punto 3,</w:t>
      </w:r>
      <w:r w:rsidRPr="00A26E9F">
        <w:rPr>
          <w:rFonts w:ascii="Palatino Linotype" w:eastAsia="Palatino Linotype" w:hAnsi="Palatino Linotype" w:cs="Palatino Linotype"/>
          <w:i/>
          <w:sz w:val="22"/>
          <w:szCs w:val="22"/>
        </w:rPr>
        <w:t xml:space="preserve"> por no haberse generado, poseído o administrado los lineamientos solicitados,</w:t>
      </w:r>
      <w:r w:rsidRPr="00A26E9F">
        <w:rPr>
          <w:rFonts w:ascii="Palatino Linotype" w:eastAsia="Palatino Linotype" w:hAnsi="Palatino Linotype" w:cs="Palatino Linotype"/>
          <w:b/>
          <w:i/>
          <w:sz w:val="22"/>
          <w:szCs w:val="22"/>
        </w:rPr>
        <w:t xml:space="preserve"> </w:t>
      </w:r>
      <w:r w:rsidRPr="00A26E9F">
        <w:rPr>
          <w:rFonts w:ascii="Palatino Linotype" w:eastAsia="Palatino Linotype" w:hAnsi="Palatino Linotype" w:cs="Palatino Linotype"/>
          <w:i/>
          <w:sz w:val="22"/>
          <w:szCs w:val="22"/>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6B016BED" w14:textId="77777777" w:rsidR="00595180" w:rsidRPr="00A26E9F" w:rsidRDefault="00595180">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3096640D" w14:textId="77777777" w:rsidR="00595180" w:rsidRPr="00A26E9F" w:rsidRDefault="002463AB">
      <w:pPr>
        <w:spacing w:line="360" w:lineRule="auto"/>
        <w:jc w:val="both"/>
        <w:rPr>
          <w:rFonts w:ascii="Palatino Linotype" w:eastAsia="Palatino Linotype" w:hAnsi="Palatino Linotype" w:cs="Palatino Linotype"/>
          <w:sz w:val="22"/>
          <w:szCs w:val="22"/>
        </w:rPr>
      </w:pPr>
      <w:bookmarkStart w:id="14" w:name="_heading=h.59npxyxpomjd" w:colFirst="0" w:colLast="0"/>
      <w:bookmarkEnd w:id="14"/>
      <w:r w:rsidRPr="00A26E9F">
        <w:rPr>
          <w:rFonts w:ascii="Palatino Linotype" w:eastAsia="Palatino Linotype" w:hAnsi="Palatino Linotype" w:cs="Palatino Linotype"/>
          <w:b/>
          <w:sz w:val="22"/>
          <w:szCs w:val="22"/>
        </w:rPr>
        <w:t xml:space="preserve">Tercero. Notifíquese, </w:t>
      </w:r>
      <w:r w:rsidRPr="00A26E9F">
        <w:rPr>
          <w:rFonts w:ascii="Palatino Linotype" w:eastAsia="Palatino Linotype" w:hAnsi="Palatino Linotype" w:cs="Palatino Linotype"/>
          <w:sz w:val="22"/>
          <w:szCs w:val="22"/>
        </w:rPr>
        <w:t xml:space="preserve">vía </w:t>
      </w:r>
      <w:r w:rsidRPr="00A26E9F">
        <w:rPr>
          <w:rFonts w:ascii="Palatino Linotype" w:eastAsia="Palatino Linotype" w:hAnsi="Palatino Linotype" w:cs="Palatino Linotype"/>
          <w:b/>
          <w:sz w:val="22"/>
          <w:szCs w:val="22"/>
        </w:rPr>
        <w:t>SAIMEX</w:t>
      </w:r>
      <w:r w:rsidRPr="00A26E9F">
        <w:rPr>
          <w:rFonts w:ascii="Palatino Linotype" w:eastAsia="Palatino Linotype" w:hAnsi="Palatino Linotype" w:cs="Palatino Linotype"/>
          <w:sz w:val="22"/>
          <w:szCs w:val="22"/>
        </w:rPr>
        <w:t xml:space="preserve">, al Titular de la Unidad de Transparencia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A26E9F">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14:paraId="1489116E"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696E601B"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Cuarto.</w:t>
      </w:r>
      <w:r w:rsidRPr="00A26E9F">
        <w:rPr>
          <w:rFonts w:ascii="Palatino Linotype" w:eastAsia="Palatino Linotype" w:hAnsi="Palatino Linotype" w:cs="Palatino Linotype"/>
          <w:sz w:val="22"/>
          <w:szCs w:val="22"/>
        </w:rPr>
        <w:t xml:space="preserve"> </w:t>
      </w:r>
      <w:r w:rsidRPr="00A26E9F">
        <w:rPr>
          <w:rFonts w:ascii="Palatino Linotype" w:eastAsia="Palatino Linotype" w:hAnsi="Palatino Linotype" w:cs="Palatino Linotype"/>
          <w:b/>
          <w:sz w:val="22"/>
          <w:szCs w:val="22"/>
        </w:rPr>
        <w:t xml:space="preserve">Notifíquese, </w:t>
      </w:r>
      <w:r w:rsidRPr="00A26E9F">
        <w:rPr>
          <w:rFonts w:ascii="Palatino Linotype" w:eastAsia="Palatino Linotype" w:hAnsi="Palatino Linotype" w:cs="Palatino Linotype"/>
          <w:sz w:val="22"/>
          <w:szCs w:val="22"/>
        </w:rPr>
        <w:t xml:space="preserve">vía </w:t>
      </w:r>
      <w:r w:rsidRPr="00A26E9F">
        <w:rPr>
          <w:rFonts w:ascii="Palatino Linotype" w:eastAsia="Palatino Linotype" w:hAnsi="Palatino Linotype" w:cs="Palatino Linotype"/>
          <w:b/>
          <w:sz w:val="22"/>
          <w:szCs w:val="22"/>
        </w:rPr>
        <w:t>SAIMEX</w:t>
      </w:r>
      <w:r w:rsidRPr="00A26E9F">
        <w:rPr>
          <w:rFonts w:ascii="Palatino Linotype" w:eastAsia="Palatino Linotype" w:hAnsi="Palatino Linotype" w:cs="Palatino Linotype"/>
          <w:sz w:val="22"/>
          <w:szCs w:val="22"/>
        </w:rPr>
        <w:t xml:space="preserve">, al Titular de la Unidad de Transparencia del </w:t>
      </w:r>
      <w:r w:rsidRPr="00A26E9F">
        <w:rPr>
          <w:rFonts w:ascii="Palatino Linotype" w:eastAsia="Palatino Linotype" w:hAnsi="Palatino Linotype" w:cs="Palatino Linotype"/>
          <w:b/>
          <w:sz w:val="22"/>
          <w:szCs w:val="22"/>
        </w:rPr>
        <w:t>Sujeto Obligado,</w:t>
      </w:r>
      <w:r w:rsidRPr="00A26E9F">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4A69E006" w14:textId="77777777" w:rsidR="00595180" w:rsidRPr="00A26E9F" w:rsidRDefault="00595180">
      <w:pPr>
        <w:spacing w:line="360" w:lineRule="auto"/>
        <w:ind w:right="49"/>
        <w:jc w:val="both"/>
        <w:rPr>
          <w:rFonts w:ascii="Palatino Linotype" w:eastAsia="Palatino Linotype" w:hAnsi="Palatino Linotype" w:cs="Palatino Linotype"/>
          <w:sz w:val="22"/>
          <w:szCs w:val="22"/>
        </w:rPr>
      </w:pPr>
    </w:p>
    <w:p w14:paraId="5AC41574" w14:textId="77777777" w:rsidR="00595180" w:rsidRPr="00A26E9F" w:rsidRDefault="002463AB">
      <w:pPr>
        <w:spacing w:line="360" w:lineRule="auto"/>
        <w:ind w:right="49"/>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b/>
          <w:sz w:val="22"/>
          <w:szCs w:val="22"/>
        </w:rPr>
        <w:t xml:space="preserve">Quinto. Notifíquese vía SAIMEX, </w:t>
      </w:r>
      <w:r w:rsidRPr="00A26E9F">
        <w:rPr>
          <w:rFonts w:ascii="Palatino Linotype" w:eastAsia="Palatino Linotype" w:hAnsi="Palatino Linotype" w:cs="Palatino Linotype"/>
          <w:sz w:val="22"/>
          <w:szCs w:val="22"/>
        </w:rPr>
        <w:t xml:space="preserve">la presente resolución a la parte </w:t>
      </w:r>
      <w:r w:rsidRPr="00A26E9F">
        <w:rPr>
          <w:rFonts w:ascii="Palatino Linotype" w:eastAsia="Palatino Linotype" w:hAnsi="Palatino Linotype" w:cs="Palatino Linotype"/>
          <w:b/>
          <w:sz w:val="22"/>
          <w:szCs w:val="22"/>
        </w:rPr>
        <w:t>Recurrente</w:t>
      </w:r>
      <w:r w:rsidRPr="00A26E9F">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F77E3B9" w14:textId="77777777" w:rsidR="00595180" w:rsidRPr="00A26E9F" w:rsidRDefault="00595180">
      <w:pPr>
        <w:spacing w:line="360" w:lineRule="auto"/>
        <w:jc w:val="both"/>
        <w:rPr>
          <w:rFonts w:ascii="Palatino Linotype" w:eastAsia="Palatino Linotype" w:hAnsi="Palatino Linotype" w:cs="Palatino Linotype"/>
          <w:sz w:val="22"/>
          <w:szCs w:val="22"/>
        </w:rPr>
      </w:pPr>
    </w:p>
    <w:p w14:paraId="25680F38" w14:textId="77777777" w:rsidR="00595180" w:rsidRPr="00823421" w:rsidRDefault="002463AB">
      <w:pPr>
        <w:spacing w:line="360" w:lineRule="auto"/>
        <w:jc w:val="both"/>
        <w:rPr>
          <w:rFonts w:ascii="Palatino Linotype" w:eastAsia="Palatino Linotype" w:hAnsi="Palatino Linotype" w:cs="Palatino Linotype"/>
          <w:sz w:val="22"/>
          <w:szCs w:val="22"/>
        </w:rPr>
      </w:pPr>
      <w:r w:rsidRPr="00A26E9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DE JUNIO DE DOS MIL VEINTICINCO, ANTE EL SECRETARIO TÉCNICO DEL PLENO ALEXIS TAPIA RAMÍREZ.</w:t>
      </w:r>
      <w:r w:rsidRPr="00823421">
        <w:rPr>
          <w:rFonts w:ascii="Palatino Linotype" w:eastAsia="Palatino Linotype" w:hAnsi="Palatino Linotype" w:cs="Palatino Linotype"/>
          <w:sz w:val="22"/>
          <w:szCs w:val="22"/>
        </w:rPr>
        <w:t xml:space="preserve"> </w:t>
      </w:r>
    </w:p>
    <w:p w14:paraId="241C971C" w14:textId="77777777" w:rsidR="00595180" w:rsidRPr="00823421" w:rsidRDefault="00595180">
      <w:pPr>
        <w:rPr>
          <w:rFonts w:ascii="Palatino Linotype" w:eastAsia="Palatino Linotype" w:hAnsi="Palatino Linotype" w:cs="Palatino Linotype"/>
          <w:sz w:val="22"/>
          <w:szCs w:val="22"/>
        </w:rPr>
      </w:pPr>
      <w:bookmarkStart w:id="15" w:name="_heading=h.17dp8vu" w:colFirst="0" w:colLast="0"/>
      <w:bookmarkEnd w:id="15"/>
    </w:p>
    <w:p w14:paraId="77DDD6C0" w14:textId="77777777" w:rsidR="00595180" w:rsidRPr="00823421" w:rsidRDefault="00595180">
      <w:pPr>
        <w:rPr>
          <w:rFonts w:ascii="Palatino Linotype" w:eastAsia="Palatino Linotype" w:hAnsi="Palatino Linotype" w:cs="Palatino Linotype"/>
          <w:sz w:val="22"/>
          <w:szCs w:val="22"/>
        </w:rPr>
      </w:pPr>
    </w:p>
    <w:p w14:paraId="14846BD4" w14:textId="77777777" w:rsidR="00595180" w:rsidRPr="00823421" w:rsidRDefault="00595180">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37296308"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49C8FA87"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3E3FF7F7" w14:textId="77777777" w:rsidR="00595180" w:rsidRPr="00823421" w:rsidRDefault="00595180">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3718A04A"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46C9FD64"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4E0ABC3F"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0CE48B57"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36C242E7"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58D5788"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2A63DE6A"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4585276"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B605D6B"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1AECC8EF"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08E5445B"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E7C0E21"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836F53C"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4F6AD231"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00E8202"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79E6942"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7338DD58"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67906709"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29CDBE08"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54FFF2C0" w14:textId="77777777" w:rsidR="00595180" w:rsidRPr="00823421" w:rsidRDefault="00595180">
      <w:pPr>
        <w:spacing w:line="360" w:lineRule="auto"/>
        <w:jc w:val="both"/>
        <w:rPr>
          <w:rFonts w:ascii="Palatino Linotype" w:eastAsia="Palatino Linotype" w:hAnsi="Palatino Linotype" w:cs="Palatino Linotype"/>
          <w:sz w:val="22"/>
          <w:szCs w:val="22"/>
        </w:rPr>
      </w:pPr>
    </w:p>
    <w:p w14:paraId="7A109247" w14:textId="77777777" w:rsidR="00595180" w:rsidRPr="00823421" w:rsidRDefault="00595180">
      <w:pPr>
        <w:spacing w:line="360" w:lineRule="auto"/>
        <w:jc w:val="both"/>
        <w:rPr>
          <w:rFonts w:ascii="Palatino Linotype" w:eastAsia="Palatino Linotype" w:hAnsi="Palatino Linotype" w:cs="Palatino Linotype"/>
          <w:sz w:val="22"/>
          <w:szCs w:val="22"/>
        </w:rPr>
      </w:pPr>
    </w:p>
    <w:sectPr w:rsidR="00595180" w:rsidRPr="00823421">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65CAB" w14:textId="77777777" w:rsidR="00B7466F" w:rsidRDefault="00B7466F">
      <w:r>
        <w:separator/>
      </w:r>
    </w:p>
  </w:endnote>
  <w:endnote w:type="continuationSeparator" w:id="0">
    <w:p w14:paraId="1DC5EA63" w14:textId="77777777" w:rsidR="00B7466F" w:rsidRDefault="00B7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652E" w14:textId="77777777" w:rsidR="00595180" w:rsidRDefault="002463A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6E9F">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6E9F">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38DD6B0E" w14:textId="77777777" w:rsidR="00595180" w:rsidRDefault="0059518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27C5" w14:textId="77777777" w:rsidR="00595180" w:rsidRDefault="002463A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6E9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6E9F">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49EAB171" w14:textId="77777777" w:rsidR="00595180" w:rsidRDefault="0059518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D529E" w14:textId="77777777" w:rsidR="00B7466F" w:rsidRDefault="00B7466F">
      <w:r>
        <w:separator/>
      </w:r>
    </w:p>
  </w:footnote>
  <w:footnote w:type="continuationSeparator" w:id="0">
    <w:p w14:paraId="2D82CC97" w14:textId="77777777" w:rsidR="00B7466F" w:rsidRDefault="00B7466F">
      <w:r>
        <w:continuationSeparator/>
      </w:r>
    </w:p>
  </w:footnote>
  <w:footnote w:id="1">
    <w:p w14:paraId="69CA8CDF" w14:textId="77777777" w:rsidR="00595180" w:rsidRDefault="002463AB">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A8B3C80" w14:textId="77777777" w:rsidR="00595180" w:rsidRDefault="002463A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A9CCD25" w14:textId="77777777" w:rsidR="00595180" w:rsidRDefault="002463A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C76EBB2" w14:textId="77777777" w:rsidR="00595180" w:rsidRDefault="002463A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D930" w14:textId="77777777" w:rsidR="00595180" w:rsidRDefault="002463AB">
    <w:pPr>
      <w:rPr>
        <w:rFonts w:ascii="Cambria" w:eastAsia="Cambria" w:hAnsi="Cambria" w:cs="Cambria"/>
        <w:color w:val="000000"/>
      </w:rPr>
    </w:pPr>
    <w:r>
      <w:rPr>
        <w:noProof/>
      </w:rPr>
      <w:drawing>
        <wp:anchor distT="0" distB="0" distL="0" distR="0" simplePos="0" relativeHeight="251658240" behindDoc="1" locked="0" layoutInCell="1" hidden="0" allowOverlap="1" wp14:anchorId="2DEA6946" wp14:editId="14D574DB">
          <wp:simplePos x="0" y="0"/>
          <wp:positionH relativeFrom="column">
            <wp:posOffset>-1080104</wp:posOffset>
          </wp:positionH>
          <wp:positionV relativeFrom="paragraph">
            <wp:posOffset>-488279</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7087" w:type="dxa"/>
      <w:tblInd w:w="3261" w:type="dxa"/>
      <w:tblLayout w:type="fixed"/>
      <w:tblLook w:val="0400" w:firstRow="0" w:lastRow="0" w:firstColumn="0" w:lastColumn="0" w:noHBand="0" w:noVBand="1"/>
    </w:tblPr>
    <w:tblGrid>
      <w:gridCol w:w="2489"/>
      <w:gridCol w:w="4598"/>
    </w:tblGrid>
    <w:tr w:rsidR="00595180" w14:paraId="000850EB" w14:textId="77777777">
      <w:tc>
        <w:tcPr>
          <w:tcW w:w="2489" w:type="dxa"/>
          <w:shd w:val="clear" w:color="auto" w:fill="auto"/>
        </w:tcPr>
        <w:p w14:paraId="22DFB904" w14:textId="77777777" w:rsidR="00595180" w:rsidRDefault="002463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BC9993A" w14:textId="77777777" w:rsidR="00595180" w:rsidRDefault="002463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03189/INFOEM/IP/RR/2025</w:t>
          </w:r>
        </w:p>
      </w:tc>
    </w:tr>
    <w:tr w:rsidR="00595180" w14:paraId="438A3F4A" w14:textId="77777777">
      <w:trPr>
        <w:trHeight w:val="228"/>
      </w:trPr>
      <w:tc>
        <w:tcPr>
          <w:tcW w:w="2489" w:type="dxa"/>
          <w:shd w:val="clear" w:color="auto" w:fill="auto"/>
          <w:vAlign w:val="center"/>
        </w:tcPr>
        <w:p w14:paraId="5A14EAD0" w14:textId="77777777" w:rsidR="00595180" w:rsidRDefault="002463A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F81042E" w14:textId="77777777" w:rsidR="00595180" w:rsidRDefault="002463A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Centro de Conciliación Laboral del Estado de México</w:t>
          </w:r>
        </w:p>
      </w:tc>
    </w:tr>
    <w:tr w:rsidR="00595180" w14:paraId="04890CB8" w14:textId="77777777">
      <w:tc>
        <w:tcPr>
          <w:tcW w:w="2489" w:type="dxa"/>
          <w:shd w:val="clear" w:color="auto" w:fill="auto"/>
          <w:vAlign w:val="center"/>
        </w:tcPr>
        <w:p w14:paraId="29AAC6FC" w14:textId="77777777" w:rsidR="00595180" w:rsidRDefault="002463A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17A087DE" w14:textId="77777777" w:rsidR="00595180" w:rsidRDefault="002463A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B9A3BF" w14:textId="77777777" w:rsidR="00595180" w:rsidRDefault="002463A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6A25" w14:textId="77777777" w:rsidR="00595180" w:rsidRDefault="002463A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BF0A18A" wp14:editId="39721CE0">
          <wp:simplePos x="0" y="0"/>
          <wp:positionH relativeFrom="column">
            <wp:posOffset>-1079483</wp:posOffset>
          </wp:positionH>
          <wp:positionV relativeFrom="paragraph">
            <wp:posOffset>-328910</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595180" w14:paraId="47261827" w14:textId="77777777">
      <w:tc>
        <w:tcPr>
          <w:tcW w:w="2551" w:type="dxa"/>
          <w:shd w:val="clear" w:color="auto" w:fill="auto"/>
          <w:vAlign w:val="center"/>
        </w:tcPr>
        <w:p w14:paraId="38FAC530" w14:textId="77777777" w:rsidR="00595180" w:rsidRDefault="002463A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94" w:type="dxa"/>
          <w:shd w:val="clear" w:color="auto" w:fill="auto"/>
          <w:vAlign w:val="center"/>
        </w:tcPr>
        <w:p w14:paraId="076BA1AD" w14:textId="77777777" w:rsidR="00595180" w:rsidRDefault="002463AB">
          <w:pPr>
            <w:tabs>
              <w:tab w:val="left" w:pos="3153"/>
            </w:tabs>
            <w:ind w:left="-4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03189/INFOEM/IP/RR/2025</w:t>
          </w:r>
        </w:p>
      </w:tc>
    </w:tr>
    <w:tr w:rsidR="00595180" w14:paraId="2CAC083B" w14:textId="77777777">
      <w:trPr>
        <w:trHeight w:val="130"/>
      </w:trPr>
      <w:tc>
        <w:tcPr>
          <w:tcW w:w="2551" w:type="dxa"/>
          <w:shd w:val="clear" w:color="auto" w:fill="auto"/>
          <w:vAlign w:val="center"/>
        </w:tcPr>
        <w:p w14:paraId="1B7973C0" w14:textId="77777777" w:rsidR="00595180" w:rsidRDefault="002463A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394" w:type="dxa"/>
          <w:shd w:val="clear" w:color="auto" w:fill="auto"/>
          <w:vAlign w:val="center"/>
        </w:tcPr>
        <w:p w14:paraId="1D5A4F97" w14:textId="1A943D90" w:rsidR="00595180" w:rsidRDefault="00242EAC">
          <w:pPr>
            <w:ind w:left="-45" w:right="14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XXXXXX XXXXX XXXX </w:t>
          </w:r>
        </w:p>
      </w:tc>
    </w:tr>
    <w:tr w:rsidR="00595180" w14:paraId="49E68AB1" w14:textId="77777777">
      <w:trPr>
        <w:trHeight w:val="228"/>
      </w:trPr>
      <w:tc>
        <w:tcPr>
          <w:tcW w:w="2551" w:type="dxa"/>
          <w:shd w:val="clear" w:color="auto" w:fill="auto"/>
          <w:vAlign w:val="center"/>
        </w:tcPr>
        <w:p w14:paraId="5EC497FF" w14:textId="77777777" w:rsidR="00595180" w:rsidRDefault="002463A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94" w:type="dxa"/>
          <w:shd w:val="clear" w:color="auto" w:fill="auto"/>
          <w:vAlign w:val="center"/>
        </w:tcPr>
        <w:p w14:paraId="3708064D" w14:textId="77777777" w:rsidR="00595180" w:rsidRDefault="002463AB">
          <w:pPr>
            <w:ind w:left="-45" w:right="158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Centro de Conciliación Laboral del Estado de México</w:t>
          </w:r>
        </w:p>
      </w:tc>
    </w:tr>
    <w:tr w:rsidR="00595180" w14:paraId="1EB6D167" w14:textId="77777777">
      <w:tc>
        <w:tcPr>
          <w:tcW w:w="2551" w:type="dxa"/>
          <w:shd w:val="clear" w:color="auto" w:fill="auto"/>
          <w:vAlign w:val="center"/>
        </w:tcPr>
        <w:p w14:paraId="2C639686" w14:textId="77777777" w:rsidR="00595180" w:rsidRDefault="002463A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94" w:type="dxa"/>
          <w:shd w:val="clear" w:color="auto" w:fill="auto"/>
          <w:vAlign w:val="center"/>
        </w:tcPr>
        <w:p w14:paraId="03924D94" w14:textId="77777777" w:rsidR="00595180" w:rsidRDefault="002463AB">
          <w:pPr>
            <w:ind w:left="-45"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68C1D74" w14:textId="77777777" w:rsidR="00595180" w:rsidRDefault="00595180">
    <w:pPr>
      <w:pBdr>
        <w:top w:val="nil"/>
        <w:left w:val="nil"/>
        <w:bottom w:val="nil"/>
        <w:right w:val="nil"/>
        <w:between w:val="nil"/>
      </w:pBdr>
      <w:tabs>
        <w:tab w:val="center" w:pos="4252"/>
        <w:tab w:val="right" w:pos="8504"/>
      </w:tabs>
      <w:rPr>
        <w:rFonts w:ascii="Cambria" w:eastAsia="Cambria" w:hAnsi="Cambria" w:cs="Cambria"/>
        <w:color w:val="000000"/>
      </w:rPr>
    </w:pPr>
  </w:p>
  <w:p w14:paraId="2852DE75" w14:textId="77777777" w:rsidR="00595180" w:rsidRDefault="005951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B5318"/>
    <w:multiLevelType w:val="multilevel"/>
    <w:tmpl w:val="FBE8AD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6D0E21"/>
    <w:multiLevelType w:val="multilevel"/>
    <w:tmpl w:val="5A3E5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2380E"/>
    <w:multiLevelType w:val="multilevel"/>
    <w:tmpl w:val="44B2BF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5E913B8"/>
    <w:multiLevelType w:val="multilevel"/>
    <w:tmpl w:val="77CC6040"/>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A136449"/>
    <w:multiLevelType w:val="multilevel"/>
    <w:tmpl w:val="0D2CBCF0"/>
    <w:lvl w:ilvl="0">
      <w:start w:val="3"/>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117576"/>
    <w:multiLevelType w:val="multilevel"/>
    <w:tmpl w:val="26FCEE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AB90984"/>
    <w:multiLevelType w:val="multilevel"/>
    <w:tmpl w:val="5FACD9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0437E44"/>
    <w:multiLevelType w:val="multilevel"/>
    <w:tmpl w:val="BA72437C"/>
    <w:lvl w:ilvl="0">
      <w:start w:val="3"/>
      <w:numFmt w:val="bullet"/>
      <w:lvlText w:val="-"/>
      <w:lvlJc w:val="left"/>
      <w:pPr>
        <w:ind w:left="360" w:hanging="360"/>
      </w:pPr>
      <w:rPr>
        <w:rFonts w:ascii="Palatino Linotype" w:eastAsia="Palatino Linotype" w:hAnsi="Palatino Linotype" w:cs="Palatino Linotype"/>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F564FFA"/>
    <w:multiLevelType w:val="multilevel"/>
    <w:tmpl w:val="03AE77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9256FEE"/>
    <w:multiLevelType w:val="multilevel"/>
    <w:tmpl w:val="8BEA0800"/>
    <w:lvl w:ilvl="0">
      <w:start w:val="3"/>
      <w:numFmt w:val="bullet"/>
      <w:lvlText w:val="-"/>
      <w:lvlJc w:val="left"/>
      <w:pPr>
        <w:ind w:left="720" w:hanging="360"/>
      </w:pPr>
      <w:rPr>
        <w:rFonts w:ascii="Palatino Linotype" w:eastAsia="Palatino Linotype" w:hAnsi="Palatino Linotype" w:cs="Palatino Linotype"/>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E70748"/>
    <w:multiLevelType w:val="multilevel"/>
    <w:tmpl w:val="0C521554"/>
    <w:lvl w:ilvl="0">
      <w:start w:val="1"/>
      <w:numFmt w:val="lowerLetter"/>
      <w:pStyle w:val="Listaconvietas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CFC4039"/>
    <w:multiLevelType w:val="multilevel"/>
    <w:tmpl w:val="FC4810E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11"/>
  </w:num>
  <w:num w:numId="3">
    <w:abstractNumId w:val="1"/>
  </w:num>
  <w:num w:numId="4">
    <w:abstractNumId w:val="8"/>
  </w:num>
  <w:num w:numId="5">
    <w:abstractNumId w:val="10"/>
  </w:num>
  <w:num w:numId="6">
    <w:abstractNumId w:val="6"/>
  </w:num>
  <w:num w:numId="7">
    <w:abstractNumId w:val="0"/>
  </w:num>
  <w:num w:numId="8">
    <w:abstractNumId w:val="4"/>
  </w:num>
  <w:num w:numId="9">
    <w:abstractNumId w:val="9"/>
  </w:num>
  <w:num w:numId="10">
    <w:abstractNumId w:val="2"/>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80"/>
    <w:rsid w:val="00242EAC"/>
    <w:rsid w:val="002463AB"/>
    <w:rsid w:val="00595180"/>
    <w:rsid w:val="00823421"/>
    <w:rsid w:val="00A26E9F"/>
    <w:rsid w:val="00B74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BE74E"/>
  <w15:docId w15:val="{E75F3039-C17D-49D2-B936-02A9EED8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5B"/>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gemex.edomex.gob.mx/Documento/Visualizar/guias_tecnicas/guia_implementacion_laademym.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claboral.edomex.gob.mx/sites/cclaboral.edomex.gob.mx/files/files/transparencia/Cuadro%20General%20de%20Clasificaci%C3%B3n%202024%20Validaci%C3%B3n.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2tMDKsMB7nwtgKAc4fyCognuQ==">CgMxLjAyCWguMWZvYjl0ZTIJaC40ZDM0b2c4MghoLmdqZGd4czIJaC4zZHk2dmttMgloLjMwajB6bGwyCWguMnM4ZXlvMTIIaC50eWpjd3QyCWguM3pueXNoNzIJaC4xeTgxMHR3Mg5oLmlqdjk4cG50Y2Q1czIJaC4yNmluMXJnMg1oLmg3bnpiNzl3bHJhMgloLjJldDkycDAyDmguM3lxamh3c3J2dHgyMg5oLjU5bnB4eXhwb21qZDIJaC4xN2RwOHZ1MgloLjNyZGNyam4yCWguMXQzaDVzZjgAciExME9DSjBOWDBhQnBicFk4dG4ySWRKeDFpY1JaWVExb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15014</Words>
  <Characters>82582</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2025-06-13T19:41:00Z</cp:lastPrinted>
  <dcterms:created xsi:type="dcterms:W3CDTF">2025-06-27T15:52:00Z</dcterms:created>
  <dcterms:modified xsi:type="dcterms:W3CDTF">2025-06-27T15:52:00Z</dcterms:modified>
</cp:coreProperties>
</file>