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6D5" w:rsidRDefault="004A46D5">
      <w:pPr>
        <w:widowControl w:val="0"/>
        <w:pBdr>
          <w:top w:val="nil"/>
          <w:left w:val="nil"/>
          <w:bottom w:val="nil"/>
          <w:right w:val="nil"/>
          <w:between w:val="nil"/>
        </w:pBdr>
        <w:spacing w:after="0" w:line="276" w:lineRule="auto"/>
        <w:jc w:val="left"/>
      </w:pPr>
    </w:p>
    <w:p w:rsidR="004A46D5" w:rsidRDefault="004A46D5">
      <w:pPr>
        <w:tabs>
          <w:tab w:val="left" w:pos="8931"/>
        </w:tabs>
        <w:spacing w:after="0" w:line="360" w:lineRule="auto"/>
      </w:pPr>
    </w:p>
    <w:p w:rsidR="004A46D5" w:rsidRDefault="00BD5DC1">
      <w:pPr>
        <w:keepNext/>
        <w:keepLines/>
        <w:pBdr>
          <w:top w:val="nil"/>
          <w:left w:val="nil"/>
          <w:bottom w:val="nil"/>
          <w:right w:val="nil"/>
          <w:between w:val="nil"/>
        </w:pBdr>
        <w:spacing w:after="0" w:line="360" w:lineRule="auto"/>
        <w:jc w:val="center"/>
        <w:rPr>
          <w:color w:val="000000"/>
        </w:rPr>
      </w:pPr>
      <w:r>
        <w:rPr>
          <w:color w:val="000000"/>
        </w:rPr>
        <w:t>RESOLUCIÓN DEL RECURSO DE REVISIÓN 08276/INFOEM/IP/RR/2025</w:t>
      </w:r>
    </w:p>
    <w:p w:rsidR="004A46D5" w:rsidRDefault="004A46D5">
      <w:pPr>
        <w:spacing w:after="0" w:line="360" w:lineRule="auto"/>
      </w:pPr>
    </w:p>
    <w:sdt>
      <w:sdtPr>
        <w:id w:val="2104217550"/>
        <w:docPartObj>
          <w:docPartGallery w:val="Table of Contents"/>
          <w:docPartUnique/>
        </w:docPartObj>
      </w:sdtPr>
      <w:sdtEndPr/>
      <w:sdtContent>
        <w:p w:rsidR="004A46D5" w:rsidRDefault="00BD5DC1">
          <w:pPr>
            <w:pBdr>
              <w:top w:val="nil"/>
              <w:left w:val="nil"/>
              <w:bottom w:val="nil"/>
              <w:right w:val="nil"/>
              <w:between w:val="nil"/>
            </w:pBdr>
            <w:tabs>
              <w:tab w:val="right" w:pos="8921"/>
            </w:tabs>
            <w:spacing w:after="0" w:line="360" w:lineRule="auto"/>
            <w:rPr>
              <w:rFonts w:ascii="Cambria" w:eastAsia="Cambria" w:hAnsi="Cambria" w:cs="Cambria"/>
              <w:color w:val="000000"/>
            </w:rPr>
          </w:pPr>
          <w:r>
            <w:fldChar w:fldCharType="begin"/>
          </w:r>
          <w:r>
            <w:instrText xml:space="preserve"> TOC \h \u \z \t "Heading 1,1,Heading 2,2,Heading 3,3,"</w:instrText>
          </w:r>
          <w:r>
            <w:fldChar w:fldCharType="separate"/>
          </w:r>
          <w:hyperlink w:anchor="_heading=h.9yf5mv3t87hl">
            <w:r>
              <w:rPr>
                <w:color w:val="000000"/>
              </w:rPr>
              <w:t>A N T E C E D E N T E S</w:t>
            </w:r>
            <w:r>
              <w:rPr>
                <w:color w:val="000000"/>
              </w:rPr>
              <w:tab/>
              <w:t>2</w:t>
            </w:r>
          </w:hyperlink>
        </w:p>
        <w:p w:rsidR="004A46D5" w:rsidRDefault="00CD006C">
          <w:pPr>
            <w:pBdr>
              <w:top w:val="nil"/>
              <w:left w:val="nil"/>
              <w:bottom w:val="nil"/>
              <w:right w:val="nil"/>
              <w:between w:val="nil"/>
            </w:pBdr>
            <w:tabs>
              <w:tab w:val="right" w:pos="8921"/>
            </w:tabs>
            <w:spacing w:after="0" w:line="360" w:lineRule="auto"/>
            <w:ind w:left="220"/>
            <w:rPr>
              <w:rFonts w:ascii="Cambria" w:eastAsia="Cambria" w:hAnsi="Cambria" w:cs="Cambria"/>
              <w:color w:val="000000"/>
            </w:rPr>
          </w:pPr>
          <w:hyperlink w:anchor="_heading=h.1xfr2z4qd4h3">
            <w:r w:rsidR="00BD5DC1">
              <w:rPr>
                <w:color w:val="000000"/>
              </w:rPr>
              <w:t>I. Presentación de la solicitud de información</w:t>
            </w:r>
            <w:r w:rsidR="00BD5DC1">
              <w:rPr>
                <w:color w:val="000000"/>
              </w:rPr>
              <w:tab/>
              <w:t>2</w:t>
            </w:r>
          </w:hyperlink>
        </w:p>
        <w:p w:rsidR="004A46D5" w:rsidRDefault="00CD006C">
          <w:pPr>
            <w:pBdr>
              <w:top w:val="nil"/>
              <w:left w:val="nil"/>
              <w:bottom w:val="nil"/>
              <w:right w:val="nil"/>
              <w:between w:val="nil"/>
            </w:pBdr>
            <w:tabs>
              <w:tab w:val="right" w:pos="8921"/>
            </w:tabs>
            <w:spacing w:after="0" w:line="360" w:lineRule="auto"/>
            <w:ind w:left="220"/>
            <w:rPr>
              <w:rFonts w:ascii="Cambria" w:eastAsia="Cambria" w:hAnsi="Cambria" w:cs="Cambria"/>
              <w:color w:val="000000"/>
            </w:rPr>
          </w:pPr>
          <w:hyperlink w:anchor="_heading=h.yr18of69axsp">
            <w:r w:rsidR="00BD5DC1">
              <w:rPr>
                <w:color w:val="000000"/>
              </w:rPr>
              <w:t>II. Respuesta del Sujeto Obligado</w:t>
            </w:r>
            <w:r w:rsidR="00BD5DC1">
              <w:rPr>
                <w:color w:val="000000"/>
              </w:rPr>
              <w:tab/>
              <w:t>2</w:t>
            </w:r>
          </w:hyperlink>
        </w:p>
        <w:p w:rsidR="004A46D5" w:rsidRDefault="00CD006C">
          <w:pPr>
            <w:pBdr>
              <w:top w:val="nil"/>
              <w:left w:val="nil"/>
              <w:bottom w:val="nil"/>
              <w:right w:val="nil"/>
              <w:between w:val="nil"/>
            </w:pBdr>
            <w:tabs>
              <w:tab w:val="right" w:pos="8921"/>
            </w:tabs>
            <w:spacing w:after="0" w:line="360" w:lineRule="auto"/>
            <w:ind w:left="220"/>
            <w:rPr>
              <w:rFonts w:ascii="Cambria" w:eastAsia="Cambria" w:hAnsi="Cambria" w:cs="Cambria"/>
              <w:color w:val="000000"/>
            </w:rPr>
          </w:pPr>
          <w:hyperlink w:anchor="_heading=h.fodnja5tlj">
            <w:r w:rsidR="00BD5DC1">
              <w:rPr>
                <w:color w:val="000000"/>
              </w:rPr>
              <w:t>III. Interposición del Recurso de Revisión</w:t>
            </w:r>
            <w:r w:rsidR="00BD5DC1">
              <w:rPr>
                <w:color w:val="000000"/>
              </w:rPr>
              <w:tab/>
              <w:t>3</w:t>
            </w:r>
          </w:hyperlink>
        </w:p>
        <w:p w:rsidR="004A46D5" w:rsidRDefault="00CD006C">
          <w:pPr>
            <w:pBdr>
              <w:top w:val="nil"/>
              <w:left w:val="nil"/>
              <w:bottom w:val="nil"/>
              <w:right w:val="nil"/>
              <w:between w:val="nil"/>
            </w:pBdr>
            <w:tabs>
              <w:tab w:val="right" w:pos="8921"/>
            </w:tabs>
            <w:spacing w:after="0" w:line="360" w:lineRule="auto"/>
            <w:ind w:left="220"/>
            <w:rPr>
              <w:rFonts w:ascii="Cambria" w:eastAsia="Cambria" w:hAnsi="Cambria" w:cs="Cambria"/>
              <w:color w:val="000000"/>
            </w:rPr>
          </w:pPr>
          <w:hyperlink w:anchor="_heading=h.n1o4sdnashrc">
            <w:r w:rsidR="00BD5DC1">
              <w:rPr>
                <w:color w:val="000000"/>
              </w:rPr>
              <w:t>IV. Trámite del Recurso de Revisión ante este Instituto</w:t>
            </w:r>
            <w:r w:rsidR="00BD5DC1">
              <w:rPr>
                <w:color w:val="000000"/>
              </w:rPr>
              <w:tab/>
              <w:t>4</w:t>
            </w:r>
          </w:hyperlink>
        </w:p>
        <w:p w:rsidR="004A46D5" w:rsidRDefault="00CD006C">
          <w:pPr>
            <w:pBdr>
              <w:top w:val="nil"/>
              <w:left w:val="nil"/>
              <w:bottom w:val="nil"/>
              <w:right w:val="nil"/>
              <w:between w:val="nil"/>
            </w:pBdr>
            <w:tabs>
              <w:tab w:val="right" w:pos="8921"/>
            </w:tabs>
            <w:spacing w:after="0" w:line="360" w:lineRule="auto"/>
            <w:rPr>
              <w:rFonts w:ascii="Cambria" w:eastAsia="Cambria" w:hAnsi="Cambria" w:cs="Cambria"/>
              <w:color w:val="000000"/>
            </w:rPr>
          </w:pPr>
          <w:hyperlink w:anchor="_heading=h.pmis67h05682">
            <w:r w:rsidR="00BD5DC1">
              <w:rPr>
                <w:color w:val="000000"/>
              </w:rPr>
              <w:t>C O N S I D E R A N D O S</w:t>
            </w:r>
            <w:r w:rsidR="00BD5DC1">
              <w:rPr>
                <w:color w:val="000000"/>
              </w:rPr>
              <w:tab/>
              <w:t>6</w:t>
            </w:r>
          </w:hyperlink>
        </w:p>
        <w:p w:rsidR="004A46D5" w:rsidRDefault="00CD006C">
          <w:pPr>
            <w:pBdr>
              <w:top w:val="nil"/>
              <w:left w:val="nil"/>
              <w:bottom w:val="nil"/>
              <w:right w:val="nil"/>
              <w:between w:val="nil"/>
            </w:pBdr>
            <w:tabs>
              <w:tab w:val="right" w:pos="8921"/>
            </w:tabs>
            <w:spacing w:after="0" w:line="360" w:lineRule="auto"/>
            <w:ind w:left="220"/>
            <w:rPr>
              <w:rFonts w:ascii="Cambria" w:eastAsia="Cambria" w:hAnsi="Cambria" w:cs="Cambria"/>
              <w:color w:val="000000"/>
            </w:rPr>
          </w:pPr>
          <w:hyperlink w:anchor="_heading=h.9nnzlc79cmfq">
            <w:r w:rsidR="00BD5DC1">
              <w:rPr>
                <w:color w:val="000000"/>
              </w:rPr>
              <w:t>PRIMERO. Competencia</w:t>
            </w:r>
            <w:r w:rsidR="00BD5DC1">
              <w:rPr>
                <w:color w:val="000000"/>
              </w:rPr>
              <w:tab/>
              <w:t>6</w:t>
            </w:r>
          </w:hyperlink>
        </w:p>
        <w:p w:rsidR="004A46D5" w:rsidRDefault="00CD006C">
          <w:pPr>
            <w:pBdr>
              <w:top w:val="nil"/>
              <w:left w:val="nil"/>
              <w:bottom w:val="nil"/>
              <w:right w:val="nil"/>
              <w:between w:val="nil"/>
            </w:pBdr>
            <w:tabs>
              <w:tab w:val="right" w:pos="8921"/>
            </w:tabs>
            <w:spacing w:after="0" w:line="360" w:lineRule="auto"/>
            <w:ind w:left="220"/>
            <w:rPr>
              <w:rFonts w:ascii="Cambria" w:eastAsia="Cambria" w:hAnsi="Cambria" w:cs="Cambria"/>
              <w:color w:val="000000"/>
            </w:rPr>
          </w:pPr>
          <w:hyperlink w:anchor="_heading=h.2l42vhn72sjj">
            <w:r w:rsidR="00BD5DC1">
              <w:rPr>
                <w:color w:val="000000"/>
              </w:rPr>
              <w:t>SEGUNDO. Causales de improcedencia y sobreseimiento</w:t>
            </w:r>
            <w:r w:rsidR="00BD5DC1">
              <w:rPr>
                <w:color w:val="000000"/>
              </w:rPr>
              <w:tab/>
              <w:t>6</w:t>
            </w:r>
          </w:hyperlink>
        </w:p>
        <w:p w:rsidR="004A46D5" w:rsidRDefault="00CD006C">
          <w:pPr>
            <w:pBdr>
              <w:top w:val="nil"/>
              <w:left w:val="nil"/>
              <w:bottom w:val="nil"/>
              <w:right w:val="nil"/>
              <w:between w:val="nil"/>
            </w:pBdr>
            <w:tabs>
              <w:tab w:val="right" w:pos="8921"/>
            </w:tabs>
            <w:spacing w:after="0" w:line="360" w:lineRule="auto"/>
            <w:ind w:left="220"/>
            <w:rPr>
              <w:rFonts w:ascii="Cambria" w:eastAsia="Cambria" w:hAnsi="Cambria" w:cs="Cambria"/>
              <w:color w:val="000000"/>
            </w:rPr>
          </w:pPr>
          <w:hyperlink w:anchor="_heading=h.kd4k12wad3vd">
            <w:r w:rsidR="00BD5DC1">
              <w:rPr>
                <w:color w:val="000000"/>
              </w:rPr>
              <w:t>TERCERO. Determinación de la Controversia</w:t>
            </w:r>
            <w:r w:rsidR="00BD5DC1">
              <w:rPr>
                <w:color w:val="000000"/>
              </w:rPr>
              <w:tab/>
              <w:t>8</w:t>
            </w:r>
          </w:hyperlink>
        </w:p>
        <w:p w:rsidR="004A46D5" w:rsidRDefault="00CD006C">
          <w:pPr>
            <w:pBdr>
              <w:top w:val="nil"/>
              <w:left w:val="nil"/>
              <w:bottom w:val="nil"/>
              <w:right w:val="nil"/>
              <w:between w:val="nil"/>
            </w:pBdr>
            <w:tabs>
              <w:tab w:val="right" w:pos="8921"/>
            </w:tabs>
            <w:spacing w:after="0" w:line="360" w:lineRule="auto"/>
            <w:ind w:left="220"/>
            <w:rPr>
              <w:rFonts w:ascii="Cambria" w:eastAsia="Cambria" w:hAnsi="Cambria" w:cs="Cambria"/>
              <w:color w:val="000000"/>
            </w:rPr>
          </w:pPr>
          <w:hyperlink w:anchor="_heading=h.ansfhlizgwpz">
            <w:r w:rsidR="00BD5DC1">
              <w:rPr>
                <w:color w:val="000000"/>
              </w:rPr>
              <w:t>CUARTO. Marco normativo aplicable en materia de transparencia y acceso a la información pública</w:t>
            </w:r>
            <w:r w:rsidR="00BD5DC1">
              <w:rPr>
                <w:color w:val="000000"/>
              </w:rPr>
              <w:tab/>
              <w:t>9</w:t>
            </w:r>
          </w:hyperlink>
        </w:p>
        <w:p w:rsidR="004A46D5" w:rsidRDefault="00CD006C">
          <w:pPr>
            <w:pBdr>
              <w:top w:val="nil"/>
              <w:left w:val="nil"/>
              <w:bottom w:val="nil"/>
              <w:right w:val="nil"/>
              <w:between w:val="nil"/>
            </w:pBdr>
            <w:tabs>
              <w:tab w:val="right" w:pos="8921"/>
            </w:tabs>
            <w:spacing w:after="0" w:line="360" w:lineRule="auto"/>
            <w:ind w:left="220"/>
            <w:rPr>
              <w:rFonts w:ascii="Cambria" w:eastAsia="Cambria" w:hAnsi="Cambria" w:cs="Cambria"/>
              <w:color w:val="000000"/>
            </w:rPr>
          </w:pPr>
          <w:hyperlink w:anchor="_heading=h.qwastfjfp5dn">
            <w:r w:rsidR="00BD5DC1">
              <w:rPr>
                <w:color w:val="000000"/>
              </w:rPr>
              <w:t>QUINTO. Estudio de Fondo</w:t>
            </w:r>
            <w:r w:rsidR="00BD5DC1">
              <w:rPr>
                <w:color w:val="000000"/>
              </w:rPr>
              <w:tab/>
              <w:t>10</w:t>
            </w:r>
          </w:hyperlink>
        </w:p>
        <w:p w:rsidR="004A46D5" w:rsidRDefault="00CD006C">
          <w:pPr>
            <w:pBdr>
              <w:top w:val="nil"/>
              <w:left w:val="nil"/>
              <w:bottom w:val="nil"/>
              <w:right w:val="nil"/>
              <w:between w:val="nil"/>
            </w:pBdr>
            <w:tabs>
              <w:tab w:val="right" w:pos="8921"/>
            </w:tabs>
            <w:spacing w:after="0" w:line="360" w:lineRule="auto"/>
            <w:ind w:left="220"/>
            <w:rPr>
              <w:rFonts w:ascii="Cambria" w:eastAsia="Cambria" w:hAnsi="Cambria" w:cs="Cambria"/>
              <w:color w:val="000000"/>
            </w:rPr>
          </w:pPr>
          <w:hyperlink w:anchor="_heading=h.68ea4w22b94l">
            <w:r w:rsidR="00BD5DC1">
              <w:rPr>
                <w:color w:val="000000"/>
              </w:rPr>
              <w:t>SEXTO. Decisión</w:t>
            </w:r>
            <w:r w:rsidR="00BD5DC1">
              <w:rPr>
                <w:color w:val="000000"/>
              </w:rPr>
              <w:tab/>
              <w:t>21</w:t>
            </w:r>
          </w:hyperlink>
        </w:p>
        <w:p w:rsidR="004A46D5" w:rsidRDefault="00CD006C">
          <w:pPr>
            <w:pBdr>
              <w:top w:val="nil"/>
              <w:left w:val="nil"/>
              <w:bottom w:val="nil"/>
              <w:right w:val="nil"/>
              <w:between w:val="nil"/>
            </w:pBdr>
            <w:tabs>
              <w:tab w:val="right" w:pos="8921"/>
            </w:tabs>
            <w:spacing w:after="0" w:line="360" w:lineRule="auto"/>
            <w:rPr>
              <w:rFonts w:ascii="Cambria" w:eastAsia="Cambria" w:hAnsi="Cambria" w:cs="Cambria"/>
              <w:color w:val="000000"/>
            </w:rPr>
          </w:pPr>
          <w:hyperlink w:anchor="_heading=h.tsobb8e3t5uw">
            <w:r w:rsidR="00BD5DC1">
              <w:rPr>
                <w:color w:val="000000"/>
              </w:rPr>
              <w:t>R E S U E L V E</w:t>
            </w:r>
            <w:r w:rsidR="00BD5DC1">
              <w:rPr>
                <w:color w:val="000000"/>
              </w:rPr>
              <w:tab/>
              <w:t>22</w:t>
            </w:r>
          </w:hyperlink>
        </w:p>
        <w:p w:rsidR="004A46D5" w:rsidRDefault="00BD5DC1">
          <w:pPr>
            <w:spacing w:after="0" w:line="360" w:lineRule="auto"/>
          </w:pPr>
          <w:r>
            <w:fldChar w:fldCharType="end"/>
          </w:r>
        </w:p>
      </w:sdtContent>
    </w:sdt>
    <w:p w:rsidR="004A46D5" w:rsidRDefault="004A46D5">
      <w:pPr>
        <w:tabs>
          <w:tab w:val="left" w:pos="8931"/>
        </w:tabs>
        <w:spacing w:after="0" w:line="360" w:lineRule="auto"/>
      </w:pPr>
    </w:p>
    <w:p w:rsidR="004A46D5" w:rsidRDefault="004A46D5">
      <w:pPr>
        <w:tabs>
          <w:tab w:val="left" w:pos="8931"/>
        </w:tabs>
        <w:spacing w:after="0" w:line="360" w:lineRule="auto"/>
      </w:pPr>
    </w:p>
    <w:p w:rsidR="004A46D5" w:rsidRDefault="004A46D5">
      <w:pPr>
        <w:tabs>
          <w:tab w:val="left" w:pos="8931"/>
        </w:tabs>
        <w:spacing w:after="0" w:line="360" w:lineRule="auto"/>
      </w:pPr>
    </w:p>
    <w:p w:rsidR="004A46D5" w:rsidRDefault="004A46D5">
      <w:pPr>
        <w:tabs>
          <w:tab w:val="left" w:pos="8931"/>
        </w:tabs>
        <w:spacing w:after="0" w:line="360" w:lineRule="auto"/>
      </w:pPr>
    </w:p>
    <w:p w:rsidR="004F3A37" w:rsidRDefault="004F3A37">
      <w:pPr>
        <w:tabs>
          <w:tab w:val="left" w:pos="8931"/>
        </w:tabs>
        <w:spacing w:after="0" w:line="360" w:lineRule="auto"/>
      </w:pPr>
    </w:p>
    <w:p w:rsidR="004F3A37" w:rsidRDefault="004F3A37">
      <w:pPr>
        <w:tabs>
          <w:tab w:val="left" w:pos="8931"/>
        </w:tabs>
        <w:spacing w:after="0" w:line="360" w:lineRule="auto"/>
      </w:pPr>
    </w:p>
    <w:p w:rsidR="004F3A37" w:rsidRDefault="004F3A37">
      <w:pPr>
        <w:tabs>
          <w:tab w:val="left" w:pos="8931"/>
        </w:tabs>
        <w:spacing w:after="0" w:line="360" w:lineRule="auto"/>
      </w:pPr>
    </w:p>
    <w:p w:rsidR="004A46D5" w:rsidRDefault="004A46D5">
      <w:pPr>
        <w:tabs>
          <w:tab w:val="left" w:pos="8931"/>
        </w:tabs>
        <w:spacing w:after="0" w:line="360" w:lineRule="auto"/>
      </w:pPr>
    </w:p>
    <w:p w:rsidR="004A46D5" w:rsidRDefault="004A46D5">
      <w:pPr>
        <w:tabs>
          <w:tab w:val="left" w:pos="8931"/>
        </w:tabs>
        <w:spacing w:after="0" w:line="360" w:lineRule="auto"/>
      </w:pPr>
    </w:p>
    <w:p w:rsidR="004F3A37" w:rsidRDefault="004F3A37">
      <w:pPr>
        <w:tabs>
          <w:tab w:val="left" w:pos="8931"/>
        </w:tabs>
        <w:spacing w:after="0" w:line="360" w:lineRule="auto"/>
      </w:pPr>
    </w:p>
    <w:p w:rsidR="004A46D5" w:rsidRDefault="00BD5DC1">
      <w:pPr>
        <w:tabs>
          <w:tab w:val="left" w:pos="8931"/>
        </w:tabs>
        <w:spacing w:after="0" w:line="360" w:lineRule="auto"/>
      </w:pPr>
      <w: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4A46D5" w:rsidRDefault="004A46D5">
      <w:pPr>
        <w:spacing w:after="0" w:line="360" w:lineRule="auto"/>
        <w:rPr>
          <w:b/>
        </w:rPr>
      </w:pPr>
    </w:p>
    <w:p w:rsidR="004A46D5" w:rsidRDefault="00BD5DC1">
      <w:pPr>
        <w:spacing w:after="0" w:line="360" w:lineRule="auto"/>
        <w:rPr>
          <w:color w:val="0D0D0D"/>
        </w:rPr>
      </w:pPr>
      <w:r>
        <w:rPr>
          <w:b/>
        </w:rPr>
        <w:t xml:space="preserve">VISTO </w:t>
      </w:r>
      <w:r>
        <w:t xml:space="preserve">el expediente electrónico conformado con motivo del Recurso de Revisión </w:t>
      </w:r>
      <w:r>
        <w:rPr>
          <w:b/>
        </w:rPr>
        <w:t>08276/INFOEM/IP/RR/2025</w:t>
      </w:r>
      <w:r>
        <w:t xml:space="preserve">, interpuesto por la persona </w:t>
      </w:r>
      <w:r>
        <w:rPr>
          <w:color w:val="0D0D0D"/>
        </w:rPr>
        <w:t xml:space="preserve">Recurrente o Particular, en contra de la respuesta del Sujeto Obligado, </w:t>
      </w:r>
      <w:r>
        <w:rPr>
          <w:b/>
          <w:color w:val="0D0D0D"/>
        </w:rPr>
        <w:t>Ayuntamiento de Toluca</w:t>
      </w:r>
      <w:r>
        <w:t>,</w:t>
      </w:r>
      <w:r>
        <w:rPr>
          <w:color w:val="0D0D0D"/>
        </w:rPr>
        <w:t xml:space="preserve"> a la solicitud de acceso a la información pública </w:t>
      </w:r>
      <w:r>
        <w:t>03106/TOLUCA/IP/2025</w:t>
      </w:r>
      <w:r>
        <w:rPr>
          <w:color w:val="000000"/>
        </w:rPr>
        <w:t xml:space="preserve">, </w:t>
      </w:r>
      <w:r>
        <w:rPr>
          <w:color w:val="0D0D0D"/>
        </w:rPr>
        <w:t>se emite la presente Resolución, con base en los Antecedentes y Considerandos que se exponen a continuación:</w:t>
      </w:r>
    </w:p>
    <w:p w:rsidR="004A46D5" w:rsidRDefault="004A46D5">
      <w:pPr>
        <w:spacing w:after="0" w:line="360" w:lineRule="auto"/>
        <w:rPr>
          <w:b/>
        </w:rPr>
      </w:pPr>
    </w:p>
    <w:p w:rsidR="004A46D5" w:rsidRDefault="00BD5DC1">
      <w:pPr>
        <w:pStyle w:val="Ttulo1"/>
        <w:spacing w:before="0" w:after="0" w:line="360" w:lineRule="auto"/>
        <w:jc w:val="center"/>
        <w:rPr>
          <w:sz w:val="22"/>
          <w:szCs w:val="22"/>
        </w:rPr>
      </w:pPr>
      <w:bookmarkStart w:id="0" w:name="_heading=h.9yf5mv3t87hl" w:colFirst="0" w:colLast="0"/>
      <w:bookmarkEnd w:id="0"/>
      <w:r>
        <w:rPr>
          <w:sz w:val="22"/>
          <w:szCs w:val="22"/>
        </w:rPr>
        <w:t>A N T E C E D E N T E S</w:t>
      </w:r>
    </w:p>
    <w:p w:rsidR="004A46D5" w:rsidRDefault="004A46D5">
      <w:pPr>
        <w:spacing w:after="0" w:line="360" w:lineRule="auto"/>
        <w:jc w:val="center"/>
        <w:rPr>
          <w:b/>
        </w:rPr>
      </w:pPr>
    </w:p>
    <w:p w:rsidR="004A46D5" w:rsidRDefault="00BD5DC1">
      <w:pPr>
        <w:pStyle w:val="Ttulo2"/>
        <w:spacing w:before="0" w:after="0" w:line="360" w:lineRule="auto"/>
        <w:rPr>
          <w:sz w:val="22"/>
          <w:szCs w:val="22"/>
        </w:rPr>
      </w:pPr>
      <w:bookmarkStart w:id="1" w:name="_heading=h.1xfr2z4qd4h3" w:colFirst="0" w:colLast="0"/>
      <w:bookmarkEnd w:id="1"/>
      <w:r>
        <w:rPr>
          <w:sz w:val="22"/>
          <w:szCs w:val="22"/>
        </w:rPr>
        <w:t>I. Presentación de la solicitud de información</w:t>
      </w:r>
    </w:p>
    <w:p w:rsidR="004A46D5" w:rsidRDefault="004A46D5">
      <w:pPr>
        <w:tabs>
          <w:tab w:val="left" w:pos="567"/>
        </w:tabs>
        <w:spacing w:after="0" w:line="360" w:lineRule="auto"/>
      </w:pPr>
    </w:p>
    <w:p w:rsidR="004A46D5" w:rsidRDefault="00BD5DC1">
      <w:pPr>
        <w:spacing w:after="0" w:line="360" w:lineRule="auto"/>
      </w:pPr>
      <w:r>
        <w:t>El veintiocho de mayo de dos mil veinticinco, la persona Recurrente presentó una solicitud de acceso a la información pública, a través del Sistema de Acceso a la Información Mexiquense (SAIMEX), ante el Ayuntamiento de Toluca</w:t>
      </w:r>
      <w:r>
        <w:rPr>
          <w:color w:val="000000"/>
        </w:rPr>
        <w:t>,</w:t>
      </w:r>
      <w:r>
        <w:t xml:space="preserve"> en los siguientes términos: </w:t>
      </w:r>
    </w:p>
    <w:p w:rsidR="004A46D5" w:rsidRDefault="004A46D5">
      <w:pPr>
        <w:spacing w:after="0" w:line="360" w:lineRule="auto"/>
      </w:pPr>
    </w:p>
    <w:p w:rsidR="004A46D5" w:rsidRDefault="00BD5DC1">
      <w:pPr>
        <w:tabs>
          <w:tab w:val="left" w:pos="4667"/>
        </w:tabs>
        <w:spacing w:after="0" w:line="360" w:lineRule="auto"/>
        <w:ind w:left="567" w:right="567"/>
        <w:rPr>
          <w:b/>
          <w:i/>
          <w:sz w:val="20"/>
          <w:szCs w:val="20"/>
        </w:rPr>
      </w:pPr>
      <w:r>
        <w:rPr>
          <w:b/>
          <w:i/>
          <w:sz w:val="20"/>
          <w:szCs w:val="20"/>
        </w:rPr>
        <w:t>“DESCRIPCIÓN CLARA Y PRECISA DE LA INFORMACIÓN SOLICITADA</w:t>
      </w:r>
    </w:p>
    <w:p w:rsidR="004A46D5" w:rsidRDefault="00BD5DC1">
      <w:pPr>
        <w:tabs>
          <w:tab w:val="left" w:pos="4667"/>
        </w:tabs>
        <w:spacing w:after="0" w:line="360" w:lineRule="auto"/>
        <w:ind w:left="567" w:right="567"/>
        <w:rPr>
          <w:i/>
          <w:sz w:val="20"/>
          <w:szCs w:val="20"/>
        </w:rPr>
      </w:pPr>
      <w:proofErr w:type="gramStart"/>
      <w:r>
        <w:rPr>
          <w:i/>
          <w:sz w:val="20"/>
          <w:szCs w:val="20"/>
        </w:rPr>
        <w:t>solicito</w:t>
      </w:r>
      <w:proofErr w:type="gramEnd"/>
      <w:r>
        <w:rPr>
          <w:i/>
          <w:sz w:val="20"/>
          <w:szCs w:val="20"/>
        </w:rPr>
        <w:t xml:space="preserve"> </w:t>
      </w:r>
      <w:proofErr w:type="spellStart"/>
      <w:r>
        <w:rPr>
          <w:i/>
          <w:sz w:val="20"/>
          <w:szCs w:val="20"/>
        </w:rPr>
        <w:t>via</w:t>
      </w:r>
      <w:proofErr w:type="spellEnd"/>
      <w:r>
        <w:rPr>
          <w:i/>
          <w:sz w:val="20"/>
          <w:szCs w:val="20"/>
        </w:rPr>
        <w:t xml:space="preserve"> </w:t>
      </w:r>
      <w:proofErr w:type="spellStart"/>
      <w:r>
        <w:rPr>
          <w:i/>
          <w:sz w:val="20"/>
          <w:szCs w:val="20"/>
        </w:rPr>
        <w:t>saimex</w:t>
      </w:r>
      <w:proofErr w:type="spellEnd"/>
      <w:r>
        <w:rPr>
          <w:i/>
          <w:sz w:val="20"/>
          <w:szCs w:val="20"/>
        </w:rPr>
        <w:t xml:space="preserve"> la cuenta </w:t>
      </w:r>
      <w:proofErr w:type="spellStart"/>
      <w:r>
        <w:rPr>
          <w:i/>
          <w:sz w:val="20"/>
          <w:szCs w:val="20"/>
        </w:rPr>
        <w:t>publica</w:t>
      </w:r>
      <w:proofErr w:type="spellEnd"/>
      <w:r>
        <w:rPr>
          <w:i/>
          <w:sz w:val="20"/>
          <w:szCs w:val="20"/>
        </w:rPr>
        <w:t xml:space="preserve"> entregada a OSFEM DEL EJERCICIO 2024” (Sic.) </w:t>
      </w:r>
    </w:p>
    <w:p w:rsidR="004A46D5" w:rsidRDefault="004A46D5">
      <w:pPr>
        <w:tabs>
          <w:tab w:val="left" w:pos="4667"/>
        </w:tabs>
        <w:spacing w:after="0" w:line="360" w:lineRule="auto"/>
        <w:ind w:left="567" w:right="567"/>
        <w:rPr>
          <w:b/>
          <w:i/>
          <w:sz w:val="20"/>
          <w:szCs w:val="20"/>
        </w:rPr>
      </w:pPr>
    </w:p>
    <w:p w:rsidR="004A46D5" w:rsidRDefault="00BD5DC1">
      <w:pPr>
        <w:tabs>
          <w:tab w:val="left" w:pos="4667"/>
        </w:tabs>
        <w:spacing w:after="0" w:line="360" w:lineRule="auto"/>
        <w:ind w:left="567" w:right="567"/>
        <w:rPr>
          <w:b/>
          <w:i/>
          <w:sz w:val="20"/>
          <w:szCs w:val="20"/>
        </w:rPr>
      </w:pPr>
      <w:r>
        <w:rPr>
          <w:b/>
          <w:i/>
          <w:sz w:val="20"/>
          <w:szCs w:val="20"/>
        </w:rPr>
        <w:t>“MODALIDAD DE ENTREGA</w:t>
      </w:r>
    </w:p>
    <w:p w:rsidR="004A46D5" w:rsidRDefault="00BD5DC1">
      <w:pPr>
        <w:spacing w:after="0" w:line="360" w:lineRule="auto"/>
        <w:ind w:left="567" w:right="567"/>
        <w:rPr>
          <w:i/>
          <w:sz w:val="20"/>
          <w:szCs w:val="20"/>
        </w:rPr>
      </w:pPr>
      <w:r>
        <w:rPr>
          <w:i/>
          <w:sz w:val="20"/>
          <w:szCs w:val="20"/>
        </w:rPr>
        <w:t>A través del SAIMEX”</w:t>
      </w:r>
    </w:p>
    <w:p w:rsidR="004A46D5" w:rsidRDefault="004A46D5">
      <w:pPr>
        <w:spacing w:after="0" w:line="360" w:lineRule="auto"/>
        <w:ind w:left="567" w:right="567"/>
        <w:rPr>
          <w:i/>
          <w:sz w:val="20"/>
          <w:szCs w:val="20"/>
        </w:rPr>
      </w:pPr>
    </w:p>
    <w:p w:rsidR="004A46D5" w:rsidRDefault="00BD5DC1">
      <w:pPr>
        <w:pStyle w:val="Ttulo2"/>
        <w:spacing w:before="0" w:after="0" w:line="360" w:lineRule="auto"/>
        <w:rPr>
          <w:sz w:val="22"/>
          <w:szCs w:val="22"/>
        </w:rPr>
      </w:pPr>
      <w:bookmarkStart w:id="2" w:name="_heading=h.yr18of69axsp" w:colFirst="0" w:colLast="0"/>
      <w:bookmarkEnd w:id="2"/>
      <w:r>
        <w:rPr>
          <w:sz w:val="22"/>
          <w:szCs w:val="22"/>
        </w:rPr>
        <w:t>II. Respuesta del Sujeto Obligado</w:t>
      </w:r>
    </w:p>
    <w:p w:rsidR="004A46D5" w:rsidRDefault="004A46D5">
      <w:pPr>
        <w:spacing w:after="0" w:line="360" w:lineRule="auto"/>
        <w:rPr>
          <w:b/>
        </w:rPr>
      </w:pPr>
    </w:p>
    <w:p w:rsidR="004A46D5" w:rsidRDefault="00BD5DC1">
      <w:pPr>
        <w:spacing w:after="0" w:line="360" w:lineRule="auto"/>
      </w:pPr>
      <w:r>
        <w:lastRenderedPageBreak/>
        <w:t xml:space="preserve">El diecisiete de junio de dos mil veinticinco, el Sujeto Obligado notificó, a través del Sistema de Acceso a la Información Mexiquense (SAIMEX), la respuesta a la solicitud de acceso a la información pública, a través del documento siguiente: </w:t>
      </w:r>
    </w:p>
    <w:p w:rsidR="004A46D5" w:rsidRDefault="004A46D5">
      <w:pPr>
        <w:spacing w:after="0" w:line="360" w:lineRule="auto"/>
      </w:pPr>
    </w:p>
    <w:p w:rsidR="004A46D5" w:rsidRDefault="00BD5DC1">
      <w:pPr>
        <w:spacing w:after="0" w:line="360" w:lineRule="auto"/>
      </w:pPr>
      <w:r>
        <w:t>i. Oficio número 202010000, del veintinueve de mayo de dos mil veinticinco, suscrito por el Tesorero Municipal y dirigido al Solicitante, por medio del cual mencionó lo siguiente:</w:t>
      </w:r>
    </w:p>
    <w:p w:rsidR="004A46D5" w:rsidRDefault="004A46D5">
      <w:pPr>
        <w:spacing w:after="0" w:line="360" w:lineRule="auto"/>
        <w:rPr>
          <w:i/>
        </w:rPr>
      </w:pPr>
    </w:p>
    <w:p w:rsidR="004A46D5" w:rsidRDefault="00BD5DC1">
      <w:pPr>
        <w:spacing w:after="0" w:line="360" w:lineRule="auto"/>
        <w:ind w:left="360" w:right="426"/>
        <w:rPr>
          <w:i/>
          <w:sz w:val="20"/>
          <w:szCs w:val="20"/>
        </w:rPr>
      </w:pPr>
      <w:r>
        <w:rPr>
          <w:i/>
          <w:sz w:val="20"/>
          <w:szCs w:val="20"/>
        </w:rPr>
        <w:t xml:space="preserve">“… </w:t>
      </w:r>
    </w:p>
    <w:p w:rsidR="004A46D5" w:rsidRDefault="00BD5DC1">
      <w:pPr>
        <w:spacing w:after="0" w:line="360" w:lineRule="auto"/>
        <w:ind w:left="360" w:right="426"/>
        <w:rPr>
          <w:i/>
          <w:sz w:val="20"/>
          <w:szCs w:val="20"/>
        </w:rPr>
      </w:pPr>
      <w:r>
        <w:rPr>
          <w:i/>
          <w:sz w:val="20"/>
          <w:szCs w:val="20"/>
        </w:rPr>
        <w:t>Conforme a lo dispuesto por los artículos 125 de la Constitución Política del Estado Libre y Soberano de México; 8 fracción XIV y 46 de la Ley de Fiscalización Superior del Estado de México; 3 fracción XLI, 11, 12, 24 último párrafo, 59 fracciones I, II y III de la Ley de Transparencia y Acceso a la Información Pública del Estado de México y Municipios; 3.21 y 3.22 del Código Reglamentario Municipal de Toluca y numeral 202010000 del Manual de Organización de la Tesorería Municipal; con el fin de garantizar el derecho de acceso a la información pública de la persona solicitante, se anexa la liga de la información:</w:t>
      </w:r>
    </w:p>
    <w:p w:rsidR="004A46D5" w:rsidRDefault="004A46D5">
      <w:pPr>
        <w:spacing w:after="0" w:line="360" w:lineRule="auto"/>
        <w:ind w:left="360" w:right="426"/>
        <w:rPr>
          <w:i/>
          <w:sz w:val="20"/>
          <w:szCs w:val="20"/>
        </w:rPr>
      </w:pPr>
    </w:p>
    <w:p w:rsidR="004A46D5" w:rsidRDefault="00CD006C">
      <w:pPr>
        <w:spacing w:after="0" w:line="360" w:lineRule="auto"/>
        <w:ind w:left="360" w:right="426"/>
        <w:rPr>
          <w:i/>
          <w:sz w:val="20"/>
          <w:szCs w:val="20"/>
        </w:rPr>
      </w:pPr>
      <w:hyperlink r:id="rId8">
        <w:r w:rsidR="00BD5DC1">
          <w:rPr>
            <w:i/>
            <w:color w:val="0000FF"/>
            <w:sz w:val="20"/>
            <w:szCs w:val="20"/>
            <w:u w:val="single"/>
          </w:rPr>
          <w:t>https://www2.toluca.gob.mx/cuentapublica2024/</w:t>
        </w:r>
      </w:hyperlink>
    </w:p>
    <w:p w:rsidR="004A46D5" w:rsidRDefault="00BD5DC1">
      <w:pPr>
        <w:spacing w:after="0" w:line="360" w:lineRule="auto"/>
        <w:ind w:left="360" w:right="426"/>
        <w:rPr>
          <w:i/>
          <w:sz w:val="20"/>
          <w:szCs w:val="20"/>
        </w:rPr>
      </w:pPr>
      <w:r>
        <w:rPr>
          <w:i/>
          <w:sz w:val="20"/>
          <w:szCs w:val="20"/>
        </w:rPr>
        <w:t>…”</w:t>
      </w:r>
    </w:p>
    <w:p w:rsidR="004A46D5" w:rsidRDefault="004A46D5">
      <w:pPr>
        <w:spacing w:after="0" w:line="360" w:lineRule="auto"/>
      </w:pPr>
    </w:p>
    <w:p w:rsidR="004A46D5" w:rsidRDefault="00BD5DC1">
      <w:pPr>
        <w:pStyle w:val="Ttulo2"/>
        <w:spacing w:before="0" w:after="0" w:line="360" w:lineRule="auto"/>
        <w:rPr>
          <w:sz w:val="22"/>
          <w:szCs w:val="22"/>
        </w:rPr>
      </w:pPr>
      <w:bookmarkStart w:id="3" w:name="_heading=h.fodnja5tlj" w:colFirst="0" w:colLast="0"/>
      <w:bookmarkEnd w:id="3"/>
      <w:r>
        <w:rPr>
          <w:sz w:val="22"/>
          <w:szCs w:val="22"/>
        </w:rPr>
        <w:t>III. Interposición del Recurso de Revisión</w:t>
      </w:r>
    </w:p>
    <w:p w:rsidR="004A46D5" w:rsidRDefault="004A46D5">
      <w:pPr>
        <w:spacing w:after="0" w:line="360" w:lineRule="auto"/>
        <w:rPr>
          <w:b/>
        </w:rPr>
      </w:pPr>
    </w:p>
    <w:p w:rsidR="004A46D5" w:rsidRDefault="00BD5DC1">
      <w:pPr>
        <w:spacing w:after="0" w:line="360" w:lineRule="auto"/>
      </w:pPr>
      <w:r>
        <w:t xml:space="preserve">El ocho de julio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 </w:t>
      </w:r>
    </w:p>
    <w:p w:rsidR="004A46D5" w:rsidRDefault="004A46D5">
      <w:pPr>
        <w:spacing w:after="0" w:line="360" w:lineRule="auto"/>
        <w:ind w:left="567" w:right="567"/>
        <w:rPr>
          <w:b/>
          <w:i/>
          <w:sz w:val="20"/>
          <w:szCs w:val="20"/>
        </w:rPr>
      </w:pPr>
    </w:p>
    <w:p w:rsidR="004A46D5" w:rsidRDefault="00BD5DC1">
      <w:pPr>
        <w:spacing w:after="0" w:line="360" w:lineRule="auto"/>
        <w:ind w:left="567" w:right="567"/>
        <w:rPr>
          <w:i/>
          <w:sz w:val="20"/>
          <w:szCs w:val="20"/>
        </w:rPr>
      </w:pPr>
      <w:r>
        <w:rPr>
          <w:b/>
          <w:i/>
          <w:sz w:val="20"/>
          <w:szCs w:val="20"/>
        </w:rPr>
        <w:t>‘’ACTO IMPUGNADO</w:t>
      </w:r>
    </w:p>
    <w:p w:rsidR="004A46D5" w:rsidRDefault="00BD5DC1">
      <w:pPr>
        <w:spacing w:after="0" w:line="360" w:lineRule="auto"/>
        <w:ind w:left="567" w:right="567"/>
        <w:rPr>
          <w:i/>
          <w:sz w:val="20"/>
          <w:szCs w:val="20"/>
        </w:rPr>
      </w:pPr>
      <w:r>
        <w:rPr>
          <w:i/>
          <w:sz w:val="20"/>
          <w:szCs w:val="20"/>
        </w:rPr>
        <w:t>LA NEGATIVA DE LA INFORMACIÓN Y ES PUBLICA”</w:t>
      </w:r>
    </w:p>
    <w:p w:rsidR="004A46D5" w:rsidRDefault="004A46D5">
      <w:pPr>
        <w:spacing w:after="0" w:line="360" w:lineRule="auto"/>
        <w:ind w:left="567" w:right="567"/>
        <w:rPr>
          <w:i/>
          <w:sz w:val="20"/>
          <w:szCs w:val="20"/>
        </w:rPr>
      </w:pPr>
    </w:p>
    <w:p w:rsidR="004A46D5" w:rsidRDefault="00BD5DC1">
      <w:pPr>
        <w:spacing w:after="0" w:line="360" w:lineRule="auto"/>
        <w:ind w:left="567" w:right="567"/>
        <w:rPr>
          <w:b/>
          <w:i/>
          <w:sz w:val="20"/>
          <w:szCs w:val="20"/>
        </w:rPr>
      </w:pPr>
      <w:r>
        <w:rPr>
          <w:b/>
          <w:i/>
          <w:sz w:val="20"/>
          <w:szCs w:val="20"/>
        </w:rPr>
        <w:t>‘’RAZONES O MOTIVOS DE LA INCONFORMIDAD</w:t>
      </w:r>
    </w:p>
    <w:p w:rsidR="004A46D5" w:rsidRDefault="00BD5DC1">
      <w:pPr>
        <w:spacing w:after="0" w:line="360" w:lineRule="auto"/>
        <w:ind w:left="567" w:right="567"/>
        <w:rPr>
          <w:i/>
          <w:sz w:val="20"/>
          <w:szCs w:val="20"/>
        </w:rPr>
      </w:pPr>
      <w:r>
        <w:rPr>
          <w:i/>
          <w:sz w:val="20"/>
          <w:szCs w:val="20"/>
        </w:rPr>
        <w:t xml:space="preserve">LA NEGATIVA DE LA INFORMACIÓN Y ES PUBLICA” </w:t>
      </w:r>
    </w:p>
    <w:p w:rsidR="004A46D5" w:rsidRDefault="004A46D5">
      <w:pPr>
        <w:spacing w:after="0" w:line="360" w:lineRule="auto"/>
        <w:ind w:right="567"/>
        <w:rPr>
          <w:i/>
          <w:sz w:val="20"/>
          <w:szCs w:val="20"/>
        </w:rPr>
      </w:pPr>
    </w:p>
    <w:p w:rsidR="004A46D5" w:rsidRDefault="00BD5DC1">
      <w:pPr>
        <w:pStyle w:val="Ttulo2"/>
        <w:spacing w:before="0" w:after="0" w:line="360" w:lineRule="auto"/>
        <w:rPr>
          <w:sz w:val="22"/>
          <w:szCs w:val="22"/>
        </w:rPr>
      </w:pPr>
      <w:bookmarkStart w:id="4" w:name="_heading=h.n1o4sdnashrc" w:colFirst="0" w:colLast="0"/>
      <w:bookmarkEnd w:id="4"/>
      <w:r>
        <w:rPr>
          <w:sz w:val="22"/>
          <w:szCs w:val="22"/>
        </w:rPr>
        <w:t>IV. Trámite del Recurso de Revisión ante este Instituto</w:t>
      </w:r>
    </w:p>
    <w:p w:rsidR="004A46D5" w:rsidRDefault="004A46D5">
      <w:pPr>
        <w:spacing w:after="0" w:line="360" w:lineRule="auto"/>
        <w:rPr>
          <w:b/>
        </w:rPr>
      </w:pPr>
    </w:p>
    <w:p w:rsidR="004A46D5" w:rsidRDefault="00BD5DC1">
      <w:pPr>
        <w:spacing w:after="0" w:line="360" w:lineRule="auto"/>
      </w:pPr>
      <w:r>
        <w:rPr>
          <w:b/>
        </w:rPr>
        <w:t>a) Turno del Medio de Impugnación.</w:t>
      </w:r>
      <w:r>
        <w:t xml:space="preserve"> El ocho de julio de dos mil veinticinco, el Sistema de Acceso a la Información Mexiquense (SAIMEX), asignó el número de expediente </w:t>
      </w:r>
      <w:r>
        <w:rPr>
          <w:b/>
        </w:rPr>
        <w:t>08276/INFOEM/IP/RR/2025</w:t>
      </w:r>
      <w: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rsidR="004A46D5" w:rsidRDefault="004A46D5">
      <w:pPr>
        <w:spacing w:after="0" w:line="360" w:lineRule="auto"/>
        <w:rPr>
          <w:b/>
        </w:rPr>
      </w:pPr>
    </w:p>
    <w:p w:rsidR="004A46D5" w:rsidRDefault="00BD5DC1">
      <w:pPr>
        <w:spacing w:after="0" w:line="360" w:lineRule="auto"/>
      </w:pPr>
      <w:r>
        <w:rPr>
          <w:b/>
        </w:rPr>
        <w:t xml:space="preserve">b) Admisión del Recurso de Revisión. </w:t>
      </w:r>
      <w:r>
        <w:t>El once de julio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4A46D5" w:rsidRDefault="004A46D5">
      <w:pPr>
        <w:spacing w:after="0" w:line="360" w:lineRule="auto"/>
      </w:pPr>
    </w:p>
    <w:p w:rsidR="004A46D5" w:rsidRDefault="00BD5DC1">
      <w:pPr>
        <w:spacing w:after="0" w:line="360" w:lineRule="auto"/>
      </w:pPr>
      <w:bookmarkStart w:id="5" w:name="_heading=h.ccx9akgklizg" w:colFirst="0" w:colLast="0"/>
      <w:bookmarkEnd w:id="5"/>
      <w:r>
        <w:rPr>
          <w:b/>
        </w:rPr>
        <w:t xml:space="preserve">c) Informe Justificado. </w:t>
      </w:r>
      <w:r>
        <w:t xml:space="preserve">El cinco de agosto de dos mil veinticinco, se recibió, a través del Sistema de Acceso a la Información Mexiquense (SAIMEX), el Informe Justificado del Sujeto Obligado, a través de un oficio sin número, de la misma fecha de recepción, suscrito por el Titular de la Unidad de Transparencia y dirigido al Comisionado Ponente, por medio del cual ratificó su respuesta, tal como se muestra a continuación: </w:t>
      </w:r>
    </w:p>
    <w:p w:rsidR="004A46D5" w:rsidRDefault="00BD5DC1">
      <w:pPr>
        <w:spacing w:after="0" w:line="360" w:lineRule="auto"/>
        <w:jc w:val="center"/>
      </w:pPr>
      <w:r>
        <w:rPr>
          <w:noProof/>
        </w:rPr>
        <w:lastRenderedPageBreak/>
        <w:drawing>
          <wp:inline distT="0" distB="0" distL="0" distR="0">
            <wp:extent cx="3707473" cy="1356210"/>
            <wp:effectExtent l="0" t="0" r="0" b="0"/>
            <wp:docPr id="1891184533" name="image2.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exto&#10;&#10;El contenido generado por IA puede ser incorrecto."/>
                    <pic:cNvPicPr preferRelativeResize="0"/>
                  </pic:nvPicPr>
                  <pic:blipFill>
                    <a:blip r:embed="rId9"/>
                    <a:srcRect/>
                    <a:stretch>
                      <a:fillRect/>
                    </a:stretch>
                  </pic:blipFill>
                  <pic:spPr>
                    <a:xfrm>
                      <a:off x="0" y="0"/>
                      <a:ext cx="3707473" cy="1356210"/>
                    </a:xfrm>
                    <a:prstGeom prst="rect">
                      <a:avLst/>
                    </a:prstGeom>
                    <a:ln/>
                  </pic:spPr>
                </pic:pic>
              </a:graphicData>
            </a:graphic>
          </wp:inline>
        </w:drawing>
      </w:r>
    </w:p>
    <w:p w:rsidR="004A46D5" w:rsidRDefault="004A46D5">
      <w:pPr>
        <w:spacing w:after="0" w:line="360" w:lineRule="auto"/>
      </w:pPr>
    </w:p>
    <w:p w:rsidR="004A46D5" w:rsidRDefault="00BD5DC1">
      <w:pPr>
        <w:spacing w:after="0" w:line="360" w:lineRule="auto"/>
        <w:rPr>
          <w:b/>
        </w:rPr>
      </w:pPr>
      <w:r>
        <w:rPr>
          <w:b/>
          <w:color w:val="000000"/>
        </w:rPr>
        <w:t>d) Vista del Informe Justificado.</w:t>
      </w:r>
      <w:r>
        <w:t xml:space="preserve"> El quince de octubre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Pr>
          <w:b/>
        </w:rPr>
        <w:t>Cabe señalar que el Particular fue omiso en realizar manifestación alguna.</w:t>
      </w:r>
    </w:p>
    <w:p w:rsidR="004A46D5" w:rsidRDefault="004A46D5">
      <w:pPr>
        <w:spacing w:after="0" w:line="360" w:lineRule="auto"/>
      </w:pPr>
    </w:p>
    <w:p w:rsidR="004A46D5" w:rsidRDefault="00BD5DC1">
      <w:pPr>
        <w:spacing w:after="0" w:line="360" w:lineRule="auto"/>
      </w:pPr>
      <w:r>
        <w:rPr>
          <w:b/>
        </w:rPr>
        <w:t xml:space="preserve">e) Ampliación de plazo para resolver. </w:t>
      </w:r>
      <w:r>
        <w:t>El dieciséis de octubre de dos mil veinticinco, el Comisionado Ponente, con fundamento en lo dispuesto por el artículo 181, párrafo tercero, de la Ley de Transparencia y Acceso a la Información Pública del Estado de México y Municipios, acordó ampliar por un plazo razonable, el plazo para resolver el Recurso de Revisión que nos ocupa; acto que fue notificado a las partes el mismo día, mediante el Sistema de Acceso a la Información Mexiquense (SAIMEX).</w:t>
      </w:r>
    </w:p>
    <w:p w:rsidR="004A46D5" w:rsidRDefault="004A46D5">
      <w:pPr>
        <w:spacing w:after="0" w:line="360" w:lineRule="auto"/>
      </w:pPr>
    </w:p>
    <w:p w:rsidR="004A46D5" w:rsidRDefault="00BD5DC1">
      <w:pPr>
        <w:spacing w:after="0" w:line="360" w:lineRule="auto"/>
      </w:pPr>
      <w:r>
        <w:rPr>
          <w:b/>
        </w:rPr>
        <w:t>f) Cierre de instrucción.</w:t>
      </w:r>
      <w:r>
        <w:t xml:space="preserve"> El veintitrés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rsidR="004A46D5" w:rsidRDefault="004A46D5">
      <w:pPr>
        <w:spacing w:after="0" w:line="360" w:lineRule="auto"/>
      </w:pPr>
    </w:p>
    <w:p w:rsidR="004A46D5" w:rsidRDefault="00BD5DC1">
      <w:pPr>
        <w:spacing w:after="0" w:line="360" w:lineRule="auto"/>
        <w:rPr>
          <w:color w:val="000000"/>
        </w:rPr>
      </w:pPr>
      <w:r>
        <w:rPr>
          <w:color w:val="000000"/>
        </w:rPr>
        <w:lastRenderedPageBreak/>
        <w:t>En razón de que fue debidamente sustanciado e integrado el expediente electrónico y no existe diligencia pendiente de desahogo, se emite la resolución que conforme a Derecho proceda, de acuerdo a los siguientes:</w:t>
      </w:r>
    </w:p>
    <w:p w:rsidR="004A46D5" w:rsidRDefault="004A46D5">
      <w:pPr>
        <w:spacing w:after="0" w:line="360" w:lineRule="auto"/>
      </w:pPr>
    </w:p>
    <w:p w:rsidR="004A46D5" w:rsidRDefault="00BD5DC1">
      <w:pPr>
        <w:pStyle w:val="Ttulo1"/>
        <w:spacing w:before="0" w:after="0" w:line="360" w:lineRule="auto"/>
        <w:jc w:val="center"/>
        <w:rPr>
          <w:sz w:val="22"/>
          <w:szCs w:val="22"/>
        </w:rPr>
      </w:pPr>
      <w:bookmarkStart w:id="6" w:name="_heading=h.pmis67h05682" w:colFirst="0" w:colLast="0"/>
      <w:bookmarkEnd w:id="6"/>
      <w:r>
        <w:rPr>
          <w:sz w:val="22"/>
          <w:szCs w:val="22"/>
        </w:rPr>
        <w:t>C O N S I D E R A N D O S</w:t>
      </w:r>
    </w:p>
    <w:p w:rsidR="004A46D5" w:rsidRDefault="004A46D5">
      <w:pPr>
        <w:spacing w:after="0" w:line="360" w:lineRule="auto"/>
        <w:jc w:val="center"/>
        <w:rPr>
          <w:b/>
          <w:color w:val="000000"/>
        </w:rPr>
      </w:pPr>
    </w:p>
    <w:p w:rsidR="004A46D5" w:rsidRDefault="00BD5DC1">
      <w:pPr>
        <w:pStyle w:val="Ttulo2"/>
        <w:spacing w:before="0" w:after="0" w:line="360" w:lineRule="auto"/>
        <w:rPr>
          <w:sz w:val="22"/>
          <w:szCs w:val="22"/>
        </w:rPr>
      </w:pPr>
      <w:bookmarkStart w:id="7" w:name="_heading=h.9nnzlc79cmfq" w:colFirst="0" w:colLast="0"/>
      <w:bookmarkEnd w:id="7"/>
      <w:r>
        <w:rPr>
          <w:sz w:val="22"/>
          <w:szCs w:val="22"/>
        </w:rPr>
        <w:t>PRIMERO. Competencia</w:t>
      </w:r>
    </w:p>
    <w:p w:rsidR="004A46D5" w:rsidRDefault="004A46D5">
      <w:pPr>
        <w:spacing w:after="0" w:line="360" w:lineRule="auto"/>
      </w:pPr>
      <w:bookmarkStart w:id="8" w:name="_heading=h.30j0zll" w:colFirst="0" w:colLast="0"/>
      <w:bookmarkEnd w:id="8"/>
    </w:p>
    <w:p w:rsidR="004A46D5" w:rsidRDefault="00BD5DC1">
      <w:pPr>
        <w:spacing w:after="0" w:line="360" w:lineRule="auto"/>
        <w:rPr>
          <w:color w:val="000000"/>
        </w:rPr>
      </w:pPr>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4A46D5" w:rsidRDefault="004A46D5">
      <w:pPr>
        <w:spacing w:after="0" w:line="360" w:lineRule="auto"/>
        <w:rPr>
          <w:b/>
          <w:color w:val="000000"/>
        </w:rPr>
      </w:pPr>
    </w:p>
    <w:p w:rsidR="004A46D5" w:rsidRDefault="00BD5DC1">
      <w:pPr>
        <w:pStyle w:val="Ttulo2"/>
        <w:spacing w:before="0" w:after="0" w:line="360" w:lineRule="auto"/>
        <w:rPr>
          <w:sz w:val="22"/>
          <w:szCs w:val="22"/>
        </w:rPr>
      </w:pPr>
      <w:bookmarkStart w:id="9" w:name="_heading=h.2l42vhn72sjj" w:colFirst="0" w:colLast="0"/>
      <w:bookmarkEnd w:id="9"/>
      <w:r>
        <w:rPr>
          <w:sz w:val="22"/>
          <w:szCs w:val="22"/>
        </w:rPr>
        <w:t>SEGUNDO. Causales de improcedencia y sobreseimiento</w:t>
      </w:r>
    </w:p>
    <w:p w:rsidR="004A46D5" w:rsidRDefault="004A46D5">
      <w:pPr>
        <w:spacing w:after="0" w:line="360" w:lineRule="auto"/>
        <w:rPr>
          <w:color w:val="000000"/>
        </w:rPr>
      </w:pPr>
    </w:p>
    <w:p w:rsidR="004A46D5" w:rsidRDefault="00BD5DC1">
      <w:pPr>
        <w:spacing w:after="0" w:line="360" w:lineRule="auto"/>
        <w:rPr>
          <w:color w:val="000000"/>
        </w:rPr>
      </w:pPr>
      <w:r>
        <w:rPr>
          <w:color w:val="000000"/>
        </w:rPr>
        <w:t xml:space="preserve">De las constancias que forma parte del Recurso de Revisión que se analiza, se advierte que previo al estudio del fondo de la </w:t>
      </w:r>
      <w:proofErr w:type="spellStart"/>
      <w:r>
        <w:rPr>
          <w:i/>
          <w:color w:val="000000"/>
        </w:rPr>
        <w:t>litis</w:t>
      </w:r>
      <w:proofErr w:type="spellEnd"/>
      <w:r>
        <w:rPr>
          <w:color w:val="000000"/>
        </w:rPr>
        <w:t>, es necesario estudiar las causales de improcedencia y sobreseimiento que se adviertan, para determinar lo que en Derecho proceda.</w:t>
      </w:r>
    </w:p>
    <w:p w:rsidR="004A46D5" w:rsidRDefault="004A46D5">
      <w:pPr>
        <w:spacing w:after="0" w:line="360" w:lineRule="auto"/>
        <w:rPr>
          <w:color w:val="000000"/>
        </w:rPr>
      </w:pPr>
    </w:p>
    <w:p w:rsidR="004A46D5" w:rsidRDefault="00BD5DC1">
      <w:pPr>
        <w:spacing w:after="0" w:line="360" w:lineRule="auto"/>
        <w:rPr>
          <w:b/>
        </w:rPr>
      </w:pPr>
      <w:r>
        <w:rPr>
          <w:b/>
        </w:rPr>
        <w:t>Causales de improcedencia</w:t>
      </w:r>
    </w:p>
    <w:p w:rsidR="004A46D5" w:rsidRDefault="004A46D5">
      <w:pPr>
        <w:spacing w:after="0" w:line="360" w:lineRule="auto"/>
        <w:rPr>
          <w:b/>
        </w:rPr>
      </w:pPr>
    </w:p>
    <w:p w:rsidR="004A46D5" w:rsidRDefault="00BD5DC1">
      <w:pPr>
        <w:spacing w:after="0" w:line="360" w:lineRule="auto"/>
        <w:rPr>
          <w:color w:val="000000"/>
        </w:rPr>
      </w:pPr>
      <w:r>
        <w:rPr>
          <w:color w:val="000000"/>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4A46D5" w:rsidRDefault="004A46D5">
      <w:pPr>
        <w:spacing w:after="0" w:line="360" w:lineRule="auto"/>
        <w:rPr>
          <w:color w:val="000000"/>
        </w:rPr>
      </w:pPr>
    </w:p>
    <w:p w:rsidR="004A46D5" w:rsidRDefault="00BD5DC1">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rsidR="004A46D5" w:rsidRDefault="004A46D5">
      <w:pPr>
        <w:spacing w:after="0" w:line="360" w:lineRule="auto"/>
        <w:rPr>
          <w:color w:val="000000"/>
        </w:rPr>
      </w:pPr>
    </w:p>
    <w:p w:rsidR="004A46D5" w:rsidRDefault="00BD5DC1">
      <w:pPr>
        <w:spacing w:after="0" w:line="360" w:lineRule="auto"/>
      </w:pPr>
      <w:r>
        <w:t>Por lo cual, se actualiza la causal de procedencia del Recurso de Revisión señalada en el artículo 179, fracción VI, de la Ley en cita, pues la persona Recurrente se inconformó con la entrega de información que no corresponde con lo solicitado.</w:t>
      </w:r>
    </w:p>
    <w:p w:rsidR="004A46D5" w:rsidRDefault="004A46D5">
      <w:pPr>
        <w:spacing w:after="0" w:line="360" w:lineRule="auto"/>
      </w:pPr>
    </w:p>
    <w:p w:rsidR="004A46D5" w:rsidRDefault="00BD5DC1">
      <w:pPr>
        <w:spacing w:after="0" w:line="360" w:lineRule="auto"/>
        <w:rPr>
          <w:color w:val="0D0D0D"/>
        </w:rPr>
      </w:pPr>
      <w:r>
        <w:rPr>
          <w:b/>
          <w:color w:val="0D0D0D"/>
        </w:rPr>
        <w:t>Causales de sobreseimiento</w:t>
      </w:r>
    </w:p>
    <w:p w:rsidR="004A46D5" w:rsidRDefault="004A46D5">
      <w:pPr>
        <w:spacing w:after="0" w:line="360" w:lineRule="auto"/>
        <w:rPr>
          <w:color w:val="0D0D0D"/>
        </w:rPr>
      </w:pPr>
    </w:p>
    <w:p w:rsidR="004A46D5" w:rsidRDefault="00BD5DC1">
      <w:pPr>
        <w:spacing w:after="0" w:line="360" w:lineRule="auto"/>
        <w:rPr>
          <w:color w:val="0D0D0D"/>
        </w:rPr>
      </w:pPr>
      <w:r>
        <w:rPr>
          <w:color w:val="0D0D0D"/>
        </w:rPr>
        <w:t>Por ser de previo y especial pronunciamiento, este Instituto analiza si se actualiza alguna causal de sobreseimiento.</w:t>
      </w:r>
    </w:p>
    <w:p w:rsidR="004A46D5" w:rsidRDefault="004A46D5">
      <w:pPr>
        <w:spacing w:after="0" w:line="360" w:lineRule="auto"/>
        <w:rPr>
          <w:color w:val="0D0D0D"/>
        </w:rPr>
      </w:pPr>
    </w:p>
    <w:p w:rsidR="004A46D5" w:rsidRDefault="00BD5DC1">
      <w:pPr>
        <w:spacing w:after="0" w:line="360" w:lineRule="auto"/>
        <w:rPr>
          <w:color w:val="000000"/>
        </w:rPr>
      </w:pPr>
      <w:r>
        <w:rPr>
          <w:color w:val="0D0D0D"/>
        </w:rPr>
        <w:t>Sobre el tema, e</w:t>
      </w:r>
      <w:r>
        <w:rPr>
          <w:color w:val="000000"/>
        </w:rPr>
        <w:t xml:space="preserve">l artículo 192 de la Ley Transparencia y Acceso a la Información Pública del Estado de México y Municipios, señala las causales por las cuales se puede sobreseer en todo </w:t>
      </w:r>
      <w:r>
        <w:rPr>
          <w:color w:val="000000"/>
        </w:rPr>
        <w:lastRenderedPageBreak/>
        <w:t>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rsidR="004A46D5" w:rsidRDefault="004A46D5">
      <w:pPr>
        <w:spacing w:after="0" w:line="360" w:lineRule="auto"/>
        <w:rPr>
          <w:color w:val="000000"/>
        </w:rPr>
      </w:pPr>
    </w:p>
    <w:p w:rsidR="004A46D5" w:rsidRDefault="00BD5DC1">
      <w:pPr>
        <w:spacing w:after="0" w:line="360" w:lineRule="auto"/>
        <w:rPr>
          <w:color w:val="0D0D0D"/>
        </w:rPr>
      </w:pPr>
      <w:r>
        <w:rPr>
          <w:color w:val="0D0D0D"/>
        </w:rPr>
        <w:t xml:space="preserve">Por tales motivos, se considera procedente entrar al fondo del presente asunto. </w:t>
      </w:r>
    </w:p>
    <w:p w:rsidR="004A46D5" w:rsidRDefault="004A46D5">
      <w:pPr>
        <w:spacing w:after="0" w:line="360" w:lineRule="auto"/>
        <w:rPr>
          <w:b/>
          <w:color w:val="000000"/>
        </w:rPr>
      </w:pPr>
    </w:p>
    <w:p w:rsidR="004A46D5" w:rsidRDefault="00BD5DC1">
      <w:pPr>
        <w:pStyle w:val="Ttulo2"/>
        <w:spacing w:before="0" w:after="0" w:line="360" w:lineRule="auto"/>
        <w:rPr>
          <w:sz w:val="22"/>
          <w:szCs w:val="22"/>
        </w:rPr>
      </w:pPr>
      <w:bookmarkStart w:id="10" w:name="_heading=h.kd4k12wad3vd" w:colFirst="0" w:colLast="0"/>
      <w:bookmarkEnd w:id="10"/>
      <w:r>
        <w:rPr>
          <w:sz w:val="22"/>
          <w:szCs w:val="22"/>
        </w:rPr>
        <w:t>TERCERO. Determinación de la Controversia</w:t>
      </w:r>
    </w:p>
    <w:p w:rsidR="004A46D5" w:rsidRDefault="004A46D5">
      <w:pPr>
        <w:spacing w:after="0" w:line="360" w:lineRule="auto"/>
        <w:rPr>
          <w:b/>
          <w:color w:val="000000"/>
        </w:rPr>
      </w:pPr>
    </w:p>
    <w:p w:rsidR="004A46D5" w:rsidRDefault="00BD5DC1">
      <w:pPr>
        <w:spacing w:after="0" w:line="360" w:lineRule="auto"/>
      </w:pPr>
      <w:r>
        <w:t xml:space="preserve">Con el objetivo de ilustrar la controversia planteada, resulta conveniente precisar, que una vez realizado el estudio de las constancias que integran el expediente en el que se actúa, se desprende que el Particular requirió, del ejercicio fiscal dos mil veinticuatro, los documentos que contengan la Cuenta Pública entregada al Órgano Superior de Fiscalización del Estado de México y Municipios. </w:t>
      </w:r>
    </w:p>
    <w:p w:rsidR="004A46D5" w:rsidRDefault="004A46D5">
      <w:pPr>
        <w:spacing w:after="0" w:line="360" w:lineRule="auto"/>
        <w:ind w:left="360"/>
      </w:pPr>
    </w:p>
    <w:p w:rsidR="004A46D5" w:rsidRDefault="00BD5DC1">
      <w:pPr>
        <w:spacing w:after="0" w:line="360" w:lineRule="auto"/>
      </w:pPr>
      <w:r>
        <w:rPr>
          <w:color w:val="000000"/>
        </w:rPr>
        <w:t>En respuesta, el Sujeto Obligado, a través de la Tesorería Municipal adjuntó una liga electrónica en formato cerrado para acceder a la Cuenta Pública del ejercicio fiscal dos mil veinticuatro</w:t>
      </w:r>
      <w:r>
        <w:rPr>
          <w:color w:val="000000"/>
          <w:sz w:val="24"/>
          <w:szCs w:val="24"/>
        </w:rPr>
        <w:t>;</w:t>
      </w:r>
      <w:r>
        <w:t xml:space="preserve"> ante dicha circunstancia, el Particular se inconformó de la entrega de información que no corresponde con lo solicitado, al precisar que le negaban información y es pública, lo cual actualiza la causal de procedencia prevista en la fracción VI, del artículo 179 de la Ley de Transparencia y Acceso a la Información Pública del Estado de México y Municipios</w:t>
      </w:r>
      <w:r>
        <w:rPr>
          <w:color w:val="0D0D0D"/>
        </w:rPr>
        <w:t xml:space="preserve">. </w:t>
      </w:r>
      <w:r>
        <w:t>Así, las cosas, una vez admitido y notificado el Recurso de Revisión a las partes, el Sujeto Obligado ratificó su respuesta.</w:t>
      </w:r>
    </w:p>
    <w:p w:rsidR="004A46D5" w:rsidRDefault="004A46D5">
      <w:pPr>
        <w:spacing w:after="0" w:line="360" w:lineRule="auto"/>
        <w:ind w:right="567"/>
        <w:rPr>
          <w:i/>
          <w:sz w:val="20"/>
          <w:szCs w:val="20"/>
        </w:rPr>
      </w:pPr>
    </w:p>
    <w:p w:rsidR="004A46D5" w:rsidRDefault="00BD5DC1">
      <w:pPr>
        <w:tabs>
          <w:tab w:val="left" w:pos="4962"/>
        </w:tabs>
        <w:spacing w:after="0" w:line="360" w:lineRule="auto"/>
      </w:pPr>
      <w:r>
        <w:lastRenderedPageBreak/>
        <w:t xml:space="preserve">Lo anterior, se desprende de las documentales que obran en el expediente de referencia, materia de la presente resolución, consistente en: la solicitud de acceso a la información, el escrito </w:t>
      </w:r>
      <w:proofErr w:type="spellStart"/>
      <w:r>
        <w:t>recursal</w:t>
      </w:r>
      <w:proofErr w:type="spellEnd"/>
      <w: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004A46D5" w:rsidRDefault="004A46D5">
      <w:pPr>
        <w:pStyle w:val="Ttulo2"/>
        <w:spacing w:before="0" w:after="0" w:line="360" w:lineRule="auto"/>
        <w:rPr>
          <w:sz w:val="22"/>
          <w:szCs w:val="22"/>
        </w:rPr>
      </w:pPr>
    </w:p>
    <w:p w:rsidR="004A46D5" w:rsidRDefault="00BD5DC1">
      <w:pPr>
        <w:pStyle w:val="Ttulo2"/>
        <w:spacing w:before="0" w:after="0" w:line="360" w:lineRule="auto"/>
        <w:rPr>
          <w:sz w:val="22"/>
          <w:szCs w:val="22"/>
        </w:rPr>
      </w:pPr>
      <w:bookmarkStart w:id="11" w:name="_heading=h.ansfhlizgwpz" w:colFirst="0" w:colLast="0"/>
      <w:bookmarkEnd w:id="11"/>
      <w:r>
        <w:rPr>
          <w:sz w:val="22"/>
          <w:szCs w:val="22"/>
        </w:rPr>
        <w:t>CUARTO. Marco normativo aplicable en materia de transparencia y acceso a la información pública</w:t>
      </w:r>
    </w:p>
    <w:p w:rsidR="004A46D5" w:rsidRDefault="004A46D5">
      <w:pPr>
        <w:spacing w:after="0" w:line="360" w:lineRule="auto"/>
        <w:rPr>
          <w:color w:val="000000"/>
        </w:rPr>
      </w:pPr>
    </w:p>
    <w:p w:rsidR="004A46D5" w:rsidRDefault="00BD5DC1">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4A46D5" w:rsidRDefault="004A46D5">
      <w:pPr>
        <w:spacing w:after="0" w:line="360" w:lineRule="auto"/>
        <w:rPr>
          <w:color w:val="000000"/>
        </w:rPr>
      </w:pPr>
    </w:p>
    <w:p w:rsidR="004A46D5" w:rsidRDefault="00BD5DC1">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4A46D5" w:rsidRDefault="004A46D5">
      <w:pPr>
        <w:spacing w:after="0" w:line="360" w:lineRule="auto"/>
        <w:rPr>
          <w:color w:val="000000"/>
        </w:rPr>
      </w:pPr>
    </w:p>
    <w:p w:rsidR="004A46D5" w:rsidRDefault="00BD5DC1">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rsidR="004A46D5" w:rsidRDefault="004A46D5">
      <w:pPr>
        <w:spacing w:after="0" w:line="360" w:lineRule="auto"/>
        <w:rPr>
          <w:color w:val="000000"/>
        </w:rPr>
      </w:pPr>
    </w:p>
    <w:p w:rsidR="004A46D5" w:rsidRDefault="00BD5DC1">
      <w:pPr>
        <w:spacing w:after="0" w:line="360" w:lineRule="auto"/>
        <w:rPr>
          <w:color w:val="000000"/>
        </w:rPr>
      </w:pPr>
      <w:r>
        <w:rPr>
          <w:color w:val="000000"/>
        </w:rPr>
        <w:t>El artículo 12, que, quienes generen, recopilen, administren, manejen, procesen, archiven o conserven información pública serán responsables de la misma.</w:t>
      </w:r>
    </w:p>
    <w:p w:rsidR="004A46D5" w:rsidRDefault="004A46D5">
      <w:pPr>
        <w:spacing w:after="0" w:line="360" w:lineRule="auto"/>
        <w:rPr>
          <w:color w:val="000000"/>
        </w:rPr>
      </w:pPr>
    </w:p>
    <w:p w:rsidR="004A46D5" w:rsidRDefault="00BD5DC1">
      <w:pPr>
        <w:widowControl w:val="0"/>
        <w:spacing w:after="0" w:line="360" w:lineRule="auto"/>
        <w:rPr>
          <w:color w:val="000000"/>
        </w:rPr>
      </w:pPr>
      <w:r>
        <w:rPr>
          <w:color w:val="000000"/>
        </w:rPr>
        <w:t xml:space="preserve">El artículo 18, que, los Sujetos Obligados deberán documentar todo acto que derive del </w:t>
      </w:r>
      <w:r>
        <w:rPr>
          <w:color w:val="000000"/>
        </w:rPr>
        <w:lastRenderedPageBreak/>
        <w:t>ejercicio de sus facultades, competencias o funciones, considerando desde su origen la eventual publicidad y reutilización de la información que generen.</w:t>
      </w:r>
    </w:p>
    <w:p w:rsidR="004A46D5" w:rsidRDefault="004A46D5">
      <w:pPr>
        <w:widowControl w:val="0"/>
        <w:spacing w:after="0" w:line="360" w:lineRule="auto"/>
        <w:rPr>
          <w:color w:val="000000"/>
        </w:rPr>
      </w:pPr>
    </w:p>
    <w:p w:rsidR="004A46D5" w:rsidRDefault="00BD5DC1">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A46D5" w:rsidRDefault="004A46D5">
      <w:pPr>
        <w:spacing w:after="0" w:line="360" w:lineRule="auto"/>
      </w:pPr>
    </w:p>
    <w:p w:rsidR="004A46D5" w:rsidRDefault="00BD5DC1">
      <w:pPr>
        <w:pStyle w:val="Ttulo2"/>
        <w:spacing w:before="0" w:after="0" w:line="360" w:lineRule="auto"/>
        <w:rPr>
          <w:sz w:val="22"/>
          <w:szCs w:val="22"/>
        </w:rPr>
      </w:pPr>
      <w:bookmarkStart w:id="12" w:name="_heading=h.qwastfjfp5dn" w:colFirst="0" w:colLast="0"/>
      <w:bookmarkEnd w:id="12"/>
      <w:r>
        <w:rPr>
          <w:sz w:val="22"/>
          <w:szCs w:val="22"/>
        </w:rPr>
        <w:t>QUINTO. Estudio de Fondo</w:t>
      </w:r>
    </w:p>
    <w:p w:rsidR="004A46D5" w:rsidRDefault="004A46D5">
      <w:pPr>
        <w:spacing w:after="0" w:line="360" w:lineRule="auto"/>
        <w:rPr>
          <w:b/>
          <w:color w:val="000000"/>
        </w:rPr>
      </w:pPr>
    </w:p>
    <w:p w:rsidR="004A46D5" w:rsidRDefault="00BD5DC1">
      <w:pPr>
        <w:spacing w:after="0" w:line="360" w:lineRule="auto"/>
      </w:pPr>
      <w:r>
        <w:rPr>
          <w:color w:val="000000"/>
        </w:rPr>
        <w:t>Expuestas las posturas de las partes, se procede al análisis de los agravios hechos valer por la persona Recurrente</w:t>
      </w:r>
      <w:r>
        <w:t>, por lo que, en principio es necesario contextualizar la solicitud de información.</w:t>
      </w:r>
    </w:p>
    <w:p w:rsidR="004A46D5" w:rsidRDefault="004A46D5">
      <w:pPr>
        <w:spacing w:after="0" w:line="360" w:lineRule="auto"/>
      </w:pPr>
    </w:p>
    <w:p w:rsidR="004A46D5" w:rsidRDefault="00BD5DC1">
      <w:pPr>
        <w:spacing w:after="0" w:line="360" w:lineRule="auto"/>
        <w:rPr>
          <w:b/>
        </w:rPr>
      </w:pPr>
      <w:r>
        <w:t xml:space="preserve">Al respecto, el artículo 32, de la Ley de Fiscalización Superior del Estado de México, establece que, los Presidentes Municipales presentarán a la Legislatura las Cuentas Públicas anuales de sus respectivos municipios, del ejercicio inmediato anterior, dentro de </w:t>
      </w:r>
      <w:r>
        <w:rPr>
          <w:b/>
        </w:rPr>
        <w:t xml:space="preserve">los quince primeros días de marzo de cada año.  </w:t>
      </w:r>
    </w:p>
    <w:p w:rsidR="004A46D5" w:rsidRDefault="004A46D5">
      <w:pPr>
        <w:spacing w:after="0" w:line="360" w:lineRule="auto"/>
      </w:pPr>
    </w:p>
    <w:p w:rsidR="004A46D5" w:rsidRDefault="00BD5DC1">
      <w:pPr>
        <w:spacing w:after="0" w:line="360" w:lineRule="auto"/>
      </w:pPr>
      <w:r>
        <w:t>Asimismo, el artículo 341 del Código Financiero del Estado de México y Municipios, precisa que, la Cuenta Pública es el informe que rinde anualmente el Presidente Municipal a la Legislatura, respecto de los resultados y la situación financiera del ejercicio fiscal inmediato anterior, dichos documentos contarán de la máxima publicidad y será información pública de oficio que deberá difundirse en las páginas electrónicas oficiales de los Municipios, respectivamente, una vez que se haya entregado a la Legislatura.</w:t>
      </w:r>
    </w:p>
    <w:p w:rsidR="004A46D5" w:rsidRDefault="004A46D5">
      <w:pPr>
        <w:spacing w:after="0" w:line="360" w:lineRule="auto"/>
      </w:pPr>
    </w:p>
    <w:p w:rsidR="004A46D5" w:rsidRDefault="00BD5DC1">
      <w:pPr>
        <w:spacing w:after="0" w:line="360" w:lineRule="auto"/>
      </w:pPr>
      <w:r>
        <w:lastRenderedPageBreak/>
        <w:t xml:space="preserve">En ese contexto, el artículo 352 del Código mencionado, establece que la cuenta pública se conforma por la información económica, patrimonial, presupuestal, programática, cualitativa y cuantitativa que muestre los resultados de la ejecución de la Ley de Ingresos y del Presupuesto de Egresos.  </w:t>
      </w:r>
    </w:p>
    <w:p w:rsidR="004A46D5" w:rsidRDefault="004A46D5">
      <w:pPr>
        <w:spacing w:after="0" w:line="360" w:lineRule="auto"/>
      </w:pPr>
    </w:p>
    <w:p w:rsidR="004A46D5" w:rsidRDefault="00BD5DC1">
      <w:pPr>
        <w:spacing w:after="0" w:line="360" w:lineRule="auto"/>
      </w:pPr>
      <w:r>
        <w:t>Ahora bien, de conformidad con los Lineamientos para la Integración, Entrega y envió de la Cuenta Pública Municipal del ejercicio fiscal dos mil veinticuatro, precisa que la Cuenta Pública del ejercicio fiscal dos mil veinticuatro estará constituida por 4 módulos que contendrán los documentos en archivo Excel, PDF y TXT, como se muestra a continuación:</w:t>
      </w:r>
    </w:p>
    <w:p w:rsidR="004A46D5" w:rsidRDefault="004A46D5">
      <w:pPr>
        <w:spacing w:after="0" w:line="360" w:lineRule="auto"/>
      </w:pPr>
    </w:p>
    <w:p w:rsidR="004A46D5" w:rsidRDefault="00BD5DC1">
      <w:pPr>
        <w:spacing w:after="0" w:line="360" w:lineRule="auto"/>
        <w:jc w:val="center"/>
      </w:pPr>
      <w:r>
        <w:rPr>
          <w:noProof/>
        </w:rPr>
        <w:drawing>
          <wp:inline distT="0" distB="0" distL="0" distR="0">
            <wp:extent cx="5671185" cy="2711450"/>
            <wp:effectExtent l="0" t="0" r="0" b="0"/>
            <wp:docPr id="1891184535" name="image9.png" descr="Diagra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9.png" descr="Diagrama&#10;&#10;El contenido generado por IA puede ser incorrecto."/>
                    <pic:cNvPicPr preferRelativeResize="0"/>
                  </pic:nvPicPr>
                  <pic:blipFill>
                    <a:blip r:embed="rId10"/>
                    <a:srcRect/>
                    <a:stretch>
                      <a:fillRect/>
                    </a:stretch>
                  </pic:blipFill>
                  <pic:spPr>
                    <a:xfrm>
                      <a:off x="0" y="0"/>
                      <a:ext cx="5671185" cy="2711450"/>
                    </a:xfrm>
                    <a:prstGeom prst="rect">
                      <a:avLst/>
                    </a:prstGeom>
                    <a:ln/>
                  </pic:spPr>
                </pic:pic>
              </a:graphicData>
            </a:graphic>
          </wp:inline>
        </w:drawing>
      </w:r>
    </w:p>
    <w:p w:rsidR="004A46D5" w:rsidRDefault="004A46D5">
      <w:pPr>
        <w:spacing w:after="0" w:line="360" w:lineRule="auto"/>
      </w:pPr>
    </w:p>
    <w:p w:rsidR="004A46D5" w:rsidRDefault="00BD5DC1">
      <w:pPr>
        <w:spacing w:after="0" w:line="360" w:lineRule="auto"/>
      </w:pPr>
      <w:r>
        <w:t xml:space="preserve">Asimismo, conforme a los Lineamientos previamente referidos, cada módulo se integrara por cada uno de los </w:t>
      </w:r>
      <w:proofErr w:type="spellStart"/>
      <w:r>
        <w:t>submódulos</w:t>
      </w:r>
      <w:proofErr w:type="spellEnd"/>
      <w:r>
        <w:t xml:space="preserve">, los cuales deberán contener los siguientes formatos: </w:t>
      </w:r>
    </w:p>
    <w:p w:rsidR="004A46D5" w:rsidRDefault="00BD5DC1">
      <w:pPr>
        <w:spacing w:after="0" w:line="360" w:lineRule="auto"/>
        <w:jc w:val="center"/>
        <w:rPr>
          <w:b/>
        </w:rPr>
      </w:pPr>
      <w:r>
        <w:rPr>
          <w:b/>
        </w:rPr>
        <w:t>Módulo I. Información Contable y Financiera</w:t>
      </w:r>
    </w:p>
    <w:p w:rsidR="004A46D5" w:rsidRDefault="00BD5DC1">
      <w:pPr>
        <w:spacing w:after="0" w:line="360" w:lineRule="auto"/>
        <w:jc w:val="center"/>
        <w:rPr>
          <w:b/>
        </w:rPr>
      </w:pPr>
      <w:r>
        <w:rPr>
          <w:b/>
          <w:noProof/>
        </w:rPr>
        <w:lastRenderedPageBreak/>
        <w:drawing>
          <wp:inline distT="0" distB="0" distL="0" distR="0">
            <wp:extent cx="5210655" cy="3212975"/>
            <wp:effectExtent l="0" t="0" r="0" b="0"/>
            <wp:docPr id="1891184534" name="image3.png" descr="Aplicación, Tabla, Excel&#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Aplicación, Tabla, Excel&#10;&#10;El contenido generado por IA puede ser incorrecto."/>
                    <pic:cNvPicPr preferRelativeResize="0"/>
                  </pic:nvPicPr>
                  <pic:blipFill>
                    <a:blip r:embed="rId11"/>
                    <a:srcRect/>
                    <a:stretch>
                      <a:fillRect/>
                    </a:stretch>
                  </pic:blipFill>
                  <pic:spPr>
                    <a:xfrm>
                      <a:off x="0" y="0"/>
                      <a:ext cx="5210655" cy="3212975"/>
                    </a:xfrm>
                    <a:prstGeom prst="rect">
                      <a:avLst/>
                    </a:prstGeom>
                    <a:ln/>
                  </pic:spPr>
                </pic:pic>
              </a:graphicData>
            </a:graphic>
          </wp:inline>
        </w:drawing>
      </w:r>
    </w:p>
    <w:p w:rsidR="004A46D5" w:rsidRDefault="004A46D5">
      <w:pPr>
        <w:spacing w:after="0" w:line="360" w:lineRule="auto"/>
        <w:jc w:val="center"/>
        <w:rPr>
          <w:b/>
        </w:rPr>
      </w:pPr>
    </w:p>
    <w:p w:rsidR="004A46D5" w:rsidRDefault="00BD5DC1">
      <w:pPr>
        <w:spacing w:after="0" w:line="360" w:lineRule="auto"/>
        <w:jc w:val="center"/>
        <w:rPr>
          <w:b/>
        </w:rPr>
      </w:pPr>
      <w:r>
        <w:rPr>
          <w:b/>
        </w:rPr>
        <w:t>Módulo II. Información Presupuestaria y Patrimonial</w:t>
      </w:r>
    </w:p>
    <w:p w:rsidR="004A46D5" w:rsidRDefault="00BD5DC1">
      <w:pPr>
        <w:spacing w:after="0" w:line="360" w:lineRule="auto"/>
        <w:jc w:val="center"/>
        <w:rPr>
          <w:b/>
        </w:rPr>
      </w:pPr>
      <w:r>
        <w:rPr>
          <w:b/>
          <w:noProof/>
        </w:rPr>
        <w:drawing>
          <wp:inline distT="0" distB="0" distL="0" distR="0">
            <wp:extent cx="5362593" cy="904274"/>
            <wp:effectExtent l="0" t="0" r="0" b="0"/>
            <wp:docPr id="1891184537" name="image5.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5.png" descr="Tabla&#10;&#10;El contenido generado por IA puede ser incorrecto."/>
                    <pic:cNvPicPr preferRelativeResize="0"/>
                  </pic:nvPicPr>
                  <pic:blipFill>
                    <a:blip r:embed="rId12"/>
                    <a:srcRect/>
                    <a:stretch>
                      <a:fillRect/>
                    </a:stretch>
                  </pic:blipFill>
                  <pic:spPr>
                    <a:xfrm>
                      <a:off x="0" y="0"/>
                      <a:ext cx="5362593" cy="904274"/>
                    </a:xfrm>
                    <a:prstGeom prst="rect">
                      <a:avLst/>
                    </a:prstGeom>
                    <a:ln/>
                  </pic:spPr>
                </pic:pic>
              </a:graphicData>
            </a:graphic>
          </wp:inline>
        </w:drawing>
      </w:r>
    </w:p>
    <w:p w:rsidR="004A46D5" w:rsidRDefault="00BD5DC1">
      <w:pPr>
        <w:spacing w:after="0" w:line="360" w:lineRule="auto"/>
        <w:jc w:val="center"/>
        <w:rPr>
          <w:b/>
        </w:rPr>
      </w:pPr>
      <w:r>
        <w:rPr>
          <w:b/>
          <w:noProof/>
        </w:rPr>
        <w:drawing>
          <wp:inline distT="0" distB="0" distL="0" distR="0">
            <wp:extent cx="5250140" cy="2384343"/>
            <wp:effectExtent l="0" t="0" r="0" b="0"/>
            <wp:docPr id="1891184536" name="image7.png" descr="Tabla, Excel&#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7.png" descr="Tabla, Excel&#10;&#10;El contenido generado por IA puede ser incorrecto."/>
                    <pic:cNvPicPr preferRelativeResize="0"/>
                  </pic:nvPicPr>
                  <pic:blipFill>
                    <a:blip r:embed="rId13"/>
                    <a:srcRect/>
                    <a:stretch>
                      <a:fillRect/>
                    </a:stretch>
                  </pic:blipFill>
                  <pic:spPr>
                    <a:xfrm>
                      <a:off x="0" y="0"/>
                      <a:ext cx="5250140" cy="2384343"/>
                    </a:xfrm>
                    <a:prstGeom prst="rect">
                      <a:avLst/>
                    </a:prstGeom>
                    <a:ln/>
                  </pic:spPr>
                </pic:pic>
              </a:graphicData>
            </a:graphic>
          </wp:inline>
        </w:drawing>
      </w:r>
    </w:p>
    <w:p w:rsidR="004A46D5" w:rsidRDefault="00BD5DC1">
      <w:pPr>
        <w:spacing w:after="0" w:line="360" w:lineRule="auto"/>
        <w:jc w:val="center"/>
        <w:rPr>
          <w:b/>
        </w:rPr>
      </w:pPr>
      <w:r>
        <w:rPr>
          <w:b/>
        </w:rPr>
        <w:t>Módulo III. Información Programática</w:t>
      </w:r>
    </w:p>
    <w:p w:rsidR="004A46D5" w:rsidRDefault="00BD5DC1">
      <w:pPr>
        <w:spacing w:after="0" w:line="360" w:lineRule="auto"/>
        <w:jc w:val="center"/>
        <w:rPr>
          <w:b/>
        </w:rPr>
      </w:pPr>
      <w:r>
        <w:rPr>
          <w:b/>
          <w:noProof/>
        </w:rPr>
        <w:lastRenderedPageBreak/>
        <w:drawing>
          <wp:inline distT="0" distB="0" distL="0" distR="0">
            <wp:extent cx="5337600" cy="1914266"/>
            <wp:effectExtent l="0" t="0" r="0" b="0"/>
            <wp:docPr id="1891184539" name="image6.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6.png" descr="Tabla&#10;&#10;El contenido generado por IA puede ser incorrecto."/>
                    <pic:cNvPicPr preferRelativeResize="0"/>
                  </pic:nvPicPr>
                  <pic:blipFill>
                    <a:blip r:embed="rId14"/>
                    <a:srcRect/>
                    <a:stretch>
                      <a:fillRect/>
                    </a:stretch>
                  </pic:blipFill>
                  <pic:spPr>
                    <a:xfrm>
                      <a:off x="0" y="0"/>
                      <a:ext cx="5337600" cy="1914266"/>
                    </a:xfrm>
                    <a:prstGeom prst="rect">
                      <a:avLst/>
                    </a:prstGeom>
                    <a:ln/>
                  </pic:spPr>
                </pic:pic>
              </a:graphicData>
            </a:graphic>
          </wp:inline>
        </w:drawing>
      </w:r>
    </w:p>
    <w:p w:rsidR="004A46D5" w:rsidRDefault="004A46D5">
      <w:pPr>
        <w:spacing w:after="0" w:line="360" w:lineRule="auto"/>
        <w:rPr>
          <w:b/>
        </w:rPr>
      </w:pPr>
    </w:p>
    <w:p w:rsidR="004A46D5" w:rsidRDefault="00BD5DC1">
      <w:pPr>
        <w:spacing w:after="0" w:line="360" w:lineRule="auto"/>
        <w:jc w:val="center"/>
        <w:rPr>
          <w:b/>
        </w:rPr>
      </w:pPr>
      <w:r>
        <w:rPr>
          <w:b/>
        </w:rPr>
        <w:t>Módulo IV. Información Complementaria</w:t>
      </w:r>
    </w:p>
    <w:p w:rsidR="004A46D5" w:rsidRDefault="00BD5DC1">
      <w:pPr>
        <w:spacing w:after="0" w:line="360" w:lineRule="auto"/>
        <w:jc w:val="center"/>
      </w:pPr>
      <w:r>
        <w:rPr>
          <w:noProof/>
        </w:rPr>
        <w:drawing>
          <wp:inline distT="0" distB="0" distL="0" distR="0">
            <wp:extent cx="5371178" cy="1297840"/>
            <wp:effectExtent l="0" t="0" r="0" b="0"/>
            <wp:docPr id="1891184538" name="image13.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3.png" descr="Tabla&#10;&#10;El contenido generado por IA puede ser incorrecto."/>
                    <pic:cNvPicPr preferRelativeResize="0"/>
                  </pic:nvPicPr>
                  <pic:blipFill>
                    <a:blip r:embed="rId15"/>
                    <a:srcRect/>
                    <a:stretch>
                      <a:fillRect/>
                    </a:stretch>
                  </pic:blipFill>
                  <pic:spPr>
                    <a:xfrm>
                      <a:off x="0" y="0"/>
                      <a:ext cx="5371178" cy="1297840"/>
                    </a:xfrm>
                    <a:prstGeom prst="rect">
                      <a:avLst/>
                    </a:prstGeom>
                    <a:ln/>
                  </pic:spPr>
                </pic:pic>
              </a:graphicData>
            </a:graphic>
          </wp:inline>
        </w:drawing>
      </w:r>
    </w:p>
    <w:p w:rsidR="004A46D5" w:rsidRDefault="00BD5DC1">
      <w:pPr>
        <w:spacing w:after="0" w:line="360" w:lineRule="auto"/>
        <w:jc w:val="center"/>
      </w:pPr>
      <w:r>
        <w:rPr>
          <w:noProof/>
        </w:rPr>
        <w:drawing>
          <wp:inline distT="0" distB="0" distL="0" distR="0">
            <wp:extent cx="5322468" cy="2996113"/>
            <wp:effectExtent l="0" t="0" r="0" b="0"/>
            <wp:docPr id="1891184541" name="image4.png" descr="Imagen que contiene juego,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4.png" descr="Imagen que contiene juego, texto&#10;&#10;El contenido generado por IA puede ser incorrecto."/>
                    <pic:cNvPicPr preferRelativeResize="0"/>
                  </pic:nvPicPr>
                  <pic:blipFill>
                    <a:blip r:embed="rId16"/>
                    <a:srcRect/>
                    <a:stretch>
                      <a:fillRect/>
                    </a:stretch>
                  </pic:blipFill>
                  <pic:spPr>
                    <a:xfrm>
                      <a:off x="0" y="0"/>
                      <a:ext cx="5322468" cy="2996113"/>
                    </a:xfrm>
                    <a:prstGeom prst="rect">
                      <a:avLst/>
                    </a:prstGeom>
                    <a:ln/>
                  </pic:spPr>
                </pic:pic>
              </a:graphicData>
            </a:graphic>
          </wp:inline>
        </w:drawing>
      </w:r>
    </w:p>
    <w:p w:rsidR="004A46D5" w:rsidRDefault="004A46D5">
      <w:pPr>
        <w:spacing w:after="0" w:line="360" w:lineRule="auto"/>
        <w:jc w:val="center"/>
      </w:pPr>
    </w:p>
    <w:p w:rsidR="004A46D5" w:rsidRDefault="00BD5DC1">
      <w:pPr>
        <w:spacing w:after="0" w:line="360" w:lineRule="auto"/>
        <w:jc w:val="center"/>
      </w:pPr>
      <w:r>
        <w:rPr>
          <w:noProof/>
        </w:rPr>
        <w:lastRenderedPageBreak/>
        <w:drawing>
          <wp:inline distT="0" distB="0" distL="0" distR="0">
            <wp:extent cx="5222117" cy="1299243"/>
            <wp:effectExtent l="0" t="0" r="0" b="0"/>
            <wp:docPr id="1891184540" name="image14.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4.png" descr="Tabla&#10;&#10;El contenido generado por IA puede ser incorrecto."/>
                    <pic:cNvPicPr preferRelativeResize="0"/>
                  </pic:nvPicPr>
                  <pic:blipFill>
                    <a:blip r:embed="rId17"/>
                    <a:srcRect/>
                    <a:stretch>
                      <a:fillRect/>
                    </a:stretch>
                  </pic:blipFill>
                  <pic:spPr>
                    <a:xfrm>
                      <a:off x="0" y="0"/>
                      <a:ext cx="5222117" cy="1299243"/>
                    </a:xfrm>
                    <a:prstGeom prst="rect">
                      <a:avLst/>
                    </a:prstGeom>
                    <a:ln/>
                  </pic:spPr>
                </pic:pic>
              </a:graphicData>
            </a:graphic>
          </wp:inline>
        </w:drawing>
      </w:r>
    </w:p>
    <w:p w:rsidR="004A46D5" w:rsidRDefault="004A46D5">
      <w:pPr>
        <w:spacing w:after="0" w:line="360" w:lineRule="auto"/>
      </w:pPr>
    </w:p>
    <w:p w:rsidR="004A46D5" w:rsidRDefault="00BD5DC1">
      <w:pPr>
        <w:spacing w:after="0" w:line="360" w:lineRule="auto"/>
        <w:jc w:val="center"/>
      </w:pPr>
      <w:r>
        <w:rPr>
          <w:noProof/>
        </w:rPr>
        <w:drawing>
          <wp:inline distT="0" distB="0" distL="0" distR="0">
            <wp:extent cx="5297375" cy="2320974"/>
            <wp:effectExtent l="0" t="0" r="0" b="0"/>
            <wp:docPr id="1891184544" name="image11.png" descr="Interfaz de usuario gráfica, Aplicación, Tabla, Excel&#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1.png" descr="Interfaz de usuario gráfica, Aplicación, Tabla, Excel&#10;&#10;El contenido generado por IA puede ser incorrecto."/>
                    <pic:cNvPicPr preferRelativeResize="0"/>
                  </pic:nvPicPr>
                  <pic:blipFill>
                    <a:blip r:embed="rId18"/>
                    <a:srcRect/>
                    <a:stretch>
                      <a:fillRect/>
                    </a:stretch>
                  </pic:blipFill>
                  <pic:spPr>
                    <a:xfrm>
                      <a:off x="0" y="0"/>
                      <a:ext cx="5297375" cy="2320974"/>
                    </a:xfrm>
                    <a:prstGeom prst="rect">
                      <a:avLst/>
                    </a:prstGeom>
                    <a:ln/>
                  </pic:spPr>
                </pic:pic>
              </a:graphicData>
            </a:graphic>
          </wp:inline>
        </w:drawing>
      </w:r>
    </w:p>
    <w:p w:rsidR="004A46D5" w:rsidRDefault="00BD5DC1">
      <w:pPr>
        <w:spacing w:after="0" w:line="360" w:lineRule="auto"/>
        <w:jc w:val="center"/>
      </w:pPr>
      <w:r>
        <w:rPr>
          <w:noProof/>
        </w:rPr>
        <w:drawing>
          <wp:inline distT="0" distB="0" distL="0" distR="0">
            <wp:extent cx="5321364" cy="1943599"/>
            <wp:effectExtent l="0" t="0" r="0" b="0"/>
            <wp:docPr id="1891184542" name="image10.png" descr="Interfaz de usuario gráfica, Aplicación, Tabla, Excel&#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0.png" descr="Interfaz de usuario gráfica, Aplicación, Tabla, Excel&#10;&#10;El contenido generado por IA puede ser incorrecto."/>
                    <pic:cNvPicPr preferRelativeResize="0"/>
                  </pic:nvPicPr>
                  <pic:blipFill>
                    <a:blip r:embed="rId19"/>
                    <a:srcRect/>
                    <a:stretch>
                      <a:fillRect/>
                    </a:stretch>
                  </pic:blipFill>
                  <pic:spPr>
                    <a:xfrm>
                      <a:off x="0" y="0"/>
                      <a:ext cx="5321364" cy="1943599"/>
                    </a:xfrm>
                    <a:prstGeom prst="rect">
                      <a:avLst/>
                    </a:prstGeom>
                    <a:ln/>
                  </pic:spPr>
                </pic:pic>
              </a:graphicData>
            </a:graphic>
          </wp:inline>
        </w:drawing>
      </w:r>
    </w:p>
    <w:p w:rsidR="004A46D5" w:rsidRDefault="00BD5DC1">
      <w:pPr>
        <w:spacing w:after="0" w:line="360" w:lineRule="auto"/>
        <w:jc w:val="center"/>
      </w:pPr>
      <w:r>
        <w:rPr>
          <w:noProof/>
        </w:rPr>
        <w:lastRenderedPageBreak/>
        <w:drawing>
          <wp:inline distT="0" distB="0" distL="0" distR="0">
            <wp:extent cx="5286101" cy="2147349"/>
            <wp:effectExtent l="0" t="0" r="0" b="0"/>
            <wp:docPr id="1891184543" name="image8.png" descr="Interfaz de usuario gráfica, Aplicación, Tabla, Excel&#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8.png" descr="Interfaz de usuario gráfica, Aplicación, Tabla, Excel&#10;&#10;El contenido generado por IA puede ser incorrecto."/>
                    <pic:cNvPicPr preferRelativeResize="0"/>
                  </pic:nvPicPr>
                  <pic:blipFill>
                    <a:blip r:embed="rId20"/>
                    <a:srcRect/>
                    <a:stretch>
                      <a:fillRect/>
                    </a:stretch>
                  </pic:blipFill>
                  <pic:spPr>
                    <a:xfrm>
                      <a:off x="0" y="0"/>
                      <a:ext cx="5286101" cy="2147349"/>
                    </a:xfrm>
                    <a:prstGeom prst="rect">
                      <a:avLst/>
                    </a:prstGeom>
                    <a:ln/>
                  </pic:spPr>
                </pic:pic>
              </a:graphicData>
            </a:graphic>
          </wp:inline>
        </w:drawing>
      </w:r>
    </w:p>
    <w:p w:rsidR="004A46D5" w:rsidRDefault="004A46D5">
      <w:pPr>
        <w:spacing w:after="0" w:line="360" w:lineRule="auto"/>
        <w:jc w:val="center"/>
      </w:pPr>
    </w:p>
    <w:p w:rsidR="004A46D5" w:rsidRDefault="00BD5DC1">
      <w:pPr>
        <w:spacing w:after="0" w:line="360" w:lineRule="auto"/>
      </w:pPr>
      <w:r>
        <w:t>De lo anterior se observa que, la Cuenta pública se compone de todos los documentos que integran a los módulos de información contable, presupuestaria, programática y complementaria, y, por lo tanto, la pretensión de la persona Recurrente, es obtener dichos documentos, del ejercicio fiscal dos mil veinticuatro.</w:t>
      </w:r>
    </w:p>
    <w:p w:rsidR="004A46D5" w:rsidRDefault="004A46D5">
      <w:pPr>
        <w:spacing w:after="0" w:line="360" w:lineRule="auto"/>
      </w:pPr>
    </w:p>
    <w:p w:rsidR="004A46D5" w:rsidRDefault="00BD5DC1">
      <w:pPr>
        <w:spacing w:after="0" w:line="360" w:lineRule="auto"/>
      </w:pPr>
      <w:r>
        <w:t xml:space="preserve">Ahora bien, de conformidad con el Manual General de Organización de la Tesorería Municipal del Ayuntamiento de Toluca, establece que, la Tesorería Municipal a través de su Departamento de Cuenta Pública, Informes Mensuales y </w:t>
      </w:r>
      <w:proofErr w:type="spellStart"/>
      <w:r>
        <w:t>Solventaciones</w:t>
      </w:r>
      <w:proofErr w:type="spellEnd"/>
      <w:r>
        <w:t>, se encargará de preparar, elaborar, revisar y presentar coordinadamente los informes mensuales de las unidades administrativas y la cuenta pública a fin de que cumplan con lo establecido en las disposiciones emitidas por el Órgano Superior de Fiscalización del Estado de México y dar cumplimiento oportuno en tiempo a las observaciones que haga el Órgano Superior de Fiscalización.</w:t>
      </w:r>
    </w:p>
    <w:p w:rsidR="004A46D5" w:rsidRDefault="004A46D5">
      <w:pPr>
        <w:spacing w:after="0" w:line="360" w:lineRule="auto"/>
      </w:pPr>
    </w:p>
    <w:p w:rsidR="004A46D5" w:rsidRDefault="00BD5DC1">
      <w:pPr>
        <w:spacing w:after="0" w:line="360" w:lineRule="auto"/>
      </w:pPr>
      <w:r>
        <w:t>Así, se logra vislumbrar que la pretensión de la persona Recurrente es obtener, la información de los cuatro módulos que integran la Cuenta Pública del ejercicio fiscal dos mil veinticuatro, por lo que</w:t>
      </w:r>
      <w:r>
        <w:rPr>
          <w:color w:val="000000"/>
        </w:rPr>
        <w:t>, de las constancias que obran en el expediente electrónico, se advierte que el Sujeto Obligado</w:t>
      </w:r>
      <w:r>
        <w:rPr>
          <w:color w:val="0D0D0D"/>
        </w:rPr>
        <w:t>, turnó la solicitud de información a la Tesorería Municipal</w:t>
      </w:r>
      <w:r>
        <w:rPr>
          <w:color w:val="000000"/>
        </w:rPr>
        <w:t xml:space="preserve">; </w:t>
      </w:r>
      <w:r>
        <w:t xml:space="preserve">por lo que, es oportuno </w:t>
      </w:r>
      <w:r>
        <w:lastRenderedPageBreak/>
        <w:t xml:space="preserve">hacer referencia al </w:t>
      </w:r>
      <w:r>
        <w:rPr>
          <w:b/>
        </w:rPr>
        <w:t>procedimiento de búsqueda que deben de seguir los Sujetos Obligados para localizar la información</w:t>
      </w:r>
      <w: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rsidR="004A46D5" w:rsidRDefault="004A46D5">
      <w:pPr>
        <w:spacing w:after="0" w:line="360" w:lineRule="auto"/>
        <w:rPr>
          <w:color w:val="0D0D0D"/>
        </w:rPr>
      </w:pPr>
    </w:p>
    <w:p w:rsidR="004A46D5" w:rsidRDefault="00BD5DC1">
      <w:pPr>
        <w:spacing w:after="0" w:line="360" w:lineRule="auto"/>
        <w:rPr>
          <w:color w:val="000000"/>
        </w:rPr>
      </w:pPr>
      <w:r>
        <w:rPr>
          <w:color w:val="000000"/>
        </w:rPr>
        <w:t xml:space="preserve">Así y de lo plasmado en párrafos anteriores, </w:t>
      </w:r>
      <w:r>
        <w:t xml:space="preserve">se logra colegir que el Sujeto Obligado cumplió con el procedimiento de búsqueda </w:t>
      </w:r>
      <w:r>
        <w:rPr>
          <w:color w:val="000000"/>
        </w:rPr>
        <w:t xml:space="preserve">establecido en el artículo 162 de la Ley de Transparencia y Acceso a la Información Pública del Estado de México y Municipios, toda vez, que gestionó el requerimiento de información al área competente para conocer de la información solicitada. </w:t>
      </w:r>
    </w:p>
    <w:p w:rsidR="004A46D5" w:rsidRDefault="004A46D5">
      <w:pPr>
        <w:spacing w:after="0" w:line="360" w:lineRule="auto"/>
        <w:rPr>
          <w:color w:val="000000"/>
        </w:rPr>
      </w:pPr>
    </w:p>
    <w:p w:rsidR="004A46D5" w:rsidRDefault="00BD5DC1">
      <w:pPr>
        <w:spacing w:after="0" w:line="360" w:lineRule="auto"/>
        <w:rPr>
          <w:color w:val="000000"/>
        </w:rPr>
      </w:pPr>
      <w:r>
        <w:rPr>
          <w:color w:val="000000"/>
        </w:rPr>
        <w:t xml:space="preserve">Ahora bien, cabe precisar que en respuesta la Tesorería Municipal proporcionó una liga electrónica en formato cerrado para consultar la información tal como se logra vislumbrar en la siguiente imagen ilustrativa: </w:t>
      </w:r>
    </w:p>
    <w:p w:rsidR="004A46D5" w:rsidRDefault="004A46D5">
      <w:pPr>
        <w:spacing w:after="0" w:line="360" w:lineRule="auto"/>
        <w:rPr>
          <w:color w:val="000000"/>
        </w:rPr>
      </w:pPr>
    </w:p>
    <w:p w:rsidR="004A46D5" w:rsidRDefault="00BD5DC1">
      <w:pPr>
        <w:spacing w:after="0" w:line="360" w:lineRule="auto"/>
        <w:jc w:val="center"/>
        <w:rPr>
          <w:color w:val="000000"/>
        </w:rPr>
      </w:pPr>
      <w:r>
        <w:rPr>
          <w:noProof/>
          <w:color w:val="000000"/>
        </w:rPr>
        <w:drawing>
          <wp:inline distT="0" distB="0" distL="0" distR="0">
            <wp:extent cx="4092295" cy="441998"/>
            <wp:effectExtent l="0" t="0" r="0" b="0"/>
            <wp:docPr id="189118454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a:srcRect/>
                    <a:stretch>
                      <a:fillRect/>
                    </a:stretch>
                  </pic:blipFill>
                  <pic:spPr>
                    <a:xfrm>
                      <a:off x="0" y="0"/>
                      <a:ext cx="4092295" cy="441998"/>
                    </a:xfrm>
                    <a:prstGeom prst="rect">
                      <a:avLst/>
                    </a:prstGeom>
                    <a:ln/>
                  </pic:spPr>
                </pic:pic>
              </a:graphicData>
            </a:graphic>
          </wp:inline>
        </w:drawing>
      </w:r>
    </w:p>
    <w:p w:rsidR="004A46D5" w:rsidRDefault="004A46D5">
      <w:pPr>
        <w:spacing w:after="0" w:line="360" w:lineRule="auto"/>
        <w:rPr>
          <w:color w:val="000000"/>
        </w:rPr>
      </w:pPr>
    </w:p>
    <w:p w:rsidR="004A46D5" w:rsidRDefault="00BD5DC1">
      <w:pPr>
        <w:spacing w:after="0" w:line="360" w:lineRule="auto"/>
        <w:rPr>
          <w:color w:val="000000"/>
        </w:rPr>
      </w:pPr>
      <w:r>
        <w:rPr>
          <w:color w:val="000000"/>
        </w:rPr>
        <w:t xml:space="preserve">Conforme a lo anterior, se logra vislumbrar que se encuentra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w:t>
      </w:r>
      <w:r>
        <w:rPr>
          <w:color w:val="000000"/>
        </w:rPr>
        <w:lastRenderedPageBreak/>
        <w:t>contenga datos en formatos y estándares abiertos para su reproducción y reutilización electrónica de manera libre y sin ninguna restricción.</w:t>
      </w:r>
    </w:p>
    <w:p w:rsidR="004A46D5" w:rsidRDefault="004A46D5">
      <w:pPr>
        <w:spacing w:after="0" w:line="360" w:lineRule="auto"/>
        <w:rPr>
          <w:color w:val="000000"/>
        </w:rPr>
      </w:pPr>
    </w:p>
    <w:p w:rsidR="004A46D5" w:rsidRDefault="00BD5DC1">
      <w:pPr>
        <w:spacing w:after="0" w:line="360" w:lineRule="auto"/>
        <w:rPr>
          <w:color w:val="000000"/>
        </w:rPr>
      </w:pPr>
      <w: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rsidR="004A46D5" w:rsidRDefault="004A46D5">
      <w:pPr>
        <w:spacing w:after="0" w:line="360" w:lineRule="auto"/>
        <w:rPr>
          <w:color w:val="000000"/>
        </w:rPr>
      </w:pPr>
    </w:p>
    <w:p w:rsidR="004A46D5" w:rsidRDefault="00BD5DC1">
      <w:pPr>
        <w:spacing w:after="0" w:line="360" w:lineRule="auto"/>
      </w:pPr>
      <w: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rsidR="004A46D5" w:rsidRDefault="004A46D5">
      <w:pPr>
        <w:spacing w:after="0" w:line="360" w:lineRule="auto"/>
      </w:pPr>
    </w:p>
    <w:p w:rsidR="004A46D5" w:rsidRDefault="00BD5DC1">
      <w:pPr>
        <w:numPr>
          <w:ilvl w:val="0"/>
          <w:numId w:val="2"/>
        </w:numPr>
        <w:pBdr>
          <w:top w:val="nil"/>
          <w:left w:val="nil"/>
          <w:bottom w:val="nil"/>
          <w:right w:val="nil"/>
          <w:between w:val="nil"/>
        </w:pBdr>
        <w:spacing w:after="0" w:line="360" w:lineRule="auto"/>
      </w:pPr>
      <w:r>
        <w:rPr>
          <w:b/>
          <w:color w:val="000000"/>
        </w:rPr>
        <w:t>Dato abierto:</w:t>
      </w:r>
      <w:r>
        <w:rPr>
          <w:color w:val="000000"/>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rsidR="004A46D5" w:rsidRDefault="004A46D5">
      <w:pPr>
        <w:spacing w:after="0" w:line="360" w:lineRule="auto"/>
      </w:pPr>
    </w:p>
    <w:p w:rsidR="004A46D5" w:rsidRDefault="00BD5DC1">
      <w:pPr>
        <w:numPr>
          <w:ilvl w:val="0"/>
          <w:numId w:val="2"/>
        </w:numPr>
        <w:pBdr>
          <w:top w:val="nil"/>
          <w:left w:val="nil"/>
          <w:bottom w:val="nil"/>
          <w:right w:val="nil"/>
          <w:between w:val="nil"/>
        </w:pBdr>
        <w:spacing w:after="0" w:line="360" w:lineRule="auto"/>
        <w:rPr>
          <w:color w:val="000000"/>
        </w:rPr>
      </w:pPr>
      <w:r>
        <w:rPr>
          <w:b/>
          <w:color w:val="000000"/>
        </w:rPr>
        <w:t>Formato accesible:</w:t>
      </w:r>
      <w:r>
        <w:rPr>
          <w:color w:val="000000"/>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rsidR="004A46D5" w:rsidRDefault="004A46D5">
      <w:pPr>
        <w:pBdr>
          <w:top w:val="nil"/>
          <w:left w:val="nil"/>
          <w:bottom w:val="nil"/>
          <w:right w:val="nil"/>
          <w:between w:val="nil"/>
        </w:pBdr>
        <w:spacing w:after="0" w:line="360" w:lineRule="auto"/>
        <w:ind w:left="720"/>
        <w:rPr>
          <w:color w:val="000000"/>
        </w:rPr>
      </w:pPr>
    </w:p>
    <w:p w:rsidR="004A46D5" w:rsidRDefault="00BD5DC1">
      <w:pPr>
        <w:spacing w:after="0" w:line="360" w:lineRule="auto"/>
      </w:pPr>
      <w: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rsidR="004A46D5" w:rsidRDefault="004A46D5">
      <w:pPr>
        <w:spacing w:after="0" w:line="360" w:lineRule="auto"/>
      </w:pPr>
    </w:p>
    <w:p w:rsidR="004A46D5" w:rsidRDefault="00BD5DC1">
      <w:pPr>
        <w:spacing w:after="0" w:line="360" w:lineRule="auto"/>
      </w:pPr>
      <w:r>
        <w:t xml:space="preserve">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w:t>
      </w:r>
      <w:r>
        <w:rPr>
          <w:b/>
        </w:rPr>
        <w:t>fuente, el lugar y la forma</w:t>
      </w:r>
      <w:r>
        <w:t xml:space="preserve"> en que se puede obtener la información.</w:t>
      </w:r>
    </w:p>
    <w:p w:rsidR="004A46D5" w:rsidRDefault="004A46D5">
      <w:pPr>
        <w:spacing w:after="0" w:line="360" w:lineRule="auto"/>
      </w:pPr>
    </w:p>
    <w:p w:rsidR="004A46D5" w:rsidRDefault="00BD5DC1">
      <w:pPr>
        <w:spacing w:after="0" w:line="360" w:lineRule="auto"/>
        <w:rPr>
          <w:b/>
        </w:rPr>
      </w:pPr>
      <w:r>
        <w:t xml:space="preserve">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w:t>
      </w:r>
      <w:r>
        <w:rPr>
          <w:b/>
        </w:rPr>
        <w:t>no acceder a la información contenida en la misma</w:t>
      </w:r>
      <w:r>
        <w:t xml:space="preserve">, lo cual da como resultado que el agravio sea </w:t>
      </w:r>
      <w:r>
        <w:rPr>
          <w:b/>
        </w:rPr>
        <w:t xml:space="preserve">FUNDADO. </w:t>
      </w:r>
    </w:p>
    <w:p w:rsidR="004A46D5" w:rsidRDefault="004A46D5">
      <w:pPr>
        <w:spacing w:after="0" w:line="360" w:lineRule="auto"/>
        <w:rPr>
          <w:b/>
        </w:rPr>
      </w:pPr>
    </w:p>
    <w:p w:rsidR="004A46D5" w:rsidRDefault="00BD5DC1">
      <w:pPr>
        <w:spacing w:after="0" w:line="360" w:lineRule="auto"/>
      </w:pPr>
      <w:r>
        <w:t xml:space="preserve">Ahora bien, de la revisión de la liga precisada, este Instituto logró advertir que remite a la página Oficial del Ayuntamiento de Toluca, correspondiente a la Cuenta Pública de 2024 tal como se muestra a continuación: </w:t>
      </w:r>
    </w:p>
    <w:p w:rsidR="004A46D5" w:rsidRDefault="004A46D5">
      <w:pPr>
        <w:spacing w:after="0" w:line="360" w:lineRule="auto"/>
      </w:pPr>
    </w:p>
    <w:p w:rsidR="004A46D5" w:rsidRDefault="00BD5DC1">
      <w:pPr>
        <w:spacing w:after="0" w:line="360" w:lineRule="auto"/>
        <w:jc w:val="center"/>
        <w:rPr>
          <w:color w:val="000000"/>
        </w:rPr>
      </w:pPr>
      <w:r>
        <w:rPr>
          <w:noProof/>
          <w:color w:val="000000"/>
        </w:rPr>
        <w:drawing>
          <wp:inline distT="0" distB="0" distL="0" distR="0">
            <wp:extent cx="3216179" cy="1855668"/>
            <wp:effectExtent l="0" t="0" r="0" b="0"/>
            <wp:docPr id="1891184546" name="image15.png" descr="Interfaz de usuario gráfica, Sitio web&#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5.png" descr="Interfaz de usuario gráfica, Sitio web&#10;&#10;El contenido generado por IA puede ser incorrecto."/>
                    <pic:cNvPicPr preferRelativeResize="0"/>
                  </pic:nvPicPr>
                  <pic:blipFill>
                    <a:blip r:embed="rId22"/>
                    <a:srcRect/>
                    <a:stretch>
                      <a:fillRect/>
                    </a:stretch>
                  </pic:blipFill>
                  <pic:spPr>
                    <a:xfrm>
                      <a:off x="0" y="0"/>
                      <a:ext cx="3216179" cy="1855668"/>
                    </a:xfrm>
                    <a:prstGeom prst="rect">
                      <a:avLst/>
                    </a:prstGeom>
                    <a:ln/>
                  </pic:spPr>
                </pic:pic>
              </a:graphicData>
            </a:graphic>
          </wp:inline>
        </w:drawing>
      </w:r>
    </w:p>
    <w:p w:rsidR="004A46D5" w:rsidRDefault="00BD5DC1">
      <w:pPr>
        <w:spacing w:after="0" w:line="360" w:lineRule="auto"/>
        <w:rPr>
          <w:color w:val="000000"/>
        </w:rPr>
      </w:pPr>
      <w:r>
        <w:rPr>
          <w:color w:val="000000"/>
        </w:rPr>
        <w:t xml:space="preserve">Así, de cuya revisión, se logró vislumbrar que contienen diversos documentos únicamente de tres módulos (de la información contable, presupuestaria y complementaria), sin </w:t>
      </w:r>
      <w:r>
        <w:rPr>
          <w:color w:val="000000"/>
        </w:rPr>
        <w:lastRenderedPageBreak/>
        <w:t>embargo, no son todos los que conforman la cuenta Pública, por las siguientes consideraciones.</w:t>
      </w:r>
    </w:p>
    <w:p w:rsidR="004A46D5" w:rsidRDefault="004A46D5">
      <w:pPr>
        <w:spacing w:after="0" w:line="360" w:lineRule="auto"/>
        <w:rPr>
          <w:color w:val="000000"/>
        </w:rPr>
      </w:pPr>
    </w:p>
    <w:p w:rsidR="004A46D5" w:rsidRDefault="00BD5DC1">
      <w:pPr>
        <w:numPr>
          <w:ilvl w:val="0"/>
          <w:numId w:val="1"/>
        </w:numPr>
        <w:pBdr>
          <w:top w:val="nil"/>
          <w:left w:val="nil"/>
          <w:bottom w:val="nil"/>
          <w:right w:val="nil"/>
          <w:between w:val="nil"/>
        </w:pBdr>
        <w:spacing w:after="0" w:line="360" w:lineRule="auto"/>
        <w:rPr>
          <w:color w:val="000000"/>
        </w:rPr>
      </w:pPr>
      <w:r>
        <w:rPr>
          <w:color w:val="000000"/>
        </w:rPr>
        <w:t xml:space="preserve">Del Módulo 1, dio acceso al </w:t>
      </w:r>
      <w:proofErr w:type="spellStart"/>
      <w:r>
        <w:rPr>
          <w:color w:val="000000"/>
        </w:rPr>
        <w:t>Submódulo</w:t>
      </w:r>
      <w:proofErr w:type="spellEnd"/>
      <w:r>
        <w:rPr>
          <w:color w:val="000000"/>
        </w:rPr>
        <w:t xml:space="preserve"> Estados Financieros, pero omitió entregar el </w:t>
      </w:r>
      <w:proofErr w:type="spellStart"/>
      <w:r>
        <w:rPr>
          <w:color w:val="000000"/>
        </w:rPr>
        <w:t>Submódulo</w:t>
      </w:r>
      <w:proofErr w:type="spellEnd"/>
      <w:r>
        <w:rPr>
          <w:color w:val="000000"/>
        </w:rPr>
        <w:t xml:space="preserve"> de Disciplina Financiera.</w:t>
      </w:r>
    </w:p>
    <w:p w:rsidR="004A46D5" w:rsidRDefault="00BD5DC1">
      <w:pPr>
        <w:numPr>
          <w:ilvl w:val="0"/>
          <w:numId w:val="1"/>
        </w:numPr>
        <w:pBdr>
          <w:top w:val="nil"/>
          <w:left w:val="nil"/>
          <w:bottom w:val="nil"/>
          <w:right w:val="nil"/>
          <w:between w:val="nil"/>
        </w:pBdr>
        <w:spacing w:after="0" w:line="360" w:lineRule="auto"/>
        <w:rPr>
          <w:color w:val="000000"/>
        </w:rPr>
      </w:pPr>
      <w:r>
        <w:rPr>
          <w:color w:val="000000"/>
        </w:rPr>
        <w:t xml:space="preserve">Del Módulo 2, entregó algunos documentos del </w:t>
      </w:r>
      <w:proofErr w:type="spellStart"/>
      <w:r>
        <w:rPr>
          <w:color w:val="000000"/>
        </w:rPr>
        <w:t>Submódulo</w:t>
      </w:r>
      <w:proofErr w:type="spellEnd"/>
      <w:r>
        <w:rPr>
          <w:color w:val="000000"/>
        </w:rPr>
        <w:t xml:space="preserve"> de Información Presupuestal y del </w:t>
      </w:r>
      <w:proofErr w:type="spellStart"/>
      <w:r>
        <w:rPr>
          <w:color w:val="000000"/>
        </w:rPr>
        <w:t>Submódulo</w:t>
      </w:r>
      <w:proofErr w:type="spellEnd"/>
      <w:r>
        <w:rPr>
          <w:color w:val="000000"/>
        </w:rPr>
        <w:t xml:space="preserve"> de Información Patrimonial, pero omitió proporcionar el Estado Analítico de Ingresos Integrado, Estado Analítico del Ejercicio del Presupuesto de Egresos (Detallado), Estado Analítico del Ejercicio del Presupuesto de Egresos Integrado, y Reporte de Altas y Bajas de Bienes Muebles e Inmuebles</w:t>
      </w:r>
    </w:p>
    <w:p w:rsidR="004A46D5" w:rsidRDefault="00BD5DC1">
      <w:pPr>
        <w:numPr>
          <w:ilvl w:val="0"/>
          <w:numId w:val="1"/>
        </w:numPr>
        <w:pBdr>
          <w:top w:val="nil"/>
          <w:left w:val="nil"/>
          <w:bottom w:val="nil"/>
          <w:right w:val="nil"/>
          <w:between w:val="nil"/>
        </w:pBdr>
        <w:spacing w:after="0" w:line="360" w:lineRule="auto"/>
        <w:rPr>
          <w:color w:val="000000"/>
        </w:rPr>
      </w:pPr>
      <w:r>
        <w:rPr>
          <w:color w:val="000000"/>
        </w:rPr>
        <w:t>Del Módulo 3, faltan todas las documentales, y</w:t>
      </w:r>
    </w:p>
    <w:p w:rsidR="004A46D5" w:rsidRDefault="00BD5DC1">
      <w:pPr>
        <w:numPr>
          <w:ilvl w:val="0"/>
          <w:numId w:val="1"/>
        </w:numPr>
        <w:pBdr>
          <w:top w:val="nil"/>
          <w:left w:val="nil"/>
          <w:bottom w:val="nil"/>
          <w:right w:val="nil"/>
          <w:between w:val="nil"/>
        </w:pBdr>
        <w:spacing w:after="0" w:line="360" w:lineRule="auto"/>
        <w:rPr>
          <w:color w:val="000000"/>
        </w:rPr>
      </w:pPr>
      <w:r>
        <w:rPr>
          <w:color w:val="000000"/>
        </w:rPr>
        <w:t>Del Módulo 4, no entregó ningún documento del apartado de Información Complementaria, ISSEMYM, ISR, FIPASAHEM, Dictamen ISERTP y del apartado de Financiamiento omitió entregar el Formato y Expediente de Financiamientos a corto y largo plazo del ejercicio y de ejercicios anteriores.</w:t>
      </w:r>
    </w:p>
    <w:p w:rsidR="004A46D5" w:rsidRDefault="004A46D5">
      <w:pPr>
        <w:spacing w:after="0" w:line="360" w:lineRule="auto"/>
        <w:jc w:val="center"/>
        <w:rPr>
          <w:color w:val="000000"/>
        </w:rPr>
      </w:pPr>
    </w:p>
    <w:p w:rsidR="004A46D5" w:rsidRDefault="00BD5DC1">
      <w:pPr>
        <w:widowControl w:val="0"/>
        <w:spacing w:after="0" w:line="360" w:lineRule="auto"/>
        <w:rPr>
          <w:color w:val="000000"/>
        </w:rPr>
      </w:pPr>
      <w:r>
        <w:rPr>
          <w:color w:val="000000"/>
        </w:rPr>
        <w:t xml:space="preserve">En ese orden ideas, cabe precisar que si bien la liga remitida en respuesta contiene parte de la información solicitada, no atiende en su totalidad el requerimiento de información, además se proporcionó en formato cerrado, por lo que este instituto considera que, para atender el requerimiento de información, el Sujeto Obligado deberá realizar una búsqueda exhaustiva y razonable en todas las áreas competentes, entre las cuales no podrá omitir a la Tesorería Municipal a efecto de que proporcione la información de los cuatro módulos que integran la Cuenta Pública del ejercicio fiscal dos mil veinticuatro. </w:t>
      </w:r>
    </w:p>
    <w:p w:rsidR="004A46D5" w:rsidRDefault="004A46D5">
      <w:pPr>
        <w:widowControl w:val="0"/>
        <w:spacing w:after="0" w:line="360" w:lineRule="auto"/>
        <w:rPr>
          <w:color w:val="000000"/>
        </w:rPr>
      </w:pPr>
    </w:p>
    <w:p w:rsidR="004A46D5" w:rsidRDefault="00BD5DC1">
      <w:pPr>
        <w:spacing w:after="0" w:line="360" w:lineRule="auto"/>
      </w:pPr>
      <w:r>
        <w:t xml:space="preserve">Dicha determinación, toma sustento en el artículo 12 de la Ley de Transparencia y Acceso a la Información Pública del Estado de México y Municipios, que establece que los sujetos obligados sólo están constreñidos a proporcionar la información pública que obre en sus </w:t>
      </w:r>
      <w:r>
        <w:lastRenderedPageBreak/>
        <w:t>archivos, en el estado en que esta se encuentre; por lo que, la entrega no comprende el procesamiento de la misma, ni presentarla conforme al interés del Solicitante.</w:t>
      </w:r>
    </w:p>
    <w:p w:rsidR="004A46D5" w:rsidRDefault="004A46D5">
      <w:pPr>
        <w:spacing w:after="0" w:line="360" w:lineRule="auto"/>
      </w:pPr>
    </w:p>
    <w:p w:rsidR="004A46D5" w:rsidRDefault="00BD5DC1">
      <w:pPr>
        <w:spacing w:after="0" w:line="360" w:lineRule="auto"/>
        <w:rPr>
          <w:color w:val="FF0000"/>
        </w:rPr>
      </w:pPr>
      <w:r>
        <w:t xml:space="preserve">De esta manera, el derecho de acceso a la información pública se satisface en aquellos casos en que se entregue el soporte documental en el que conste la información solicitada, sin necesidad de elaborar documentos </w:t>
      </w:r>
      <w:r>
        <w:rPr>
          <w:i/>
        </w:rPr>
        <w:t>ad hoc</w:t>
      </w:r>
      <w:r>
        <w:t>; lo cual, de conformidad con en el artículo 160 de la Ley de Transparencia y Acceso a la Información Pública del Estado de México y Municipios, el cual refiere que los sujetos obligados deberán entregar la información que obre en sus archivos.</w:t>
      </w:r>
    </w:p>
    <w:p w:rsidR="004A46D5" w:rsidRDefault="004A46D5">
      <w:pPr>
        <w:spacing w:after="0" w:line="360" w:lineRule="auto"/>
        <w:rPr>
          <w:color w:val="FF0000"/>
        </w:rPr>
      </w:pPr>
    </w:p>
    <w:p w:rsidR="004A46D5" w:rsidRDefault="00BD5DC1">
      <w:pPr>
        <w:spacing w:after="0" w:line="360" w:lineRule="auto"/>
      </w:pPr>
      <w: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de los cuatro módulos que integran la Cuenta Pública del ayuntamiento de Toluca, del ejercicio fiscal dos mil veinticuatro. </w:t>
      </w:r>
    </w:p>
    <w:p w:rsidR="004A46D5" w:rsidRDefault="004A46D5">
      <w:pPr>
        <w:spacing w:after="0" w:line="360" w:lineRule="auto"/>
      </w:pPr>
    </w:p>
    <w:p w:rsidR="004A46D5" w:rsidRDefault="00BD5DC1">
      <w:pPr>
        <w:widowControl w:val="0"/>
        <w:spacing w:after="0" w:line="360" w:lineRule="auto"/>
        <w:rPr>
          <w:color w:val="000000"/>
        </w:rPr>
      </w:pPr>
      <w:r>
        <w:t xml:space="preserve">Finalmente, no pasa desapercibido para este Instituto que la información faltante pudiera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w:t>
      </w:r>
      <w:r>
        <w:lastRenderedPageBreak/>
        <w:t>como emitir el Acuerdo, por parte del Comité de Transparencia, donde confirme la clasificación de los datos, fundando y motivando la clasificación.</w:t>
      </w:r>
    </w:p>
    <w:p w:rsidR="004A46D5" w:rsidRDefault="004A46D5">
      <w:pPr>
        <w:spacing w:after="0" w:line="360" w:lineRule="auto"/>
      </w:pPr>
    </w:p>
    <w:p w:rsidR="004A46D5" w:rsidRDefault="00BD5DC1">
      <w:pPr>
        <w:pStyle w:val="Ttulo2"/>
        <w:spacing w:before="0" w:after="0" w:line="360" w:lineRule="auto"/>
        <w:rPr>
          <w:sz w:val="22"/>
          <w:szCs w:val="22"/>
        </w:rPr>
      </w:pPr>
      <w:bookmarkStart w:id="13" w:name="_heading=h.68ea4w22b94l" w:colFirst="0" w:colLast="0"/>
      <w:bookmarkEnd w:id="13"/>
      <w:r>
        <w:rPr>
          <w:sz w:val="22"/>
          <w:szCs w:val="22"/>
        </w:rPr>
        <w:t>SEXTO. Decisión</w:t>
      </w:r>
    </w:p>
    <w:p w:rsidR="004A46D5" w:rsidRDefault="004A46D5">
      <w:pPr>
        <w:spacing w:after="0" w:line="360" w:lineRule="auto"/>
        <w:rPr>
          <w:b/>
        </w:rPr>
      </w:pPr>
    </w:p>
    <w:p w:rsidR="004A46D5" w:rsidRDefault="00BD5DC1">
      <w:pPr>
        <w:spacing w:after="0" w:line="360" w:lineRule="auto"/>
      </w:pPr>
      <w:r>
        <w:t xml:space="preserve">De acuerdo con lo expuesto y, con fundamento en el artículo 186, fracción III, de la Ley de Transparencia y Acceso a la Información Pública del Estado de México y Municipios, este Instituto considera procedente </w:t>
      </w:r>
      <w:r>
        <w:rPr>
          <w:b/>
        </w:rPr>
        <w:t xml:space="preserve">REVOCAR </w:t>
      </w:r>
      <w:r>
        <w:t>la respuesta del Ayuntamiento de Toluca</w:t>
      </w:r>
      <w:r>
        <w:rPr>
          <w:b/>
        </w:rPr>
        <w:t xml:space="preserve">, </w:t>
      </w:r>
      <w:r>
        <w:t>a efecto de que previa búsqueda exhaustiva y razonable entregue, en su caso en versión pública, la información solicitada.</w:t>
      </w:r>
    </w:p>
    <w:p w:rsidR="004A46D5" w:rsidRDefault="004A46D5">
      <w:pPr>
        <w:spacing w:after="0" w:line="360" w:lineRule="auto"/>
      </w:pPr>
    </w:p>
    <w:p w:rsidR="004A46D5" w:rsidRDefault="00BD5DC1">
      <w:pPr>
        <w:spacing w:after="0" w:line="360" w:lineRule="auto"/>
        <w:rPr>
          <w:b/>
        </w:rPr>
      </w:pPr>
      <w:r>
        <w:rPr>
          <w:b/>
        </w:rPr>
        <w:t>Términos de la Resolución para conocimiento del Particular</w:t>
      </w:r>
    </w:p>
    <w:p w:rsidR="004A46D5" w:rsidRDefault="004A46D5">
      <w:pPr>
        <w:spacing w:after="0" w:line="360" w:lineRule="auto"/>
        <w:rPr>
          <w:b/>
        </w:rPr>
      </w:pPr>
    </w:p>
    <w:p w:rsidR="004A46D5" w:rsidRDefault="00BD5DC1">
      <w:pPr>
        <w:spacing w:after="0" w:line="360" w:lineRule="auto"/>
      </w:pPr>
      <w:r>
        <w:t xml:space="preserve">Se le hace del conocimiento a la persona Recurrente que, en el presente asunto, se le da la razón, pues el Sujeto Obligado, entregó una liga en formato cerrado, además que no contiene toda la información solicitada, por lo que, deberá hacer la entrega de la Cuenta Pública del ejercicio fiscal dos mil veinticuatro; </w:t>
      </w:r>
      <w:r>
        <w:rPr>
          <w:color w:val="000000"/>
        </w:rPr>
        <w:t>la labor del Instituto es apoyar a la población a acceder a la información pública y garantizar la protección de sus datos personales.</w:t>
      </w:r>
    </w:p>
    <w:p w:rsidR="004A46D5" w:rsidRDefault="004A46D5">
      <w:pPr>
        <w:spacing w:after="0" w:line="360" w:lineRule="auto"/>
      </w:pPr>
    </w:p>
    <w:p w:rsidR="004A46D5" w:rsidRDefault="00BD5DC1">
      <w:pPr>
        <w:spacing w:after="0" w:line="360" w:lineRule="auto"/>
      </w:pPr>
      <w:r>
        <w:t>Por lo expuesto y fundado, este Pleno:</w:t>
      </w:r>
    </w:p>
    <w:p w:rsidR="004A46D5" w:rsidRDefault="004A46D5">
      <w:pPr>
        <w:spacing w:after="0" w:line="360" w:lineRule="auto"/>
      </w:pPr>
    </w:p>
    <w:p w:rsidR="004A46D5" w:rsidRDefault="00BD5DC1">
      <w:pPr>
        <w:pStyle w:val="Ttulo1"/>
        <w:spacing w:before="0" w:after="0" w:line="360" w:lineRule="auto"/>
        <w:jc w:val="center"/>
        <w:rPr>
          <w:sz w:val="22"/>
          <w:szCs w:val="22"/>
        </w:rPr>
      </w:pPr>
      <w:bookmarkStart w:id="14" w:name="_heading=h.tsobb8e3t5uw" w:colFirst="0" w:colLast="0"/>
      <w:bookmarkEnd w:id="14"/>
      <w:r>
        <w:rPr>
          <w:sz w:val="22"/>
          <w:szCs w:val="22"/>
        </w:rPr>
        <w:t>R E S U E L V E</w:t>
      </w:r>
    </w:p>
    <w:p w:rsidR="004A46D5" w:rsidRDefault="004A46D5">
      <w:pPr>
        <w:spacing w:after="0" w:line="360" w:lineRule="auto"/>
        <w:rPr>
          <w:b/>
        </w:rPr>
      </w:pPr>
    </w:p>
    <w:p w:rsidR="004A46D5" w:rsidRDefault="00BD5DC1">
      <w:pPr>
        <w:spacing w:after="0" w:line="360" w:lineRule="auto"/>
      </w:pPr>
      <w:r>
        <w:rPr>
          <w:b/>
        </w:rPr>
        <w:t xml:space="preserve">PRIMERO. </w:t>
      </w:r>
      <w:r>
        <w:t xml:space="preserve">Se </w:t>
      </w:r>
      <w:r>
        <w:rPr>
          <w:b/>
        </w:rPr>
        <w:t xml:space="preserve">REVOCA </w:t>
      </w:r>
      <w:r>
        <w:t xml:space="preserve">la respuesta entregada por el Ayuntamiento de Toluca, a la solicitud de información 03106/TOLUCA/IP/2025, por resultar </w:t>
      </w:r>
      <w:r>
        <w:rPr>
          <w:b/>
        </w:rPr>
        <w:t xml:space="preserve">FUNDADAS </w:t>
      </w:r>
      <w:r>
        <w:t>las razones o motivos de inconformidad hechos valer por el Recurrente, en términos de los considerandos QUINTO y SEXTO de la presente Resolución.</w:t>
      </w:r>
    </w:p>
    <w:p w:rsidR="004A46D5" w:rsidRDefault="004A46D5">
      <w:pPr>
        <w:spacing w:after="0" w:line="360" w:lineRule="auto"/>
      </w:pPr>
    </w:p>
    <w:p w:rsidR="004A46D5" w:rsidRDefault="00BD5DC1">
      <w:pPr>
        <w:spacing w:after="0" w:line="360" w:lineRule="auto"/>
      </w:pPr>
      <w:r>
        <w:rPr>
          <w:b/>
        </w:rPr>
        <w:t xml:space="preserve">SEGUNDO. </w:t>
      </w:r>
      <w:r>
        <w:t xml:space="preserve">Se </w:t>
      </w:r>
      <w:r>
        <w:rPr>
          <w:b/>
        </w:rPr>
        <w:t>ORDENA</w:t>
      </w:r>
      <w:r>
        <w:t xml:space="preserve"> al Ente Recurrido</w:t>
      </w:r>
      <w:r>
        <w:rPr>
          <w:b/>
        </w:rPr>
        <w:t xml:space="preserve">, </w:t>
      </w:r>
      <w:r>
        <w:t>a efecto de que previa búsqueda exhaustiva y razonable, en los archivos de las unidades administrativas competentes, entregue a través del Sistema de Acceso a la Información Mexiquense (SAIMEX), en su caso, en versión pública, lo siguiente:</w:t>
      </w:r>
    </w:p>
    <w:p w:rsidR="004A46D5" w:rsidRDefault="004A46D5">
      <w:pPr>
        <w:spacing w:after="0" w:line="360" w:lineRule="auto"/>
      </w:pPr>
    </w:p>
    <w:p w:rsidR="004A46D5" w:rsidRDefault="00BD5DC1">
      <w:pPr>
        <w:numPr>
          <w:ilvl w:val="0"/>
          <w:numId w:val="3"/>
        </w:numPr>
        <w:pBdr>
          <w:top w:val="nil"/>
          <w:left w:val="nil"/>
          <w:bottom w:val="nil"/>
          <w:right w:val="nil"/>
          <w:between w:val="nil"/>
        </w:pBdr>
        <w:spacing w:after="0" w:line="360" w:lineRule="auto"/>
      </w:pPr>
      <w:r>
        <w:rPr>
          <w:color w:val="000000"/>
        </w:rPr>
        <w:t>Los documentos que integran la Cuenta Pública del ejercicio fiscal dos mil veinticuatro.</w:t>
      </w:r>
    </w:p>
    <w:p w:rsidR="004A46D5" w:rsidRDefault="004A46D5">
      <w:pPr>
        <w:spacing w:after="0" w:line="360" w:lineRule="auto"/>
        <w:rPr>
          <w:color w:val="000000"/>
        </w:rPr>
      </w:pPr>
    </w:p>
    <w:p w:rsidR="004A46D5" w:rsidRDefault="00BD5DC1">
      <w:pPr>
        <w:spacing w:after="0" w:line="360" w:lineRule="auto"/>
      </w:pPr>
      <w:r>
        <w:rPr>
          <w:color w:val="000000"/>
        </w:rPr>
        <w:t xml:space="preserve">Además, de ser el caso, </w:t>
      </w:r>
      <w: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4A46D5" w:rsidRDefault="004A46D5">
      <w:pPr>
        <w:spacing w:after="0" w:line="360" w:lineRule="auto"/>
        <w:ind w:right="-91"/>
        <w:rPr>
          <w:b/>
        </w:rPr>
      </w:pPr>
    </w:p>
    <w:p w:rsidR="004A46D5" w:rsidRDefault="00BD5DC1">
      <w:pPr>
        <w:spacing w:after="0" w:line="360" w:lineRule="auto"/>
        <w:ind w:right="-28"/>
        <w:rPr>
          <w:color w:val="000000"/>
        </w:rPr>
      </w:pPr>
      <w:r>
        <w:rPr>
          <w:b/>
        </w:rPr>
        <w:t xml:space="preserve">TERCERO. NOTIFÍQUESE POR SAIMEX </w:t>
      </w:r>
      <w: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r>
        <w:rPr>
          <w:color w:val="000000"/>
        </w:rPr>
        <w:t>De conformidad con el artículo 198 de la Ley de la materia, de considerarlo procedente, el Sujeto Obligado de manera fundada y motivada, podrá solicitar una ampliación de plazo para el cumplimiento de la presente resolución.</w:t>
      </w:r>
    </w:p>
    <w:p w:rsidR="004A46D5" w:rsidRDefault="004A46D5">
      <w:pPr>
        <w:spacing w:after="0" w:line="360" w:lineRule="auto"/>
        <w:rPr>
          <w:color w:val="000000"/>
        </w:rPr>
      </w:pPr>
    </w:p>
    <w:p w:rsidR="004A46D5" w:rsidRDefault="00BD5DC1">
      <w:pPr>
        <w:spacing w:after="0" w:line="360" w:lineRule="auto"/>
      </w:pPr>
      <w:r>
        <w:rPr>
          <w:b/>
        </w:rPr>
        <w:lastRenderedPageBreak/>
        <w:t>CUARTO.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4A46D5" w:rsidRDefault="004A46D5">
      <w:pPr>
        <w:spacing w:after="0" w:line="360" w:lineRule="auto"/>
        <w:rPr>
          <w:b/>
        </w:rPr>
      </w:pPr>
    </w:p>
    <w:p w:rsidR="004A46D5" w:rsidRDefault="00BD5DC1">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p>
    <w:p w:rsidR="004A46D5" w:rsidRDefault="004A46D5">
      <w:pPr>
        <w:spacing w:after="0" w:line="360" w:lineRule="auto"/>
        <w:ind w:right="-28"/>
        <w:rPr>
          <w:color w:val="000000"/>
        </w:rPr>
      </w:pPr>
    </w:p>
    <w:p w:rsidR="004A46D5" w:rsidRDefault="004A46D5">
      <w:pPr>
        <w:spacing w:after="0" w:line="360" w:lineRule="auto"/>
        <w:rPr>
          <w:b/>
        </w:rPr>
      </w:pPr>
    </w:p>
    <w:p w:rsidR="004A46D5" w:rsidRDefault="004A46D5">
      <w:pPr>
        <w:spacing w:after="0" w:line="360" w:lineRule="auto"/>
        <w:rPr>
          <w:b/>
        </w:rPr>
      </w:pPr>
    </w:p>
    <w:p w:rsidR="004A46D5" w:rsidRDefault="004A46D5">
      <w:pPr>
        <w:spacing w:after="0" w:line="360" w:lineRule="auto"/>
        <w:rPr>
          <w:color w:val="000000"/>
        </w:rPr>
      </w:pPr>
    </w:p>
    <w:p w:rsidR="004A46D5" w:rsidRDefault="004A46D5">
      <w:pPr>
        <w:spacing w:after="0" w:line="360" w:lineRule="auto"/>
        <w:rPr>
          <w:color w:val="000000"/>
        </w:rPr>
      </w:pPr>
    </w:p>
    <w:p w:rsidR="004A46D5" w:rsidRDefault="004A46D5">
      <w:pPr>
        <w:spacing w:after="0" w:line="360" w:lineRule="auto"/>
      </w:pPr>
    </w:p>
    <w:p w:rsidR="004A46D5" w:rsidRDefault="004A46D5">
      <w:pPr>
        <w:spacing w:after="0" w:line="360" w:lineRule="auto"/>
      </w:pPr>
    </w:p>
    <w:p w:rsidR="004A46D5" w:rsidRDefault="004A46D5">
      <w:pPr>
        <w:spacing w:after="0" w:line="360" w:lineRule="auto"/>
        <w:rPr>
          <w:color w:val="000000"/>
        </w:rPr>
      </w:pPr>
    </w:p>
    <w:p w:rsidR="004A46D5" w:rsidRDefault="004A46D5">
      <w:pPr>
        <w:spacing w:after="0" w:line="360" w:lineRule="auto"/>
        <w:rPr>
          <w:color w:val="000000"/>
        </w:rPr>
      </w:pPr>
    </w:p>
    <w:p w:rsidR="002A330F" w:rsidRDefault="002A330F">
      <w:pPr>
        <w:spacing w:after="0" w:line="360" w:lineRule="auto"/>
        <w:rPr>
          <w:color w:val="000000"/>
        </w:rPr>
      </w:pPr>
    </w:p>
    <w:p w:rsidR="002A330F" w:rsidRDefault="002A330F">
      <w:pPr>
        <w:spacing w:after="0" w:line="360" w:lineRule="auto"/>
        <w:rPr>
          <w:color w:val="000000"/>
        </w:rPr>
      </w:pPr>
    </w:p>
    <w:p w:rsidR="002A330F" w:rsidRDefault="002A330F">
      <w:pPr>
        <w:spacing w:after="0" w:line="360" w:lineRule="auto"/>
        <w:rPr>
          <w:color w:val="000000"/>
        </w:rPr>
      </w:pPr>
    </w:p>
    <w:p w:rsidR="002A330F" w:rsidRDefault="002A330F">
      <w:pPr>
        <w:spacing w:after="0" w:line="360" w:lineRule="auto"/>
        <w:rPr>
          <w:color w:val="000000"/>
        </w:rPr>
      </w:pPr>
    </w:p>
    <w:p w:rsidR="002A330F" w:rsidRDefault="002A330F">
      <w:pPr>
        <w:spacing w:after="0" w:line="360" w:lineRule="auto"/>
        <w:rPr>
          <w:color w:val="000000"/>
        </w:rPr>
      </w:pPr>
    </w:p>
    <w:p w:rsidR="002A330F" w:rsidRDefault="002A330F">
      <w:pPr>
        <w:spacing w:after="0" w:line="360" w:lineRule="auto"/>
        <w:rPr>
          <w:color w:val="000000"/>
        </w:rPr>
      </w:pPr>
    </w:p>
    <w:p w:rsidR="002A330F" w:rsidRDefault="002A330F">
      <w:pPr>
        <w:spacing w:after="0" w:line="360" w:lineRule="auto"/>
        <w:rPr>
          <w:color w:val="000000"/>
        </w:rPr>
      </w:pPr>
      <w:bookmarkStart w:id="15" w:name="_GoBack"/>
      <w:bookmarkEnd w:id="15"/>
    </w:p>
    <w:p w:rsidR="004A46D5" w:rsidRDefault="004A46D5">
      <w:pPr>
        <w:tabs>
          <w:tab w:val="right" w:pos="8931"/>
        </w:tabs>
        <w:spacing w:after="0" w:line="360" w:lineRule="auto"/>
      </w:pPr>
    </w:p>
    <w:p w:rsidR="004A46D5" w:rsidRDefault="004A46D5">
      <w:pPr>
        <w:tabs>
          <w:tab w:val="right" w:pos="8931"/>
        </w:tabs>
        <w:spacing w:after="0" w:line="360" w:lineRule="auto"/>
      </w:pPr>
    </w:p>
    <w:p w:rsidR="004A46D5" w:rsidRDefault="004A46D5">
      <w:pPr>
        <w:spacing w:after="0" w:line="360" w:lineRule="auto"/>
      </w:pPr>
    </w:p>
    <w:p w:rsidR="004A46D5" w:rsidRDefault="004A46D5">
      <w:pPr>
        <w:spacing w:after="0" w:line="360" w:lineRule="auto"/>
      </w:pPr>
    </w:p>
    <w:sectPr w:rsidR="004A46D5">
      <w:headerReference w:type="even" r:id="rId23"/>
      <w:headerReference w:type="default" r:id="rId24"/>
      <w:footerReference w:type="even" r:id="rId25"/>
      <w:footerReference w:type="default" r:id="rId26"/>
      <w:headerReference w:type="first" r:id="rId27"/>
      <w:footerReference w:type="first" r:id="rId2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06C" w:rsidRDefault="00CD006C">
      <w:pPr>
        <w:spacing w:after="0" w:line="240" w:lineRule="auto"/>
      </w:pPr>
      <w:r>
        <w:separator/>
      </w:r>
    </w:p>
  </w:endnote>
  <w:endnote w:type="continuationSeparator" w:id="0">
    <w:p w:rsidR="00CD006C" w:rsidRDefault="00CD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D5" w:rsidRDefault="00BD5DC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B57097">
      <w:rPr>
        <w:b/>
        <w:color w:val="000000"/>
        <w:sz w:val="24"/>
        <w:szCs w:val="24"/>
      </w:rPr>
      <w:fldChar w:fldCharType="separate"/>
    </w:r>
    <w:r w:rsidR="00B57097">
      <w:rPr>
        <w:b/>
        <w:noProof/>
        <w:color w:val="000000"/>
        <w:sz w:val="24"/>
        <w:szCs w:val="24"/>
      </w:rPr>
      <w:t>24</w:t>
    </w:r>
    <w:r>
      <w:rPr>
        <w:b/>
        <w:color w:val="000000"/>
        <w:sz w:val="24"/>
        <w:szCs w:val="24"/>
      </w:rPr>
      <w:fldChar w:fldCharType="end"/>
    </w:r>
  </w:p>
  <w:p w:rsidR="004A46D5" w:rsidRDefault="004A46D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D5" w:rsidRDefault="00BD5DC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57097">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57097">
      <w:rPr>
        <w:b/>
        <w:noProof/>
        <w:color w:val="000000"/>
        <w:sz w:val="24"/>
        <w:szCs w:val="24"/>
      </w:rPr>
      <w:t>24</w:t>
    </w:r>
    <w:r>
      <w:rPr>
        <w:b/>
        <w:color w:val="000000"/>
        <w:sz w:val="24"/>
        <w:szCs w:val="24"/>
      </w:rPr>
      <w:fldChar w:fldCharType="end"/>
    </w:r>
  </w:p>
  <w:p w:rsidR="004A46D5" w:rsidRDefault="004A46D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D5" w:rsidRDefault="00BD5DC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5709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57097">
      <w:rPr>
        <w:b/>
        <w:noProof/>
        <w:color w:val="000000"/>
        <w:sz w:val="24"/>
        <w:szCs w:val="24"/>
      </w:rPr>
      <w:t>24</w:t>
    </w:r>
    <w:r>
      <w:rPr>
        <w:b/>
        <w:color w:val="000000"/>
        <w:sz w:val="24"/>
        <w:szCs w:val="24"/>
      </w:rPr>
      <w:fldChar w:fldCharType="end"/>
    </w:r>
  </w:p>
  <w:p w:rsidR="004A46D5" w:rsidRDefault="004A46D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06C" w:rsidRDefault="00CD006C">
      <w:pPr>
        <w:spacing w:after="0" w:line="240" w:lineRule="auto"/>
      </w:pPr>
      <w:r>
        <w:separator/>
      </w:r>
    </w:p>
  </w:footnote>
  <w:footnote w:type="continuationSeparator" w:id="0">
    <w:p w:rsidR="00CD006C" w:rsidRDefault="00CD0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D5" w:rsidRDefault="004A46D5">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A46D5">
      <w:trPr>
        <w:trHeight w:val="132"/>
      </w:trPr>
      <w:tc>
        <w:tcPr>
          <w:tcW w:w="0" w:type="auto"/>
        </w:tcPr>
        <w:p w:rsidR="004A46D5" w:rsidRDefault="00BD5DC1">
          <w:pPr>
            <w:tabs>
              <w:tab w:val="right" w:pos="8838"/>
            </w:tabs>
            <w:ind w:right="-105"/>
            <w:rPr>
              <w:b/>
            </w:rPr>
          </w:pPr>
          <w:r>
            <w:rPr>
              <w:b/>
            </w:rPr>
            <w:t>Recurso de Revisión:</w:t>
          </w:r>
        </w:p>
      </w:tc>
      <w:tc>
        <w:tcPr>
          <w:tcW w:w="0" w:type="auto"/>
        </w:tcPr>
        <w:p w:rsidR="004A46D5" w:rsidRDefault="00BD5DC1">
          <w:pPr>
            <w:tabs>
              <w:tab w:val="right" w:pos="8838"/>
            </w:tabs>
            <w:ind w:left="-28" w:right="-32"/>
          </w:pPr>
          <w:r>
            <w:t>03846/INFOEM/IP/RR/2020</w:t>
          </w:r>
        </w:p>
      </w:tc>
    </w:tr>
    <w:tr w:rsidR="004A46D5">
      <w:trPr>
        <w:trHeight w:val="261"/>
      </w:trPr>
      <w:tc>
        <w:tcPr>
          <w:tcW w:w="0" w:type="auto"/>
        </w:tcPr>
        <w:p w:rsidR="004A46D5" w:rsidRDefault="00BD5DC1">
          <w:pPr>
            <w:tabs>
              <w:tab w:val="right" w:pos="8838"/>
            </w:tabs>
            <w:ind w:right="-105"/>
            <w:rPr>
              <w:b/>
            </w:rPr>
          </w:pPr>
          <w:r>
            <w:rPr>
              <w:b/>
            </w:rPr>
            <w:t>Sujeto Obligado:</w:t>
          </w:r>
        </w:p>
      </w:tc>
      <w:tc>
        <w:tcPr>
          <w:tcW w:w="0" w:type="auto"/>
        </w:tcPr>
        <w:p w:rsidR="004A46D5" w:rsidRDefault="00BD5DC1">
          <w:pPr>
            <w:tabs>
              <w:tab w:val="right" w:pos="8838"/>
            </w:tabs>
            <w:ind w:right="-32"/>
          </w:pPr>
          <w:r>
            <w:t xml:space="preserve">Ayuntamiento de </w:t>
          </w:r>
          <w:proofErr w:type="spellStart"/>
          <w:r>
            <w:t>Temascalcingo</w:t>
          </w:r>
          <w:proofErr w:type="spellEnd"/>
        </w:p>
      </w:tc>
    </w:tr>
    <w:tr w:rsidR="004A46D5">
      <w:trPr>
        <w:trHeight w:val="261"/>
      </w:trPr>
      <w:tc>
        <w:tcPr>
          <w:tcW w:w="0" w:type="auto"/>
        </w:tcPr>
        <w:p w:rsidR="004A46D5" w:rsidRDefault="00BD5DC1">
          <w:pPr>
            <w:tabs>
              <w:tab w:val="right" w:pos="8838"/>
            </w:tabs>
            <w:ind w:right="-105"/>
            <w:rPr>
              <w:b/>
            </w:rPr>
          </w:pPr>
          <w:r>
            <w:rPr>
              <w:b/>
            </w:rPr>
            <w:t>Comisionado Ponente:</w:t>
          </w:r>
        </w:p>
      </w:tc>
      <w:tc>
        <w:tcPr>
          <w:tcW w:w="0" w:type="auto"/>
        </w:tcPr>
        <w:p w:rsidR="004A46D5" w:rsidRDefault="00BD5DC1">
          <w:pPr>
            <w:tabs>
              <w:tab w:val="right" w:pos="8838"/>
            </w:tabs>
            <w:ind w:right="-32"/>
            <w:rPr>
              <w:b/>
            </w:rPr>
          </w:pPr>
          <w:r>
            <w:t>Luis Gustavo Parra Noriega</w:t>
          </w:r>
        </w:p>
      </w:tc>
    </w:tr>
  </w:tbl>
  <w:p w:rsidR="004A46D5" w:rsidRDefault="00CD006C">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D5" w:rsidRDefault="00CD006C">
    <w:pPr>
      <w:widowControl w:val="0"/>
      <w:pBdr>
        <w:top w:val="nil"/>
        <w:left w:val="nil"/>
        <w:bottom w:val="nil"/>
        <w:right w:val="nil"/>
        <w:between w:val="nil"/>
      </w:pBdr>
      <w:spacing w:after="0" w:line="276" w:lineRule="auto"/>
      <w:jc w:val="left"/>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A46D5">
      <w:trPr>
        <w:trHeight w:val="138"/>
      </w:trPr>
      <w:tc>
        <w:tcPr>
          <w:tcW w:w="2693" w:type="dxa"/>
          <w:vAlign w:val="center"/>
        </w:tcPr>
        <w:p w:rsidR="004A46D5" w:rsidRDefault="004A46D5">
          <w:pPr>
            <w:tabs>
              <w:tab w:val="right" w:pos="8838"/>
            </w:tabs>
            <w:ind w:left="-108" w:right="-105"/>
            <w:jc w:val="left"/>
            <w:rPr>
              <w:b/>
            </w:rPr>
          </w:pPr>
        </w:p>
        <w:p w:rsidR="004A46D5" w:rsidRDefault="00BD5DC1">
          <w:pPr>
            <w:tabs>
              <w:tab w:val="right" w:pos="8838"/>
            </w:tabs>
            <w:ind w:left="-108" w:right="-105"/>
            <w:jc w:val="left"/>
            <w:rPr>
              <w:b/>
            </w:rPr>
          </w:pPr>
          <w:r>
            <w:rPr>
              <w:b/>
            </w:rPr>
            <w:t>Recurso de Revisión:</w:t>
          </w:r>
        </w:p>
      </w:tc>
      <w:tc>
        <w:tcPr>
          <w:tcW w:w="3969" w:type="dxa"/>
        </w:tcPr>
        <w:p w:rsidR="004A46D5" w:rsidRDefault="004A46D5">
          <w:pPr>
            <w:tabs>
              <w:tab w:val="right" w:pos="8838"/>
            </w:tabs>
            <w:ind w:right="57"/>
          </w:pPr>
        </w:p>
        <w:p w:rsidR="004A46D5" w:rsidRDefault="00BD5DC1">
          <w:pPr>
            <w:tabs>
              <w:tab w:val="right" w:pos="8838"/>
            </w:tabs>
            <w:ind w:right="57"/>
          </w:pPr>
          <w:r>
            <w:t>08276/INFOEM/IP/RR/2025</w:t>
          </w:r>
        </w:p>
      </w:tc>
    </w:tr>
    <w:tr w:rsidR="004A46D5">
      <w:trPr>
        <w:trHeight w:val="273"/>
      </w:trPr>
      <w:tc>
        <w:tcPr>
          <w:tcW w:w="2693" w:type="dxa"/>
        </w:tcPr>
        <w:p w:rsidR="004A46D5" w:rsidRDefault="00BD5DC1">
          <w:pPr>
            <w:tabs>
              <w:tab w:val="right" w:pos="8838"/>
            </w:tabs>
            <w:ind w:left="-108" w:right="-105"/>
            <w:rPr>
              <w:b/>
            </w:rPr>
          </w:pPr>
          <w:r>
            <w:rPr>
              <w:b/>
            </w:rPr>
            <w:t>Sujeto Obligado:</w:t>
          </w:r>
        </w:p>
      </w:tc>
      <w:tc>
        <w:tcPr>
          <w:tcW w:w="3969" w:type="dxa"/>
        </w:tcPr>
        <w:p w:rsidR="004A46D5" w:rsidRDefault="00BD5DC1">
          <w:pPr>
            <w:tabs>
              <w:tab w:val="right" w:pos="8838"/>
            </w:tabs>
            <w:ind w:right="180"/>
          </w:pPr>
          <w:r>
            <w:t>Ayuntamiento de Toluca</w:t>
          </w:r>
        </w:p>
      </w:tc>
    </w:tr>
    <w:tr w:rsidR="004A46D5">
      <w:trPr>
        <w:trHeight w:val="273"/>
      </w:trPr>
      <w:tc>
        <w:tcPr>
          <w:tcW w:w="2693" w:type="dxa"/>
        </w:tcPr>
        <w:p w:rsidR="004A46D5" w:rsidRDefault="00BD5DC1">
          <w:pPr>
            <w:tabs>
              <w:tab w:val="right" w:pos="8838"/>
            </w:tabs>
            <w:ind w:left="-108" w:right="-105"/>
            <w:rPr>
              <w:b/>
            </w:rPr>
          </w:pPr>
          <w:r>
            <w:rPr>
              <w:b/>
            </w:rPr>
            <w:t>Comisionado Ponente:</w:t>
          </w:r>
        </w:p>
      </w:tc>
      <w:tc>
        <w:tcPr>
          <w:tcW w:w="3969" w:type="dxa"/>
        </w:tcPr>
        <w:p w:rsidR="004A46D5" w:rsidRDefault="00BD5DC1">
          <w:pPr>
            <w:tabs>
              <w:tab w:val="right" w:pos="8838"/>
            </w:tabs>
            <w:ind w:right="-170"/>
          </w:pPr>
          <w:r>
            <w:t>Luis Gustavo Parra Noriega</w:t>
          </w:r>
        </w:p>
        <w:p w:rsidR="004A46D5" w:rsidRDefault="004A46D5">
          <w:pPr>
            <w:tabs>
              <w:tab w:val="right" w:pos="8838"/>
            </w:tabs>
            <w:ind w:right="-170"/>
            <w:rPr>
              <w:b/>
            </w:rPr>
          </w:pPr>
        </w:p>
      </w:tc>
    </w:tr>
  </w:tbl>
  <w:p w:rsidR="004A46D5" w:rsidRDefault="004A46D5">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D5" w:rsidRDefault="004A46D5">
    <w:pPr>
      <w:widowControl w:val="0"/>
      <w:pBdr>
        <w:top w:val="nil"/>
        <w:left w:val="nil"/>
        <w:bottom w:val="nil"/>
        <w:right w:val="nil"/>
        <w:between w:val="nil"/>
      </w:pBdr>
      <w:spacing w:after="0" w:line="276" w:lineRule="auto"/>
      <w:jc w:val="left"/>
      <w:rPr>
        <w:color w:val="000000"/>
      </w:rPr>
    </w:pPr>
  </w:p>
  <w:tbl>
    <w:tblPr>
      <w:tblStyle w:val="a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A46D5">
      <w:trPr>
        <w:trHeight w:val="132"/>
      </w:trPr>
      <w:tc>
        <w:tcPr>
          <w:tcW w:w="2551" w:type="dxa"/>
        </w:tcPr>
        <w:p w:rsidR="004A46D5" w:rsidRDefault="00BD5DC1">
          <w:pPr>
            <w:tabs>
              <w:tab w:val="right" w:pos="8838"/>
            </w:tabs>
            <w:ind w:right="-105"/>
            <w:rPr>
              <w:b/>
            </w:rPr>
          </w:pPr>
          <w:r>
            <w:rPr>
              <w:b/>
            </w:rPr>
            <w:t>Recurso de Revisión:</w:t>
          </w:r>
        </w:p>
      </w:tc>
      <w:tc>
        <w:tcPr>
          <w:tcW w:w="4253" w:type="dxa"/>
        </w:tcPr>
        <w:p w:rsidR="004A46D5" w:rsidRDefault="00BD5DC1">
          <w:r>
            <w:t>08276/INFOEM/IP/RR/2025</w:t>
          </w:r>
        </w:p>
      </w:tc>
    </w:tr>
    <w:tr w:rsidR="004A46D5">
      <w:trPr>
        <w:trHeight w:val="132"/>
      </w:trPr>
      <w:tc>
        <w:tcPr>
          <w:tcW w:w="2551" w:type="dxa"/>
        </w:tcPr>
        <w:p w:rsidR="004A46D5" w:rsidRDefault="00BD5DC1">
          <w:pPr>
            <w:tabs>
              <w:tab w:val="left" w:pos="1875"/>
            </w:tabs>
            <w:ind w:right="-105"/>
            <w:rPr>
              <w:b/>
            </w:rPr>
          </w:pPr>
          <w:r>
            <w:rPr>
              <w:b/>
            </w:rPr>
            <w:t>Recurrente:</w:t>
          </w:r>
          <w:r>
            <w:rPr>
              <w:b/>
            </w:rPr>
            <w:tab/>
          </w:r>
        </w:p>
      </w:tc>
      <w:tc>
        <w:tcPr>
          <w:tcW w:w="4253" w:type="dxa"/>
        </w:tcPr>
        <w:p w:rsidR="004A46D5" w:rsidRDefault="004A46D5">
          <w:pPr>
            <w:tabs>
              <w:tab w:val="right" w:pos="8838"/>
            </w:tabs>
            <w:ind w:right="-250"/>
          </w:pPr>
        </w:p>
      </w:tc>
    </w:tr>
    <w:tr w:rsidR="004A46D5">
      <w:trPr>
        <w:trHeight w:val="261"/>
      </w:trPr>
      <w:tc>
        <w:tcPr>
          <w:tcW w:w="2551" w:type="dxa"/>
        </w:tcPr>
        <w:p w:rsidR="004A46D5" w:rsidRDefault="00BD5DC1">
          <w:pPr>
            <w:tabs>
              <w:tab w:val="right" w:pos="8838"/>
            </w:tabs>
            <w:ind w:right="-105"/>
            <w:rPr>
              <w:b/>
            </w:rPr>
          </w:pPr>
          <w:r>
            <w:rPr>
              <w:b/>
            </w:rPr>
            <w:t>Sujeto Obligado:</w:t>
          </w:r>
        </w:p>
      </w:tc>
      <w:tc>
        <w:tcPr>
          <w:tcW w:w="4253" w:type="dxa"/>
        </w:tcPr>
        <w:p w:rsidR="004A46D5" w:rsidRDefault="00BD5DC1">
          <w:r>
            <w:t xml:space="preserve">Ayuntamiento de Toluca </w:t>
          </w:r>
        </w:p>
      </w:tc>
    </w:tr>
    <w:tr w:rsidR="004A46D5">
      <w:trPr>
        <w:trHeight w:val="261"/>
      </w:trPr>
      <w:tc>
        <w:tcPr>
          <w:tcW w:w="2551" w:type="dxa"/>
        </w:tcPr>
        <w:p w:rsidR="004A46D5" w:rsidRDefault="00BD5DC1">
          <w:pPr>
            <w:tabs>
              <w:tab w:val="right" w:pos="8838"/>
            </w:tabs>
            <w:ind w:right="-105"/>
            <w:rPr>
              <w:b/>
            </w:rPr>
          </w:pPr>
          <w:r>
            <w:rPr>
              <w:b/>
            </w:rPr>
            <w:t>Comisionado Ponente:</w:t>
          </w:r>
        </w:p>
      </w:tc>
      <w:tc>
        <w:tcPr>
          <w:tcW w:w="4253" w:type="dxa"/>
        </w:tcPr>
        <w:p w:rsidR="004A46D5" w:rsidRDefault="00BD5DC1">
          <w:pPr>
            <w:tabs>
              <w:tab w:val="right" w:pos="8838"/>
            </w:tabs>
            <w:ind w:right="-32"/>
            <w:rPr>
              <w:b/>
            </w:rPr>
          </w:pPr>
          <w:r>
            <w:t>Luis Gustavo Parra Noriega</w:t>
          </w:r>
        </w:p>
      </w:tc>
    </w:tr>
  </w:tbl>
  <w:p w:rsidR="004A46D5" w:rsidRDefault="00CD006C">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D17A4"/>
    <w:multiLevelType w:val="multilevel"/>
    <w:tmpl w:val="539E23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50807FF8"/>
    <w:multiLevelType w:val="multilevel"/>
    <w:tmpl w:val="46DCE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C9513B"/>
    <w:multiLevelType w:val="multilevel"/>
    <w:tmpl w:val="0F7C6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D5"/>
    <w:rsid w:val="002A330F"/>
    <w:rsid w:val="004A46D5"/>
    <w:rsid w:val="004F3A37"/>
    <w:rsid w:val="00B57097"/>
    <w:rsid w:val="00BD5DC1"/>
    <w:rsid w:val="00CD00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C8FE01A-BF1E-4A4C-AA0E-715B2870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 w:type="character" w:customStyle="1" w:styleId="UnresolvedMention">
    <w:name w:val="Unresolved Mention"/>
    <w:basedOn w:val="Fuentedeprrafopredeter"/>
    <w:uiPriority w:val="99"/>
    <w:semiHidden/>
    <w:unhideWhenUsed/>
    <w:rsid w:val="00E66AFC"/>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2.toluca.gob.mx/cuentapublica2024/"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m/b5WSopHAZySw6Dm5MtyEheA==">CgMxLjAyDmguOXlmNW12M3Q4N2hsMg5oLjF4ZnIyejRxZDRoMzIOaC55cjE4b2Y2OWF4c3AyDGguZm9kbmphNXRsajIOaC5uMW80c2RuYXNocmMyDmguY2N4OWFrZ2tsaXpnMg5oLnBtaXM2N2gwNTY4MjIOaC45bm56bGM3OWNtZnEyCWguMzBqMHpsbDIOaC4ybDQydmhuNzJzamoyDmgua2Q0azEyd2FkM3ZkMg5oLmFuc2ZobGl6Z3dwejIOaC5xd2FzdGZqZnA1ZG4yDmguNjhlYTR3MjJiOTRsMg5oLnRzb2JiOGUzdDV1dzgAciExZGYtMTlMOEdvUVROQ3c4MnJERV9mam1zWVZHeHpzN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4624</Words>
  <Characters>25437</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2025-10-24T00:52:00Z</cp:lastPrinted>
  <dcterms:created xsi:type="dcterms:W3CDTF">2025-10-24T00:52:00Z</dcterms:created>
  <dcterms:modified xsi:type="dcterms:W3CDTF">2025-10-24T00:53:00Z</dcterms:modified>
</cp:coreProperties>
</file>