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D3621" w14:textId="77777777" w:rsidR="00E258AF" w:rsidRDefault="00E258AF" w:rsidP="00E258AF">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en Metepec, Estado de México, a tres de septiembre de dos mil veinticinco</w:t>
      </w:r>
      <w:r w:rsidRPr="002C3EC8">
        <w:rPr>
          <w:rFonts w:ascii="Palatino Linotype" w:eastAsia="Times New Roman" w:hAnsi="Palatino Linotype" w:cs="Arial"/>
          <w:color w:val="000000"/>
          <w:sz w:val="24"/>
          <w:szCs w:val="24"/>
          <w:lang w:eastAsia="es-MX"/>
        </w:rPr>
        <w:t>.</w:t>
      </w:r>
    </w:p>
    <w:p w14:paraId="057244E4" w14:textId="77777777" w:rsidR="00E258AF" w:rsidRPr="002C3EC8" w:rsidRDefault="00E258AF" w:rsidP="00E258AF">
      <w:pPr>
        <w:spacing w:before="240" w:line="360" w:lineRule="auto"/>
        <w:jc w:val="both"/>
        <w:rPr>
          <w:rFonts w:ascii="Palatino Linotype" w:eastAsia="Times New Roman" w:hAnsi="Palatino Linotype" w:cs="Arial"/>
          <w:color w:val="000000"/>
          <w:sz w:val="24"/>
          <w:szCs w:val="24"/>
          <w:lang w:eastAsia="es-MX"/>
        </w:rPr>
      </w:pPr>
    </w:p>
    <w:p w14:paraId="0BC99B73" w14:textId="7DF2BB89" w:rsidR="00E258AF" w:rsidRPr="002C3EC8" w:rsidRDefault="00E258AF" w:rsidP="00E258AF">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08200/INFOEM/IP/RR/2025</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w:t>
      </w:r>
      <w:r w:rsidR="003D5F9B">
        <w:rPr>
          <w:rFonts w:ascii="Palatino Linotype" w:hAnsi="Palatino Linotype"/>
          <w:b/>
          <w:sz w:val="24"/>
        </w:rPr>
        <w:t>xxxxxxxxxxxxxxxxx</w:t>
      </w:r>
      <w:bookmarkStart w:id="0" w:name="_GoBack"/>
      <w:bookmarkEnd w:id="0"/>
      <w:r>
        <w:rPr>
          <w:rFonts w:ascii="Palatino Linotype" w:hAnsi="Palatino Linotype"/>
          <w:sz w:val="24"/>
        </w:rPr>
        <w:t>”</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E258AF">
        <w:rPr>
          <w:rFonts w:ascii="Palatino Linotype" w:hAnsi="Palatino Linotype"/>
          <w:b/>
          <w:sz w:val="24"/>
        </w:rPr>
        <w:t>Ayuntamiento de Coacalco de Berriozábal</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505D3C3B" w14:textId="77777777" w:rsidR="00E258AF" w:rsidRPr="002C3EC8" w:rsidRDefault="00E258AF" w:rsidP="00E258AF">
      <w:pPr>
        <w:tabs>
          <w:tab w:val="left" w:pos="1701"/>
        </w:tabs>
        <w:spacing w:before="240" w:line="360" w:lineRule="auto"/>
        <w:jc w:val="both"/>
        <w:rPr>
          <w:rFonts w:ascii="Palatino Linotype" w:hAnsi="Palatino Linotype" w:cs="Arial"/>
          <w:b/>
          <w:sz w:val="24"/>
        </w:rPr>
      </w:pPr>
    </w:p>
    <w:p w14:paraId="23DC78C7" w14:textId="77777777" w:rsidR="00E258AF" w:rsidRPr="002C3EC8" w:rsidRDefault="00E258AF" w:rsidP="00E258AF">
      <w:pPr>
        <w:pStyle w:val="infoemcitas"/>
        <w:jc w:val="center"/>
        <w:rPr>
          <w:b/>
          <w:bCs/>
          <w:i w:val="0"/>
          <w:iCs/>
          <w:sz w:val="28"/>
          <w:szCs w:val="28"/>
        </w:rPr>
      </w:pPr>
      <w:r w:rsidRPr="002C3EC8">
        <w:rPr>
          <w:b/>
          <w:bCs/>
          <w:i w:val="0"/>
          <w:iCs/>
          <w:sz w:val="28"/>
          <w:szCs w:val="28"/>
        </w:rPr>
        <w:t>A N T E C E D E N T E S   D E L   A S U N T O</w:t>
      </w:r>
    </w:p>
    <w:p w14:paraId="5C123FDC" w14:textId="77777777" w:rsidR="00E258AF" w:rsidRPr="002C3EC8" w:rsidRDefault="00E258AF" w:rsidP="00E258AF">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328C565" w14:textId="77777777" w:rsidR="00E258AF" w:rsidRPr="00D705FF" w:rsidRDefault="00E258AF" w:rsidP="00E258AF">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sidR="00535E23">
        <w:rPr>
          <w:rFonts w:ascii="Palatino Linotype" w:hAnsi="Palatino Linotype" w:cs="Arial"/>
          <w:b/>
          <w:sz w:val="24"/>
        </w:rPr>
        <w:t>trece de junio</w:t>
      </w:r>
      <w:r>
        <w:rPr>
          <w:rFonts w:ascii="Palatino Linotype" w:hAnsi="Palatino Linotype" w:cs="Arial"/>
          <w:sz w:val="24"/>
        </w:rPr>
        <w:t xml:space="preserve"> </w:t>
      </w:r>
      <w:r w:rsidRPr="003867EC">
        <w:rPr>
          <w:rFonts w:ascii="Palatino Linotype" w:hAnsi="Palatino Linotype" w:cs="Arial"/>
          <w:b/>
          <w:sz w:val="24"/>
        </w:rPr>
        <w:t>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35E23">
        <w:rPr>
          <w:rFonts w:ascii="Palatino Linotype" w:hAnsi="Palatino Linotype" w:cs="Arial"/>
          <w:b/>
          <w:sz w:val="24"/>
        </w:rPr>
        <w:t>00131/COACALCO/IP/2025</w:t>
      </w:r>
      <w:r w:rsidRPr="0056502A">
        <w:rPr>
          <w:rFonts w:ascii="Palatino Linotype" w:hAnsi="Palatino Linotype" w:cs="Arial"/>
          <w:b/>
          <w:sz w:val="24"/>
        </w:rPr>
        <w:t>,</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0E2991CE" w14:textId="77777777" w:rsidR="00E258AF" w:rsidRPr="001C7F6F" w:rsidRDefault="00E258AF" w:rsidP="00E258AF">
      <w:pPr>
        <w:pStyle w:val="INFOEM"/>
        <w:rPr>
          <w:lang w:val="es-ES_tradnl" w:eastAsia="es-ES"/>
        </w:rPr>
      </w:pPr>
      <w:r w:rsidRPr="00D705FF">
        <w:rPr>
          <w:lang w:val="es-ES_tradnl" w:eastAsia="es-ES"/>
        </w:rPr>
        <w:t>“</w:t>
      </w:r>
      <w:r w:rsidR="00535E23" w:rsidRPr="00535E23">
        <w:rPr>
          <w:lang w:val="es-ES_tradnl" w:eastAsia="es-ES"/>
        </w:rPr>
        <w:t xml:space="preserve">Solicito saber si el maestro david sanchez autorizo (asi como lo menciona la "DIRECTORA" de administracion )a la Jessica Salazar y al director de fomento </w:t>
      </w:r>
      <w:r w:rsidR="00535E23" w:rsidRPr="00535E23">
        <w:rPr>
          <w:lang w:val="es-ES_tradnl" w:eastAsia="es-ES"/>
        </w:rPr>
        <w:lastRenderedPageBreak/>
        <w:t>economico Instrumentar los mecanismo de actuación para con el personal de la administracion y mencionar que CORRERA al personal que este haciendo uso de una PLATAFORMA PUBLICA como lo es SAIMEX ???? por que la estan poniendo a trabajar ... posibles casos de hostigamiento o acoso sexual y labora</w:t>
      </w:r>
      <w:r w:rsidRPr="00D705FF">
        <w:rPr>
          <w:lang w:val="es-ES_tradnl" w:eastAsia="es-ES"/>
        </w:rPr>
        <w:t>” (sic)</w:t>
      </w:r>
    </w:p>
    <w:p w14:paraId="6BCB44B4" w14:textId="77777777" w:rsidR="00E258AF" w:rsidRPr="002C3EC8" w:rsidRDefault="00E258AF" w:rsidP="00E258AF">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7017A86C" w14:textId="77777777" w:rsidR="00E258AF" w:rsidRDefault="00E258AF" w:rsidP="00E258AF">
      <w:pPr>
        <w:spacing w:before="240" w:line="360" w:lineRule="auto"/>
        <w:jc w:val="both"/>
        <w:rPr>
          <w:rFonts w:ascii="Palatino Linotype" w:hAnsi="Palatino Linotype" w:cs="Arial"/>
          <w:b/>
          <w:sz w:val="28"/>
        </w:rPr>
      </w:pPr>
    </w:p>
    <w:p w14:paraId="56A51AF6" w14:textId="77777777" w:rsidR="00E258AF" w:rsidRDefault="00E258AF" w:rsidP="00E258AF">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a la solicitud o entrega de información</w:t>
      </w:r>
      <w:r w:rsidRPr="00165D6E">
        <w:rPr>
          <w:rFonts w:ascii="Palatino Linotype" w:hAnsi="Palatino Linotype" w:cs="Arial"/>
          <w:b/>
          <w:sz w:val="28"/>
          <w:szCs w:val="20"/>
        </w:rPr>
        <w:t>.</w:t>
      </w:r>
    </w:p>
    <w:p w14:paraId="17084695" w14:textId="77777777" w:rsidR="00E258AF" w:rsidRDefault="00E258AF" w:rsidP="00E258AF">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535E23">
        <w:rPr>
          <w:rFonts w:ascii="Palatino Linotype" w:hAnsi="Palatino Linotype" w:cs="Arial"/>
          <w:b/>
        </w:rPr>
        <w:t>cuatro de julio</w:t>
      </w:r>
      <w:r>
        <w:rPr>
          <w:rFonts w:ascii="Palatino Linotype" w:hAnsi="Palatino Linotype" w:cs="Arial"/>
          <w:b/>
        </w:rPr>
        <w:t xml:space="preserve"> de dos mil veinticinco</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3388753B" w14:textId="77777777" w:rsidR="00E258AF" w:rsidRDefault="00E258AF" w:rsidP="00E258AF">
      <w:pPr>
        <w:spacing w:after="0" w:line="360" w:lineRule="auto"/>
        <w:jc w:val="both"/>
        <w:rPr>
          <w:rFonts w:ascii="Palatino Linotype" w:hAnsi="Palatino Linotype" w:cs="Arial"/>
          <w:sz w:val="24"/>
        </w:rPr>
      </w:pPr>
    </w:p>
    <w:p w14:paraId="15062DA1" w14:textId="77777777" w:rsidR="00535E23" w:rsidRPr="00535E23" w:rsidRDefault="00E258AF" w:rsidP="00535E23">
      <w:pPr>
        <w:spacing w:after="0" w:line="240" w:lineRule="auto"/>
        <w:ind w:left="567" w:right="567"/>
        <w:jc w:val="both"/>
        <w:rPr>
          <w:rFonts w:ascii="Palatino Linotype" w:hAnsi="Palatino Linotype" w:cs="Arial"/>
          <w:i/>
        </w:rPr>
      </w:pPr>
      <w:r>
        <w:rPr>
          <w:rFonts w:ascii="Palatino Linotype" w:hAnsi="Palatino Linotype" w:cs="Arial"/>
          <w:i/>
        </w:rPr>
        <w:t>“</w:t>
      </w:r>
      <w:r w:rsidR="00535E23" w:rsidRPr="00535E2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11411F" w14:textId="77777777" w:rsidR="00E258AF" w:rsidRDefault="00535E23" w:rsidP="00535E23">
      <w:pPr>
        <w:spacing w:after="0" w:line="240" w:lineRule="auto"/>
        <w:ind w:left="567" w:right="567"/>
        <w:jc w:val="both"/>
        <w:rPr>
          <w:rFonts w:ascii="Palatino Linotype" w:hAnsi="Palatino Linotype" w:cs="Arial"/>
          <w:i/>
        </w:rPr>
      </w:pPr>
      <w:r w:rsidRPr="00535E23">
        <w:rPr>
          <w:rFonts w:ascii="Palatino Linotype" w:hAnsi="Palatino Linotype" w:cs="Arial"/>
          <w:i/>
        </w:rPr>
        <w:t>Se emite respuesta</w:t>
      </w:r>
      <w:r w:rsidR="00E258AF" w:rsidRPr="00667998">
        <w:rPr>
          <w:rFonts w:ascii="Palatino Linotype" w:hAnsi="Palatino Linotype" w:cs="Arial"/>
          <w:i/>
        </w:rPr>
        <w:t>“(Sic).</w:t>
      </w:r>
    </w:p>
    <w:p w14:paraId="15FC0E9E" w14:textId="77777777" w:rsidR="00E258AF" w:rsidRDefault="00E258AF" w:rsidP="00E258AF">
      <w:pPr>
        <w:spacing w:after="0" w:line="360" w:lineRule="auto"/>
        <w:ind w:right="567"/>
        <w:jc w:val="both"/>
        <w:rPr>
          <w:rFonts w:ascii="Palatino Linotype" w:hAnsi="Palatino Linotype" w:cs="Arial"/>
          <w:sz w:val="24"/>
        </w:rPr>
      </w:pPr>
    </w:p>
    <w:p w14:paraId="01C97A66" w14:textId="77777777" w:rsidR="00E258AF" w:rsidRDefault="00E258AF" w:rsidP="00E258AF">
      <w:pPr>
        <w:pBdr>
          <w:top w:val="nil"/>
          <w:left w:val="nil"/>
          <w:bottom w:val="nil"/>
          <w:right w:val="nil"/>
          <w:between w:val="nil"/>
        </w:pBdr>
        <w:spacing w:line="360" w:lineRule="auto"/>
        <w:contextualSpacing/>
        <w:jc w:val="both"/>
        <w:rPr>
          <w:rFonts w:ascii="Palatino Linotype" w:hAnsi="Palatino Linotype" w:cs="Arial"/>
          <w:color w:val="000000" w:themeColor="text1"/>
          <w:sz w:val="24"/>
        </w:rPr>
      </w:pPr>
      <w:r>
        <w:rPr>
          <w:rFonts w:ascii="Palatino Linotype" w:hAnsi="Palatino Linotype" w:cs="Arial"/>
          <w:color w:val="000000" w:themeColor="text1"/>
          <w:sz w:val="24"/>
        </w:rPr>
        <w:t>Adicionalmente, el Sujeto Obligado adjunto el archivo electrónico siguiente:</w:t>
      </w:r>
    </w:p>
    <w:p w14:paraId="29695AF8" w14:textId="77777777" w:rsidR="00535E23" w:rsidRPr="00535E23" w:rsidRDefault="00535E23" w:rsidP="00535E23">
      <w:pPr>
        <w:pStyle w:val="Prrafodelista"/>
        <w:numPr>
          <w:ilvl w:val="0"/>
          <w:numId w:val="2"/>
        </w:numPr>
        <w:pBdr>
          <w:top w:val="nil"/>
          <w:left w:val="nil"/>
          <w:bottom w:val="nil"/>
          <w:right w:val="nil"/>
          <w:between w:val="nil"/>
        </w:pBdr>
        <w:spacing w:line="360" w:lineRule="auto"/>
        <w:contextualSpacing/>
        <w:jc w:val="both"/>
        <w:rPr>
          <w:rFonts w:ascii="Palatino Linotype" w:hAnsi="Palatino Linotype" w:cs="Arial"/>
          <w:b/>
          <w:i/>
          <w:color w:val="000000" w:themeColor="text1"/>
        </w:rPr>
      </w:pPr>
      <w:r w:rsidRPr="00535E23">
        <w:rPr>
          <w:rFonts w:ascii="Palatino Linotype" w:hAnsi="Palatino Linotype" w:cs="Arial"/>
          <w:b/>
          <w:i/>
          <w:color w:val="000000" w:themeColor="text1"/>
        </w:rPr>
        <w:t>Respuesta 131.pdf</w:t>
      </w:r>
      <w:r>
        <w:rPr>
          <w:rFonts w:ascii="Palatino Linotype" w:hAnsi="Palatino Linotype" w:cs="Arial"/>
          <w:b/>
          <w:i/>
          <w:color w:val="000000" w:themeColor="text1"/>
        </w:rPr>
        <w:t xml:space="preserve">: </w:t>
      </w:r>
      <w:r>
        <w:rPr>
          <w:rFonts w:ascii="Palatino Linotype" w:hAnsi="Palatino Linotype" w:cs="Arial"/>
          <w:color w:val="000000" w:themeColor="text1"/>
        </w:rPr>
        <w:t>oficio número DA/1273/2025, de fecha 04 de julio de 2025, firmado por la Coordinadora de Capital Humano, en el que refiere lo siguiente:</w:t>
      </w:r>
    </w:p>
    <w:p w14:paraId="49D3B39D" w14:textId="77777777" w:rsidR="00535E23" w:rsidRDefault="00535E23" w:rsidP="00535E23">
      <w:pPr>
        <w:pStyle w:val="Citas"/>
      </w:pPr>
      <w:r>
        <w:t>“…</w:t>
      </w:r>
    </w:p>
    <w:p w14:paraId="599E5E82" w14:textId="77777777" w:rsidR="00535E23" w:rsidRPr="00535E23" w:rsidRDefault="00535E23" w:rsidP="00535E23">
      <w:pPr>
        <w:pStyle w:val="Citas"/>
      </w:pPr>
      <w:r>
        <w:t xml:space="preserve">En este sentido le informo que el Articulo 190 menciona que dentro de las atribuciones de la Dirección de Administración establece que tiene la facultad de </w:t>
      </w:r>
      <w:r>
        <w:lastRenderedPageBreak/>
        <w:t xml:space="preserve">Vigilar el cumplimiento de las disposiciones legales que rigen las relaciones laborales entre el Municipio y los servidores públicos; Coordinar las requisiciones, gestiones e incidencias relacionadas con el personal y necesidades de cada área para su adecuado funcionamiento; y las demás que le confiera su superior jerárquico inmediato, las Leyes, Reglamentos y demás disposiciones jurídicas aplicables en el ámbito de sus atribuciones. </w:t>
      </w:r>
    </w:p>
    <w:p w14:paraId="2B9C7E37" w14:textId="77777777" w:rsidR="00E258AF" w:rsidRDefault="00535E23" w:rsidP="00535E23">
      <w:pPr>
        <w:pStyle w:val="Prrafodelista"/>
        <w:numPr>
          <w:ilvl w:val="0"/>
          <w:numId w:val="2"/>
        </w:num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535E23">
        <w:rPr>
          <w:rFonts w:ascii="Palatino Linotype" w:hAnsi="Palatino Linotype" w:cs="Arial"/>
          <w:b/>
          <w:i/>
          <w:color w:val="000000" w:themeColor="text1"/>
        </w:rPr>
        <w:t>Informe 131.pdf</w:t>
      </w:r>
      <w:r w:rsidR="00E258AF" w:rsidRPr="00506A77">
        <w:rPr>
          <w:rFonts w:ascii="Palatino Linotype" w:hAnsi="Palatino Linotype" w:cs="Arial"/>
          <w:b/>
          <w:i/>
          <w:color w:val="000000" w:themeColor="text1"/>
        </w:rPr>
        <w:t xml:space="preserve">: </w:t>
      </w:r>
      <w:r w:rsidR="00E258AF" w:rsidRPr="00506A77">
        <w:rPr>
          <w:rFonts w:ascii="Palatino Linotype" w:hAnsi="Palatino Linotype" w:cs="Arial"/>
          <w:color w:val="000000" w:themeColor="text1"/>
        </w:rPr>
        <w:t xml:space="preserve">constante de </w:t>
      </w:r>
      <w:r w:rsidR="00E258AF">
        <w:rPr>
          <w:rFonts w:ascii="Palatino Linotype" w:hAnsi="Palatino Linotype" w:cs="Arial"/>
          <w:color w:val="000000" w:themeColor="text1"/>
        </w:rPr>
        <w:t>una</w:t>
      </w:r>
      <w:r w:rsidR="00E258AF" w:rsidRPr="00506A77">
        <w:rPr>
          <w:rFonts w:ascii="Palatino Linotype" w:hAnsi="Palatino Linotype" w:cs="Arial"/>
          <w:color w:val="000000" w:themeColor="text1"/>
        </w:rPr>
        <w:t xml:space="preserve"> foja, </w:t>
      </w:r>
      <w:r w:rsidR="008641E5">
        <w:rPr>
          <w:rFonts w:ascii="Palatino Linotype" w:hAnsi="Palatino Linotype" w:cs="Arial"/>
          <w:color w:val="000000" w:themeColor="text1"/>
        </w:rPr>
        <w:t xml:space="preserve">firmado por </w:t>
      </w:r>
      <w:r w:rsidR="00E258AF" w:rsidRPr="00506A77">
        <w:rPr>
          <w:rFonts w:ascii="Palatino Linotype" w:hAnsi="Palatino Linotype" w:cs="Arial"/>
          <w:color w:val="000000" w:themeColor="text1"/>
        </w:rPr>
        <w:t>l</w:t>
      </w:r>
      <w:r w:rsidR="008641E5">
        <w:rPr>
          <w:rFonts w:ascii="Palatino Linotype" w:hAnsi="Palatino Linotype" w:cs="Arial"/>
          <w:color w:val="000000" w:themeColor="text1"/>
        </w:rPr>
        <w:t>a</w:t>
      </w:r>
      <w:r w:rsidR="00E258AF" w:rsidRPr="00506A77">
        <w:rPr>
          <w:rFonts w:ascii="Palatino Linotype" w:hAnsi="Palatino Linotype" w:cs="Arial"/>
          <w:color w:val="000000" w:themeColor="text1"/>
        </w:rPr>
        <w:t xml:space="preserve"> </w:t>
      </w:r>
      <w:r w:rsidR="00E258AF">
        <w:rPr>
          <w:rFonts w:ascii="Palatino Linotype" w:hAnsi="Palatino Linotype" w:cs="Arial"/>
          <w:color w:val="000000" w:themeColor="text1"/>
        </w:rPr>
        <w:t>Coordinador</w:t>
      </w:r>
      <w:r w:rsidR="008641E5">
        <w:rPr>
          <w:rFonts w:ascii="Palatino Linotype" w:hAnsi="Palatino Linotype" w:cs="Arial"/>
          <w:color w:val="000000" w:themeColor="text1"/>
        </w:rPr>
        <w:t>a</w:t>
      </w:r>
      <w:r w:rsidR="00E258AF">
        <w:rPr>
          <w:rFonts w:ascii="Palatino Linotype" w:hAnsi="Palatino Linotype" w:cs="Arial"/>
          <w:color w:val="000000" w:themeColor="text1"/>
        </w:rPr>
        <w:t xml:space="preserve"> de </w:t>
      </w:r>
      <w:r w:rsidR="008641E5">
        <w:rPr>
          <w:rFonts w:ascii="Palatino Linotype" w:hAnsi="Palatino Linotype" w:cs="Arial"/>
          <w:color w:val="000000" w:themeColor="text1"/>
        </w:rPr>
        <w:t xml:space="preserve">Transparencia y Protección de Datos Personales, por medio del cual remite respuesta al Solicitante. </w:t>
      </w:r>
    </w:p>
    <w:p w14:paraId="2DA2C76B" w14:textId="77777777" w:rsidR="00E258AF" w:rsidRPr="00456806" w:rsidRDefault="00E258AF" w:rsidP="00E258AF">
      <w:pPr>
        <w:pBdr>
          <w:top w:val="nil"/>
          <w:left w:val="nil"/>
          <w:bottom w:val="nil"/>
          <w:right w:val="nil"/>
          <w:between w:val="nil"/>
        </w:pBdr>
        <w:spacing w:line="360" w:lineRule="auto"/>
        <w:contextualSpacing/>
        <w:jc w:val="both"/>
        <w:rPr>
          <w:rFonts w:ascii="Palatino Linotype" w:hAnsi="Palatino Linotype" w:cs="Arial"/>
          <w:color w:val="000000" w:themeColor="text1"/>
          <w:sz w:val="24"/>
        </w:rPr>
      </w:pPr>
    </w:p>
    <w:p w14:paraId="58C919A1" w14:textId="77777777" w:rsidR="00E258AF" w:rsidRPr="002C3EC8" w:rsidRDefault="00E258AF" w:rsidP="00E258AF">
      <w:pPr>
        <w:spacing w:after="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35E91373" w14:textId="77777777" w:rsidR="00E258AF" w:rsidRDefault="00E258AF" w:rsidP="00E258AF">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Pr>
          <w:rFonts w:ascii="Palatino Linotype" w:hAnsi="Palatino Linotype" w:cs="Arial"/>
          <w:b/>
          <w:sz w:val="24"/>
        </w:rPr>
        <w:t>veinticuatro de abril</w:t>
      </w:r>
      <w:r w:rsidRPr="000D6209">
        <w:rPr>
          <w:rFonts w:ascii="Palatino Linotype" w:hAnsi="Palatino Linotype" w:cs="Arial"/>
          <w:b/>
          <w:sz w:val="24"/>
        </w:rPr>
        <w:t xml:space="preserve"> de </w:t>
      </w:r>
      <w:r>
        <w:rPr>
          <w:rFonts w:ascii="Palatino Linotype" w:hAnsi="Palatino Linotype" w:cs="Arial"/>
          <w:b/>
          <w:sz w:val="24"/>
        </w:rPr>
        <w:t>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08200/INFOEM/IP/RR/2025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499BF413" w14:textId="77777777" w:rsidR="00E258AF" w:rsidRDefault="00E258AF" w:rsidP="00E258AF">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y </w:t>
      </w:r>
      <w:r w:rsidRPr="0033050B">
        <w:rPr>
          <w:rFonts w:ascii="Palatino Linotype" w:hAnsi="Palatino Linotype" w:cs="Arial"/>
          <w:b/>
          <w:i/>
        </w:rPr>
        <w:t>Razones o motivos de inconformidad</w:t>
      </w:r>
      <w:r>
        <w:rPr>
          <w:rFonts w:ascii="Palatino Linotype" w:hAnsi="Palatino Linotype" w:cs="Arial"/>
          <w:b/>
          <w:i/>
        </w:rPr>
        <w:t>:</w:t>
      </w:r>
    </w:p>
    <w:p w14:paraId="7EEF59CF" w14:textId="77777777" w:rsidR="00E258AF" w:rsidRPr="00CE3AC6" w:rsidRDefault="00E258AF" w:rsidP="00E258AF">
      <w:pPr>
        <w:pStyle w:val="Prrafodelista"/>
        <w:spacing w:before="240" w:line="360" w:lineRule="auto"/>
        <w:ind w:left="709"/>
        <w:jc w:val="both"/>
        <w:rPr>
          <w:rFonts w:ascii="Palatino Linotype" w:hAnsi="Palatino Linotype" w:cs="Arial"/>
          <w:b/>
          <w:i/>
        </w:rPr>
      </w:pPr>
      <w:r w:rsidRPr="00CE3AC6">
        <w:rPr>
          <w:rFonts w:ascii="Palatino Linotype" w:hAnsi="Palatino Linotype" w:cs="Arial"/>
          <w:i/>
        </w:rPr>
        <w:t>“</w:t>
      </w:r>
      <w:r w:rsidR="008641E5" w:rsidRPr="008641E5">
        <w:rPr>
          <w:rFonts w:ascii="Palatino Linotype" w:hAnsi="Palatino Linotype" w:cs="Arial"/>
          <w:i/>
        </w:rPr>
        <w:t xml:space="preserve">el Artículo 190 menciona que dentro de las atribuciones de La Dirección de Administración establece que tiene la facultad de Vigilar el cumplimiento de las disposiciones legales que rigen las relaciones laborales entre el Municipio y los servidores públicos; Coordinar las requisiciones, gestiones e incidencias relacionadas con el personal y necesidades de cada área para su adecuado funcionamiento; y las demás que le confiera su superior jerárquico inmediato, las Leyes, Reglamentos y demás </w:t>
      </w:r>
      <w:r w:rsidR="008641E5" w:rsidRPr="008641E5">
        <w:rPr>
          <w:rFonts w:ascii="Palatino Linotype" w:hAnsi="Palatino Linotype" w:cs="Arial"/>
          <w:i/>
        </w:rPr>
        <w:lastRenderedPageBreak/>
        <w:t>disposiciones jurídicas aplicables en el ámbito de sus atribuciones. NO RESPONDE LO SOLICITADO</w:t>
      </w:r>
      <w:r w:rsidRPr="00CE3AC6">
        <w:rPr>
          <w:rFonts w:ascii="Palatino Linotype" w:hAnsi="Palatino Linotype" w:cs="Arial"/>
          <w:i/>
        </w:rPr>
        <w:t>” (sic)</w:t>
      </w:r>
    </w:p>
    <w:p w14:paraId="3F556365" w14:textId="77777777" w:rsidR="00E258AF" w:rsidRPr="000745B1" w:rsidRDefault="00E258AF" w:rsidP="00E258AF">
      <w:pPr>
        <w:spacing w:after="0" w:line="360" w:lineRule="auto"/>
        <w:jc w:val="both"/>
        <w:rPr>
          <w:rFonts w:ascii="Palatino Linotype" w:hAnsi="Palatino Linotype" w:cs="Arial"/>
          <w:b/>
          <w:sz w:val="24"/>
        </w:rPr>
      </w:pPr>
    </w:p>
    <w:p w14:paraId="49D2E3A5" w14:textId="77777777" w:rsidR="00E258AF" w:rsidRPr="002C3EC8" w:rsidRDefault="00E258AF" w:rsidP="00E258AF">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A74157F" w14:textId="77777777" w:rsidR="00E258AF" w:rsidRPr="002C3EC8" w:rsidRDefault="00E258AF" w:rsidP="00E258AF">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8641E5">
        <w:rPr>
          <w:rFonts w:ascii="Palatino Linotype" w:hAnsi="Palatino Linotype"/>
          <w:b/>
          <w:sz w:val="24"/>
        </w:rPr>
        <w:t>ocho de julio</w:t>
      </w:r>
      <w:r>
        <w:rPr>
          <w:rFonts w:ascii="Palatino Linotype" w:hAnsi="Palatino Linotype"/>
          <w:b/>
          <w:sz w:val="24"/>
        </w:rPr>
        <w:t xml:space="preserve">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126979D6" w14:textId="77777777" w:rsidR="00E258AF" w:rsidRPr="002C3EC8" w:rsidRDefault="00E258AF" w:rsidP="00E258AF">
      <w:pPr>
        <w:spacing w:before="240" w:line="360" w:lineRule="auto"/>
        <w:jc w:val="both"/>
        <w:rPr>
          <w:rFonts w:ascii="Palatino Linotype" w:hAnsi="Palatino Linotype" w:cs="Arial"/>
          <w:sz w:val="24"/>
          <w:szCs w:val="24"/>
        </w:rPr>
      </w:pPr>
    </w:p>
    <w:p w14:paraId="7373D244" w14:textId="77777777" w:rsidR="00E258AF" w:rsidRPr="00E52C83" w:rsidRDefault="00E258AF" w:rsidP="00E258AF">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3D567E81" w14:textId="77777777" w:rsidR="008641E5" w:rsidRPr="008641E5" w:rsidRDefault="008641E5" w:rsidP="008641E5">
      <w:pPr>
        <w:spacing w:line="360" w:lineRule="auto"/>
        <w:jc w:val="both"/>
        <w:rPr>
          <w:rFonts w:ascii="Palatino Linotype" w:hAnsi="Palatino Linotype"/>
          <w:sz w:val="24"/>
        </w:rPr>
      </w:pPr>
      <w:r w:rsidRPr="008641E5">
        <w:rPr>
          <w:rFonts w:ascii="Palatino Linotype" w:hAnsi="Palatino Linotype" w:cs="Arial"/>
          <w:sz w:val="24"/>
        </w:rPr>
        <w:t xml:space="preserve">De las constancias que obran en el expediente electrónico del SAIMEX, se advierte que el </w:t>
      </w:r>
      <w:r w:rsidRPr="008641E5">
        <w:rPr>
          <w:rFonts w:ascii="Palatino Linotype" w:hAnsi="Palatino Linotype" w:cs="Arial"/>
          <w:b/>
          <w:sz w:val="24"/>
        </w:rPr>
        <w:t>Sujeto Obligado</w:t>
      </w:r>
      <w:r w:rsidRPr="008641E5">
        <w:rPr>
          <w:rFonts w:ascii="Palatino Linotype" w:hAnsi="Palatino Linotype" w:cs="Arial"/>
          <w:sz w:val="24"/>
        </w:rPr>
        <w:t xml:space="preserve"> rindió su informe justificado en fecha </w:t>
      </w:r>
      <w:r>
        <w:rPr>
          <w:rFonts w:ascii="Palatino Linotype" w:hAnsi="Palatino Linotype" w:cs="Arial"/>
          <w:sz w:val="24"/>
        </w:rPr>
        <w:t>quince</w:t>
      </w:r>
      <w:r w:rsidRPr="008641E5">
        <w:rPr>
          <w:rFonts w:ascii="Palatino Linotype" w:hAnsi="Palatino Linotype" w:cs="Arial"/>
          <w:sz w:val="24"/>
        </w:rPr>
        <w:t xml:space="preserve"> de ju</w:t>
      </w:r>
      <w:r>
        <w:rPr>
          <w:rFonts w:ascii="Palatino Linotype" w:hAnsi="Palatino Linotype" w:cs="Arial"/>
          <w:sz w:val="24"/>
        </w:rPr>
        <w:t>l</w:t>
      </w:r>
      <w:r w:rsidRPr="008641E5">
        <w:rPr>
          <w:rFonts w:ascii="Palatino Linotype" w:hAnsi="Palatino Linotype" w:cs="Arial"/>
          <w:sz w:val="24"/>
        </w:rPr>
        <w:t>io de dos mil veinticinco, por medio de los archivos electrónicos “</w:t>
      </w:r>
      <w:r w:rsidRPr="008641E5">
        <w:rPr>
          <w:rFonts w:ascii="Palatino Linotype" w:hAnsi="Palatino Linotype" w:cs="Arial"/>
          <w:b/>
          <w:i/>
          <w:sz w:val="24"/>
        </w:rPr>
        <w:t>Respuesta 8200.pdf” y “Informe RR 8200.pdf”</w:t>
      </w:r>
      <w:r w:rsidRPr="008641E5">
        <w:rPr>
          <w:rFonts w:ascii="Palatino Linotype" w:hAnsi="Palatino Linotype" w:cs="Arial"/>
          <w:sz w:val="24"/>
        </w:rPr>
        <w:t>,</w:t>
      </w:r>
      <w:r>
        <w:rPr>
          <w:rFonts w:ascii="Palatino Linotype" w:hAnsi="Palatino Linotype" w:cs="Arial"/>
          <w:sz w:val="24"/>
        </w:rPr>
        <w:t xml:space="preserve"> en los que ratifica su respuesta,</w:t>
      </w:r>
      <w:r w:rsidRPr="008641E5">
        <w:rPr>
          <w:rFonts w:ascii="Palatino Linotype" w:hAnsi="Palatino Linotype" w:cs="Arial"/>
          <w:sz w:val="24"/>
        </w:rPr>
        <w:t xml:space="preserve"> mismos que fueron puestos a la vista del Recurrente en fecha </w:t>
      </w:r>
      <w:r>
        <w:rPr>
          <w:rFonts w:ascii="Palatino Linotype" w:hAnsi="Palatino Linotype" w:cs="Arial"/>
          <w:sz w:val="24"/>
        </w:rPr>
        <w:t>veinte</w:t>
      </w:r>
      <w:r w:rsidRPr="008641E5">
        <w:rPr>
          <w:rFonts w:ascii="Palatino Linotype" w:hAnsi="Palatino Linotype" w:cs="Arial"/>
          <w:sz w:val="24"/>
        </w:rPr>
        <w:t xml:space="preserve"> de agosto de dos mil veinticinco</w:t>
      </w:r>
      <w:r w:rsidRPr="008641E5">
        <w:rPr>
          <w:rFonts w:ascii="Palatino Linotype" w:hAnsi="Palatino Linotype" w:cs="Arial"/>
          <w:b/>
          <w:i/>
          <w:sz w:val="24"/>
        </w:rPr>
        <w:t>.</w:t>
      </w:r>
    </w:p>
    <w:p w14:paraId="3A3FE1D2" w14:textId="77777777" w:rsidR="008641E5" w:rsidRDefault="008641E5" w:rsidP="008641E5">
      <w:pPr>
        <w:spacing w:line="360" w:lineRule="auto"/>
        <w:jc w:val="both"/>
        <w:rPr>
          <w:rFonts w:ascii="Palatino Linotype" w:hAnsi="Palatino Linotype" w:cs="Arial"/>
          <w:sz w:val="24"/>
        </w:rPr>
      </w:pPr>
    </w:p>
    <w:p w14:paraId="3FC70FA7" w14:textId="77777777" w:rsidR="008641E5" w:rsidRPr="008641E5" w:rsidRDefault="008641E5" w:rsidP="008641E5">
      <w:pPr>
        <w:spacing w:line="360" w:lineRule="auto"/>
        <w:jc w:val="both"/>
        <w:rPr>
          <w:rFonts w:ascii="Palatino Linotype" w:hAnsi="Palatino Linotype" w:cs="Arial"/>
          <w:sz w:val="24"/>
        </w:rPr>
      </w:pPr>
      <w:r w:rsidRPr="008641E5">
        <w:rPr>
          <w:rFonts w:ascii="Palatino Linotype" w:hAnsi="Palatino Linotype" w:cs="Arial"/>
          <w:sz w:val="24"/>
        </w:rPr>
        <w:t xml:space="preserve">Así mismo, se aprecia que no se llevaron a cabo audiencias durante la sustanciación del recurso de revisión, ni se ofrecieron pruebas por parte del </w:t>
      </w:r>
      <w:r w:rsidRPr="008641E5">
        <w:rPr>
          <w:rFonts w:ascii="Palatino Linotype" w:hAnsi="Palatino Linotype" w:cs="Arial"/>
          <w:b/>
          <w:sz w:val="24"/>
        </w:rPr>
        <w:t>Recurrente</w:t>
      </w:r>
      <w:r w:rsidRPr="008641E5">
        <w:rPr>
          <w:rFonts w:ascii="Palatino Linotype" w:hAnsi="Palatino Linotype" w:cs="Arial"/>
          <w:sz w:val="24"/>
        </w:rPr>
        <w:t xml:space="preserve">; todo lo </w:t>
      </w:r>
      <w:r w:rsidRPr="008641E5">
        <w:rPr>
          <w:rFonts w:ascii="Palatino Linotype" w:hAnsi="Palatino Linotype" w:cs="Arial"/>
          <w:sz w:val="24"/>
        </w:rPr>
        <w:lastRenderedPageBreak/>
        <w:t>anterior en términos de los artículos 185 fracciones II y IV, y 195 de la Ley de Transparencia y Acceso a la Información Pública del Estado de México y Municipios.</w:t>
      </w:r>
    </w:p>
    <w:p w14:paraId="52B055C1" w14:textId="77777777" w:rsidR="00E258AF" w:rsidRPr="00D32665" w:rsidRDefault="00E258AF" w:rsidP="00E258AF">
      <w:pPr>
        <w:spacing w:line="360" w:lineRule="auto"/>
        <w:jc w:val="both"/>
        <w:rPr>
          <w:rFonts w:ascii="Palatino Linotype" w:hAnsi="Palatino Linotype"/>
          <w:sz w:val="24"/>
        </w:rPr>
      </w:pPr>
    </w:p>
    <w:p w14:paraId="51D6B005" w14:textId="77777777" w:rsidR="00E258AF" w:rsidRPr="002C3EC8" w:rsidRDefault="00E258AF" w:rsidP="00E258AF">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342B80AA" w14:textId="77777777" w:rsidR="00E258AF" w:rsidRDefault="00E258AF" w:rsidP="00E258AF">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8641E5">
        <w:rPr>
          <w:rFonts w:ascii="Palatino Linotype" w:hAnsi="Palatino Linotype" w:cs="Arial"/>
          <w:b/>
          <w:sz w:val="24"/>
          <w:szCs w:val="24"/>
        </w:rPr>
        <w:t>primero de septiembre</w:t>
      </w:r>
      <w:r w:rsidRPr="00193135">
        <w:rPr>
          <w:rFonts w:ascii="Palatino Linotype" w:hAnsi="Palatino Linotype" w:cs="Arial"/>
          <w:b/>
          <w:sz w:val="24"/>
          <w:szCs w:val="24"/>
        </w:rPr>
        <w:t xml:space="preserve"> </w:t>
      </w:r>
      <w:r>
        <w:rPr>
          <w:rFonts w:ascii="Palatino Linotype" w:hAnsi="Palatino Linotype" w:cs="Arial"/>
          <w:b/>
          <w:sz w:val="24"/>
          <w:szCs w:val="24"/>
        </w:rPr>
        <w:t>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3F3D33A" w14:textId="77777777" w:rsidR="008641E5" w:rsidRDefault="008641E5" w:rsidP="00E258AF">
      <w:pPr>
        <w:spacing w:after="0" w:line="360" w:lineRule="auto"/>
        <w:jc w:val="both"/>
        <w:rPr>
          <w:rFonts w:ascii="Palatino Linotype" w:hAnsi="Palatino Linotype" w:cs="Arial"/>
          <w:sz w:val="24"/>
          <w:szCs w:val="24"/>
        </w:rPr>
      </w:pPr>
    </w:p>
    <w:p w14:paraId="3BFB06E7" w14:textId="77777777" w:rsidR="008641E5" w:rsidRDefault="008641E5" w:rsidP="00E258AF">
      <w:pPr>
        <w:spacing w:after="0" w:line="360" w:lineRule="auto"/>
        <w:jc w:val="both"/>
        <w:rPr>
          <w:rFonts w:ascii="Palatino Linotype" w:hAnsi="Palatino Linotype" w:cs="Arial"/>
          <w:sz w:val="24"/>
          <w:szCs w:val="24"/>
        </w:rPr>
      </w:pPr>
    </w:p>
    <w:p w14:paraId="2844938D" w14:textId="77777777" w:rsidR="008641E5" w:rsidRPr="00821CCD" w:rsidRDefault="008641E5" w:rsidP="008641E5">
      <w:pPr>
        <w:spacing w:line="360" w:lineRule="auto"/>
        <w:jc w:val="both"/>
        <w:rPr>
          <w:rFonts w:ascii="Palatino Linotype" w:eastAsia="Calibri" w:hAnsi="Palatino Linotype" w:cs="Arial"/>
          <w:b/>
          <w:sz w:val="28"/>
          <w:lang w:val="es-ES_tradnl"/>
        </w:rPr>
      </w:pPr>
      <w:r w:rsidRPr="00821CCD">
        <w:rPr>
          <w:rFonts w:ascii="Palatino Linotype" w:eastAsia="Calibri" w:hAnsi="Palatino Linotype" w:cs="Arial"/>
          <w:b/>
          <w:sz w:val="28"/>
          <w:lang w:val="es-ES_tradnl"/>
        </w:rPr>
        <w:t>SÉPTIMO.</w:t>
      </w:r>
      <w:r>
        <w:rPr>
          <w:rFonts w:ascii="Palatino Linotype" w:eastAsia="Calibri" w:hAnsi="Palatino Linotype" w:cs="Arial"/>
          <w:b/>
          <w:sz w:val="28"/>
          <w:lang w:val="es-ES_tradnl"/>
        </w:rPr>
        <w:t xml:space="preserve"> </w:t>
      </w:r>
      <w:r w:rsidRPr="00821CCD">
        <w:rPr>
          <w:rFonts w:ascii="Palatino Linotype" w:eastAsia="Calibri" w:hAnsi="Palatino Linotype" w:cs="Arial"/>
          <w:b/>
          <w:sz w:val="28"/>
          <w:lang w:val="es-ES_tradnl"/>
        </w:rPr>
        <w:t>De la ampliación del término para resolver.</w:t>
      </w:r>
    </w:p>
    <w:p w14:paraId="69DD5493" w14:textId="77777777" w:rsidR="008641E5" w:rsidRPr="008641E5" w:rsidRDefault="008641E5" w:rsidP="008641E5">
      <w:pPr>
        <w:spacing w:line="360" w:lineRule="auto"/>
        <w:jc w:val="both"/>
        <w:rPr>
          <w:rFonts w:ascii="Palatino Linotype" w:hAnsi="Palatino Linotype" w:cs="Arial"/>
          <w:sz w:val="24"/>
        </w:rPr>
      </w:pPr>
      <w:r w:rsidRPr="008641E5">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sz w:val="24"/>
        </w:rPr>
        <w:t>dos de septiembre</w:t>
      </w:r>
      <w:r w:rsidRPr="008641E5">
        <w:rPr>
          <w:rFonts w:ascii="Palatino Linotype" w:hAnsi="Palatino Linotype" w:cs="Arial"/>
          <w:b/>
          <w:sz w:val="24"/>
        </w:rPr>
        <w:t xml:space="preserve"> de dos mil veinticinco</w:t>
      </w:r>
      <w:r w:rsidRPr="008641E5">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B0268C3" w14:textId="77777777" w:rsidR="008641E5" w:rsidRDefault="008641E5" w:rsidP="00E258AF">
      <w:pPr>
        <w:spacing w:after="0" w:line="360" w:lineRule="auto"/>
        <w:jc w:val="both"/>
        <w:rPr>
          <w:rFonts w:ascii="Palatino Linotype" w:hAnsi="Palatino Linotype" w:cs="Arial"/>
          <w:sz w:val="24"/>
          <w:szCs w:val="24"/>
        </w:rPr>
      </w:pPr>
    </w:p>
    <w:p w14:paraId="5679E71E" w14:textId="77777777" w:rsidR="00E258AF" w:rsidRDefault="00E258AF" w:rsidP="00E258AF">
      <w:pPr>
        <w:spacing w:line="360" w:lineRule="auto"/>
        <w:jc w:val="both"/>
        <w:rPr>
          <w:rFonts w:ascii="Palatino Linotype" w:hAnsi="Palatino Linotype" w:cs="Arial"/>
          <w:b/>
          <w:sz w:val="28"/>
        </w:rPr>
      </w:pPr>
    </w:p>
    <w:p w14:paraId="1DA4417E" w14:textId="77777777" w:rsidR="00E258AF" w:rsidRPr="002C3EC8" w:rsidRDefault="00E258AF" w:rsidP="00E258AF">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41713F36" w14:textId="77777777" w:rsidR="00E258AF" w:rsidRPr="002C3EC8" w:rsidRDefault="00E258AF" w:rsidP="00E258AF">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092DC8D" w14:textId="77777777" w:rsidR="00E258AF" w:rsidRPr="00165D42" w:rsidRDefault="00E258AF" w:rsidP="00E258AF">
      <w:pPr>
        <w:spacing w:after="0" w:line="360" w:lineRule="auto"/>
        <w:jc w:val="both"/>
        <w:rPr>
          <w:rFonts w:ascii="Palatino Linotype" w:hAnsi="Palatino Linotype" w:cs="Arial"/>
          <w:sz w:val="24"/>
          <w:szCs w:val="24"/>
        </w:rPr>
      </w:pPr>
      <w:r w:rsidRPr="00EA792D">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165D42">
        <w:rPr>
          <w:rFonts w:ascii="Palatino Linotype" w:hAnsi="Palatino Linotype" w:cs="Arial"/>
          <w:sz w:val="24"/>
          <w:szCs w:val="24"/>
        </w:rPr>
        <w:t>.</w:t>
      </w:r>
    </w:p>
    <w:p w14:paraId="0D23D036" w14:textId="77777777" w:rsidR="00E258AF" w:rsidRPr="002C3EC8" w:rsidRDefault="00E258AF" w:rsidP="00E258AF">
      <w:pPr>
        <w:spacing w:before="240" w:line="360" w:lineRule="auto"/>
        <w:jc w:val="both"/>
        <w:rPr>
          <w:rFonts w:ascii="Palatino Linotype" w:eastAsia="Calibri" w:hAnsi="Palatino Linotype"/>
          <w:b/>
          <w:color w:val="000000" w:themeColor="text1"/>
          <w:sz w:val="24"/>
          <w:szCs w:val="24"/>
        </w:rPr>
      </w:pPr>
    </w:p>
    <w:p w14:paraId="31F769EE" w14:textId="77777777" w:rsidR="00E258AF" w:rsidRPr="002C3EC8" w:rsidRDefault="00E258AF" w:rsidP="00E258A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7BA79FC8" w14:textId="77777777" w:rsidR="00E258AF" w:rsidRPr="002C3EC8" w:rsidRDefault="00E258AF" w:rsidP="00E258A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C3EC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68A9B111" w14:textId="77777777" w:rsidR="00E258AF" w:rsidRPr="00CB2854" w:rsidRDefault="00E258AF" w:rsidP="00E258AF">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B2854">
        <w:rPr>
          <w:rFonts w:ascii="Palatino Linotype" w:eastAsia="Times New Roman" w:hAnsi="Palatino Linotype" w:cs="Arial"/>
          <w:sz w:val="24"/>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14:paraId="50FACB4A" w14:textId="77777777" w:rsidR="00E258AF" w:rsidRPr="00CB2854" w:rsidRDefault="00E258AF" w:rsidP="00E258AF">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“Artículo 180. El recurso de revisión contendrá: </w:t>
      </w:r>
    </w:p>
    <w:p w14:paraId="4055C839" w14:textId="77777777" w:rsidR="00E258AF" w:rsidRPr="00CB2854" w:rsidRDefault="00E258AF" w:rsidP="00E258A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I. El sujeto obligado ante la cual se presentó la solicitud; </w:t>
      </w:r>
    </w:p>
    <w:p w14:paraId="35EF1397" w14:textId="77777777" w:rsidR="00E258AF" w:rsidRPr="00CB2854" w:rsidRDefault="00E258AF" w:rsidP="00E258A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b/>
          <w:i/>
          <w:sz w:val="24"/>
          <w:szCs w:val="24"/>
          <w:lang w:val="es-ES_tradnl" w:eastAsia="es-ES"/>
        </w:rPr>
        <w:t>II. El nombre del solicitante que recurre</w:t>
      </w:r>
      <w:r w:rsidRPr="00CB2854">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2FCF5C60" w14:textId="77777777" w:rsidR="00E258AF" w:rsidRPr="00CB2854" w:rsidRDefault="00E258AF" w:rsidP="00E258A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III. El número de folio de respuesta de la solicitud de acceso;</w:t>
      </w:r>
    </w:p>
    <w:p w14:paraId="4117A485" w14:textId="77777777" w:rsidR="00E258AF" w:rsidRPr="00CB2854" w:rsidRDefault="00E258AF" w:rsidP="00E258A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430F4D65" w14:textId="77777777" w:rsidR="00E258AF" w:rsidRPr="00CB2854" w:rsidRDefault="00E258AF" w:rsidP="00E258A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 El acto que se recurre;</w:t>
      </w:r>
    </w:p>
    <w:p w14:paraId="3D18F5AE" w14:textId="77777777" w:rsidR="00E258AF" w:rsidRPr="00CB2854" w:rsidRDefault="00E258AF" w:rsidP="00E258A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VI. Las razones o motivos de inconformidad;</w:t>
      </w:r>
    </w:p>
    <w:p w14:paraId="0195F3D3" w14:textId="77777777" w:rsidR="00E258AF" w:rsidRPr="00CB2854" w:rsidRDefault="00E258AF" w:rsidP="00E258A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70B7906F" w14:textId="77777777" w:rsidR="00E258AF" w:rsidRPr="00CB2854" w:rsidRDefault="00E258AF" w:rsidP="00E258A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4D2CE7AA" w14:textId="77777777" w:rsidR="00E258AF" w:rsidRPr="00CB2854" w:rsidRDefault="00E258AF" w:rsidP="00E258AF">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4EC03501" w14:textId="77777777" w:rsidR="00E258AF" w:rsidRPr="00CB2854" w:rsidRDefault="00E258AF" w:rsidP="00E258AF">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3EBE55CF" w14:textId="77777777" w:rsidR="00E258AF" w:rsidRPr="00CB2854" w:rsidRDefault="00E258AF" w:rsidP="00E258AF">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CB2854">
        <w:rPr>
          <w:rFonts w:ascii="Palatino Linotype" w:eastAsia="Calibri" w:hAnsi="Palatino Linotype" w:cs="Arial"/>
          <w:b/>
          <w:i/>
          <w:sz w:val="24"/>
          <w:szCs w:val="24"/>
          <w:lang w:val="es-ES" w:eastAsia="es-ES"/>
        </w:rPr>
        <w:lastRenderedPageBreak/>
        <w:t>En caso de que el recurso se interponga de manera electrónica no será indispensable que contengan los requisitos establecidos en las fracciones II, IV, VII y VIII.”</w:t>
      </w:r>
    </w:p>
    <w:p w14:paraId="26EEB600" w14:textId="77777777" w:rsidR="00E258AF" w:rsidRPr="00CB2854" w:rsidRDefault="00E258AF" w:rsidP="00E258A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14:paraId="2EC8E2A3" w14:textId="77777777" w:rsidR="00E258AF" w:rsidRPr="00CB2854" w:rsidRDefault="00E258AF" w:rsidP="00E258A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258AF" w:rsidRPr="00CB2854" w14:paraId="252AD0A0" w14:textId="77777777" w:rsidTr="00535E23">
        <w:trPr>
          <w:trHeight w:val="1360"/>
        </w:trPr>
        <w:tc>
          <w:tcPr>
            <w:tcW w:w="7982" w:type="dxa"/>
          </w:tcPr>
          <w:p w14:paraId="6BAB4960"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6926190" w14:textId="77777777" w:rsidR="00E258AF" w:rsidRPr="00CB2854" w:rsidRDefault="00E258AF" w:rsidP="00E258A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258AF" w:rsidRPr="00CB2854" w14:paraId="79FCCD39" w14:textId="77777777" w:rsidTr="00535E23">
        <w:trPr>
          <w:jc w:val="center"/>
        </w:trPr>
        <w:tc>
          <w:tcPr>
            <w:tcW w:w="8075" w:type="dxa"/>
          </w:tcPr>
          <w:p w14:paraId="68B5D08A" w14:textId="77777777" w:rsidR="00E258AF" w:rsidRPr="00CB2854" w:rsidRDefault="00E258AF" w:rsidP="00535E23">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CB2854">
              <w:rPr>
                <w:rFonts w:ascii="Palatino Linotype" w:eastAsia="Times New Roman" w:hAnsi="Palatino Linotype" w:cs="Times New Roman"/>
                <w:b/>
                <w:i/>
                <w:sz w:val="24"/>
                <w:szCs w:val="24"/>
                <w:lang w:val="es-ES" w:eastAsia="es-ES"/>
              </w:rPr>
              <w:t xml:space="preserve">Constitución Política de los Estados Unidos Mexicanos </w:t>
            </w:r>
          </w:p>
          <w:p w14:paraId="220E2875"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“Artículo 6</w:t>
            </w:r>
            <w:r>
              <w:rPr>
                <w:rFonts w:ascii="Palatino Linotype" w:eastAsia="Times New Roman" w:hAnsi="Palatino Linotype" w:cs="Times New Roman"/>
                <w:i/>
                <w:sz w:val="24"/>
                <w:szCs w:val="24"/>
                <w:lang w:val="es-ES" w:eastAsia="es-ES"/>
              </w:rPr>
              <w:t xml:space="preserve">°. </w:t>
            </w:r>
            <w:r w:rsidRPr="00CB2854">
              <w:rPr>
                <w:rFonts w:ascii="Palatino Linotype" w:eastAsia="Times New Roman" w:hAnsi="Palatino Linotype" w:cs="Times New Roman"/>
                <w:i/>
                <w:sz w:val="24"/>
                <w:szCs w:val="24"/>
                <w:lang w:val="es-ES" w:eastAsia="es-ES"/>
              </w:rPr>
              <w:t xml:space="preserve">La manifestación de las ideas no será objeto de ninguna inquisición judicial o administrativa, sino en el caso de que ataque a la moral, la vida privada </w:t>
            </w:r>
            <w:r w:rsidRPr="00CB2854">
              <w:rPr>
                <w:rFonts w:ascii="Palatino Linotype" w:eastAsia="Times New Roman" w:hAnsi="Palatino Linotype" w:cs="Times New Roman"/>
                <w:i/>
                <w:sz w:val="24"/>
                <w:szCs w:val="24"/>
                <w:lang w:val="es-ES" w:eastAsia="es-ES"/>
              </w:rPr>
              <w:lastRenderedPageBreak/>
              <w:t xml:space="preserve">o los derechos de terceros, provoque algún delito, o perturbe el orden público; el derecho de réplica será ejercido en los términos dispuestos por la ley. El derecho a la información será garantizado por el Estado. </w:t>
            </w:r>
          </w:p>
          <w:p w14:paraId="1432E0AE"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w:t>
            </w:r>
          </w:p>
          <w:p w14:paraId="7EE23452" w14:textId="77777777" w:rsidR="00E258AF" w:rsidRDefault="00E258AF" w:rsidP="00535E2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14:paraId="46FE2812"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9D7CF1">
              <w:rPr>
                <w:rFonts w:ascii="Palatino Linotype" w:eastAsia="Times New Roman" w:hAnsi="Palatino Linotype" w:cs="Times New Roman"/>
                <w:i/>
                <w:sz w:val="24"/>
                <w:szCs w:val="24"/>
                <w:lang w:val="es-ES" w:eastAsia="es-ES"/>
              </w:rPr>
              <w:t>A. Para el ejercicio del derecho de acceso a la información, la Federación y las entidades federativas,</w:t>
            </w:r>
            <w:r>
              <w:rPr>
                <w:rFonts w:ascii="Palatino Linotype" w:eastAsia="Times New Roman" w:hAnsi="Palatino Linotype" w:cs="Times New Roman"/>
                <w:i/>
                <w:sz w:val="24"/>
                <w:szCs w:val="24"/>
                <w:lang w:val="es-ES" w:eastAsia="es-ES"/>
              </w:rPr>
              <w:t xml:space="preserve"> </w:t>
            </w:r>
            <w:r w:rsidRPr="009D7CF1">
              <w:rPr>
                <w:rFonts w:ascii="Palatino Linotype" w:eastAsia="Times New Roman" w:hAnsi="Palatino Linotype" w:cs="Times New Roman"/>
                <w:i/>
                <w:sz w:val="24"/>
                <w:szCs w:val="24"/>
                <w:lang w:val="es-ES" w:eastAsia="es-ES"/>
              </w:rPr>
              <w:t>en el ámbito de sus respectivas competencias, se regirán por los siguientes principios y bases:</w:t>
            </w:r>
            <w:r w:rsidRPr="00CB2854">
              <w:rPr>
                <w:rFonts w:ascii="Palatino Linotype" w:eastAsia="Times New Roman" w:hAnsi="Palatino Linotype" w:cs="Times New Roman"/>
                <w:i/>
                <w:sz w:val="24"/>
                <w:szCs w:val="24"/>
                <w:lang w:val="es-ES" w:eastAsia="es-ES"/>
              </w:rPr>
              <w:t>:</w:t>
            </w:r>
          </w:p>
          <w:p w14:paraId="1F54252A"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 </w:t>
            </w:r>
          </w:p>
          <w:p w14:paraId="7A2281F0"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14:paraId="18DFD18C"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IV. </w:t>
            </w:r>
            <w:r w:rsidRPr="009D7CF1">
              <w:rPr>
                <w:rFonts w:ascii="Palatino Linotype" w:eastAsia="Times New Roman" w:hAnsi="Palatino Linotype" w:cs="Arial"/>
                <w:i/>
                <w:sz w:val="24"/>
                <w:szCs w:val="24"/>
                <w:lang w:eastAsia="es-ES"/>
              </w:rPr>
              <w:t>Se establecerán mecanismos de acceso a la información pública y procedimientos de revisión expeditos que se sustanciarán ante las instancias competentes en los términos que fija esta Constitución y las leyes.</w:t>
            </w:r>
            <w:r w:rsidRPr="00CB2854">
              <w:rPr>
                <w:rFonts w:ascii="Palatino Linotype" w:eastAsia="Times New Roman" w:hAnsi="Palatino Linotype" w:cs="Arial"/>
                <w:i/>
                <w:sz w:val="24"/>
                <w:szCs w:val="24"/>
                <w:lang w:val="es-ES" w:eastAsia="es-ES"/>
              </w:rPr>
              <w:t>”</w:t>
            </w:r>
          </w:p>
          <w:p w14:paraId="5D7696FD"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CB2854">
              <w:rPr>
                <w:rFonts w:ascii="Palatino Linotype" w:eastAsia="Times New Roman" w:hAnsi="Palatino Linotype" w:cs="Arial"/>
                <w:b/>
                <w:i/>
                <w:sz w:val="24"/>
                <w:szCs w:val="24"/>
                <w:lang w:val="es-ES" w:eastAsia="es-ES"/>
              </w:rPr>
              <w:t>Constitución Política del Estado Libre y Soberano de México</w:t>
            </w:r>
          </w:p>
          <w:p w14:paraId="298B4B6B" w14:textId="77777777" w:rsidR="00E258AF" w:rsidRPr="00CB2854" w:rsidRDefault="00E258AF" w:rsidP="00535E23">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 xml:space="preserve">“Artículo 5.- </w:t>
            </w:r>
            <w:r w:rsidRPr="009D7CF1">
              <w:rPr>
                <w:rFonts w:ascii="Palatino Linotype" w:eastAsia="Calibri" w:hAnsi="Palatino Linotype" w:cs="Arial"/>
                <w:i/>
                <w:sz w:val="24"/>
                <w:szCs w:val="24"/>
                <w:lang w:eastAsia="es-MX"/>
              </w:rPr>
              <w:t xml:space="preserve">En el Estado de México todas las personas gozarán de los derechos humanos reconocidos en la Constitución Política de los Estados Unidos Mexicanos, en los tratados internacionales en los que el Estado mexicano sea parte, </w:t>
            </w:r>
            <w:r w:rsidRPr="009D7CF1">
              <w:rPr>
                <w:rFonts w:ascii="Palatino Linotype" w:eastAsia="Calibri" w:hAnsi="Palatino Linotype" w:cs="Arial"/>
                <w:i/>
                <w:sz w:val="24"/>
                <w:szCs w:val="24"/>
                <w:lang w:eastAsia="es-MX"/>
              </w:rPr>
              <w:lastRenderedPageBreak/>
              <w:t>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5FD903BD" w14:textId="77777777" w:rsidR="00E258AF" w:rsidRPr="00CB2854" w:rsidRDefault="00E258AF" w:rsidP="00535E23">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w:t>
            </w:r>
          </w:p>
          <w:p w14:paraId="23714885" w14:textId="77777777" w:rsidR="00E258AF" w:rsidRPr="00CB2854" w:rsidRDefault="00E258AF" w:rsidP="00535E23">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4BF7EE82" w14:textId="77777777" w:rsidR="00E258AF" w:rsidRPr="00CB2854" w:rsidRDefault="00E258AF" w:rsidP="00535E23">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w:t>
            </w:r>
          </w:p>
          <w:p w14:paraId="0185C30D" w14:textId="77777777" w:rsidR="00E258AF" w:rsidRPr="00CB2854" w:rsidRDefault="00E258AF" w:rsidP="00535E23">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14:paraId="03988AB1" w14:textId="77777777" w:rsidR="00E258AF" w:rsidRPr="00CB2854" w:rsidRDefault="00E258AF" w:rsidP="00535E23">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0D47ED" w14:textId="77777777" w:rsidR="00E258AF" w:rsidRPr="00CB2854" w:rsidRDefault="00E258AF" w:rsidP="00535E23">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2E8D00BC" w14:textId="77777777" w:rsidR="00E258AF" w:rsidRPr="00CB2854" w:rsidRDefault="00E258AF" w:rsidP="00535E23">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IV. Se establecerán mecanismos de acceso a la información y procedimientos de revisión expeditos que se sustanciarán ante el organismo autónomo especializado e imparcial que establece esta Constitución.</w:t>
            </w:r>
          </w:p>
          <w:p w14:paraId="7261F841"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w:t>
            </w:r>
          </w:p>
          <w:p w14:paraId="337DBE5D" w14:textId="77777777" w:rsidR="00E258AF" w:rsidRPr="00CB2854" w:rsidRDefault="00E258AF" w:rsidP="00535E23">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725A02EF" w14:textId="77777777" w:rsidR="00E258AF" w:rsidRPr="00CB2854" w:rsidRDefault="00E258AF" w:rsidP="00E258A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B2854">
        <w:rPr>
          <w:rFonts w:ascii="Palatino Linotype" w:eastAsia="Times New Roman" w:hAnsi="Palatino Linotype" w:cs="Times New Roman"/>
          <w:b/>
          <w:sz w:val="24"/>
          <w:szCs w:val="24"/>
          <w:u w:val="single"/>
          <w:lang w:val="es-ES" w:eastAsia="es-ES"/>
        </w:rPr>
        <w:t xml:space="preserve">incluso, la solicitud de acceso a la información pueda ser </w:t>
      </w:r>
      <w:r w:rsidRPr="00CB2854">
        <w:rPr>
          <w:rFonts w:ascii="Palatino Linotype" w:eastAsia="Times New Roman" w:hAnsi="Palatino Linotype" w:cs="Times New Roman"/>
          <w:b/>
          <w:sz w:val="24"/>
          <w:szCs w:val="24"/>
          <w:u w:val="single"/>
          <w:lang w:val="es-ES" w:eastAsia="es-ES"/>
        </w:rPr>
        <w:lastRenderedPageBreak/>
        <w:t>anónima o no contener un nombre que identifique al solicitante o que permita tener certeza sobre su identidad</w:t>
      </w:r>
      <w:r w:rsidRPr="00CB2854">
        <w:rPr>
          <w:rFonts w:ascii="Palatino Linotype" w:eastAsia="Times New Roman" w:hAnsi="Palatino Linotype" w:cs="Times New Roman"/>
          <w:sz w:val="24"/>
          <w:szCs w:val="24"/>
          <w:lang w:val="es-ES" w:eastAsia="es-ES"/>
        </w:rPr>
        <w:t xml:space="preserve">. </w:t>
      </w:r>
    </w:p>
    <w:p w14:paraId="022F7527" w14:textId="77777777" w:rsidR="00E258AF" w:rsidRPr="00CB2854" w:rsidRDefault="00E258AF" w:rsidP="00E258A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En conclusión, se cubrieron los requisitos de procedencia y procedibilidad y conforme a las constancias que obran en el expediente.</w:t>
      </w:r>
    </w:p>
    <w:p w14:paraId="71AE030D" w14:textId="77777777" w:rsidR="00E258AF" w:rsidRPr="000745B1" w:rsidRDefault="00E258AF" w:rsidP="00E258AF">
      <w:pPr>
        <w:pStyle w:val="Prrafodelista"/>
        <w:autoSpaceDE w:val="0"/>
        <w:autoSpaceDN w:val="0"/>
        <w:adjustRightInd w:val="0"/>
        <w:spacing w:before="240" w:after="160" w:line="360" w:lineRule="auto"/>
        <w:ind w:left="0"/>
        <w:jc w:val="both"/>
        <w:rPr>
          <w:rFonts w:ascii="Palatino Linotype" w:hAnsi="Palatino Linotype" w:cs="Arial"/>
          <w:b/>
        </w:rPr>
      </w:pPr>
    </w:p>
    <w:p w14:paraId="3BB7F82B" w14:textId="77777777" w:rsidR="00E258AF" w:rsidRPr="002C3EC8" w:rsidRDefault="00E258AF" w:rsidP="00E258A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BB87080" w14:textId="77777777" w:rsidR="00E258AF" w:rsidRPr="00B21190" w:rsidRDefault="00E258AF" w:rsidP="00E258AF">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C0A10A" w14:textId="77777777" w:rsidR="00E258AF" w:rsidRPr="00B21190" w:rsidRDefault="00E258AF" w:rsidP="00E258AF">
      <w:pPr>
        <w:pStyle w:val="Prrafodelista"/>
        <w:autoSpaceDE w:val="0"/>
        <w:autoSpaceDN w:val="0"/>
        <w:adjustRightInd w:val="0"/>
        <w:spacing w:line="360" w:lineRule="auto"/>
        <w:ind w:left="0"/>
        <w:jc w:val="both"/>
        <w:rPr>
          <w:rFonts w:ascii="Palatino Linotype" w:hAnsi="Palatino Linotype" w:cs="Arial"/>
        </w:rPr>
      </w:pPr>
    </w:p>
    <w:p w14:paraId="31EEBB80" w14:textId="77777777" w:rsidR="00E258AF" w:rsidRDefault="00E258AF" w:rsidP="00E258AF">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E9BE030" w14:textId="77777777" w:rsidR="00E258AF" w:rsidRDefault="00E258AF" w:rsidP="00E258AF">
      <w:pPr>
        <w:pStyle w:val="Prrafodelista"/>
        <w:autoSpaceDE w:val="0"/>
        <w:autoSpaceDN w:val="0"/>
        <w:adjustRightInd w:val="0"/>
        <w:spacing w:line="360" w:lineRule="auto"/>
        <w:ind w:left="0"/>
        <w:jc w:val="both"/>
        <w:rPr>
          <w:rFonts w:ascii="Palatino Linotype" w:hAnsi="Palatino Linotype" w:cs="Arial"/>
        </w:rPr>
      </w:pPr>
    </w:p>
    <w:p w14:paraId="2CF45E3E" w14:textId="77777777" w:rsidR="00E258AF" w:rsidRDefault="00E258AF" w:rsidP="00E258AF">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eastAsiaTheme="minorEastAsia" w:hAnsi="Palatino Linotype" w:cs="Arial"/>
        </w:rPr>
        <w:footnoteReference w:id="1"/>
      </w:r>
      <w:r w:rsidRPr="00B21190">
        <w:rPr>
          <w:rFonts w:ascii="Palatino Linotype" w:hAnsi="Palatino Linotype" w:cs="Arial"/>
        </w:rPr>
        <w:t>.</w:t>
      </w:r>
    </w:p>
    <w:p w14:paraId="35D02AF8" w14:textId="77777777" w:rsidR="008641E5" w:rsidRPr="00B21190" w:rsidRDefault="008641E5" w:rsidP="00E258AF">
      <w:pPr>
        <w:pStyle w:val="Prrafodelista"/>
        <w:autoSpaceDE w:val="0"/>
        <w:autoSpaceDN w:val="0"/>
        <w:adjustRightInd w:val="0"/>
        <w:spacing w:line="360" w:lineRule="auto"/>
        <w:ind w:left="0"/>
        <w:jc w:val="both"/>
        <w:rPr>
          <w:rFonts w:ascii="Palatino Linotype" w:hAnsi="Palatino Linotype" w:cs="Arial"/>
        </w:rPr>
      </w:pPr>
    </w:p>
    <w:p w14:paraId="0E0D39A6" w14:textId="77777777" w:rsidR="00E258AF" w:rsidRPr="008522EA" w:rsidRDefault="00E258AF" w:rsidP="00E258AF">
      <w:pPr>
        <w:autoSpaceDE w:val="0"/>
        <w:autoSpaceDN w:val="0"/>
        <w:adjustRightInd w:val="0"/>
        <w:spacing w:line="360" w:lineRule="auto"/>
        <w:jc w:val="both"/>
        <w:rPr>
          <w:rFonts w:ascii="Palatino Linotype" w:hAnsi="Palatino Linotype" w:cs="Arial"/>
          <w:sz w:val="24"/>
          <w:szCs w:val="24"/>
        </w:rPr>
      </w:pPr>
      <w:r w:rsidRPr="008522EA">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8522EA">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14:paraId="2C6948B5" w14:textId="77777777" w:rsidR="00E258AF" w:rsidRPr="008522EA" w:rsidRDefault="00E258AF" w:rsidP="00E258AF">
      <w:pPr>
        <w:pStyle w:val="Prrafodelista"/>
        <w:autoSpaceDE w:val="0"/>
        <w:autoSpaceDN w:val="0"/>
        <w:adjustRightInd w:val="0"/>
        <w:spacing w:line="360" w:lineRule="auto"/>
        <w:ind w:left="0"/>
        <w:jc w:val="both"/>
        <w:rPr>
          <w:rFonts w:ascii="Palatino Linotype" w:hAnsi="Palatino Linotype" w:cs="Arial"/>
        </w:rPr>
      </w:pPr>
      <w:r w:rsidRPr="008522EA">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E171275" w14:textId="77777777" w:rsidR="00E258AF" w:rsidRPr="006A6545" w:rsidRDefault="00E258AF" w:rsidP="00E258AF">
      <w:pPr>
        <w:pStyle w:val="Prrafodelista"/>
        <w:autoSpaceDE w:val="0"/>
        <w:autoSpaceDN w:val="0"/>
        <w:adjustRightInd w:val="0"/>
        <w:spacing w:before="240" w:after="160" w:line="360" w:lineRule="auto"/>
        <w:ind w:left="0"/>
        <w:jc w:val="both"/>
        <w:rPr>
          <w:rFonts w:ascii="Palatino Linotype" w:hAnsi="Palatino Linotype" w:cs="Arial"/>
        </w:rPr>
      </w:pPr>
      <w:r w:rsidRPr="008522EA">
        <w:rPr>
          <w:rFonts w:ascii="Palatino Linotype" w:hAnsi="Palatino Linotype" w:cs="Arial"/>
        </w:rPr>
        <w:t>Ahora bien, se procede al análisis del presente recurso, así como al contenido íntegro de las actuaciones que obran en el expediente electrónico, para así estar en posibilidad</w:t>
      </w:r>
      <w:r w:rsidRPr="00B21190">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62BF004" w14:textId="77777777" w:rsidR="00E258AF" w:rsidRDefault="00E258AF" w:rsidP="00E258AF">
      <w:pPr>
        <w:tabs>
          <w:tab w:val="left" w:pos="709"/>
        </w:tabs>
        <w:spacing w:line="360" w:lineRule="auto"/>
        <w:jc w:val="both"/>
        <w:rPr>
          <w:rFonts w:ascii="Palatino Linotype" w:hAnsi="Palatino Linotype" w:cs="Arial"/>
        </w:rPr>
      </w:pPr>
    </w:p>
    <w:p w14:paraId="4EA3974E" w14:textId="77777777" w:rsidR="00E258AF" w:rsidRPr="008522EA" w:rsidRDefault="00E258AF" w:rsidP="00E258AF">
      <w:pPr>
        <w:tabs>
          <w:tab w:val="left" w:pos="709"/>
        </w:tabs>
        <w:spacing w:line="360" w:lineRule="auto"/>
        <w:jc w:val="both"/>
        <w:rPr>
          <w:rFonts w:ascii="Palatino Linotype" w:hAnsi="Palatino Linotype" w:cs="Arial"/>
          <w:sz w:val="24"/>
        </w:rPr>
      </w:pPr>
      <w:r w:rsidRPr="008522EA">
        <w:rPr>
          <w:rFonts w:ascii="Palatino Linotype" w:hAnsi="Palatino Linotype" w:cs="Arial"/>
          <w:sz w:val="24"/>
        </w:rPr>
        <w:t xml:space="preserve">La Ley de Transparencia de la entidad, en su artículo 192, contempla la figura jurídica del sobreseimiento, y específicamente en sus hipótesis inmersas en las fracciones III y IV, refieren que se sobreseerá el asunto cuando </w:t>
      </w:r>
      <w:r w:rsidRPr="008522EA">
        <w:rPr>
          <w:rFonts w:ascii="Palatino Linotype" w:hAnsi="Palatino Linotype" w:cs="Arial"/>
          <w:b/>
          <w:sz w:val="24"/>
        </w:rPr>
        <w:t>El Sujeto Obligado</w:t>
      </w:r>
      <w:r w:rsidRPr="008522EA">
        <w:rPr>
          <w:rFonts w:ascii="Palatino Linotype" w:hAnsi="Palatino Linotype" w:cs="Arial"/>
          <w:sz w:val="24"/>
        </w:rPr>
        <w:t xml:space="preserve"> responsable del acto lo modifique o revoque de tal manera que el recurso de revisión quede sin materia </w:t>
      </w:r>
      <w:r w:rsidRPr="008522EA">
        <w:rPr>
          <w:rFonts w:ascii="Palatino Linotype" w:hAnsi="Palatino Linotype" w:cs="Arial"/>
          <w:sz w:val="24"/>
        </w:rPr>
        <w:lastRenderedPageBreak/>
        <w:t>o admitido el recurso de revisión, aparezca alguna causal de improcedencia en los términos de la presente Ley.</w:t>
      </w:r>
    </w:p>
    <w:p w14:paraId="74F05A9B" w14:textId="77777777" w:rsidR="00E258AF" w:rsidRPr="004D52B1" w:rsidRDefault="00E258AF" w:rsidP="00E258AF">
      <w:pPr>
        <w:tabs>
          <w:tab w:val="left" w:pos="709"/>
        </w:tabs>
        <w:spacing w:line="360" w:lineRule="auto"/>
        <w:jc w:val="both"/>
        <w:rPr>
          <w:rFonts w:ascii="Palatino Linotype" w:hAnsi="Palatino Linotype" w:cs="Arial"/>
        </w:rPr>
      </w:pPr>
    </w:p>
    <w:p w14:paraId="43D0F341" w14:textId="77777777" w:rsidR="00E258AF" w:rsidRPr="00811587" w:rsidRDefault="00E258AF" w:rsidP="00E258AF">
      <w:pPr>
        <w:tabs>
          <w:tab w:val="left" w:pos="709"/>
        </w:tabs>
        <w:spacing w:line="360" w:lineRule="auto"/>
        <w:jc w:val="both"/>
        <w:rPr>
          <w:rFonts w:ascii="Palatino Linotype" w:hAnsi="Palatino Linotype" w:cs="Arial"/>
          <w:sz w:val="24"/>
        </w:rPr>
      </w:pPr>
      <w:r w:rsidRPr="00811587">
        <w:rPr>
          <w:rFonts w:ascii="Palatino Linotype" w:hAnsi="Palatino Linotype" w:cs="Arial"/>
          <w:sz w:val="24"/>
        </w:rPr>
        <w:t xml:space="preserve">Bajo esa línea, con la finalidad de determinar si se modificó o revocó el acto u omisión del </w:t>
      </w:r>
      <w:r w:rsidRPr="00811587">
        <w:rPr>
          <w:rFonts w:ascii="Palatino Linotype" w:hAnsi="Palatino Linotype" w:cs="Arial"/>
          <w:b/>
          <w:sz w:val="24"/>
        </w:rPr>
        <w:t>Sujeto Obligado</w:t>
      </w:r>
      <w:r w:rsidRPr="00811587">
        <w:rPr>
          <w:rFonts w:ascii="Palatino Linotype" w:hAnsi="Palatino Linotype" w:cs="Arial"/>
          <w:sz w:val="24"/>
        </w:rPr>
        <w:t xml:space="preserve"> o</w:t>
      </w:r>
      <w:r w:rsidRPr="00811587">
        <w:rPr>
          <w:sz w:val="24"/>
        </w:rPr>
        <w:t xml:space="preserve"> </w:t>
      </w:r>
      <w:r w:rsidRPr="00811587">
        <w:rPr>
          <w:rFonts w:ascii="Palatino Linotype" w:hAnsi="Palatino Linotype" w:cs="Arial"/>
          <w:sz w:val="24"/>
        </w:rPr>
        <w:t>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210E3B3" w14:textId="77777777" w:rsidR="00E258AF" w:rsidRPr="00811587" w:rsidRDefault="00E258AF" w:rsidP="00E258AF">
      <w:pPr>
        <w:tabs>
          <w:tab w:val="left" w:pos="709"/>
        </w:tabs>
        <w:spacing w:line="360" w:lineRule="auto"/>
        <w:jc w:val="both"/>
        <w:rPr>
          <w:rFonts w:ascii="Palatino Linotype" w:hAnsi="Palatino Linotype" w:cs="Arial"/>
          <w:sz w:val="24"/>
        </w:rPr>
      </w:pPr>
    </w:p>
    <w:p w14:paraId="1CFC10C3" w14:textId="77777777" w:rsidR="00E258AF" w:rsidRPr="00811587" w:rsidRDefault="00E258AF" w:rsidP="00E258AF">
      <w:pPr>
        <w:tabs>
          <w:tab w:val="left" w:pos="709"/>
        </w:tabs>
        <w:spacing w:line="360" w:lineRule="auto"/>
        <w:jc w:val="both"/>
        <w:rPr>
          <w:rFonts w:ascii="Palatino Linotype" w:hAnsi="Palatino Linotype" w:cs="Arial"/>
          <w:sz w:val="24"/>
        </w:rPr>
      </w:pPr>
      <w:r w:rsidRPr="00811587">
        <w:rPr>
          <w:rFonts w:ascii="Palatino Linotype" w:hAnsi="Palatino Linotype" w:cs="Arial"/>
          <w:sz w:val="24"/>
        </w:rPr>
        <w:t>Inicialmente se destaca que 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0D1BCE4D" w14:textId="77777777" w:rsidR="00E258AF" w:rsidRPr="00F74FB1" w:rsidRDefault="00E258AF" w:rsidP="00E258AF">
      <w:pPr>
        <w:pStyle w:val="Citas"/>
        <w:spacing w:before="0" w:line="240" w:lineRule="auto"/>
        <w:rPr>
          <w:b/>
          <w:bCs/>
        </w:rPr>
      </w:pPr>
      <w:r>
        <w:rPr>
          <w:b/>
          <w:bCs/>
        </w:rPr>
        <w:t>“</w:t>
      </w:r>
      <w:r w:rsidRPr="00F74FB1">
        <w:rPr>
          <w:b/>
          <w:bCs/>
        </w:rPr>
        <w:t>IMPROCEDENCIA. ESTUDIO PREFERENCIAL DE LAS CAUSALES PREVISTAS EN EL ARTÍCULO 73 DE LA LEY DE AMPARO.</w:t>
      </w:r>
    </w:p>
    <w:p w14:paraId="7EC6220E" w14:textId="77777777" w:rsidR="00E258AF" w:rsidRDefault="00E258AF" w:rsidP="00E258AF">
      <w:pPr>
        <w:pStyle w:val="Citas"/>
        <w:spacing w:before="0" w:line="240" w:lineRule="auto"/>
      </w:pPr>
      <w:r>
        <w:t xml:space="preserve">De conformidad con lo dispuesto en el </w:t>
      </w:r>
      <w:r w:rsidRPr="00F74FB1">
        <w:t>último párrafo del artículo </w:t>
      </w:r>
      <w:hyperlink r:id="rId8" w:history="1">
        <w:r w:rsidRPr="00F74FB1">
          <w:t>73 de la Ley de Amparo</w:t>
        </w:r>
      </w:hyperlink>
      <w:r w:rsidRPr="00F74FB1">
        <w:t> las causales de improcedencia deben</w:t>
      </w:r>
      <w:r>
        <w:t xml:space="preserve"> ser examinadas de oficio y debe </w:t>
      </w:r>
      <w:r>
        <w:lastRenderedPageBreak/>
        <w:t>abordarse en cualquier instancia en que el juicio se encuentre; de tal manera que si en la revisión se advierte que existen otras causas de </w:t>
      </w:r>
      <w:r w:rsidRPr="00F74FB1">
        <w:t>estudio preferente</w:t>
      </w:r>
      <w:r>
        <w:t xml:space="preserv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w:t>
      </w:r>
      <w:r w:rsidRPr="00F74FB1">
        <w:t>forma preferente.</w:t>
      </w:r>
      <w:r>
        <w:t xml:space="preserv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w:t>
      </w:r>
      <w:r w:rsidRPr="00F74FB1">
        <w:t>estudio preferente</w:t>
      </w:r>
      <w:r>
        <w:t>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12157B3C" w14:textId="77777777" w:rsidR="00E258AF" w:rsidRDefault="00E258AF" w:rsidP="00E258AF">
      <w:pPr>
        <w:pStyle w:val="Citas"/>
        <w:spacing w:before="0" w:line="240" w:lineRule="auto"/>
      </w:pPr>
      <w:r>
        <w:t>Amparo en revisión 355/98. Raúl Salinas de Gortari. 1o. de abril de 1998. Cinco votos. Ponente: José de Jesús Gudiño Pelayo. Secretario: Mario Flores García.</w:t>
      </w:r>
    </w:p>
    <w:p w14:paraId="5D2561EB" w14:textId="77777777" w:rsidR="00E258AF" w:rsidRDefault="00E258AF" w:rsidP="00E258AF">
      <w:pPr>
        <w:pStyle w:val="Citas"/>
        <w:spacing w:before="0" w:line="240" w:lineRule="auto"/>
      </w:pPr>
      <w:r>
        <w:t>Amparo en revisión 807/98. Byron Jackson Co., S.A. de C.V. 24 de junio de 1998. Cinco votos. Ponente: José de Jesús Gudiño Pelayo. Secretario: Miguel Ángel Ramírez González.</w:t>
      </w:r>
    </w:p>
    <w:p w14:paraId="7E2A6C41" w14:textId="77777777" w:rsidR="00E258AF" w:rsidRDefault="00E258AF" w:rsidP="00E258AF">
      <w:pPr>
        <w:pStyle w:val="Citas"/>
        <w:spacing w:before="0" w:line="240" w:lineRule="auto"/>
      </w:pPr>
      <w:r w:rsidRPr="00A65594">
        <w:t>A</w:t>
      </w:r>
      <w:r>
        <w:t>mparo en revisión 2257/97. Servicios Hoteleros Presidente San José del Cabo, S.A. de C.V. 4 de noviembre de 1998. Unanimidad de cuatro votos. Ausente: Juan N. Silva Meza. Ponente: Humberto Román Palacios. Secretario: Álvaro Tovilla León.</w:t>
      </w:r>
    </w:p>
    <w:p w14:paraId="3C87EB6E" w14:textId="77777777" w:rsidR="00E258AF" w:rsidRDefault="00E258AF" w:rsidP="00E258AF">
      <w:pPr>
        <w:pStyle w:val="Citas"/>
        <w:spacing w:before="0" w:line="240" w:lineRule="auto"/>
      </w:pPr>
      <w:r>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455FB181" w14:textId="77777777" w:rsidR="00E258AF" w:rsidRDefault="00E258AF" w:rsidP="00E258AF">
      <w:pPr>
        <w:pStyle w:val="Citas"/>
        <w:spacing w:before="0" w:line="240" w:lineRule="auto"/>
      </w:pPr>
      <w:r>
        <w:t>Amparo en revisión 2447/98. José Virgilio Hernández. 18 de noviembre de 1998. Unanimidad de cuatro votos. Ausente: José de Jesús Gudiño Pelayo. Ponente: Humberto Román Palacios. Secretario: Urbano Martínez Hernández.</w:t>
      </w:r>
    </w:p>
    <w:p w14:paraId="032973D7" w14:textId="77777777" w:rsidR="00E258AF" w:rsidRPr="00F74FB1" w:rsidRDefault="00E258AF" w:rsidP="00E258AF">
      <w:pPr>
        <w:pStyle w:val="Citas"/>
        <w:spacing w:before="0" w:line="240" w:lineRule="auto"/>
        <w:rPr>
          <w:b/>
          <w:bCs/>
        </w:rPr>
      </w:pPr>
      <w:r>
        <w:lastRenderedPageBreak/>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Pr>
          <w:b/>
          <w:bCs/>
        </w:rPr>
        <w:t>(Sic)</w:t>
      </w:r>
    </w:p>
    <w:p w14:paraId="684DA7A4" w14:textId="77777777" w:rsidR="00E258AF" w:rsidRDefault="00E258AF" w:rsidP="00E258AF">
      <w:pPr>
        <w:tabs>
          <w:tab w:val="left" w:pos="709"/>
        </w:tabs>
        <w:spacing w:line="360" w:lineRule="auto"/>
        <w:jc w:val="both"/>
        <w:rPr>
          <w:rFonts w:ascii="Palatino Linotype" w:hAnsi="Palatino Linotype" w:cs="Arial"/>
        </w:rPr>
      </w:pPr>
    </w:p>
    <w:p w14:paraId="062522B0" w14:textId="77777777" w:rsidR="00E258AF" w:rsidRDefault="00E258AF" w:rsidP="00E258AF">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 xml:space="preserve">al tenerse por actualizadas las hipotesis normativas previstas en el artículo 179, </w:t>
      </w:r>
      <w:r>
        <w:rPr>
          <w:rFonts w:cs="Arial"/>
          <w:i w:val="0"/>
          <w:noProof/>
          <w:color w:val="000000"/>
          <w:sz w:val="24"/>
          <w:lang w:eastAsia="es-MX"/>
        </w:rPr>
        <w:t xml:space="preserve">fracciòn I de la Ley de Transparencia y Acceso a la Información Pública del Estado de Mexico y Municipios, cuyo contenido literal es el siguiente: </w:t>
      </w:r>
    </w:p>
    <w:p w14:paraId="59B077D4" w14:textId="77777777" w:rsidR="00E258AF" w:rsidRDefault="00E258AF" w:rsidP="00E258AF">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61F1DB34" w14:textId="77777777" w:rsidR="00E258AF" w:rsidRDefault="00E258AF" w:rsidP="00E258AF">
      <w:pPr>
        <w:pStyle w:val="Citas"/>
      </w:pPr>
      <w:r>
        <w:t>I. La negativa a la información solicitada;</w:t>
      </w:r>
    </w:p>
    <w:p w14:paraId="167335E8" w14:textId="77777777" w:rsidR="00E258AF" w:rsidRPr="008522EA" w:rsidRDefault="00E258AF" w:rsidP="00E258AF">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CE7BADB" w14:textId="77777777" w:rsidR="00E258AF" w:rsidRDefault="00E258AF" w:rsidP="00E258AF">
      <w:pPr>
        <w:pStyle w:val="Prrafodelista"/>
        <w:spacing w:line="360" w:lineRule="auto"/>
        <w:ind w:left="0"/>
        <w:contextualSpacing/>
        <w:jc w:val="both"/>
        <w:rPr>
          <w:rFonts w:ascii="Palatino Linotype" w:hAnsi="Palatino Linotype"/>
          <w:iCs/>
        </w:rPr>
      </w:pPr>
    </w:p>
    <w:p w14:paraId="40F83887" w14:textId="77777777" w:rsidR="00E258AF" w:rsidRPr="008522EA" w:rsidRDefault="00E258AF" w:rsidP="00E258AF">
      <w:pPr>
        <w:spacing w:line="360" w:lineRule="auto"/>
        <w:jc w:val="both"/>
        <w:rPr>
          <w:sz w:val="24"/>
          <w:lang w:val="es-ES_tradnl"/>
        </w:rPr>
      </w:pPr>
      <w:r w:rsidRPr="008522EA">
        <w:rPr>
          <w:rFonts w:ascii="Palatino Linotype" w:hAnsi="Palatino Linotype"/>
          <w:iCs/>
          <w:sz w:val="24"/>
        </w:rPr>
        <w:t>Ahora bien, el criterio</w:t>
      </w:r>
      <w:r>
        <w:rPr>
          <w:rFonts w:ascii="Palatino Linotype" w:hAnsi="Palatino Linotype"/>
          <w:iCs/>
          <w:sz w:val="24"/>
        </w:rPr>
        <w:t xml:space="preserve"> orientador</w:t>
      </w:r>
      <w:r w:rsidRPr="008522EA">
        <w:rPr>
          <w:rFonts w:ascii="Palatino Linotype" w:hAnsi="Palatino Linotype"/>
          <w:iCs/>
          <w:sz w:val="24"/>
        </w:rPr>
        <w:t xml:space="preserve"> </w:t>
      </w:r>
      <w:r w:rsidRPr="008522EA">
        <w:rPr>
          <w:rFonts w:ascii="Palatino Linotype" w:hAnsi="Palatino Linotype" w:cs="Arial"/>
          <w:color w:val="000000"/>
          <w:sz w:val="24"/>
          <w:lang w:val="es-ES_tradnl"/>
        </w:rPr>
        <w:t xml:space="preserve">03-17, emitido por </w:t>
      </w:r>
      <w:r w:rsidRPr="008522EA">
        <w:rPr>
          <w:rFonts w:ascii="Palatino Linotype" w:eastAsia="Arial Unicode MS" w:hAnsi="Palatino Linotype" w:cs="Arial"/>
          <w:color w:val="000000"/>
          <w:sz w:val="24"/>
          <w:lang w:val="es-ES_tradnl"/>
        </w:rPr>
        <w:t xml:space="preserve">el </w:t>
      </w:r>
      <w:r>
        <w:rPr>
          <w:rFonts w:ascii="Palatino Linotype" w:eastAsia="Arial Unicode MS" w:hAnsi="Palatino Linotype" w:cs="Arial"/>
          <w:color w:val="000000"/>
          <w:sz w:val="24"/>
          <w:lang w:val="es-ES_tradnl"/>
        </w:rPr>
        <w:t xml:space="preserve">entonces </w:t>
      </w:r>
      <w:r w:rsidRPr="008522EA">
        <w:rPr>
          <w:rFonts w:ascii="Palatino Linotype" w:eastAsia="Arial Unicode MS" w:hAnsi="Palatino Linotype" w:cs="Arial"/>
          <w:color w:val="000000"/>
          <w:sz w:val="24"/>
          <w:lang w:val="es-ES_tradnl"/>
        </w:rPr>
        <w:t xml:space="preserve">Instituto Nacional de Transparencia, Acceso a la Información y Protección de Datos Personales cuyo rubro y texto dispone a la literalidad los siguiente: </w:t>
      </w:r>
    </w:p>
    <w:p w14:paraId="0D9D6C23" w14:textId="77777777" w:rsidR="00E258AF" w:rsidRDefault="00E258AF" w:rsidP="00E258AF">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B4A2D10" w14:textId="77777777" w:rsidR="00E258AF" w:rsidRPr="00465B9A" w:rsidRDefault="00E258AF" w:rsidP="00E258AF">
      <w:pPr>
        <w:pStyle w:val="Citas"/>
      </w:pPr>
      <w:r w:rsidRPr="009805D7">
        <w:rPr>
          <w:spacing w:val="18"/>
        </w:rPr>
        <w:lastRenderedPageBreak/>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17AFC16A" w14:textId="77777777" w:rsidR="00E258AF" w:rsidRDefault="00E258AF" w:rsidP="00E258AF">
      <w:pPr>
        <w:pStyle w:val="Citas"/>
        <w:rPr>
          <w:b/>
        </w:rPr>
      </w:pPr>
      <w:r>
        <w:rPr>
          <w:b/>
        </w:rPr>
        <w:t>Resoluciones</w:t>
      </w:r>
      <w:r w:rsidRPr="00015541">
        <w:rPr>
          <w:b/>
        </w:rPr>
        <w:t>:</w:t>
      </w:r>
    </w:p>
    <w:p w14:paraId="4C9BCA10" w14:textId="77777777" w:rsidR="00E258AF" w:rsidRDefault="00E258AF" w:rsidP="00E258AF">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0FA39764" w14:textId="77777777" w:rsidR="00E258AF" w:rsidRPr="008C50C4" w:rsidRDefault="00E258AF" w:rsidP="00E258AF">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11F38710" w14:textId="77777777" w:rsidR="00E258AF" w:rsidRPr="003A136D" w:rsidRDefault="00E258AF" w:rsidP="00E258AF">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469118F9" w14:textId="77777777" w:rsidR="00E258AF" w:rsidRDefault="00E258AF" w:rsidP="00E258AF">
      <w:pPr>
        <w:autoSpaceDE w:val="0"/>
        <w:autoSpaceDN w:val="0"/>
        <w:adjustRightInd w:val="0"/>
        <w:spacing w:line="360" w:lineRule="auto"/>
        <w:jc w:val="both"/>
        <w:rPr>
          <w:rFonts w:ascii="Palatino Linotype" w:hAnsi="Palatino Linotype"/>
          <w:color w:val="000000"/>
          <w:lang w:val="es-ES_tradnl"/>
        </w:rPr>
      </w:pPr>
    </w:p>
    <w:p w14:paraId="4777F015" w14:textId="77777777" w:rsidR="00E258AF" w:rsidRPr="00811587" w:rsidRDefault="00E258AF" w:rsidP="00E258AF">
      <w:pPr>
        <w:autoSpaceDE w:val="0"/>
        <w:autoSpaceDN w:val="0"/>
        <w:adjustRightInd w:val="0"/>
        <w:spacing w:line="360" w:lineRule="auto"/>
        <w:jc w:val="both"/>
        <w:rPr>
          <w:rFonts w:ascii="Palatino Linotype" w:eastAsia="MS Mincho" w:hAnsi="Palatino Linotype"/>
          <w:b/>
          <w:i/>
          <w:sz w:val="24"/>
          <w:lang w:val="es-ES_tradnl"/>
        </w:rPr>
      </w:pPr>
      <w:r w:rsidRPr="00811587">
        <w:rPr>
          <w:rFonts w:ascii="Palatino Linotype" w:hAnsi="Palatino Linotype"/>
          <w:color w:val="000000"/>
          <w:sz w:val="24"/>
          <w:lang w:val="es-ES_tradnl"/>
        </w:rPr>
        <w:t xml:space="preserve">En las generalizaciones anteriores y con referencia al derecho de petición, el </w:t>
      </w:r>
      <w:r w:rsidRPr="00811587">
        <w:rPr>
          <w:rFonts w:ascii="Palatino Linotype" w:eastAsia="MS Mincho" w:hAnsi="Palatino Linotype"/>
          <w:sz w:val="24"/>
          <w:lang w:val="es-ES_tradnl"/>
        </w:rPr>
        <w:t>Maestro Ignacio Burgoa Orihuela refiere: “…</w:t>
      </w:r>
      <w:r w:rsidRPr="00811587">
        <w:rPr>
          <w:rFonts w:ascii="Palatino Linotype" w:eastAsia="MS Mincho" w:hAnsi="Palatino Linotype"/>
          <w:i/>
          <w:sz w:val="24"/>
          <w:lang w:val="es-ES_tradnl"/>
        </w:rPr>
        <w:t xml:space="preserve">es un Derecho Público subjetivo individual de la Garantía Respectiva Consagrada en el Artículo 8 de la Ley Fundamental. En tal virtud, la </w:t>
      </w:r>
      <w:r w:rsidRPr="00811587">
        <w:rPr>
          <w:rFonts w:ascii="Palatino Linotype" w:eastAsia="MS Mincho" w:hAnsi="Palatino Linotype"/>
          <w:i/>
          <w:sz w:val="24"/>
          <w:lang w:val="es-ES_tradnl"/>
        </w:rPr>
        <w:lastRenderedPageBreak/>
        <w:t>persona tiene la facultad de acudir a cualquier autoridad, formulando una solicitud o instancia escrito de cualquier índole, la cual adopta, específicamente, el carácter de simple petición administrativa, acción o recurso, etc.</w:t>
      </w:r>
      <w:r w:rsidRPr="00811587">
        <w:rPr>
          <w:rFonts w:ascii="Palatino Linotype" w:eastAsia="MS Mincho" w:hAnsi="Palatino Linotype"/>
          <w:i/>
          <w:sz w:val="24"/>
          <w:vertAlign w:val="superscript"/>
          <w:lang w:val="es-ES_tradnl"/>
        </w:rPr>
        <w:footnoteReference w:id="2"/>
      </w:r>
      <w:r w:rsidRPr="00811587">
        <w:rPr>
          <w:rFonts w:ascii="Palatino Linotype" w:eastAsia="MS Mincho" w:hAnsi="Palatino Linotype"/>
          <w:i/>
          <w:sz w:val="24"/>
          <w:lang w:val="es-ES_tradnl"/>
        </w:rPr>
        <w:t xml:space="preserve">  “</w:t>
      </w:r>
      <w:r w:rsidRPr="00811587">
        <w:rPr>
          <w:rFonts w:ascii="Palatino Linotype" w:eastAsia="MS Mincho" w:hAnsi="Palatino Linotype"/>
          <w:b/>
          <w:i/>
          <w:sz w:val="24"/>
          <w:lang w:val="es-ES_tradnl"/>
        </w:rPr>
        <w:t>[Sic]</w:t>
      </w:r>
    </w:p>
    <w:p w14:paraId="5F42377C" w14:textId="77777777" w:rsidR="00E258AF" w:rsidRDefault="00E258AF" w:rsidP="00E258AF">
      <w:pPr>
        <w:pStyle w:val="Sinespaciado"/>
        <w:spacing w:line="360" w:lineRule="auto"/>
        <w:jc w:val="both"/>
        <w:rPr>
          <w:rFonts w:ascii="Palatino Linotype" w:hAnsi="Palatino Linotype"/>
          <w:lang w:val="es-ES_tradnl"/>
        </w:rPr>
      </w:pPr>
    </w:p>
    <w:p w14:paraId="0A57726E" w14:textId="77777777" w:rsidR="00E258AF" w:rsidRPr="00440D64" w:rsidRDefault="00E258AF" w:rsidP="00E258AF">
      <w:pPr>
        <w:pStyle w:val="Sinespaciado"/>
        <w:spacing w:line="360" w:lineRule="auto"/>
        <w:jc w:val="both"/>
        <w:rPr>
          <w:rFonts w:ascii="Palatino Linotype" w:hAnsi="Palatino Linotype"/>
          <w:i/>
          <w:lang w:val="es-ES_tradnl"/>
        </w:rPr>
      </w:pPr>
      <w:r w:rsidRPr="001E0635">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440D64">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40D64">
        <w:rPr>
          <w:rFonts w:ascii="Palatino Linotype" w:hAnsi="Palatino Linotype"/>
          <w:i/>
          <w:vertAlign w:val="superscript"/>
          <w:lang w:val="es-ES_tradnl"/>
        </w:rPr>
        <w:footnoteReference w:id="3"/>
      </w:r>
      <w:r w:rsidRPr="00440D64">
        <w:rPr>
          <w:rFonts w:ascii="Palatino Linotype" w:hAnsi="Palatino Linotype"/>
          <w:i/>
          <w:lang w:val="es-ES_tradnl"/>
        </w:rPr>
        <w:t xml:space="preserve">” </w:t>
      </w:r>
      <w:r w:rsidRPr="00440D64">
        <w:rPr>
          <w:rFonts w:ascii="Palatino Linotype" w:hAnsi="Palatino Linotype"/>
          <w:b/>
          <w:i/>
          <w:lang w:val="es-ES_tradnl"/>
        </w:rPr>
        <w:t>[Sic]</w:t>
      </w:r>
    </w:p>
    <w:p w14:paraId="57CDAC64" w14:textId="77777777" w:rsidR="00E258AF" w:rsidRPr="00440D64" w:rsidRDefault="00E258AF" w:rsidP="00E258AF">
      <w:pPr>
        <w:autoSpaceDE w:val="0"/>
        <w:autoSpaceDN w:val="0"/>
        <w:adjustRightInd w:val="0"/>
        <w:spacing w:line="360" w:lineRule="auto"/>
        <w:jc w:val="both"/>
        <w:rPr>
          <w:rFonts w:ascii="Palatino Linotype" w:hAnsi="Palatino Linotype" w:cs="Arial"/>
          <w:i/>
          <w:iCs/>
        </w:rPr>
      </w:pPr>
    </w:p>
    <w:p w14:paraId="085B6EA5" w14:textId="77777777" w:rsidR="00E258AF" w:rsidRPr="00440D64" w:rsidRDefault="00E258AF" w:rsidP="00E258AF">
      <w:pPr>
        <w:pStyle w:val="Sinespaciado"/>
        <w:spacing w:line="360" w:lineRule="auto"/>
        <w:jc w:val="both"/>
        <w:rPr>
          <w:rFonts w:ascii="Palatino Linotype" w:hAnsi="Palatino Linotype" w:cs="Arial"/>
        </w:rPr>
      </w:pPr>
      <w:r w:rsidRPr="00440D64">
        <w:rPr>
          <w:rFonts w:ascii="Palatino Linotype" w:hAnsi="Palatino Linotype" w:cs="Arial"/>
        </w:rPr>
        <w:t xml:space="preserve">Ahora bien, para entender los alcances de la información pública se considera importante citar el criterio </w:t>
      </w:r>
      <w:r w:rsidRPr="00440D6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40D64">
        <w:rPr>
          <w:rFonts w:ascii="Palatino Linotype" w:hAnsi="Palatino Linotype" w:cs="Arial"/>
        </w:rPr>
        <w:t>cuyo rubro y texto dispone:</w:t>
      </w:r>
    </w:p>
    <w:p w14:paraId="36B05C26" w14:textId="77777777" w:rsidR="00E258AF" w:rsidRPr="00200064" w:rsidRDefault="00E258AF" w:rsidP="00E258AF">
      <w:pPr>
        <w:pStyle w:val="Citas"/>
        <w:spacing w:line="240" w:lineRule="auto"/>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26CBFE17" w14:textId="77777777" w:rsidR="00E258AF" w:rsidRDefault="00E258AF" w:rsidP="00E258AF">
      <w:pPr>
        <w:pStyle w:val="Citas"/>
        <w:spacing w:line="240" w:lineRule="auto"/>
        <w:rPr>
          <w:lang w:eastAsia="es-MX"/>
        </w:rPr>
      </w:pPr>
      <w:r>
        <w:rPr>
          <w:lang w:eastAsia="es-MX"/>
        </w:rPr>
        <w:lastRenderedPageBreak/>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DF7B7D" w14:textId="77777777" w:rsidR="00E258AF" w:rsidRDefault="00E258AF" w:rsidP="00E258AF">
      <w:pPr>
        <w:pStyle w:val="Citas"/>
        <w:spacing w:line="240" w:lineRule="auto"/>
        <w:rPr>
          <w:lang w:eastAsia="es-MX"/>
        </w:rPr>
      </w:pPr>
      <w:r>
        <w:rPr>
          <w:lang w:eastAsia="es-MX"/>
        </w:rPr>
        <w:t>En consecuencia el acceso a la información se refiere a que se cumplan cualquiera de los siguientes tres supuestos:</w:t>
      </w:r>
    </w:p>
    <w:p w14:paraId="6A916105" w14:textId="77777777" w:rsidR="00E258AF" w:rsidRDefault="00E258AF" w:rsidP="00E258AF">
      <w:pPr>
        <w:pStyle w:val="Citas"/>
        <w:spacing w:line="240" w:lineRule="auto"/>
        <w:rPr>
          <w:lang w:eastAsia="es-MX"/>
        </w:rPr>
      </w:pPr>
      <w:r>
        <w:rPr>
          <w:lang w:eastAsia="es-MX"/>
        </w:rPr>
        <w:t>Que se trate de información registrada en cualquier soporte documental, que en ejercicio de las atribuciones conferidas, sea generada por los Sujetos Obligados;</w:t>
      </w:r>
    </w:p>
    <w:p w14:paraId="6643EB55" w14:textId="77777777" w:rsidR="00E258AF" w:rsidRDefault="00E258AF" w:rsidP="00E258AF">
      <w:pPr>
        <w:pStyle w:val="Citas"/>
        <w:spacing w:line="240" w:lineRule="auto"/>
        <w:rPr>
          <w:lang w:eastAsia="es-MX"/>
        </w:rPr>
      </w:pPr>
      <w:r>
        <w:rPr>
          <w:lang w:eastAsia="es-MX"/>
        </w:rPr>
        <w:t>Que se trate de información registrada en cualquier soporte documental, que en ejercicio de las atribuciones conferidas, sea administrada por los Sujetos Obligados, y</w:t>
      </w:r>
    </w:p>
    <w:p w14:paraId="56A81902" w14:textId="77777777" w:rsidR="00E258AF" w:rsidRPr="00200064" w:rsidRDefault="00E258AF" w:rsidP="00E258AF">
      <w:pPr>
        <w:pStyle w:val="Citas"/>
        <w:spacing w:line="240" w:lineRule="auto"/>
        <w:rPr>
          <w:b/>
          <w:lang w:eastAsia="es-MX"/>
        </w:rPr>
      </w:pPr>
      <w:r>
        <w:rPr>
          <w:lang w:eastAsia="es-MX"/>
        </w:rPr>
        <w:t xml:space="preserve">Que se trate de información registrada en cualquier soporte documental, que en ejercicio de las atribuciones conferidas, se encuentre en posesión de los Sujetos Obligados.” </w:t>
      </w:r>
      <w:r>
        <w:rPr>
          <w:b/>
          <w:lang w:eastAsia="es-MX"/>
        </w:rPr>
        <w:t>[Sic]</w:t>
      </w:r>
    </w:p>
    <w:p w14:paraId="09D4489B" w14:textId="77777777" w:rsidR="00E258AF" w:rsidRDefault="00E258AF" w:rsidP="00E258AF">
      <w:pPr>
        <w:spacing w:line="360" w:lineRule="auto"/>
        <w:jc w:val="both"/>
        <w:rPr>
          <w:rFonts w:ascii="Palatino Linotype" w:hAnsi="Palatino Linotype"/>
        </w:rPr>
      </w:pPr>
    </w:p>
    <w:p w14:paraId="2FF224D9" w14:textId="77777777" w:rsidR="00E258AF" w:rsidRPr="008522EA" w:rsidRDefault="00E258AF" w:rsidP="00E258AF">
      <w:pPr>
        <w:spacing w:line="360" w:lineRule="auto"/>
        <w:jc w:val="both"/>
        <w:rPr>
          <w:rFonts w:ascii="Palatino Linotype" w:hAnsi="Palatino Linotype"/>
          <w:sz w:val="24"/>
        </w:rPr>
      </w:pPr>
      <w:r w:rsidRPr="008522EA">
        <w:rPr>
          <w:rFonts w:ascii="Palatino Linotype" w:hAnsi="Palatino Linotype"/>
          <w:sz w:val="24"/>
        </w:rPr>
        <w:t xml:space="preserve">Por lo anterior, al no constituirse dicho cuestionamiento como materia del derecho de acceso a la información, se considera que </w:t>
      </w:r>
      <w:r w:rsidRPr="008522EA">
        <w:rPr>
          <w:rFonts w:ascii="Palatino Linotype" w:hAnsi="Palatino Linotype"/>
          <w:b/>
          <w:sz w:val="24"/>
        </w:rPr>
        <w:t>El Sujeto Obligado</w:t>
      </w:r>
      <w:r w:rsidRPr="008522EA">
        <w:rPr>
          <w:rFonts w:ascii="Palatino Linotype" w:hAnsi="Palatino Linotype"/>
          <w:sz w:val="24"/>
        </w:rPr>
        <w:t xml:space="preserve"> no se encuentra constreñido a emitir una respuesta al mismo.</w:t>
      </w:r>
    </w:p>
    <w:p w14:paraId="777C57B2" w14:textId="77777777" w:rsidR="00E258AF" w:rsidRPr="008522EA" w:rsidRDefault="00E258AF" w:rsidP="00E258AF">
      <w:pPr>
        <w:spacing w:line="360" w:lineRule="auto"/>
        <w:jc w:val="both"/>
        <w:rPr>
          <w:rFonts w:ascii="Palatino Linotype" w:hAnsi="Palatino Linotype"/>
          <w:sz w:val="24"/>
        </w:rPr>
      </w:pPr>
    </w:p>
    <w:p w14:paraId="783D30B6" w14:textId="77777777" w:rsidR="00E258AF" w:rsidRPr="008522EA" w:rsidRDefault="00E258AF" w:rsidP="00E258AF">
      <w:pPr>
        <w:spacing w:line="360" w:lineRule="auto"/>
        <w:jc w:val="both"/>
        <w:rPr>
          <w:rFonts w:ascii="Palatino Linotype" w:hAnsi="Palatino Linotype" w:cs="Arial"/>
          <w:sz w:val="24"/>
        </w:rPr>
      </w:pPr>
      <w:r w:rsidRPr="008522EA">
        <w:rPr>
          <w:rFonts w:ascii="Palatino Linotype" w:hAnsi="Palatino Linotype"/>
          <w:sz w:val="24"/>
        </w:rPr>
        <w:t xml:space="preserve">Una vez precisado lo anterior, </w:t>
      </w:r>
      <w:r w:rsidRPr="008522EA">
        <w:rPr>
          <w:rFonts w:ascii="Palatino Linotype" w:hAnsi="Palatino Linotype" w:cs="Arial"/>
          <w:sz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E82A96E" w14:textId="77777777" w:rsidR="00E258AF" w:rsidRPr="0004467E" w:rsidRDefault="00E258AF" w:rsidP="00E258AF">
      <w:pPr>
        <w:spacing w:line="360" w:lineRule="auto"/>
        <w:ind w:left="851" w:right="851"/>
        <w:jc w:val="both"/>
        <w:rPr>
          <w:rFonts w:ascii="Palatino Linotype" w:hAnsi="Palatino Linotype" w:cs="Arial"/>
          <w:b/>
          <w:i/>
        </w:rPr>
      </w:pPr>
      <w:r w:rsidRPr="0004467E">
        <w:rPr>
          <w:rFonts w:ascii="Palatino Linotype" w:hAnsi="Palatino Linotype" w:cs="Arial"/>
          <w:b/>
          <w:i/>
        </w:rPr>
        <w:lastRenderedPageBreak/>
        <w:t>“SOBRESEIMIENTO EN EL JUICIO DE AMPARO DIRECTO. IMPIDE EL ESTUDIO DE LAS VIOLACIONES PROCESALES PLANTEADAS EN LOS CONCEPTOS DE VIOLACIÓN.</w:t>
      </w:r>
    </w:p>
    <w:p w14:paraId="55AACFC7" w14:textId="77777777" w:rsidR="00E258AF" w:rsidRPr="0004467E" w:rsidRDefault="00E258AF" w:rsidP="00E258AF">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14F1F7F0" w14:textId="77777777" w:rsidR="00E258AF" w:rsidRPr="0004467E" w:rsidRDefault="00E258AF" w:rsidP="00E258AF">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21C16238" w14:textId="77777777" w:rsidR="00E258AF" w:rsidRPr="0004467E" w:rsidRDefault="00E258AF" w:rsidP="00E258AF">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hAnsi="Palatino Linotype"/>
          <w:b/>
          <w:i/>
          <w:lang w:val="es-ES_tradnl"/>
        </w:rPr>
        <w:t xml:space="preserve"> [Sic]</w:t>
      </w:r>
    </w:p>
    <w:p w14:paraId="12E1C262" w14:textId="77777777" w:rsidR="00E258AF" w:rsidRPr="008522EA" w:rsidRDefault="00E258AF" w:rsidP="00E258AF">
      <w:pPr>
        <w:ind w:right="141"/>
        <w:jc w:val="both"/>
        <w:rPr>
          <w:rFonts w:ascii="Palatino Linotype" w:hAnsi="Palatino Linotype" w:cs="Arial"/>
          <w:sz w:val="24"/>
        </w:rPr>
      </w:pPr>
    </w:p>
    <w:p w14:paraId="79EADA60" w14:textId="77777777" w:rsidR="00E258AF" w:rsidRPr="008522EA" w:rsidRDefault="00E258AF" w:rsidP="00E258AF">
      <w:pPr>
        <w:spacing w:line="360" w:lineRule="auto"/>
        <w:jc w:val="both"/>
        <w:rPr>
          <w:rFonts w:ascii="Palatino Linotype" w:hAnsi="Palatino Linotype" w:cs="Arial"/>
          <w:sz w:val="24"/>
        </w:rPr>
      </w:pPr>
      <w:r w:rsidRPr="008522EA">
        <w:rPr>
          <w:rFonts w:ascii="Palatino Linotype" w:hAnsi="Palatino Linotype" w:cs="Arial"/>
          <w:sz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8522EA">
        <w:rPr>
          <w:rFonts w:ascii="Palatino Linotype" w:hAnsi="Palatino Linotype" w:cs="Arial"/>
          <w:b/>
          <w:sz w:val="24"/>
        </w:rPr>
        <w:t xml:space="preserve">artículo 192 </w:t>
      </w:r>
      <w:r w:rsidRPr="008522EA">
        <w:rPr>
          <w:rFonts w:ascii="Palatino Linotype" w:hAnsi="Palatino Linotype" w:cs="Arial"/>
          <w:sz w:val="24"/>
        </w:rPr>
        <w:t xml:space="preserve">de la </w:t>
      </w:r>
      <w:r w:rsidRPr="008522EA">
        <w:rPr>
          <w:rFonts w:ascii="Palatino Linotype" w:hAnsi="Palatino Linotype" w:cs="Arial"/>
          <w:b/>
          <w:sz w:val="24"/>
        </w:rPr>
        <w:t xml:space="preserve">Ley de Transparencia y Acceso a la Información Pública del Estado de México y Municipios, </w:t>
      </w:r>
      <w:r w:rsidRPr="008522EA">
        <w:rPr>
          <w:rFonts w:ascii="Palatino Linotype" w:hAnsi="Palatino Linotype" w:cs="Arial"/>
          <w:sz w:val="24"/>
        </w:rPr>
        <w:t xml:space="preserve">nos encontramos ante un sobreseimiento definitivo toda vez que pone fin al procedimiento sin entrar al estudio de fondo del mismo. </w:t>
      </w:r>
    </w:p>
    <w:p w14:paraId="41C89E98" w14:textId="77777777" w:rsidR="00E258AF" w:rsidRPr="008522EA" w:rsidRDefault="00E258AF" w:rsidP="00E258AF">
      <w:pPr>
        <w:autoSpaceDE w:val="0"/>
        <w:autoSpaceDN w:val="0"/>
        <w:adjustRightInd w:val="0"/>
        <w:spacing w:before="240" w:line="360" w:lineRule="auto"/>
        <w:ind w:right="-18"/>
        <w:jc w:val="both"/>
        <w:rPr>
          <w:rFonts w:ascii="Palatino Linotype" w:hAnsi="Palatino Linotype"/>
          <w:b/>
          <w:bCs/>
          <w:sz w:val="24"/>
          <w:u w:val="single"/>
        </w:rPr>
      </w:pPr>
      <w:r w:rsidRPr="008522EA">
        <w:rPr>
          <w:rFonts w:ascii="Palatino Linotype" w:hAnsi="Palatino Linotype"/>
          <w:b/>
          <w:bCs/>
          <w:sz w:val="24"/>
          <w:u w:val="single"/>
        </w:rPr>
        <w:lastRenderedPageBreak/>
        <w:t>Para los efectos de esta resolución, resulta oportuno precisar la improcedencia del recurso por no actualizar alguno de los supuestos previstos en la ley de transparencia y por tratarse de una consul</w:t>
      </w:r>
      <w:r>
        <w:rPr>
          <w:rFonts w:ascii="Palatino Linotype" w:hAnsi="Palatino Linotype"/>
          <w:b/>
          <w:bCs/>
          <w:sz w:val="24"/>
          <w:u w:val="single"/>
        </w:rPr>
        <w:t xml:space="preserve">ta (Artículo 191 fracciones </w:t>
      </w:r>
      <w:r w:rsidRPr="008522EA">
        <w:rPr>
          <w:rFonts w:ascii="Palatino Linotype" w:hAnsi="Palatino Linotype"/>
          <w:b/>
          <w:bCs/>
          <w:sz w:val="24"/>
          <w:u w:val="single"/>
        </w:rPr>
        <w:t>VI y 192 fracción IV de la Ley de Transparencia local)</w:t>
      </w:r>
    </w:p>
    <w:p w14:paraId="487901AA" w14:textId="77777777" w:rsidR="00E258AF" w:rsidRPr="008522EA" w:rsidRDefault="00E258AF" w:rsidP="00E258AF">
      <w:pPr>
        <w:spacing w:before="240" w:line="360" w:lineRule="auto"/>
        <w:jc w:val="both"/>
        <w:rPr>
          <w:rFonts w:ascii="Palatino Linotype" w:hAnsi="Palatino Linotype"/>
          <w:sz w:val="24"/>
        </w:rPr>
      </w:pPr>
      <w:r w:rsidRPr="008522EA">
        <w:rPr>
          <w:rFonts w:ascii="Palatino Linotype" w:hAnsi="Palatino Linotype"/>
          <w:sz w:val="24"/>
        </w:rPr>
        <w:t xml:space="preserve">Luego entonces debemos destacar que, en la solicitud de información planteada por el particular, se observa en </w:t>
      </w:r>
      <w:r w:rsidRPr="008522EA">
        <w:rPr>
          <w:rFonts w:ascii="Palatino Linotype" w:hAnsi="Palatino Linotype"/>
          <w:color w:val="000000"/>
          <w:sz w:val="24"/>
        </w:rPr>
        <w:t xml:space="preserve">primer lugar que la información fue formulada a través de planteamientos en donde </w:t>
      </w:r>
      <w:r w:rsidRPr="008522EA">
        <w:rPr>
          <w:rFonts w:ascii="Palatino Linotype" w:hAnsi="Palatino Linotype" w:cs="Arial"/>
          <w:bCs/>
          <w:iCs/>
          <w:color w:val="222222"/>
          <w:sz w:val="24"/>
        </w:rPr>
        <w:t>no se identifica un documento en específico</w:t>
      </w:r>
      <w:r w:rsidRPr="008522EA">
        <w:rPr>
          <w:rFonts w:ascii="Palatino Linotype" w:hAnsi="Palatino Linotype"/>
          <w:color w:val="000000"/>
          <w:sz w:val="24"/>
        </w:rPr>
        <w:t xml:space="preserve">, en segundo lugar, se aprecia que en la misma se vierten manifestaciones subjetivas que no pueden ser atendidas mediante el Derecho de Acceso a la Información, </w:t>
      </w:r>
      <w:r w:rsidRPr="008522EA">
        <w:rPr>
          <w:rFonts w:ascii="Palatino Linotype" w:hAnsi="Palatino Linotype" w:cs="Arial"/>
          <w:sz w:val="24"/>
        </w:rPr>
        <w:t xml:space="preserve">es decir, </w:t>
      </w:r>
      <w:r w:rsidRPr="008522EA">
        <w:rPr>
          <w:rFonts w:ascii="Palatino Linotype" w:hAnsi="Palatino Linotype"/>
          <w:sz w:val="24"/>
        </w:rPr>
        <w:t xml:space="preserve">no existe materia de derecho de acceso a la información sobre la que el </w:t>
      </w:r>
      <w:r w:rsidRPr="008522EA">
        <w:rPr>
          <w:rFonts w:ascii="Palatino Linotype" w:hAnsi="Palatino Linotype"/>
          <w:b/>
          <w:bCs/>
          <w:sz w:val="24"/>
        </w:rPr>
        <w:t>Sujeto Obligado</w:t>
      </w:r>
      <w:r w:rsidRPr="008522EA">
        <w:rPr>
          <w:rFonts w:ascii="Palatino Linotype" w:hAnsi="Palatino Linotype"/>
          <w:sz w:val="24"/>
        </w:rPr>
        <w:t xml:space="preserve"> o sujeto obligado diverso pueda entregar información alguna, ello es así porque </w:t>
      </w:r>
      <w:r w:rsidRPr="008522EA">
        <w:rPr>
          <w:rFonts w:ascii="Palatino Linotype" w:hAnsi="Palatino Linotype"/>
          <w:b/>
          <w:bCs/>
          <w:sz w:val="24"/>
        </w:rPr>
        <w:t xml:space="preserve">El Recurrente </w:t>
      </w:r>
      <w:r w:rsidRPr="008522EA">
        <w:rPr>
          <w:rFonts w:ascii="Palatino Linotype" w:hAnsi="Palatino Linotype"/>
          <w:sz w:val="24"/>
        </w:rPr>
        <w:t xml:space="preserve">requiere la contestación de un cuestionamiento de manifestaciones subjetivas. </w:t>
      </w:r>
    </w:p>
    <w:p w14:paraId="6541A56E" w14:textId="77777777" w:rsidR="00E258AF" w:rsidRDefault="00E258AF" w:rsidP="00E258AF">
      <w:pPr>
        <w:pStyle w:val="Prrafodelista"/>
        <w:autoSpaceDE w:val="0"/>
        <w:autoSpaceDN w:val="0"/>
        <w:adjustRightInd w:val="0"/>
        <w:spacing w:line="360" w:lineRule="auto"/>
        <w:ind w:left="0"/>
        <w:contextualSpacing/>
        <w:jc w:val="both"/>
        <w:rPr>
          <w:rFonts w:ascii="Palatino Linotype" w:hAnsi="Palatino Linotype"/>
        </w:rPr>
      </w:pPr>
    </w:p>
    <w:p w14:paraId="22746287" w14:textId="77777777" w:rsidR="00E258AF" w:rsidRPr="00B21190" w:rsidRDefault="00E258AF" w:rsidP="00E258AF">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w:t>
      </w:r>
      <w:r w:rsidRPr="009A4152">
        <w:rPr>
          <w:rFonts w:ascii="Palatino Linotype" w:hAnsi="Palatino Linotype" w:cs="Arial"/>
          <w:b/>
          <w:bCs/>
        </w:rPr>
        <w:t>Sujetos Obligados</w:t>
      </w:r>
      <w:r w:rsidRPr="00B21190">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65F4884B" w14:textId="77777777" w:rsidR="00E258AF" w:rsidRPr="00B21190" w:rsidRDefault="00E258AF" w:rsidP="00E258AF">
      <w:pPr>
        <w:pStyle w:val="Prrafodelista"/>
        <w:autoSpaceDE w:val="0"/>
        <w:autoSpaceDN w:val="0"/>
        <w:adjustRightInd w:val="0"/>
        <w:spacing w:line="360" w:lineRule="auto"/>
        <w:ind w:left="0"/>
        <w:jc w:val="both"/>
        <w:rPr>
          <w:rFonts w:ascii="Palatino Linotype" w:hAnsi="Palatino Linotype" w:cs="Arial"/>
        </w:rPr>
      </w:pPr>
    </w:p>
    <w:p w14:paraId="711D8860" w14:textId="77777777" w:rsidR="00E258AF" w:rsidRPr="00B21190" w:rsidRDefault="00E258AF" w:rsidP="00E258AF">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Pr>
          <w:rStyle w:val="apple-converted-space"/>
          <w:rFonts w:ascii="Palatino Linotype" w:hAnsi="Palatino Linotype" w:cs="Arial"/>
          <w:color w:val="000000" w:themeColor="text1"/>
        </w:rPr>
        <w:t xml:space="preserve">orientador </w:t>
      </w:r>
      <w:r w:rsidRPr="008A7D00">
        <w:rPr>
          <w:rStyle w:val="il"/>
          <w:rFonts w:ascii="Palatino Linotype" w:eastAsiaTheme="majorEastAsia" w:hAnsi="Palatino Linotype" w:cs="Arial"/>
          <w:b/>
          <w:bCs/>
          <w:color w:val="000000" w:themeColor="text1"/>
        </w:rPr>
        <w:t>028</w:t>
      </w:r>
      <w:r w:rsidRPr="008A7D00">
        <w:rPr>
          <w:rFonts w:ascii="Palatino Linotype" w:hAnsi="Palatino Linotype" w:cs="Arial"/>
          <w:b/>
          <w:bCs/>
          <w:color w:val="000000" w:themeColor="text1"/>
        </w:rPr>
        <w:t>-</w:t>
      </w:r>
      <w:r w:rsidRPr="008A7D00">
        <w:rPr>
          <w:rStyle w:val="il"/>
          <w:rFonts w:ascii="Palatino Linotype" w:eastAsiaTheme="majorEastAsia" w:hAnsi="Palatino Linotype" w:cs="Arial"/>
          <w:b/>
          <w:bCs/>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 xml:space="preserve">Instituto Federal de Acceso a la Información y Protección de Datos, </w:t>
      </w:r>
      <w:r w:rsidRPr="00B21190">
        <w:rPr>
          <w:rFonts w:ascii="Palatino Linotype" w:hAnsi="Palatino Linotype" w:cs="Arial"/>
          <w:color w:val="000000" w:themeColor="text1"/>
        </w:rPr>
        <w:lastRenderedPageBreak/>
        <w:t>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1505B0A1" w14:textId="77777777" w:rsidR="00E258AF" w:rsidRPr="008A7D00" w:rsidRDefault="00E258AF" w:rsidP="00E258AF">
      <w:pPr>
        <w:pStyle w:val="Citas"/>
        <w:spacing w:line="240" w:lineRule="auto"/>
        <w:ind w:left="567" w:right="567"/>
        <w:rPr>
          <w:rStyle w:val="apple-converted-space"/>
          <w:b/>
          <w:bCs/>
          <w:i w:val="0"/>
          <w:iCs/>
          <w:color w:val="000000" w:themeColor="text1"/>
          <w:lang w:val="es-ES_tradnl"/>
        </w:rPr>
      </w:pPr>
      <w:r w:rsidRPr="008A7D00">
        <w:rPr>
          <w:b/>
          <w:bCs/>
          <w:lang w:val="es-ES_tradnl"/>
        </w:rPr>
        <w:t>“CUANDO EN UNA SOLICITUD DE INFORMACIÓN NO SE IDENTIFIQUE UN DOCUMENTO EN ESPECÍFICO, SI ÉSTA TIENE UNA EXPRESIÓN DOCUMENTAL, EL SUJETO OBLIGADO DEBERÁ ENTREGAR AL PARTICULAR EL DOCUMENTO EN ESPECÍFICO.</w:t>
      </w:r>
      <w:r w:rsidRPr="008A7D00">
        <w:rPr>
          <w:rStyle w:val="apple-converted-space"/>
          <w:b/>
          <w:bCs/>
          <w:i w:val="0"/>
          <w:iCs/>
          <w:color w:val="000000" w:themeColor="text1"/>
          <w:lang w:val="es-ES_tradnl"/>
        </w:rPr>
        <w:t xml:space="preserve"> </w:t>
      </w:r>
    </w:p>
    <w:p w14:paraId="1655DDBE" w14:textId="77777777" w:rsidR="00E258AF" w:rsidRDefault="00E258AF" w:rsidP="00E258AF">
      <w:pPr>
        <w:pStyle w:val="Citas"/>
        <w:spacing w:line="240" w:lineRule="auto"/>
        <w:ind w:left="567" w:right="567"/>
        <w:rPr>
          <w:lang w:val="es-ES_tradnl"/>
        </w:rPr>
      </w:pPr>
      <w:r w:rsidRPr="00B21190">
        <w:rPr>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7287FE9" w14:textId="77777777" w:rsidR="00E258AF" w:rsidRPr="009A4152" w:rsidRDefault="00E258AF" w:rsidP="00E258AF">
      <w:pPr>
        <w:pStyle w:val="Citas"/>
        <w:spacing w:line="240" w:lineRule="auto"/>
        <w:ind w:left="567" w:right="567"/>
        <w:rPr>
          <w:b/>
          <w:bCs/>
        </w:rPr>
      </w:pPr>
      <w:r w:rsidRPr="009A4152">
        <w:rPr>
          <w:b/>
          <w:bCs/>
        </w:rPr>
        <w:t>Precedentes:</w:t>
      </w:r>
    </w:p>
    <w:p w14:paraId="67C00F32" w14:textId="77777777" w:rsidR="00E258AF" w:rsidRPr="001F5B23" w:rsidRDefault="00E258AF" w:rsidP="00E258AF">
      <w:pPr>
        <w:pStyle w:val="Citas"/>
        <w:numPr>
          <w:ilvl w:val="0"/>
          <w:numId w:val="6"/>
        </w:numPr>
        <w:spacing w:line="240" w:lineRule="auto"/>
        <w:ind w:left="567" w:right="567"/>
      </w:pPr>
      <w:r w:rsidRPr="001F5B23">
        <w:t>Acceso a la información pública. 2790/09. Sesión del 19 de agosto de 2009. Votación por unanimidad. Sin votos disidentes o particulares. Notimex, S.A. de C.V. Comisionado Ponente Juan Pablo Guerrero Amparán.</w:t>
      </w:r>
    </w:p>
    <w:p w14:paraId="4E13CD40" w14:textId="77777777" w:rsidR="00E258AF" w:rsidRPr="001F5B23" w:rsidRDefault="00E258AF" w:rsidP="00E258AF">
      <w:pPr>
        <w:pStyle w:val="Citas"/>
        <w:numPr>
          <w:ilvl w:val="0"/>
          <w:numId w:val="6"/>
        </w:numPr>
        <w:spacing w:line="240" w:lineRule="auto"/>
        <w:ind w:left="567" w:right="567"/>
      </w:pPr>
      <w:r w:rsidRPr="001F5B23">
        <w:lastRenderedPageBreak/>
        <w:t>Acceso a la información pública. 2677/09. Sesión del 26 de agosto de 2009. Votación por unanimidad. Sin votos disidentes o particulares. Comisión Federal para la Protección Contra Riesgos Sanitarios. Comisionado Ponente Alonso Gómez-Robledo V.</w:t>
      </w:r>
    </w:p>
    <w:p w14:paraId="68B5F327" w14:textId="77777777" w:rsidR="00E258AF" w:rsidRPr="001F5B23" w:rsidRDefault="00E258AF" w:rsidP="00E258AF">
      <w:pPr>
        <w:pStyle w:val="Citas"/>
        <w:numPr>
          <w:ilvl w:val="0"/>
          <w:numId w:val="6"/>
        </w:numPr>
        <w:spacing w:line="240" w:lineRule="auto"/>
        <w:ind w:left="567" w:right="567"/>
      </w:pPr>
      <w:r w:rsidRPr="001F5B23">
        <w:t>Acceso a la información pública. 4262/09. Sesión del 11 de noviembre de 2009. Votación por unanimidad. Sin votos disidentes o particulares. Secretaría de la Defensa Nacional. Comisionada Ponente Jacqueline Peschard Mariscal.</w:t>
      </w:r>
    </w:p>
    <w:p w14:paraId="273E1661" w14:textId="77777777" w:rsidR="00E258AF" w:rsidRPr="001F5B23" w:rsidRDefault="00E258AF" w:rsidP="00E258AF">
      <w:pPr>
        <w:pStyle w:val="Citas"/>
        <w:numPr>
          <w:ilvl w:val="0"/>
          <w:numId w:val="6"/>
        </w:numPr>
        <w:spacing w:line="240" w:lineRule="auto"/>
        <w:ind w:left="567" w:right="567"/>
      </w:pPr>
      <w:r w:rsidRPr="001F5B23">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13ED60B5" w14:textId="77777777" w:rsidR="00E258AF" w:rsidRPr="008A7D00" w:rsidRDefault="00E258AF" w:rsidP="00E258AF">
      <w:pPr>
        <w:pStyle w:val="Citas"/>
        <w:numPr>
          <w:ilvl w:val="0"/>
          <w:numId w:val="6"/>
        </w:numPr>
        <w:spacing w:line="240" w:lineRule="auto"/>
        <w:ind w:left="567" w:right="567"/>
        <w:rPr>
          <w:bCs/>
        </w:rPr>
      </w:pPr>
      <w:r w:rsidRPr="001F5B23">
        <w:t>Acceso a la información pública. 2731/10. Sesión del 02 de junio de 2010. Votación por unanimidad. Sin votos disidentes o particulares. Administración Portuaria Integral de Veracruz, S.A. de C.V. Comisionada Ponente Sigrid Arzt</w:t>
      </w:r>
      <w:r>
        <w:t xml:space="preserve"> Colunga” </w:t>
      </w:r>
      <w:r>
        <w:rPr>
          <w:b/>
          <w:bCs/>
        </w:rPr>
        <w:t>(Sic)</w:t>
      </w:r>
    </w:p>
    <w:p w14:paraId="14A3AE96" w14:textId="77777777" w:rsidR="00E258AF" w:rsidRDefault="00E258AF" w:rsidP="00E258AF">
      <w:pPr>
        <w:autoSpaceDE w:val="0"/>
        <w:autoSpaceDN w:val="0"/>
        <w:adjustRightInd w:val="0"/>
        <w:spacing w:line="360" w:lineRule="auto"/>
        <w:jc w:val="both"/>
        <w:rPr>
          <w:rFonts w:ascii="Palatino Linotype" w:hAnsi="Palatino Linotype" w:cs="Arial"/>
        </w:rPr>
      </w:pPr>
    </w:p>
    <w:p w14:paraId="666D781F" w14:textId="77777777" w:rsidR="00E258AF" w:rsidRPr="00124F78" w:rsidRDefault="00E258AF" w:rsidP="00E258AF">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10A62FFB" w14:textId="77777777" w:rsidR="00E258AF" w:rsidRPr="00B21190" w:rsidRDefault="00E258AF" w:rsidP="00E258AF">
      <w:pPr>
        <w:autoSpaceDE w:val="0"/>
        <w:autoSpaceDN w:val="0"/>
        <w:adjustRightInd w:val="0"/>
        <w:spacing w:line="360" w:lineRule="auto"/>
        <w:jc w:val="both"/>
        <w:rPr>
          <w:rFonts w:ascii="Palatino Linotype" w:hAnsi="Palatino Linotype" w:cs="Arial"/>
        </w:rPr>
      </w:pPr>
    </w:p>
    <w:p w14:paraId="528B672E" w14:textId="77777777" w:rsidR="00E258AF" w:rsidRPr="00124F78" w:rsidRDefault="00E258AF" w:rsidP="00E258AF">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 xml:space="preserve">De lo anterior, este Resolutor en aras de tutelar el derecho de acceso a la información de los particulares, tiene la obligación de apegarse en todo momento a lo que dispone </w:t>
      </w:r>
      <w:r w:rsidRPr="00124F78">
        <w:rPr>
          <w:rFonts w:ascii="Palatino Linotype" w:hAnsi="Palatino Linotype" w:cs="Arial"/>
          <w:sz w:val="24"/>
        </w:rPr>
        <w:lastRenderedPageBreak/>
        <w:t xml:space="preserve">la Ley de Transparencia y Acceso a la Información Pública del Estado de México y Municipios garantizando los principios de imparcialidad y legalidad en el procedimiento de impugnación y resolución del recurso planteado, por lo que bajo tal guisa </w:t>
      </w:r>
      <w:r w:rsidRPr="00124F78">
        <w:rPr>
          <w:rFonts w:ascii="Palatino Linotype" w:hAnsi="Palatino Linotype" w:cs="Arial"/>
          <w:b/>
          <w:sz w:val="24"/>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124F78">
        <w:rPr>
          <w:rFonts w:ascii="Palatino Linotype" w:hAnsi="Palatino Linotype" w:cs="Arial"/>
          <w:sz w:val="24"/>
        </w:rPr>
        <w:t xml:space="preserve">, resultando inconcuso que su solicitud de información es improcedente porque el requerimiento consiste en un pronunciamiento sobre cuestionamientos derivados de juicios subjetivos por parte del </w:t>
      </w:r>
      <w:r w:rsidRPr="00124F78">
        <w:rPr>
          <w:rFonts w:ascii="Palatino Linotype" w:hAnsi="Palatino Linotype" w:cs="Arial"/>
          <w:b/>
          <w:sz w:val="24"/>
        </w:rPr>
        <w:t>Recurrente</w:t>
      </w:r>
      <w:r w:rsidRPr="00124F78">
        <w:rPr>
          <w:rFonts w:ascii="Palatino Linotype" w:hAnsi="Palatino Linotype" w:cs="Arial"/>
          <w:sz w:val="24"/>
        </w:rPr>
        <w:t xml:space="preserve">, sin que se requiriera específicamente un documento al cual deseara acceder que permitiera al </w:t>
      </w:r>
      <w:r w:rsidRPr="00124F78">
        <w:rPr>
          <w:rFonts w:ascii="Palatino Linotype" w:hAnsi="Palatino Linotype" w:cs="Arial"/>
          <w:b/>
          <w:sz w:val="24"/>
        </w:rPr>
        <w:t>Sujeto Obligado</w:t>
      </w:r>
      <w:r w:rsidRPr="00124F78">
        <w:rPr>
          <w:rFonts w:ascii="Palatino Linotype" w:hAnsi="Palatino Linotype" w:cs="Arial"/>
          <w:sz w:val="24"/>
        </w:rPr>
        <w:t xml:space="preserve"> localizarlo y en su caso ponerlo a su disposición.</w:t>
      </w:r>
    </w:p>
    <w:p w14:paraId="490235FD" w14:textId="77777777" w:rsidR="00E258AF" w:rsidRPr="00124F78" w:rsidRDefault="00E258AF" w:rsidP="00E258AF">
      <w:pPr>
        <w:pStyle w:val="Sinespaciado"/>
        <w:rPr>
          <w:sz w:val="28"/>
          <w:lang w:val="es-ES"/>
        </w:rPr>
      </w:pPr>
    </w:p>
    <w:p w14:paraId="74DE026C" w14:textId="77777777" w:rsidR="00E258AF" w:rsidRPr="00124F78" w:rsidRDefault="00E258AF" w:rsidP="00E258AF">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En sustento a lo anterior, cobra aplicación lo establecido por el artículo 6 apartado A fracciones I, II y III de la Constitución Política de los Estados Unidos Mexicanos que a la letra señalan:</w:t>
      </w:r>
    </w:p>
    <w:p w14:paraId="040FEF6F" w14:textId="77777777" w:rsidR="00E258AF" w:rsidRPr="00B21190" w:rsidRDefault="00E258AF" w:rsidP="00E258AF">
      <w:pPr>
        <w:pStyle w:val="Citas"/>
      </w:pPr>
      <w:r w:rsidRPr="00B21190">
        <w:t>“Artículo 6o.</w:t>
      </w:r>
    </w:p>
    <w:p w14:paraId="72613516" w14:textId="77777777" w:rsidR="00E258AF" w:rsidRPr="00B21190" w:rsidRDefault="00E258AF" w:rsidP="00E258AF">
      <w:pPr>
        <w:pStyle w:val="Citas"/>
      </w:pPr>
      <w:r w:rsidRPr="00B21190">
        <w:t>[...]</w:t>
      </w:r>
    </w:p>
    <w:p w14:paraId="163E7CF0" w14:textId="77777777" w:rsidR="00E258AF" w:rsidRPr="00B21190" w:rsidRDefault="00E258AF" w:rsidP="00E258AF">
      <w:pPr>
        <w:pStyle w:val="Citas"/>
        <w:rPr>
          <w:color w:val="000000"/>
        </w:rPr>
      </w:pPr>
      <w:r w:rsidRPr="00B21190">
        <w:rPr>
          <w:bCs/>
          <w:color w:val="000000"/>
          <w:lang w:val="es-ES_tradnl"/>
        </w:rPr>
        <w:t xml:space="preserve">A. </w:t>
      </w:r>
      <w:r w:rsidRPr="00B21190">
        <w:t xml:space="preserve">Para el ejercicio del derecho de acceso a la información, la Federación y </w:t>
      </w:r>
      <w:r w:rsidRPr="00B21190">
        <w:rPr>
          <w:u w:val="single"/>
        </w:rPr>
        <w:t>las entidades federativas</w:t>
      </w:r>
      <w:r w:rsidRPr="00B21190">
        <w:t>, en el ámbito de sus respectivas competencias, se regirán por los siguientes principios y bases:</w:t>
      </w:r>
    </w:p>
    <w:p w14:paraId="764BC50C" w14:textId="77777777" w:rsidR="00E258AF" w:rsidRPr="00B21190" w:rsidRDefault="00E258AF" w:rsidP="00E258AF">
      <w:pPr>
        <w:pStyle w:val="Citas"/>
        <w:rPr>
          <w:rFonts w:cs="Courier New"/>
          <w:color w:val="000000"/>
        </w:rPr>
      </w:pPr>
      <w:r w:rsidRPr="008A7D00">
        <w:rPr>
          <w:b/>
          <w:bCs/>
          <w:color w:val="000000"/>
          <w:u w:val="single"/>
        </w:rPr>
        <w:lastRenderedPageBreak/>
        <w:t> I. Toda la información en posesión de cualquier autoridad, entidad, órgano y organismo de los Poderes Ejecutivo, Legislativo y Judicial, órganos autónomos</w:t>
      </w:r>
      <w:r w:rsidRPr="00B21190">
        <w:rPr>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3D35099" w14:textId="77777777" w:rsidR="00E258AF" w:rsidRPr="00B21190" w:rsidRDefault="00E258AF" w:rsidP="00E258AF">
      <w:pPr>
        <w:pStyle w:val="Citas"/>
        <w:rPr>
          <w:color w:val="000000"/>
        </w:rPr>
      </w:pPr>
      <w:r w:rsidRPr="00B21190">
        <w:rPr>
          <w:color w:val="000000"/>
        </w:rPr>
        <w:t> </w:t>
      </w:r>
      <w:r w:rsidRPr="00B21190">
        <w:rPr>
          <w:bCs/>
          <w:color w:val="000000"/>
        </w:rPr>
        <w:t xml:space="preserve">II. </w:t>
      </w:r>
      <w:r w:rsidRPr="00B21190">
        <w:rPr>
          <w:color w:val="000000"/>
        </w:rPr>
        <w:t>La información que se refiere a la vida privada y los datos personales será protegida en los términos y con las excepciones que fijen las leyes.</w:t>
      </w:r>
    </w:p>
    <w:p w14:paraId="6CC7E581" w14:textId="77777777" w:rsidR="00E258AF" w:rsidRPr="008A7D00" w:rsidRDefault="00E258AF" w:rsidP="00E258AF">
      <w:pPr>
        <w:pStyle w:val="Citas"/>
        <w:rPr>
          <w:b/>
          <w:bCs/>
          <w:sz w:val="24"/>
          <w:szCs w:val="24"/>
        </w:rPr>
      </w:pPr>
      <w:r w:rsidRPr="008A7D00">
        <w:rPr>
          <w:b/>
          <w:bCs/>
          <w:color w:val="000000"/>
        </w:rPr>
        <w:t xml:space="preserve"> III. </w:t>
      </w:r>
      <w:r w:rsidRPr="008A7D00">
        <w:rPr>
          <w:b/>
          <w:bCs/>
          <w:color w:val="000000"/>
          <w:u w:val="single"/>
        </w:rPr>
        <w:t>Toda persona, sin necesidad de acreditar interés alguno o justificar su utilización, tendrá acceso gratuito a la información pública,</w:t>
      </w:r>
      <w:r w:rsidRPr="008A7D00">
        <w:rPr>
          <w:b/>
          <w:bCs/>
          <w:color w:val="000000"/>
        </w:rPr>
        <w:t xml:space="preserve"> </w:t>
      </w:r>
      <w:r w:rsidRPr="00B21190">
        <w:rPr>
          <w:color w:val="000000"/>
        </w:rPr>
        <w:t xml:space="preserve">a sus datos personales o a la rectificación de éstos.” </w:t>
      </w:r>
      <w:r>
        <w:rPr>
          <w:b/>
          <w:bCs/>
          <w:color w:val="000000"/>
        </w:rPr>
        <w:t>(Sic)</w:t>
      </w:r>
    </w:p>
    <w:p w14:paraId="4BBC8398" w14:textId="77777777" w:rsidR="00E258AF" w:rsidRPr="00B21190" w:rsidRDefault="00E258AF" w:rsidP="00E258AF">
      <w:pPr>
        <w:autoSpaceDE w:val="0"/>
        <w:autoSpaceDN w:val="0"/>
        <w:adjustRightInd w:val="0"/>
        <w:spacing w:line="360" w:lineRule="auto"/>
        <w:jc w:val="both"/>
        <w:rPr>
          <w:rFonts w:ascii="Palatino Linotype" w:hAnsi="Palatino Linotype" w:cs="Arial"/>
        </w:rPr>
      </w:pPr>
    </w:p>
    <w:p w14:paraId="1A113045" w14:textId="77777777" w:rsidR="00E258AF" w:rsidRPr="00124F78" w:rsidRDefault="00E258AF" w:rsidP="00E258AF">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20757693" w14:textId="77777777" w:rsidR="00E258AF" w:rsidRPr="00124F78" w:rsidRDefault="00E258AF" w:rsidP="00E258AF">
      <w:pPr>
        <w:pStyle w:val="Sinespaciado"/>
        <w:rPr>
          <w:sz w:val="28"/>
        </w:rPr>
      </w:pPr>
    </w:p>
    <w:p w14:paraId="55529F05" w14:textId="77777777" w:rsidR="00E258AF" w:rsidRPr="00124F78" w:rsidRDefault="00E258AF" w:rsidP="00E258AF">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lastRenderedPageBreak/>
        <w:t xml:space="preserve">Lo anterior se concatena con lo establecido en los artículos 4 y 12, de la Ley de Transparencia y Acceso a la Información Pública del Estado de México y Municipios, los cuales esgrimen: </w:t>
      </w:r>
    </w:p>
    <w:p w14:paraId="5DAB76CE" w14:textId="77777777" w:rsidR="00E258AF" w:rsidRPr="00B21190" w:rsidRDefault="00E258AF" w:rsidP="00E258AF">
      <w:pPr>
        <w:pStyle w:val="Citas"/>
      </w:pPr>
      <w:r>
        <w:rPr>
          <w:b/>
        </w:rPr>
        <w:t>“</w:t>
      </w:r>
      <w:r w:rsidRPr="00B21190">
        <w:rPr>
          <w:b/>
        </w:rPr>
        <w:t>Artículo 4.</w:t>
      </w:r>
      <w:r w:rsidRPr="00B21190">
        <w:t xml:space="preserve"> El derecho humano de acceso a la información pública es la prerrogativa de las personas para buscar, difundir, investigar, recabar, recibir y solicitar información pública, sin necesidad de acreditar personalidad ni interés jurídico.</w:t>
      </w:r>
    </w:p>
    <w:p w14:paraId="15F99D92" w14:textId="77777777" w:rsidR="00E258AF" w:rsidRPr="00B21190" w:rsidRDefault="00E258AF" w:rsidP="00E258AF">
      <w:pPr>
        <w:pStyle w:val="Citas"/>
      </w:pPr>
      <w:r w:rsidRPr="008A7D00">
        <w:rPr>
          <w:b/>
          <w:bCs/>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t xml:space="preserve"> Solo podrá ser clasificada excepcionalmente como reservada temporalmente por razones de interés público, en los términos de las causas legítimas y estrictamente necesarias previstas por esta Ley.</w:t>
      </w:r>
    </w:p>
    <w:p w14:paraId="241EB0A0" w14:textId="77777777" w:rsidR="00E258AF" w:rsidRPr="00B21190" w:rsidRDefault="00E258AF" w:rsidP="00E258AF">
      <w:pPr>
        <w:pStyle w:val="Citas"/>
      </w:pPr>
      <w:r>
        <w:t>(…)</w:t>
      </w:r>
    </w:p>
    <w:p w14:paraId="486AA1A6" w14:textId="77777777" w:rsidR="00E258AF" w:rsidRPr="00B21190" w:rsidRDefault="00E258AF" w:rsidP="00E258AF">
      <w:pPr>
        <w:pStyle w:val="Citas"/>
      </w:pPr>
      <w:r w:rsidRPr="00B21190">
        <w:rPr>
          <w:b/>
        </w:rPr>
        <w:t>Artículo 12.</w:t>
      </w:r>
      <w:r w:rsidRPr="00B21190">
        <w:t xml:space="preserve"> Quienes generen, recopilen, administren, manejen, procesen, archiven o conserven información pública serán responsables de la misma en los términos de las disposiciones jurídicas aplicables.</w:t>
      </w:r>
    </w:p>
    <w:p w14:paraId="3DC827A2" w14:textId="77777777" w:rsidR="00E258AF" w:rsidRPr="008A7D00" w:rsidRDefault="00E258AF" w:rsidP="00E258AF">
      <w:pPr>
        <w:pStyle w:val="Citas"/>
        <w:rPr>
          <w:b/>
          <w:bCs/>
        </w:rPr>
      </w:pPr>
      <w:r w:rsidRPr="008A7D00">
        <w:rPr>
          <w:b/>
          <w:bCs/>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8A7D00">
        <w:rPr>
          <w:b/>
          <w:bCs/>
          <w:u w:val="single"/>
        </w:rPr>
        <w:lastRenderedPageBreak/>
        <w:t>obligados a generarla, resumirla, efectuar cálculos o practicar investigaciones.</w:t>
      </w:r>
      <w:r>
        <w:rPr>
          <w:b/>
          <w:bCs/>
          <w:u w:val="single"/>
        </w:rPr>
        <w:t xml:space="preserve">” </w:t>
      </w:r>
      <w:r>
        <w:rPr>
          <w:b/>
          <w:bCs/>
        </w:rPr>
        <w:t>(Sic)</w:t>
      </w:r>
    </w:p>
    <w:p w14:paraId="42A552E2" w14:textId="77777777" w:rsidR="00E258AF" w:rsidRDefault="00E258AF" w:rsidP="00E258AF">
      <w:pPr>
        <w:autoSpaceDE w:val="0"/>
        <w:autoSpaceDN w:val="0"/>
        <w:adjustRightInd w:val="0"/>
        <w:spacing w:line="360" w:lineRule="auto"/>
        <w:jc w:val="both"/>
        <w:rPr>
          <w:rFonts w:ascii="Palatino Linotype" w:hAnsi="Palatino Linotype" w:cs="Arial"/>
        </w:rPr>
      </w:pPr>
    </w:p>
    <w:p w14:paraId="5B698A8E" w14:textId="77777777" w:rsidR="00E258AF" w:rsidRPr="00124F78" w:rsidRDefault="00E258AF" w:rsidP="00E258AF">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obligados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AF55D59" w14:textId="77777777" w:rsidR="00E258AF" w:rsidRPr="00124F78" w:rsidRDefault="00E258AF" w:rsidP="00E258AF">
      <w:pPr>
        <w:autoSpaceDE w:val="0"/>
        <w:autoSpaceDN w:val="0"/>
        <w:adjustRightInd w:val="0"/>
        <w:spacing w:after="0" w:line="360" w:lineRule="auto"/>
        <w:jc w:val="both"/>
        <w:rPr>
          <w:rFonts w:ascii="Palatino Linotype" w:hAnsi="Palatino Linotype" w:cs="Arial"/>
          <w:sz w:val="24"/>
        </w:rPr>
      </w:pPr>
    </w:p>
    <w:p w14:paraId="320B1186" w14:textId="77777777" w:rsidR="00E258AF" w:rsidRPr="00124F78" w:rsidRDefault="00E258AF" w:rsidP="00E258AF">
      <w:pPr>
        <w:spacing w:line="360" w:lineRule="auto"/>
        <w:jc w:val="both"/>
        <w:rPr>
          <w:rFonts w:ascii="Palatino Linotype" w:hAnsi="Palatino Linotype" w:cs="Arial"/>
          <w:sz w:val="24"/>
        </w:rPr>
      </w:pPr>
      <w:r w:rsidRPr="00124F78">
        <w:rPr>
          <w:rFonts w:ascii="Palatino Linotype" w:hAnsi="Palatino Linotype" w:cs="Arial"/>
          <w:sz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124F78">
        <w:rPr>
          <w:rFonts w:ascii="Palatino Linotype" w:hAnsi="Palatino Linotype" w:cs="Arial"/>
          <w:i/>
          <w:sz w:val="24"/>
        </w:rPr>
        <w:t>a contrario sensu</w:t>
      </w:r>
      <w:r w:rsidRPr="00124F78">
        <w:rPr>
          <w:rFonts w:ascii="Palatino Linotype" w:hAnsi="Palatino Linotype" w:cs="Arial"/>
          <w:sz w:val="24"/>
        </w:rPr>
        <w:t xml:space="preserve"> significa que no se está obligado a proporcionar lo que no obre en sus archivos.</w:t>
      </w:r>
    </w:p>
    <w:p w14:paraId="6DAC149F" w14:textId="77777777" w:rsidR="00E258AF" w:rsidRPr="00B21190" w:rsidRDefault="00E258AF" w:rsidP="00E258AF">
      <w:pPr>
        <w:autoSpaceDE w:val="0"/>
        <w:autoSpaceDN w:val="0"/>
        <w:adjustRightInd w:val="0"/>
        <w:spacing w:line="360" w:lineRule="auto"/>
        <w:jc w:val="both"/>
      </w:pPr>
    </w:p>
    <w:p w14:paraId="7DA01AE2" w14:textId="77777777" w:rsidR="00E258AF" w:rsidRDefault="00E258AF" w:rsidP="00E258AF">
      <w:pPr>
        <w:spacing w:line="360" w:lineRule="auto"/>
        <w:jc w:val="both"/>
        <w:rPr>
          <w:rFonts w:ascii="Palatino Linotype" w:hAnsi="Palatino Linotype"/>
          <w:sz w:val="24"/>
        </w:rPr>
      </w:pPr>
      <w:r w:rsidRPr="00124F78">
        <w:rPr>
          <w:rFonts w:ascii="Palatino Linotype" w:hAnsi="Palatino Linotype"/>
          <w:sz w:val="24"/>
        </w:rPr>
        <w:t xml:space="preserve">Por lo anterior, al no constituirse dicho cuestionamiento como materia del derecho de acceso a la información, se considera que </w:t>
      </w:r>
      <w:r w:rsidRPr="00124F78">
        <w:rPr>
          <w:rFonts w:ascii="Palatino Linotype" w:hAnsi="Palatino Linotype"/>
          <w:b/>
          <w:bCs/>
          <w:sz w:val="24"/>
        </w:rPr>
        <w:t>El Sujeto Obligado</w:t>
      </w:r>
      <w:r w:rsidRPr="00124F78">
        <w:rPr>
          <w:rFonts w:ascii="Palatino Linotype" w:hAnsi="Palatino Linotype"/>
          <w:sz w:val="24"/>
        </w:rPr>
        <w:t xml:space="preserve"> no está constreñido a emitir una respuesta al mismo, por lo que se estima infundado el motivo de inconformidad del Recurrente.</w:t>
      </w:r>
    </w:p>
    <w:p w14:paraId="02344B83" w14:textId="77777777" w:rsidR="00E258AF" w:rsidRPr="00124F78" w:rsidRDefault="00E258AF" w:rsidP="00E258AF">
      <w:pPr>
        <w:spacing w:after="0" w:line="360" w:lineRule="auto"/>
        <w:jc w:val="both"/>
        <w:rPr>
          <w:rFonts w:ascii="Palatino Linotype" w:hAnsi="Palatino Linotype"/>
          <w:sz w:val="24"/>
        </w:rPr>
      </w:pPr>
    </w:p>
    <w:p w14:paraId="2B419A5C" w14:textId="77777777" w:rsidR="00E258AF" w:rsidRPr="00124F78" w:rsidRDefault="00E258AF" w:rsidP="00E258AF">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que a la letra reza:</w:t>
      </w:r>
    </w:p>
    <w:p w14:paraId="0ECB96FD" w14:textId="77777777" w:rsidR="00E258AF" w:rsidRPr="00B21190" w:rsidRDefault="00E258AF" w:rsidP="00E258AF">
      <w:pPr>
        <w:pStyle w:val="Citas"/>
      </w:pPr>
      <w:r w:rsidRPr="00B21190">
        <w:t xml:space="preserve">“Artículo 191. El recurso será desechado por improcedente cuando: </w:t>
      </w:r>
      <w:r>
        <w:tab/>
      </w:r>
    </w:p>
    <w:p w14:paraId="336C310B" w14:textId="77777777" w:rsidR="00E258AF" w:rsidRPr="00B21190" w:rsidRDefault="00E258AF" w:rsidP="00E258AF">
      <w:pPr>
        <w:pStyle w:val="Citas"/>
        <w:numPr>
          <w:ilvl w:val="0"/>
          <w:numId w:val="3"/>
        </w:numPr>
        <w:rPr>
          <w:rFonts w:cs="Times New Roman"/>
          <w:lang w:val="es-ES" w:eastAsia="es-ES"/>
        </w:rPr>
      </w:pPr>
      <w:r w:rsidRPr="00B21190">
        <w:rPr>
          <w:rFonts w:cs="Times New Roman"/>
          <w:lang w:val="es-ES" w:eastAsia="es-ES"/>
        </w:rPr>
        <w:t xml:space="preserve">Sea extemporáneo por haber transcurrido el plazo establecido en la presente Ley, a partir de la respuesta; </w:t>
      </w:r>
    </w:p>
    <w:p w14:paraId="58A23143" w14:textId="77777777" w:rsidR="00E258AF" w:rsidRPr="00B21190" w:rsidRDefault="00E258AF" w:rsidP="00E258AF">
      <w:pPr>
        <w:pStyle w:val="Citas"/>
        <w:numPr>
          <w:ilvl w:val="0"/>
          <w:numId w:val="3"/>
        </w:numPr>
        <w:rPr>
          <w:lang w:val="es-ES" w:eastAsia="es-ES"/>
        </w:rPr>
      </w:pPr>
      <w:r w:rsidRPr="00B21190">
        <w:rPr>
          <w:rFonts w:cs="Times New Roman"/>
          <w:lang w:val="es-ES" w:eastAsia="es-ES"/>
        </w:rPr>
        <w:t xml:space="preserve">Se esté tramitando ante el Poder Judicial de la Federación algún recurso o medio de defensa interpuesto por el recurrente; </w:t>
      </w:r>
    </w:p>
    <w:p w14:paraId="6148AF01" w14:textId="77777777" w:rsidR="00E258AF" w:rsidRPr="00B21190" w:rsidRDefault="00E258AF" w:rsidP="00E258AF">
      <w:pPr>
        <w:pStyle w:val="Citas"/>
        <w:numPr>
          <w:ilvl w:val="0"/>
          <w:numId w:val="3"/>
        </w:numPr>
        <w:rPr>
          <w:lang w:val="es-ES" w:eastAsia="es-ES"/>
        </w:rPr>
      </w:pPr>
      <w:r w:rsidRPr="00B21190">
        <w:rPr>
          <w:rFonts w:cs="Times New Roman"/>
          <w:lang w:val="es-ES" w:eastAsia="es-ES"/>
        </w:rPr>
        <w:t xml:space="preserve">No actualice alguno de los supuestos previstos en la presente Ley; </w:t>
      </w:r>
    </w:p>
    <w:p w14:paraId="3C6EA722" w14:textId="77777777" w:rsidR="00E258AF" w:rsidRPr="00B21190" w:rsidRDefault="00E258AF" w:rsidP="00E258AF">
      <w:pPr>
        <w:pStyle w:val="Citas"/>
        <w:numPr>
          <w:ilvl w:val="0"/>
          <w:numId w:val="3"/>
        </w:numPr>
        <w:rPr>
          <w:lang w:val="es-ES" w:eastAsia="es-ES"/>
        </w:rPr>
      </w:pPr>
      <w:r w:rsidRPr="00B21190">
        <w:rPr>
          <w:rFonts w:cs="Times New Roman"/>
          <w:lang w:val="es-ES" w:eastAsia="es-ES"/>
        </w:rPr>
        <w:t xml:space="preserve">No se haya desahogado la prevención en los términos establecidos en la presente Ley; </w:t>
      </w:r>
    </w:p>
    <w:p w14:paraId="7C0EA129" w14:textId="77777777" w:rsidR="00E258AF" w:rsidRPr="00B21190" w:rsidRDefault="00E258AF" w:rsidP="00E258AF">
      <w:pPr>
        <w:pStyle w:val="Citas"/>
        <w:numPr>
          <w:ilvl w:val="0"/>
          <w:numId w:val="3"/>
        </w:numPr>
        <w:rPr>
          <w:lang w:val="es-ES" w:eastAsia="es-ES"/>
        </w:rPr>
      </w:pPr>
      <w:r w:rsidRPr="00B21190">
        <w:rPr>
          <w:rFonts w:cs="Times New Roman"/>
          <w:lang w:val="es-ES" w:eastAsia="es-ES"/>
        </w:rPr>
        <w:t xml:space="preserve">Se impugne la veracidad de la información proporcionada; </w:t>
      </w:r>
    </w:p>
    <w:p w14:paraId="58498B9E" w14:textId="77777777" w:rsidR="00E258AF" w:rsidRPr="008A7D00" w:rsidRDefault="00E258AF" w:rsidP="00E258AF">
      <w:pPr>
        <w:pStyle w:val="Citas"/>
        <w:numPr>
          <w:ilvl w:val="0"/>
          <w:numId w:val="3"/>
        </w:numPr>
        <w:rPr>
          <w:b/>
          <w:bCs/>
          <w:u w:val="single"/>
          <w:lang w:val="es-ES" w:eastAsia="es-ES"/>
        </w:rPr>
      </w:pPr>
      <w:r w:rsidRPr="008A7D00">
        <w:rPr>
          <w:rFonts w:cs="Times New Roman"/>
          <w:b/>
          <w:bCs/>
          <w:u w:val="single"/>
          <w:lang w:val="es-ES" w:eastAsia="es-ES"/>
        </w:rPr>
        <w:t xml:space="preserve">Se trate de una consulta, </w:t>
      </w:r>
      <w:r w:rsidRPr="00124F78">
        <w:rPr>
          <w:rFonts w:cs="Times New Roman"/>
          <w:bCs/>
          <w:lang w:val="es-ES" w:eastAsia="es-ES"/>
        </w:rPr>
        <w:t>o trámite en específico; y</w:t>
      </w:r>
      <w:r w:rsidRPr="008A7D00">
        <w:rPr>
          <w:rFonts w:cs="Times New Roman"/>
          <w:b/>
          <w:bCs/>
          <w:u w:val="single"/>
          <w:lang w:val="es-ES" w:eastAsia="es-ES"/>
        </w:rPr>
        <w:t xml:space="preserve"> </w:t>
      </w:r>
    </w:p>
    <w:p w14:paraId="187E11A1" w14:textId="77777777" w:rsidR="00E258AF" w:rsidRPr="00B21190" w:rsidRDefault="00E258AF" w:rsidP="00E258AF">
      <w:pPr>
        <w:pStyle w:val="Citas"/>
        <w:numPr>
          <w:ilvl w:val="0"/>
          <w:numId w:val="3"/>
        </w:numPr>
        <w:rPr>
          <w:lang w:val="es-ES" w:eastAsia="es-ES"/>
        </w:rPr>
      </w:pPr>
      <w:r w:rsidRPr="00B21190">
        <w:rPr>
          <w:rFonts w:cs="Times New Roman"/>
          <w:lang w:val="es-ES" w:eastAsia="es-ES"/>
        </w:rPr>
        <w:t>El recurrente amplíe su solicitud en el recurso de revisión, únicamente respecto de los nuevos contenidos.</w:t>
      </w:r>
      <w:r>
        <w:rPr>
          <w:rFonts w:cs="Times New Roman"/>
          <w:lang w:val="es-ES" w:eastAsia="es-ES"/>
        </w:rPr>
        <w:t xml:space="preserve">” </w:t>
      </w:r>
      <w:r>
        <w:rPr>
          <w:rFonts w:cs="Times New Roman"/>
          <w:b/>
          <w:bCs/>
          <w:lang w:val="es-ES" w:eastAsia="es-ES"/>
        </w:rPr>
        <w:t>(Sic)</w:t>
      </w:r>
    </w:p>
    <w:p w14:paraId="3777102D" w14:textId="77777777" w:rsidR="00E258AF" w:rsidRPr="00124F78" w:rsidRDefault="00E258AF" w:rsidP="00E258AF">
      <w:pPr>
        <w:autoSpaceDE w:val="0"/>
        <w:autoSpaceDN w:val="0"/>
        <w:adjustRightInd w:val="0"/>
        <w:spacing w:before="240" w:line="360" w:lineRule="auto"/>
        <w:jc w:val="both"/>
        <w:rPr>
          <w:rFonts w:ascii="Palatino Linotype" w:hAnsi="Palatino Linotype" w:cs="Arial"/>
          <w:sz w:val="24"/>
        </w:rPr>
      </w:pPr>
      <w:r w:rsidRPr="00124F78">
        <w:rPr>
          <w:rFonts w:ascii="Palatino Linotype" w:hAnsi="Palatino Linotype" w:cs="Arial"/>
          <w:sz w:val="24"/>
        </w:rPr>
        <w:t>Artículo que concatenado con lo establecido en la fracción IV, del numeral 192, de la Ley de Transparencia vigente en la entidad, que a la letra establece:</w:t>
      </w:r>
    </w:p>
    <w:p w14:paraId="6DB45B26" w14:textId="77777777" w:rsidR="00E258AF" w:rsidRPr="00B21190" w:rsidRDefault="00E258AF" w:rsidP="00E258AF">
      <w:pPr>
        <w:pStyle w:val="Citas"/>
        <w:rPr>
          <w:lang w:val="es-ES" w:eastAsia="es-ES"/>
        </w:rPr>
      </w:pPr>
      <w:r w:rsidRPr="00B21190">
        <w:rPr>
          <w:lang w:val="es-ES" w:eastAsia="es-ES"/>
        </w:rPr>
        <w:t>“Artículo 192. El recurso será sobreseído, en todo o en parte, cuando una vez admitido, se actualicen alguno de los siguientes supuestos:</w:t>
      </w:r>
    </w:p>
    <w:p w14:paraId="3B19A19D" w14:textId="77777777" w:rsidR="00E258AF" w:rsidRPr="00B21190" w:rsidRDefault="00E258AF" w:rsidP="00E258AF">
      <w:pPr>
        <w:pStyle w:val="Citas"/>
        <w:numPr>
          <w:ilvl w:val="0"/>
          <w:numId w:val="4"/>
        </w:numPr>
        <w:rPr>
          <w:lang w:val="es-ES" w:eastAsia="es-ES"/>
        </w:rPr>
      </w:pPr>
      <w:r w:rsidRPr="00B21190">
        <w:rPr>
          <w:lang w:val="es-ES" w:eastAsia="es-ES"/>
        </w:rPr>
        <w:lastRenderedPageBreak/>
        <w:t xml:space="preserve">El recurrente se desista expresamente del recurso; </w:t>
      </w:r>
    </w:p>
    <w:p w14:paraId="6159D196" w14:textId="77777777" w:rsidR="00E258AF" w:rsidRPr="00B21190" w:rsidRDefault="00E258AF" w:rsidP="00E258AF">
      <w:pPr>
        <w:pStyle w:val="Citas"/>
        <w:numPr>
          <w:ilvl w:val="0"/>
          <w:numId w:val="4"/>
        </w:numPr>
        <w:rPr>
          <w:lang w:val="es-ES" w:eastAsia="es-ES"/>
        </w:rPr>
      </w:pPr>
      <w:r w:rsidRPr="00B21190">
        <w:rPr>
          <w:lang w:val="es-ES" w:eastAsia="es-ES"/>
        </w:rPr>
        <w:t xml:space="preserve">El recurrente fallezca o, tratándose de personas jurídicas colectivas, se disuelva; </w:t>
      </w:r>
    </w:p>
    <w:p w14:paraId="4DCA4141" w14:textId="77777777" w:rsidR="00E258AF" w:rsidRPr="00B21190" w:rsidRDefault="00E258AF" w:rsidP="00E258AF">
      <w:pPr>
        <w:pStyle w:val="Citas"/>
        <w:numPr>
          <w:ilvl w:val="0"/>
          <w:numId w:val="4"/>
        </w:numPr>
        <w:rPr>
          <w:lang w:val="es-ES" w:eastAsia="es-ES"/>
        </w:rPr>
      </w:pPr>
      <w:r w:rsidRPr="00B21190">
        <w:rPr>
          <w:lang w:val="es-ES" w:eastAsia="es-ES"/>
        </w:rPr>
        <w:t xml:space="preserve">El sujeto obligado responsable del acto lo modifique o revoque de tal manera que el recurso de revisión quede sin materia; </w:t>
      </w:r>
    </w:p>
    <w:p w14:paraId="63364BAE" w14:textId="77777777" w:rsidR="00E258AF" w:rsidRPr="006E359D" w:rsidRDefault="00E258AF" w:rsidP="00E258AF">
      <w:pPr>
        <w:pStyle w:val="Citas"/>
        <w:numPr>
          <w:ilvl w:val="0"/>
          <w:numId w:val="4"/>
        </w:numPr>
        <w:rPr>
          <w:b/>
          <w:bCs/>
          <w:u w:val="single"/>
          <w:lang w:val="es-ES" w:eastAsia="es-ES"/>
        </w:rPr>
      </w:pPr>
      <w:r w:rsidRPr="006E359D">
        <w:rPr>
          <w:b/>
          <w:bCs/>
          <w:u w:val="single"/>
          <w:lang w:val="es-ES" w:eastAsia="es-ES"/>
        </w:rPr>
        <w:t xml:space="preserve">Admitido el recurso de revisión, aparezca alguna causal de improcedencia en los términos de la presente Ley; y </w:t>
      </w:r>
    </w:p>
    <w:p w14:paraId="35022FB9" w14:textId="77777777" w:rsidR="00E258AF" w:rsidRPr="00B21190" w:rsidRDefault="00E258AF" w:rsidP="00E258AF">
      <w:pPr>
        <w:pStyle w:val="Citas"/>
        <w:numPr>
          <w:ilvl w:val="0"/>
          <w:numId w:val="4"/>
        </w:numPr>
        <w:rPr>
          <w:lang w:val="es-ES" w:eastAsia="es-ES"/>
        </w:rPr>
      </w:pPr>
      <w:r w:rsidRPr="00B21190">
        <w:rPr>
          <w:lang w:val="es-ES" w:eastAsia="es-ES"/>
        </w:rPr>
        <w:t>Cuando por cualquier motivo quede sin materia el recurso.”</w:t>
      </w:r>
      <w:r>
        <w:rPr>
          <w:lang w:val="es-ES" w:eastAsia="es-ES"/>
        </w:rPr>
        <w:t xml:space="preserve"> </w:t>
      </w:r>
      <w:r>
        <w:rPr>
          <w:b/>
          <w:bCs/>
          <w:lang w:val="es-ES" w:eastAsia="es-ES"/>
        </w:rPr>
        <w:t>(Sic)</w:t>
      </w:r>
    </w:p>
    <w:p w14:paraId="2FED9A0F" w14:textId="77777777" w:rsidR="00E258AF" w:rsidRDefault="00E258AF" w:rsidP="00E258AF">
      <w:pPr>
        <w:autoSpaceDE w:val="0"/>
        <w:autoSpaceDN w:val="0"/>
        <w:adjustRightInd w:val="0"/>
        <w:spacing w:line="360" w:lineRule="auto"/>
        <w:jc w:val="both"/>
        <w:rPr>
          <w:rFonts w:ascii="Palatino Linotype" w:hAnsi="Palatino Linotype" w:cs="Arial"/>
        </w:rPr>
      </w:pPr>
    </w:p>
    <w:p w14:paraId="493C00B9" w14:textId="77777777" w:rsidR="00E258AF" w:rsidRPr="00124F78" w:rsidRDefault="00E258AF" w:rsidP="00E258AF">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Por lo que hace a los requisitos de procedencia del sobreseimiento en términos del artículo 191, de la ley de transparencia estatal se establece lo siguiente:</w:t>
      </w:r>
    </w:p>
    <w:p w14:paraId="1DF499CB" w14:textId="77777777" w:rsidR="00E258AF" w:rsidRPr="00124F78" w:rsidRDefault="00E258AF" w:rsidP="00E258AF">
      <w:pPr>
        <w:numPr>
          <w:ilvl w:val="0"/>
          <w:numId w:val="5"/>
        </w:numPr>
        <w:autoSpaceDE w:val="0"/>
        <w:autoSpaceDN w:val="0"/>
        <w:adjustRightInd w:val="0"/>
        <w:spacing w:after="0" w:line="360" w:lineRule="auto"/>
        <w:ind w:left="851" w:right="850" w:firstLine="10"/>
        <w:jc w:val="both"/>
        <w:rPr>
          <w:rFonts w:ascii="Palatino Linotype" w:hAnsi="Palatino Linotype" w:cs="Arial"/>
          <w:sz w:val="24"/>
        </w:rPr>
      </w:pPr>
      <w:r w:rsidRPr="00124F78">
        <w:rPr>
          <w:rFonts w:ascii="Palatino Linotype" w:hAnsi="Palatino Linotype" w:cs="Arial"/>
          <w:sz w:val="24"/>
        </w:rPr>
        <w:t xml:space="preserve">Mediante acuerdo de fecha </w:t>
      </w:r>
      <w:r w:rsidR="000A5643">
        <w:rPr>
          <w:rFonts w:ascii="Palatino Linotype" w:hAnsi="Palatino Linotype" w:cs="Arial"/>
          <w:sz w:val="24"/>
        </w:rPr>
        <w:t>ocho de julio</w:t>
      </w:r>
      <w:r>
        <w:rPr>
          <w:rFonts w:ascii="Palatino Linotype" w:hAnsi="Palatino Linotype" w:cs="Arial"/>
          <w:sz w:val="24"/>
        </w:rPr>
        <w:t xml:space="preserve"> de dos mil veinticinco</w:t>
      </w:r>
      <w:r w:rsidRPr="00124F78">
        <w:rPr>
          <w:rFonts w:ascii="Palatino Linotype" w:hAnsi="Palatino Linotype" w:cs="Arial"/>
          <w:sz w:val="24"/>
        </w:rPr>
        <w:t xml:space="preserve">, el Comisionado presidente José Martínez Vilchis admitió a trámite el recurso de revisión que nos ocupa. </w:t>
      </w:r>
    </w:p>
    <w:p w14:paraId="4BBCB964" w14:textId="77777777" w:rsidR="00E258AF" w:rsidRPr="00B21190" w:rsidRDefault="00E258AF" w:rsidP="00E258AF">
      <w:pPr>
        <w:pStyle w:val="Sinespaciado"/>
        <w:rPr>
          <w:lang w:val="es-ES"/>
        </w:rPr>
      </w:pPr>
    </w:p>
    <w:p w14:paraId="22211775" w14:textId="77777777" w:rsidR="00E258AF" w:rsidRPr="00124F78" w:rsidRDefault="00E258AF" w:rsidP="00E258AF">
      <w:pPr>
        <w:numPr>
          <w:ilvl w:val="0"/>
          <w:numId w:val="5"/>
        </w:numPr>
        <w:autoSpaceDE w:val="0"/>
        <w:autoSpaceDN w:val="0"/>
        <w:adjustRightInd w:val="0"/>
        <w:spacing w:after="0" w:line="360" w:lineRule="auto"/>
        <w:ind w:left="851" w:right="850" w:firstLine="10"/>
        <w:jc w:val="both"/>
        <w:rPr>
          <w:rFonts w:ascii="Palatino Linotype" w:hAnsi="Palatino Linotype" w:cs="Arial"/>
          <w:sz w:val="24"/>
        </w:rPr>
      </w:pPr>
      <w:r w:rsidRPr="00124F78">
        <w:rPr>
          <w:rFonts w:ascii="Palatino Linotype" w:hAnsi="Palatino Linotype" w:cs="Arial"/>
          <w:sz w:val="24"/>
        </w:rPr>
        <w:t xml:space="preserve">Lo esgrimido por </w:t>
      </w:r>
      <w:r w:rsidRPr="00124F78">
        <w:rPr>
          <w:rFonts w:ascii="Palatino Linotype" w:hAnsi="Palatino Linotype" w:cs="Arial"/>
          <w:b/>
          <w:sz w:val="24"/>
        </w:rPr>
        <w:t>El Recurrente</w:t>
      </w:r>
      <w:r w:rsidRPr="00124F78">
        <w:rPr>
          <w:rFonts w:ascii="Palatino Linotype" w:hAnsi="Palatino Linotype" w:cs="Arial"/>
          <w:sz w:val="24"/>
        </w:rPr>
        <w:t xml:space="preserve"> en su solicitud de información, se observa que corresponde a una consulta, </w:t>
      </w:r>
      <w:r>
        <w:rPr>
          <w:rFonts w:ascii="Palatino Linotype" w:hAnsi="Palatino Linotype" w:cs="Arial"/>
          <w:sz w:val="24"/>
        </w:rPr>
        <w:t xml:space="preserve">puesto que los requerimientos fueron formulados mediante pregunta, </w:t>
      </w:r>
      <w:r w:rsidRPr="00124F78">
        <w:rPr>
          <w:rFonts w:ascii="Palatino Linotype" w:hAnsi="Palatino Linotype" w:cs="Arial"/>
          <w:sz w:val="24"/>
        </w:rPr>
        <w:t xml:space="preserve">lo que arguye en que </w:t>
      </w:r>
      <w:r w:rsidRPr="00124F78">
        <w:rPr>
          <w:rFonts w:ascii="Palatino Linotype" w:hAnsi="Palatino Linotype" w:cs="Arial"/>
          <w:b/>
          <w:sz w:val="24"/>
        </w:rPr>
        <w:t xml:space="preserve">El Sujeto Obligado </w:t>
      </w:r>
      <w:r w:rsidRPr="00124F78">
        <w:rPr>
          <w:rFonts w:ascii="Palatino Linotype" w:hAnsi="Palatino Linotype" w:cs="Arial"/>
          <w:sz w:val="24"/>
        </w:rPr>
        <w:t>realice pronunciamientos, lo cual resulta incongruente con lo establecido en el segundo párrafo del artículo 12, de la Ley de Transparencia y Acceso a la Información Pública del Estado de México y Municipios.</w:t>
      </w:r>
    </w:p>
    <w:p w14:paraId="6A8DAD15" w14:textId="77777777" w:rsidR="00E258AF" w:rsidRPr="00124F78" w:rsidRDefault="00E258AF" w:rsidP="00E258AF">
      <w:pPr>
        <w:pStyle w:val="Sinespaciado"/>
        <w:rPr>
          <w:sz w:val="28"/>
          <w:lang w:val="es-ES"/>
        </w:rPr>
      </w:pPr>
    </w:p>
    <w:p w14:paraId="5835E6B4" w14:textId="77777777" w:rsidR="00E258AF" w:rsidRPr="00124F78" w:rsidRDefault="00E258AF" w:rsidP="00E258AF">
      <w:pPr>
        <w:numPr>
          <w:ilvl w:val="0"/>
          <w:numId w:val="5"/>
        </w:numPr>
        <w:autoSpaceDE w:val="0"/>
        <w:autoSpaceDN w:val="0"/>
        <w:adjustRightInd w:val="0"/>
        <w:spacing w:after="0" w:line="360" w:lineRule="auto"/>
        <w:ind w:left="851" w:right="850" w:firstLine="10"/>
        <w:jc w:val="both"/>
        <w:rPr>
          <w:rFonts w:ascii="Palatino Linotype" w:hAnsi="Palatino Linotype" w:cs="Arial"/>
          <w:sz w:val="24"/>
        </w:rPr>
      </w:pPr>
      <w:r w:rsidRPr="00124F78">
        <w:rPr>
          <w:rFonts w:ascii="Palatino Linotype" w:hAnsi="Palatino Linotype" w:cs="Arial"/>
          <w:sz w:val="24"/>
        </w:rPr>
        <w:t xml:space="preserve">El recurso </w:t>
      </w:r>
      <w:r>
        <w:rPr>
          <w:rFonts w:ascii="Palatino Linotype" w:hAnsi="Palatino Linotype" w:cs="Arial"/>
          <w:b/>
          <w:bCs/>
          <w:sz w:val="24"/>
        </w:rPr>
        <w:t>8200/INFOEM/IP/RR/2025</w:t>
      </w:r>
      <w:r w:rsidRPr="00124F78">
        <w:rPr>
          <w:rFonts w:ascii="Palatino Linotype" w:hAnsi="Palatino Linotype" w:cs="Arial"/>
          <w:bCs/>
          <w:sz w:val="24"/>
        </w:rPr>
        <w:t>,</w:t>
      </w:r>
      <w:r w:rsidRPr="00124F78">
        <w:rPr>
          <w:rFonts w:ascii="Palatino Linotype" w:hAnsi="Palatino Linotype" w:cs="Arial"/>
          <w:sz w:val="24"/>
        </w:rPr>
        <w:t xml:space="preserve"> </w:t>
      </w:r>
      <w:r w:rsidRPr="00124F78">
        <w:rPr>
          <w:rFonts w:ascii="Palatino Linotype" w:hAnsi="Palatino Linotype" w:cs="Arial"/>
          <w:sz w:val="24"/>
          <w:lang w:val="es-ES_tradnl"/>
        </w:rPr>
        <w:t>actualiza la causal de improcedencia contenida en la fracción VI, del artículo 191</w:t>
      </w:r>
      <w:r w:rsidRPr="00124F78">
        <w:rPr>
          <w:rFonts w:ascii="Palatino Linotype" w:hAnsi="Palatino Linotype" w:cs="Arial"/>
          <w:sz w:val="24"/>
        </w:rPr>
        <w:t>, de la Ley de la materia vigente en la entidad.</w:t>
      </w:r>
    </w:p>
    <w:p w14:paraId="26E06CB2" w14:textId="77777777" w:rsidR="00E258AF" w:rsidRPr="00124F78" w:rsidRDefault="00E258AF" w:rsidP="00E258AF">
      <w:pPr>
        <w:pStyle w:val="Sinespaciado"/>
        <w:rPr>
          <w:sz w:val="28"/>
        </w:rPr>
      </w:pPr>
    </w:p>
    <w:p w14:paraId="0AB6B252" w14:textId="77777777" w:rsidR="00E258AF" w:rsidRDefault="00E258AF" w:rsidP="00E258AF">
      <w:pPr>
        <w:autoSpaceDE w:val="0"/>
        <w:autoSpaceDN w:val="0"/>
        <w:adjustRightInd w:val="0"/>
        <w:spacing w:line="360" w:lineRule="auto"/>
        <w:jc w:val="both"/>
        <w:rPr>
          <w:rFonts w:ascii="Palatino Linotype" w:hAnsi="Palatino Linotype"/>
        </w:rPr>
      </w:pPr>
    </w:p>
    <w:p w14:paraId="1DE3BC79" w14:textId="77777777" w:rsidR="00E258AF" w:rsidRPr="00124F78" w:rsidRDefault="00E258AF" w:rsidP="00E258AF">
      <w:pPr>
        <w:autoSpaceDE w:val="0"/>
        <w:autoSpaceDN w:val="0"/>
        <w:adjustRightInd w:val="0"/>
        <w:spacing w:line="360" w:lineRule="auto"/>
        <w:jc w:val="both"/>
        <w:rPr>
          <w:rFonts w:ascii="Palatino Linotype" w:hAnsi="Palatino Linotype"/>
          <w:sz w:val="24"/>
        </w:rPr>
      </w:pPr>
      <w:r w:rsidRPr="00124F78">
        <w:rPr>
          <w:rFonts w:ascii="Palatino Linotype" w:hAnsi="Palatino Linotype"/>
          <w:sz w:val="24"/>
        </w:rPr>
        <w:t xml:space="preserve">Es importante resaltar a manera de analogía que la Suprema Corte de Justicia de la Nación mediante el número 2, de la Serie </w:t>
      </w:r>
      <w:r w:rsidRPr="00124F78">
        <w:rPr>
          <w:rFonts w:ascii="Palatino Linotype" w:hAnsi="Palatino Linotype"/>
          <w:b/>
          <w:bCs/>
          <w:i/>
          <w:sz w:val="24"/>
        </w:rPr>
        <w:t>Estudios Introductorios sobre el Juicio de Amparo</w:t>
      </w:r>
      <w:r w:rsidRPr="00124F78">
        <w:rPr>
          <w:rFonts w:ascii="Palatino Linotype" w:hAnsi="Palatino Linotype"/>
          <w:i/>
          <w:sz w:val="24"/>
        </w:rPr>
        <w:t xml:space="preserve"> </w:t>
      </w:r>
      <w:r w:rsidRPr="00124F78">
        <w:rPr>
          <w:rFonts w:ascii="Palatino Linotype" w:hAnsi="Palatino Linotype"/>
          <w:sz w:val="24"/>
        </w:rPr>
        <w:t xml:space="preserve">relativo a </w:t>
      </w:r>
      <w:r w:rsidRPr="00124F78">
        <w:rPr>
          <w:rFonts w:ascii="Palatino Linotype" w:hAnsi="Palatino Linotype"/>
          <w:b/>
          <w:bCs/>
          <w:i/>
          <w:sz w:val="24"/>
        </w:rPr>
        <w:t>LA IMPROCEDENCIA DE LA ACCIÓN DE AMPARO</w:t>
      </w:r>
      <w:r w:rsidRPr="00124F78">
        <w:rPr>
          <w:rFonts w:ascii="Palatino Linotype" w:hAnsi="Palatino Linotype"/>
          <w:i/>
          <w:sz w:val="24"/>
        </w:rPr>
        <w:t xml:space="preserve"> </w:t>
      </w:r>
      <w:r w:rsidRPr="00124F78">
        <w:rPr>
          <w:rFonts w:ascii="Palatino Linotype" w:hAnsi="Palatino Linotype"/>
          <w:sz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124F78">
        <w:rPr>
          <w:rFonts w:ascii="Palatino Linotype" w:hAnsi="Palatino Linotype"/>
          <w:b/>
          <w:sz w:val="24"/>
          <w:u w:val="single"/>
        </w:rPr>
        <w:t>lo que generará que la demanda sea desechada; o bien, después de admitida la demanda, lo que tendrá como consecuencia que se sobresea en el juicio.</w:t>
      </w:r>
    </w:p>
    <w:p w14:paraId="44C228C7" w14:textId="77777777" w:rsidR="00E258AF" w:rsidRPr="00B21190" w:rsidRDefault="00E258AF" w:rsidP="00E258AF"/>
    <w:p w14:paraId="67A32452" w14:textId="77777777" w:rsidR="00E258AF" w:rsidRPr="00B21190" w:rsidRDefault="00E258AF" w:rsidP="00E258AF">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Pr="00FC5A5C">
        <w:t xml:space="preserve"> </w:t>
      </w:r>
      <w:r>
        <w:rPr>
          <w:rFonts w:ascii="Palatino Linotype" w:hAnsi="Palatino Linotype"/>
          <w:b/>
          <w:bCs/>
        </w:rPr>
        <w:t xml:space="preserve">8200/INFOEM/IP/RR/2025 </w:t>
      </w:r>
      <w:r w:rsidRPr="00986A5D">
        <w:rPr>
          <w:rFonts w:ascii="Palatino Linotype" w:eastAsiaTheme="minorEastAsia" w:hAnsi="Palatino Linotype"/>
          <w:b/>
          <w:lang w:val="es-ES_tradnl"/>
        </w:rPr>
        <w:t xml:space="preserve">por actualizarse la causal de improcedencia, establecida en el artículo 191, fracción VI, </w:t>
      </w:r>
      <w:r w:rsidRPr="00986A5D">
        <w:rPr>
          <w:rFonts w:ascii="Palatino Linotype" w:eastAsiaTheme="minorEastAsia" w:hAnsi="Palatino Linotype"/>
          <w:b/>
          <w:lang w:val="es-ES_tradnl"/>
        </w:rPr>
        <w:lastRenderedPageBreak/>
        <w:t>esto es el Recurso se presentó en forma de consulta</w:t>
      </w:r>
      <w:r w:rsidRPr="00B21190">
        <w:rPr>
          <w:rFonts w:ascii="Palatino Linotype" w:eastAsiaTheme="minorEastAsia" w:hAnsi="Palatino Linotype"/>
          <w:lang w:val="es-ES_tradnl"/>
        </w:rPr>
        <w:t>,</w:t>
      </w:r>
      <w:r w:rsidRPr="00B21190">
        <w:rPr>
          <w:rFonts w:ascii="Palatino Linotype" w:eastAsiaTheme="minorEastAsia" w:hAnsi="Palatino Linotype"/>
          <w:b/>
          <w:lang w:val="es-ES_tradnl"/>
        </w:rPr>
        <w:t xml:space="preserve"> </w:t>
      </w:r>
      <w:r w:rsidRPr="00B21190">
        <w:rPr>
          <w:rFonts w:ascii="Palatino Linotype" w:hAnsi="Palatino Linotype" w:cs="Arial"/>
          <w:bCs/>
          <w:lang w:eastAsia="es-MX"/>
        </w:rPr>
        <w:t>que ha sido materia del presente fallo.</w:t>
      </w:r>
    </w:p>
    <w:p w14:paraId="78B5494F" w14:textId="77777777" w:rsidR="00E258AF" w:rsidRPr="00E2220F" w:rsidRDefault="00E258AF" w:rsidP="00E258AF">
      <w:pPr>
        <w:spacing w:after="0" w:line="360" w:lineRule="auto"/>
        <w:jc w:val="both"/>
        <w:rPr>
          <w:rFonts w:ascii="Palatino Linotype" w:eastAsia="Times New Roman" w:hAnsi="Palatino Linotype" w:cs="Arial"/>
          <w:sz w:val="24"/>
          <w:szCs w:val="24"/>
          <w:lang w:val="es-ES_tradnl" w:eastAsia="es-ES"/>
        </w:rPr>
      </w:pPr>
    </w:p>
    <w:p w14:paraId="5DCA4EA3" w14:textId="77777777" w:rsidR="00E258AF" w:rsidRPr="00E2220F" w:rsidRDefault="00E258AF" w:rsidP="00E258AF">
      <w:pPr>
        <w:spacing w:after="0" w:line="360" w:lineRule="auto"/>
        <w:jc w:val="both"/>
        <w:rPr>
          <w:rFonts w:ascii="Palatino Linotype" w:eastAsia="Times New Roman" w:hAnsi="Palatino Linotype" w:cs="Arial"/>
          <w:sz w:val="24"/>
          <w:szCs w:val="24"/>
          <w:lang w:val="es-ES_tradnl" w:eastAsia="es-ES"/>
        </w:rPr>
      </w:pPr>
      <w:r w:rsidRPr="00E2220F">
        <w:rPr>
          <w:rFonts w:ascii="Palatino Linotype" w:eastAsia="Times New Roman" w:hAnsi="Palatino Linotype" w:cs="Arial"/>
          <w:sz w:val="24"/>
          <w:szCs w:val="24"/>
          <w:lang w:val="es-ES_tradnl" w:eastAsia="es-ES"/>
        </w:rPr>
        <w:t>Por lo antes expuesto y fundado es de resolverse y,</w:t>
      </w:r>
    </w:p>
    <w:p w14:paraId="3537B5A2" w14:textId="77777777" w:rsidR="00E258AF" w:rsidRPr="00E2220F" w:rsidRDefault="00E258AF" w:rsidP="00E258AF">
      <w:pPr>
        <w:spacing w:after="0" w:line="360" w:lineRule="auto"/>
        <w:jc w:val="both"/>
        <w:rPr>
          <w:rFonts w:ascii="Palatino Linotype" w:eastAsia="Times New Roman" w:hAnsi="Palatino Linotype" w:cs="Arial"/>
          <w:sz w:val="24"/>
          <w:szCs w:val="24"/>
          <w:lang w:val="es-ES_tradnl" w:eastAsia="es-ES"/>
        </w:rPr>
      </w:pPr>
    </w:p>
    <w:p w14:paraId="353FC957" w14:textId="77777777" w:rsidR="00E258AF" w:rsidRPr="00E2220F" w:rsidRDefault="00E258AF" w:rsidP="00E258AF">
      <w:pPr>
        <w:spacing w:after="0" w:line="360" w:lineRule="auto"/>
        <w:jc w:val="center"/>
        <w:rPr>
          <w:rFonts w:ascii="Palatino Linotype" w:eastAsia="Times New Roman" w:hAnsi="Palatino Linotype" w:cs="Arial"/>
          <w:b/>
          <w:sz w:val="28"/>
          <w:szCs w:val="28"/>
          <w:lang w:val="es-ES_tradnl" w:eastAsia="es-ES"/>
        </w:rPr>
      </w:pPr>
      <w:r w:rsidRPr="00E2220F">
        <w:rPr>
          <w:rFonts w:ascii="Palatino Linotype" w:eastAsia="Times New Roman" w:hAnsi="Palatino Linotype" w:cs="Arial"/>
          <w:b/>
          <w:sz w:val="28"/>
          <w:szCs w:val="28"/>
          <w:lang w:val="es-ES_tradnl" w:eastAsia="es-ES"/>
        </w:rPr>
        <w:t>SE    RESUELVE</w:t>
      </w:r>
    </w:p>
    <w:p w14:paraId="6B1BDF00" w14:textId="77777777" w:rsidR="00E258AF" w:rsidRPr="00E2220F" w:rsidRDefault="00E258AF" w:rsidP="00E258AF">
      <w:pPr>
        <w:spacing w:after="0" w:line="360" w:lineRule="auto"/>
        <w:jc w:val="both"/>
        <w:rPr>
          <w:rFonts w:ascii="Palatino Linotype" w:eastAsia="Times New Roman" w:hAnsi="Palatino Linotype" w:cs="Arial"/>
          <w:sz w:val="24"/>
          <w:szCs w:val="24"/>
          <w:lang w:val="es-ES_tradnl" w:eastAsia="es-ES"/>
        </w:rPr>
      </w:pPr>
    </w:p>
    <w:p w14:paraId="2746FF62" w14:textId="77777777" w:rsidR="00E258AF" w:rsidRPr="008522EA" w:rsidRDefault="00E258AF" w:rsidP="00E258AF">
      <w:pPr>
        <w:spacing w:after="0" w:line="360" w:lineRule="auto"/>
        <w:ind w:firstLine="1"/>
        <w:jc w:val="both"/>
        <w:rPr>
          <w:rFonts w:ascii="Palatino Linotype" w:eastAsia="Times New Roman" w:hAnsi="Palatino Linotype" w:cs="Arial"/>
          <w:sz w:val="24"/>
          <w:szCs w:val="24"/>
          <w:lang w:val="es-ES_tradnl" w:eastAsia="es-ES"/>
        </w:rPr>
      </w:pPr>
      <w:r w:rsidRPr="00E2220F">
        <w:rPr>
          <w:rFonts w:ascii="Palatino Linotype" w:eastAsia="Times New Roman" w:hAnsi="Palatino Linotype" w:cs="Arial"/>
          <w:b/>
          <w:sz w:val="28"/>
          <w:szCs w:val="28"/>
          <w:lang w:val="es-ES_tradnl" w:eastAsia="es-ES"/>
        </w:rPr>
        <w:t>PRIMERO</w:t>
      </w:r>
      <w:r w:rsidRPr="00E2220F">
        <w:rPr>
          <w:rFonts w:ascii="Palatino Linotype" w:eastAsia="Times New Roman" w:hAnsi="Palatino Linotype" w:cs="Arial"/>
          <w:sz w:val="24"/>
          <w:szCs w:val="24"/>
          <w:lang w:val="es-ES_tradnl" w:eastAsia="es-ES"/>
        </w:rPr>
        <w:t xml:space="preserve">. Se </w:t>
      </w:r>
      <w:r w:rsidRPr="00E2220F">
        <w:rPr>
          <w:rFonts w:ascii="Palatino Linotype" w:eastAsia="Times New Roman" w:hAnsi="Palatino Linotype" w:cs="Arial"/>
          <w:b/>
          <w:sz w:val="24"/>
          <w:szCs w:val="24"/>
          <w:lang w:val="es-ES_tradnl" w:eastAsia="es-ES"/>
        </w:rPr>
        <w:t>SOBRESEE</w:t>
      </w:r>
      <w:r w:rsidRPr="00E2220F">
        <w:rPr>
          <w:rFonts w:ascii="Palatino Linotype" w:eastAsia="Times New Roman" w:hAnsi="Palatino Linotype" w:cs="Arial"/>
          <w:sz w:val="24"/>
          <w:szCs w:val="24"/>
          <w:lang w:val="es-ES_tradnl" w:eastAsia="es-ES"/>
        </w:rPr>
        <w:t xml:space="preserve"> el recurso de revisión número </w:t>
      </w:r>
      <w:r>
        <w:rPr>
          <w:rFonts w:ascii="Palatino Linotype" w:eastAsia="Times New Roman" w:hAnsi="Palatino Linotype" w:cs="Arial"/>
          <w:b/>
          <w:sz w:val="24"/>
          <w:szCs w:val="24"/>
          <w:lang w:val="es-ES_tradnl" w:eastAsia="es-ES"/>
        </w:rPr>
        <w:t>08200/INFOEM/IP/RR/2025</w:t>
      </w:r>
      <w:r w:rsidRPr="00E2220F">
        <w:rPr>
          <w:rFonts w:ascii="Palatino Linotype" w:eastAsia="Times New Roman" w:hAnsi="Palatino Linotype" w:cs="Arial"/>
          <w:sz w:val="24"/>
          <w:szCs w:val="24"/>
          <w:lang w:val="es-ES_tradnl" w:eastAsia="es-ES"/>
        </w:rPr>
        <w:t xml:space="preserve">, </w:t>
      </w:r>
      <w:r w:rsidRPr="008522EA">
        <w:rPr>
          <w:rFonts w:ascii="Palatino Linotype" w:eastAsia="Times New Roman" w:hAnsi="Palatino Linotype" w:cs="Arial"/>
          <w:sz w:val="24"/>
          <w:szCs w:val="24"/>
          <w:lang w:val="es-ES_tradnl" w:eastAsia="es-ES"/>
        </w:rPr>
        <w:t xml:space="preserve">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Pr="008522EA">
        <w:rPr>
          <w:rFonts w:ascii="Palatino Linotype" w:eastAsia="Times New Roman" w:hAnsi="Palatino Linotype" w:cs="Arial"/>
          <w:b/>
          <w:sz w:val="24"/>
          <w:szCs w:val="24"/>
          <w:lang w:val="es-ES_tradnl" w:eastAsia="es-ES"/>
        </w:rPr>
        <w:t>TERCERO</w:t>
      </w:r>
      <w:r w:rsidRPr="008522EA">
        <w:rPr>
          <w:rFonts w:ascii="Palatino Linotype" w:eastAsia="Times New Roman" w:hAnsi="Palatino Linotype" w:cs="Arial"/>
          <w:sz w:val="24"/>
          <w:szCs w:val="24"/>
          <w:lang w:val="es-ES_tradnl" w:eastAsia="es-ES"/>
        </w:rPr>
        <w:t xml:space="preserve"> de la presente resolución.</w:t>
      </w:r>
    </w:p>
    <w:p w14:paraId="69C01A28" w14:textId="77777777" w:rsidR="00E258AF" w:rsidRPr="00E2220F" w:rsidRDefault="00E258AF" w:rsidP="00E258AF">
      <w:pPr>
        <w:spacing w:after="0" w:line="360" w:lineRule="auto"/>
        <w:ind w:left="-142" w:firstLine="1"/>
        <w:jc w:val="both"/>
        <w:rPr>
          <w:rFonts w:ascii="Palatino Linotype" w:eastAsia="Times New Roman" w:hAnsi="Palatino Linotype" w:cs="Arial"/>
          <w:sz w:val="24"/>
          <w:szCs w:val="24"/>
          <w:lang w:val="es-ES_tradnl" w:eastAsia="es-ES"/>
        </w:rPr>
      </w:pPr>
    </w:p>
    <w:p w14:paraId="09B85C48" w14:textId="77777777" w:rsidR="00E258AF" w:rsidRPr="00E2220F" w:rsidRDefault="00E258AF" w:rsidP="00E258AF">
      <w:pPr>
        <w:spacing w:after="0" w:line="360" w:lineRule="auto"/>
        <w:jc w:val="both"/>
        <w:rPr>
          <w:rFonts w:ascii="Palatino Linotype" w:eastAsia="Times New Roman" w:hAnsi="Palatino Linotype" w:cs="Arial"/>
          <w:sz w:val="24"/>
          <w:szCs w:val="24"/>
          <w:lang w:val="es-ES_tradnl" w:eastAsia="es-ES"/>
        </w:rPr>
      </w:pPr>
      <w:r w:rsidRPr="00E2220F">
        <w:rPr>
          <w:rFonts w:ascii="Palatino Linotype" w:eastAsia="Times New Roman" w:hAnsi="Palatino Linotype" w:cs="Arial"/>
          <w:b/>
          <w:sz w:val="28"/>
          <w:szCs w:val="28"/>
          <w:lang w:val="es-ES_tradnl" w:eastAsia="es-ES"/>
        </w:rPr>
        <w:t>SEGUNDO</w:t>
      </w:r>
      <w:r w:rsidRPr="00E2220F">
        <w:rPr>
          <w:rFonts w:ascii="Palatino Linotype" w:eastAsia="Times New Roman" w:hAnsi="Palatino Linotype" w:cs="Arial"/>
          <w:sz w:val="24"/>
          <w:szCs w:val="24"/>
          <w:lang w:val="es-ES_tradnl" w:eastAsia="es-ES"/>
        </w:rPr>
        <w:t xml:space="preserve">. </w:t>
      </w:r>
      <w:r w:rsidRPr="00E2220F">
        <w:rPr>
          <w:rFonts w:ascii="Palatino Linotype" w:eastAsia="Times New Roman" w:hAnsi="Palatino Linotype" w:cs="Arial"/>
          <w:b/>
          <w:sz w:val="24"/>
          <w:szCs w:val="24"/>
          <w:lang w:val="es-ES_tradnl" w:eastAsia="es-ES"/>
        </w:rPr>
        <w:t>Notifíquese</w:t>
      </w:r>
      <w:r w:rsidRPr="00E2220F">
        <w:rPr>
          <w:rFonts w:ascii="Palatino Linotype" w:eastAsia="Times New Roman" w:hAnsi="Palatino Linotype" w:cs="Arial"/>
          <w:sz w:val="24"/>
          <w:szCs w:val="24"/>
          <w:lang w:val="es-ES_tradnl" w:eastAsia="es-ES"/>
        </w:rPr>
        <w:t xml:space="preserve"> la presente resolución al Titular de la Unidad de Transparencia del Sujeto Obligado vía Sistema de Acceso a la Información Mexiquense (SAIMEX).</w:t>
      </w:r>
    </w:p>
    <w:p w14:paraId="00B8F147" w14:textId="77777777" w:rsidR="00E258AF" w:rsidRPr="00E2220F" w:rsidRDefault="00E258AF" w:rsidP="00E258AF">
      <w:pPr>
        <w:spacing w:after="0" w:line="360" w:lineRule="auto"/>
        <w:jc w:val="both"/>
        <w:rPr>
          <w:rFonts w:ascii="Palatino Linotype" w:eastAsia="Times New Roman" w:hAnsi="Palatino Linotype" w:cs="Arial"/>
          <w:sz w:val="24"/>
          <w:szCs w:val="24"/>
          <w:lang w:val="es-ES_tradnl" w:eastAsia="es-ES"/>
        </w:rPr>
      </w:pPr>
    </w:p>
    <w:p w14:paraId="520CF055" w14:textId="77777777" w:rsidR="00E258AF" w:rsidRPr="00E2220F" w:rsidRDefault="00E258AF" w:rsidP="00E258AF">
      <w:pPr>
        <w:spacing w:after="0" w:line="360" w:lineRule="auto"/>
        <w:jc w:val="both"/>
        <w:rPr>
          <w:rFonts w:ascii="Palatino Linotype" w:eastAsia="Calibri" w:hAnsi="Palatino Linotype" w:cs="Times New Roman"/>
          <w:sz w:val="24"/>
          <w:szCs w:val="24"/>
          <w:lang w:val="es-ES" w:eastAsia="es-ES_tradnl"/>
        </w:rPr>
      </w:pPr>
      <w:r w:rsidRPr="00E2220F">
        <w:rPr>
          <w:rFonts w:ascii="Palatino Linotype" w:eastAsia="Times New Roman" w:hAnsi="Palatino Linotype" w:cs="Arial"/>
          <w:b/>
          <w:sz w:val="28"/>
          <w:szCs w:val="28"/>
          <w:lang w:val="es-ES_tradnl" w:eastAsia="es-ES"/>
        </w:rPr>
        <w:t>TERCERO</w:t>
      </w:r>
      <w:r w:rsidRPr="00E2220F">
        <w:rPr>
          <w:rFonts w:ascii="Palatino Linotype" w:eastAsia="Times New Roman" w:hAnsi="Palatino Linotype" w:cs="Arial"/>
          <w:sz w:val="24"/>
          <w:szCs w:val="24"/>
          <w:lang w:val="es-ES_tradnl" w:eastAsia="es-ES"/>
        </w:rPr>
        <w:t xml:space="preserve">. </w:t>
      </w:r>
      <w:r w:rsidRPr="00E2220F">
        <w:rPr>
          <w:rFonts w:ascii="Palatino Linotype" w:eastAsia="Times New Roman" w:hAnsi="Palatino Linotype" w:cs="Arial"/>
          <w:b/>
          <w:sz w:val="24"/>
          <w:szCs w:val="24"/>
          <w:lang w:val="es-ES_tradnl" w:eastAsia="es-ES"/>
        </w:rPr>
        <w:t>Notifíquese</w:t>
      </w:r>
      <w:r w:rsidRPr="00E2220F">
        <w:rPr>
          <w:rFonts w:ascii="Palatino Linotype" w:eastAsia="Times New Roman" w:hAnsi="Palatino Linotype" w:cs="Arial"/>
          <w:sz w:val="24"/>
          <w:szCs w:val="24"/>
          <w:lang w:val="es-ES_tradnl" w:eastAsia="es-ES"/>
        </w:rPr>
        <w:t xml:space="preserve"> la presente resolución a la parte </w:t>
      </w:r>
      <w:r w:rsidRPr="00E2220F">
        <w:rPr>
          <w:rFonts w:ascii="Palatino Linotype" w:eastAsia="Times New Roman" w:hAnsi="Palatino Linotype" w:cs="Arial"/>
          <w:b/>
          <w:sz w:val="24"/>
          <w:szCs w:val="24"/>
          <w:lang w:val="es-ES_tradnl" w:eastAsia="es-ES"/>
        </w:rPr>
        <w:t>Recurrente</w:t>
      </w:r>
      <w:r w:rsidRPr="00E2220F">
        <w:rPr>
          <w:rFonts w:ascii="Palatino Linotype" w:eastAsia="Times New Roman" w:hAnsi="Palatino Linotype" w:cs="Arial"/>
          <w:sz w:val="24"/>
          <w:szCs w:val="24"/>
          <w:lang w:val="es-ES_tradnl" w:eastAsia="es-ES"/>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556CC7EB" w14:textId="64F2EA9B" w:rsidR="00E258AF" w:rsidRDefault="00E258AF" w:rsidP="00E258AF">
      <w:pPr>
        <w:autoSpaceDE w:val="0"/>
        <w:autoSpaceDN w:val="0"/>
        <w:adjustRightInd w:val="0"/>
        <w:spacing w:line="360" w:lineRule="auto"/>
        <w:jc w:val="both"/>
        <w:rPr>
          <w:rFonts w:ascii="Palatino Linotype" w:hAnsi="Palatino Linotype" w:cs="Arial"/>
        </w:rPr>
      </w:pPr>
      <w:r w:rsidRPr="00B574E5">
        <w:rPr>
          <w:rFonts w:ascii="Palatino Linotype" w:hAnsi="Palatino Linotype" w:cs="Arial"/>
          <w:sz w:val="24"/>
        </w:rPr>
        <w:lastRenderedPageBreak/>
        <w:t xml:space="preserve">ASÍ LO ACORDÓ, POR </w:t>
      </w:r>
      <w:r>
        <w:rPr>
          <w:rFonts w:ascii="Palatino Linotype" w:hAnsi="Palatino Linotype" w:cs="Arial"/>
          <w:sz w:val="24"/>
        </w:rPr>
        <w:t>UNANIMIDAD</w:t>
      </w:r>
      <w:r w:rsidRPr="00B574E5">
        <w:rPr>
          <w:rFonts w:ascii="Palatino Linotype" w:hAnsi="Palatino Linotype" w:cs="Arial"/>
          <w:sz w:val="24"/>
        </w:rPr>
        <w:t xml:space="preserve">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CONFORMADO POR LOS COMISIONADOS JOSÉ MARTÍNEZ VILCHIS, MARÍA DEL ROSARIO MEJÍA AYALA</w:t>
      </w:r>
      <w:r w:rsidR="001561C9">
        <w:rPr>
          <w:rFonts w:ascii="Palatino Linotype" w:hAnsi="Palatino Linotype" w:cs="Arial"/>
          <w:sz w:val="24"/>
        </w:rPr>
        <w:t xml:space="preserve"> (AUSENCIA JUSTIFICADA)</w:t>
      </w:r>
      <w:r w:rsidRPr="00B574E5">
        <w:rPr>
          <w:rFonts w:ascii="Palatino Linotype" w:hAnsi="Palatino Linotype" w:cs="Arial"/>
          <w:sz w:val="24"/>
        </w:rPr>
        <w:t>, SHARON CRISTINA MORALES MARTÍNEZ, LUIS GUSTAVO PARRA NORIEGA</w:t>
      </w:r>
      <w:r>
        <w:rPr>
          <w:rFonts w:ascii="Palatino Linotype" w:hAnsi="Palatino Linotype" w:cs="Arial"/>
          <w:sz w:val="24"/>
        </w:rPr>
        <w:t xml:space="preserve"> </w:t>
      </w:r>
      <w:r w:rsidRPr="00B574E5">
        <w:rPr>
          <w:rFonts w:ascii="Palatino Linotype" w:hAnsi="Palatino Linotype" w:cs="Arial"/>
          <w:sz w:val="24"/>
        </w:rPr>
        <w:t xml:space="preserve">Y GUADALUPE RAMÍREZ PEÑA; EN LA </w:t>
      </w:r>
      <w:r w:rsidR="000A5643">
        <w:rPr>
          <w:rFonts w:ascii="Palatino Linotype" w:hAnsi="Palatino Linotype" w:cs="Arial"/>
          <w:sz w:val="24"/>
        </w:rPr>
        <w:t>TR</w:t>
      </w:r>
      <w:r>
        <w:rPr>
          <w:rFonts w:ascii="Palatino Linotype" w:hAnsi="Palatino Linotype" w:cs="Arial"/>
          <w:sz w:val="24"/>
        </w:rPr>
        <w:t>IGÉSIMA</w:t>
      </w:r>
      <w:r w:rsidR="000A5643">
        <w:rPr>
          <w:rFonts w:ascii="Palatino Linotype" w:hAnsi="Palatino Linotype" w:cs="Arial"/>
          <w:sz w:val="24"/>
        </w:rPr>
        <w:t xml:space="preserve"> PRIMERA</w:t>
      </w:r>
      <w:r>
        <w:rPr>
          <w:rFonts w:ascii="Palatino Linotype" w:hAnsi="Palatino Linotype" w:cs="Arial"/>
          <w:sz w:val="24"/>
        </w:rPr>
        <w:t xml:space="preserve"> </w:t>
      </w:r>
      <w:r w:rsidRPr="00B574E5">
        <w:rPr>
          <w:rFonts w:ascii="Palatino Linotype" w:hAnsi="Palatino Linotype" w:cs="Arial"/>
          <w:sz w:val="24"/>
        </w:rPr>
        <w:t xml:space="preserve">SESIÓN ORDINARIA CELEBRADA EL </w:t>
      </w:r>
      <w:r w:rsidR="000A5643">
        <w:rPr>
          <w:rFonts w:ascii="Palatino Linotype" w:hAnsi="Palatino Linotype" w:cs="Arial"/>
          <w:sz w:val="24"/>
        </w:rPr>
        <w:t>TRES DE SEPTIEMBRE</w:t>
      </w:r>
      <w:r>
        <w:rPr>
          <w:rFonts w:ascii="Palatino Linotype" w:hAnsi="Palatino Linotype" w:cs="Arial"/>
          <w:sz w:val="24"/>
        </w:rPr>
        <w:t xml:space="preserve"> DE DOS MIL VEINTICINCO</w:t>
      </w:r>
      <w:r w:rsidRPr="00B574E5">
        <w:rPr>
          <w:rFonts w:ascii="Palatino Linotype" w:hAnsi="Palatino Linotype" w:cs="Arial"/>
          <w:sz w:val="24"/>
        </w:rPr>
        <w:t>, ANTE EL SECRETARIO TÉCNICO DEL PLENO, ALEXIS TAPIA RAMÍREZ. ----------</w:t>
      </w:r>
      <w:r>
        <w:rPr>
          <w:rFonts w:ascii="Palatino Linotype" w:hAnsi="Palatino Linotype" w:cs="Arial"/>
        </w:rPr>
        <w:t>---------------------------------------------------------------------------------------------------------------------------</w:t>
      </w:r>
      <w:r w:rsidR="000A5643">
        <w:rPr>
          <w:rFonts w:ascii="Palatino Linotype" w:hAnsi="Palatino Linotype" w:cs="Arial"/>
        </w:rPr>
        <w:t>---------------------------------------------------------------------------------------------------------------------------------------------------------------------------------------------------------------------------------------------------------------------------------------------------------------------------------------------------------------------------------------------------------------------------------------------------------------------------------------------------------------------------------------------------------------------------------------------------------------------------------------------------------------------------------------------------------------------------------------------------------------------------------------------------------------------------------------------------------------------------------------------------------------------------------------------------------</w:t>
      </w:r>
      <w:r w:rsidR="001561C9">
        <w:rPr>
          <w:rFonts w:ascii="Palatino Linotype" w:hAnsi="Palatino Linotype" w:cs="Arial"/>
        </w:rPr>
        <w:t>---------------------------------------------------------------------------------------------------------------------------------------------------------------------------------------------------------------------------------------------------------------------------------------------------------------------------------------------------------------------------------------------------------------------------------------------------------------------------------------------------------------------------------------------------------------------------------------------------------------------------------------------------------------------------------------------------------------------------------------------------------------------------------------------------------------------------------------------------------------------------------------------</w:t>
      </w:r>
    </w:p>
    <w:p w14:paraId="493E5BE9" w14:textId="77777777" w:rsidR="00E258AF" w:rsidRPr="00AB0A3C" w:rsidRDefault="00E258AF" w:rsidP="00E258AF">
      <w:pPr>
        <w:spacing w:line="360" w:lineRule="auto"/>
        <w:jc w:val="both"/>
        <w:rPr>
          <w:sz w:val="20"/>
        </w:rPr>
      </w:pPr>
      <w:r>
        <w:rPr>
          <w:rFonts w:ascii="Palatino Linotype" w:hAnsi="Palatino Linotype"/>
          <w:bCs/>
          <w:sz w:val="16"/>
          <w:szCs w:val="18"/>
        </w:rPr>
        <w:t>JMV/CCR/LMST</w:t>
      </w:r>
    </w:p>
    <w:p w14:paraId="7858D5CE" w14:textId="77777777" w:rsidR="00E258AF" w:rsidRDefault="00E258AF" w:rsidP="00E258AF"/>
    <w:p w14:paraId="030F29B7" w14:textId="77777777" w:rsidR="00E258AF" w:rsidRDefault="00E258AF" w:rsidP="00E258AF"/>
    <w:p w14:paraId="77BFF7EA" w14:textId="77777777" w:rsidR="00E258AF" w:rsidRDefault="00E258AF" w:rsidP="00E258AF"/>
    <w:p w14:paraId="1A96D32F" w14:textId="77777777" w:rsidR="00E258AF" w:rsidRDefault="00E258AF" w:rsidP="00E258AF"/>
    <w:p w14:paraId="27307057" w14:textId="77777777" w:rsidR="00E258AF" w:rsidRDefault="00E258AF" w:rsidP="00E258AF"/>
    <w:p w14:paraId="08529146" w14:textId="77777777" w:rsidR="00E258AF" w:rsidRDefault="00E258AF" w:rsidP="00E258AF"/>
    <w:p w14:paraId="629BF1D6" w14:textId="77777777" w:rsidR="00E258AF" w:rsidRDefault="00E258AF" w:rsidP="00E258AF"/>
    <w:p w14:paraId="13997C8E" w14:textId="77777777" w:rsidR="00E258AF" w:rsidRDefault="00E258AF" w:rsidP="00E258AF"/>
    <w:p w14:paraId="024C16F3" w14:textId="77777777" w:rsidR="00E258AF" w:rsidRDefault="00E258AF" w:rsidP="00E258AF"/>
    <w:p w14:paraId="3C192711" w14:textId="77777777" w:rsidR="00E258AF" w:rsidRDefault="00E258AF" w:rsidP="00E258AF"/>
    <w:p w14:paraId="2BFC9943" w14:textId="77777777" w:rsidR="00E258AF" w:rsidRDefault="00E258AF" w:rsidP="00E258AF"/>
    <w:p w14:paraId="149060E8" w14:textId="77777777" w:rsidR="00E258AF" w:rsidRDefault="00E258AF" w:rsidP="00E258AF"/>
    <w:p w14:paraId="01E2554A" w14:textId="77777777" w:rsidR="00E258AF" w:rsidRDefault="00E258AF" w:rsidP="00E258AF"/>
    <w:p w14:paraId="62EEA36A" w14:textId="77777777" w:rsidR="00E258AF" w:rsidRDefault="00E258AF" w:rsidP="00E258AF"/>
    <w:p w14:paraId="780007CD" w14:textId="77777777" w:rsidR="00E258AF" w:rsidRDefault="00E258AF" w:rsidP="00E258AF"/>
    <w:p w14:paraId="343842B4" w14:textId="77777777" w:rsidR="00E258AF" w:rsidRDefault="00E258AF" w:rsidP="00E258AF"/>
    <w:p w14:paraId="6D63B759" w14:textId="77777777" w:rsidR="00E258AF" w:rsidRDefault="00E258AF" w:rsidP="00E258AF"/>
    <w:p w14:paraId="257DC7DF" w14:textId="77777777" w:rsidR="00E258AF" w:rsidRDefault="00E258AF" w:rsidP="00E258AF"/>
    <w:p w14:paraId="65697746" w14:textId="77777777" w:rsidR="00E258AF" w:rsidRDefault="00E258AF" w:rsidP="00E258AF"/>
    <w:p w14:paraId="1A119A4A" w14:textId="77777777" w:rsidR="00E258AF" w:rsidRDefault="00E258AF" w:rsidP="00E258AF"/>
    <w:p w14:paraId="3058C4E7" w14:textId="77777777" w:rsidR="00A928EE" w:rsidRDefault="00A928EE"/>
    <w:sectPr w:rsidR="00A928EE" w:rsidSect="00535E2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F0949" w14:textId="77777777" w:rsidR="00041331" w:rsidRDefault="00041331" w:rsidP="00E258AF">
      <w:pPr>
        <w:spacing w:after="0" w:line="240" w:lineRule="auto"/>
      </w:pPr>
      <w:r>
        <w:separator/>
      </w:r>
    </w:p>
  </w:endnote>
  <w:endnote w:type="continuationSeparator" w:id="0">
    <w:p w14:paraId="5F42A991" w14:textId="77777777" w:rsidR="00041331" w:rsidRDefault="00041331" w:rsidP="00E2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BCD37" w14:textId="77777777" w:rsidR="00535E23" w:rsidRPr="000B69FA" w:rsidRDefault="00535E23" w:rsidP="00535E2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5F9B">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5F9B">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5D128" w14:textId="77777777" w:rsidR="00535E23" w:rsidRPr="000B69FA" w:rsidRDefault="00535E23" w:rsidP="00535E2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5F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5F9B">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89998" w14:textId="77777777" w:rsidR="00041331" w:rsidRDefault="00041331" w:rsidP="00E258AF">
      <w:pPr>
        <w:spacing w:after="0" w:line="240" w:lineRule="auto"/>
      </w:pPr>
      <w:r>
        <w:separator/>
      </w:r>
    </w:p>
  </w:footnote>
  <w:footnote w:type="continuationSeparator" w:id="0">
    <w:p w14:paraId="64929761" w14:textId="77777777" w:rsidR="00041331" w:rsidRDefault="00041331" w:rsidP="00E258AF">
      <w:pPr>
        <w:spacing w:after="0" w:line="240" w:lineRule="auto"/>
      </w:pPr>
      <w:r>
        <w:continuationSeparator/>
      </w:r>
    </w:p>
  </w:footnote>
  <w:footnote w:id="1">
    <w:p w14:paraId="78135493" w14:textId="77777777" w:rsidR="00535E23" w:rsidRPr="00911081" w:rsidRDefault="00535E23" w:rsidP="00E258AF">
      <w:pPr>
        <w:jc w:val="both"/>
        <w:rPr>
          <w:rFonts w:ascii="Palatino Linotype" w:hAnsi="Palatino Linotype"/>
          <w:b/>
          <w:bCs/>
          <w:i/>
          <w:sz w:val="16"/>
          <w:szCs w:val="16"/>
        </w:rPr>
      </w:pPr>
      <w:r>
        <w:rPr>
          <w:rStyle w:val="Refdenotaalpie"/>
          <w:rFonts w:eastAsiaTheme="minorEastAsia"/>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8A08C82" w14:textId="77777777" w:rsidR="00535E23" w:rsidRDefault="00535E23" w:rsidP="00E258AF">
      <w:pPr>
        <w:jc w:val="both"/>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23B0980" w14:textId="77777777" w:rsidR="00535E23" w:rsidRDefault="00535E23" w:rsidP="00E258AF">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0DE86F23" w14:textId="77777777" w:rsidR="00535E23" w:rsidRDefault="00535E23" w:rsidP="00E258AF">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570D" w14:textId="77777777" w:rsidR="00535E23" w:rsidRDefault="00535E23">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704A75" wp14:editId="61E5191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35E23" w14:paraId="18B5A016" w14:textId="77777777" w:rsidTr="00535E23">
      <w:trPr>
        <w:trHeight w:val="227"/>
      </w:trPr>
      <w:tc>
        <w:tcPr>
          <w:tcW w:w="5529" w:type="dxa"/>
          <w:hideMark/>
        </w:tcPr>
        <w:p w14:paraId="07BE773A" w14:textId="77777777" w:rsidR="00535E23" w:rsidRDefault="00535E23" w:rsidP="00535E2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0F095F5" w14:textId="65F095CE" w:rsidR="00535E23" w:rsidRPr="00B4142F" w:rsidRDefault="001561C9" w:rsidP="00535E2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35E23">
            <w:rPr>
              <w:rFonts w:ascii="Palatino Linotype" w:hAnsi="Palatino Linotype" w:cs="Arial"/>
              <w:bCs/>
              <w:sz w:val="24"/>
              <w:lang w:eastAsia="es-MX"/>
            </w:rPr>
            <w:t>8200/INFOEM/IP/RR/2025</w:t>
          </w:r>
        </w:p>
      </w:tc>
    </w:tr>
    <w:tr w:rsidR="00535E23" w14:paraId="6C0C34C3" w14:textId="77777777" w:rsidTr="00535E23">
      <w:trPr>
        <w:trHeight w:val="242"/>
      </w:trPr>
      <w:tc>
        <w:tcPr>
          <w:tcW w:w="5529" w:type="dxa"/>
          <w:hideMark/>
        </w:tcPr>
        <w:p w14:paraId="0ACB3BCB" w14:textId="77777777" w:rsidR="00535E23" w:rsidRDefault="00535E23" w:rsidP="00535E2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1C19F62" w14:textId="77777777" w:rsidR="00535E23" w:rsidRPr="00F06FED" w:rsidRDefault="00535E23" w:rsidP="00535E23">
          <w:pPr>
            <w:spacing w:after="120" w:line="256" w:lineRule="auto"/>
            <w:ind w:left="639" w:right="214"/>
            <w:jc w:val="both"/>
            <w:rPr>
              <w:rFonts w:ascii="Palatino Linotype" w:hAnsi="Palatino Linotype" w:cs="Arial"/>
            </w:rPr>
          </w:pPr>
          <w:r w:rsidRPr="00E258AF">
            <w:rPr>
              <w:rFonts w:ascii="Palatino Linotype" w:hAnsi="Palatino Linotype" w:cs="Arial"/>
              <w:szCs w:val="20"/>
            </w:rPr>
            <w:t>Ayuntamiento de Coacalco de Berriozábal</w:t>
          </w:r>
        </w:p>
      </w:tc>
    </w:tr>
    <w:tr w:rsidR="00535E23" w14:paraId="4918C179" w14:textId="77777777" w:rsidTr="00535E23">
      <w:trPr>
        <w:trHeight w:val="342"/>
      </w:trPr>
      <w:tc>
        <w:tcPr>
          <w:tcW w:w="5529" w:type="dxa"/>
          <w:hideMark/>
        </w:tcPr>
        <w:p w14:paraId="2B510597" w14:textId="77777777" w:rsidR="00535E23" w:rsidRDefault="00535E23" w:rsidP="00535E2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E50494C" w14:textId="77777777" w:rsidR="00535E23" w:rsidRDefault="00535E23" w:rsidP="00535E23">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5C32921" w14:textId="77777777" w:rsidR="00535E23" w:rsidRDefault="00535E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35E23" w14:paraId="51ADD5D7" w14:textId="77777777" w:rsidTr="00535E23">
      <w:trPr>
        <w:trHeight w:val="227"/>
      </w:trPr>
      <w:tc>
        <w:tcPr>
          <w:tcW w:w="5529" w:type="dxa"/>
          <w:hideMark/>
        </w:tcPr>
        <w:p w14:paraId="680D07AF" w14:textId="77777777" w:rsidR="00535E23" w:rsidRDefault="00535E23" w:rsidP="00535E2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ECB378" w14:textId="28C9EF5D" w:rsidR="00535E23" w:rsidRPr="00B4142F" w:rsidRDefault="001561C9" w:rsidP="00535E2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35E23">
            <w:rPr>
              <w:rFonts w:ascii="Palatino Linotype" w:hAnsi="Palatino Linotype" w:cs="Arial"/>
              <w:bCs/>
              <w:sz w:val="24"/>
              <w:lang w:eastAsia="es-MX"/>
            </w:rPr>
            <w:t>8200/INFOEM/IP/RR/2025</w:t>
          </w:r>
        </w:p>
      </w:tc>
    </w:tr>
    <w:tr w:rsidR="00535E23" w14:paraId="040AAFEE" w14:textId="77777777" w:rsidTr="00535E23">
      <w:trPr>
        <w:trHeight w:val="196"/>
      </w:trPr>
      <w:tc>
        <w:tcPr>
          <w:tcW w:w="5529" w:type="dxa"/>
          <w:hideMark/>
        </w:tcPr>
        <w:p w14:paraId="14F16B61" w14:textId="77777777" w:rsidR="00535E23" w:rsidRDefault="00535E23" w:rsidP="00535E2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CB12CA7" w14:textId="5664E52E" w:rsidR="00535E23" w:rsidRPr="00F06FED" w:rsidRDefault="003D5F9B" w:rsidP="00535E23">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535E23" w14:paraId="1370B17F" w14:textId="77777777" w:rsidTr="00535E23">
      <w:trPr>
        <w:trHeight w:val="242"/>
      </w:trPr>
      <w:tc>
        <w:tcPr>
          <w:tcW w:w="5529" w:type="dxa"/>
          <w:hideMark/>
        </w:tcPr>
        <w:p w14:paraId="290BE5D9" w14:textId="77777777" w:rsidR="00535E23" w:rsidRDefault="00535E23" w:rsidP="00535E2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7D8C00" w14:textId="77777777" w:rsidR="00535E23" w:rsidRDefault="00535E23" w:rsidP="00535E23">
          <w:pPr>
            <w:spacing w:after="120" w:line="256" w:lineRule="auto"/>
            <w:ind w:left="639" w:right="214"/>
            <w:jc w:val="both"/>
            <w:rPr>
              <w:rFonts w:ascii="Palatino Linotype" w:hAnsi="Palatino Linotype" w:cs="Arial"/>
              <w:szCs w:val="20"/>
            </w:rPr>
          </w:pPr>
          <w:r w:rsidRPr="00E258AF">
            <w:rPr>
              <w:rFonts w:ascii="Palatino Linotype" w:hAnsi="Palatino Linotype" w:cs="Arial"/>
              <w:szCs w:val="20"/>
            </w:rPr>
            <w:t>Ayuntamiento de Coacalco de Berriozábal</w:t>
          </w:r>
        </w:p>
      </w:tc>
    </w:tr>
    <w:tr w:rsidR="00535E23" w14:paraId="7A5B9509" w14:textId="77777777" w:rsidTr="00535E23">
      <w:trPr>
        <w:trHeight w:val="342"/>
      </w:trPr>
      <w:tc>
        <w:tcPr>
          <w:tcW w:w="5529" w:type="dxa"/>
          <w:hideMark/>
        </w:tcPr>
        <w:p w14:paraId="65561247" w14:textId="77777777" w:rsidR="00535E23" w:rsidRDefault="00535E23" w:rsidP="00535E2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2081006" w14:textId="77777777" w:rsidR="00535E23" w:rsidRDefault="00535E23" w:rsidP="00535E2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67178D3" w14:textId="77777777" w:rsidR="00535E23" w:rsidRDefault="00535E2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FF9C36" wp14:editId="651880D5">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243B6"/>
    <w:multiLevelType w:val="hybridMultilevel"/>
    <w:tmpl w:val="ACD6FBA0"/>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cs="Times New Roman" w:hint="default"/>
        <w:b/>
      </w:rPr>
    </w:lvl>
    <w:lvl w:ilvl="1" w:tplc="080A0019" w:tentative="1">
      <w:start w:val="1"/>
      <w:numFmt w:val="lowerLetter"/>
      <w:lvlText w:val="%2."/>
      <w:lvlJc w:val="left"/>
      <w:pPr>
        <w:ind w:left="2210" w:hanging="360"/>
      </w:pPr>
      <w:rPr>
        <w:rFonts w:cs="Times New Roman"/>
      </w:rPr>
    </w:lvl>
    <w:lvl w:ilvl="2" w:tplc="080A001B" w:tentative="1">
      <w:start w:val="1"/>
      <w:numFmt w:val="lowerRoman"/>
      <w:lvlText w:val="%3."/>
      <w:lvlJc w:val="right"/>
      <w:pPr>
        <w:ind w:left="2930" w:hanging="180"/>
      </w:pPr>
      <w:rPr>
        <w:rFonts w:cs="Times New Roman"/>
      </w:rPr>
    </w:lvl>
    <w:lvl w:ilvl="3" w:tplc="080A000F" w:tentative="1">
      <w:start w:val="1"/>
      <w:numFmt w:val="decimal"/>
      <w:lvlText w:val="%4."/>
      <w:lvlJc w:val="left"/>
      <w:pPr>
        <w:ind w:left="3650" w:hanging="360"/>
      </w:pPr>
      <w:rPr>
        <w:rFonts w:cs="Times New Roman"/>
      </w:rPr>
    </w:lvl>
    <w:lvl w:ilvl="4" w:tplc="080A0019" w:tentative="1">
      <w:start w:val="1"/>
      <w:numFmt w:val="lowerLetter"/>
      <w:lvlText w:val="%5."/>
      <w:lvlJc w:val="left"/>
      <w:pPr>
        <w:ind w:left="4370" w:hanging="360"/>
      </w:pPr>
      <w:rPr>
        <w:rFonts w:cs="Times New Roman"/>
      </w:rPr>
    </w:lvl>
    <w:lvl w:ilvl="5" w:tplc="080A001B" w:tentative="1">
      <w:start w:val="1"/>
      <w:numFmt w:val="lowerRoman"/>
      <w:lvlText w:val="%6."/>
      <w:lvlJc w:val="right"/>
      <w:pPr>
        <w:ind w:left="5090" w:hanging="180"/>
      </w:pPr>
      <w:rPr>
        <w:rFonts w:cs="Times New Roman"/>
      </w:rPr>
    </w:lvl>
    <w:lvl w:ilvl="6" w:tplc="080A000F" w:tentative="1">
      <w:start w:val="1"/>
      <w:numFmt w:val="decimal"/>
      <w:lvlText w:val="%7."/>
      <w:lvlJc w:val="left"/>
      <w:pPr>
        <w:ind w:left="5810" w:hanging="360"/>
      </w:pPr>
      <w:rPr>
        <w:rFonts w:cs="Times New Roman"/>
      </w:rPr>
    </w:lvl>
    <w:lvl w:ilvl="7" w:tplc="080A0019" w:tentative="1">
      <w:start w:val="1"/>
      <w:numFmt w:val="lowerLetter"/>
      <w:lvlText w:val="%8."/>
      <w:lvlJc w:val="left"/>
      <w:pPr>
        <w:ind w:left="6530" w:hanging="360"/>
      </w:pPr>
      <w:rPr>
        <w:rFonts w:cs="Times New Roman"/>
      </w:rPr>
    </w:lvl>
    <w:lvl w:ilvl="8" w:tplc="080A001B" w:tentative="1">
      <w:start w:val="1"/>
      <w:numFmt w:val="lowerRoman"/>
      <w:lvlText w:val="%9."/>
      <w:lvlJc w:val="right"/>
      <w:pPr>
        <w:ind w:left="7250" w:hanging="180"/>
      </w:pPr>
      <w:rPr>
        <w:rFonts w:cs="Times New Roman"/>
      </w:rPr>
    </w:lvl>
  </w:abstractNum>
  <w:abstractNum w:abstractNumId="3" w15:restartNumberingAfterBreak="0">
    <w:nsid w:val="3B043D2D"/>
    <w:multiLevelType w:val="hybridMultilevel"/>
    <w:tmpl w:val="14B4A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A09ED"/>
    <w:multiLevelType w:val="hybridMultilevel"/>
    <w:tmpl w:val="FB6E5326"/>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5"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AF"/>
    <w:rsid w:val="00041331"/>
    <w:rsid w:val="000A5643"/>
    <w:rsid w:val="001561C9"/>
    <w:rsid w:val="003D5F9B"/>
    <w:rsid w:val="004936E7"/>
    <w:rsid w:val="00535E23"/>
    <w:rsid w:val="008641E5"/>
    <w:rsid w:val="00A23EFF"/>
    <w:rsid w:val="00A928EE"/>
    <w:rsid w:val="00D32F33"/>
    <w:rsid w:val="00E25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01BF"/>
  <w15:chartTrackingRefBased/>
  <w15:docId w15:val="{D7350F4D-A736-4231-9DCA-CAD39172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8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58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8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8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8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58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58A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258A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58AF"/>
    <w:rPr>
      <w:rFonts w:ascii="Times New Roman" w:eastAsia="Times New Roman" w:hAnsi="Times New Roman" w:cs="Times New Roman"/>
      <w:sz w:val="24"/>
      <w:szCs w:val="24"/>
      <w:lang w:eastAsia="es-ES"/>
    </w:rPr>
  </w:style>
  <w:style w:type="paragraph" w:customStyle="1" w:styleId="infoemcitas">
    <w:name w:val="infoem citas"/>
    <w:basedOn w:val="Normal"/>
    <w:qFormat/>
    <w:rsid w:val="00E258AF"/>
    <w:pPr>
      <w:spacing w:before="240" w:line="360" w:lineRule="auto"/>
      <w:ind w:left="851" w:right="851"/>
      <w:jc w:val="both"/>
    </w:pPr>
    <w:rPr>
      <w:rFonts w:ascii="Palatino Linotype" w:hAnsi="Palatino Linotype"/>
      <w:i/>
    </w:rPr>
  </w:style>
  <w:style w:type="paragraph" w:customStyle="1" w:styleId="INFOEM">
    <w:name w:val="INFOEM"/>
    <w:basedOn w:val="Normal"/>
    <w:qFormat/>
    <w:rsid w:val="00E258AF"/>
    <w:pPr>
      <w:spacing w:before="240" w:line="360" w:lineRule="auto"/>
      <w:ind w:left="851" w:right="851"/>
      <w:jc w:val="both"/>
    </w:pPr>
    <w:rPr>
      <w:rFonts w:ascii="Palatino Linotype" w:hAnsi="Palatino Linotype"/>
      <w:i/>
      <w:szCs w:val="14"/>
    </w:rPr>
  </w:style>
  <w:style w:type="character" w:styleId="Hipervnculo">
    <w:name w:val="Hyperlink"/>
    <w:aliases w:val="Hipervínculo1,Hipervínculo11,Hipervínculo12,Hipervínculo13,Hipervínculo14,Hipervínculo15"/>
    <w:basedOn w:val="Fuentedeprrafopredeter"/>
    <w:uiPriority w:val="99"/>
    <w:unhideWhenUsed/>
    <w:rsid w:val="00E258AF"/>
    <w:rPr>
      <w:color w:val="0563C1" w:themeColor="hyperlink"/>
      <w:u w:val="single"/>
    </w:rPr>
  </w:style>
  <w:style w:type="character" w:customStyle="1" w:styleId="apple-converted-space">
    <w:name w:val="apple-converted-space"/>
    <w:basedOn w:val="Fuentedeprrafopredeter"/>
    <w:rsid w:val="00E258A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8AF"/>
    <w:rPr>
      <w:vertAlign w:val="superscript"/>
    </w:rPr>
  </w:style>
  <w:style w:type="paragraph" w:customStyle="1" w:styleId="Citas">
    <w:name w:val="Citas"/>
    <w:basedOn w:val="Normal"/>
    <w:qFormat/>
    <w:rsid w:val="00E258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E258AF"/>
    <w:pPr>
      <w:spacing w:after="0" w:line="240" w:lineRule="auto"/>
    </w:pPr>
    <w:rPr>
      <w:rFonts w:eastAsia="Times New Roman" w:cs="Times New Roman"/>
      <w:sz w:val="20"/>
      <w:szCs w:val="20"/>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E258AF"/>
    <w:rPr>
      <w:rFonts w:eastAsia="Times New Roman" w:cs="Times New Roman"/>
      <w:sz w:val="20"/>
      <w:szCs w:val="20"/>
    </w:rPr>
  </w:style>
  <w:style w:type="character" w:customStyle="1" w:styleId="il">
    <w:name w:val="il"/>
    <w:basedOn w:val="Fuentedeprrafopredeter"/>
    <w:rsid w:val="00E258AF"/>
    <w:rPr>
      <w:rFonts w:cs="Times New Roman"/>
    </w:rPr>
  </w:style>
  <w:style w:type="table" w:customStyle="1" w:styleId="Tablaconcuadrcula11">
    <w:name w:val="Tabla con cuadrícula11"/>
    <w:basedOn w:val="Tablanormal"/>
    <w:next w:val="Tablaconcuadrcula"/>
    <w:uiPriority w:val="39"/>
    <w:rsid w:val="00E2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2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7C325-68A0-4F4D-9D24-2423D8D6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7604</Words>
  <Characters>41825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7</cp:revision>
  <cp:lastPrinted>2025-09-05T17:13:00Z</cp:lastPrinted>
  <dcterms:created xsi:type="dcterms:W3CDTF">2025-08-20T22:53:00Z</dcterms:created>
  <dcterms:modified xsi:type="dcterms:W3CDTF">2025-11-14T20:22:00Z</dcterms:modified>
</cp:coreProperties>
</file>