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9AC" w:rsidRPr="00983D7A" w:rsidRDefault="002D19AC">
      <w:pPr>
        <w:widowControl w:val="0"/>
        <w:pBdr>
          <w:top w:val="nil"/>
          <w:left w:val="nil"/>
          <w:bottom w:val="nil"/>
          <w:right w:val="nil"/>
          <w:between w:val="nil"/>
        </w:pBdr>
        <w:spacing w:line="276" w:lineRule="auto"/>
        <w:rPr>
          <w:rFonts w:ascii="Palatino Linotype" w:hAnsi="Palatino Linotype"/>
          <w:color w:val="000000" w:themeColor="text1"/>
        </w:rPr>
      </w:pPr>
    </w:p>
    <w:p w:rsidR="002D19AC" w:rsidRPr="00927E3A" w:rsidRDefault="00B77D2C">
      <w:pPr>
        <w:tabs>
          <w:tab w:val="left" w:pos="3465"/>
        </w:tabs>
        <w:spacing w:line="360" w:lineRule="auto"/>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de fecha nueve de abril de dos mil veinticinco.</w:t>
      </w:r>
    </w:p>
    <w:p w:rsidR="002D19AC" w:rsidRPr="00927E3A" w:rsidRDefault="002D19AC">
      <w:pPr>
        <w:tabs>
          <w:tab w:val="left" w:pos="3465"/>
        </w:tabs>
        <w:spacing w:line="360" w:lineRule="auto"/>
        <w:jc w:val="both"/>
        <w:rPr>
          <w:rFonts w:ascii="Palatino Linotype" w:eastAsia="Palatino Linotype" w:hAnsi="Palatino Linotype" w:cs="Palatino Linotype"/>
          <w:color w:val="000000" w:themeColor="text1"/>
        </w:rPr>
      </w:pPr>
    </w:p>
    <w:p w:rsidR="002D19AC" w:rsidRPr="00927E3A" w:rsidRDefault="00B77D2C">
      <w:pPr>
        <w:tabs>
          <w:tab w:val="left" w:pos="3969"/>
        </w:tabs>
        <w:spacing w:line="360" w:lineRule="auto"/>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b/>
          <w:color w:val="000000" w:themeColor="text1"/>
        </w:rPr>
        <w:t>VISTO</w:t>
      </w:r>
      <w:r w:rsidRPr="00927E3A">
        <w:rPr>
          <w:rFonts w:ascii="Palatino Linotype" w:eastAsia="Palatino Linotype" w:hAnsi="Palatino Linotype" w:cs="Palatino Linotype"/>
          <w:color w:val="000000" w:themeColor="text1"/>
        </w:rPr>
        <w:t xml:space="preserve"> el expediente electrónico formado con motivo del recurso de revisión </w:t>
      </w:r>
      <w:r w:rsidRPr="00927E3A">
        <w:rPr>
          <w:rFonts w:ascii="Palatino Linotype" w:eastAsia="Palatino Linotype" w:hAnsi="Palatino Linotype" w:cs="Palatino Linotype"/>
          <w:b/>
          <w:color w:val="000000" w:themeColor="text1"/>
        </w:rPr>
        <w:t>01173/INFOEM/IP/RR/2025</w:t>
      </w:r>
      <w:r w:rsidRPr="00927E3A">
        <w:rPr>
          <w:rFonts w:ascii="Palatino Linotype" w:eastAsia="Palatino Linotype" w:hAnsi="Palatino Linotype" w:cs="Palatino Linotype"/>
          <w:color w:val="000000" w:themeColor="text1"/>
        </w:rPr>
        <w:t>,</w:t>
      </w:r>
      <w:r w:rsidRPr="00927E3A">
        <w:rPr>
          <w:rFonts w:ascii="Palatino Linotype" w:eastAsia="Palatino Linotype" w:hAnsi="Palatino Linotype" w:cs="Palatino Linotype"/>
          <w:b/>
          <w:color w:val="000000" w:themeColor="text1"/>
        </w:rPr>
        <w:t xml:space="preserve"> </w:t>
      </w:r>
      <w:r w:rsidRPr="00927E3A">
        <w:rPr>
          <w:rFonts w:ascii="Palatino Linotype" w:eastAsia="Palatino Linotype" w:hAnsi="Palatino Linotype" w:cs="Palatino Linotype"/>
          <w:color w:val="000000" w:themeColor="text1"/>
        </w:rPr>
        <w:t xml:space="preserve">promovido por </w:t>
      </w:r>
      <w:r w:rsidRPr="00927E3A">
        <w:rPr>
          <w:rFonts w:ascii="Palatino Linotype" w:eastAsia="Palatino Linotype" w:hAnsi="Palatino Linotype" w:cs="Palatino Linotype"/>
          <w:b/>
          <w:color w:val="000000" w:themeColor="text1"/>
        </w:rPr>
        <w:t> </w:t>
      </w:r>
      <w:r w:rsidR="00B2454B">
        <w:rPr>
          <w:rFonts w:ascii="Palatino Linotype" w:eastAsia="Palatino Linotype" w:hAnsi="Palatino Linotype" w:cs="Palatino Linotype"/>
          <w:b/>
          <w:color w:val="000000" w:themeColor="text1"/>
        </w:rPr>
        <w:t>XXXX</w:t>
      </w:r>
      <w:r w:rsidRPr="00927E3A">
        <w:rPr>
          <w:rFonts w:ascii="Palatino Linotype" w:eastAsia="Palatino Linotype" w:hAnsi="Palatino Linotype" w:cs="Palatino Linotype"/>
          <w:color w:val="000000" w:themeColor="text1"/>
        </w:rPr>
        <w:t xml:space="preserve">, a quien en lo sucesivo se le identificará como </w:t>
      </w:r>
      <w:r w:rsidRPr="00927E3A">
        <w:rPr>
          <w:rFonts w:ascii="Palatino Linotype" w:eastAsia="Palatino Linotype" w:hAnsi="Palatino Linotype" w:cs="Palatino Linotype"/>
          <w:b/>
          <w:color w:val="000000" w:themeColor="text1"/>
        </w:rPr>
        <w:t>EL RECURRENTE</w:t>
      </w:r>
      <w:r w:rsidRPr="00927E3A">
        <w:rPr>
          <w:rFonts w:ascii="Palatino Linotype" w:eastAsia="Palatino Linotype" w:hAnsi="Palatino Linotype" w:cs="Palatino Linotype"/>
          <w:color w:val="000000" w:themeColor="text1"/>
        </w:rPr>
        <w:t xml:space="preserve">, en contra de la respuesta del </w:t>
      </w:r>
      <w:r w:rsidRPr="00927E3A">
        <w:rPr>
          <w:rFonts w:ascii="Palatino Linotype" w:eastAsia="Palatino Linotype" w:hAnsi="Palatino Linotype" w:cs="Palatino Linotype"/>
          <w:b/>
          <w:color w:val="000000" w:themeColor="text1"/>
        </w:rPr>
        <w:t xml:space="preserve">Ayuntamiento de Huehuetoca, </w:t>
      </w:r>
      <w:r w:rsidRPr="00927E3A">
        <w:rPr>
          <w:rFonts w:ascii="Palatino Linotype" w:eastAsia="Palatino Linotype" w:hAnsi="Palatino Linotype" w:cs="Palatino Linotype"/>
          <w:color w:val="000000" w:themeColor="text1"/>
        </w:rPr>
        <w:t>en lo sucesivo el</w:t>
      </w:r>
      <w:r w:rsidRPr="00927E3A">
        <w:rPr>
          <w:rFonts w:ascii="Palatino Linotype" w:eastAsia="Palatino Linotype" w:hAnsi="Palatino Linotype" w:cs="Palatino Linotype"/>
          <w:b/>
          <w:color w:val="000000" w:themeColor="text1"/>
        </w:rPr>
        <w:t xml:space="preserve"> SUJETO OBLIGADO</w:t>
      </w:r>
      <w:r w:rsidRPr="00927E3A">
        <w:rPr>
          <w:rFonts w:ascii="Palatino Linotype" w:eastAsia="Palatino Linotype" w:hAnsi="Palatino Linotype" w:cs="Palatino Linotype"/>
          <w:color w:val="000000" w:themeColor="text1"/>
        </w:rPr>
        <w:t>, se procede a dictar la presente resolución, con base en los siguientes:</w:t>
      </w:r>
    </w:p>
    <w:p w:rsidR="002D19AC" w:rsidRPr="00927E3A" w:rsidRDefault="002D19AC">
      <w:pPr>
        <w:spacing w:line="360" w:lineRule="auto"/>
        <w:jc w:val="both"/>
        <w:rPr>
          <w:rFonts w:ascii="Palatino Linotype" w:eastAsia="Palatino Linotype" w:hAnsi="Palatino Linotype" w:cs="Palatino Linotype"/>
          <w:b/>
          <w:color w:val="000000" w:themeColor="text1"/>
        </w:rPr>
      </w:pPr>
    </w:p>
    <w:p w:rsidR="002D19AC" w:rsidRPr="00927E3A" w:rsidRDefault="00B77D2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1o3ezlfzhb5" w:colFirst="0" w:colLast="0"/>
      <w:bookmarkEnd w:id="0"/>
      <w:r w:rsidRPr="00927E3A">
        <w:rPr>
          <w:rFonts w:ascii="Palatino Linotype" w:eastAsia="Palatino Linotype" w:hAnsi="Palatino Linotype" w:cs="Palatino Linotype"/>
          <w:b/>
          <w:color w:val="000000" w:themeColor="text1"/>
          <w:sz w:val="24"/>
          <w:szCs w:val="24"/>
        </w:rPr>
        <w:t>ANTECEDENTES</w:t>
      </w:r>
    </w:p>
    <w:p w:rsidR="002D19AC" w:rsidRPr="00927E3A" w:rsidRDefault="002D19AC">
      <w:pPr>
        <w:jc w:val="both"/>
        <w:rPr>
          <w:rFonts w:ascii="Palatino Linotype" w:hAnsi="Palatino Linotype"/>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El día </w:t>
      </w:r>
      <w:r w:rsidRPr="00927E3A">
        <w:rPr>
          <w:rFonts w:ascii="Palatino Linotype" w:eastAsia="Palatino Linotype" w:hAnsi="Palatino Linotype" w:cs="Palatino Linotype"/>
          <w:b/>
          <w:color w:val="000000" w:themeColor="text1"/>
        </w:rPr>
        <w:t xml:space="preserve">veintidós de enero de dos mil veinticinco, </w:t>
      </w:r>
      <w:r w:rsidRPr="00927E3A">
        <w:rPr>
          <w:rFonts w:ascii="Palatino Linotype" w:eastAsia="Palatino Linotype" w:hAnsi="Palatino Linotype" w:cs="Palatino Linotype"/>
          <w:color w:val="000000" w:themeColor="text1"/>
        </w:rPr>
        <w:t xml:space="preserve">se presentó ante el </w:t>
      </w:r>
      <w:r w:rsidRPr="00927E3A">
        <w:rPr>
          <w:rFonts w:ascii="Palatino Linotype" w:eastAsia="Palatino Linotype" w:hAnsi="Palatino Linotype" w:cs="Palatino Linotype"/>
          <w:b/>
          <w:color w:val="000000" w:themeColor="text1"/>
        </w:rPr>
        <w:t>SUJETO OBLIGADO</w:t>
      </w:r>
      <w:r w:rsidRPr="00927E3A">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927E3A">
        <w:rPr>
          <w:rFonts w:ascii="Palatino Linotype" w:eastAsia="Palatino Linotype" w:hAnsi="Palatino Linotype" w:cs="Palatino Linotype"/>
          <w:b/>
          <w:color w:val="000000" w:themeColor="text1"/>
        </w:rPr>
        <w:t xml:space="preserve"> 00040/HUEHUETO/IP/2025; </w:t>
      </w:r>
      <w:r w:rsidRPr="00927E3A">
        <w:rPr>
          <w:rFonts w:ascii="Palatino Linotype" w:eastAsia="Palatino Linotype" w:hAnsi="Palatino Linotype" w:cs="Palatino Linotype"/>
          <w:color w:val="000000" w:themeColor="text1"/>
        </w:rPr>
        <w:t>mediante la cual se solicitó la siguiente información:</w:t>
      </w:r>
    </w:p>
    <w:p w:rsidR="002D19AC" w:rsidRPr="00927E3A" w:rsidRDefault="002D19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D19AC" w:rsidRPr="00927E3A" w:rsidRDefault="00B77D2C">
      <w:pPr>
        <w:pBdr>
          <w:top w:val="nil"/>
          <w:left w:val="nil"/>
          <w:bottom w:val="nil"/>
          <w:right w:val="nil"/>
          <w:between w:val="nil"/>
        </w:pBdr>
        <w:ind w:left="1134" w:right="90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i/>
          <w:color w:val="000000" w:themeColor="text1"/>
        </w:rPr>
        <w:t>“A través de la presente, me gustaría solicitar información relacionada con el desempeño de los funcionarios públicos en el municipio, específicamente sobre la situación de l</w:t>
      </w:r>
      <w:bookmarkStart w:id="1" w:name="_GoBack"/>
      <w:bookmarkEnd w:id="1"/>
      <w:r w:rsidRPr="00927E3A">
        <w:rPr>
          <w:rFonts w:ascii="Palatino Linotype" w:eastAsia="Palatino Linotype" w:hAnsi="Palatino Linotype" w:cs="Palatino Linotype"/>
          <w:i/>
          <w:color w:val="000000" w:themeColor="text1"/>
        </w:rPr>
        <w:t xml:space="preserve">a regidora Ana Elba Pérez y su esposo, el Lic. Oscar Ortega, quien actualmente ocupa el cargo de Director de Ordenamiento Comercial. Según lo establecido en la legislación vigente, la ley prohíbe el nepotismo y establece lineamientos claros respecto a los posibles conflictos de interés dentro de la administración pública. Con base en lo anterior, quisiera solicitar la siguiente información: 1. ¿Existe alguna relación de nepotismo en la </w:t>
      </w:r>
      <w:r w:rsidRPr="00927E3A">
        <w:rPr>
          <w:rFonts w:ascii="Palatino Linotype" w:eastAsia="Palatino Linotype" w:hAnsi="Palatino Linotype" w:cs="Palatino Linotype"/>
          <w:i/>
          <w:color w:val="000000" w:themeColor="text1"/>
        </w:rPr>
        <w:lastRenderedPageBreak/>
        <w:t>actual administración entre la regidora Ana elba Pérez y su esposo, el Lic. Oscar Ortega, quien ocupa el cargo de Director de Ordenamiento Comercial? 2. En caso afirmativo, ¿qué medidas se han tomado al respecto? 3. ¿Han sido evaluados o sancionados por posibles conflictos de interés debido a su relación familiar y las funciones públicas desempeñadas? 4. ¿Se tiene previsto que el Lic. Oscar Ortega continúe en su cargo, o será promovido a otro puesto, dadas las circunstancias mencionadas? 5. En caso de que el Lic. Oscar Ortega sea empresario en el municipio, ¿se ha considerado un posible conflicto de interés relacionado con su cargo?.”</w:t>
      </w:r>
    </w:p>
    <w:p w:rsidR="002D19AC" w:rsidRPr="00927E3A" w:rsidRDefault="002D19AC">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themeColor="text1"/>
        </w:rPr>
      </w:pPr>
    </w:p>
    <w:p w:rsidR="002D19AC" w:rsidRPr="00927E3A" w:rsidRDefault="00B77D2C">
      <w:pPr>
        <w:numPr>
          <w:ilvl w:val="0"/>
          <w:numId w:val="2"/>
        </w:numPr>
        <w:pBdr>
          <w:top w:val="nil"/>
          <w:left w:val="nil"/>
          <w:bottom w:val="nil"/>
          <w:right w:val="nil"/>
          <w:between w:val="nil"/>
        </w:pBdr>
        <w:spacing w:line="360" w:lineRule="auto"/>
        <w:ind w:left="851" w:right="474"/>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Se eligió como modalidad de entrega de la información: A través del </w:t>
      </w:r>
      <w:r w:rsidRPr="00927E3A">
        <w:rPr>
          <w:rFonts w:ascii="Palatino Linotype" w:eastAsia="Palatino Linotype" w:hAnsi="Palatino Linotype" w:cs="Palatino Linotype"/>
          <w:b/>
          <w:color w:val="000000" w:themeColor="text1"/>
        </w:rPr>
        <w:t>Sistema de Acceso a la Información.</w:t>
      </w:r>
    </w:p>
    <w:p w:rsidR="002D19AC" w:rsidRPr="00927E3A" w:rsidRDefault="002D19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color w:val="000000" w:themeColor="text1"/>
        </w:rPr>
        <w:t xml:space="preserve">El </w:t>
      </w:r>
      <w:r w:rsidRPr="00927E3A">
        <w:rPr>
          <w:rFonts w:ascii="Palatino Linotype" w:eastAsia="Palatino Linotype" w:hAnsi="Palatino Linotype" w:cs="Palatino Linotype"/>
          <w:b/>
          <w:color w:val="000000" w:themeColor="text1"/>
        </w:rPr>
        <w:t xml:space="preserve">treinta y uno de enero de dos mil veinticinco, </w:t>
      </w:r>
      <w:r w:rsidRPr="00927E3A">
        <w:rPr>
          <w:rFonts w:ascii="Palatino Linotype" w:eastAsia="Palatino Linotype" w:hAnsi="Palatino Linotype" w:cs="Palatino Linotype"/>
          <w:color w:val="000000" w:themeColor="text1"/>
        </w:rPr>
        <w:t xml:space="preserve">el </w:t>
      </w:r>
      <w:r w:rsidRPr="00927E3A">
        <w:rPr>
          <w:rFonts w:ascii="Palatino Linotype" w:eastAsia="Palatino Linotype" w:hAnsi="Palatino Linotype" w:cs="Palatino Linotype"/>
          <w:b/>
          <w:color w:val="000000" w:themeColor="text1"/>
        </w:rPr>
        <w:t xml:space="preserve">SUJETO OBLIGADO </w:t>
      </w:r>
      <w:r w:rsidRPr="00927E3A">
        <w:rPr>
          <w:rFonts w:ascii="Palatino Linotype" w:eastAsia="Palatino Linotype" w:hAnsi="Palatino Linotype" w:cs="Palatino Linotype"/>
          <w:color w:val="000000" w:themeColor="text1"/>
        </w:rPr>
        <w:t xml:space="preserve">giró el requerimiento de información para que fuera atendida la solicitud de información </w:t>
      </w:r>
      <w:r w:rsidRPr="00927E3A">
        <w:rPr>
          <w:rFonts w:ascii="Palatino Linotype" w:eastAsia="Palatino Linotype" w:hAnsi="Palatino Linotype" w:cs="Palatino Linotype"/>
          <w:b/>
          <w:color w:val="000000" w:themeColor="text1"/>
        </w:rPr>
        <w:t xml:space="preserve">00040/HUEHUETO/IP/2025. </w:t>
      </w:r>
    </w:p>
    <w:p w:rsidR="002D19AC" w:rsidRPr="00927E3A" w:rsidRDefault="002D19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color w:val="000000" w:themeColor="text1"/>
        </w:rPr>
        <w:t xml:space="preserve">En fecha </w:t>
      </w:r>
      <w:r w:rsidRPr="00927E3A">
        <w:rPr>
          <w:rFonts w:ascii="Palatino Linotype" w:eastAsia="Palatino Linotype" w:hAnsi="Palatino Linotype" w:cs="Palatino Linotype"/>
          <w:b/>
          <w:color w:val="000000" w:themeColor="text1"/>
        </w:rPr>
        <w:t>doce de febrero de dos mil veinticinco</w:t>
      </w:r>
      <w:r w:rsidRPr="00927E3A">
        <w:rPr>
          <w:rFonts w:ascii="Palatino Linotype" w:eastAsia="Palatino Linotype" w:hAnsi="Palatino Linotype" w:cs="Palatino Linotype"/>
          <w:color w:val="000000" w:themeColor="text1"/>
        </w:rPr>
        <w:t xml:space="preserve">, el </w:t>
      </w:r>
      <w:r w:rsidRPr="00927E3A">
        <w:rPr>
          <w:rFonts w:ascii="Palatino Linotype" w:eastAsia="Palatino Linotype" w:hAnsi="Palatino Linotype" w:cs="Palatino Linotype"/>
          <w:b/>
          <w:color w:val="000000" w:themeColor="text1"/>
        </w:rPr>
        <w:t>SUJETO OBLIGADO</w:t>
      </w:r>
      <w:r w:rsidRPr="00927E3A">
        <w:rPr>
          <w:rFonts w:ascii="Palatino Linotype" w:eastAsia="Palatino Linotype" w:hAnsi="Palatino Linotype" w:cs="Palatino Linotype"/>
          <w:color w:val="000000" w:themeColor="text1"/>
        </w:rPr>
        <w:t xml:space="preserve"> por medio del Sistema de Acceso a la Información, refirió lo siguiente. </w:t>
      </w:r>
    </w:p>
    <w:p w:rsidR="002D19AC" w:rsidRPr="00927E3A" w:rsidRDefault="002D19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tbl>
      <w:tblPr>
        <w:tblStyle w:val="a"/>
        <w:tblW w:w="10500" w:type="dxa"/>
        <w:jc w:val="center"/>
        <w:tblInd w:w="0" w:type="dxa"/>
        <w:tblLayout w:type="fixed"/>
        <w:tblLook w:val="0400" w:firstRow="0" w:lastRow="0" w:firstColumn="0" w:lastColumn="0" w:noHBand="0" w:noVBand="1"/>
      </w:tblPr>
      <w:tblGrid>
        <w:gridCol w:w="10500"/>
      </w:tblGrid>
      <w:tr w:rsidR="007E3A77" w:rsidRPr="00927E3A">
        <w:trPr>
          <w:trHeight w:val="300"/>
          <w:jc w:val="center"/>
        </w:trPr>
        <w:tc>
          <w:tcPr>
            <w:tcW w:w="10500" w:type="dxa"/>
            <w:vAlign w:val="center"/>
          </w:tcPr>
          <w:p w:rsidR="002D19AC" w:rsidRPr="00927E3A" w:rsidRDefault="00B77D2C">
            <w:pPr>
              <w:jc w:val="right"/>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Huehuetoca, México a 12 de Febrero de 2025</w:t>
            </w:r>
          </w:p>
        </w:tc>
      </w:tr>
      <w:tr w:rsidR="007E3A77" w:rsidRPr="00927E3A">
        <w:trPr>
          <w:trHeight w:val="300"/>
          <w:jc w:val="center"/>
        </w:trPr>
        <w:tc>
          <w:tcPr>
            <w:tcW w:w="10500" w:type="dxa"/>
            <w:vAlign w:val="center"/>
          </w:tcPr>
          <w:p w:rsidR="002D19AC" w:rsidRPr="00927E3A" w:rsidRDefault="00B77D2C">
            <w:pPr>
              <w:jc w:val="right"/>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Nombre del solicitante: C. Solicitante</w:t>
            </w:r>
          </w:p>
        </w:tc>
      </w:tr>
      <w:tr w:rsidR="007E3A77" w:rsidRPr="00927E3A">
        <w:trPr>
          <w:trHeight w:val="300"/>
          <w:jc w:val="center"/>
        </w:trPr>
        <w:tc>
          <w:tcPr>
            <w:tcW w:w="10500" w:type="dxa"/>
            <w:vAlign w:val="center"/>
          </w:tcPr>
          <w:p w:rsidR="002D19AC" w:rsidRPr="00927E3A" w:rsidRDefault="00B77D2C">
            <w:pPr>
              <w:jc w:val="right"/>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Folio de la solicitud: 00040/HUEHUETO/IP/2025</w:t>
            </w:r>
          </w:p>
        </w:tc>
      </w:tr>
      <w:tr w:rsidR="007E3A77" w:rsidRPr="00927E3A">
        <w:trPr>
          <w:trHeight w:val="450"/>
          <w:jc w:val="center"/>
        </w:trPr>
        <w:tc>
          <w:tcPr>
            <w:tcW w:w="10500" w:type="dxa"/>
            <w:vAlign w:val="center"/>
          </w:tcPr>
          <w:p w:rsidR="002D19AC" w:rsidRPr="00927E3A" w:rsidRDefault="002D19AC">
            <w:pPr>
              <w:jc w:val="right"/>
              <w:rPr>
                <w:rFonts w:ascii="Palatino Linotype" w:eastAsia="Palatino Linotype" w:hAnsi="Palatino Linotype" w:cs="Palatino Linotype"/>
                <w:color w:val="000000" w:themeColor="text1"/>
              </w:rPr>
            </w:pPr>
          </w:p>
        </w:tc>
      </w:tr>
      <w:tr w:rsidR="007E3A77" w:rsidRPr="00927E3A">
        <w:trPr>
          <w:trHeight w:val="150"/>
          <w:jc w:val="center"/>
        </w:trPr>
        <w:tc>
          <w:tcPr>
            <w:tcW w:w="10500" w:type="dxa"/>
            <w:vAlign w:val="center"/>
          </w:tcPr>
          <w:p w:rsidR="002D19AC" w:rsidRPr="00927E3A" w:rsidRDefault="00B77D2C">
            <w:pPr>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E3A77" w:rsidRPr="00927E3A">
        <w:trPr>
          <w:trHeight w:val="375"/>
          <w:jc w:val="center"/>
        </w:trPr>
        <w:tc>
          <w:tcPr>
            <w:tcW w:w="10500" w:type="dxa"/>
            <w:vAlign w:val="center"/>
          </w:tcPr>
          <w:p w:rsidR="002D19AC" w:rsidRPr="00927E3A" w:rsidRDefault="002D19AC">
            <w:pPr>
              <w:rPr>
                <w:rFonts w:ascii="Palatino Linotype" w:eastAsia="Palatino Linotype" w:hAnsi="Palatino Linotype" w:cs="Palatino Linotype"/>
                <w:color w:val="000000" w:themeColor="text1"/>
              </w:rPr>
            </w:pPr>
          </w:p>
        </w:tc>
      </w:tr>
      <w:tr w:rsidR="007E3A77" w:rsidRPr="00927E3A">
        <w:trPr>
          <w:trHeight w:val="150"/>
          <w:jc w:val="center"/>
        </w:trPr>
        <w:tc>
          <w:tcPr>
            <w:tcW w:w="10500" w:type="dxa"/>
            <w:vAlign w:val="center"/>
          </w:tcPr>
          <w:p w:rsidR="002D19AC" w:rsidRPr="00927E3A" w:rsidRDefault="00B77D2C">
            <w:pPr>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lastRenderedPageBreak/>
              <w:t>La pregunta no es clara, motivo por el cual quedamos pendientes de que se haga de manera más concreta.</w:t>
            </w:r>
          </w:p>
        </w:tc>
      </w:tr>
      <w:tr w:rsidR="007E3A77" w:rsidRPr="00927E3A">
        <w:trPr>
          <w:trHeight w:val="375"/>
          <w:jc w:val="center"/>
        </w:trPr>
        <w:tc>
          <w:tcPr>
            <w:tcW w:w="10500" w:type="dxa"/>
            <w:vAlign w:val="center"/>
          </w:tcPr>
          <w:p w:rsidR="002D19AC" w:rsidRPr="00927E3A" w:rsidRDefault="002D19AC">
            <w:pPr>
              <w:rPr>
                <w:rFonts w:ascii="Palatino Linotype" w:eastAsia="Palatino Linotype" w:hAnsi="Palatino Linotype" w:cs="Palatino Linotype"/>
                <w:color w:val="000000" w:themeColor="text1"/>
              </w:rPr>
            </w:pPr>
          </w:p>
        </w:tc>
      </w:tr>
      <w:tr w:rsidR="007E3A77" w:rsidRPr="00927E3A">
        <w:trPr>
          <w:trHeight w:val="150"/>
          <w:jc w:val="center"/>
        </w:trPr>
        <w:tc>
          <w:tcPr>
            <w:tcW w:w="10500" w:type="dxa"/>
            <w:vAlign w:val="center"/>
          </w:tcPr>
          <w:p w:rsidR="002D19AC" w:rsidRPr="00927E3A" w:rsidRDefault="002D19AC">
            <w:pPr>
              <w:jc w:val="center"/>
              <w:rPr>
                <w:rFonts w:ascii="Palatino Linotype" w:eastAsia="Palatino Linotype" w:hAnsi="Palatino Linotype" w:cs="Palatino Linotype"/>
                <w:color w:val="000000" w:themeColor="text1"/>
              </w:rPr>
            </w:pPr>
          </w:p>
        </w:tc>
      </w:tr>
      <w:tr w:rsidR="007E3A77" w:rsidRPr="00927E3A">
        <w:trPr>
          <w:trHeight w:val="150"/>
          <w:jc w:val="center"/>
        </w:trPr>
        <w:tc>
          <w:tcPr>
            <w:tcW w:w="10500" w:type="dxa"/>
            <w:vAlign w:val="center"/>
          </w:tcPr>
          <w:p w:rsidR="002D19AC" w:rsidRPr="00927E3A" w:rsidRDefault="002D19AC">
            <w:pPr>
              <w:rPr>
                <w:rFonts w:ascii="Palatino Linotype" w:eastAsia="Palatino Linotype" w:hAnsi="Palatino Linotype" w:cs="Palatino Linotype"/>
                <w:color w:val="000000" w:themeColor="text1"/>
              </w:rPr>
            </w:pPr>
          </w:p>
        </w:tc>
      </w:tr>
      <w:tr w:rsidR="007E3A77" w:rsidRPr="00927E3A">
        <w:trPr>
          <w:trHeight w:val="150"/>
          <w:jc w:val="center"/>
        </w:trPr>
        <w:tc>
          <w:tcPr>
            <w:tcW w:w="10500" w:type="dxa"/>
            <w:vAlign w:val="center"/>
          </w:tcPr>
          <w:p w:rsidR="002D19AC" w:rsidRPr="00927E3A" w:rsidRDefault="00B77D2C">
            <w:pPr>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ATENTAMENTE</w:t>
            </w:r>
          </w:p>
        </w:tc>
      </w:tr>
      <w:tr w:rsidR="007E3A77" w:rsidRPr="00927E3A">
        <w:trPr>
          <w:trHeight w:val="225"/>
          <w:jc w:val="center"/>
        </w:trPr>
        <w:tc>
          <w:tcPr>
            <w:tcW w:w="10500" w:type="dxa"/>
            <w:vAlign w:val="center"/>
          </w:tcPr>
          <w:p w:rsidR="002D19AC" w:rsidRPr="00927E3A" w:rsidRDefault="002D19AC">
            <w:pPr>
              <w:rPr>
                <w:rFonts w:ascii="Palatino Linotype" w:eastAsia="Palatino Linotype" w:hAnsi="Palatino Linotype" w:cs="Palatino Linotype"/>
                <w:color w:val="000000" w:themeColor="text1"/>
              </w:rPr>
            </w:pPr>
          </w:p>
        </w:tc>
      </w:tr>
      <w:tr w:rsidR="007E3A77" w:rsidRPr="00927E3A">
        <w:trPr>
          <w:trHeight w:val="150"/>
          <w:jc w:val="center"/>
        </w:trPr>
        <w:tc>
          <w:tcPr>
            <w:tcW w:w="10500" w:type="dxa"/>
            <w:vAlign w:val="center"/>
          </w:tcPr>
          <w:p w:rsidR="002D19AC" w:rsidRPr="00927E3A" w:rsidRDefault="00B77D2C">
            <w:pPr>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C. Amanda Elizabeth Martínez Hidalgo</w:t>
            </w:r>
          </w:p>
        </w:tc>
      </w:tr>
    </w:tbl>
    <w:p w:rsidR="002D19AC" w:rsidRPr="00927E3A" w:rsidRDefault="002D19AC">
      <w:pPr>
        <w:pBdr>
          <w:top w:val="nil"/>
          <w:left w:val="nil"/>
          <w:bottom w:val="nil"/>
          <w:right w:val="nil"/>
          <w:between w:val="nil"/>
        </w:pBdr>
        <w:tabs>
          <w:tab w:val="left" w:pos="0"/>
        </w:tabs>
        <w:spacing w:line="360" w:lineRule="auto"/>
        <w:ind w:left="360" w:right="49"/>
        <w:jc w:val="both"/>
        <w:rPr>
          <w:rFonts w:ascii="Palatino Linotype" w:eastAsia="Palatino Linotype" w:hAnsi="Palatino Linotype" w:cs="Palatino Linotype"/>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color w:val="000000" w:themeColor="text1"/>
        </w:rPr>
        <w:t xml:space="preserve">De la respuesta emitida por el </w:t>
      </w:r>
      <w:r w:rsidRPr="00927E3A">
        <w:rPr>
          <w:rFonts w:ascii="Palatino Linotype" w:eastAsia="Palatino Linotype" w:hAnsi="Palatino Linotype" w:cs="Palatino Linotype"/>
          <w:b/>
          <w:color w:val="000000" w:themeColor="text1"/>
        </w:rPr>
        <w:t xml:space="preserve"> SUJETO OBLIGADO, </w:t>
      </w:r>
      <w:r w:rsidRPr="00927E3A">
        <w:rPr>
          <w:rFonts w:ascii="Palatino Linotype" w:eastAsia="Palatino Linotype" w:hAnsi="Palatino Linotype" w:cs="Palatino Linotype"/>
          <w:color w:val="000000" w:themeColor="text1"/>
        </w:rPr>
        <w:t xml:space="preserve">en fecha </w:t>
      </w:r>
      <w:r w:rsidRPr="00927E3A">
        <w:rPr>
          <w:rFonts w:ascii="Palatino Linotype" w:eastAsia="Palatino Linotype" w:hAnsi="Palatino Linotype" w:cs="Palatino Linotype"/>
          <w:b/>
          <w:color w:val="000000" w:themeColor="text1"/>
        </w:rPr>
        <w:t>doce de febrero de dos mil veinticinco</w:t>
      </w:r>
      <w:r w:rsidRPr="00927E3A">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2D19AC" w:rsidRPr="00927E3A" w:rsidRDefault="002D19A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rPr>
      </w:pPr>
    </w:p>
    <w:p w:rsidR="002D19AC" w:rsidRPr="00927E3A" w:rsidRDefault="00B77D2C">
      <w:pPr>
        <w:numPr>
          <w:ilvl w:val="0"/>
          <w:numId w:val="2"/>
        </w:numPr>
        <w:pBdr>
          <w:top w:val="nil"/>
          <w:left w:val="nil"/>
          <w:bottom w:val="nil"/>
          <w:right w:val="nil"/>
          <w:between w:val="nil"/>
        </w:pBdr>
        <w:spacing w:line="360" w:lineRule="auto"/>
        <w:ind w:left="993"/>
        <w:jc w:val="both"/>
        <w:rPr>
          <w:rFonts w:ascii="Palatino Linotype" w:eastAsia="Palatino Linotype" w:hAnsi="Palatino Linotype" w:cs="Palatino Linotype"/>
          <w:i/>
          <w:color w:val="000000" w:themeColor="text1"/>
        </w:rPr>
      </w:pPr>
      <w:bookmarkStart w:id="2" w:name="_heading=h.mdlcjjvmle7" w:colFirst="0" w:colLast="0"/>
      <w:bookmarkEnd w:id="2"/>
      <w:r w:rsidRPr="00927E3A">
        <w:rPr>
          <w:rFonts w:ascii="Palatino Linotype" w:eastAsia="Palatino Linotype" w:hAnsi="Palatino Linotype" w:cs="Palatino Linotype"/>
          <w:b/>
          <w:color w:val="000000" w:themeColor="text1"/>
        </w:rPr>
        <w:t xml:space="preserve">Acto impugnado: </w:t>
      </w:r>
      <w:r w:rsidRPr="00927E3A">
        <w:rPr>
          <w:rFonts w:ascii="Palatino Linotype" w:eastAsia="Palatino Linotype" w:hAnsi="Palatino Linotype" w:cs="Palatino Linotype"/>
          <w:i/>
          <w:color w:val="000000" w:themeColor="text1"/>
        </w:rPr>
        <w:t>“Por medio del presente, en mi calidad de solicitante de información a través del portal SAIMEX (Infomex), con fecha [fecha en la que se realizó la solicitud], interpongo formal recurso de revisión ante la Comisión de Transparencia y Acceso a la Información Pública del Estado de México, en relación con la respuesta proporcionada el, respecto a mi solicitud de acceso a la siguiente información: Existencia de relación de nepotismo entre la regidora Ana Elba Pérez y su esposo, el Lic. Oscar Ortega, Director de Ordenamiento Comercial. Medidas tomadas en caso afirmativo. Evaluación o sanción por conflictos de interés debido a su relación familiar y las funciones públicas desempeñadas. Posibilidad de cambio de cargo del Lic. Oscar Ortega. Consideración de posible conflicto de interés si el Lic. Oscar Ortega es empresario en el municipio.”</w:t>
      </w:r>
    </w:p>
    <w:p w:rsidR="002D19AC" w:rsidRPr="00927E3A" w:rsidRDefault="002D19AC">
      <w:pPr>
        <w:pBdr>
          <w:top w:val="nil"/>
          <w:left w:val="nil"/>
          <w:bottom w:val="nil"/>
          <w:right w:val="nil"/>
          <w:between w:val="nil"/>
        </w:pBdr>
        <w:spacing w:line="360" w:lineRule="auto"/>
        <w:ind w:left="1134"/>
        <w:jc w:val="both"/>
        <w:rPr>
          <w:rFonts w:ascii="Palatino Linotype" w:eastAsia="Palatino Linotype" w:hAnsi="Palatino Linotype" w:cs="Palatino Linotype"/>
          <w:i/>
          <w:color w:val="000000" w:themeColor="text1"/>
        </w:rPr>
      </w:pPr>
    </w:p>
    <w:p w:rsidR="002D19AC" w:rsidRPr="00927E3A" w:rsidRDefault="00B77D2C">
      <w:pPr>
        <w:numPr>
          <w:ilvl w:val="0"/>
          <w:numId w:val="2"/>
        </w:numPr>
        <w:pBdr>
          <w:top w:val="nil"/>
          <w:left w:val="nil"/>
          <w:bottom w:val="nil"/>
          <w:right w:val="nil"/>
          <w:between w:val="nil"/>
        </w:pBdr>
        <w:spacing w:line="360" w:lineRule="auto"/>
        <w:ind w:left="993"/>
        <w:jc w:val="both"/>
        <w:rPr>
          <w:rFonts w:ascii="Palatino Linotype" w:eastAsia="Palatino Linotype" w:hAnsi="Palatino Linotype" w:cs="Palatino Linotype"/>
          <w:i/>
          <w:color w:val="000000" w:themeColor="text1"/>
        </w:rPr>
      </w:pPr>
      <w:bookmarkStart w:id="3" w:name="_heading=h.2ivyz060iw8a" w:colFirst="0" w:colLast="0"/>
      <w:bookmarkEnd w:id="3"/>
      <w:r w:rsidRPr="00927E3A">
        <w:rPr>
          <w:rFonts w:ascii="Palatino Linotype" w:eastAsia="Palatino Linotype" w:hAnsi="Palatino Linotype" w:cs="Palatino Linotype"/>
          <w:b/>
          <w:color w:val="000000" w:themeColor="text1"/>
        </w:rPr>
        <w:lastRenderedPageBreak/>
        <w:t>Razones o Motivos de inconformidad: “</w:t>
      </w:r>
      <w:r w:rsidRPr="00927E3A">
        <w:rPr>
          <w:rFonts w:ascii="Palatino Linotype" w:eastAsia="Palatino Linotype" w:hAnsi="Palatino Linotype" w:cs="Palatino Linotype"/>
          <w:i/>
          <w:color w:val="000000" w:themeColor="text1"/>
        </w:rPr>
        <w:t xml:space="preserve">Claridad en la solicitud: La respuesta proporcionada por el sujeto obligado indica que la pregunta no fue clara. Sin embargo, considero que mi solicitud fue explícita y concreta, pues incluía detalles específicos sobre la relación de nepotismo, los posibles conflictos de interés y las medidas tomadas al respecto. Solicité información directamente relacionada con la administración pública y el cumplimiento de la Ley, en particular sobre la posible infracción de las leyes anti-nepotismo. Interpretación errónea de la solicitud: La solicitud fue redactada de acuerdo con las disposiciones legales y con un nivel de claridad suficiente. El hecho de que la respuesta haya indicado que la solicitud no es clara refleja una deficiencia en la comprensión lectora o en la interpretación del marco normativo que debe regir este tipo de solicitudes. Como sujeto obligado a garantizar la transparencia, corresponde al ente público interpretar y responder las solicitudes conforme a la legislación, sin delegar la responsabilidad al solicitante de realizar aclaraciones innecesarias. Obligación de proporcionar información pública: El sujeto obligado tiene la responsabilidad de proporcionar la información relacionada con actos de gobierno y la administración pública, tal y como lo establece la Ley de Transparencia y Acceso a la Información Pública del Estado de México. Esto incluye información sobre posibles actos de nepotismo o conflictos de interés que afectan la administración pública. Por lo tanto, solicito: Que la Comisión de Transparencia revise la respuesta proporcionada, reconociendo que la solicitud fue clara y que debe ser interpretada conforme a la legislación vigente. Que el sujeto obligado proporcione la información solicitada, que está relacionada con la gestión pública y la posible afectación de los principios de imparcialidad y transparencia dentro de la administración municipal. Que en caso de que la </w:t>
      </w:r>
      <w:r w:rsidRPr="00927E3A">
        <w:rPr>
          <w:rFonts w:ascii="Palatino Linotype" w:eastAsia="Palatino Linotype" w:hAnsi="Palatino Linotype" w:cs="Palatino Linotype"/>
          <w:i/>
          <w:color w:val="000000" w:themeColor="text1"/>
        </w:rPr>
        <w:lastRenderedPageBreak/>
        <w:t>información solicitada esté disponible, se entregue de manera completa, sin necesidad de nuevas aclaraciones. Que se emita una resolución conforme a la Ley de Transparencia y Acceso a la Información Pública del Estado de México, garantizando el derecho de acceso a la información pública y la transparencia de los actos gubernamentales.”</w:t>
      </w:r>
    </w:p>
    <w:p w:rsidR="002D19AC" w:rsidRPr="00927E3A" w:rsidRDefault="002D19AC">
      <w:pPr>
        <w:pBdr>
          <w:top w:val="nil"/>
          <w:left w:val="nil"/>
          <w:bottom w:val="nil"/>
          <w:right w:val="nil"/>
          <w:between w:val="nil"/>
        </w:pBdr>
        <w:ind w:left="720"/>
        <w:jc w:val="both"/>
        <w:rPr>
          <w:rFonts w:ascii="Palatino Linotype" w:eastAsia="Palatino Linotype" w:hAnsi="Palatino Linotype" w:cs="Palatino Linotype"/>
          <w:i/>
          <w:color w:val="000000" w:themeColor="text1"/>
        </w:rPr>
      </w:pPr>
    </w:p>
    <w:p w:rsidR="002D19AC" w:rsidRPr="00927E3A" w:rsidRDefault="002D19AC">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927E3A">
        <w:rPr>
          <w:rFonts w:ascii="Palatino Linotype" w:eastAsia="Palatino Linotype" w:hAnsi="Palatino Linotype" w:cs="Palatino Linotype"/>
          <w:b/>
          <w:color w:val="000000" w:themeColor="text1"/>
        </w:rPr>
        <w:t>catorce de febrero de dos mil veinticinco</w:t>
      </w:r>
      <w:r w:rsidRPr="00927E3A">
        <w:rPr>
          <w:rFonts w:ascii="Palatino Linotype" w:eastAsia="Palatino Linotype" w:hAnsi="Palatino Linotype" w:cs="Palatino Linotype"/>
          <w:color w:val="000000" w:themeColor="text1"/>
        </w:rPr>
        <w:t xml:space="preserve">, puso a disposición de las partes el expediente electrónico vía </w:t>
      </w:r>
      <w:r w:rsidRPr="00927E3A">
        <w:rPr>
          <w:rFonts w:ascii="Palatino Linotype" w:eastAsia="Palatino Linotype" w:hAnsi="Palatino Linotype" w:cs="Palatino Linotype"/>
          <w:b/>
          <w:color w:val="000000" w:themeColor="text1"/>
        </w:rPr>
        <w:t xml:space="preserve">SAIMEX </w:t>
      </w:r>
      <w:r w:rsidRPr="00927E3A">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927E3A">
        <w:rPr>
          <w:rFonts w:ascii="Palatino Linotype" w:eastAsia="Palatino Linotype" w:hAnsi="Palatino Linotype" w:cs="Palatino Linotype"/>
          <w:b/>
          <w:color w:val="000000" w:themeColor="text1"/>
        </w:rPr>
        <w:t>SUJETO OBLIGADO</w:t>
      </w:r>
      <w:r w:rsidRPr="00927E3A">
        <w:rPr>
          <w:rFonts w:ascii="Palatino Linotype" w:eastAsia="Palatino Linotype" w:hAnsi="Palatino Linotype" w:cs="Palatino Linotype"/>
          <w:color w:val="000000" w:themeColor="text1"/>
        </w:rPr>
        <w:t xml:space="preserve"> presentará el Informe Justificado procedente.</w:t>
      </w:r>
    </w:p>
    <w:p w:rsidR="002D19AC" w:rsidRPr="00927E3A" w:rsidRDefault="002D19A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De lo anterior, en fecha </w:t>
      </w:r>
      <w:r w:rsidRPr="00927E3A">
        <w:rPr>
          <w:rFonts w:ascii="Palatino Linotype" w:eastAsia="Palatino Linotype" w:hAnsi="Palatino Linotype" w:cs="Palatino Linotype"/>
          <w:b/>
          <w:color w:val="000000" w:themeColor="text1"/>
        </w:rPr>
        <w:t xml:space="preserve">veintiséis de marzo de dos mil veinticinco, </w:t>
      </w:r>
      <w:r w:rsidRPr="00927E3A">
        <w:rPr>
          <w:rFonts w:ascii="Palatino Linotype" w:eastAsia="Palatino Linotype" w:hAnsi="Palatino Linotype" w:cs="Palatino Linotype"/>
          <w:color w:val="000000" w:themeColor="text1"/>
        </w:rPr>
        <w:t xml:space="preserve">el </w:t>
      </w:r>
      <w:r w:rsidRPr="00927E3A">
        <w:rPr>
          <w:rFonts w:ascii="Palatino Linotype" w:eastAsia="Palatino Linotype" w:hAnsi="Palatino Linotype" w:cs="Palatino Linotype"/>
          <w:b/>
          <w:color w:val="000000" w:themeColor="text1"/>
        </w:rPr>
        <w:t>SUJETO OBLIGADO</w:t>
      </w:r>
      <w:r w:rsidRPr="00927E3A">
        <w:rPr>
          <w:rFonts w:ascii="Palatino Linotype" w:eastAsia="Palatino Linotype" w:hAnsi="Palatino Linotype" w:cs="Palatino Linotype"/>
          <w:color w:val="000000" w:themeColor="text1"/>
        </w:rPr>
        <w:t xml:space="preserve"> rindió su informe justificado mediante un archivo electrónico en formato pdf, cuyo contenido grosso modo es el siguiente: </w:t>
      </w:r>
    </w:p>
    <w:p w:rsidR="002D19AC" w:rsidRPr="00927E3A" w:rsidRDefault="002D19AC">
      <w:pPr>
        <w:pBdr>
          <w:top w:val="nil"/>
          <w:left w:val="nil"/>
          <w:bottom w:val="nil"/>
          <w:right w:val="nil"/>
          <w:between w:val="nil"/>
        </w:pBdr>
        <w:ind w:left="720"/>
        <w:jc w:val="both"/>
        <w:rPr>
          <w:rFonts w:ascii="Palatino Linotype" w:eastAsia="Palatino Linotype" w:hAnsi="Palatino Linotype" w:cs="Palatino Linotype"/>
          <w:color w:val="000000" w:themeColor="text1"/>
        </w:rPr>
      </w:pPr>
    </w:p>
    <w:p w:rsidR="002D19AC" w:rsidRPr="00927E3A" w:rsidRDefault="00B77D2C">
      <w:pPr>
        <w:pBdr>
          <w:top w:val="nil"/>
          <w:left w:val="nil"/>
          <w:bottom w:val="nil"/>
          <w:right w:val="nil"/>
          <w:between w:val="nil"/>
        </w:pBdr>
        <w:ind w:left="1134" w:right="90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b/>
          <w:i/>
          <w:color w:val="000000" w:themeColor="text1"/>
        </w:rPr>
        <w:t xml:space="preserve">REV 01173 COMERCIO.pdf: </w:t>
      </w:r>
      <w:r w:rsidRPr="00927E3A">
        <w:rPr>
          <w:rFonts w:ascii="Palatino Linotype" w:eastAsia="Palatino Linotype" w:hAnsi="Palatino Linotype" w:cs="Palatino Linotype"/>
          <w:i/>
          <w:color w:val="000000" w:themeColor="text1"/>
        </w:rPr>
        <w:t xml:space="preserve">oficio de la Coordinación de Regulación Comercial, mediante el cual informa que los servidores públicos referidos en la solicitud de información no tienen vinculo marital, informa que el cargo de la servidora pública fue por elección popular y del servidor público por nombramiento de la Presidenta, en cuanto al conflicto de intereses refiere que  este deberá de ser declarado por los servidores públicos al momento en que presenten la declaración de conflicto de intereses.  </w:t>
      </w:r>
    </w:p>
    <w:p w:rsidR="002D19AC" w:rsidRPr="00927E3A" w:rsidRDefault="002D19AC">
      <w:pPr>
        <w:pBdr>
          <w:top w:val="nil"/>
          <w:left w:val="nil"/>
          <w:bottom w:val="nil"/>
          <w:right w:val="nil"/>
          <w:between w:val="nil"/>
        </w:pBdr>
        <w:ind w:left="1134" w:right="900"/>
        <w:jc w:val="both"/>
        <w:rPr>
          <w:rFonts w:ascii="Palatino Linotype" w:eastAsia="Palatino Linotype" w:hAnsi="Palatino Linotype" w:cs="Palatino Linotype"/>
          <w:b/>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Por su parte </w:t>
      </w:r>
      <w:r w:rsidRPr="00927E3A">
        <w:rPr>
          <w:rFonts w:ascii="Palatino Linotype" w:eastAsia="Palatino Linotype" w:hAnsi="Palatino Linotype" w:cs="Palatino Linotype"/>
          <w:b/>
          <w:color w:val="000000" w:themeColor="text1"/>
        </w:rPr>
        <w:t xml:space="preserve">el RECURRENTE </w:t>
      </w:r>
      <w:r w:rsidRPr="00927E3A">
        <w:rPr>
          <w:rFonts w:ascii="Palatino Linotype" w:eastAsia="Palatino Linotype" w:hAnsi="Palatino Linotype" w:cs="Palatino Linotype"/>
          <w:color w:val="000000" w:themeColor="text1"/>
        </w:rPr>
        <w:t>dejó de realizar manifestaciones que a su derecho conviniera y asistiera.</w:t>
      </w:r>
    </w:p>
    <w:p w:rsidR="002D19AC" w:rsidRPr="00927E3A" w:rsidRDefault="002D19A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q2gisse73hwd" w:colFirst="0" w:colLast="0"/>
      <w:bookmarkEnd w:id="4"/>
      <w:r w:rsidRPr="00927E3A">
        <w:rPr>
          <w:rFonts w:ascii="Palatino Linotype" w:eastAsia="Palatino Linotype" w:hAnsi="Palatino Linotype" w:cs="Palatino Linotype"/>
          <w:color w:val="000000" w:themeColor="text1"/>
        </w:rPr>
        <w:t xml:space="preserve">Seguidamente, mediante acuerdo de fecha </w:t>
      </w:r>
      <w:r w:rsidRPr="00927E3A">
        <w:rPr>
          <w:rFonts w:ascii="Palatino Linotype" w:eastAsia="Palatino Linotype" w:hAnsi="Palatino Linotype" w:cs="Palatino Linotype"/>
          <w:b/>
          <w:color w:val="000000" w:themeColor="text1"/>
        </w:rPr>
        <w:t>cuatro de abril de dos mil veinticinco,</w:t>
      </w:r>
      <w:r w:rsidRPr="00927E3A">
        <w:rPr>
          <w:rFonts w:ascii="Palatino Linotype" w:eastAsia="Palatino Linotype" w:hAnsi="Palatino Linotype" w:cs="Palatino Linotype"/>
          <w:color w:val="000000" w:themeColor="text1"/>
        </w:rPr>
        <w:t xml:space="preserve"> se  decretó el cierre de instrucción, por lo que no habiendo más que hacer constar, y-----------------------------------------------------------------------------------------.</w:t>
      </w:r>
    </w:p>
    <w:p w:rsidR="002D19AC" w:rsidRPr="00927E3A" w:rsidRDefault="002D19AC">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themeColor="text1"/>
        </w:rPr>
      </w:pPr>
      <w:bookmarkStart w:id="5" w:name="_heading=h.cup76i91ncd8" w:colFirst="0" w:colLast="0"/>
      <w:bookmarkEnd w:id="5"/>
    </w:p>
    <w:p w:rsidR="002D19AC" w:rsidRPr="00927E3A" w:rsidRDefault="00B77D2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927E3A">
        <w:rPr>
          <w:rFonts w:ascii="Palatino Linotype" w:eastAsia="Palatino Linotype" w:hAnsi="Palatino Linotype" w:cs="Palatino Linotype"/>
          <w:b/>
          <w:color w:val="000000" w:themeColor="text1"/>
        </w:rPr>
        <w:t>CONSIDERANDO</w:t>
      </w:r>
    </w:p>
    <w:p w:rsidR="002D19AC" w:rsidRPr="00927E3A" w:rsidRDefault="002D19A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D19AC" w:rsidRPr="00927E3A" w:rsidRDefault="00B77D2C">
      <w:pPr>
        <w:pStyle w:val="Ttulo2"/>
        <w:spacing w:before="0" w:line="360" w:lineRule="auto"/>
        <w:jc w:val="both"/>
        <w:rPr>
          <w:rFonts w:ascii="Palatino Linotype" w:eastAsia="Palatino Linotype" w:hAnsi="Palatino Linotype" w:cs="Palatino Linotype"/>
          <w:b/>
          <w:color w:val="000000" w:themeColor="text1"/>
          <w:sz w:val="24"/>
          <w:szCs w:val="24"/>
        </w:rPr>
      </w:pPr>
      <w:bookmarkStart w:id="6" w:name="_heading=h.pkxg1yhsj6ee" w:colFirst="0" w:colLast="0"/>
      <w:bookmarkEnd w:id="6"/>
      <w:r w:rsidRPr="00927E3A">
        <w:rPr>
          <w:rFonts w:ascii="Palatino Linotype" w:eastAsia="Palatino Linotype" w:hAnsi="Palatino Linotype" w:cs="Palatino Linotype"/>
          <w:b/>
          <w:color w:val="000000" w:themeColor="text1"/>
          <w:sz w:val="24"/>
          <w:szCs w:val="24"/>
        </w:rPr>
        <w:t>PRIMERO. De la competencia</w:t>
      </w:r>
    </w:p>
    <w:p w:rsidR="002D19AC" w:rsidRPr="00927E3A" w:rsidRDefault="002D19AC">
      <w:pPr>
        <w:jc w:val="both"/>
        <w:rPr>
          <w:rFonts w:ascii="Palatino Linotype" w:hAnsi="Palatino Linotype"/>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2D19AC" w:rsidRPr="00927E3A" w:rsidRDefault="002D19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D19AC" w:rsidRPr="00927E3A" w:rsidRDefault="00B77D2C">
      <w:pPr>
        <w:pStyle w:val="Ttulo2"/>
        <w:spacing w:before="0" w:line="360" w:lineRule="auto"/>
        <w:jc w:val="both"/>
        <w:rPr>
          <w:rFonts w:ascii="Palatino Linotype" w:eastAsia="Palatino Linotype" w:hAnsi="Palatino Linotype" w:cs="Palatino Linotype"/>
          <w:b/>
          <w:color w:val="000000" w:themeColor="text1"/>
          <w:sz w:val="24"/>
          <w:szCs w:val="24"/>
        </w:rPr>
      </w:pPr>
      <w:bookmarkStart w:id="7" w:name="_heading=h.5c1kud4rit7l" w:colFirst="0" w:colLast="0"/>
      <w:bookmarkEnd w:id="7"/>
      <w:r w:rsidRPr="00927E3A">
        <w:rPr>
          <w:rFonts w:ascii="Palatino Linotype" w:eastAsia="Palatino Linotype" w:hAnsi="Palatino Linotype" w:cs="Palatino Linotype"/>
          <w:b/>
          <w:color w:val="000000" w:themeColor="text1"/>
          <w:sz w:val="24"/>
          <w:szCs w:val="24"/>
        </w:rPr>
        <w:lastRenderedPageBreak/>
        <w:t>SEGUNDO. De la oportunidad y procedencia.</w:t>
      </w:r>
    </w:p>
    <w:p w:rsidR="002D19AC" w:rsidRPr="00927E3A" w:rsidRDefault="002D19AC">
      <w:pPr>
        <w:jc w:val="both"/>
        <w:rPr>
          <w:rFonts w:ascii="Palatino Linotype" w:hAnsi="Palatino Linotype"/>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El medio de impugnación fue presentado a través del </w:t>
      </w:r>
      <w:r w:rsidRPr="00927E3A">
        <w:rPr>
          <w:rFonts w:ascii="Palatino Linotype" w:eastAsia="Palatino Linotype" w:hAnsi="Palatino Linotype" w:cs="Palatino Linotype"/>
          <w:b/>
          <w:color w:val="000000" w:themeColor="text1"/>
        </w:rPr>
        <w:t>Sistema de Acceso a la Información,</w:t>
      </w:r>
      <w:r w:rsidRPr="00927E3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927E3A">
        <w:rPr>
          <w:rFonts w:ascii="Palatino Linotype" w:eastAsia="Palatino Linotype" w:hAnsi="Palatino Linotype" w:cs="Palatino Linotype"/>
          <w:b/>
          <w:color w:val="000000" w:themeColor="text1"/>
        </w:rPr>
        <w:t>SUJETO OBLIGADO</w:t>
      </w:r>
      <w:r w:rsidRPr="00927E3A">
        <w:rPr>
          <w:rFonts w:ascii="Palatino Linotype" w:eastAsia="Palatino Linotype" w:hAnsi="Palatino Linotype" w:cs="Palatino Linotype"/>
          <w:color w:val="000000" w:themeColor="text1"/>
        </w:rPr>
        <w:t xml:space="preserve"> entregó su respuesta el </w:t>
      </w:r>
      <w:r w:rsidRPr="00927E3A">
        <w:rPr>
          <w:rFonts w:ascii="Palatino Linotype" w:eastAsia="Palatino Linotype" w:hAnsi="Palatino Linotype" w:cs="Palatino Linotype"/>
          <w:b/>
          <w:color w:val="000000" w:themeColor="text1"/>
        </w:rPr>
        <w:t>doce de febrero de dos mil veinticinco</w:t>
      </w:r>
      <w:r w:rsidRPr="00927E3A">
        <w:rPr>
          <w:rFonts w:ascii="Palatino Linotype" w:eastAsia="Palatino Linotype" w:hAnsi="Palatino Linotype" w:cs="Palatino Linotype"/>
          <w:color w:val="000000" w:themeColor="text1"/>
        </w:rPr>
        <w:t xml:space="preserve">, de tal forma que el plazo para interponer el recurso de revisión transcurrió del día </w:t>
      </w:r>
      <w:r w:rsidRPr="00927E3A">
        <w:rPr>
          <w:rFonts w:ascii="Palatino Linotype" w:eastAsia="Palatino Linotype" w:hAnsi="Palatino Linotype" w:cs="Palatino Linotype"/>
          <w:b/>
          <w:color w:val="000000" w:themeColor="text1"/>
        </w:rPr>
        <w:t>trece de febrero al seis de marzo de dos mil veinticinco</w:t>
      </w:r>
      <w:r w:rsidRPr="00927E3A">
        <w:rPr>
          <w:rFonts w:ascii="Palatino Linotype" w:eastAsia="Palatino Linotype" w:hAnsi="Palatino Linotype" w:cs="Palatino Linotype"/>
          <w:color w:val="000000" w:themeColor="text1"/>
        </w:rPr>
        <w:t xml:space="preserve">; en consecuencia, el ahora </w:t>
      </w:r>
      <w:r w:rsidRPr="00927E3A">
        <w:rPr>
          <w:rFonts w:ascii="Palatino Linotype" w:eastAsia="Palatino Linotype" w:hAnsi="Palatino Linotype" w:cs="Palatino Linotype"/>
          <w:b/>
          <w:color w:val="000000" w:themeColor="text1"/>
        </w:rPr>
        <w:t>RECURRENTE</w:t>
      </w:r>
      <w:r w:rsidRPr="00927E3A">
        <w:rPr>
          <w:rFonts w:ascii="Palatino Linotype" w:eastAsia="Palatino Linotype" w:hAnsi="Palatino Linotype" w:cs="Palatino Linotype"/>
          <w:color w:val="000000" w:themeColor="text1"/>
        </w:rPr>
        <w:t xml:space="preserve"> presentó su inconformidad el día </w:t>
      </w:r>
      <w:r w:rsidRPr="00927E3A">
        <w:rPr>
          <w:rFonts w:ascii="Palatino Linotype" w:eastAsia="Palatino Linotype" w:hAnsi="Palatino Linotype" w:cs="Palatino Linotype"/>
          <w:b/>
          <w:color w:val="000000" w:themeColor="text1"/>
        </w:rPr>
        <w:t>doce de febrero de dos mil veinticinco</w:t>
      </w:r>
      <w:r w:rsidRPr="00927E3A">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2D19AC" w:rsidRPr="00927E3A" w:rsidRDefault="002D19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ésta fue notificada. Por lo que es de señalar que en aras de privilegiar el derecho de acceso a la información se entra al estudio del presente recurso de revisión sin que la fecha en que se presentó afecte la resolución.</w:t>
      </w:r>
    </w:p>
    <w:p w:rsidR="002D19AC" w:rsidRPr="00927E3A" w:rsidRDefault="002D19AC">
      <w:pPr>
        <w:spacing w:line="360" w:lineRule="auto"/>
        <w:ind w:left="360" w:hanging="360"/>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w:t>
      </w:r>
      <w:r w:rsidRPr="00927E3A">
        <w:rPr>
          <w:rFonts w:ascii="Palatino Linotype" w:eastAsia="Palatino Linotype" w:hAnsi="Palatino Linotype" w:cs="Palatino Linotype"/>
          <w:color w:val="000000" w:themeColor="text1"/>
        </w:rPr>
        <w:lastRenderedPageBreak/>
        <w:t xml:space="preserve">Nación, visible en la página 569, libro 19, tomo I, de la Gaceta del Semanario Judicial de la Federación, del diecinueve de junio de 2015, cuyo rubro y texto disponen: </w:t>
      </w:r>
    </w:p>
    <w:p w:rsidR="002D19AC" w:rsidRPr="00927E3A" w:rsidRDefault="00B77D2C">
      <w:pPr>
        <w:tabs>
          <w:tab w:val="left" w:pos="3670"/>
        </w:tabs>
        <w:spacing w:line="360" w:lineRule="auto"/>
        <w:ind w:left="720"/>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ab/>
      </w:r>
    </w:p>
    <w:p w:rsidR="002D19AC" w:rsidRPr="00927E3A" w:rsidRDefault="00B77D2C">
      <w:pPr>
        <w:spacing w:line="360" w:lineRule="auto"/>
        <w:ind w:left="425" w:right="474"/>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b/>
          <w:i/>
          <w:color w:val="000000" w:themeColor="text1"/>
        </w:rPr>
        <w:t>“RECURSO DE RECLAMACIÓN. SU INTERPOSICIÓN NO ES EXTEMPORÁNEA SI SE REALIZA ANTES DE QUE INICIE EL PLAZO PARA HACERLO</w:t>
      </w:r>
      <w:r w:rsidRPr="00927E3A">
        <w:rPr>
          <w:rFonts w:ascii="Palatino Linotype" w:eastAsia="Palatino Linotype" w:hAnsi="Palatino Linotype" w:cs="Palatino Linotype"/>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D19AC" w:rsidRPr="00927E3A" w:rsidRDefault="002D19AC">
      <w:pPr>
        <w:spacing w:line="360" w:lineRule="auto"/>
        <w:ind w:left="426" w:right="616"/>
        <w:jc w:val="both"/>
        <w:rPr>
          <w:rFonts w:ascii="Palatino Linotype" w:eastAsia="Palatino Linotype" w:hAnsi="Palatino Linotype" w:cs="Palatino Linotype"/>
          <w:i/>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color w:val="000000" w:themeColor="text1"/>
        </w:rPr>
        <w:t xml:space="preserve">Esto es así porque en primer lugar es necesario que </w:t>
      </w:r>
      <w:r w:rsidRPr="00927E3A">
        <w:rPr>
          <w:rFonts w:ascii="Palatino Linotype" w:eastAsia="Palatino Linotype" w:hAnsi="Palatino Linotype" w:cs="Palatino Linotype"/>
          <w:b/>
          <w:color w:val="000000" w:themeColor="text1"/>
        </w:rPr>
        <w:t>EL RECURRENTE</w:t>
      </w:r>
      <w:r w:rsidRPr="00927E3A">
        <w:rPr>
          <w:rFonts w:ascii="Palatino Linotype" w:eastAsia="Palatino Linotype" w:hAnsi="Palatino Linotype" w:cs="Palatino Linotype"/>
          <w:color w:val="000000" w:themeColor="text1"/>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w:t>
      </w:r>
      <w:r w:rsidRPr="00927E3A">
        <w:rPr>
          <w:rFonts w:ascii="Palatino Linotype" w:eastAsia="Palatino Linotype" w:hAnsi="Palatino Linotype" w:cs="Palatino Linotype"/>
          <w:b/>
          <w:color w:val="000000" w:themeColor="text1"/>
        </w:rPr>
        <w:t>notificada EL RECURRENTE</w:t>
      </w:r>
      <w:r w:rsidRPr="00927E3A">
        <w:rPr>
          <w:rFonts w:ascii="Palatino Linotype" w:eastAsia="Palatino Linotype" w:hAnsi="Palatino Linotype" w:cs="Palatino Linotype"/>
          <w:color w:val="000000" w:themeColor="text1"/>
        </w:rPr>
        <w:t xml:space="preserve"> actúe, ya que al contrario lo que demuestra es el interés del mismo para ejercer su derecho bajo el principio constitucional de justicia expedita.</w:t>
      </w:r>
    </w:p>
    <w:p w:rsidR="002D19AC" w:rsidRPr="00927E3A" w:rsidRDefault="002D19AC">
      <w:pPr>
        <w:tabs>
          <w:tab w:val="left" w:pos="0"/>
        </w:tabs>
        <w:spacing w:line="360" w:lineRule="auto"/>
        <w:ind w:left="360" w:right="49" w:hanging="360"/>
        <w:jc w:val="both"/>
        <w:rPr>
          <w:rFonts w:ascii="Palatino Linotype" w:eastAsia="Palatino Linotype" w:hAnsi="Palatino Linotype" w:cs="Palatino Linotype"/>
          <w:i/>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color w:val="000000" w:themeColor="text1"/>
        </w:rPr>
        <w:t xml:space="preserve">Por lo que la presentación del recurso, el mismo día del conocimiento de la respuesta, -se insiste- no constituye un acto que altere el procedimiento, solo permite </w:t>
      </w:r>
      <w:r w:rsidRPr="00927E3A">
        <w:rPr>
          <w:rFonts w:ascii="Palatino Linotype" w:eastAsia="Palatino Linotype" w:hAnsi="Palatino Linotype" w:cs="Palatino Linotype"/>
          <w:color w:val="000000" w:themeColor="text1"/>
        </w:rPr>
        <w:lastRenderedPageBreak/>
        <w:t>su gestión de manera rápida lo que no afecta ningún principio procesal y es protector del derecho de acceso a la justicia pronta y expedita.</w:t>
      </w:r>
    </w:p>
    <w:p w:rsidR="002D19AC" w:rsidRPr="00927E3A" w:rsidRDefault="002D19AC">
      <w:pPr>
        <w:spacing w:line="360" w:lineRule="auto"/>
        <w:ind w:left="360" w:hanging="360"/>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927E3A">
        <w:rPr>
          <w:rFonts w:ascii="Palatino Linotype" w:eastAsia="Palatino Linotype" w:hAnsi="Palatino Linotype" w:cs="Palatino Linotype"/>
          <w:b/>
          <w:color w:val="000000" w:themeColor="text1"/>
        </w:rPr>
        <w:t>SUJETO OBLIGADO</w:t>
      </w:r>
    </w:p>
    <w:p w:rsidR="002D19AC" w:rsidRPr="00927E3A" w:rsidRDefault="002D19AC">
      <w:pPr>
        <w:spacing w:line="360" w:lineRule="auto"/>
        <w:jc w:val="both"/>
        <w:rPr>
          <w:rFonts w:ascii="Palatino Linotype" w:hAnsi="Palatino Linotype"/>
          <w:color w:val="000000" w:themeColor="text1"/>
        </w:rPr>
      </w:pPr>
    </w:p>
    <w:p w:rsidR="002D19AC" w:rsidRPr="00927E3A" w:rsidRDefault="002D19AC">
      <w:pPr>
        <w:pBdr>
          <w:top w:val="nil"/>
          <w:left w:val="nil"/>
          <w:bottom w:val="nil"/>
          <w:right w:val="nil"/>
          <w:between w:val="nil"/>
        </w:pBdr>
        <w:ind w:left="720"/>
        <w:jc w:val="both"/>
        <w:rPr>
          <w:rFonts w:ascii="Palatino Linotype" w:eastAsia="Palatino Linotype" w:hAnsi="Palatino Linotype" w:cs="Palatino Linotype"/>
          <w:color w:val="000000" w:themeColor="text1"/>
        </w:rPr>
      </w:pPr>
    </w:p>
    <w:p w:rsidR="002D19AC" w:rsidRPr="00927E3A" w:rsidRDefault="00B77D2C">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27E3A">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D19AC" w:rsidRPr="00927E3A" w:rsidRDefault="002D19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D19AC" w:rsidRPr="00927E3A" w:rsidRDefault="00B77D2C">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kdgvi21xs2js" w:colFirst="0" w:colLast="0"/>
      <w:bookmarkEnd w:id="8"/>
      <w:r w:rsidRPr="00927E3A">
        <w:rPr>
          <w:rFonts w:ascii="Palatino Linotype" w:eastAsia="Palatino Linotype" w:hAnsi="Palatino Linotype" w:cs="Palatino Linotype"/>
          <w:b/>
          <w:color w:val="000000" w:themeColor="text1"/>
          <w:sz w:val="24"/>
          <w:szCs w:val="24"/>
        </w:rPr>
        <w:t>TERCERO. De las causales de sobreseimiento.</w:t>
      </w:r>
    </w:p>
    <w:p w:rsidR="002D19AC" w:rsidRPr="00927E3A" w:rsidRDefault="002D19AC">
      <w:pPr>
        <w:rPr>
          <w:rFonts w:ascii="Palatino Linotype" w:hAnsi="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Este Instituto, realiza el estudio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rsidR="002D19AC" w:rsidRPr="00927E3A" w:rsidRDefault="00B77D2C">
      <w:pPr>
        <w:pBdr>
          <w:top w:val="nil"/>
          <w:left w:val="nil"/>
          <w:bottom w:val="nil"/>
          <w:right w:val="nil"/>
          <w:between w:val="nil"/>
        </w:pBdr>
        <w:spacing w:before="240" w:after="240"/>
        <w:ind w:left="567"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lastRenderedPageBreak/>
        <w:t>“Improcedencia: Sea que las partes la aleguen o no, debe examinarse previamente la procedencia del juicio de amparo, por ser cuestión de orden público en el juicio de garantías.”(Sic)</w:t>
      </w: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Por su parte los artículos 186, 191 y 192 de la Ley en cita, disponen lo siguiente:</w:t>
      </w:r>
    </w:p>
    <w:p w:rsidR="002D19AC" w:rsidRPr="00927E3A" w:rsidRDefault="00B77D2C">
      <w:pPr>
        <w:pBdr>
          <w:top w:val="nil"/>
          <w:left w:val="nil"/>
          <w:bottom w:val="nil"/>
          <w:right w:val="nil"/>
          <w:between w:val="nil"/>
        </w:pBdr>
        <w:spacing w:before="240" w:after="240"/>
        <w:ind w:left="851" w:right="49"/>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“Artículo 186. Las resoluciones del Instituto podrán:</w:t>
      </w:r>
    </w:p>
    <w:p w:rsidR="002D19AC" w:rsidRPr="00927E3A" w:rsidRDefault="00B77D2C">
      <w:pPr>
        <w:pBdr>
          <w:top w:val="nil"/>
          <w:left w:val="nil"/>
          <w:bottom w:val="nil"/>
          <w:right w:val="nil"/>
          <w:between w:val="nil"/>
        </w:pBdr>
        <w:spacing w:before="240"/>
        <w:ind w:left="851" w:right="49"/>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b/>
          <w:i/>
          <w:color w:val="000000" w:themeColor="text1"/>
        </w:rPr>
        <w:t>I. Desechar o sobreseer el recurso;</w:t>
      </w:r>
    </w:p>
    <w:p w:rsidR="002D19AC" w:rsidRPr="00927E3A" w:rsidRDefault="00B77D2C">
      <w:pPr>
        <w:pBdr>
          <w:top w:val="nil"/>
          <w:left w:val="nil"/>
          <w:bottom w:val="nil"/>
          <w:right w:val="nil"/>
          <w:between w:val="nil"/>
        </w:pBdr>
        <w:ind w:left="851" w:right="49"/>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II. Confirmar la respuesta del sujeto obligado;</w:t>
      </w:r>
    </w:p>
    <w:p w:rsidR="002D19AC" w:rsidRPr="00927E3A" w:rsidRDefault="00B77D2C">
      <w:pPr>
        <w:pBdr>
          <w:top w:val="nil"/>
          <w:left w:val="nil"/>
          <w:bottom w:val="nil"/>
          <w:right w:val="nil"/>
          <w:between w:val="nil"/>
        </w:pBdr>
        <w:ind w:left="851" w:right="49"/>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III. Revocar o modificar la respuesta del sujeto obligado; y</w:t>
      </w:r>
    </w:p>
    <w:p w:rsidR="002D19AC" w:rsidRPr="00927E3A" w:rsidRDefault="00B77D2C">
      <w:pPr>
        <w:pBdr>
          <w:top w:val="nil"/>
          <w:left w:val="nil"/>
          <w:bottom w:val="nil"/>
          <w:right w:val="nil"/>
          <w:between w:val="nil"/>
        </w:pBdr>
        <w:ind w:left="851" w:right="49"/>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i/>
          <w:color w:val="000000" w:themeColor="text1"/>
        </w:rPr>
        <w:t>IV. Ordenar la entrega de la información…”</w:t>
      </w:r>
    </w:p>
    <w:p w:rsidR="002D19AC" w:rsidRPr="00927E3A" w:rsidRDefault="002D19AC">
      <w:pPr>
        <w:pBdr>
          <w:top w:val="nil"/>
          <w:left w:val="nil"/>
          <w:bottom w:val="nil"/>
          <w:right w:val="nil"/>
          <w:between w:val="nil"/>
        </w:pBdr>
        <w:ind w:left="851" w:right="49"/>
        <w:jc w:val="both"/>
        <w:rPr>
          <w:rFonts w:ascii="Palatino Linotype" w:eastAsia="Times New Roman" w:hAnsi="Palatino Linotype" w:cs="Times New Roman"/>
          <w:color w:val="000000" w:themeColor="text1"/>
        </w:rPr>
      </w:pP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 xml:space="preserve"> Artículo 191. El recurso será desechado por improcedente cuando:</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I. Sea extemporáneo por haber transcurrido el plazo establecido en la presente Ley, a partir de la respuesta;</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II. Se esté tramitando ante el Poder Judicial de la Federación algún recurso o medio de defensa interpuesto por el recurrente;</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III. No actualice alguno de los supuestos previstos en la presente Ley;</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IV. No se haya desahogado la prevención en los términos establecidos en la presente Ley;</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V. Se impugne la veracidad de la información proporcionada;</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b/>
          <w:i/>
          <w:color w:val="000000" w:themeColor="text1"/>
          <w:u w:val="single"/>
        </w:rPr>
        <w:t>VI. Se trate de una consulta</w:t>
      </w:r>
      <w:r w:rsidRPr="00927E3A">
        <w:rPr>
          <w:rFonts w:ascii="Palatino Linotype" w:eastAsia="Palatino Linotype" w:hAnsi="Palatino Linotype" w:cs="Palatino Linotype"/>
          <w:b/>
          <w:i/>
          <w:color w:val="000000" w:themeColor="text1"/>
        </w:rPr>
        <w:t xml:space="preserve">, </w:t>
      </w:r>
      <w:r w:rsidRPr="00927E3A">
        <w:rPr>
          <w:rFonts w:ascii="Palatino Linotype" w:eastAsia="Palatino Linotype" w:hAnsi="Palatino Linotype" w:cs="Palatino Linotype"/>
          <w:i/>
          <w:color w:val="000000" w:themeColor="text1"/>
        </w:rPr>
        <w:t>o trámite en específico; y</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VII. El recurrente amplíe su solicitud en el recurso de revisión, únicamente respecto de los nuevos contenidos.”</w:t>
      </w:r>
    </w:p>
    <w:p w:rsidR="002D19AC" w:rsidRPr="00927E3A" w:rsidRDefault="002D19AC">
      <w:pPr>
        <w:pBdr>
          <w:top w:val="nil"/>
          <w:left w:val="nil"/>
          <w:bottom w:val="nil"/>
          <w:right w:val="nil"/>
          <w:between w:val="nil"/>
        </w:pBdr>
        <w:ind w:left="851" w:right="616"/>
        <w:jc w:val="both"/>
        <w:rPr>
          <w:rFonts w:ascii="Palatino Linotype" w:eastAsia="Palatino Linotype" w:hAnsi="Palatino Linotype" w:cs="Palatino Linotype"/>
          <w:i/>
          <w:color w:val="000000" w:themeColor="text1"/>
        </w:rPr>
      </w:pP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“Artículo 192. El recurso será sobreseído, en todo o en parte, cuando una vez admitido, se actualicen alguno de los siguientes supuestos:</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I. El recurrente se desista expresamente del recurso;</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II. El recurrente fallezca o, tratándose de personas jurídicas colectivas, se disuelva;</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III. El sujeto obligado responsable del acto lo modifique o revoque de tal manera que el recurso de revisión quede sin materia;</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b/>
          <w:i/>
          <w:color w:val="000000" w:themeColor="text1"/>
        </w:rPr>
        <w:lastRenderedPageBreak/>
        <w:t>IV. Admitido el recurso de revisión, aparezca alguna causal de improcedencia en los términos de la presente Ley; y</w:t>
      </w:r>
    </w:p>
    <w:p w:rsidR="002D19AC" w:rsidRPr="00927E3A" w:rsidRDefault="00B77D2C">
      <w:pPr>
        <w:pBdr>
          <w:top w:val="nil"/>
          <w:left w:val="nil"/>
          <w:bottom w:val="nil"/>
          <w:right w:val="nil"/>
          <w:between w:val="nil"/>
        </w:pBdr>
        <w:ind w:left="851" w:right="616"/>
        <w:jc w:val="both"/>
        <w:rPr>
          <w:rFonts w:ascii="Palatino Linotype" w:eastAsia="Times New Roman" w:hAnsi="Palatino Linotype" w:cs="Times New Roman"/>
          <w:color w:val="000000" w:themeColor="text1"/>
        </w:rPr>
      </w:pPr>
      <w:r w:rsidRPr="00927E3A">
        <w:rPr>
          <w:rFonts w:ascii="Palatino Linotype" w:eastAsia="Palatino Linotype" w:hAnsi="Palatino Linotype" w:cs="Palatino Linotype"/>
          <w:i/>
          <w:color w:val="000000" w:themeColor="text1"/>
        </w:rPr>
        <w:t>V. Cuando por cualquier motivo quede sin materia el recurso.” (Sic)</w:t>
      </w:r>
    </w:p>
    <w:p w:rsidR="002D19AC" w:rsidRPr="00927E3A" w:rsidRDefault="002D19AC">
      <w:pPr>
        <w:pBdr>
          <w:top w:val="nil"/>
          <w:left w:val="nil"/>
          <w:bottom w:val="nil"/>
          <w:right w:val="nil"/>
          <w:between w:val="nil"/>
        </w:pBdr>
        <w:spacing w:after="240" w:line="360" w:lineRule="auto"/>
        <w:ind w:left="851" w:right="49"/>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En el presente caso, se advierte que, una vez admitido el Recurso de Revisión y en su estudio a detalle, surgió la causal de improcedencia, prevista en el artículo 191 fracción VI de la Ley de Transparencia y Acceso a la Información Pública del Estado de México y Municipios</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Trayendo consigo a  lo previsto en la fracción IV del artículo 192, en razón a que al haber sido el recurso y al actualizarse una causal de improcedencia, debe ser </w:t>
      </w:r>
      <w:r w:rsidRPr="00927E3A">
        <w:rPr>
          <w:rFonts w:ascii="Palatino Linotype" w:eastAsia="Palatino Linotype" w:hAnsi="Palatino Linotype" w:cs="Palatino Linotype"/>
          <w:b/>
          <w:color w:val="000000" w:themeColor="text1"/>
        </w:rPr>
        <w:t>sobreseído.</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En atención de lo anterior, se procede a analizar las razones por las cuales se dio lugar a la causal de sobreseimiento por consulta. </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citado artículo 179, toda vez que la parte Recurrente, mediante el recurso de revisión, solicita le sea contestada una consulta para un caso específico. </w:t>
      </w:r>
    </w:p>
    <w:p w:rsidR="002D19AC" w:rsidRPr="00927E3A" w:rsidRDefault="002D19AC">
      <w:pPr>
        <w:pBdr>
          <w:top w:val="nil"/>
          <w:left w:val="nil"/>
          <w:bottom w:val="nil"/>
          <w:right w:val="nil"/>
          <w:between w:val="nil"/>
        </w:pBdr>
        <w:ind w:left="720"/>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De lo anterior, es necesario mencionar que, del análisis de la solicitud de información motivo del recurso de revisión que ahora se resuelve, se advierte que la parte solicitante requirió al </w:t>
      </w:r>
      <w:r w:rsidRPr="00927E3A">
        <w:rPr>
          <w:rFonts w:ascii="Palatino Linotype" w:eastAsia="Palatino Linotype" w:hAnsi="Palatino Linotype" w:cs="Palatino Linotype"/>
          <w:b/>
          <w:color w:val="000000" w:themeColor="text1"/>
        </w:rPr>
        <w:t>SUJETO OBLIGADO</w:t>
      </w:r>
      <w:r w:rsidRPr="00927E3A">
        <w:rPr>
          <w:rFonts w:ascii="Palatino Linotype" w:eastAsia="Palatino Linotype" w:hAnsi="Palatino Linotype" w:cs="Palatino Linotype"/>
          <w:color w:val="000000" w:themeColor="text1"/>
        </w:rPr>
        <w:t xml:space="preserve"> le proporcione la información consistente en lo siguiente:</w:t>
      </w:r>
    </w:p>
    <w:p w:rsidR="002D19AC" w:rsidRPr="00927E3A" w:rsidRDefault="00B77D2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1. ¿Existe alguna relación de nepotismo en la actual administración entre la regidora Ana Elba Pérez y su esposo, el Lic. Oscar Ortega, quien ocupa el cargo de Director de Ordenamiento Comercial? </w:t>
      </w:r>
    </w:p>
    <w:p w:rsidR="002D19AC" w:rsidRPr="00927E3A" w:rsidRDefault="00B77D2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2. En caso afirmativo, ¿qué medidas se han tomado al respecto? </w:t>
      </w:r>
    </w:p>
    <w:p w:rsidR="002D19AC" w:rsidRPr="00927E3A" w:rsidRDefault="00B77D2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3. ¿Han sido evaluados o sancionados por posibles conflictos de interés debido a su relación familiar y las funciones públicas desempeñadas? </w:t>
      </w:r>
    </w:p>
    <w:p w:rsidR="002D19AC" w:rsidRPr="00927E3A" w:rsidRDefault="00B77D2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4. ¿Se tiene previsto que el Lic. Oscar Ortega continúe en su cargo, o será promovido a otro puesto, dadas las circunstancias mencionadas? </w:t>
      </w:r>
    </w:p>
    <w:p w:rsidR="002D19AC" w:rsidRPr="00927E3A" w:rsidRDefault="00B77D2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5. En caso de que el Lic. Oscar Ortega sea empresario en el municipio, ¿se ha considerado un posible conflicto de interés relacionado con su cargo?</w:t>
      </w:r>
    </w:p>
    <w:p w:rsidR="002D19AC" w:rsidRPr="00927E3A" w:rsidRDefault="002D19AC">
      <w:pPr>
        <w:rPr>
          <w:rFonts w:ascii="Palatino Linotype" w:eastAsia="Palatino Linotype" w:hAnsi="Palatino Linotype" w:cs="Palatino Linotype"/>
          <w:color w:val="000000" w:themeColor="text1"/>
        </w:rPr>
      </w:pP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927E3A">
        <w:rPr>
          <w:rFonts w:ascii="Palatino Linotype" w:eastAsia="Palatino Linotype" w:hAnsi="Palatino Linotype" w:cs="Palatino Linotype"/>
          <w:color w:val="000000" w:themeColor="text1"/>
        </w:rPr>
        <w:t xml:space="preserve">De lo anterior, se advierte, que el </w:t>
      </w:r>
      <w:r w:rsidRPr="00927E3A">
        <w:rPr>
          <w:rFonts w:ascii="Palatino Linotype" w:eastAsia="Palatino Linotype" w:hAnsi="Palatino Linotype" w:cs="Palatino Linotype"/>
          <w:b/>
          <w:color w:val="000000" w:themeColor="text1"/>
        </w:rPr>
        <w:t xml:space="preserve">RECURRENTE </w:t>
      </w:r>
      <w:r w:rsidRPr="00927E3A">
        <w:rPr>
          <w:rFonts w:ascii="Palatino Linotype" w:eastAsia="Palatino Linotype" w:hAnsi="Palatino Linotype" w:cs="Palatino Linotype"/>
          <w:color w:val="000000" w:themeColor="text1"/>
        </w:rPr>
        <w:t xml:space="preserve">planteó cuestionamientos con los que pretendía que el </w:t>
      </w:r>
      <w:r w:rsidRPr="00927E3A">
        <w:rPr>
          <w:rFonts w:ascii="Palatino Linotype" w:eastAsia="Palatino Linotype" w:hAnsi="Palatino Linotype" w:cs="Palatino Linotype"/>
          <w:b/>
          <w:color w:val="000000" w:themeColor="text1"/>
        </w:rPr>
        <w:t>SUJETO OBLIGADO</w:t>
      </w:r>
      <w:r w:rsidRPr="00927E3A">
        <w:rPr>
          <w:rFonts w:ascii="Palatino Linotype" w:eastAsia="Palatino Linotype" w:hAnsi="Palatino Linotype" w:cs="Palatino Linotype"/>
          <w:color w:val="000000" w:themeColor="text1"/>
        </w:rPr>
        <w:t xml:space="preserve"> le explicara una circunstancia para un caso específico, por lo que es obvio que el particular no está ejerciendo su derecho de acceso a la información pública; debido a que en la solicitud consiste en una consulta que no es factible atenderse vía acceso a la información, es decir, que dicho cuestionamiento se colme con documentos que obren en los archivos del </w:t>
      </w:r>
      <w:r w:rsidRPr="00927E3A">
        <w:rPr>
          <w:rFonts w:ascii="Palatino Linotype" w:eastAsia="Palatino Linotype" w:hAnsi="Palatino Linotype" w:cs="Palatino Linotype"/>
          <w:b/>
          <w:color w:val="000000" w:themeColor="text1"/>
        </w:rPr>
        <w:t>SUJETO OBLIGADO.</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De lo anteriormente expuesto, se advierte que la solicitud no constituye un derecho de acceso a la información y por lo tanto no es atendible mediante una solicitud de acceso a la información pública, porque se tratan de una </w:t>
      </w:r>
      <w:r w:rsidRPr="00927E3A">
        <w:rPr>
          <w:rFonts w:ascii="Palatino Linotype" w:eastAsia="Palatino Linotype" w:hAnsi="Palatino Linotype" w:cs="Palatino Linotype"/>
          <w:b/>
          <w:color w:val="000000" w:themeColor="text1"/>
        </w:rPr>
        <w:t>consulta</w:t>
      </w:r>
      <w:r w:rsidRPr="00927E3A">
        <w:rPr>
          <w:rFonts w:ascii="Palatino Linotype" w:eastAsia="Palatino Linotype" w:hAnsi="Palatino Linotype" w:cs="Palatino Linotype"/>
          <w:color w:val="000000" w:themeColor="text1"/>
        </w:rPr>
        <w:t xml:space="preserve"> para un caso específico, situación que conlleva a afirmar que se está en presencia del ejercicio del derecho de petición.</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En ese sentido, es importante diferenciar lo que se entiende por derecho de petición y por derecho de acceso a la información pública.</w:t>
      </w:r>
    </w:p>
    <w:p w:rsidR="002D19AC" w:rsidRPr="00927E3A" w:rsidRDefault="00B77D2C">
      <w:pPr>
        <w:spacing w:before="240" w:after="240" w:line="360" w:lineRule="auto"/>
        <w:ind w:right="-91"/>
        <w:jc w:val="both"/>
        <w:rPr>
          <w:rFonts w:ascii="Palatino Linotype" w:eastAsia="Palatino Linotype" w:hAnsi="Palatino Linotype" w:cs="Palatino Linotype"/>
          <w:b/>
          <w:color w:val="000000" w:themeColor="text1"/>
        </w:rPr>
      </w:pPr>
      <w:r w:rsidRPr="00927E3A">
        <w:rPr>
          <w:rFonts w:ascii="Palatino Linotype" w:eastAsia="Palatino Linotype" w:hAnsi="Palatino Linotype" w:cs="Palatino Linotype"/>
          <w:b/>
          <w:color w:val="000000" w:themeColor="text1"/>
        </w:rPr>
        <w:t>Derecho de Petición:</w:t>
      </w:r>
    </w:p>
    <w:p w:rsidR="002D19AC" w:rsidRPr="00927E3A" w:rsidRDefault="00B77D2C">
      <w:pPr>
        <w:spacing w:before="240" w:after="240"/>
        <w:ind w:left="1134" w:right="90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El Doctor Ignacio Burgoa Orihuela refiere que derecho de petición: "...</w:t>
      </w:r>
      <w:r w:rsidRPr="00927E3A">
        <w:rPr>
          <w:rFonts w:ascii="Palatino Linotype" w:eastAsia="Palatino Linotype" w:hAnsi="Palatino Linotype" w:cs="Palatino Linotype"/>
          <w:i/>
          <w:color w:val="000000" w:themeColor="text1"/>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927E3A">
        <w:rPr>
          <w:rFonts w:ascii="Palatino Linotype" w:eastAsia="Palatino Linotype" w:hAnsi="Palatino Linotype" w:cs="Palatino Linotype"/>
          <w:color w:val="000000" w:themeColor="text1"/>
        </w:rPr>
        <w:t>"</w:t>
      </w:r>
      <w:r w:rsidRPr="00927E3A">
        <w:rPr>
          <w:rFonts w:ascii="Palatino Linotype" w:eastAsia="Palatino Linotype" w:hAnsi="Palatino Linotype" w:cs="Palatino Linotype"/>
          <w:color w:val="000000" w:themeColor="text1"/>
          <w:vertAlign w:val="superscript"/>
        </w:rPr>
        <w:footnoteReference w:id="1"/>
      </w:r>
      <w:r w:rsidRPr="00927E3A">
        <w:rPr>
          <w:rFonts w:ascii="Palatino Linotype" w:eastAsia="Palatino Linotype" w:hAnsi="Palatino Linotype" w:cs="Palatino Linotype"/>
          <w:color w:val="000000" w:themeColor="text1"/>
        </w:rPr>
        <w:t>(Sic)</w:t>
      </w:r>
    </w:p>
    <w:p w:rsidR="002D19AC" w:rsidRPr="00927E3A" w:rsidRDefault="00B77D2C">
      <w:pPr>
        <w:pBdr>
          <w:top w:val="nil"/>
          <w:left w:val="nil"/>
          <w:bottom w:val="nil"/>
          <w:right w:val="nil"/>
          <w:between w:val="nil"/>
        </w:pBdr>
        <w:spacing w:before="240" w:after="360"/>
        <w:ind w:left="1134" w:right="90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color w:val="000000" w:themeColor="text1"/>
        </w:rPr>
        <w:t xml:space="preserve">Por su parte, David Cienfuegos Salgado, concibe al derecho de petición como </w:t>
      </w:r>
      <w:r w:rsidRPr="00927E3A">
        <w:rPr>
          <w:rFonts w:ascii="Palatino Linotype" w:eastAsia="Palatino Linotype" w:hAnsi="Palatino Linotype" w:cs="Palatino Linotype"/>
          <w:i/>
          <w:color w:val="000000" w:themeColor="text1"/>
        </w:rPr>
        <w:t>“el derecho de toda persona a ser escuchado por quienes ejercen el poder público.</w:t>
      </w:r>
      <w:r w:rsidRPr="00927E3A">
        <w:rPr>
          <w:rFonts w:ascii="Palatino Linotype" w:eastAsia="Palatino Linotype" w:hAnsi="Palatino Linotype" w:cs="Palatino Linotype"/>
          <w:i/>
          <w:color w:val="000000" w:themeColor="text1"/>
          <w:vertAlign w:val="superscript"/>
        </w:rPr>
        <w:t xml:space="preserve"> </w:t>
      </w:r>
      <w:r w:rsidRPr="00927E3A">
        <w:rPr>
          <w:rFonts w:ascii="Palatino Linotype" w:eastAsia="Palatino Linotype" w:hAnsi="Palatino Linotype" w:cs="Palatino Linotype"/>
          <w:i/>
          <w:color w:val="000000" w:themeColor="text1"/>
          <w:vertAlign w:val="superscript"/>
        </w:rPr>
        <w:footnoteReference w:id="2"/>
      </w:r>
      <w:r w:rsidRPr="00927E3A">
        <w:rPr>
          <w:rFonts w:ascii="Palatino Linotype" w:eastAsia="Palatino Linotype" w:hAnsi="Palatino Linotype" w:cs="Palatino Linotype"/>
          <w:i/>
          <w:color w:val="000000" w:themeColor="text1"/>
        </w:rPr>
        <w:t xml:space="preserve">” (Sic) </w:t>
      </w: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De la misma manera, Migue Carbonell en su libro “Los derechos fundamentales” refiere que el derecho de petición se ha entendido de dos distintitas </w:t>
      </w:r>
      <w:r w:rsidRPr="00927E3A">
        <w:rPr>
          <w:rFonts w:ascii="Palatino Linotype" w:eastAsia="Palatino Linotype" w:hAnsi="Palatino Linotype" w:cs="Palatino Linotype"/>
          <w:color w:val="000000" w:themeColor="text1"/>
        </w:rPr>
        <w:lastRenderedPageBreak/>
        <w:t>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927E3A">
        <w:rPr>
          <w:rFonts w:ascii="Palatino Linotype" w:eastAsia="Palatino Linotype" w:hAnsi="Palatino Linotype" w:cs="Palatino Linotype"/>
          <w:color w:val="000000" w:themeColor="text1"/>
          <w:vertAlign w:val="superscript"/>
        </w:rPr>
        <w:footnoteReference w:id="3"/>
      </w:r>
    </w:p>
    <w:p w:rsidR="002D19AC" w:rsidRPr="00927E3A" w:rsidRDefault="002D19AC">
      <w:pPr>
        <w:spacing w:line="360" w:lineRule="auto"/>
        <w:ind w:right="-91"/>
        <w:jc w:val="both"/>
        <w:rPr>
          <w:rFonts w:ascii="Palatino Linotype" w:eastAsia="Palatino Linotype" w:hAnsi="Palatino Linotype" w:cs="Palatino Linotype"/>
          <w:b/>
          <w:color w:val="000000" w:themeColor="text1"/>
        </w:rPr>
      </w:pPr>
    </w:p>
    <w:p w:rsidR="002D19AC" w:rsidRPr="00927E3A" w:rsidRDefault="00B77D2C">
      <w:pPr>
        <w:spacing w:line="360" w:lineRule="auto"/>
        <w:ind w:right="-91"/>
        <w:jc w:val="both"/>
        <w:rPr>
          <w:rFonts w:ascii="Palatino Linotype" w:eastAsia="Palatino Linotype" w:hAnsi="Palatino Linotype" w:cs="Palatino Linotype"/>
          <w:b/>
          <w:color w:val="000000" w:themeColor="text1"/>
        </w:rPr>
      </w:pPr>
      <w:r w:rsidRPr="00927E3A">
        <w:rPr>
          <w:rFonts w:ascii="Palatino Linotype" w:eastAsia="Palatino Linotype" w:hAnsi="Palatino Linotype" w:cs="Palatino Linotype"/>
          <w:b/>
          <w:color w:val="000000" w:themeColor="text1"/>
        </w:rPr>
        <w:t>Derecho de Acceso a la Información Pública:</w:t>
      </w:r>
    </w:p>
    <w:p w:rsidR="002D19AC" w:rsidRPr="00927E3A" w:rsidRDefault="002D19AC">
      <w:pPr>
        <w:spacing w:line="360" w:lineRule="auto"/>
        <w:ind w:right="-91"/>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Por su parte Ernesto Villanueva define al derecho de acceso a la información pública como la prerrogativa de la persona para acceder a datos, registros y todo tipo de informaciones en poder de las entidades públicas y empresas privadas que </w:t>
      </w:r>
      <w:r w:rsidRPr="00927E3A">
        <w:rPr>
          <w:rFonts w:ascii="Palatino Linotype" w:eastAsia="Palatino Linotype" w:hAnsi="Palatino Linotype" w:cs="Palatino Linotype"/>
          <w:color w:val="000000" w:themeColor="text1"/>
        </w:rPr>
        <w:lastRenderedPageBreak/>
        <w:t>ejercen gasto público o cumplen funciones de autoridad, con las excepciones taxativas que establezca la ley en una sociedad democrática.</w:t>
      </w:r>
      <w:r w:rsidRPr="00927E3A">
        <w:rPr>
          <w:rFonts w:ascii="Palatino Linotype" w:eastAsia="Palatino Linotype" w:hAnsi="Palatino Linotype" w:cs="Palatino Linotype"/>
          <w:color w:val="000000" w:themeColor="text1"/>
          <w:vertAlign w:val="superscript"/>
        </w:rPr>
        <w:footnoteReference w:id="4"/>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927E3A">
        <w:rPr>
          <w:rFonts w:ascii="Palatino Linotype" w:eastAsia="Palatino Linotype" w:hAnsi="Palatino Linotype" w:cs="Palatino Linotype"/>
          <w:color w:val="000000" w:themeColor="text1"/>
          <w:vertAlign w:val="superscript"/>
        </w:rPr>
        <w:footnoteReference w:id="5"/>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D19AC" w:rsidRPr="00927E3A" w:rsidRDefault="002D19A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D19AC" w:rsidRPr="00927E3A" w:rsidRDefault="00B77D2C">
      <w:pPr>
        <w:ind w:left="1134" w:right="900"/>
        <w:jc w:val="both"/>
        <w:rPr>
          <w:rFonts w:ascii="Palatino Linotype" w:eastAsia="Palatino Linotype" w:hAnsi="Palatino Linotype" w:cs="Palatino Linotype"/>
          <w:b/>
          <w:i/>
          <w:color w:val="000000" w:themeColor="text1"/>
        </w:rPr>
      </w:pPr>
      <w:r w:rsidRPr="00927E3A">
        <w:rPr>
          <w:rFonts w:ascii="Palatino Linotype" w:eastAsia="Palatino Linotype" w:hAnsi="Palatino Linotype" w:cs="Palatino Linotype"/>
          <w:b/>
          <w:i/>
          <w:color w:val="000000" w:themeColor="text1"/>
        </w:rPr>
        <w:t>“CRITERIO 0002-11</w:t>
      </w:r>
    </w:p>
    <w:p w:rsidR="002D19AC" w:rsidRPr="00927E3A" w:rsidRDefault="00B77D2C">
      <w:pPr>
        <w:ind w:left="1134" w:right="90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32, 4,11 Y 41.</w:t>
      </w:r>
      <w:r w:rsidRPr="00927E3A">
        <w:rPr>
          <w:rFonts w:ascii="Palatino Linotype" w:eastAsia="Palatino Linotype" w:hAnsi="Palatino Linotype" w:cs="Palatino Linotype"/>
          <w:i/>
          <w:color w:val="000000" w:themeColor="text1"/>
        </w:rPr>
        <w:t xml:space="preserve"> De </w:t>
      </w:r>
      <w:r w:rsidRPr="00927E3A">
        <w:rPr>
          <w:rFonts w:ascii="Palatino Linotype" w:eastAsia="Palatino Linotype" w:hAnsi="Palatino Linotype" w:cs="Palatino Linotype"/>
          <w:i/>
          <w:color w:val="000000" w:themeColor="text1"/>
        </w:rPr>
        <w:lastRenderedPageBreak/>
        <w:t>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19AC" w:rsidRPr="00927E3A" w:rsidRDefault="00B77D2C">
      <w:pPr>
        <w:ind w:left="1134" w:right="90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2D19AC" w:rsidRPr="00927E3A" w:rsidRDefault="00B77D2C">
      <w:pPr>
        <w:ind w:left="1134" w:right="90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2D19AC" w:rsidRPr="00927E3A" w:rsidRDefault="00B77D2C">
      <w:pPr>
        <w:ind w:left="1134" w:right="90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2D19AC" w:rsidRPr="00927E3A" w:rsidRDefault="00B77D2C">
      <w:pPr>
        <w:ind w:left="1134" w:right="900"/>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Obligados.”(Sic)</w:t>
      </w:r>
    </w:p>
    <w:p w:rsidR="002D19AC" w:rsidRPr="00927E3A" w:rsidRDefault="002D19AC">
      <w:pPr>
        <w:ind w:left="1134" w:right="900"/>
        <w:jc w:val="both"/>
        <w:rPr>
          <w:rFonts w:ascii="Palatino Linotype" w:eastAsia="Palatino Linotype" w:hAnsi="Palatino Linotype" w:cs="Palatino Linotype"/>
          <w:i/>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De lo anterior se puede concluir que la distinción entre el derecho de petición y el derecho de acceso a la información, principalmente, es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Con base a lo anterior, tenemos que el </w:t>
      </w:r>
      <w:r w:rsidRPr="00927E3A">
        <w:rPr>
          <w:rFonts w:ascii="Palatino Linotype" w:eastAsia="Palatino Linotype" w:hAnsi="Palatino Linotype" w:cs="Palatino Linotype"/>
          <w:b/>
          <w:color w:val="000000" w:themeColor="text1"/>
        </w:rPr>
        <w:t xml:space="preserve">RECURRENTE </w:t>
      </w:r>
      <w:r w:rsidRPr="00927E3A">
        <w:rPr>
          <w:rFonts w:ascii="Palatino Linotype" w:eastAsia="Palatino Linotype" w:hAnsi="Palatino Linotype" w:cs="Palatino Linotype"/>
          <w:color w:val="000000" w:themeColor="text1"/>
        </w:rPr>
        <w:t xml:space="preserve">en su solicitud de información requiere de una explicación o bien una razón a una </w:t>
      </w:r>
      <w:r w:rsidRPr="00927E3A">
        <w:rPr>
          <w:rFonts w:ascii="Palatino Linotype" w:eastAsia="Palatino Linotype" w:hAnsi="Palatino Linotype" w:cs="Palatino Linotype"/>
          <w:b/>
          <w:color w:val="000000" w:themeColor="text1"/>
        </w:rPr>
        <w:t>consulta</w:t>
      </w:r>
      <w:r w:rsidRPr="00927E3A">
        <w:rPr>
          <w:rFonts w:ascii="Palatino Linotype" w:eastAsia="Palatino Linotype" w:hAnsi="Palatino Linotype" w:cs="Palatino Linotype"/>
          <w:color w:val="000000" w:themeColor="text1"/>
        </w:rPr>
        <w:t xml:space="preserve"> sobre un caso específico por parte del </w:t>
      </w:r>
      <w:r w:rsidRPr="00927E3A">
        <w:rPr>
          <w:rFonts w:ascii="Palatino Linotype" w:eastAsia="Palatino Linotype" w:hAnsi="Palatino Linotype" w:cs="Palatino Linotype"/>
          <w:b/>
          <w:color w:val="000000" w:themeColor="text1"/>
        </w:rPr>
        <w:t>SUJETO OBLIGADO</w:t>
      </w:r>
      <w:r w:rsidRPr="00927E3A">
        <w:rPr>
          <w:rFonts w:ascii="Palatino Linotype" w:eastAsia="Palatino Linotype" w:hAnsi="Palatino Linotype" w:cs="Palatino Linotype"/>
          <w:color w:val="000000" w:themeColor="text1"/>
        </w:rPr>
        <w:t xml:space="preserve">; por consiguiente, la entrega de </w:t>
      </w:r>
      <w:r w:rsidRPr="00927E3A">
        <w:rPr>
          <w:rFonts w:ascii="Palatino Linotype" w:eastAsia="Palatino Linotype" w:hAnsi="Palatino Linotype" w:cs="Palatino Linotype"/>
          <w:color w:val="000000" w:themeColor="text1"/>
        </w:rPr>
        <w:lastRenderedPageBreak/>
        <w:t>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w:t>
      </w:r>
      <w:r w:rsidRPr="00927E3A">
        <w:rPr>
          <w:rFonts w:ascii="Palatino Linotype" w:eastAsia="Palatino Linotype" w:hAnsi="Palatino Linotype" w:cs="Palatino Linotype"/>
          <w:color w:val="000000" w:themeColor="text1"/>
        </w:rPr>
        <w:lastRenderedPageBreak/>
        <w:t xml:space="preserve">manifestaciones expuestas por el particular ya que son tendentes a que el </w:t>
      </w:r>
      <w:r w:rsidRPr="00927E3A">
        <w:rPr>
          <w:rFonts w:ascii="Palatino Linotype" w:eastAsia="Palatino Linotype" w:hAnsi="Palatino Linotype" w:cs="Palatino Linotype"/>
          <w:b/>
          <w:color w:val="000000" w:themeColor="text1"/>
        </w:rPr>
        <w:t>SUJETO OBLIGADO</w:t>
      </w:r>
      <w:r w:rsidRPr="00927E3A">
        <w:rPr>
          <w:rFonts w:ascii="Palatino Linotype" w:eastAsia="Palatino Linotype" w:hAnsi="Palatino Linotype" w:cs="Palatino Linotype"/>
          <w:color w:val="000000" w:themeColor="text1"/>
        </w:rPr>
        <w:t xml:space="preserve"> aclare una inquietud, respecto a un supuesto especifico. </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En virtud de los argumentos expuestos con anterioridad así como del análisis realizado a las constancias que obran en el expediente electrónico del recurso de revisión </w:t>
      </w:r>
      <w:r w:rsidRPr="00927E3A">
        <w:rPr>
          <w:rFonts w:ascii="Palatino Linotype" w:eastAsia="Palatino Linotype" w:hAnsi="Palatino Linotype" w:cs="Palatino Linotype"/>
          <w:b/>
          <w:color w:val="000000" w:themeColor="text1"/>
        </w:rPr>
        <w:t>01173/INFOEM/IP/RR/2022</w:t>
      </w:r>
      <w:r w:rsidRPr="00927E3A">
        <w:rPr>
          <w:rFonts w:ascii="Palatino Linotype" w:eastAsia="Palatino Linotype" w:hAnsi="Palatino Linotype" w:cs="Palatino Linotype"/>
          <w:color w:val="000000" w:themeColor="text1"/>
        </w:rPr>
        <w:t xml:space="preserve">, se determina </w:t>
      </w:r>
      <w:r w:rsidRPr="00927E3A">
        <w:rPr>
          <w:rFonts w:ascii="Palatino Linotype" w:eastAsia="Palatino Linotype" w:hAnsi="Palatino Linotype" w:cs="Palatino Linotype"/>
          <w:b/>
          <w:color w:val="000000" w:themeColor="text1"/>
        </w:rPr>
        <w:t>sobreseer</w:t>
      </w:r>
      <w:r w:rsidRPr="00927E3A">
        <w:rPr>
          <w:rFonts w:ascii="Palatino Linotype" w:eastAsia="Palatino Linotype" w:hAnsi="Palatino Linotype" w:cs="Palatino Linotype"/>
          <w:color w:val="000000" w:themeColor="text1"/>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rsidR="002D19AC" w:rsidRPr="00927E3A" w:rsidRDefault="002D19AC">
      <w:pPr>
        <w:pBdr>
          <w:top w:val="nil"/>
          <w:left w:val="nil"/>
          <w:bottom w:val="nil"/>
          <w:right w:val="nil"/>
          <w:between w:val="nil"/>
        </w:pBdr>
        <w:ind w:left="567" w:right="616"/>
        <w:jc w:val="both"/>
        <w:rPr>
          <w:rFonts w:ascii="Palatino Linotype" w:eastAsia="Palatino Linotype" w:hAnsi="Palatino Linotype" w:cs="Palatino Linotype"/>
          <w:i/>
          <w:color w:val="000000" w:themeColor="text1"/>
        </w:rPr>
      </w:pPr>
    </w:p>
    <w:p w:rsidR="002D19AC" w:rsidRPr="00927E3A" w:rsidRDefault="00B77D2C">
      <w:pPr>
        <w:pBdr>
          <w:top w:val="nil"/>
          <w:left w:val="nil"/>
          <w:bottom w:val="nil"/>
          <w:right w:val="nil"/>
          <w:between w:val="nil"/>
        </w:pBdr>
        <w:ind w:left="567" w:right="616"/>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i/>
          <w:color w:val="000000" w:themeColor="text1"/>
        </w:rPr>
        <w:t>“</w:t>
      </w:r>
      <w:r w:rsidRPr="00927E3A">
        <w:rPr>
          <w:rFonts w:ascii="Palatino Linotype" w:eastAsia="Palatino Linotype" w:hAnsi="Palatino Linotype" w:cs="Palatino Linotype"/>
          <w:b/>
          <w:i/>
          <w:color w:val="000000" w:themeColor="text1"/>
        </w:rPr>
        <w:t>Artículo 192.</w:t>
      </w:r>
      <w:r w:rsidRPr="00927E3A">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2D19AC" w:rsidRPr="00927E3A" w:rsidRDefault="00B77D2C">
      <w:pPr>
        <w:pBdr>
          <w:top w:val="nil"/>
          <w:left w:val="nil"/>
          <w:bottom w:val="nil"/>
          <w:right w:val="nil"/>
          <w:between w:val="nil"/>
        </w:pBdr>
        <w:ind w:left="567" w:right="616"/>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i/>
          <w:color w:val="000000" w:themeColor="text1"/>
        </w:rPr>
        <w:t>…</w:t>
      </w:r>
    </w:p>
    <w:p w:rsidR="002D19AC" w:rsidRPr="00927E3A" w:rsidRDefault="00B77D2C">
      <w:pPr>
        <w:pBdr>
          <w:top w:val="nil"/>
          <w:left w:val="nil"/>
          <w:bottom w:val="nil"/>
          <w:right w:val="nil"/>
          <w:between w:val="nil"/>
        </w:pBdr>
        <w:ind w:left="567" w:right="616"/>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b/>
          <w:i/>
          <w:color w:val="000000" w:themeColor="text1"/>
        </w:rPr>
        <w:t>IV</w:t>
      </w:r>
      <w:r w:rsidRPr="00927E3A">
        <w:rPr>
          <w:rFonts w:ascii="Palatino Linotype" w:eastAsia="Palatino Linotype" w:hAnsi="Palatino Linotype" w:cs="Palatino Linotype"/>
          <w:i/>
          <w:color w:val="000000" w:themeColor="text1"/>
        </w:rPr>
        <w:t xml:space="preserve">. Admitido el recurso de revisión, </w:t>
      </w:r>
      <w:r w:rsidRPr="00927E3A">
        <w:rPr>
          <w:rFonts w:ascii="Palatino Linotype" w:eastAsia="Palatino Linotype" w:hAnsi="Palatino Linotype" w:cs="Palatino Linotype"/>
          <w:b/>
          <w:i/>
          <w:color w:val="000000" w:themeColor="text1"/>
        </w:rPr>
        <w:t>aparezca alguna causal de improcedencia</w:t>
      </w:r>
      <w:r w:rsidRPr="00927E3A">
        <w:rPr>
          <w:rFonts w:ascii="Palatino Linotype" w:eastAsia="Palatino Linotype" w:hAnsi="Palatino Linotype" w:cs="Palatino Linotype"/>
          <w:i/>
          <w:color w:val="000000" w:themeColor="text1"/>
        </w:rPr>
        <w:t xml:space="preserve"> en los términos de la presente Ley…</w:t>
      </w:r>
    </w:p>
    <w:p w:rsidR="002D19AC" w:rsidRPr="00927E3A" w:rsidRDefault="00B77D2C">
      <w:pPr>
        <w:pBdr>
          <w:top w:val="nil"/>
          <w:left w:val="nil"/>
          <w:bottom w:val="nil"/>
          <w:right w:val="nil"/>
          <w:between w:val="nil"/>
        </w:pBdr>
        <w:ind w:left="567" w:right="616"/>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b/>
          <w:i/>
          <w:color w:val="000000" w:themeColor="text1"/>
        </w:rPr>
        <w:t>Artículo 191</w:t>
      </w:r>
      <w:r w:rsidRPr="00927E3A">
        <w:rPr>
          <w:rFonts w:ascii="Palatino Linotype" w:eastAsia="Palatino Linotype" w:hAnsi="Palatino Linotype" w:cs="Palatino Linotype"/>
          <w:i/>
          <w:color w:val="000000" w:themeColor="text1"/>
        </w:rPr>
        <w:t xml:space="preserve">. </w:t>
      </w:r>
      <w:r w:rsidRPr="00927E3A">
        <w:rPr>
          <w:rFonts w:ascii="Palatino Linotype" w:eastAsia="Palatino Linotype" w:hAnsi="Palatino Linotype" w:cs="Palatino Linotype"/>
          <w:b/>
          <w:i/>
          <w:color w:val="000000" w:themeColor="text1"/>
        </w:rPr>
        <w:t>El recurso</w:t>
      </w:r>
      <w:r w:rsidRPr="00927E3A">
        <w:rPr>
          <w:rFonts w:ascii="Palatino Linotype" w:eastAsia="Palatino Linotype" w:hAnsi="Palatino Linotype" w:cs="Palatino Linotype"/>
          <w:i/>
          <w:color w:val="000000" w:themeColor="text1"/>
        </w:rPr>
        <w:t xml:space="preserve"> </w:t>
      </w:r>
      <w:r w:rsidRPr="00927E3A">
        <w:rPr>
          <w:rFonts w:ascii="Palatino Linotype" w:eastAsia="Palatino Linotype" w:hAnsi="Palatino Linotype" w:cs="Palatino Linotype"/>
          <w:b/>
          <w:i/>
          <w:color w:val="000000" w:themeColor="text1"/>
        </w:rPr>
        <w:t xml:space="preserve">será </w:t>
      </w:r>
      <w:r w:rsidRPr="00927E3A">
        <w:rPr>
          <w:rFonts w:ascii="Palatino Linotype" w:eastAsia="Palatino Linotype" w:hAnsi="Palatino Linotype" w:cs="Palatino Linotype"/>
          <w:i/>
          <w:color w:val="000000" w:themeColor="text1"/>
        </w:rPr>
        <w:t xml:space="preserve">desechado por </w:t>
      </w:r>
      <w:r w:rsidRPr="00927E3A">
        <w:rPr>
          <w:rFonts w:ascii="Palatino Linotype" w:eastAsia="Palatino Linotype" w:hAnsi="Palatino Linotype" w:cs="Palatino Linotype"/>
          <w:b/>
          <w:i/>
          <w:color w:val="000000" w:themeColor="text1"/>
        </w:rPr>
        <w:t>improcedente cuando</w:t>
      </w:r>
      <w:r w:rsidRPr="00927E3A">
        <w:rPr>
          <w:rFonts w:ascii="Palatino Linotype" w:eastAsia="Palatino Linotype" w:hAnsi="Palatino Linotype" w:cs="Palatino Linotype"/>
          <w:i/>
          <w:color w:val="000000" w:themeColor="text1"/>
        </w:rPr>
        <w:t>:</w:t>
      </w:r>
    </w:p>
    <w:p w:rsidR="002D19AC" w:rsidRPr="00927E3A" w:rsidRDefault="00B77D2C">
      <w:pPr>
        <w:pBdr>
          <w:top w:val="nil"/>
          <w:left w:val="nil"/>
          <w:bottom w:val="nil"/>
          <w:right w:val="nil"/>
          <w:between w:val="nil"/>
        </w:pBdr>
        <w:ind w:left="567" w:right="616"/>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i/>
          <w:color w:val="000000" w:themeColor="text1"/>
        </w:rPr>
        <w:t>…</w:t>
      </w:r>
    </w:p>
    <w:p w:rsidR="002D19AC" w:rsidRPr="00927E3A" w:rsidRDefault="00B77D2C">
      <w:pPr>
        <w:pBdr>
          <w:top w:val="nil"/>
          <w:left w:val="nil"/>
          <w:bottom w:val="nil"/>
          <w:right w:val="nil"/>
          <w:between w:val="nil"/>
        </w:pBdr>
        <w:ind w:left="567" w:right="616"/>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b/>
          <w:i/>
          <w:color w:val="000000" w:themeColor="text1"/>
        </w:rPr>
        <w:t>VI. Se trate de una consulta</w:t>
      </w:r>
      <w:r w:rsidRPr="00927E3A">
        <w:rPr>
          <w:rFonts w:ascii="Palatino Linotype" w:eastAsia="Palatino Linotype" w:hAnsi="Palatino Linotype" w:cs="Palatino Linotype"/>
          <w:i/>
          <w:color w:val="000000" w:themeColor="text1"/>
        </w:rPr>
        <w:t>, o tramite en específico... (Sic)</w:t>
      </w:r>
    </w:p>
    <w:p w:rsidR="002D19AC" w:rsidRPr="00927E3A" w:rsidRDefault="002D19AC">
      <w:pPr>
        <w:spacing w:before="240"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 xml:space="preserve">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w:t>
      </w:r>
      <w:r w:rsidRPr="00927E3A">
        <w:rPr>
          <w:rFonts w:ascii="Palatino Linotype" w:eastAsia="Palatino Linotype" w:hAnsi="Palatino Linotype" w:cs="Palatino Linotype"/>
          <w:color w:val="000000" w:themeColor="text1"/>
        </w:rPr>
        <w:lastRenderedPageBreak/>
        <w:t>se trate; lo anterior con apoyo en el criterio del Poder Judicial de la Federación con rubro:</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pBdr>
          <w:top w:val="nil"/>
          <w:left w:val="nil"/>
          <w:bottom w:val="nil"/>
          <w:right w:val="nil"/>
          <w:between w:val="nil"/>
        </w:pBdr>
        <w:ind w:left="1134" w:right="902"/>
        <w:jc w:val="both"/>
        <w:rPr>
          <w:rFonts w:ascii="Palatino Linotype" w:eastAsia="Palatino Linotype" w:hAnsi="Palatino Linotype" w:cs="Palatino Linotype"/>
          <w:b/>
          <w:i/>
          <w:color w:val="000000" w:themeColor="text1"/>
        </w:rPr>
      </w:pPr>
      <w:r w:rsidRPr="00927E3A">
        <w:rPr>
          <w:rFonts w:ascii="Palatino Linotype" w:eastAsia="Palatino Linotype" w:hAnsi="Palatino Linotype" w:cs="Palatino Linotype"/>
          <w:i/>
          <w:color w:val="000000" w:themeColor="text1"/>
        </w:rPr>
        <w:t>“</w:t>
      </w:r>
      <w:r w:rsidRPr="00927E3A">
        <w:rPr>
          <w:rFonts w:ascii="Palatino Linotype" w:eastAsia="Palatino Linotype" w:hAnsi="Palatino Linotype" w:cs="Palatino Linotype"/>
          <w:b/>
          <w:i/>
          <w:color w:val="000000" w:themeColor="text1"/>
        </w:rPr>
        <w:t>SOBRESEIMIENTO, NO PERMITE ENTRAR AL ESTUDIO DE LAS CUESTIONES DE FONDO</w:t>
      </w:r>
    </w:p>
    <w:p w:rsidR="002D19AC" w:rsidRPr="00927E3A" w:rsidRDefault="00B77D2C">
      <w:pPr>
        <w:pBdr>
          <w:top w:val="nil"/>
          <w:left w:val="nil"/>
          <w:bottom w:val="nil"/>
          <w:right w:val="nil"/>
          <w:between w:val="nil"/>
        </w:pBdr>
        <w:ind w:left="1134" w:right="902"/>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2D19AC" w:rsidRPr="00927E3A" w:rsidRDefault="00B77D2C">
      <w:pPr>
        <w:pBdr>
          <w:top w:val="nil"/>
          <w:left w:val="nil"/>
          <w:bottom w:val="nil"/>
          <w:right w:val="nil"/>
          <w:between w:val="nil"/>
        </w:pBdr>
        <w:ind w:left="1134" w:right="902"/>
        <w:jc w:val="both"/>
        <w:rPr>
          <w:rFonts w:ascii="Palatino Linotype" w:eastAsia="Palatino Linotype" w:hAnsi="Palatino Linotype" w:cs="Palatino Linotype"/>
          <w:i/>
          <w:color w:val="000000" w:themeColor="text1"/>
        </w:rPr>
      </w:pPr>
      <w:r w:rsidRPr="00927E3A">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2D19AC" w:rsidRPr="00927E3A" w:rsidRDefault="002D19AC">
      <w:pPr>
        <w:pBdr>
          <w:top w:val="nil"/>
          <w:left w:val="nil"/>
          <w:bottom w:val="nil"/>
          <w:right w:val="nil"/>
          <w:between w:val="nil"/>
        </w:pBdr>
        <w:ind w:left="360" w:right="902"/>
        <w:jc w:val="both"/>
        <w:rPr>
          <w:rFonts w:ascii="Palatino Linotype" w:eastAsia="Palatino Linotype" w:hAnsi="Palatino Linotype" w:cs="Palatino Linotype"/>
          <w:i/>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2D19AC" w:rsidRPr="00927E3A" w:rsidRDefault="00B77D2C">
      <w:pPr>
        <w:pBdr>
          <w:top w:val="nil"/>
          <w:left w:val="nil"/>
          <w:bottom w:val="nil"/>
          <w:right w:val="nil"/>
          <w:between w:val="nil"/>
        </w:pBdr>
        <w:ind w:left="1134" w:right="902"/>
        <w:jc w:val="both"/>
        <w:rPr>
          <w:rFonts w:ascii="Palatino Linotype" w:eastAsia="Palatino Linotype" w:hAnsi="Palatino Linotype" w:cs="Palatino Linotype"/>
          <w:b/>
          <w:i/>
          <w:color w:val="000000" w:themeColor="text1"/>
        </w:rPr>
      </w:pPr>
      <w:r w:rsidRPr="00927E3A">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2D19AC" w:rsidRPr="00927E3A" w:rsidRDefault="00B77D2C">
      <w:pPr>
        <w:pBdr>
          <w:top w:val="nil"/>
          <w:left w:val="nil"/>
          <w:bottom w:val="nil"/>
          <w:right w:val="nil"/>
          <w:between w:val="nil"/>
        </w:pBdr>
        <w:ind w:left="1134" w:right="902"/>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w:t>
      </w:r>
      <w:r w:rsidRPr="00927E3A">
        <w:rPr>
          <w:rFonts w:ascii="Palatino Linotype" w:eastAsia="Palatino Linotype" w:hAnsi="Palatino Linotype" w:cs="Palatino Linotype"/>
          <w:i/>
          <w:color w:val="000000" w:themeColor="text1"/>
        </w:rPr>
        <w:lastRenderedPageBreak/>
        <w:t>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927E3A">
        <w:rPr>
          <w:rFonts w:ascii="Palatino Linotype" w:eastAsia="Palatino Linotype" w:hAnsi="Palatino Linotype" w:cs="Palatino Linotype"/>
          <w:color w:val="000000" w:themeColor="text1"/>
        </w:rPr>
        <w:tab/>
      </w:r>
    </w:p>
    <w:p w:rsidR="002D19AC" w:rsidRPr="00927E3A" w:rsidRDefault="002D19AC">
      <w:pPr>
        <w:pBdr>
          <w:top w:val="nil"/>
          <w:left w:val="nil"/>
          <w:bottom w:val="nil"/>
          <w:right w:val="nil"/>
          <w:between w:val="nil"/>
        </w:pBdr>
        <w:ind w:right="902"/>
        <w:jc w:val="both"/>
        <w:rPr>
          <w:rFonts w:ascii="Palatino Linotype" w:eastAsia="Palatino Linotype" w:hAnsi="Palatino Linotype" w:cs="Palatino Linotype"/>
          <w:i/>
          <w:color w:val="000000" w:themeColor="text1"/>
        </w:rPr>
      </w:pPr>
    </w:p>
    <w:p w:rsidR="002D19AC" w:rsidRPr="00927E3A" w:rsidRDefault="002D19AC">
      <w:pPr>
        <w:pBdr>
          <w:top w:val="nil"/>
          <w:left w:val="nil"/>
          <w:bottom w:val="nil"/>
          <w:right w:val="nil"/>
          <w:between w:val="nil"/>
        </w:pBdr>
        <w:ind w:left="1134" w:right="902"/>
        <w:jc w:val="both"/>
        <w:rPr>
          <w:rFonts w:ascii="Palatino Linotype" w:eastAsia="Palatino Linotype" w:hAnsi="Palatino Linotype" w:cs="Palatino Linotype"/>
          <w:i/>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9" w:name="_heading=h.3dy6vkm" w:colFirst="0" w:colLast="0"/>
      <w:bookmarkEnd w:id="9"/>
      <w:r w:rsidRPr="00927E3A">
        <w:rPr>
          <w:rFonts w:ascii="Palatino Linotype" w:eastAsia="Palatino Linotype" w:hAnsi="Palatino Linotype" w:cs="Palatino Linotype"/>
          <w:color w:val="000000" w:themeColor="text1"/>
        </w:rPr>
        <w:t xml:space="preserve">Finalmente, se dejan a salvo los derechos de la particular a fin de que de considerarlo pertinente, interponga una nueva solicitud de acceso ante el Sujeto Obligado,  a fin de solicitar la información de su interés. </w:t>
      </w:r>
    </w:p>
    <w:p w:rsidR="002D19AC" w:rsidRPr="00927E3A" w:rsidRDefault="002D19AC">
      <w:pPr>
        <w:spacing w:line="360" w:lineRule="auto"/>
        <w:jc w:val="both"/>
        <w:rPr>
          <w:rFonts w:ascii="Palatino Linotype" w:eastAsia="Palatino Linotype" w:hAnsi="Palatino Linotype" w:cs="Palatino Linotype"/>
          <w:color w:val="000000" w:themeColor="text1"/>
        </w:rPr>
      </w:pPr>
    </w:p>
    <w:p w:rsidR="002D19AC" w:rsidRPr="00927E3A" w:rsidRDefault="00B77D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2D19AC" w:rsidRPr="00927E3A" w:rsidRDefault="002D19AC">
      <w:pPr>
        <w:pBdr>
          <w:top w:val="nil"/>
          <w:left w:val="nil"/>
          <w:bottom w:val="nil"/>
          <w:right w:val="nil"/>
          <w:between w:val="nil"/>
        </w:pBdr>
        <w:ind w:left="720"/>
        <w:rPr>
          <w:rFonts w:ascii="Palatino Linotype" w:eastAsia="Palatino Linotype" w:hAnsi="Palatino Linotype" w:cs="Palatino Linotype"/>
          <w:color w:val="000000" w:themeColor="text1"/>
        </w:rPr>
      </w:pPr>
    </w:p>
    <w:p w:rsidR="002D19AC" w:rsidRPr="00927E3A" w:rsidRDefault="002D19AC">
      <w:pPr>
        <w:pBdr>
          <w:top w:val="nil"/>
          <w:left w:val="nil"/>
          <w:bottom w:val="nil"/>
          <w:right w:val="nil"/>
          <w:between w:val="nil"/>
        </w:pBdr>
        <w:ind w:left="720"/>
        <w:rPr>
          <w:rFonts w:ascii="Palatino Linotype" w:eastAsia="Palatino Linotype" w:hAnsi="Palatino Linotype" w:cs="Palatino Linotype"/>
          <w:color w:val="000000" w:themeColor="text1"/>
        </w:rPr>
      </w:pPr>
    </w:p>
    <w:p w:rsidR="002D19AC" w:rsidRPr="00927E3A" w:rsidRDefault="00B77D2C">
      <w:pPr>
        <w:keepNext/>
        <w:keepLines/>
        <w:spacing w:line="360" w:lineRule="auto"/>
        <w:jc w:val="center"/>
        <w:rPr>
          <w:rFonts w:ascii="Palatino Linotype" w:eastAsia="Palatino Linotype" w:hAnsi="Palatino Linotype" w:cs="Palatino Linotype"/>
          <w:b/>
          <w:color w:val="000000" w:themeColor="text1"/>
        </w:rPr>
      </w:pPr>
      <w:bookmarkStart w:id="10" w:name="_heading=h.1t3h5sf" w:colFirst="0" w:colLast="0"/>
      <w:bookmarkEnd w:id="10"/>
      <w:r w:rsidRPr="00927E3A">
        <w:rPr>
          <w:rFonts w:ascii="Palatino Linotype" w:eastAsia="Palatino Linotype" w:hAnsi="Palatino Linotype" w:cs="Palatino Linotype"/>
          <w:b/>
          <w:color w:val="000000" w:themeColor="text1"/>
        </w:rPr>
        <w:t>R E S O L U T I V O S</w:t>
      </w:r>
    </w:p>
    <w:p w:rsidR="002D19AC" w:rsidRPr="00927E3A" w:rsidRDefault="002D19AC">
      <w:pPr>
        <w:rPr>
          <w:rFonts w:ascii="Palatino Linotype" w:eastAsia="Palatino Linotype" w:hAnsi="Palatino Linotype" w:cs="Palatino Linotype"/>
          <w:color w:val="000000" w:themeColor="text1"/>
        </w:rPr>
      </w:pPr>
    </w:p>
    <w:p w:rsidR="002D19AC" w:rsidRPr="00927E3A" w:rsidRDefault="00B77D2C">
      <w:pPr>
        <w:pBdr>
          <w:top w:val="nil"/>
          <w:left w:val="nil"/>
          <w:bottom w:val="nil"/>
          <w:right w:val="nil"/>
          <w:between w:val="nil"/>
        </w:pBdr>
        <w:tabs>
          <w:tab w:val="left" w:pos="7936"/>
        </w:tabs>
        <w:spacing w:before="240" w:after="240" w:line="360" w:lineRule="auto"/>
        <w:ind w:left="-285"/>
        <w:jc w:val="both"/>
        <w:rPr>
          <w:rFonts w:ascii="Palatino Linotype" w:eastAsia="Palatino Linotype" w:hAnsi="Palatino Linotype" w:cs="Palatino Linotype"/>
          <w:b/>
          <w:color w:val="000000" w:themeColor="text1"/>
        </w:rPr>
      </w:pPr>
      <w:r w:rsidRPr="00927E3A">
        <w:rPr>
          <w:rFonts w:ascii="Palatino Linotype" w:eastAsia="Palatino Linotype" w:hAnsi="Palatino Linotype" w:cs="Palatino Linotype"/>
          <w:b/>
          <w:color w:val="000000" w:themeColor="text1"/>
        </w:rPr>
        <w:t xml:space="preserve">PRIMERO. </w:t>
      </w:r>
      <w:r w:rsidRPr="00927E3A">
        <w:rPr>
          <w:rFonts w:ascii="Palatino Linotype" w:eastAsia="Palatino Linotype" w:hAnsi="Palatino Linotype" w:cs="Palatino Linotype"/>
          <w:color w:val="000000" w:themeColor="text1"/>
        </w:rPr>
        <w:t>Se</w:t>
      </w:r>
      <w:r w:rsidRPr="00927E3A">
        <w:rPr>
          <w:rFonts w:ascii="Palatino Linotype" w:eastAsia="Palatino Linotype" w:hAnsi="Palatino Linotype" w:cs="Palatino Linotype"/>
          <w:b/>
          <w:color w:val="000000" w:themeColor="text1"/>
        </w:rPr>
        <w:t xml:space="preserve"> Sobresee </w:t>
      </w:r>
      <w:r w:rsidRPr="00927E3A">
        <w:rPr>
          <w:rFonts w:ascii="Palatino Linotype" w:eastAsia="Palatino Linotype" w:hAnsi="Palatino Linotype" w:cs="Palatino Linotype"/>
          <w:color w:val="000000" w:themeColor="text1"/>
        </w:rPr>
        <w:t xml:space="preserve">el recurso de revisión número </w:t>
      </w:r>
      <w:r w:rsidRPr="00927E3A">
        <w:rPr>
          <w:rFonts w:ascii="Palatino Linotype" w:eastAsia="Palatino Linotype" w:hAnsi="Palatino Linotype" w:cs="Palatino Linotype"/>
          <w:b/>
          <w:color w:val="000000" w:themeColor="text1"/>
        </w:rPr>
        <w:t xml:space="preserve">01173/INFOEM/IP/RR/2025, </w:t>
      </w:r>
      <w:r w:rsidRPr="00927E3A">
        <w:rPr>
          <w:rFonts w:ascii="Palatino Linotype" w:eastAsia="Palatino Linotype" w:hAnsi="Palatino Linotype" w:cs="Palatino Linotype"/>
          <w:color w:val="000000" w:themeColor="text1"/>
        </w:rPr>
        <w:t>porque una vez admitido se actualizó la causal de improcedencia prevista en artículo 192</w:t>
      </w:r>
      <w:r w:rsidR="00F432E3" w:rsidRPr="00927E3A">
        <w:rPr>
          <w:rFonts w:ascii="Palatino Linotype" w:eastAsia="Palatino Linotype" w:hAnsi="Palatino Linotype" w:cs="Palatino Linotype"/>
          <w:color w:val="000000" w:themeColor="text1"/>
        </w:rPr>
        <w:t>,</w:t>
      </w:r>
      <w:r w:rsidRPr="00927E3A">
        <w:rPr>
          <w:rFonts w:ascii="Palatino Linotype" w:eastAsia="Palatino Linotype" w:hAnsi="Palatino Linotype" w:cs="Palatino Linotype"/>
          <w:color w:val="000000" w:themeColor="text1"/>
        </w:rPr>
        <w:t xml:space="preserve"> fracción IV, en relación con la fracción VI del artículo 191, de la Ley de Transparencia vigente en la entidad, por ser improcedente en términos del Considerando</w:t>
      </w:r>
      <w:r w:rsidRPr="00927E3A">
        <w:rPr>
          <w:rFonts w:ascii="Palatino Linotype" w:eastAsia="Palatino Linotype" w:hAnsi="Palatino Linotype" w:cs="Palatino Linotype"/>
          <w:b/>
          <w:color w:val="000000" w:themeColor="text1"/>
        </w:rPr>
        <w:t xml:space="preserve"> Tercero d</w:t>
      </w:r>
      <w:r w:rsidRPr="00927E3A">
        <w:rPr>
          <w:rFonts w:ascii="Palatino Linotype" w:eastAsia="Palatino Linotype" w:hAnsi="Palatino Linotype" w:cs="Palatino Linotype"/>
          <w:color w:val="000000" w:themeColor="text1"/>
        </w:rPr>
        <w:t>e la presente resolución.</w:t>
      </w:r>
    </w:p>
    <w:p w:rsidR="002D19AC" w:rsidRPr="00927E3A" w:rsidRDefault="00B77D2C">
      <w:pPr>
        <w:pBdr>
          <w:top w:val="nil"/>
          <w:left w:val="nil"/>
          <w:bottom w:val="nil"/>
          <w:right w:val="nil"/>
          <w:between w:val="nil"/>
        </w:pBdr>
        <w:tabs>
          <w:tab w:val="left" w:pos="7936"/>
        </w:tabs>
        <w:spacing w:before="240" w:after="240" w:line="360" w:lineRule="auto"/>
        <w:ind w:left="-285"/>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b/>
          <w:color w:val="000000" w:themeColor="text1"/>
        </w:rPr>
        <w:lastRenderedPageBreak/>
        <w:t xml:space="preserve">SEGUNDO. Notifíquese, </w:t>
      </w:r>
      <w:r w:rsidRPr="00927E3A">
        <w:rPr>
          <w:rFonts w:ascii="Palatino Linotype" w:eastAsia="Palatino Linotype" w:hAnsi="Palatino Linotype" w:cs="Palatino Linotype"/>
          <w:color w:val="000000" w:themeColor="text1"/>
        </w:rPr>
        <w:t>vía</w:t>
      </w:r>
      <w:r w:rsidRPr="00927E3A">
        <w:rPr>
          <w:rFonts w:ascii="Palatino Linotype" w:eastAsia="Palatino Linotype" w:hAnsi="Palatino Linotype" w:cs="Palatino Linotype"/>
          <w:b/>
          <w:color w:val="000000" w:themeColor="text1"/>
        </w:rPr>
        <w:t xml:space="preserve"> SAIMEX,</w:t>
      </w:r>
      <w:r w:rsidRPr="00927E3A">
        <w:rPr>
          <w:rFonts w:ascii="Palatino Linotype" w:eastAsia="Palatino Linotype" w:hAnsi="Palatino Linotype" w:cs="Palatino Linotype"/>
          <w:color w:val="000000" w:themeColor="text1"/>
        </w:rPr>
        <w:t xml:space="preserve"> al Responsable de la Unidad de Transparencia del </w:t>
      </w:r>
      <w:r w:rsidRPr="00927E3A">
        <w:rPr>
          <w:rFonts w:ascii="Palatino Linotype" w:eastAsia="Palatino Linotype" w:hAnsi="Palatino Linotype" w:cs="Palatino Linotype"/>
          <w:b/>
          <w:color w:val="000000" w:themeColor="text1"/>
        </w:rPr>
        <w:t>Sujeto Obligado</w:t>
      </w:r>
      <w:r w:rsidRPr="00927E3A">
        <w:rPr>
          <w:rFonts w:ascii="Palatino Linotype" w:eastAsia="Palatino Linotype" w:hAnsi="Palatino Linotype" w:cs="Palatino Linotype"/>
          <w:color w:val="000000" w:themeColor="text1"/>
        </w:rPr>
        <w:t xml:space="preserve"> la presente resolución, para su conocimiento.</w:t>
      </w:r>
    </w:p>
    <w:p w:rsidR="002D19AC" w:rsidRPr="00927E3A" w:rsidRDefault="00B77D2C">
      <w:pPr>
        <w:widowControl w:val="0"/>
        <w:pBdr>
          <w:top w:val="nil"/>
          <w:left w:val="nil"/>
          <w:bottom w:val="nil"/>
          <w:right w:val="nil"/>
          <w:between w:val="nil"/>
        </w:pBdr>
        <w:tabs>
          <w:tab w:val="left" w:pos="1701"/>
        </w:tabs>
        <w:spacing w:before="240" w:line="360" w:lineRule="auto"/>
        <w:ind w:left="-285"/>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b/>
          <w:color w:val="000000" w:themeColor="text1"/>
        </w:rPr>
        <w:t xml:space="preserve">TERCERO. Notifíquese </w:t>
      </w:r>
      <w:r w:rsidRPr="00927E3A">
        <w:rPr>
          <w:rFonts w:ascii="Palatino Linotype" w:eastAsia="Palatino Linotype" w:hAnsi="Palatino Linotype" w:cs="Palatino Linotype"/>
          <w:color w:val="000000" w:themeColor="text1"/>
        </w:rPr>
        <w:t>a</w:t>
      </w:r>
      <w:r w:rsidRPr="00927E3A">
        <w:rPr>
          <w:rFonts w:ascii="Palatino Linotype" w:eastAsia="Palatino Linotype" w:hAnsi="Palatino Linotype" w:cs="Palatino Linotype"/>
          <w:b/>
          <w:color w:val="000000" w:themeColor="text1"/>
        </w:rPr>
        <w:t xml:space="preserve"> EL RECURRENTE</w:t>
      </w:r>
      <w:r w:rsidRPr="00927E3A">
        <w:rPr>
          <w:rFonts w:ascii="Palatino Linotype" w:eastAsia="Palatino Linotype" w:hAnsi="Palatino Linotype" w:cs="Palatino Linotype"/>
          <w:color w:val="000000" w:themeColor="text1"/>
        </w:rPr>
        <w:t xml:space="preserve"> la presente resolución, vía </w:t>
      </w:r>
      <w:r w:rsidRPr="00927E3A">
        <w:rPr>
          <w:rFonts w:ascii="Palatino Linotype" w:eastAsia="Palatino Linotype" w:hAnsi="Palatino Linotype" w:cs="Palatino Linotype"/>
          <w:b/>
          <w:color w:val="000000" w:themeColor="text1"/>
        </w:rPr>
        <w:t>SAIMEX</w:t>
      </w:r>
      <w:r w:rsidRPr="00927E3A">
        <w:rPr>
          <w:rFonts w:ascii="Palatino Linotype" w:eastAsia="Palatino Linotype" w:hAnsi="Palatino Linotype" w:cs="Palatino Linotype"/>
          <w:color w:val="000000" w:themeColor="text1"/>
        </w:rPr>
        <w:t>.</w:t>
      </w:r>
    </w:p>
    <w:p w:rsidR="002D19AC" w:rsidRPr="00927E3A" w:rsidRDefault="002D19AC">
      <w:pPr>
        <w:widowControl w:val="0"/>
        <w:pBdr>
          <w:top w:val="nil"/>
          <w:left w:val="nil"/>
          <w:bottom w:val="nil"/>
          <w:right w:val="nil"/>
          <w:between w:val="nil"/>
        </w:pBdr>
        <w:tabs>
          <w:tab w:val="left" w:pos="1701"/>
        </w:tabs>
        <w:spacing w:line="360" w:lineRule="auto"/>
        <w:ind w:left="-285"/>
        <w:jc w:val="both"/>
        <w:rPr>
          <w:rFonts w:ascii="Palatino Linotype" w:eastAsia="Palatino Linotype" w:hAnsi="Palatino Linotype" w:cs="Palatino Linotype"/>
          <w:color w:val="000000" w:themeColor="text1"/>
        </w:rPr>
      </w:pPr>
    </w:p>
    <w:p w:rsidR="002D19AC" w:rsidRPr="00927E3A" w:rsidRDefault="00B77D2C">
      <w:pPr>
        <w:widowControl w:val="0"/>
        <w:pBdr>
          <w:top w:val="nil"/>
          <w:left w:val="nil"/>
          <w:bottom w:val="nil"/>
          <w:right w:val="nil"/>
          <w:between w:val="nil"/>
        </w:pBdr>
        <w:tabs>
          <w:tab w:val="left" w:pos="1701"/>
        </w:tabs>
        <w:spacing w:line="360" w:lineRule="auto"/>
        <w:ind w:left="-285"/>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b/>
          <w:color w:val="000000" w:themeColor="text1"/>
        </w:rPr>
        <w:t xml:space="preserve">CUARTO. </w:t>
      </w:r>
      <w:r w:rsidRPr="00927E3A">
        <w:rPr>
          <w:rFonts w:ascii="Palatino Linotype" w:eastAsia="Palatino Linotype" w:hAnsi="Palatino Linotype" w:cs="Palatino Linotype"/>
          <w:color w:val="000000" w:themeColor="text1"/>
        </w:rPr>
        <w:t xml:space="preserve">Se hace del conocimiento de </w:t>
      </w:r>
      <w:r w:rsidRPr="00927E3A">
        <w:rPr>
          <w:rFonts w:ascii="Palatino Linotype" w:eastAsia="Palatino Linotype" w:hAnsi="Palatino Linotype" w:cs="Palatino Linotype"/>
          <w:b/>
          <w:color w:val="000000" w:themeColor="text1"/>
        </w:rPr>
        <w:t>EL RECURRENTE</w:t>
      </w:r>
      <w:r w:rsidRPr="00927E3A">
        <w:rPr>
          <w:rFonts w:ascii="Palatino Linotype" w:eastAsia="Palatino Linotype" w:hAnsi="Palatino Linotype" w:cs="Palatino Linotype"/>
          <w:color w:val="000000" w:themeColor="text1"/>
        </w:rPr>
        <w:t xml:space="preserve"> que, de conformidad con lo establecido en el artículo 196</w:t>
      </w:r>
      <w:r w:rsidR="00F432E3" w:rsidRPr="00927E3A">
        <w:rPr>
          <w:rFonts w:ascii="Palatino Linotype" w:eastAsia="Palatino Linotype" w:hAnsi="Palatino Linotype" w:cs="Palatino Linotype"/>
          <w:color w:val="000000" w:themeColor="text1"/>
        </w:rPr>
        <w:t>,</w:t>
      </w:r>
      <w:r w:rsidRPr="00927E3A">
        <w:rPr>
          <w:rFonts w:ascii="Palatino Linotype" w:eastAsia="Palatino Linotype" w:hAnsi="Palatino Linotype" w:cs="Palatino Linotype"/>
          <w:color w:val="000000" w:themeColor="text1"/>
        </w:rPr>
        <w:t xml:space="preserve"> de la Ley de Transparencia y Acceso a la Información Pública del Estado de México y Municipios, en caso de que considere que la resolución le cause algún perjuicio podrá impugnarla vía juicio de amparo en los té</w:t>
      </w:r>
      <w:r w:rsidR="00F432E3" w:rsidRPr="00927E3A">
        <w:rPr>
          <w:rFonts w:ascii="Palatino Linotype" w:eastAsia="Palatino Linotype" w:hAnsi="Palatino Linotype" w:cs="Palatino Linotype"/>
          <w:color w:val="000000" w:themeColor="text1"/>
        </w:rPr>
        <w:t>rminos de las leyes aplicables.</w:t>
      </w:r>
    </w:p>
    <w:p w:rsidR="00F432E3" w:rsidRPr="00927E3A" w:rsidRDefault="00F432E3">
      <w:pPr>
        <w:spacing w:line="360" w:lineRule="auto"/>
        <w:jc w:val="both"/>
        <w:rPr>
          <w:rFonts w:ascii="Palatino Linotype" w:eastAsia="Palatino Linotype" w:hAnsi="Palatino Linotype" w:cs="Palatino Linotype"/>
          <w:color w:val="000000" w:themeColor="text1"/>
        </w:rPr>
      </w:pPr>
      <w:bookmarkStart w:id="11" w:name="_heading=h.4d34og8" w:colFirst="0" w:colLast="0"/>
      <w:bookmarkStart w:id="12" w:name="_heading=h.tgdiee3sfs8n" w:colFirst="0" w:colLast="0"/>
      <w:bookmarkEnd w:id="11"/>
      <w:bookmarkEnd w:id="12"/>
    </w:p>
    <w:p w:rsidR="002D19AC" w:rsidRPr="00983D7A" w:rsidRDefault="007E3A77" w:rsidP="00F432E3">
      <w:pPr>
        <w:spacing w:line="360" w:lineRule="auto"/>
        <w:ind w:left="-284"/>
        <w:jc w:val="both"/>
        <w:rPr>
          <w:rFonts w:ascii="Palatino Linotype" w:eastAsia="Palatino Linotype" w:hAnsi="Palatino Linotype" w:cs="Palatino Linotype"/>
          <w:color w:val="000000" w:themeColor="text1"/>
        </w:rPr>
      </w:pPr>
      <w:r w:rsidRPr="00927E3A">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2D19AC" w:rsidRPr="00983D7A" w:rsidRDefault="002D19AC" w:rsidP="00F432E3">
      <w:pPr>
        <w:spacing w:before="240" w:after="240" w:line="360" w:lineRule="auto"/>
        <w:ind w:left="-284" w:right="-787"/>
        <w:jc w:val="both"/>
        <w:rPr>
          <w:rFonts w:ascii="Palatino Linotype" w:eastAsia="Palatino Linotype" w:hAnsi="Palatino Linotype" w:cs="Palatino Linotype"/>
          <w:color w:val="000000" w:themeColor="text1"/>
        </w:rPr>
      </w:pPr>
    </w:p>
    <w:p w:rsidR="002D19AC" w:rsidRPr="00983D7A" w:rsidRDefault="002D19AC" w:rsidP="00F432E3">
      <w:pPr>
        <w:spacing w:line="360" w:lineRule="auto"/>
        <w:ind w:left="-284"/>
        <w:jc w:val="both"/>
        <w:rPr>
          <w:rFonts w:ascii="Palatino Linotype" w:eastAsia="Palatino Linotype" w:hAnsi="Palatino Linotype" w:cs="Palatino Linotype"/>
          <w:color w:val="000000" w:themeColor="text1"/>
        </w:rPr>
      </w:pPr>
    </w:p>
    <w:p w:rsidR="002D19AC" w:rsidRPr="00983D7A" w:rsidRDefault="002D19AC">
      <w:pPr>
        <w:spacing w:line="360" w:lineRule="auto"/>
        <w:jc w:val="both"/>
        <w:rPr>
          <w:rFonts w:ascii="Palatino Linotype" w:eastAsia="Palatino Linotype" w:hAnsi="Palatino Linotype" w:cs="Palatino Linotype"/>
          <w:color w:val="000000" w:themeColor="text1"/>
        </w:rPr>
      </w:pPr>
    </w:p>
    <w:p w:rsidR="002D19AC" w:rsidRPr="00983D7A" w:rsidRDefault="002D19AC">
      <w:pPr>
        <w:spacing w:line="360" w:lineRule="auto"/>
        <w:jc w:val="both"/>
        <w:rPr>
          <w:rFonts w:ascii="Palatino Linotype" w:hAnsi="Palatino Linotype"/>
          <w:color w:val="000000" w:themeColor="text1"/>
        </w:rPr>
      </w:pPr>
    </w:p>
    <w:p w:rsidR="002D19AC" w:rsidRPr="00983D7A" w:rsidRDefault="002D19AC">
      <w:pPr>
        <w:rPr>
          <w:rFonts w:ascii="Palatino Linotype" w:hAnsi="Palatino Linotype"/>
          <w:color w:val="000000" w:themeColor="text1"/>
        </w:rPr>
      </w:pPr>
    </w:p>
    <w:p w:rsidR="002D19AC" w:rsidRPr="00983D7A" w:rsidRDefault="00B77D2C">
      <w:pPr>
        <w:rPr>
          <w:rFonts w:ascii="Palatino Linotype" w:hAnsi="Palatino Linotype"/>
          <w:color w:val="000000" w:themeColor="text1"/>
        </w:rPr>
      </w:pPr>
      <w:r w:rsidRPr="00983D7A">
        <w:rPr>
          <w:rFonts w:ascii="Palatino Linotype" w:hAnsi="Palatino Linotype"/>
          <w:color w:val="000000" w:themeColor="text1"/>
        </w:rPr>
        <w:t xml:space="preserve">  </w:t>
      </w:r>
    </w:p>
    <w:p w:rsidR="002D19AC" w:rsidRPr="00983D7A" w:rsidRDefault="002D19AC">
      <w:pPr>
        <w:rPr>
          <w:rFonts w:ascii="Palatino Linotype" w:hAnsi="Palatino Linotype"/>
          <w:color w:val="000000" w:themeColor="text1"/>
        </w:rPr>
      </w:pPr>
    </w:p>
    <w:p w:rsidR="002D19AC" w:rsidRPr="00983D7A" w:rsidRDefault="002D19AC">
      <w:pPr>
        <w:rPr>
          <w:rFonts w:ascii="Palatino Linotype" w:hAnsi="Palatino Linotype"/>
          <w:color w:val="000000" w:themeColor="text1"/>
        </w:rPr>
      </w:pPr>
    </w:p>
    <w:sectPr w:rsidR="002D19AC" w:rsidRPr="00983D7A">
      <w:headerReference w:type="even" r:id="rId8"/>
      <w:headerReference w:type="default" r:id="rId9"/>
      <w:footerReference w:type="default" r:id="rId10"/>
      <w:headerReference w:type="first" r:id="rId11"/>
      <w:footerReference w:type="first" r:id="rId12"/>
      <w:pgSz w:w="12240" w:h="15840"/>
      <w:pgMar w:top="2268" w:right="1701" w:bottom="1843" w:left="1701" w:header="851"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4FA" w:rsidRDefault="002164FA">
      <w:r>
        <w:separator/>
      </w:r>
    </w:p>
  </w:endnote>
  <w:endnote w:type="continuationSeparator" w:id="0">
    <w:p w:rsidR="002164FA" w:rsidRDefault="0021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AC" w:rsidRDefault="00B77D2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2454B">
      <w:rPr>
        <w:rFonts w:ascii="Palatino Linotype" w:eastAsia="Palatino Linotype" w:hAnsi="Palatino Linotype" w:cs="Palatino Linotype"/>
        <w:noProof/>
        <w:color w:val="000000"/>
        <w:sz w:val="20"/>
        <w:szCs w:val="20"/>
      </w:rPr>
      <w:t>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2454B">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2D19AC" w:rsidRDefault="002D19AC">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AC" w:rsidRDefault="00B77D2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2454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2454B">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2D19AC" w:rsidRDefault="002D19AC">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4FA" w:rsidRDefault="002164FA">
      <w:r>
        <w:separator/>
      </w:r>
    </w:p>
  </w:footnote>
  <w:footnote w:type="continuationSeparator" w:id="0">
    <w:p w:rsidR="002164FA" w:rsidRDefault="002164FA">
      <w:r>
        <w:continuationSeparator/>
      </w:r>
    </w:p>
  </w:footnote>
  <w:footnote w:id="1">
    <w:p w:rsidR="002D19AC" w:rsidRDefault="00B77D2C">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2D19AC" w:rsidRDefault="00B77D2C">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2D19AC" w:rsidRDefault="00B77D2C">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2D19AC" w:rsidRDefault="00B77D2C">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5">
    <w:p w:rsidR="002D19AC" w:rsidRDefault="00B77D2C">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AC" w:rsidRDefault="002164FA">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AC" w:rsidRDefault="002D19AC">
    <w:pPr>
      <w:widowControl w:val="0"/>
      <w:pBdr>
        <w:top w:val="nil"/>
        <w:left w:val="nil"/>
        <w:bottom w:val="nil"/>
        <w:right w:val="nil"/>
        <w:between w:val="nil"/>
      </w:pBdr>
      <w:spacing w:line="276" w:lineRule="auto"/>
      <w:rPr>
        <w:rFonts w:eastAsia="Calibri"/>
        <w:color w:val="000000"/>
      </w:rPr>
    </w:pPr>
  </w:p>
  <w:tbl>
    <w:tblPr>
      <w:tblStyle w:val="a0"/>
      <w:tblW w:w="6519" w:type="dxa"/>
      <w:tblInd w:w="3395" w:type="dxa"/>
      <w:tblLayout w:type="fixed"/>
      <w:tblLook w:val="0400" w:firstRow="0" w:lastRow="0" w:firstColumn="0" w:lastColumn="0" w:noHBand="0" w:noVBand="1"/>
    </w:tblPr>
    <w:tblGrid>
      <w:gridCol w:w="2976"/>
      <w:gridCol w:w="3543"/>
    </w:tblGrid>
    <w:tr w:rsidR="002D19AC" w:rsidRPr="007E3A77">
      <w:trPr>
        <w:trHeight w:val="227"/>
      </w:trPr>
      <w:tc>
        <w:tcPr>
          <w:tcW w:w="2976" w:type="dxa"/>
          <w:vAlign w:val="center"/>
        </w:tcPr>
        <w:p w:rsidR="002D19AC" w:rsidRPr="007E3A77" w:rsidRDefault="00B77D2C">
          <w:pPr>
            <w:ind w:right="34"/>
            <w:jc w:val="right"/>
            <w:rPr>
              <w:rFonts w:ascii="Palatino Linotype" w:eastAsia="Palatino Linotype" w:hAnsi="Palatino Linotype" w:cs="Palatino Linotype"/>
              <w:b/>
            </w:rPr>
          </w:pPr>
          <w:r w:rsidRPr="007E3A77">
            <w:rPr>
              <w:rFonts w:ascii="Palatino Linotype" w:eastAsia="Palatino Linotype" w:hAnsi="Palatino Linotype" w:cs="Palatino Linotype"/>
              <w:b/>
            </w:rPr>
            <w:t>Recurso de Revisión:</w:t>
          </w:r>
        </w:p>
      </w:tc>
      <w:tc>
        <w:tcPr>
          <w:tcW w:w="3543" w:type="dxa"/>
          <w:vAlign w:val="center"/>
        </w:tcPr>
        <w:p w:rsidR="002D19AC" w:rsidRPr="007E3A77" w:rsidRDefault="00B77D2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E3A77">
            <w:rPr>
              <w:rFonts w:ascii="Palatino Linotype" w:eastAsia="Palatino Linotype" w:hAnsi="Palatino Linotype" w:cs="Palatino Linotype"/>
              <w:color w:val="000000"/>
            </w:rPr>
            <w:t>01173/INFOEM/IP/RR/2025</w:t>
          </w:r>
        </w:p>
      </w:tc>
    </w:tr>
    <w:tr w:rsidR="002D19AC" w:rsidRPr="007E3A77">
      <w:trPr>
        <w:trHeight w:val="242"/>
      </w:trPr>
      <w:tc>
        <w:tcPr>
          <w:tcW w:w="2976" w:type="dxa"/>
          <w:vAlign w:val="center"/>
        </w:tcPr>
        <w:p w:rsidR="002D19AC" w:rsidRPr="007E3A77" w:rsidRDefault="00B77D2C">
          <w:pPr>
            <w:ind w:right="34"/>
            <w:jc w:val="right"/>
            <w:rPr>
              <w:rFonts w:ascii="Palatino Linotype" w:eastAsia="Palatino Linotype" w:hAnsi="Palatino Linotype" w:cs="Palatino Linotype"/>
              <w:b/>
            </w:rPr>
          </w:pPr>
          <w:r w:rsidRPr="007E3A77">
            <w:rPr>
              <w:rFonts w:ascii="Palatino Linotype" w:eastAsia="Palatino Linotype" w:hAnsi="Palatino Linotype" w:cs="Palatino Linotype"/>
              <w:b/>
            </w:rPr>
            <w:t>Sujeto Obligado:</w:t>
          </w:r>
        </w:p>
      </w:tc>
      <w:tc>
        <w:tcPr>
          <w:tcW w:w="3543" w:type="dxa"/>
          <w:vAlign w:val="center"/>
        </w:tcPr>
        <w:p w:rsidR="002D19AC" w:rsidRPr="007E3A77" w:rsidRDefault="00B77D2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7E3A77">
            <w:rPr>
              <w:rFonts w:ascii="Palatino Linotype" w:eastAsia="Palatino Linotype" w:hAnsi="Palatino Linotype" w:cs="Palatino Linotype"/>
              <w:color w:val="000000"/>
            </w:rPr>
            <w:t>Ayuntamiento de Huehuetoca</w:t>
          </w:r>
        </w:p>
      </w:tc>
    </w:tr>
    <w:tr w:rsidR="002D19AC" w:rsidRPr="007E3A77">
      <w:trPr>
        <w:trHeight w:val="342"/>
      </w:trPr>
      <w:tc>
        <w:tcPr>
          <w:tcW w:w="2976" w:type="dxa"/>
          <w:vAlign w:val="center"/>
        </w:tcPr>
        <w:p w:rsidR="002D19AC" w:rsidRPr="007E3A77" w:rsidRDefault="00B77D2C">
          <w:pPr>
            <w:ind w:right="34"/>
            <w:jc w:val="right"/>
            <w:rPr>
              <w:rFonts w:ascii="Palatino Linotype" w:eastAsia="Palatino Linotype" w:hAnsi="Palatino Linotype" w:cs="Palatino Linotype"/>
              <w:b/>
            </w:rPr>
          </w:pPr>
          <w:r w:rsidRPr="007E3A77">
            <w:rPr>
              <w:rFonts w:ascii="Palatino Linotype" w:eastAsia="Palatino Linotype" w:hAnsi="Palatino Linotype" w:cs="Palatino Linotype"/>
              <w:b/>
            </w:rPr>
            <w:t>Comisionada Ponente:</w:t>
          </w:r>
        </w:p>
      </w:tc>
      <w:tc>
        <w:tcPr>
          <w:tcW w:w="3543" w:type="dxa"/>
          <w:vAlign w:val="center"/>
        </w:tcPr>
        <w:p w:rsidR="002D19AC" w:rsidRPr="007E3A77" w:rsidRDefault="00B77D2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E3A77">
            <w:rPr>
              <w:rFonts w:ascii="Palatino Linotype" w:eastAsia="Palatino Linotype" w:hAnsi="Palatino Linotype" w:cs="Palatino Linotype"/>
              <w:color w:val="000000"/>
            </w:rPr>
            <w:t>María del Rosario Mejía Ayala</w:t>
          </w:r>
        </w:p>
      </w:tc>
    </w:tr>
  </w:tbl>
  <w:p w:rsidR="002D19AC" w:rsidRDefault="002164FA">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75pt;margin-top:-113.2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AC" w:rsidRDefault="002D19AC">
    <w:pPr>
      <w:widowControl w:val="0"/>
      <w:pBdr>
        <w:top w:val="nil"/>
        <w:left w:val="nil"/>
        <w:bottom w:val="nil"/>
        <w:right w:val="nil"/>
        <w:between w:val="nil"/>
      </w:pBdr>
      <w:spacing w:line="276" w:lineRule="auto"/>
      <w:rPr>
        <w:rFonts w:eastAsia="Calibri"/>
        <w:color w:val="000000"/>
        <w:sz w:val="14"/>
        <w:szCs w:val="14"/>
      </w:rPr>
    </w:pPr>
  </w:p>
  <w:tbl>
    <w:tblPr>
      <w:tblStyle w:val="a1"/>
      <w:tblW w:w="6660" w:type="dxa"/>
      <w:tblInd w:w="3333" w:type="dxa"/>
      <w:tblLayout w:type="fixed"/>
      <w:tblLook w:val="0400" w:firstRow="0" w:lastRow="0" w:firstColumn="0" w:lastColumn="0" w:noHBand="0" w:noVBand="1"/>
    </w:tblPr>
    <w:tblGrid>
      <w:gridCol w:w="2977"/>
      <w:gridCol w:w="3683"/>
    </w:tblGrid>
    <w:tr w:rsidR="007E3A77" w:rsidRPr="00983D7A">
      <w:trPr>
        <w:trHeight w:val="227"/>
      </w:trPr>
      <w:tc>
        <w:tcPr>
          <w:tcW w:w="2977" w:type="dxa"/>
          <w:vAlign w:val="center"/>
        </w:tcPr>
        <w:p w:rsidR="002D19AC" w:rsidRPr="00983D7A" w:rsidRDefault="00B77D2C">
          <w:pPr>
            <w:jc w:val="right"/>
            <w:rPr>
              <w:rFonts w:ascii="Palatino Linotype" w:eastAsia="Palatino Linotype" w:hAnsi="Palatino Linotype" w:cs="Palatino Linotype"/>
              <w:b/>
              <w:color w:val="000000" w:themeColor="text1"/>
            </w:rPr>
          </w:pPr>
          <w:r w:rsidRPr="00983D7A">
            <w:rPr>
              <w:rFonts w:ascii="Palatino Linotype" w:eastAsia="Palatino Linotype" w:hAnsi="Palatino Linotype" w:cs="Palatino Linotype"/>
              <w:b/>
              <w:color w:val="000000" w:themeColor="text1"/>
            </w:rPr>
            <w:t>Recurso de Revisión:</w:t>
          </w:r>
        </w:p>
      </w:tc>
      <w:tc>
        <w:tcPr>
          <w:tcW w:w="3684" w:type="dxa"/>
          <w:vAlign w:val="center"/>
        </w:tcPr>
        <w:p w:rsidR="002D19AC" w:rsidRPr="00983D7A" w:rsidRDefault="00B77D2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983D7A">
            <w:rPr>
              <w:rFonts w:ascii="Palatino Linotype" w:eastAsia="Palatino Linotype" w:hAnsi="Palatino Linotype" w:cs="Palatino Linotype"/>
              <w:color w:val="000000" w:themeColor="text1"/>
            </w:rPr>
            <w:t>01173/INFOEM/IP/RR/2025</w:t>
          </w:r>
        </w:p>
      </w:tc>
    </w:tr>
    <w:tr w:rsidR="007E3A77" w:rsidRPr="00983D7A">
      <w:trPr>
        <w:trHeight w:val="242"/>
      </w:trPr>
      <w:tc>
        <w:tcPr>
          <w:tcW w:w="2977" w:type="dxa"/>
          <w:vAlign w:val="center"/>
        </w:tcPr>
        <w:p w:rsidR="002D19AC" w:rsidRPr="00983D7A" w:rsidRDefault="00B77D2C">
          <w:pPr>
            <w:jc w:val="right"/>
            <w:rPr>
              <w:rFonts w:ascii="Palatino Linotype" w:eastAsia="Palatino Linotype" w:hAnsi="Palatino Linotype" w:cs="Palatino Linotype"/>
              <w:b/>
              <w:color w:val="000000" w:themeColor="text1"/>
            </w:rPr>
          </w:pPr>
          <w:r w:rsidRPr="00983D7A">
            <w:rPr>
              <w:rFonts w:ascii="Palatino Linotype" w:eastAsia="Palatino Linotype" w:hAnsi="Palatino Linotype" w:cs="Palatino Linotype"/>
              <w:b/>
              <w:color w:val="000000" w:themeColor="text1"/>
            </w:rPr>
            <w:t>Recurrente:</w:t>
          </w:r>
        </w:p>
      </w:tc>
      <w:tc>
        <w:tcPr>
          <w:tcW w:w="3684" w:type="dxa"/>
        </w:tcPr>
        <w:p w:rsidR="002D19AC" w:rsidRPr="00983D7A" w:rsidRDefault="00B77D2C" w:rsidP="00B2454B">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rPr>
          </w:pPr>
          <w:r w:rsidRPr="00983D7A">
            <w:rPr>
              <w:rFonts w:ascii="Palatino Linotype" w:eastAsia="Palatino Linotype" w:hAnsi="Palatino Linotype" w:cs="Palatino Linotype"/>
              <w:color w:val="000000" w:themeColor="text1"/>
            </w:rPr>
            <w:t> </w:t>
          </w:r>
          <w:r w:rsidR="00B2454B">
            <w:rPr>
              <w:rFonts w:ascii="Palatino Linotype" w:eastAsia="Palatino Linotype" w:hAnsi="Palatino Linotype" w:cs="Palatino Linotype"/>
              <w:color w:val="000000" w:themeColor="text1"/>
            </w:rPr>
            <w:t>XXXX</w:t>
          </w:r>
        </w:p>
      </w:tc>
    </w:tr>
    <w:tr w:rsidR="007E3A77" w:rsidRPr="00983D7A">
      <w:trPr>
        <w:trHeight w:val="342"/>
      </w:trPr>
      <w:tc>
        <w:tcPr>
          <w:tcW w:w="2977" w:type="dxa"/>
          <w:vAlign w:val="center"/>
        </w:tcPr>
        <w:p w:rsidR="002D19AC" w:rsidRPr="00983D7A" w:rsidRDefault="00B77D2C">
          <w:pPr>
            <w:jc w:val="right"/>
            <w:rPr>
              <w:rFonts w:ascii="Palatino Linotype" w:eastAsia="Palatino Linotype" w:hAnsi="Palatino Linotype" w:cs="Palatino Linotype"/>
              <w:b/>
              <w:color w:val="000000" w:themeColor="text1"/>
            </w:rPr>
          </w:pPr>
          <w:r w:rsidRPr="00983D7A">
            <w:rPr>
              <w:rFonts w:ascii="Palatino Linotype" w:eastAsia="Palatino Linotype" w:hAnsi="Palatino Linotype" w:cs="Palatino Linotype"/>
              <w:b/>
              <w:color w:val="000000" w:themeColor="text1"/>
            </w:rPr>
            <w:t>Sujeto Obligado:</w:t>
          </w:r>
        </w:p>
      </w:tc>
      <w:tc>
        <w:tcPr>
          <w:tcW w:w="3684" w:type="dxa"/>
          <w:vAlign w:val="center"/>
        </w:tcPr>
        <w:p w:rsidR="002D19AC" w:rsidRPr="00983D7A" w:rsidRDefault="00B77D2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rPr>
          </w:pPr>
          <w:r w:rsidRPr="00983D7A">
            <w:rPr>
              <w:rFonts w:ascii="Palatino Linotype" w:eastAsia="Palatino Linotype" w:hAnsi="Palatino Linotype" w:cs="Palatino Linotype"/>
              <w:color w:val="000000" w:themeColor="text1"/>
            </w:rPr>
            <w:t>Ayuntamiento de Huehuetoca</w:t>
          </w:r>
        </w:p>
      </w:tc>
    </w:tr>
    <w:tr w:rsidR="007E3A77" w:rsidRPr="00983D7A">
      <w:trPr>
        <w:trHeight w:val="342"/>
      </w:trPr>
      <w:tc>
        <w:tcPr>
          <w:tcW w:w="2977" w:type="dxa"/>
          <w:vAlign w:val="center"/>
        </w:tcPr>
        <w:p w:rsidR="002D19AC" w:rsidRPr="00983D7A" w:rsidRDefault="00B77D2C">
          <w:pPr>
            <w:jc w:val="right"/>
            <w:rPr>
              <w:rFonts w:ascii="Palatino Linotype" w:eastAsia="Palatino Linotype" w:hAnsi="Palatino Linotype" w:cs="Palatino Linotype"/>
              <w:b/>
              <w:color w:val="000000" w:themeColor="text1"/>
            </w:rPr>
          </w:pPr>
          <w:r w:rsidRPr="00983D7A">
            <w:rPr>
              <w:rFonts w:ascii="Palatino Linotype" w:eastAsia="Palatino Linotype" w:hAnsi="Palatino Linotype" w:cs="Palatino Linotype"/>
              <w:b/>
              <w:color w:val="000000" w:themeColor="text1"/>
            </w:rPr>
            <w:t>Comisionada Ponente:</w:t>
          </w:r>
        </w:p>
      </w:tc>
      <w:tc>
        <w:tcPr>
          <w:tcW w:w="3684" w:type="dxa"/>
          <w:vAlign w:val="center"/>
        </w:tcPr>
        <w:p w:rsidR="002D19AC" w:rsidRPr="00983D7A" w:rsidRDefault="00B77D2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983D7A">
            <w:rPr>
              <w:rFonts w:ascii="Palatino Linotype" w:eastAsia="Palatino Linotype" w:hAnsi="Palatino Linotype" w:cs="Palatino Linotype"/>
              <w:color w:val="000000" w:themeColor="text1"/>
            </w:rPr>
            <w:t>María del Rosario Mejía Ayala</w:t>
          </w:r>
        </w:p>
      </w:tc>
    </w:tr>
  </w:tbl>
  <w:p w:rsidR="002D19AC" w:rsidRDefault="002164FA">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E57AE"/>
    <w:multiLevelType w:val="multilevel"/>
    <w:tmpl w:val="DC543F6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2F2798"/>
    <w:multiLevelType w:val="multilevel"/>
    <w:tmpl w:val="6D5A88F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AC"/>
    <w:rsid w:val="000B7B78"/>
    <w:rsid w:val="000F7333"/>
    <w:rsid w:val="00172E45"/>
    <w:rsid w:val="002164FA"/>
    <w:rsid w:val="002D19AC"/>
    <w:rsid w:val="007E3A77"/>
    <w:rsid w:val="00927E3A"/>
    <w:rsid w:val="00983D7A"/>
    <w:rsid w:val="00B2454B"/>
    <w:rsid w:val="00B77D2C"/>
    <w:rsid w:val="00F432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2C5A197-2413-419A-B4F0-081350D0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EF6"/>
    <w:rPr>
      <w:rFonts w:eastAsiaTheme="minorEastAsia"/>
      <w:lang w:eastAsia="es-ES"/>
    </w:rPr>
  </w:style>
  <w:style w:type="paragraph" w:styleId="Ttulo1">
    <w:name w:val="heading 1"/>
    <w:basedOn w:val="Normal"/>
    <w:next w:val="Normal"/>
    <w:link w:val="Ttulo1Car"/>
    <w:uiPriority w:val="9"/>
    <w:qFormat/>
    <w:rsid w:val="00D13E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13E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D13EF6"/>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D13EF6"/>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D13EF6"/>
    <w:pPr>
      <w:tabs>
        <w:tab w:val="center" w:pos="4419"/>
        <w:tab w:val="right" w:pos="8838"/>
      </w:tabs>
    </w:pPr>
  </w:style>
  <w:style w:type="character" w:customStyle="1" w:styleId="EncabezadoCar">
    <w:name w:val="Encabezado Car"/>
    <w:basedOn w:val="Fuentedeprrafopredeter"/>
    <w:link w:val="Encabezado"/>
    <w:uiPriority w:val="99"/>
    <w:rsid w:val="00D13EF6"/>
    <w:rPr>
      <w:rFonts w:eastAsiaTheme="minorEastAsia"/>
      <w:sz w:val="24"/>
      <w:szCs w:val="24"/>
      <w:lang w:val="es-ES_tradnl" w:eastAsia="es-ES"/>
    </w:rPr>
  </w:style>
  <w:style w:type="paragraph" w:styleId="Piedepgina">
    <w:name w:val="footer"/>
    <w:basedOn w:val="Normal"/>
    <w:link w:val="PiedepginaCar"/>
    <w:uiPriority w:val="99"/>
    <w:unhideWhenUsed/>
    <w:rsid w:val="00D13EF6"/>
    <w:pPr>
      <w:tabs>
        <w:tab w:val="center" w:pos="4419"/>
        <w:tab w:val="right" w:pos="8838"/>
      </w:tabs>
    </w:pPr>
  </w:style>
  <w:style w:type="character" w:customStyle="1" w:styleId="PiedepginaCar">
    <w:name w:val="Pie de página Car"/>
    <w:basedOn w:val="Fuentedeprrafopredeter"/>
    <w:link w:val="Piedepgina"/>
    <w:uiPriority w:val="99"/>
    <w:rsid w:val="00D13EF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13EF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13EF6"/>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D13EF6"/>
    <w:pPr>
      <w:spacing w:after="120"/>
      <w:ind w:left="283"/>
    </w:pPr>
    <w:rPr>
      <w:rFonts w:ascii="Times New Roman" w:eastAsia="Times New Roman" w:hAnsi="Times New Roman" w:cs="Times New Roman"/>
      <w:lang w:val="es-MX" w:eastAsia="es-MX"/>
    </w:rPr>
  </w:style>
  <w:style w:type="character" w:customStyle="1" w:styleId="SangradetextonormalCar">
    <w:name w:val="Sangría de texto normal Car"/>
    <w:basedOn w:val="Fuentedeprrafopredeter"/>
    <w:link w:val="Sangradetextonormal"/>
    <w:uiPriority w:val="99"/>
    <w:rsid w:val="00D13EF6"/>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D13E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3EF6"/>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EJFQo59j7Awg2J+tSxp6VNPbw==">CgMxLjAyDWguMW8zZXpsZnpoYjUyDWgubWRsY2pqdm1sZTcyDmguMml2eXowNjBpdzhhMg5oLnEyZ2lzc2U3M2h3ZDIOaC5jdXA3Nmk5MW5jZDgyDmgucGt4ZzF5aHNqNmVlMg5oLjVjMWt1ZDRyaXQ3bDIOaC5rZGd2aTIxeHMyanMyCWguM2R5NnZrbTIJaC4xdDNoNXNmMgloLjRkMzRvZzgyDmgudGdkaWVlM3NmczhuOAByITFsY0pDM1JYV3BVSmtVTjVmN3MxazJ1dkROSW1MZ29h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4838</Words>
  <Characters>26614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2025-04-10T22:15:00Z</cp:lastPrinted>
  <dcterms:created xsi:type="dcterms:W3CDTF">2025-03-31T23:38:00Z</dcterms:created>
  <dcterms:modified xsi:type="dcterms:W3CDTF">2025-04-11T19:38:00Z</dcterms:modified>
</cp:coreProperties>
</file>