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2980" w14:textId="77777777" w:rsidR="001D70AE" w:rsidRDefault="001D70AE">
      <w:pPr>
        <w:widowControl w:val="0"/>
        <w:pBdr>
          <w:top w:val="nil"/>
          <w:left w:val="nil"/>
          <w:bottom w:val="nil"/>
          <w:right w:val="nil"/>
          <w:between w:val="nil"/>
        </w:pBdr>
        <w:spacing w:after="0" w:line="276" w:lineRule="auto"/>
        <w:jc w:val="left"/>
      </w:pPr>
    </w:p>
    <w:p w14:paraId="3203F608" w14:textId="77777777" w:rsidR="001D70AE" w:rsidRDefault="001D70AE">
      <w:pPr>
        <w:widowControl w:val="0"/>
        <w:pBdr>
          <w:top w:val="nil"/>
          <w:left w:val="nil"/>
          <w:bottom w:val="nil"/>
          <w:right w:val="nil"/>
          <w:between w:val="nil"/>
        </w:pBdr>
        <w:spacing w:after="0" w:line="360" w:lineRule="auto"/>
        <w:jc w:val="left"/>
      </w:pPr>
    </w:p>
    <w:p w14:paraId="5D026546" w14:textId="77777777" w:rsidR="001D70AE" w:rsidRDefault="00CD61A4">
      <w:pPr>
        <w:keepNext/>
        <w:keepLines/>
        <w:pBdr>
          <w:top w:val="nil"/>
          <w:left w:val="nil"/>
          <w:bottom w:val="nil"/>
          <w:right w:val="nil"/>
          <w:between w:val="nil"/>
        </w:pBdr>
        <w:spacing w:before="240" w:after="0"/>
        <w:jc w:val="left"/>
        <w:rPr>
          <w:rFonts w:ascii="Calibri" w:eastAsia="Calibri" w:hAnsi="Calibri" w:cs="Calibri"/>
          <w:color w:val="2F5496"/>
          <w:sz w:val="32"/>
          <w:szCs w:val="32"/>
        </w:rPr>
      </w:pPr>
      <w:r>
        <w:rPr>
          <w:rFonts w:ascii="Calibri" w:eastAsia="Calibri" w:hAnsi="Calibri" w:cs="Calibri"/>
          <w:color w:val="2F5496"/>
          <w:sz w:val="32"/>
          <w:szCs w:val="32"/>
        </w:rPr>
        <w:t>Tabla de contenido</w:t>
      </w:r>
    </w:p>
    <w:sdt>
      <w:sdtPr>
        <w:id w:val="1771445866"/>
        <w:docPartObj>
          <w:docPartGallery w:val="Table of Contents"/>
          <w:docPartUnique/>
        </w:docPartObj>
      </w:sdtPr>
      <w:sdtContent>
        <w:p w14:paraId="3FF41C80" w14:textId="77777777" w:rsidR="001D70AE" w:rsidRDefault="00CD61A4">
          <w:pPr>
            <w:pBdr>
              <w:top w:val="nil"/>
              <w:left w:val="nil"/>
              <w:bottom w:val="nil"/>
              <w:right w:val="nil"/>
              <w:between w:val="nil"/>
            </w:pBdr>
            <w:tabs>
              <w:tab w:val="right" w:pos="9204"/>
            </w:tabs>
            <w:spacing w:after="100"/>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o5fn1zpjhty8">
            <w:r w:rsidR="001D70AE">
              <w:rPr>
                <w:color w:val="000000"/>
              </w:rPr>
              <w:t>A N T E C E D E N T E S</w:t>
            </w:r>
            <w:r w:rsidR="001D70AE">
              <w:rPr>
                <w:color w:val="000000"/>
              </w:rPr>
              <w:tab/>
              <w:t>2</w:t>
            </w:r>
          </w:hyperlink>
        </w:p>
        <w:p w14:paraId="12F62DD3"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19vqrj5m7pq7">
            <w:r>
              <w:rPr>
                <w:color w:val="000000"/>
              </w:rPr>
              <w:t>I. Presentación de la solicitud de información</w:t>
            </w:r>
            <w:r>
              <w:rPr>
                <w:color w:val="000000"/>
              </w:rPr>
              <w:tab/>
              <w:t>2</w:t>
            </w:r>
          </w:hyperlink>
        </w:p>
        <w:p w14:paraId="0948AA88"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ckzxmbw1doax">
            <w:r>
              <w:rPr>
                <w:color w:val="000000"/>
              </w:rPr>
              <w:t>II. Respuesta del Sujeto Obligado</w:t>
            </w:r>
            <w:r>
              <w:rPr>
                <w:color w:val="000000"/>
              </w:rPr>
              <w:tab/>
              <w:t>3</w:t>
            </w:r>
          </w:hyperlink>
        </w:p>
        <w:p w14:paraId="43C2E3B2"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jroobwnwexmj">
            <w:r>
              <w:rPr>
                <w:color w:val="000000"/>
              </w:rPr>
              <w:t>III. Interposición del Recurso de Revisión</w:t>
            </w:r>
            <w:r>
              <w:rPr>
                <w:color w:val="000000"/>
              </w:rPr>
              <w:tab/>
              <w:t>4</w:t>
            </w:r>
          </w:hyperlink>
        </w:p>
        <w:p w14:paraId="26A5F7A9"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yfoibmyugnn">
            <w:r>
              <w:rPr>
                <w:color w:val="000000"/>
              </w:rPr>
              <w:t>IV. Trámite del Recurso de Revisión ante este Instituto</w:t>
            </w:r>
            <w:r>
              <w:rPr>
                <w:color w:val="000000"/>
              </w:rPr>
              <w:tab/>
              <w:t>4</w:t>
            </w:r>
          </w:hyperlink>
        </w:p>
        <w:p w14:paraId="481AD99F" w14:textId="77777777" w:rsidR="001D70AE" w:rsidRDefault="001D70AE">
          <w:pPr>
            <w:pBdr>
              <w:top w:val="nil"/>
              <w:left w:val="nil"/>
              <w:bottom w:val="nil"/>
              <w:right w:val="nil"/>
              <w:between w:val="nil"/>
            </w:pBdr>
            <w:tabs>
              <w:tab w:val="right" w:pos="9204"/>
            </w:tabs>
            <w:spacing w:after="100"/>
            <w:rPr>
              <w:rFonts w:ascii="Calibri" w:eastAsia="Calibri" w:hAnsi="Calibri" w:cs="Calibri"/>
              <w:color w:val="000000"/>
              <w:sz w:val="24"/>
              <w:szCs w:val="24"/>
            </w:rPr>
          </w:pPr>
          <w:hyperlink w:anchor="_heading=h.7se989j4k0wz">
            <w:r>
              <w:rPr>
                <w:color w:val="000000"/>
              </w:rPr>
              <w:t>C O N S I D E R A N D O S</w:t>
            </w:r>
            <w:r>
              <w:rPr>
                <w:color w:val="000000"/>
              </w:rPr>
              <w:tab/>
              <w:t>8</w:t>
            </w:r>
          </w:hyperlink>
        </w:p>
        <w:p w14:paraId="491B90B0"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wcugfyfiajo">
            <w:r>
              <w:rPr>
                <w:color w:val="000000"/>
              </w:rPr>
              <w:t>PRIMERO. Competencia</w:t>
            </w:r>
            <w:r>
              <w:rPr>
                <w:color w:val="000000"/>
              </w:rPr>
              <w:tab/>
              <w:t>9</w:t>
            </w:r>
          </w:hyperlink>
        </w:p>
        <w:p w14:paraId="418A874E"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aqp8xezfndx">
            <w:r>
              <w:rPr>
                <w:color w:val="000000"/>
              </w:rPr>
              <w:t>SEGUNDO. Causales de improcedencia y sobreseimiento</w:t>
            </w:r>
            <w:r>
              <w:rPr>
                <w:color w:val="000000"/>
              </w:rPr>
              <w:tab/>
              <w:t>9</w:t>
            </w:r>
          </w:hyperlink>
        </w:p>
        <w:p w14:paraId="7A758D3B"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5ksfmyauyn9y">
            <w:r>
              <w:rPr>
                <w:color w:val="000000"/>
              </w:rPr>
              <w:t>TERCERO. Determinación de la Controversia</w:t>
            </w:r>
            <w:r>
              <w:rPr>
                <w:color w:val="000000"/>
              </w:rPr>
              <w:tab/>
              <w:t>10</w:t>
            </w:r>
          </w:hyperlink>
        </w:p>
        <w:p w14:paraId="0AB7FEBB"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u0m56rejssfb">
            <w:r>
              <w:rPr>
                <w:color w:val="000000"/>
              </w:rPr>
              <w:t>CUARTO. Marco normativo aplicable en materia de transparencia y acceso a la información pública</w:t>
            </w:r>
            <w:r>
              <w:rPr>
                <w:color w:val="000000"/>
              </w:rPr>
              <w:tab/>
              <w:t>12</w:t>
            </w:r>
          </w:hyperlink>
        </w:p>
        <w:p w14:paraId="4FB40DCC"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103zrw17uc28">
            <w:r>
              <w:rPr>
                <w:smallCaps/>
                <w:color w:val="000000"/>
              </w:rPr>
              <w:t>QUINTO.</w:t>
            </w:r>
          </w:hyperlink>
          <w:hyperlink w:anchor="_heading=h.103zrw17uc28">
            <w:r>
              <w:rPr>
                <w:color w:val="000000"/>
              </w:rPr>
              <w:t xml:space="preserve"> Estudio de Fondo</w:t>
            </w:r>
            <w:r>
              <w:rPr>
                <w:color w:val="000000"/>
              </w:rPr>
              <w:tab/>
              <w:t>13</w:t>
            </w:r>
          </w:hyperlink>
        </w:p>
        <w:p w14:paraId="498217FC" w14:textId="77777777" w:rsidR="001D70AE" w:rsidRDefault="001D70AE">
          <w:pPr>
            <w:pBdr>
              <w:top w:val="nil"/>
              <w:left w:val="nil"/>
              <w:bottom w:val="nil"/>
              <w:right w:val="nil"/>
              <w:between w:val="nil"/>
            </w:pBdr>
            <w:tabs>
              <w:tab w:val="right" w:pos="9204"/>
            </w:tabs>
            <w:spacing w:after="100"/>
            <w:ind w:left="220"/>
            <w:rPr>
              <w:rFonts w:ascii="Calibri" w:eastAsia="Calibri" w:hAnsi="Calibri" w:cs="Calibri"/>
              <w:color w:val="000000"/>
              <w:sz w:val="24"/>
              <w:szCs w:val="24"/>
            </w:rPr>
          </w:pPr>
          <w:hyperlink w:anchor="_heading=h.ldewophjizl">
            <w:r>
              <w:rPr>
                <w:color w:val="000000"/>
              </w:rPr>
              <w:t>SEXTO. Decisión</w:t>
            </w:r>
            <w:r>
              <w:rPr>
                <w:color w:val="000000"/>
              </w:rPr>
              <w:tab/>
              <w:t>29</w:t>
            </w:r>
          </w:hyperlink>
        </w:p>
        <w:p w14:paraId="1EDF0653" w14:textId="77777777" w:rsidR="001D70AE" w:rsidRDefault="001D70AE">
          <w:pPr>
            <w:pBdr>
              <w:top w:val="nil"/>
              <w:left w:val="nil"/>
              <w:bottom w:val="nil"/>
              <w:right w:val="nil"/>
              <w:between w:val="nil"/>
            </w:pBdr>
            <w:tabs>
              <w:tab w:val="right" w:pos="9204"/>
            </w:tabs>
            <w:spacing w:after="100"/>
            <w:rPr>
              <w:rFonts w:ascii="Calibri" w:eastAsia="Calibri" w:hAnsi="Calibri" w:cs="Calibri"/>
              <w:color w:val="000000"/>
              <w:sz w:val="24"/>
              <w:szCs w:val="24"/>
            </w:rPr>
          </w:pPr>
          <w:hyperlink w:anchor="_heading=h.pdf10ffgl4o7">
            <w:r>
              <w:rPr>
                <w:color w:val="000000"/>
              </w:rPr>
              <w:t>R E S U E L V E</w:t>
            </w:r>
            <w:r>
              <w:rPr>
                <w:color w:val="000000"/>
              </w:rPr>
              <w:tab/>
              <w:t>30</w:t>
            </w:r>
          </w:hyperlink>
        </w:p>
        <w:p w14:paraId="6D026794" w14:textId="77777777" w:rsidR="001D70AE" w:rsidRDefault="00CD61A4">
          <w:r>
            <w:fldChar w:fldCharType="end"/>
          </w:r>
        </w:p>
      </w:sdtContent>
    </w:sdt>
    <w:p w14:paraId="104C9945" w14:textId="77777777" w:rsidR="001D70AE" w:rsidRDefault="001D70AE">
      <w:pPr>
        <w:widowControl w:val="0"/>
        <w:pBdr>
          <w:top w:val="nil"/>
          <w:left w:val="nil"/>
          <w:bottom w:val="nil"/>
          <w:right w:val="nil"/>
          <w:between w:val="nil"/>
        </w:pBdr>
        <w:spacing w:after="0" w:line="360" w:lineRule="auto"/>
        <w:jc w:val="left"/>
      </w:pPr>
    </w:p>
    <w:p w14:paraId="65A0B352" w14:textId="77777777" w:rsidR="001D70AE" w:rsidRDefault="001D70AE">
      <w:pPr>
        <w:widowControl w:val="0"/>
        <w:pBdr>
          <w:top w:val="nil"/>
          <w:left w:val="nil"/>
          <w:bottom w:val="nil"/>
          <w:right w:val="nil"/>
          <w:between w:val="nil"/>
        </w:pBdr>
        <w:spacing w:after="0" w:line="360" w:lineRule="auto"/>
        <w:jc w:val="left"/>
      </w:pPr>
    </w:p>
    <w:p w14:paraId="610C4706" w14:textId="77777777" w:rsidR="001D70AE" w:rsidRDefault="00CD61A4">
      <w:pPr>
        <w:pStyle w:val="Ttulo2"/>
        <w:spacing w:before="0" w:after="0"/>
      </w:pPr>
      <w:r>
        <w:br w:type="page"/>
      </w:r>
    </w:p>
    <w:p w14:paraId="2F0DA326" w14:textId="77777777" w:rsidR="001D70AE" w:rsidRDefault="001D70AE">
      <w:pPr>
        <w:widowControl w:val="0"/>
        <w:pBdr>
          <w:top w:val="nil"/>
          <w:left w:val="nil"/>
          <w:bottom w:val="nil"/>
          <w:right w:val="nil"/>
          <w:between w:val="nil"/>
        </w:pBdr>
        <w:spacing w:after="0" w:line="360" w:lineRule="auto"/>
        <w:jc w:val="left"/>
      </w:pPr>
    </w:p>
    <w:p w14:paraId="3938A6D9" w14:textId="77777777" w:rsidR="001D70AE" w:rsidRDefault="00CD61A4">
      <w:pPr>
        <w:spacing w:after="0" w:line="360" w:lineRule="auto"/>
      </w:pPr>
      <w:r>
        <w:t>Resolución del Pleno del Instituto de Transparencia, Acceso a la Información Pública y Protección de Datos Personales del Estado de México y Municipios, con domicilio en Metepec, Estado de México, de fecha seis de agosto de dos mil veinticinco.</w:t>
      </w:r>
    </w:p>
    <w:p w14:paraId="4D659598" w14:textId="77777777" w:rsidR="001D70AE" w:rsidRDefault="001D70AE">
      <w:pPr>
        <w:spacing w:after="0" w:line="360" w:lineRule="auto"/>
        <w:rPr>
          <w:b/>
        </w:rPr>
      </w:pPr>
    </w:p>
    <w:p w14:paraId="4D28BBFD" w14:textId="77777777" w:rsidR="001D70AE" w:rsidRDefault="00CD61A4">
      <w:pPr>
        <w:spacing w:after="0" w:line="360" w:lineRule="auto"/>
      </w:pPr>
      <w:r>
        <w:rPr>
          <w:b/>
        </w:rPr>
        <w:t>VISTO</w:t>
      </w:r>
      <w:r>
        <w:t xml:space="preserve"> el expediente conformado con motivo del Recurso de Revisión </w:t>
      </w:r>
      <w:r>
        <w:rPr>
          <w:b/>
        </w:rPr>
        <w:t>04481/INFOEM/IP/RR/2025</w:t>
      </w:r>
      <w:r>
        <w:t xml:space="preserve">, interpuesto por la persona Recurrente o Particular, en contra de la respuesta del Sujeto Obligado, </w:t>
      </w:r>
      <w:r>
        <w:rPr>
          <w:b/>
        </w:rPr>
        <w:t>Ayuntamiento de Toluca</w:t>
      </w:r>
      <w:r>
        <w:t>, se emite la presente Resolución, con base en los antecedentes y considerandos que se exponen a continuación:</w:t>
      </w:r>
    </w:p>
    <w:p w14:paraId="2EC0B599" w14:textId="77777777" w:rsidR="001D70AE" w:rsidRDefault="001D70AE">
      <w:pPr>
        <w:spacing w:after="0" w:line="360" w:lineRule="auto"/>
      </w:pPr>
    </w:p>
    <w:p w14:paraId="32037C82" w14:textId="77777777" w:rsidR="001D70AE" w:rsidRDefault="00CD61A4">
      <w:pPr>
        <w:pStyle w:val="Ttulo1"/>
        <w:spacing w:before="0" w:after="0"/>
        <w:rPr>
          <w:sz w:val="22"/>
          <w:szCs w:val="22"/>
        </w:rPr>
      </w:pPr>
      <w:bookmarkStart w:id="0" w:name="_heading=h.o5fn1zpjhty8" w:colFirst="0" w:colLast="0"/>
      <w:bookmarkEnd w:id="0"/>
      <w:r>
        <w:rPr>
          <w:sz w:val="22"/>
          <w:szCs w:val="22"/>
        </w:rPr>
        <w:t>A N T E C E D E N T E S</w:t>
      </w:r>
    </w:p>
    <w:p w14:paraId="4ACC5D78" w14:textId="77777777" w:rsidR="001D70AE" w:rsidRDefault="001D70AE">
      <w:pPr>
        <w:spacing w:after="0" w:line="360" w:lineRule="auto"/>
      </w:pPr>
      <w:bookmarkStart w:id="1" w:name="_heading=h.gjdgxs" w:colFirst="0" w:colLast="0"/>
      <w:bookmarkEnd w:id="1"/>
    </w:p>
    <w:p w14:paraId="1D2AA10F" w14:textId="77777777" w:rsidR="001D70AE" w:rsidRDefault="00CD61A4">
      <w:pPr>
        <w:pStyle w:val="Ttulo2"/>
        <w:spacing w:before="0" w:after="0"/>
      </w:pPr>
      <w:bookmarkStart w:id="2" w:name="_heading=h.19vqrj5m7pq7" w:colFirst="0" w:colLast="0"/>
      <w:bookmarkEnd w:id="2"/>
      <w:r>
        <w:t>I. Presentación de la solicitud de información</w:t>
      </w:r>
    </w:p>
    <w:p w14:paraId="07717579" w14:textId="77777777" w:rsidR="001D70AE" w:rsidRDefault="001D70AE">
      <w:pPr>
        <w:tabs>
          <w:tab w:val="left" w:pos="567"/>
        </w:tabs>
        <w:spacing w:after="0" w:line="360" w:lineRule="auto"/>
      </w:pPr>
    </w:p>
    <w:p w14:paraId="26B45F34" w14:textId="77777777" w:rsidR="001D70AE" w:rsidRDefault="00CD61A4">
      <w:pPr>
        <w:spacing w:after="0" w:line="360" w:lineRule="auto"/>
      </w:pPr>
      <w:r>
        <w:t xml:space="preserve">Con fecha veintiuno de marzo de dos mil veinticinco, la parte Solicitante presentó una solicitud de acceso a la información pública, a través del Sistema de Acceso a la Información Mexiquense, en lo sucesivo el SAIMEX, ante el </w:t>
      </w:r>
      <w:r>
        <w:rPr>
          <w:b/>
        </w:rPr>
        <w:t>Ayuntamiento de Toluca</w:t>
      </w:r>
      <w:r>
        <w:t>, en la que requirió lo siguiente:</w:t>
      </w:r>
    </w:p>
    <w:p w14:paraId="70B502DD" w14:textId="77777777" w:rsidR="001D70AE" w:rsidRDefault="001D70AE">
      <w:pPr>
        <w:spacing w:after="0" w:line="360" w:lineRule="auto"/>
      </w:pPr>
    </w:p>
    <w:p w14:paraId="6B3BC23B" w14:textId="77777777" w:rsidR="001D70AE" w:rsidRDefault="00CD61A4">
      <w:pPr>
        <w:tabs>
          <w:tab w:val="left" w:pos="567"/>
        </w:tabs>
        <w:spacing w:after="0" w:line="360" w:lineRule="auto"/>
        <w:ind w:left="567" w:right="709"/>
        <w:rPr>
          <w:b/>
          <w:sz w:val="20"/>
          <w:szCs w:val="20"/>
        </w:rPr>
      </w:pPr>
      <w:r>
        <w:rPr>
          <w:b/>
          <w:sz w:val="20"/>
          <w:szCs w:val="20"/>
        </w:rPr>
        <w:t>Folio de la solicitud: 01757/TOLUCA/IP/2025</w:t>
      </w:r>
    </w:p>
    <w:p w14:paraId="6E974BA4" w14:textId="77777777" w:rsidR="001D70AE" w:rsidRDefault="00CD61A4">
      <w:pPr>
        <w:tabs>
          <w:tab w:val="left" w:pos="567"/>
        </w:tabs>
        <w:spacing w:after="0" w:line="360" w:lineRule="auto"/>
        <w:ind w:left="567" w:right="709"/>
        <w:rPr>
          <w:b/>
          <w:sz w:val="20"/>
          <w:szCs w:val="20"/>
        </w:rPr>
      </w:pPr>
      <w:r>
        <w:rPr>
          <w:b/>
          <w:sz w:val="20"/>
          <w:szCs w:val="20"/>
        </w:rPr>
        <w:t>DESCRIPCIÓN CLARA Y PRECISA DE LA INFORMACIÓN SOLICITADA</w:t>
      </w:r>
    </w:p>
    <w:p w14:paraId="3D3DB64F" w14:textId="77777777" w:rsidR="001D70AE" w:rsidRPr="00AA73E7" w:rsidRDefault="00CD61A4">
      <w:pPr>
        <w:tabs>
          <w:tab w:val="left" w:pos="4667"/>
        </w:tabs>
        <w:spacing w:after="0" w:line="360" w:lineRule="auto"/>
        <w:ind w:left="567" w:right="709"/>
        <w:rPr>
          <w:bCs/>
          <w:i/>
          <w:sz w:val="20"/>
          <w:szCs w:val="20"/>
        </w:rPr>
      </w:pPr>
      <w:r>
        <w:rPr>
          <w:i/>
          <w:sz w:val="20"/>
          <w:szCs w:val="20"/>
        </w:rPr>
        <w:t xml:space="preserve">“De conformidad con lo que establece el “Artículo 90. Cada responsable contará con una Unidad de Transparencia, se integrará y funcionará conforme a lo dispuesto en la Ley de Transparencia y demás normativa aplicable, que tendrá las funciones siguientes: I. Auxiliar y orientar al titular que lo requiera con relación al ejercicio del derecho a la protección de datos personales. (...) VII. Asesorar a las áreas adscritas al responsable en materia de protección de datos personales. (...) Ley de Transparencia. Por tal motivo: </w:t>
      </w:r>
      <w:r>
        <w:rPr>
          <w:b/>
          <w:i/>
          <w:sz w:val="20"/>
          <w:szCs w:val="20"/>
        </w:rPr>
        <w:t xml:space="preserve">Solicito </w:t>
      </w:r>
      <w:r w:rsidRPr="00AA73E7">
        <w:rPr>
          <w:bCs/>
          <w:i/>
          <w:sz w:val="20"/>
          <w:szCs w:val="20"/>
        </w:rPr>
        <w:t xml:space="preserve">saber </w:t>
      </w:r>
      <w:proofErr w:type="spellStart"/>
      <w:r w:rsidRPr="00AA73E7">
        <w:rPr>
          <w:bCs/>
          <w:i/>
          <w:sz w:val="20"/>
          <w:szCs w:val="20"/>
        </w:rPr>
        <w:t>cuantas</w:t>
      </w:r>
      <w:proofErr w:type="spellEnd"/>
      <w:r w:rsidRPr="00AA73E7">
        <w:rPr>
          <w:bCs/>
          <w:i/>
          <w:sz w:val="20"/>
          <w:szCs w:val="20"/>
        </w:rPr>
        <w:t xml:space="preserve"> asesorías han otorgado a las diferentes </w:t>
      </w:r>
      <w:proofErr w:type="spellStart"/>
      <w:r w:rsidRPr="00AA73E7">
        <w:rPr>
          <w:bCs/>
          <w:i/>
          <w:sz w:val="20"/>
          <w:szCs w:val="20"/>
        </w:rPr>
        <w:t>areas</w:t>
      </w:r>
      <w:proofErr w:type="spellEnd"/>
      <w:r w:rsidRPr="00AA73E7">
        <w:rPr>
          <w:bCs/>
          <w:i/>
          <w:sz w:val="20"/>
          <w:szCs w:val="20"/>
        </w:rPr>
        <w:t xml:space="preserve"> de la Administración, así mismo, solicito saber </w:t>
      </w:r>
      <w:proofErr w:type="spellStart"/>
      <w:r w:rsidRPr="00AA73E7">
        <w:rPr>
          <w:bCs/>
          <w:i/>
          <w:sz w:val="20"/>
          <w:szCs w:val="20"/>
        </w:rPr>
        <w:t>cuantas</w:t>
      </w:r>
      <w:proofErr w:type="spellEnd"/>
      <w:r w:rsidRPr="00AA73E7">
        <w:rPr>
          <w:bCs/>
          <w:i/>
          <w:sz w:val="20"/>
          <w:szCs w:val="20"/>
        </w:rPr>
        <w:t xml:space="preserve"> asesorías han recibido las </w:t>
      </w:r>
      <w:proofErr w:type="spellStart"/>
      <w:r w:rsidRPr="00AA73E7">
        <w:rPr>
          <w:bCs/>
          <w:i/>
          <w:sz w:val="20"/>
          <w:szCs w:val="20"/>
        </w:rPr>
        <w:t>Areas</w:t>
      </w:r>
      <w:proofErr w:type="spellEnd"/>
      <w:r w:rsidRPr="00AA73E7">
        <w:rPr>
          <w:bCs/>
          <w:i/>
          <w:sz w:val="20"/>
          <w:szCs w:val="20"/>
        </w:rPr>
        <w:t xml:space="preserve"> de este sujeto </w:t>
      </w:r>
      <w:r w:rsidRPr="00AA73E7">
        <w:rPr>
          <w:bCs/>
          <w:i/>
          <w:sz w:val="20"/>
          <w:szCs w:val="20"/>
        </w:rPr>
        <w:lastRenderedPageBreak/>
        <w:t xml:space="preserve">obligado, en relación a la protección de datos personales. También solicito saber </w:t>
      </w:r>
      <w:proofErr w:type="spellStart"/>
      <w:r w:rsidRPr="00AA73E7">
        <w:rPr>
          <w:bCs/>
          <w:i/>
          <w:sz w:val="20"/>
          <w:szCs w:val="20"/>
        </w:rPr>
        <w:t>cuantas</w:t>
      </w:r>
      <w:proofErr w:type="spellEnd"/>
      <w:r w:rsidRPr="00AA73E7">
        <w:rPr>
          <w:bCs/>
          <w:i/>
          <w:sz w:val="20"/>
          <w:szCs w:val="20"/>
        </w:rPr>
        <w:t xml:space="preserve"> personas son los enlaces de transparencia (Nombres y cargos)y cuantas capacitaciones han tenido. Solicito las listas de asistencia a estas capacitaciones, así como el material otorgado por la Unidad o Coordinación de Transparencia, en relación a la protección de datos personales. Todo esto con la finalidad de desarrollar mi tesis de la Licenciatura en derecho, ya que muchas personas actualmente desconocen este tema tan importante. También deseo saber </w:t>
      </w:r>
      <w:proofErr w:type="spellStart"/>
      <w:r w:rsidRPr="00AA73E7">
        <w:rPr>
          <w:bCs/>
          <w:i/>
          <w:sz w:val="20"/>
          <w:szCs w:val="20"/>
        </w:rPr>
        <w:t>cuantas</w:t>
      </w:r>
      <w:proofErr w:type="spellEnd"/>
      <w:r w:rsidRPr="00AA73E7">
        <w:rPr>
          <w:bCs/>
          <w:i/>
          <w:sz w:val="20"/>
          <w:szCs w:val="20"/>
        </w:rPr>
        <w:t xml:space="preserve"> personas y quiénes se han capacitado en materia de transparencia. Material obtenido, Lugar, hora y lista de asistencia. Les solicito que esta solicitud sea turnada a todas las </w:t>
      </w:r>
      <w:proofErr w:type="spellStart"/>
      <w:r w:rsidRPr="00AA73E7">
        <w:rPr>
          <w:bCs/>
          <w:i/>
          <w:sz w:val="20"/>
          <w:szCs w:val="20"/>
        </w:rPr>
        <w:t>areas</w:t>
      </w:r>
      <w:proofErr w:type="spellEnd"/>
      <w:r w:rsidRPr="00AA73E7">
        <w:rPr>
          <w:bCs/>
          <w:i/>
          <w:sz w:val="20"/>
          <w:szCs w:val="20"/>
        </w:rPr>
        <w:t xml:space="preserve"> para poder tener exactamente la cuantificación de lo que estoy solicitando. Gracias por la atención, espero me contesten en el menor tiempo posible, no en los 15 días que dice la ley.” (Sic.) (énfasis añadido)</w:t>
      </w:r>
    </w:p>
    <w:p w14:paraId="0387C58D" w14:textId="77777777" w:rsidR="001D70AE" w:rsidRDefault="001D70AE">
      <w:pPr>
        <w:tabs>
          <w:tab w:val="left" w:pos="4667"/>
        </w:tabs>
        <w:spacing w:after="0" w:line="360" w:lineRule="auto"/>
        <w:ind w:left="567" w:right="709"/>
        <w:rPr>
          <w:b/>
          <w:sz w:val="20"/>
          <w:szCs w:val="20"/>
        </w:rPr>
      </w:pPr>
    </w:p>
    <w:p w14:paraId="0AB26554" w14:textId="77777777" w:rsidR="001D70AE" w:rsidRDefault="00CD61A4">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78E5F658" w14:textId="77777777" w:rsidR="001D70AE" w:rsidRDefault="001D70AE">
      <w:pPr>
        <w:tabs>
          <w:tab w:val="left" w:pos="4667"/>
        </w:tabs>
        <w:spacing w:after="0" w:line="360" w:lineRule="auto"/>
        <w:ind w:right="709"/>
        <w:rPr>
          <w:i/>
        </w:rPr>
      </w:pPr>
    </w:p>
    <w:p w14:paraId="29287BF7" w14:textId="77777777" w:rsidR="001D70AE" w:rsidRDefault="00CD61A4">
      <w:pPr>
        <w:pStyle w:val="Ttulo2"/>
        <w:spacing w:before="0" w:after="0"/>
      </w:pPr>
      <w:bookmarkStart w:id="3" w:name="_heading=h.ckzxmbw1doax" w:colFirst="0" w:colLast="0"/>
      <w:bookmarkEnd w:id="3"/>
      <w:r>
        <w:t>II. Respuesta del Sujeto Obligado</w:t>
      </w:r>
    </w:p>
    <w:p w14:paraId="11287F16" w14:textId="77777777" w:rsidR="001D70AE" w:rsidRDefault="001D70AE">
      <w:pPr>
        <w:spacing w:after="0" w:line="360" w:lineRule="auto"/>
      </w:pPr>
    </w:p>
    <w:p w14:paraId="59A025FD" w14:textId="77777777" w:rsidR="001D70AE" w:rsidRDefault="00CD61A4">
      <w:pPr>
        <w:spacing w:after="0" w:line="360" w:lineRule="auto"/>
        <w:rPr>
          <w:b/>
          <w:i/>
        </w:rPr>
      </w:pPr>
      <w:r>
        <w:t>El diez de abril de dos mil veinticinco, el Sujeto Obligado a través de SAIMEX, dio respuesta a través de un oficio suscrito por el Titular de la Unidad de Transparencia, en el que informó que se han tomado dos capacitaciones, la primera en el Auditorio de Santiago Tianguistenco, en fecha 27 de enero de 2025 y la segunda en el auditorio del Organismo de Agua y Saneamiento de Toluca, en fecha 18 de febrero del mismo año, mismas que ha otorgado el Instituto de Transparencia, en las cuales asistieron todas las áreas, además indicó, que respecto a las listas de asistencia y material que es del INFOEM, por lo que no se genera, posee ni administra dicha información.</w:t>
      </w:r>
    </w:p>
    <w:p w14:paraId="6FDE412F" w14:textId="77777777" w:rsidR="001D70AE" w:rsidRDefault="001D70AE">
      <w:pPr>
        <w:pBdr>
          <w:top w:val="nil"/>
          <w:left w:val="nil"/>
          <w:bottom w:val="nil"/>
          <w:right w:val="nil"/>
          <w:between w:val="nil"/>
        </w:pBdr>
        <w:spacing w:after="0" w:line="360" w:lineRule="auto"/>
        <w:ind w:left="720"/>
        <w:rPr>
          <w:color w:val="000000"/>
        </w:rPr>
      </w:pPr>
    </w:p>
    <w:p w14:paraId="3C77A5F4" w14:textId="77777777" w:rsidR="001D70AE" w:rsidRDefault="00CD61A4">
      <w:pPr>
        <w:pStyle w:val="Ttulo2"/>
        <w:spacing w:before="0" w:after="0"/>
      </w:pPr>
      <w:bookmarkStart w:id="4" w:name="_heading=h.jroobwnwexmj" w:colFirst="0" w:colLast="0"/>
      <w:bookmarkEnd w:id="4"/>
      <w:r>
        <w:t>III. Interposición del Recurso de Revisión</w:t>
      </w:r>
    </w:p>
    <w:p w14:paraId="55266179" w14:textId="77777777" w:rsidR="001D70AE" w:rsidRDefault="001D70AE">
      <w:pPr>
        <w:spacing w:after="0" w:line="360" w:lineRule="auto"/>
        <w:rPr>
          <w:b/>
        </w:rPr>
      </w:pPr>
    </w:p>
    <w:p w14:paraId="3C764503" w14:textId="77777777" w:rsidR="001D70AE" w:rsidRDefault="00CD61A4">
      <w:pPr>
        <w:spacing w:after="0" w:line="360" w:lineRule="auto"/>
      </w:pPr>
      <w:bookmarkStart w:id="5" w:name="_heading=h.2et92p0" w:colFirst="0" w:colLast="0"/>
      <w:bookmarkEnd w:id="5"/>
      <w:r>
        <w:t xml:space="preserve">Con fecha veinte de abril de dos mil veinticinco, se recibió en este Instituto, a través del SAIMEX, el Recurso de Revisión interpuesto por la persona Recurrente, la cual se radicó el veintiuno de </w:t>
      </w:r>
      <w:r>
        <w:lastRenderedPageBreak/>
        <w:t>abril dos mil veinticinco, por ser el siguiente día hábil conforme al Calendario de este Organismo Garante en los siguientes términos:</w:t>
      </w:r>
    </w:p>
    <w:p w14:paraId="204246B4" w14:textId="77777777" w:rsidR="001D70AE" w:rsidRDefault="001D70AE">
      <w:pPr>
        <w:spacing w:after="0" w:line="360" w:lineRule="auto"/>
      </w:pPr>
    </w:p>
    <w:p w14:paraId="299F2D3A" w14:textId="77777777" w:rsidR="001D70AE" w:rsidRDefault="00CD61A4">
      <w:pPr>
        <w:spacing w:after="0" w:line="360" w:lineRule="auto"/>
        <w:ind w:left="567" w:right="709"/>
        <w:rPr>
          <w:b/>
          <w:sz w:val="20"/>
          <w:szCs w:val="20"/>
        </w:rPr>
      </w:pPr>
      <w:r>
        <w:rPr>
          <w:b/>
          <w:sz w:val="20"/>
          <w:szCs w:val="20"/>
        </w:rPr>
        <w:t>ACTO IMPUGNADO</w:t>
      </w:r>
      <w:r>
        <w:rPr>
          <w:b/>
          <w:sz w:val="20"/>
          <w:szCs w:val="20"/>
        </w:rPr>
        <w:tab/>
      </w:r>
    </w:p>
    <w:p w14:paraId="5A96C8A2" w14:textId="77777777" w:rsidR="001D70AE" w:rsidRDefault="00CD61A4">
      <w:pPr>
        <w:spacing w:after="0" w:line="360" w:lineRule="auto"/>
        <w:ind w:left="567" w:right="709"/>
        <w:rPr>
          <w:i/>
          <w:sz w:val="20"/>
          <w:szCs w:val="20"/>
        </w:rPr>
      </w:pPr>
      <w:r>
        <w:rPr>
          <w:i/>
          <w:sz w:val="20"/>
          <w:szCs w:val="20"/>
        </w:rPr>
        <w:t xml:space="preserve">“no se atiende todo el </w:t>
      </w:r>
      <w:proofErr w:type="spellStart"/>
      <w:r>
        <w:rPr>
          <w:i/>
          <w:sz w:val="20"/>
          <w:szCs w:val="20"/>
        </w:rPr>
        <w:t>saimex</w:t>
      </w:r>
      <w:proofErr w:type="spellEnd"/>
      <w:r>
        <w:rPr>
          <w:i/>
          <w:sz w:val="20"/>
          <w:szCs w:val="20"/>
        </w:rPr>
        <w:t>” (Sic.)</w:t>
      </w:r>
    </w:p>
    <w:p w14:paraId="659BE264" w14:textId="77777777" w:rsidR="001D70AE" w:rsidRDefault="001D70AE">
      <w:pPr>
        <w:spacing w:after="0" w:line="360" w:lineRule="auto"/>
        <w:ind w:left="567" w:right="709"/>
        <w:rPr>
          <w:sz w:val="20"/>
          <w:szCs w:val="20"/>
        </w:rPr>
      </w:pPr>
    </w:p>
    <w:p w14:paraId="2848F39E" w14:textId="77777777" w:rsidR="001D70AE" w:rsidRDefault="00CD61A4">
      <w:pPr>
        <w:spacing w:after="0" w:line="360" w:lineRule="auto"/>
        <w:ind w:left="567" w:right="709"/>
        <w:rPr>
          <w:b/>
          <w:sz w:val="20"/>
          <w:szCs w:val="20"/>
        </w:rPr>
      </w:pPr>
      <w:r>
        <w:rPr>
          <w:b/>
          <w:sz w:val="20"/>
          <w:szCs w:val="20"/>
        </w:rPr>
        <w:t>RAZONES O MOTIVOS DE LA INCONFORMIDAD</w:t>
      </w:r>
      <w:r>
        <w:rPr>
          <w:b/>
          <w:sz w:val="20"/>
          <w:szCs w:val="20"/>
        </w:rPr>
        <w:tab/>
      </w:r>
    </w:p>
    <w:p w14:paraId="11B6AD59" w14:textId="77777777" w:rsidR="001D70AE" w:rsidRDefault="00CD61A4">
      <w:pPr>
        <w:tabs>
          <w:tab w:val="left" w:pos="4667"/>
        </w:tabs>
        <w:spacing w:after="0" w:line="360" w:lineRule="auto"/>
        <w:ind w:left="567" w:right="709"/>
        <w:rPr>
          <w:i/>
          <w:sz w:val="20"/>
          <w:szCs w:val="20"/>
        </w:rPr>
      </w:pPr>
      <w:r>
        <w:rPr>
          <w:i/>
          <w:sz w:val="20"/>
          <w:szCs w:val="20"/>
        </w:rPr>
        <w:t>“no entrega todo la información completa” (Sic.)</w:t>
      </w:r>
    </w:p>
    <w:p w14:paraId="2824E49C" w14:textId="77777777" w:rsidR="001D70AE" w:rsidRDefault="001D70AE">
      <w:pPr>
        <w:tabs>
          <w:tab w:val="left" w:pos="4667"/>
        </w:tabs>
        <w:spacing w:after="0" w:line="360" w:lineRule="auto"/>
      </w:pPr>
    </w:p>
    <w:p w14:paraId="2A62EDC5" w14:textId="77777777" w:rsidR="001D70AE" w:rsidRDefault="00CD61A4">
      <w:pPr>
        <w:pStyle w:val="Ttulo2"/>
        <w:spacing w:before="0" w:after="0"/>
      </w:pPr>
      <w:bookmarkStart w:id="6" w:name="_heading=h.yfoibmyugnn" w:colFirst="0" w:colLast="0"/>
      <w:bookmarkEnd w:id="6"/>
      <w:r>
        <w:t>IV. Trámite del Recurso de Revisión ante este Instituto</w:t>
      </w:r>
    </w:p>
    <w:p w14:paraId="304861C7" w14:textId="77777777" w:rsidR="001D70AE" w:rsidRDefault="001D70AE">
      <w:pPr>
        <w:spacing w:after="0" w:line="360" w:lineRule="auto"/>
        <w:rPr>
          <w:b/>
        </w:rPr>
      </w:pPr>
    </w:p>
    <w:p w14:paraId="63DBE682" w14:textId="77777777" w:rsidR="001D70AE" w:rsidRDefault="00CD61A4">
      <w:pPr>
        <w:spacing w:after="0" w:line="360" w:lineRule="auto"/>
      </w:pPr>
      <w:r>
        <w:rPr>
          <w:b/>
        </w:rPr>
        <w:t>a) Turno del Medio de Impugnación.</w:t>
      </w:r>
      <w:r>
        <w:t xml:space="preserve"> El veinte de abril de dos mil veinticinco, el SAIMEX, asignó el número de expediente</w:t>
      </w:r>
      <w:r>
        <w:rPr>
          <w:b/>
        </w:rPr>
        <w:t xml:space="preserve"> 04481/INFOEM/IP/RR/2025, </w:t>
      </w:r>
      <w: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0626F38E" w14:textId="77777777" w:rsidR="001D70AE" w:rsidRDefault="001D70AE">
      <w:pPr>
        <w:spacing w:after="0" w:line="360" w:lineRule="auto"/>
      </w:pPr>
    </w:p>
    <w:p w14:paraId="1F5A3866" w14:textId="77777777" w:rsidR="001D70AE" w:rsidRDefault="00CD61A4">
      <w:pPr>
        <w:spacing w:after="0" w:line="360" w:lineRule="auto"/>
      </w:pPr>
      <w:r>
        <w:rPr>
          <w:b/>
        </w:rPr>
        <w:t>b) Admisión del Recurso de Revisión.</w:t>
      </w:r>
      <w:r>
        <w:t xml:space="preserve"> El veinticinco de abril de dos mil veinticinco, se notificó vía SAIMEX el acuerdo de admisión de fecha veinticuatro de abril del mismo año, en el que se admitió 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 lo que a su derecho conviniera y formularán alegatos.</w:t>
      </w:r>
    </w:p>
    <w:p w14:paraId="6332622A" w14:textId="77777777" w:rsidR="001D70AE" w:rsidRDefault="001D70AE">
      <w:pPr>
        <w:spacing w:after="0" w:line="360" w:lineRule="auto"/>
      </w:pPr>
    </w:p>
    <w:p w14:paraId="1EECDF8B" w14:textId="77777777" w:rsidR="001D70AE" w:rsidRDefault="00CD61A4">
      <w:pPr>
        <w:spacing w:after="0" w:line="360" w:lineRule="auto"/>
      </w:pPr>
      <w:r>
        <w:rPr>
          <w:b/>
        </w:rPr>
        <w:lastRenderedPageBreak/>
        <w:t xml:space="preserve">c) Informe Justificado. </w:t>
      </w:r>
      <w:r>
        <w:t>En fecha ocho de mayo de dos mil veinticinco, el Sujeto Obligado rindió informe justificado a través de SAIMEX, mediante un oficio emitido por el Titular de la Unidad de Transparencia del Sujeto Obligado, en el que ratificó su respuesta.</w:t>
      </w:r>
    </w:p>
    <w:p w14:paraId="00489BC3" w14:textId="77777777" w:rsidR="001D70AE" w:rsidRDefault="001D70AE">
      <w:pPr>
        <w:spacing w:after="0" w:line="360" w:lineRule="auto"/>
      </w:pPr>
    </w:p>
    <w:p w14:paraId="7C8C2728" w14:textId="77777777" w:rsidR="001D70AE" w:rsidRDefault="00CD61A4">
      <w:pPr>
        <w:spacing w:after="0" w:line="360" w:lineRule="auto"/>
      </w:pPr>
      <w:r>
        <w:rPr>
          <w:b/>
        </w:rPr>
        <w:t>d) Vista del Informe Justificado.</w:t>
      </w:r>
      <w:r>
        <w:t xml:space="preserve"> El tres de junio de dos mil veinticinco, se dictó acuerdo por medio del cual se puso a la vista de la persona Recurrente el informe justificado entregado por el Sujeto Obligado, el cual fue notificado a las partes, el mismo día, a través del SAIMEX.</w:t>
      </w:r>
    </w:p>
    <w:p w14:paraId="27C726E4" w14:textId="77777777" w:rsidR="001D70AE" w:rsidRDefault="001D70AE">
      <w:pPr>
        <w:spacing w:after="0" w:line="360" w:lineRule="auto"/>
        <w:rPr>
          <w:b/>
        </w:rPr>
      </w:pPr>
    </w:p>
    <w:p w14:paraId="1E2BB659" w14:textId="77777777" w:rsidR="001D70AE" w:rsidRDefault="00CD61A4">
      <w:pPr>
        <w:spacing w:after="0" w:line="360" w:lineRule="auto"/>
      </w:pPr>
      <w:r>
        <w:rPr>
          <w:b/>
        </w:rPr>
        <w:t xml:space="preserve">e) Manifestaciones de la parte Recurrente. </w:t>
      </w:r>
      <w:r>
        <w:t xml:space="preserve">De las constancias que obran en el SAIMEX, se advierte que la parte Recurrente no añadió manifestaciones. </w:t>
      </w:r>
    </w:p>
    <w:p w14:paraId="0DFF2CAE" w14:textId="77777777" w:rsidR="001D70AE" w:rsidRDefault="001D70AE">
      <w:pPr>
        <w:spacing w:after="0" w:line="360" w:lineRule="auto"/>
      </w:pPr>
    </w:p>
    <w:p w14:paraId="1161D978" w14:textId="77777777" w:rsidR="001D70AE" w:rsidRDefault="00CD61A4">
      <w:pPr>
        <w:spacing w:after="0" w:line="360" w:lineRule="auto"/>
        <w:rPr>
          <w:b/>
          <w:color w:val="000000"/>
        </w:rPr>
      </w:pPr>
      <w:r>
        <w:rPr>
          <w:b/>
        </w:rPr>
        <w:t>f)</w:t>
      </w:r>
      <w:r>
        <w:t xml:space="preserve"> </w:t>
      </w:r>
      <w:r>
        <w:rPr>
          <w:b/>
        </w:rPr>
        <w:t>Ampliación de plazo para resolver</w:t>
      </w:r>
      <w:r>
        <w:t>. El diecinueve de junio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71E0844B" w14:textId="77777777" w:rsidR="001D70AE" w:rsidRDefault="001D70AE">
      <w:pPr>
        <w:spacing w:after="0" w:line="360" w:lineRule="auto"/>
      </w:pPr>
    </w:p>
    <w:p w14:paraId="7999EA3E" w14:textId="77777777" w:rsidR="001D70AE" w:rsidRDefault="00CD61A4">
      <w:pPr>
        <w:spacing w:after="0" w:line="360" w:lineRule="auto"/>
      </w:pPr>
      <w:r>
        <w:rPr>
          <w:b/>
        </w:rPr>
        <w:t>g) Cierre de instrucción.</w:t>
      </w:r>
      <w:r>
        <w:t xml:space="preserve"> El dos de julio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20BC5173" w14:textId="77777777" w:rsidR="001D70AE" w:rsidRDefault="001D70AE">
      <w:pPr>
        <w:spacing w:after="0" w:line="360" w:lineRule="auto"/>
      </w:pPr>
    </w:p>
    <w:p w14:paraId="738D653E" w14:textId="77777777" w:rsidR="001D70AE" w:rsidRDefault="00CD61A4">
      <w:pPr>
        <w:spacing w:after="0" w:line="360" w:lineRule="auto"/>
      </w:pPr>
      <w:r>
        <w:t xml:space="preserve">En razón de que fue debidamente sustanciado e integrado el expediente electrónico y no existir diligencia pendiente de desahogo, se emite la resolución que conforme a Derecho proceda, de acuerdo a los siguientes: </w:t>
      </w:r>
    </w:p>
    <w:p w14:paraId="376E9BF0" w14:textId="77777777" w:rsidR="001D70AE" w:rsidRDefault="00CD61A4">
      <w:pPr>
        <w:pStyle w:val="Ttulo1"/>
        <w:spacing w:before="0" w:after="0"/>
        <w:rPr>
          <w:sz w:val="22"/>
          <w:szCs w:val="22"/>
        </w:rPr>
      </w:pPr>
      <w:bookmarkStart w:id="7" w:name="_heading=h.7se989j4k0wz" w:colFirst="0" w:colLast="0"/>
      <w:bookmarkEnd w:id="7"/>
      <w:r>
        <w:rPr>
          <w:sz w:val="22"/>
          <w:szCs w:val="22"/>
        </w:rPr>
        <w:lastRenderedPageBreak/>
        <w:t>C O N S I D E R A N D O S</w:t>
      </w:r>
    </w:p>
    <w:p w14:paraId="296128F2" w14:textId="77777777" w:rsidR="001D70AE" w:rsidRDefault="001D70AE">
      <w:pPr>
        <w:spacing w:after="0" w:line="360" w:lineRule="auto"/>
        <w:rPr>
          <w:b/>
        </w:rPr>
      </w:pPr>
    </w:p>
    <w:p w14:paraId="0F6C8ED4" w14:textId="77777777" w:rsidR="001D70AE" w:rsidRDefault="00CD61A4">
      <w:pPr>
        <w:pStyle w:val="Ttulo2"/>
        <w:spacing w:before="0" w:after="0"/>
      </w:pPr>
      <w:bookmarkStart w:id="8" w:name="_heading=h.wcugfyfiajo" w:colFirst="0" w:colLast="0"/>
      <w:bookmarkEnd w:id="8"/>
      <w:r>
        <w:t>PRIMERO. Competencia</w:t>
      </w:r>
    </w:p>
    <w:p w14:paraId="52B0165C" w14:textId="77777777" w:rsidR="001D70AE" w:rsidRDefault="001D70AE">
      <w:pPr>
        <w:spacing w:after="0" w:line="360" w:lineRule="auto"/>
      </w:pPr>
    </w:p>
    <w:p w14:paraId="3DA66253" w14:textId="71D3F1C1" w:rsidR="001D70AE" w:rsidRDefault="00CD61A4">
      <w:pPr>
        <w:spacing w:after="0" w:line="360" w:lineRule="auto"/>
      </w:pPr>
      <w:r w:rsidRPr="00CD61A4">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9D6486A" w14:textId="77777777" w:rsidR="00CD61A4" w:rsidRDefault="00CD61A4">
      <w:pPr>
        <w:spacing w:after="0" w:line="360" w:lineRule="auto"/>
      </w:pPr>
    </w:p>
    <w:p w14:paraId="3316D95A" w14:textId="77777777" w:rsidR="001D70AE" w:rsidRDefault="00CD61A4">
      <w:pPr>
        <w:pStyle w:val="Ttulo2"/>
        <w:spacing w:before="0" w:after="0"/>
      </w:pPr>
      <w:bookmarkStart w:id="9" w:name="_heading=h.aqp8xezfndx" w:colFirst="0" w:colLast="0"/>
      <w:bookmarkEnd w:id="9"/>
      <w:r>
        <w:t>SEGUNDO. Causales de improcedencia y sobreseimiento</w:t>
      </w:r>
    </w:p>
    <w:p w14:paraId="0E9D2B50" w14:textId="77777777" w:rsidR="001D70AE" w:rsidRDefault="001D70AE">
      <w:pPr>
        <w:spacing w:after="0" w:line="360" w:lineRule="auto"/>
      </w:pPr>
    </w:p>
    <w:p w14:paraId="3E9358D4" w14:textId="77777777" w:rsidR="001D70AE" w:rsidRDefault="00CD61A4">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35C3A2C5" w14:textId="77777777" w:rsidR="001D70AE" w:rsidRDefault="001D70AE">
      <w:pPr>
        <w:spacing w:after="0" w:line="360" w:lineRule="auto"/>
      </w:pPr>
    </w:p>
    <w:p w14:paraId="2D482CAB" w14:textId="77777777" w:rsidR="001D70AE" w:rsidRDefault="00CD61A4">
      <w:pPr>
        <w:spacing w:after="0" w:line="360" w:lineRule="auto"/>
        <w:rPr>
          <w:b/>
        </w:rPr>
      </w:pPr>
      <w:r>
        <w:rPr>
          <w:b/>
        </w:rPr>
        <w:t>Causales de improcedencia</w:t>
      </w:r>
    </w:p>
    <w:p w14:paraId="44E67270" w14:textId="77777777" w:rsidR="001D70AE" w:rsidRDefault="001D70AE">
      <w:pPr>
        <w:spacing w:after="0" w:line="360" w:lineRule="auto"/>
      </w:pPr>
    </w:p>
    <w:p w14:paraId="57C1161E" w14:textId="77777777" w:rsidR="001D70AE" w:rsidRDefault="00CD61A4">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w:t>
      </w:r>
      <w:r>
        <w:lastRenderedPageBreak/>
        <w:t xml:space="preserve">causal de improcedencia establecidas en el artículo 191 de la Ley de Transparencia y Acceso a la Información Pública del Estado de México y Municipios, dará lugar a que el presente Recurso de Revisión sea sobreseído. </w:t>
      </w:r>
    </w:p>
    <w:p w14:paraId="257A582A" w14:textId="77777777" w:rsidR="001D70AE" w:rsidRDefault="001D70AE">
      <w:pPr>
        <w:spacing w:after="0" w:line="360" w:lineRule="auto"/>
      </w:pPr>
    </w:p>
    <w:p w14:paraId="6194FFE0" w14:textId="77777777" w:rsidR="001D70AE" w:rsidRDefault="00CD61A4">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C290C31" w14:textId="77777777" w:rsidR="001D70AE" w:rsidRDefault="001D70AE">
      <w:pPr>
        <w:spacing w:after="0" w:line="360" w:lineRule="auto"/>
        <w:rPr>
          <w:b/>
        </w:rPr>
      </w:pPr>
    </w:p>
    <w:p w14:paraId="3DC58925" w14:textId="77777777" w:rsidR="001D70AE" w:rsidRDefault="00CD61A4">
      <w:pPr>
        <w:spacing w:after="0" w:line="360" w:lineRule="auto"/>
        <w:ind w:right="-28"/>
        <w:rPr>
          <w:b/>
        </w:rPr>
      </w:pPr>
      <w:r>
        <w:rPr>
          <w:b/>
        </w:rPr>
        <w:t>Causales de sobreseimiento</w:t>
      </w:r>
    </w:p>
    <w:p w14:paraId="5E2B2602" w14:textId="77777777" w:rsidR="001D70AE" w:rsidRDefault="001D70AE">
      <w:pPr>
        <w:spacing w:after="0" w:line="360" w:lineRule="auto"/>
        <w:ind w:right="-28"/>
      </w:pPr>
    </w:p>
    <w:p w14:paraId="385E0533" w14:textId="77777777" w:rsidR="001D70AE" w:rsidRDefault="00CD61A4">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09FA53A4" w14:textId="77777777" w:rsidR="001D70AE" w:rsidRDefault="001D70AE">
      <w:pPr>
        <w:spacing w:after="0" w:line="360" w:lineRule="auto"/>
      </w:pPr>
    </w:p>
    <w:p w14:paraId="63677372" w14:textId="77777777" w:rsidR="001D70AE" w:rsidRDefault="00CD61A4">
      <w:pPr>
        <w:pStyle w:val="Ttulo2"/>
        <w:spacing w:before="0" w:after="0"/>
      </w:pPr>
      <w:bookmarkStart w:id="10" w:name="_heading=h.5ksfmyauyn9y" w:colFirst="0" w:colLast="0"/>
      <w:bookmarkEnd w:id="10"/>
      <w:r>
        <w:t>TERCERO. Determinación de la Controversia</w:t>
      </w:r>
    </w:p>
    <w:p w14:paraId="12C4D773" w14:textId="77777777" w:rsidR="001D70AE" w:rsidRDefault="001D70AE">
      <w:pPr>
        <w:tabs>
          <w:tab w:val="left" w:pos="4962"/>
        </w:tabs>
        <w:spacing w:after="0" w:line="360" w:lineRule="auto"/>
      </w:pPr>
    </w:p>
    <w:p w14:paraId="248A13FF" w14:textId="77777777" w:rsidR="001D70AE" w:rsidRDefault="00CD61A4">
      <w:pPr>
        <w:tabs>
          <w:tab w:val="left" w:pos="4962"/>
        </w:tabs>
        <w:spacing w:after="0" w:line="360" w:lineRule="auto"/>
      </w:pPr>
      <w:r>
        <w:t>La parte Solicitante requirió conocer lo siguiente:</w:t>
      </w:r>
    </w:p>
    <w:p w14:paraId="602DE079" w14:textId="77777777" w:rsidR="001D70AE" w:rsidRDefault="001D70AE">
      <w:pPr>
        <w:spacing w:after="0" w:line="360" w:lineRule="auto"/>
      </w:pPr>
    </w:p>
    <w:p w14:paraId="5B095CB2" w14:textId="12F091E6" w:rsidR="001D70AE" w:rsidRDefault="00AA73E7">
      <w:pPr>
        <w:numPr>
          <w:ilvl w:val="3"/>
          <w:numId w:val="6"/>
        </w:numPr>
        <w:pBdr>
          <w:top w:val="nil"/>
          <w:left w:val="nil"/>
          <w:bottom w:val="nil"/>
          <w:right w:val="nil"/>
          <w:between w:val="nil"/>
        </w:pBdr>
        <w:tabs>
          <w:tab w:val="left" w:pos="4962"/>
        </w:tabs>
        <w:spacing w:after="0" w:line="360" w:lineRule="auto"/>
        <w:ind w:left="567"/>
        <w:rPr>
          <w:color w:val="000000"/>
        </w:rPr>
      </w:pPr>
      <w:r>
        <w:rPr>
          <w:color w:val="000000"/>
        </w:rPr>
        <w:lastRenderedPageBreak/>
        <w:t xml:space="preserve">El número de asesorías que ha otorgado la Unidad de Transparencia y han recibido las áreas que conforman al Ayuntamiento, en relación a la protección de datos personales. </w:t>
      </w:r>
    </w:p>
    <w:p w14:paraId="5D7432BB" w14:textId="77777777" w:rsidR="001D70AE" w:rsidRDefault="00CD61A4">
      <w:pPr>
        <w:numPr>
          <w:ilvl w:val="3"/>
          <w:numId w:val="6"/>
        </w:numPr>
        <w:pBdr>
          <w:top w:val="nil"/>
          <w:left w:val="nil"/>
          <w:bottom w:val="nil"/>
          <w:right w:val="nil"/>
          <w:between w:val="nil"/>
        </w:pBdr>
        <w:tabs>
          <w:tab w:val="left" w:pos="4962"/>
        </w:tabs>
        <w:spacing w:after="0" w:line="360" w:lineRule="auto"/>
        <w:ind w:left="567"/>
        <w:rPr>
          <w:color w:val="000000"/>
        </w:rPr>
      </w:pPr>
      <w:r>
        <w:rPr>
          <w:color w:val="000000"/>
        </w:rPr>
        <w:t xml:space="preserve">Cantidad, nombre y cargo de las personas que son servidores públicos habilitados. </w:t>
      </w:r>
    </w:p>
    <w:p w14:paraId="4DCB2904" w14:textId="2B54AF46" w:rsidR="001D70AE" w:rsidRDefault="00AA73E7">
      <w:pPr>
        <w:numPr>
          <w:ilvl w:val="3"/>
          <w:numId w:val="6"/>
        </w:numPr>
        <w:pBdr>
          <w:top w:val="nil"/>
          <w:left w:val="nil"/>
          <w:bottom w:val="nil"/>
          <w:right w:val="nil"/>
          <w:between w:val="nil"/>
        </w:pBdr>
        <w:tabs>
          <w:tab w:val="left" w:pos="4962"/>
        </w:tabs>
        <w:spacing w:after="0" w:line="360" w:lineRule="auto"/>
        <w:ind w:left="567"/>
        <w:rPr>
          <w:color w:val="000000"/>
        </w:rPr>
      </w:pPr>
      <w:r>
        <w:rPr>
          <w:color w:val="000000"/>
        </w:rPr>
        <w:t xml:space="preserve">El número capacitaciones, listas de asistencia de las mismas y material otorgado por la Unidad o Coordinación de Transparencia, en relación a capacitaciones en materia de la protección de datos personales otorgadas a los enlaces de transparencia. </w:t>
      </w:r>
    </w:p>
    <w:p w14:paraId="05F16CAD" w14:textId="77777777" w:rsidR="001D70AE" w:rsidRDefault="00CD61A4">
      <w:pPr>
        <w:numPr>
          <w:ilvl w:val="3"/>
          <w:numId w:val="6"/>
        </w:numPr>
        <w:pBdr>
          <w:top w:val="nil"/>
          <w:left w:val="nil"/>
          <w:bottom w:val="nil"/>
          <w:right w:val="nil"/>
          <w:between w:val="nil"/>
        </w:pBdr>
        <w:tabs>
          <w:tab w:val="left" w:pos="4962"/>
        </w:tabs>
        <w:spacing w:after="0" w:line="360" w:lineRule="auto"/>
        <w:ind w:left="567"/>
        <w:rPr>
          <w:color w:val="000000"/>
        </w:rPr>
      </w:pPr>
      <w:r>
        <w:rPr>
          <w:color w:val="000000"/>
        </w:rPr>
        <w:t xml:space="preserve">Cantidad y nombre de personas que se han capacitado en materia de transparencia, material obtenido, lugar, hora y lista de asistencia. </w:t>
      </w:r>
    </w:p>
    <w:p w14:paraId="19E2E3BE" w14:textId="77777777" w:rsidR="001D70AE" w:rsidRDefault="001D70AE">
      <w:pPr>
        <w:tabs>
          <w:tab w:val="left" w:pos="4962"/>
        </w:tabs>
        <w:spacing w:after="0" w:line="360" w:lineRule="auto"/>
      </w:pPr>
    </w:p>
    <w:p w14:paraId="3047C106" w14:textId="77777777" w:rsidR="001D70AE" w:rsidRDefault="00CD61A4">
      <w:pPr>
        <w:tabs>
          <w:tab w:val="left" w:pos="4962"/>
        </w:tabs>
        <w:spacing w:after="0" w:line="360" w:lineRule="auto"/>
      </w:pPr>
      <w:r>
        <w:t>En respuesta el Sujeto Obligado, a través del Titular de la Unidad de Transparencia informó que se han tomado dos capacitaciones impartidas por el INFOEM, una en enero y otra en febrero de 2025, con asistencia de todas las áreas. Respecto a las listas de asistencia y material se informó que es material del INFOEM. Derivado de la respuesta, la parte Recurrente se inconformó y señaló que no se entregó la información completa.</w:t>
      </w:r>
    </w:p>
    <w:p w14:paraId="4BC4C438" w14:textId="77777777" w:rsidR="001D70AE" w:rsidRDefault="001D70AE">
      <w:pPr>
        <w:tabs>
          <w:tab w:val="left" w:pos="4962"/>
        </w:tabs>
        <w:spacing w:after="0" w:line="360" w:lineRule="auto"/>
      </w:pPr>
    </w:p>
    <w:p w14:paraId="56A8654B" w14:textId="77777777" w:rsidR="001D70AE" w:rsidRDefault="00CD61A4">
      <w:pPr>
        <w:tabs>
          <w:tab w:val="left" w:pos="4962"/>
        </w:tabs>
        <w:spacing w:after="0" w:line="360" w:lineRule="auto"/>
      </w:pPr>
      <w:r>
        <w:t xml:space="preserve">Durante la sustanciación del Recurso de Revisión, el Sujeto Obligado rindió informe justificado en el que ratificó su respuesta y la parte Recurrente no añadió manifestaciones.  </w:t>
      </w:r>
    </w:p>
    <w:p w14:paraId="1542DCFE" w14:textId="77777777" w:rsidR="001D70AE" w:rsidRDefault="001D70AE">
      <w:pPr>
        <w:tabs>
          <w:tab w:val="left" w:pos="4962"/>
        </w:tabs>
        <w:spacing w:after="0" w:line="360" w:lineRule="auto"/>
      </w:pPr>
    </w:p>
    <w:p w14:paraId="4124C195" w14:textId="77777777" w:rsidR="001D70AE" w:rsidRDefault="00CD61A4">
      <w:pPr>
        <w:tabs>
          <w:tab w:val="left" w:pos="4962"/>
        </w:tabs>
        <w:spacing w:after="0" w:line="360" w:lineRule="auto"/>
      </w:pPr>
      <w:r>
        <w:t>Así pues, de las constancias que integran el expediente, se advierte que en el asunto que nos ocupa se actualiza la causal de procedencia señalada en el artículo 179, fracción V, de la Ley de la materia; por la entrega de información incompleta.</w:t>
      </w:r>
    </w:p>
    <w:p w14:paraId="3A234BA5" w14:textId="77777777" w:rsidR="001D70AE" w:rsidRDefault="001D70AE">
      <w:pPr>
        <w:tabs>
          <w:tab w:val="left" w:pos="4962"/>
        </w:tabs>
        <w:spacing w:after="0" w:line="360" w:lineRule="auto"/>
      </w:pPr>
    </w:p>
    <w:p w14:paraId="7719BC99" w14:textId="77777777" w:rsidR="001D70AE" w:rsidRDefault="00CD61A4">
      <w:pPr>
        <w:tabs>
          <w:tab w:val="left" w:pos="4962"/>
        </w:tabs>
        <w:spacing w:after="0" w:line="360" w:lineRule="auto"/>
      </w:pPr>
      <w: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1653A9C" w14:textId="77777777" w:rsidR="001D70AE" w:rsidRDefault="001D70AE">
      <w:pPr>
        <w:spacing w:after="0" w:line="360" w:lineRule="auto"/>
      </w:pPr>
    </w:p>
    <w:p w14:paraId="1386446C" w14:textId="77777777" w:rsidR="001D70AE" w:rsidRDefault="00CD61A4">
      <w:pPr>
        <w:pStyle w:val="Ttulo2"/>
        <w:spacing w:before="0" w:after="0"/>
      </w:pPr>
      <w:bookmarkStart w:id="11" w:name="_heading=h.u0m56rejssfb" w:colFirst="0" w:colLast="0"/>
      <w:bookmarkEnd w:id="11"/>
      <w:r>
        <w:lastRenderedPageBreak/>
        <w:t>CUARTO. Marco normativo aplicable en materia de transparencia y acceso a la información pública</w:t>
      </w:r>
    </w:p>
    <w:p w14:paraId="20FB9D3B" w14:textId="77777777" w:rsidR="001D70AE" w:rsidRDefault="001D70AE">
      <w:pPr>
        <w:spacing w:after="0" w:line="360" w:lineRule="auto"/>
      </w:pPr>
    </w:p>
    <w:p w14:paraId="6FCBAA89" w14:textId="77777777" w:rsidR="001D70AE" w:rsidRDefault="00CD61A4">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5A3C42" w14:textId="77777777" w:rsidR="001D70AE" w:rsidRDefault="001D70AE">
      <w:pPr>
        <w:spacing w:after="0" w:line="360" w:lineRule="auto"/>
      </w:pPr>
    </w:p>
    <w:p w14:paraId="67C69ECB" w14:textId="77777777" w:rsidR="001D70AE" w:rsidRDefault="00CD61A4">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C6C476" w14:textId="77777777" w:rsidR="001D70AE" w:rsidRDefault="001D70AE">
      <w:pPr>
        <w:spacing w:after="0" w:line="360" w:lineRule="auto"/>
      </w:pPr>
    </w:p>
    <w:p w14:paraId="696BC03A" w14:textId="77777777" w:rsidR="001D70AE" w:rsidRDefault="00CD61A4">
      <w:pPr>
        <w:spacing w:after="0" w:line="360" w:lineRule="auto"/>
      </w:pPr>
      <w:r>
        <w:t>Por su parte, la Ley de Transparencia y Acceso a la Información Pública del Estado de México y Municipios (Reglamentaria del artículo 5° de la Constitución Local), establece lo siguiente:</w:t>
      </w:r>
    </w:p>
    <w:p w14:paraId="65BA5758" w14:textId="77777777" w:rsidR="001D70AE" w:rsidRDefault="001D70AE">
      <w:pPr>
        <w:spacing w:after="0" w:line="360" w:lineRule="auto"/>
      </w:pPr>
    </w:p>
    <w:p w14:paraId="38B5C8D9" w14:textId="77777777" w:rsidR="001D70AE" w:rsidRDefault="00CD61A4">
      <w:pPr>
        <w:spacing w:after="0" w:line="360" w:lineRule="auto"/>
      </w:pPr>
      <w:r>
        <w:t>El artículo 12 dice que, quienes generen, recopilen, administren, manejen, procesen, archiven o conserven información pública serán responsables de la misma.</w:t>
      </w:r>
    </w:p>
    <w:p w14:paraId="30E70CAB" w14:textId="77777777" w:rsidR="001D70AE" w:rsidRDefault="001D70AE">
      <w:pPr>
        <w:spacing w:after="0" w:line="360" w:lineRule="auto"/>
      </w:pPr>
    </w:p>
    <w:p w14:paraId="2ADDBBD0" w14:textId="77777777" w:rsidR="001D70AE" w:rsidRDefault="00CD61A4">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177ADD2D" w14:textId="77777777" w:rsidR="001D70AE" w:rsidRDefault="001D70AE">
      <w:pPr>
        <w:spacing w:after="0" w:line="360" w:lineRule="auto"/>
      </w:pPr>
    </w:p>
    <w:p w14:paraId="5F83CD2E" w14:textId="77777777" w:rsidR="001D70AE" w:rsidRDefault="00CD61A4">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005AC2" w14:textId="77777777" w:rsidR="001D70AE" w:rsidRDefault="00CD61A4">
      <w:pPr>
        <w:pStyle w:val="Ttulo2"/>
        <w:spacing w:before="0" w:after="0"/>
      </w:pPr>
      <w:bookmarkStart w:id="12" w:name="_heading=h.103zrw17uc28" w:colFirst="0" w:colLast="0"/>
      <w:bookmarkEnd w:id="12"/>
      <w:r>
        <w:rPr>
          <w:smallCaps/>
        </w:rPr>
        <w:lastRenderedPageBreak/>
        <w:t>QUINTO.</w:t>
      </w:r>
      <w:r>
        <w:t xml:space="preserve"> Estudio de Fondo</w:t>
      </w:r>
    </w:p>
    <w:p w14:paraId="25A67B67" w14:textId="77777777" w:rsidR="001D70AE" w:rsidRDefault="001D70AE">
      <w:pPr>
        <w:spacing w:after="0" w:line="360" w:lineRule="auto"/>
      </w:pPr>
    </w:p>
    <w:p w14:paraId="7ED8D75C" w14:textId="77777777" w:rsidR="001D70AE" w:rsidRDefault="00CD61A4">
      <w:pPr>
        <w:spacing w:after="0" w:line="360" w:lineRule="auto"/>
      </w:pPr>
      <w:r>
        <w:t>Al respecto, es menester realizar una contextualización de la solicitud de información a fin de otorgar mayores elementos para el análisis.</w:t>
      </w:r>
    </w:p>
    <w:p w14:paraId="5FCAE66C" w14:textId="77777777" w:rsidR="001D70AE" w:rsidRDefault="001D70AE">
      <w:pPr>
        <w:spacing w:after="0" w:line="360" w:lineRule="auto"/>
      </w:pPr>
    </w:p>
    <w:p w14:paraId="05F69CC6" w14:textId="77777777" w:rsidR="001D70AE" w:rsidRDefault="00CD61A4">
      <w:pPr>
        <w:numPr>
          <w:ilvl w:val="0"/>
          <w:numId w:val="3"/>
        </w:numPr>
        <w:pBdr>
          <w:top w:val="nil"/>
          <w:left w:val="nil"/>
          <w:bottom w:val="nil"/>
          <w:right w:val="nil"/>
          <w:between w:val="nil"/>
        </w:pBdr>
        <w:spacing w:after="0" w:line="360" w:lineRule="auto"/>
        <w:rPr>
          <w:b/>
          <w:color w:val="000000"/>
        </w:rPr>
      </w:pPr>
      <w:r>
        <w:rPr>
          <w:b/>
          <w:color w:val="000000"/>
        </w:rPr>
        <w:t>De las asesorías en materia de protección de datos personales</w:t>
      </w:r>
    </w:p>
    <w:p w14:paraId="60E8FBBE" w14:textId="77777777" w:rsidR="001D70AE" w:rsidRDefault="001D70AE">
      <w:pPr>
        <w:spacing w:after="0" w:line="360" w:lineRule="auto"/>
      </w:pPr>
    </w:p>
    <w:p w14:paraId="650EA17B" w14:textId="77777777" w:rsidR="001D70AE" w:rsidRDefault="00CD61A4">
      <w:pPr>
        <w:spacing w:after="0" w:line="360" w:lineRule="auto"/>
        <w:rPr>
          <w:b/>
        </w:rPr>
      </w:pPr>
      <w:r>
        <w:t xml:space="preserve">Al respecto, el artículo 90, fracción VII de la Ley de Protección de Datos Personales en Posesión de Sujetos Obligados del Estado de México y Municipios,  establece que cada Sujeto Obligado de la Ley, contará con una Unidad de Transparencia, que tendrá entre otras funciones, la de asesorar a las áreas adscritas al responsable en materia de protección de datos personales. </w:t>
      </w:r>
      <w:r>
        <w:rPr>
          <w:b/>
        </w:rPr>
        <w:t xml:space="preserve">Por lo que se advierte que el Sujeto Obligado a través de su Unidad de Transparencia puede conocer de la información solicitada. </w:t>
      </w:r>
    </w:p>
    <w:p w14:paraId="7D55D661" w14:textId="77777777" w:rsidR="001D70AE" w:rsidRDefault="001D70AE">
      <w:pPr>
        <w:spacing w:after="0" w:line="360" w:lineRule="auto"/>
        <w:rPr>
          <w:b/>
        </w:rPr>
      </w:pPr>
    </w:p>
    <w:p w14:paraId="610E3A40" w14:textId="77777777" w:rsidR="001D70AE" w:rsidRDefault="00CD61A4">
      <w:pPr>
        <w:numPr>
          <w:ilvl w:val="0"/>
          <w:numId w:val="3"/>
        </w:numPr>
        <w:pBdr>
          <w:top w:val="nil"/>
          <w:left w:val="nil"/>
          <w:bottom w:val="nil"/>
          <w:right w:val="nil"/>
          <w:between w:val="nil"/>
        </w:pBdr>
        <w:spacing w:after="0" w:line="360" w:lineRule="auto"/>
        <w:rPr>
          <w:b/>
          <w:color w:val="000000"/>
        </w:rPr>
      </w:pPr>
      <w:r>
        <w:rPr>
          <w:b/>
          <w:color w:val="000000"/>
        </w:rPr>
        <w:t xml:space="preserve">De los enlaces de transparencia </w:t>
      </w:r>
    </w:p>
    <w:p w14:paraId="79DDA28E" w14:textId="77777777" w:rsidR="001D70AE" w:rsidRDefault="001D70AE">
      <w:pPr>
        <w:spacing w:after="0" w:line="360" w:lineRule="auto"/>
      </w:pPr>
    </w:p>
    <w:p w14:paraId="46B224B6" w14:textId="77777777" w:rsidR="001D70AE" w:rsidRDefault="00CD61A4">
      <w:pPr>
        <w:spacing w:after="0" w:line="360" w:lineRule="auto"/>
      </w:pPr>
      <w:r>
        <w:t xml:space="preserve">Es preciso indicar que si bien la parte Solicitante requirió la entrega de información relacionada con “enlaces de transparencia” no es dable tenerlo por experto en la materia y se advierte que puede tratarse de los servidores públicos habilitados, al respecto los artículos 58 y 59 de la Ley de transparencia y acceso a la información pública del Estado de México y Municipios establecen que los servidores públicos habilitados son designados por el Titular del Sujeto Obligado a propuesta del responsable de la Unidad de Transparencia y tienen diversas funciones, entre ellas, las de localizar la información que solicite dicha Unidad, proporcionar la información que obre en los archivos y que sea solicitada, apoyar a la Unidad para el cumplimiento de sus funciones, proporcionar las modificaciones de la información pública de oficio que obre en su poder, integrar la propuesta de clasificación de la información, verificar el contenido de la información para que no actualice supuestos de clasificación y dar cuenta del </w:t>
      </w:r>
      <w:r>
        <w:lastRenderedPageBreak/>
        <w:t xml:space="preserve">vencimiento de plazos de reserva, es decir, corresponden a los enlaces existentes entre las áreas que conforman la estructura orgánica del Sujeto Obligado y la Unidad de Transparencia. </w:t>
      </w:r>
      <w:r>
        <w:rPr>
          <w:b/>
        </w:rPr>
        <w:t xml:space="preserve"> En consecuencia, el Sujeto Obligado puede conocer de la información relacionada con los servidores públicos habilitados.</w:t>
      </w:r>
    </w:p>
    <w:p w14:paraId="3B372F29" w14:textId="77777777" w:rsidR="001D70AE" w:rsidRDefault="001D70AE">
      <w:pPr>
        <w:spacing w:after="0" w:line="360" w:lineRule="auto"/>
        <w:rPr>
          <w:b/>
        </w:rPr>
      </w:pPr>
    </w:p>
    <w:p w14:paraId="4F1917F4" w14:textId="77777777" w:rsidR="001D70AE" w:rsidRDefault="00CD61A4">
      <w:pPr>
        <w:numPr>
          <w:ilvl w:val="0"/>
          <w:numId w:val="3"/>
        </w:numPr>
        <w:pBdr>
          <w:top w:val="nil"/>
          <w:left w:val="nil"/>
          <w:bottom w:val="nil"/>
          <w:right w:val="nil"/>
          <w:between w:val="nil"/>
        </w:pBdr>
        <w:spacing w:after="0" w:line="360" w:lineRule="auto"/>
        <w:rPr>
          <w:b/>
          <w:color w:val="000000"/>
        </w:rPr>
      </w:pPr>
      <w:r>
        <w:rPr>
          <w:b/>
          <w:color w:val="000000"/>
        </w:rPr>
        <w:t>Respecto a las capacitaciones en materia de transparencia y datos personales</w:t>
      </w:r>
    </w:p>
    <w:p w14:paraId="10B8C03D" w14:textId="77777777" w:rsidR="001D70AE" w:rsidRDefault="001D70AE">
      <w:pPr>
        <w:pBdr>
          <w:top w:val="nil"/>
          <w:left w:val="nil"/>
          <w:bottom w:val="nil"/>
          <w:right w:val="nil"/>
          <w:between w:val="nil"/>
        </w:pBdr>
        <w:spacing w:after="0" w:line="360" w:lineRule="auto"/>
        <w:ind w:left="720"/>
        <w:rPr>
          <w:b/>
          <w:color w:val="000000"/>
        </w:rPr>
      </w:pPr>
    </w:p>
    <w:p w14:paraId="1AB39A69" w14:textId="77777777" w:rsidR="001D70AE" w:rsidRDefault="00CD61A4">
      <w:pPr>
        <w:spacing w:after="0" w:line="360" w:lineRule="auto"/>
      </w:pPr>
      <w:r>
        <w:t>En este entendido, es procedente tomar en consideración que lo solicitado corresponde a las capacitaciones que ha recibido la Unidad de Transparencia, al respecto, vale la pena recordar que el artículo 50 de la Ley de transparencia y acceso a la información pública del Estado de México y Municipios prevé que los Sujetos Obligados contarán con un área responsable para la atención de las solicitudes de información, denominada Unidad de Transparencia.</w:t>
      </w:r>
    </w:p>
    <w:p w14:paraId="77377519" w14:textId="77777777" w:rsidR="001D70AE" w:rsidRDefault="001D70AE">
      <w:pPr>
        <w:spacing w:after="0" w:line="360" w:lineRule="auto"/>
      </w:pPr>
    </w:p>
    <w:p w14:paraId="259440D0" w14:textId="77777777" w:rsidR="001D70AE" w:rsidRDefault="00CD61A4">
      <w:pPr>
        <w:spacing w:after="0" w:line="360" w:lineRule="auto"/>
        <w:rPr>
          <w:b/>
        </w:rPr>
      </w:pPr>
      <w:r>
        <w:t xml:space="preserve">Aunado a ello, los artículos 5.41 fracción I y 5.42 del Código Reglamentario Municipal de Toluca, prevén la existencia de la Unidad de Transparencia, por lo que se advierte que dentro de la estructura orgánica del Sujeto Obligado </w:t>
      </w:r>
      <w:r>
        <w:rPr>
          <w:b/>
        </w:rPr>
        <w:t xml:space="preserve">cuenta con una Unidad de Transparencia y, por tanto, se tiene conocimiento de las actividades que realiza dicha área. </w:t>
      </w:r>
    </w:p>
    <w:p w14:paraId="43872170" w14:textId="77777777" w:rsidR="001D70AE" w:rsidRDefault="001D70AE">
      <w:pPr>
        <w:spacing w:after="0" w:line="360" w:lineRule="auto"/>
      </w:pPr>
    </w:p>
    <w:p w14:paraId="321A902B" w14:textId="77777777" w:rsidR="001D70AE" w:rsidRDefault="00CD61A4">
      <w:pPr>
        <w:spacing w:after="0" w:line="360" w:lineRule="auto"/>
      </w:pPr>
      <w:r>
        <w:t xml:space="preserve">Ahora bien, cabe mencionar que de conformidad con lo dispuesto en el artículo 24, fracción III de la Ley de transparencia y acceso a la información pública del Estado de México y Municipios, los Sujetos Obligados cuentan con diversas obligaciones, entre ellas, la de proporcionar capacitación continua y especializada </w:t>
      </w:r>
      <w:r>
        <w:rPr>
          <w:b/>
        </w:rPr>
        <w:t>en coordinación con el Instituto</w:t>
      </w:r>
      <w:r>
        <w:t xml:space="preserve">, al personal que formen parte de los comités y unidades de transparencia; en temas de transparencia, acceso a la información y rendición de cuentas, por lo que se aprecia que el </w:t>
      </w:r>
      <w:r>
        <w:rPr>
          <w:b/>
        </w:rPr>
        <w:t>Sujeto Obligado tiene la obligación de buscar la capacitación de diversas áreas.</w:t>
      </w:r>
    </w:p>
    <w:p w14:paraId="40198A3A" w14:textId="77777777" w:rsidR="001D70AE" w:rsidRDefault="001D70AE">
      <w:pPr>
        <w:spacing w:after="0" w:line="360" w:lineRule="auto"/>
      </w:pPr>
    </w:p>
    <w:p w14:paraId="2ED8AD49" w14:textId="77777777" w:rsidR="001D70AE" w:rsidRDefault="00CD61A4">
      <w:pPr>
        <w:spacing w:after="0" w:line="360" w:lineRule="auto"/>
        <w:rPr>
          <w:b/>
        </w:rPr>
      </w:pPr>
      <w:r>
        <w:lastRenderedPageBreak/>
        <w:t xml:space="preserve">Sumado a lo anterior, el artículo 49, fracción V de la Ley de transparencia y acceso a la información pública del Estado de México y Municipios, prevé que los Comités de Transparencia tienen dentro de sus atribuciones, la </w:t>
      </w:r>
      <w:r>
        <w:rPr>
          <w:b/>
        </w:rPr>
        <w:t>de promover la capacitación y actualización de las personas servidoras públicas o integrantes adscritos a las Unidades de Transparencia</w:t>
      </w:r>
      <w:r>
        <w:t xml:space="preserve">, por lo que reafirma que se debe buscar </w:t>
      </w:r>
      <w:r>
        <w:rPr>
          <w:b/>
        </w:rPr>
        <w:t>la capacitación de diverso personal</w:t>
      </w:r>
      <w:r>
        <w:t>, entre ellos, de los integrantes del Comité de Transparencia.</w:t>
      </w:r>
      <w:r>
        <w:rPr>
          <w:b/>
        </w:rPr>
        <w:t xml:space="preserve"> </w:t>
      </w:r>
    </w:p>
    <w:p w14:paraId="497C97AB" w14:textId="77777777" w:rsidR="001D70AE" w:rsidRDefault="001D70AE">
      <w:pPr>
        <w:spacing w:after="0" w:line="360" w:lineRule="auto"/>
        <w:rPr>
          <w:b/>
        </w:rPr>
      </w:pPr>
    </w:p>
    <w:p w14:paraId="4BD36645" w14:textId="77777777" w:rsidR="001D70AE" w:rsidRDefault="00CD61A4">
      <w:pPr>
        <w:spacing w:after="0" w:line="360" w:lineRule="auto"/>
      </w:pPr>
      <w:r>
        <w:t xml:space="preserve">Derivado de lo anterior se advierte </w:t>
      </w:r>
      <w:r>
        <w:rPr>
          <w:b/>
        </w:rPr>
        <w:t>la competencia del Sujeto Obligado para conocer de las capacitaciones que han otorgado o recibido las áreas en materia de transparencia</w:t>
      </w:r>
      <w:r>
        <w:t>.</w:t>
      </w:r>
    </w:p>
    <w:p w14:paraId="0807352B" w14:textId="77777777" w:rsidR="001D70AE" w:rsidRDefault="001D70AE">
      <w:pPr>
        <w:spacing w:after="0" w:line="360" w:lineRule="auto"/>
        <w:rPr>
          <w:b/>
        </w:rPr>
      </w:pPr>
    </w:p>
    <w:p w14:paraId="178F6CC5" w14:textId="77777777" w:rsidR="001D70AE" w:rsidRDefault="00CD61A4">
      <w:pPr>
        <w:spacing w:after="0" w:line="360" w:lineRule="auto"/>
      </w:pPr>
      <w:r>
        <w:t>Ahora bien</w:t>
      </w:r>
      <w:r>
        <w:rPr>
          <w:b/>
        </w:rPr>
        <w:t xml:space="preserve">, respecto a las capacitaciones en materia de datos personales, </w:t>
      </w:r>
      <w:r>
        <w:t xml:space="preserve">el artículo 28, fracción III de la Ley de protección de datos personales en posesión de Sujetos Obligados del Estado de México y Municipios, prevé que entre los mecanismos que debe adoptar los Sujetos Obligados para cumplir con el principio de responsabilidad, debe ser al menos, el poner en práctica un programa de capacitación y actualización del personal sobre las obligaciones y demás deberes en materia de protección de datos personales. </w:t>
      </w:r>
    </w:p>
    <w:p w14:paraId="744C733E" w14:textId="77777777" w:rsidR="001D70AE" w:rsidRDefault="001D70AE">
      <w:pPr>
        <w:spacing w:after="0" w:line="360" w:lineRule="auto"/>
        <w:rPr>
          <w:b/>
        </w:rPr>
      </w:pPr>
    </w:p>
    <w:p w14:paraId="33EDFBC6" w14:textId="77777777" w:rsidR="001D70AE" w:rsidRDefault="00CD61A4">
      <w:pPr>
        <w:spacing w:after="0" w:line="360" w:lineRule="auto"/>
        <w:rPr>
          <w:b/>
        </w:rPr>
      </w:pPr>
      <w:r>
        <w:t xml:space="preserve">Sumado a lo anterior, el artículo 94 fracción VII, de la Ley de protección de datos personales en posesión de Sujetos Obligados del Estado de México y Municipios, señala que cada Sujeto Obligado contará con un Comité de Transparencia que será la máxima autoridad en materia de protección de datos personales y que tendrá entre sus atribuciones, </w:t>
      </w:r>
      <w:r>
        <w:rPr>
          <w:b/>
        </w:rPr>
        <w:t xml:space="preserve">la de establecer programas de capacitación y actualización para los servidores públicos en materia de protección de datos personales. </w:t>
      </w:r>
    </w:p>
    <w:p w14:paraId="4BE0A449" w14:textId="77777777" w:rsidR="001D70AE" w:rsidRDefault="001D70AE">
      <w:pPr>
        <w:spacing w:after="0" w:line="360" w:lineRule="auto"/>
      </w:pPr>
    </w:p>
    <w:p w14:paraId="040B57B2" w14:textId="77777777" w:rsidR="001D70AE" w:rsidRDefault="00CD61A4">
      <w:pPr>
        <w:spacing w:after="0" w:line="360" w:lineRule="auto"/>
      </w:pPr>
      <w:r>
        <w:t xml:space="preserve">En atención a lo anterior, se advierte que </w:t>
      </w:r>
      <w:r>
        <w:rPr>
          <w:b/>
        </w:rPr>
        <w:t>el Sujeto Obligado puede conocer de las capacitaciones en materia de datos personales</w:t>
      </w:r>
      <w:r>
        <w:t xml:space="preserve">. </w:t>
      </w:r>
    </w:p>
    <w:p w14:paraId="422FEC9B" w14:textId="77777777" w:rsidR="001D70AE" w:rsidRDefault="001D70AE">
      <w:pPr>
        <w:spacing w:after="0" w:line="360" w:lineRule="auto"/>
        <w:rPr>
          <w:b/>
        </w:rPr>
      </w:pPr>
    </w:p>
    <w:p w14:paraId="4394BED7" w14:textId="77777777" w:rsidR="001D70AE" w:rsidRDefault="00CD61A4">
      <w:pPr>
        <w:spacing w:after="0" w:line="360" w:lineRule="auto"/>
        <w:rPr>
          <w:b/>
        </w:rPr>
      </w:pPr>
      <w:r>
        <w:lastRenderedPageBreak/>
        <w:t xml:space="preserve">Aunado a ello, el artículo 18 de la Ley de Transparencia y Acceso a la Información Pública del Estado de México y Municipios, prevé que los Sujetos Obligados deberán documentar todo acto que derive del ejercicio de sus facultades, por tanto, se aprecia que el Sujeto Obligado </w:t>
      </w:r>
      <w:r>
        <w:rPr>
          <w:b/>
        </w:rPr>
        <w:t>pudo documentar información relacionada con las capacitaciones.</w:t>
      </w:r>
    </w:p>
    <w:p w14:paraId="3C6A115A" w14:textId="77777777" w:rsidR="001D70AE" w:rsidRDefault="001D70AE">
      <w:pPr>
        <w:spacing w:after="0" w:line="360" w:lineRule="auto"/>
      </w:pPr>
    </w:p>
    <w:p w14:paraId="4C287BF7" w14:textId="5DA0CDE0" w:rsidR="001D70AE" w:rsidRDefault="00CD61A4">
      <w:pPr>
        <w:spacing w:after="0" w:line="360" w:lineRule="auto"/>
        <w:ind w:right="142"/>
        <w:rPr>
          <w:color w:val="000000"/>
        </w:rPr>
      </w:pPr>
      <w:r>
        <w:t xml:space="preserve">En este contexto, </w:t>
      </w:r>
      <w:r>
        <w:rPr>
          <w:color w:val="000000"/>
        </w:rPr>
        <w:t xml:space="preserve">cabe resaltar que la persona Recurrente omitió definir la temporalidad por la que requiere la información por lo que, es necesario traer a colación el </w:t>
      </w:r>
      <w:r w:rsidR="003C5603">
        <w:rPr>
          <w:color w:val="000000"/>
        </w:rPr>
        <w:t>C</w:t>
      </w:r>
      <w:r>
        <w:rPr>
          <w:color w:val="000000"/>
        </w:rPr>
        <w:t>riterio orientador</w:t>
      </w:r>
      <w:r w:rsidR="003C5603">
        <w:rPr>
          <w:color w:val="000000"/>
        </w:rPr>
        <w:t>, con clave de control</w:t>
      </w:r>
      <w:r>
        <w:rPr>
          <w:color w:val="000000"/>
        </w:rPr>
        <w:t xml:space="preserve"> SO/003/2019</w:t>
      </w:r>
      <w:r w:rsidR="003C5603">
        <w:rPr>
          <w:color w:val="000000"/>
        </w:rPr>
        <w:t xml:space="preserve">, emitido por </w:t>
      </w:r>
      <w:r>
        <w:rPr>
          <w:color w:val="000000"/>
        </w:rPr>
        <w:t>el entonces Instituto Nacional de Transparencia, Acceso a la Información y Protección de Datos Personales, el cual a la letra precisa:</w:t>
      </w:r>
    </w:p>
    <w:p w14:paraId="48289D81" w14:textId="77777777" w:rsidR="001D70AE" w:rsidRDefault="001D70AE">
      <w:pPr>
        <w:spacing w:after="0" w:line="360" w:lineRule="auto"/>
        <w:ind w:right="142"/>
        <w:rPr>
          <w:color w:val="000000"/>
        </w:rPr>
      </w:pPr>
    </w:p>
    <w:p w14:paraId="592F317B" w14:textId="77777777" w:rsidR="001D70AE" w:rsidRPr="00AA73E7" w:rsidRDefault="00CD61A4">
      <w:pPr>
        <w:spacing w:after="0" w:line="360" w:lineRule="auto"/>
        <w:ind w:left="567" w:right="709"/>
        <w:rPr>
          <w:i/>
          <w:color w:val="000000"/>
          <w:sz w:val="20"/>
          <w:szCs w:val="20"/>
        </w:rPr>
      </w:pPr>
      <w:r w:rsidRPr="00AA73E7">
        <w:rPr>
          <w:b/>
          <w:i/>
          <w:color w:val="000000"/>
          <w:sz w:val="20"/>
          <w:szCs w:val="20"/>
        </w:rPr>
        <w:t>“Periodo de búsqueda de la información</w:t>
      </w:r>
      <w:r w:rsidRPr="00AA73E7">
        <w:rPr>
          <w:i/>
          <w:color w:val="000000"/>
          <w:sz w:val="20"/>
          <w:szCs w:val="20"/>
        </w:rPr>
        <w:t xml:space="preserve">. En el supuesto de que el particular no haya señalado el periodo respecto del cual requiere la información, o bien, de la solicitud presentada no se adviertan elementos que permitan identificarlo, </w:t>
      </w:r>
      <w:r w:rsidRPr="00AA73E7">
        <w:rPr>
          <w:b/>
          <w:i/>
          <w:color w:val="000000"/>
          <w:sz w:val="20"/>
          <w:szCs w:val="20"/>
        </w:rPr>
        <w:t>deberá considerarse, para efectos de la búsqueda de la información, que el requerimiento se refiere al año inmediato anterior,</w:t>
      </w:r>
      <w:r w:rsidRPr="00AA73E7">
        <w:rPr>
          <w:i/>
          <w:color w:val="000000"/>
          <w:sz w:val="20"/>
          <w:szCs w:val="20"/>
        </w:rPr>
        <w:t xml:space="preserve"> contado a partir de la fecha en que se presentó la solicitud.” </w:t>
      </w:r>
    </w:p>
    <w:p w14:paraId="028A30CD" w14:textId="77777777" w:rsidR="001D70AE" w:rsidRPr="00AA73E7" w:rsidRDefault="00CD61A4">
      <w:pPr>
        <w:spacing w:after="0" w:line="360" w:lineRule="auto"/>
        <w:ind w:left="567" w:right="709"/>
        <w:rPr>
          <w:i/>
          <w:color w:val="000000"/>
          <w:sz w:val="20"/>
          <w:szCs w:val="20"/>
        </w:rPr>
      </w:pPr>
      <w:r w:rsidRPr="00AA73E7">
        <w:rPr>
          <w:i/>
          <w:color w:val="000000"/>
          <w:sz w:val="20"/>
          <w:szCs w:val="20"/>
        </w:rPr>
        <w:t>(Énfasis añadido.)</w:t>
      </w:r>
    </w:p>
    <w:p w14:paraId="0A7ED848" w14:textId="77777777" w:rsidR="001D70AE" w:rsidRDefault="001D70AE">
      <w:pPr>
        <w:spacing w:after="0" w:line="360" w:lineRule="auto"/>
        <w:ind w:left="567" w:right="709"/>
        <w:rPr>
          <w:i/>
          <w:color w:val="000000"/>
        </w:rPr>
      </w:pPr>
    </w:p>
    <w:p w14:paraId="359D21B2" w14:textId="05A9F8C0" w:rsidR="001D70AE" w:rsidRPr="003C5603" w:rsidRDefault="00CD61A4" w:rsidP="003C5603">
      <w:pPr>
        <w:spacing w:after="0" w:line="360" w:lineRule="auto"/>
        <w:ind w:right="142"/>
        <w:rPr>
          <w:bCs/>
        </w:rPr>
      </w:pPr>
      <w:r>
        <w:rPr>
          <w:color w:val="000000"/>
        </w:rPr>
        <w:t>Derivado del análisis al criterio citado, se entiende que la persona Recurrente al no precisar la temporalidad en su solicitud, esta habrá de comprender el periodo comprendido de un año anterior a la solicitud de información; es decir, del</w:t>
      </w:r>
      <w:r>
        <w:rPr>
          <w:b/>
          <w:color w:val="000000"/>
        </w:rPr>
        <w:t xml:space="preserve"> veintiuno de marzo de dos mil veinticuatro al veintiuno de marzo de dos mil veinticinco</w:t>
      </w:r>
      <w:r w:rsidR="003C5603">
        <w:rPr>
          <w:b/>
          <w:color w:val="000000"/>
        </w:rPr>
        <w:t xml:space="preserve">; </w:t>
      </w:r>
      <w:r w:rsidR="003C5603">
        <w:rPr>
          <w:bCs/>
          <w:color w:val="000000"/>
        </w:rPr>
        <w:t>por lo que, la pretensión de la persona Recurrente es obtener de dicho periodo lo siguiente:</w:t>
      </w:r>
    </w:p>
    <w:p w14:paraId="68228766" w14:textId="77777777" w:rsidR="001D70AE" w:rsidRDefault="001D70AE">
      <w:pPr>
        <w:spacing w:after="0" w:line="360" w:lineRule="auto"/>
      </w:pPr>
    </w:p>
    <w:p w14:paraId="64B8A12F" w14:textId="77777777" w:rsidR="003C5603" w:rsidRDefault="003C5603" w:rsidP="003C5603">
      <w:pPr>
        <w:numPr>
          <w:ilvl w:val="3"/>
          <w:numId w:val="10"/>
        </w:numPr>
        <w:pBdr>
          <w:top w:val="nil"/>
          <w:left w:val="nil"/>
          <w:bottom w:val="nil"/>
          <w:right w:val="nil"/>
          <w:between w:val="nil"/>
        </w:pBdr>
        <w:tabs>
          <w:tab w:val="left" w:pos="4962"/>
        </w:tabs>
        <w:spacing w:after="0" w:line="360" w:lineRule="auto"/>
        <w:ind w:left="567"/>
        <w:rPr>
          <w:color w:val="000000"/>
        </w:rPr>
      </w:pPr>
      <w:r>
        <w:rPr>
          <w:color w:val="000000"/>
        </w:rPr>
        <w:t xml:space="preserve">El número de asesorías que ha otorgado la Unidad de Transparencia y han recibido las áreas que conforman al Ayuntamiento, en relación a la protección de datos personales. </w:t>
      </w:r>
    </w:p>
    <w:p w14:paraId="1A0C7433" w14:textId="77777777" w:rsidR="003C5603" w:rsidRDefault="003C5603" w:rsidP="003C5603">
      <w:pPr>
        <w:numPr>
          <w:ilvl w:val="3"/>
          <w:numId w:val="10"/>
        </w:numPr>
        <w:pBdr>
          <w:top w:val="nil"/>
          <w:left w:val="nil"/>
          <w:bottom w:val="nil"/>
          <w:right w:val="nil"/>
          <w:between w:val="nil"/>
        </w:pBdr>
        <w:tabs>
          <w:tab w:val="left" w:pos="4962"/>
        </w:tabs>
        <w:spacing w:after="0" w:line="360" w:lineRule="auto"/>
        <w:ind w:left="567"/>
        <w:rPr>
          <w:color w:val="000000"/>
        </w:rPr>
      </w:pPr>
      <w:r>
        <w:rPr>
          <w:color w:val="000000"/>
        </w:rPr>
        <w:t xml:space="preserve">Cantidad, nombre y cargo de las personas que son servidores públicos habilitados. </w:t>
      </w:r>
    </w:p>
    <w:p w14:paraId="6AD2801F" w14:textId="77777777" w:rsidR="003C5603" w:rsidRDefault="003C5603" w:rsidP="003C5603">
      <w:pPr>
        <w:numPr>
          <w:ilvl w:val="3"/>
          <w:numId w:val="10"/>
        </w:numPr>
        <w:pBdr>
          <w:top w:val="nil"/>
          <w:left w:val="nil"/>
          <w:bottom w:val="nil"/>
          <w:right w:val="nil"/>
          <w:between w:val="nil"/>
        </w:pBdr>
        <w:tabs>
          <w:tab w:val="left" w:pos="4962"/>
        </w:tabs>
        <w:spacing w:after="0" w:line="360" w:lineRule="auto"/>
        <w:ind w:left="567"/>
        <w:rPr>
          <w:color w:val="000000"/>
        </w:rPr>
      </w:pPr>
      <w:r>
        <w:rPr>
          <w:color w:val="000000"/>
        </w:rPr>
        <w:lastRenderedPageBreak/>
        <w:t xml:space="preserve">El número capacitaciones, listas de asistencia de las mismas y material otorgado por la Unidad o Coordinación de Transparencia, en relación a capacitaciones en materia de la protección de datos personales otorgadas a los enlaces de transparencia. </w:t>
      </w:r>
    </w:p>
    <w:p w14:paraId="288A1CED" w14:textId="77777777" w:rsidR="003C5603" w:rsidRDefault="003C5603" w:rsidP="003C5603">
      <w:pPr>
        <w:numPr>
          <w:ilvl w:val="3"/>
          <w:numId w:val="10"/>
        </w:numPr>
        <w:pBdr>
          <w:top w:val="nil"/>
          <w:left w:val="nil"/>
          <w:bottom w:val="nil"/>
          <w:right w:val="nil"/>
          <w:between w:val="nil"/>
        </w:pBdr>
        <w:tabs>
          <w:tab w:val="left" w:pos="4962"/>
        </w:tabs>
        <w:spacing w:after="0" w:line="360" w:lineRule="auto"/>
        <w:ind w:left="567"/>
        <w:rPr>
          <w:color w:val="000000"/>
        </w:rPr>
      </w:pPr>
      <w:r>
        <w:rPr>
          <w:color w:val="000000"/>
        </w:rPr>
        <w:t xml:space="preserve">Cantidad y nombre de personas que se han capacitado en materia de transparencia, material obtenido, lugar, hora y lista de asistencia. </w:t>
      </w:r>
    </w:p>
    <w:p w14:paraId="004997C0" w14:textId="77777777" w:rsidR="001D70AE" w:rsidRDefault="001D70AE">
      <w:pPr>
        <w:spacing w:after="0" w:line="360" w:lineRule="auto"/>
      </w:pPr>
    </w:p>
    <w:p w14:paraId="312B64EC" w14:textId="39CE1B56" w:rsidR="001D70AE" w:rsidRDefault="00CD61A4" w:rsidP="003C5603">
      <w:pPr>
        <w:spacing w:after="0" w:line="360" w:lineRule="auto"/>
        <w:rPr>
          <w:color w:val="000000"/>
        </w:rPr>
      </w:pPr>
      <w:r>
        <w:rPr>
          <w:color w:val="000000"/>
        </w:rPr>
        <w:t xml:space="preserve">Establecida dicha circunstancia, </w:t>
      </w:r>
      <w:r>
        <w:t xml:space="preserve">se procede analizar la información proporcionada por el Sujeto Obligado, por lo cual, en principio resulta necesario precisar que el Sujeto Obligado emitió respuesta a través del Titular de la Unidad de Transparencia; </w:t>
      </w:r>
      <w:r>
        <w:rPr>
          <w:color w:val="000000"/>
        </w:rPr>
        <w:t xml:space="preserve">por lo que, es necesario hacer referencia al procedimiento de búsqueda que deben de seguir los Sujetos Obligados para localizar la información, el cual se encuentra previsto en </w:t>
      </w:r>
      <w:r w:rsidR="003C5603">
        <w:rPr>
          <w:color w:val="000000"/>
        </w:rPr>
        <w:t>el artículo</w:t>
      </w:r>
      <w:r>
        <w:rPr>
          <w:color w:val="000000"/>
        </w:rPr>
        <w:t xml:space="preserve"> 16</w:t>
      </w:r>
      <w:r w:rsidR="003C5603">
        <w:rPr>
          <w:color w:val="000000"/>
        </w:rPr>
        <w:t>2</w:t>
      </w:r>
      <w:r>
        <w:rPr>
          <w:color w:val="000000"/>
        </w:rPr>
        <w:t xml:space="preserve"> de la Ley de Transparencia y Acceso a la Información Pública del Estado de México y Municipios</w:t>
      </w:r>
      <w:r w:rsidR="003C5603">
        <w:rPr>
          <w:color w:val="000000"/>
        </w:rPr>
        <w:t>, el cual establece que las</w:t>
      </w:r>
      <w:r>
        <w:rPr>
          <w:color w:val="000000"/>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3C5603">
        <w:rPr>
          <w:color w:val="000000"/>
        </w:rPr>
        <w:t>.</w:t>
      </w:r>
    </w:p>
    <w:p w14:paraId="68CB8C8C" w14:textId="77777777" w:rsidR="001D70AE" w:rsidRDefault="001D70AE">
      <w:pPr>
        <w:spacing w:after="0" w:line="360" w:lineRule="auto"/>
        <w:ind w:left="720"/>
        <w:rPr>
          <w:color w:val="000000"/>
        </w:rPr>
      </w:pPr>
    </w:p>
    <w:p w14:paraId="003AE01D" w14:textId="5AB28754" w:rsidR="001D70AE" w:rsidRDefault="00CD61A4">
      <w:pPr>
        <w:spacing w:after="0" w:line="360" w:lineRule="auto"/>
      </w:pPr>
      <w:r>
        <w:t>Al respecto el Sujeto Obligado se pronunció mediante el Titular de la Unidad de Transparencia, el cual de conformidad con lo dispuesto en el artículo 46, fracción I</w:t>
      </w:r>
      <w:r w:rsidR="003C5603">
        <w:t>,</w:t>
      </w:r>
      <w:r>
        <w:t xml:space="preserve"> de la Ley de Transparencia y Acceso a la Información Pública del Estado de México y Municipios, forma parte del Comité de Transparencia,</w:t>
      </w:r>
      <w:r w:rsidR="003C5603">
        <w:t xml:space="preserve"> y cuenta </w:t>
      </w:r>
      <w:r>
        <w:t xml:space="preserve">con facultades para conocer de las capacitaciones, asimismo, de conformidad con el artículo 58 de la misma Ley es competente para saber de los servidores públicos habilitados, y de conformidad con el artículo 90, fracción VII de la Ley de Protección de Datos Personales en Posesión de Sujetos Obligados del Estado de México y Municipio, la Unidad de Transparencia tiene facultades para brindar asesorías a las áreas en materia de datos personales, por lo que se pronunció el área competente para conocer de la información solicitada </w:t>
      </w:r>
      <w:r>
        <w:lastRenderedPageBreak/>
        <w:t xml:space="preserve">y por tanto, </w:t>
      </w:r>
      <w:r>
        <w:rPr>
          <w:b/>
        </w:rPr>
        <w:t xml:space="preserve">el Sujeto Obligado realizó debidamente el proceso de búsqueda de la información. </w:t>
      </w:r>
    </w:p>
    <w:p w14:paraId="6DB45694" w14:textId="77777777" w:rsidR="001D70AE" w:rsidRDefault="001D70AE">
      <w:pPr>
        <w:spacing w:after="0" w:line="360" w:lineRule="auto"/>
      </w:pPr>
    </w:p>
    <w:p w14:paraId="3A6A65C0" w14:textId="77777777" w:rsidR="001D70AE" w:rsidRDefault="00CD61A4">
      <w:pPr>
        <w:spacing w:after="0" w:line="360" w:lineRule="auto"/>
      </w:pPr>
      <w:r>
        <w:t>Conforme a lo anterior se procede a analizar cada uno de los elementos que conforman la solicitud de información de conformidad con lo entregado en respuesta, en los siguientes términos:</w:t>
      </w:r>
    </w:p>
    <w:p w14:paraId="4A485943" w14:textId="77777777" w:rsidR="003C5603" w:rsidRDefault="003C5603" w:rsidP="003C5603">
      <w:pPr>
        <w:spacing w:after="0" w:line="360" w:lineRule="auto"/>
        <w:rPr>
          <w:b/>
          <w:color w:val="000000"/>
        </w:rPr>
      </w:pPr>
    </w:p>
    <w:p w14:paraId="366BF12F" w14:textId="41BA627C" w:rsidR="003C5603" w:rsidRPr="003C5603" w:rsidRDefault="003C5603" w:rsidP="003C5603">
      <w:pPr>
        <w:spacing w:after="0" w:line="360" w:lineRule="auto"/>
        <w:rPr>
          <w:b/>
          <w:bCs/>
        </w:rPr>
      </w:pPr>
      <w:r>
        <w:rPr>
          <w:b/>
          <w:color w:val="000000"/>
        </w:rPr>
        <w:t>A</w:t>
      </w:r>
      <w:r w:rsidRPr="003C5603">
        <w:rPr>
          <w:b/>
          <w:bCs/>
        </w:rPr>
        <w:t xml:space="preserve">sesorías </w:t>
      </w:r>
      <w:r>
        <w:rPr>
          <w:b/>
          <w:bCs/>
        </w:rPr>
        <w:t>otorgadas por</w:t>
      </w:r>
      <w:r w:rsidRPr="003C5603">
        <w:rPr>
          <w:b/>
          <w:bCs/>
        </w:rPr>
        <w:t xml:space="preserve"> la Unidad de Transparencia y </w:t>
      </w:r>
      <w:r>
        <w:rPr>
          <w:b/>
          <w:bCs/>
        </w:rPr>
        <w:t>recibidas por</w:t>
      </w:r>
      <w:r w:rsidRPr="003C5603">
        <w:rPr>
          <w:b/>
          <w:bCs/>
        </w:rPr>
        <w:t xml:space="preserve"> las áreas que conforman al Ayuntamiento, en relación a la protección de datos personales. </w:t>
      </w:r>
    </w:p>
    <w:p w14:paraId="5F14819F" w14:textId="77777777" w:rsidR="001D70AE" w:rsidRDefault="001D70AE">
      <w:pPr>
        <w:tabs>
          <w:tab w:val="left" w:pos="4962"/>
        </w:tabs>
        <w:spacing w:after="0" w:line="360" w:lineRule="auto"/>
        <w:rPr>
          <w:b/>
        </w:rPr>
      </w:pPr>
    </w:p>
    <w:p w14:paraId="2A4B8912" w14:textId="77777777" w:rsidR="003C5603" w:rsidRPr="003C5603" w:rsidRDefault="003C5603" w:rsidP="003C5603">
      <w:pPr>
        <w:spacing w:after="0" w:line="360" w:lineRule="auto"/>
        <w:rPr>
          <w:rFonts w:eastAsia="Calibri" w:cs="Times New Roman"/>
          <w:color w:val="000000" w:themeColor="text1"/>
        </w:rPr>
      </w:pPr>
      <w:r>
        <w:t xml:space="preserve">Al respecto, de las constancias que obran en el expediente se advierte que el Sujeto Obligado fue omiso en pronunciarse sobre dicha información, es decir, no emitió contestación a dicho requerimiento; </w:t>
      </w:r>
      <w:r w:rsidRPr="003C5603">
        <w:rPr>
          <w:rFonts w:eastAsia="Times New Roman" w:cs="Tahoma"/>
          <w:bCs/>
          <w:iCs/>
          <w:color w:val="000000"/>
          <w:lang w:val="es-ES" w:eastAsia="es-ES"/>
        </w:rPr>
        <w:t>s</w:t>
      </w:r>
      <w:r w:rsidRPr="003C5603">
        <w:rPr>
          <w:rFonts w:eastAsia="Calibri" w:cs="Tahoma"/>
          <w:color w:val="000000"/>
          <w:lang w:val="es-ES"/>
        </w:rPr>
        <w:t xml:space="preserve">obre el tema, </w:t>
      </w:r>
      <w:r w:rsidRPr="003C5603">
        <w:rPr>
          <w:rFonts w:eastAsia="Calibri" w:cs="Times New Roman"/>
          <w:color w:val="000000" w:themeColor="text1"/>
        </w:rPr>
        <w:t xml:space="preserve">el artículo 1.8, fracción XIII, del Código Administrativo del Estado de México, establece que para que tenga validez, todo acto administrativo deberá resolver todos los puntos propuestos por los interesados. </w:t>
      </w:r>
    </w:p>
    <w:p w14:paraId="2ED642D8" w14:textId="77777777" w:rsidR="003C5603" w:rsidRPr="003C5603" w:rsidRDefault="003C5603" w:rsidP="003C5603">
      <w:pPr>
        <w:spacing w:after="0" w:line="360" w:lineRule="auto"/>
        <w:rPr>
          <w:rFonts w:eastAsia="Calibri" w:cs="Times New Roman"/>
          <w:color w:val="000000" w:themeColor="text1"/>
        </w:rPr>
      </w:pPr>
    </w:p>
    <w:p w14:paraId="6CCF20FF" w14:textId="77777777" w:rsidR="003C5603" w:rsidRPr="003C5603" w:rsidRDefault="003C5603" w:rsidP="003C5603">
      <w:pPr>
        <w:spacing w:after="0" w:line="360" w:lineRule="auto"/>
        <w:rPr>
          <w:rFonts w:eastAsia="Calibri" w:cs="Times New Roman"/>
          <w:color w:val="000000" w:themeColor="text1"/>
        </w:rPr>
      </w:pPr>
      <w:r w:rsidRPr="003C5603">
        <w:rPr>
          <w:rFonts w:eastAsia="Calibri" w:cs="Times New Roman"/>
          <w:color w:val="000000" w:themeColor="text1"/>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3C5603">
        <w:rPr>
          <w:rFonts w:eastAsia="Calibri" w:cs="Times New Roman"/>
          <w:b/>
          <w:bCs/>
          <w:color w:val="000000" w:themeColor="text1"/>
        </w:rPr>
        <w:t>principio de exhaustividad,</w:t>
      </w:r>
      <w:r w:rsidRPr="003C5603">
        <w:rPr>
          <w:rFonts w:eastAsia="Calibri" w:cs="Times New Roman"/>
          <w:color w:val="000000" w:themeColor="text1"/>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 </w:t>
      </w:r>
    </w:p>
    <w:p w14:paraId="6131D03E" w14:textId="77777777" w:rsidR="003C5603" w:rsidRPr="003C5603" w:rsidRDefault="003C5603" w:rsidP="003C5603">
      <w:pPr>
        <w:tabs>
          <w:tab w:val="center" w:pos="4522"/>
        </w:tabs>
        <w:spacing w:line="360" w:lineRule="auto"/>
        <w:contextualSpacing/>
        <w:rPr>
          <w:color w:val="000000"/>
        </w:rPr>
      </w:pPr>
      <w:r w:rsidRPr="003C5603">
        <w:rPr>
          <w:color w:val="000000"/>
        </w:rPr>
        <w:t xml:space="preserve"> </w:t>
      </w:r>
    </w:p>
    <w:p w14:paraId="4F0ED33B" w14:textId="089AE67E" w:rsidR="003C5603" w:rsidRPr="003C5603" w:rsidRDefault="003C5603" w:rsidP="003C5603">
      <w:pPr>
        <w:spacing w:after="0" w:line="360" w:lineRule="auto"/>
        <w:rPr>
          <w:rFonts w:eastAsia="Calibri" w:cs="Times New Roman"/>
          <w:b/>
          <w:bCs/>
          <w:color w:val="000000"/>
        </w:rPr>
      </w:pPr>
      <w:r w:rsidRPr="003C5603">
        <w:rPr>
          <w:color w:val="000000"/>
        </w:rPr>
        <w:lastRenderedPageBreak/>
        <w:t>En ese sentido, el Sujeto Obligado omitió pronunciarse sobre la información solicitada, de tal manera</w:t>
      </w:r>
      <w:r w:rsidRPr="003C5603">
        <w:rPr>
          <w:rFonts w:eastAsia="Calibri" w:cs="Times New Roman"/>
          <w:color w:val="000000"/>
        </w:rPr>
        <w:t>, no satisfizo el derecho de acceso a la información del Solicitante, por lo que, deberá entregar la información solicitada</w:t>
      </w:r>
      <w:r>
        <w:rPr>
          <w:rFonts w:eastAsia="Calibri" w:cs="Times New Roman"/>
          <w:color w:val="000000"/>
        </w:rPr>
        <w:t>.</w:t>
      </w:r>
    </w:p>
    <w:p w14:paraId="471A5CCC" w14:textId="77777777" w:rsidR="003C5603" w:rsidRDefault="003C5603">
      <w:pPr>
        <w:spacing w:after="0" w:line="360" w:lineRule="auto"/>
      </w:pPr>
    </w:p>
    <w:p w14:paraId="679A8BC1" w14:textId="57B1BB4D" w:rsidR="001D70AE" w:rsidRDefault="003C5603">
      <w:pPr>
        <w:spacing w:after="0" w:line="360" w:lineRule="auto"/>
        <w:rPr>
          <w:b/>
        </w:rPr>
      </w:pPr>
      <w:r>
        <w:t>Ahora bien, no se omite mencionar que para el caso de que no cuente con documentación porque no haya emitido asesorías o bien, no consten en alguna documental al tratarse de asesorías presenciales o telefónicas</w:t>
      </w:r>
      <w:r w:rsidRPr="003C5603">
        <w:t>, bastará con que lo haga del conocimiento del Particular de manera precisa y clara, en términos del artículo 19, párrafo segundo, de la Ley de Transparencia y Acceso a la Información Pública del Estado de México y Municipios.</w:t>
      </w:r>
    </w:p>
    <w:p w14:paraId="2EF05E34" w14:textId="77777777" w:rsidR="001D70AE" w:rsidRDefault="001D70AE">
      <w:pPr>
        <w:spacing w:after="0" w:line="360" w:lineRule="auto"/>
        <w:rPr>
          <w:b/>
        </w:rPr>
      </w:pPr>
    </w:p>
    <w:p w14:paraId="565ACABB" w14:textId="77777777" w:rsidR="001D70AE" w:rsidRDefault="00CD61A4" w:rsidP="003C5603">
      <w:pPr>
        <w:pBdr>
          <w:top w:val="nil"/>
          <w:left w:val="nil"/>
          <w:bottom w:val="nil"/>
          <w:right w:val="nil"/>
          <w:between w:val="nil"/>
        </w:pBdr>
        <w:tabs>
          <w:tab w:val="left" w:pos="4962"/>
        </w:tabs>
        <w:spacing w:after="0" w:line="360" w:lineRule="auto"/>
        <w:rPr>
          <w:b/>
          <w:color w:val="000000"/>
        </w:rPr>
      </w:pPr>
      <w:r>
        <w:rPr>
          <w:b/>
          <w:color w:val="000000"/>
        </w:rPr>
        <w:t xml:space="preserve">Cantidad, nombre y cargo de las personas que son servidores públicos habilitados </w:t>
      </w:r>
    </w:p>
    <w:p w14:paraId="7420399A" w14:textId="77777777" w:rsidR="001D70AE" w:rsidRDefault="001D70AE">
      <w:pPr>
        <w:tabs>
          <w:tab w:val="left" w:pos="4962"/>
        </w:tabs>
        <w:spacing w:after="0" w:line="360" w:lineRule="auto"/>
      </w:pPr>
    </w:p>
    <w:p w14:paraId="25B69798" w14:textId="77777777" w:rsidR="003C5603" w:rsidRDefault="00CD61A4">
      <w:pPr>
        <w:tabs>
          <w:tab w:val="left" w:pos="4962"/>
        </w:tabs>
        <w:spacing w:after="0" w:line="360" w:lineRule="auto"/>
      </w:pPr>
      <w:r>
        <w:t xml:space="preserve">En el mismo sentido, el Sujeto Obligado omitió pronunciarse respecto a la información solicitada respecto a los servidores públicos habilitados, por lo que también incumplió con el principio de </w:t>
      </w:r>
      <w:r w:rsidR="003C5603">
        <w:t>exhaustividad</w:t>
      </w:r>
      <w:r>
        <w:t>, dado que no dio respuesta respecto a todos los elementos solicitados, por tanto, no es posible tener por atendido el punto en cuestión y, en consecuencia, será procedente que entregue la documentación que dé cuenta de la misma</w:t>
      </w:r>
      <w:r w:rsidR="003C5603">
        <w:t>.</w:t>
      </w:r>
    </w:p>
    <w:p w14:paraId="4F34D15E" w14:textId="77777777" w:rsidR="003C5603" w:rsidRDefault="003C5603">
      <w:pPr>
        <w:tabs>
          <w:tab w:val="left" w:pos="4962"/>
        </w:tabs>
        <w:spacing w:after="0" w:line="360" w:lineRule="auto"/>
      </w:pPr>
    </w:p>
    <w:p w14:paraId="134EC8B3" w14:textId="3A70945D" w:rsidR="001D70AE" w:rsidRDefault="003C5603">
      <w:pPr>
        <w:tabs>
          <w:tab w:val="left" w:pos="4962"/>
        </w:tabs>
        <w:spacing w:after="0" w:line="360" w:lineRule="auto"/>
      </w:pPr>
      <w:r>
        <w:t xml:space="preserve">En otras palabras, para cumplir con el artículo 12 y 160 de la Ley de la materia, el Sujeto Obligado deberá proporcionar el documento que de cuenta del número de servidores públicos con los que contaba el Ayuntamiento, que incluye el nombre y cargo de los mismos. </w:t>
      </w:r>
    </w:p>
    <w:p w14:paraId="50764954" w14:textId="77777777" w:rsidR="001D70AE" w:rsidRDefault="001D70AE">
      <w:pPr>
        <w:tabs>
          <w:tab w:val="left" w:pos="4962"/>
        </w:tabs>
        <w:spacing w:after="0" w:line="360" w:lineRule="auto"/>
      </w:pPr>
    </w:p>
    <w:p w14:paraId="30AB6205" w14:textId="70D9496E" w:rsidR="001D70AE" w:rsidRDefault="003C5603" w:rsidP="003C5603">
      <w:pPr>
        <w:pBdr>
          <w:top w:val="nil"/>
          <w:left w:val="nil"/>
          <w:bottom w:val="nil"/>
          <w:right w:val="nil"/>
          <w:between w:val="nil"/>
        </w:pBdr>
        <w:tabs>
          <w:tab w:val="left" w:pos="4962"/>
        </w:tabs>
        <w:spacing w:after="0" w:line="360" w:lineRule="auto"/>
        <w:rPr>
          <w:b/>
          <w:color w:val="000000"/>
        </w:rPr>
      </w:pPr>
      <w:r>
        <w:rPr>
          <w:b/>
          <w:color w:val="000000"/>
        </w:rPr>
        <w:t xml:space="preserve">Capacitaciones en materia de Transparencia y Protección de Datos Personales </w:t>
      </w:r>
    </w:p>
    <w:p w14:paraId="15FFA43E" w14:textId="77777777" w:rsidR="003C5603" w:rsidRDefault="003C5603" w:rsidP="003C5603">
      <w:pPr>
        <w:pBdr>
          <w:top w:val="nil"/>
          <w:left w:val="nil"/>
          <w:bottom w:val="nil"/>
          <w:right w:val="nil"/>
          <w:between w:val="nil"/>
        </w:pBdr>
        <w:tabs>
          <w:tab w:val="left" w:pos="4962"/>
        </w:tabs>
        <w:spacing w:after="0" w:line="360" w:lineRule="auto"/>
        <w:rPr>
          <w:b/>
          <w:color w:val="000000"/>
        </w:rPr>
      </w:pPr>
    </w:p>
    <w:p w14:paraId="4B135B1D" w14:textId="77777777" w:rsidR="001D70AE" w:rsidRDefault="00CD61A4">
      <w:pPr>
        <w:spacing w:after="0" w:line="360" w:lineRule="auto"/>
      </w:pPr>
      <w:r>
        <w:t xml:space="preserve">Por  cuanto hace a la información relacionada con las capacitaciones, el Sujeto Obligado en respuesta se limitó a señalar que  informó que se han tomado dos capacitaciones, la primera en el Auditorio de Santiago Tianguistenco, en fecha 27 de enero de 2025 y la segunda en el auditorio </w:t>
      </w:r>
      <w:r>
        <w:lastRenderedPageBreak/>
        <w:t>del Organismo de Agua y Saneamiento de Toluca, en fecha 18 de febrero del mismo año, mismas que ha otorgado el Instituto de Transparencia, en las cuales asistieron todas las áreas, además indicó, que respecto a las listas de asistencia y material que es del INFOEM, por lo que no se genera, posee ni administra dicha información.</w:t>
      </w:r>
    </w:p>
    <w:p w14:paraId="409B4EF0" w14:textId="77777777" w:rsidR="001D70AE" w:rsidRDefault="001D70AE">
      <w:pPr>
        <w:spacing w:after="0" w:line="360" w:lineRule="auto"/>
      </w:pPr>
    </w:p>
    <w:p w14:paraId="21301A24" w14:textId="77777777" w:rsidR="001D70AE" w:rsidRDefault="00CD61A4">
      <w:pPr>
        <w:spacing w:after="0" w:line="360" w:lineRule="auto"/>
      </w:pPr>
      <w:r>
        <w:t xml:space="preserve">Al respecto, cabe mencionar que la respuesta únicamente da cuenta de dos capacitaciones del año en curso, sin que se precise el tema del que se trataron y con ello, imposibilita al Recurrente para conocer o distinguir si la capacitación fue en materia de transparencia o de datos, por lo que no es posible tenerlo por atendido, en consecuencia será necesario que el Sujeto Obligado proporcione la información de forma clara e indubitable que garantice que la persona Recurrente obtenga la información solicitada. </w:t>
      </w:r>
    </w:p>
    <w:p w14:paraId="4D679F75" w14:textId="77777777" w:rsidR="001D70AE" w:rsidRDefault="001D70AE">
      <w:pPr>
        <w:spacing w:after="0" w:line="360" w:lineRule="auto"/>
      </w:pPr>
    </w:p>
    <w:p w14:paraId="1B5D372E" w14:textId="77777777" w:rsidR="001D70AE" w:rsidRDefault="00CD61A4">
      <w:pPr>
        <w:spacing w:after="0" w:line="360" w:lineRule="auto"/>
        <w:rPr>
          <w:b/>
        </w:rPr>
      </w:pPr>
      <w:r>
        <w:t xml:space="preserve">Aunado a ello, cabe mencionar que se aprecia que ambas capacitaciones señaladas en la respuesta tuvieron lugar en el año 2025, sin embargo, </w:t>
      </w:r>
      <w:r>
        <w:rPr>
          <w:b/>
        </w:rPr>
        <w:t>no es dable tener por atendido el periodo completo del año 2025, dado que el Sujeto Obligado no señaló expresamente si corresponden a todas las capacitaciones recibidas durante dicho año.</w:t>
      </w:r>
    </w:p>
    <w:p w14:paraId="621A93DC" w14:textId="77777777" w:rsidR="001D70AE" w:rsidRDefault="001D70AE">
      <w:pPr>
        <w:spacing w:after="0" w:line="360" w:lineRule="auto"/>
      </w:pPr>
    </w:p>
    <w:p w14:paraId="30A748F2" w14:textId="77777777" w:rsidR="001D70AE" w:rsidRDefault="00CD61A4">
      <w:pPr>
        <w:spacing w:after="0" w:line="360" w:lineRule="auto"/>
      </w:pPr>
      <w:r>
        <w:t xml:space="preserve">Sumado a lo anterior, en una breve búsqueda de la información, este Organismo Garante, advierte que en fecha 28 de febrero de 2025 se llevó a cabo una capacitación a personas servidoras públicas de Toluca, en el que se trataron temas de “SAIMEX, Ipomex 4.0 y protección de Datos Personales”, a saber: </w:t>
      </w:r>
      <w:hyperlink r:id="rId8">
        <w:r w:rsidR="001D70AE">
          <w:rPr>
            <w:color w:val="0563C1"/>
            <w:u w:val="single"/>
          </w:rPr>
          <w:t>https://www.infoem.org.mx/es/contenido/noticias/infoem-capacita-servidoras-y-servidores-p%C3%BAblicos-de-toluca</w:t>
        </w:r>
      </w:hyperlink>
      <w:r>
        <w:t xml:space="preserve"> por lo que, suponiendo sin conceder, pudieron asistir personal de la Unidad de Transparencia, por tanto, será necesario que el Sujeto Obligado realice la búsqueda de la información y entregue la misma respecto a la totalidad de la temporalidad solicitada. </w:t>
      </w:r>
    </w:p>
    <w:p w14:paraId="1CA64694" w14:textId="77777777" w:rsidR="001D70AE" w:rsidRDefault="001D70AE">
      <w:pPr>
        <w:spacing w:after="0" w:line="360" w:lineRule="auto"/>
      </w:pPr>
    </w:p>
    <w:p w14:paraId="31EE6D5D" w14:textId="77777777" w:rsidR="001D70AE" w:rsidRDefault="00CD61A4">
      <w:pPr>
        <w:spacing w:after="0" w:line="360" w:lineRule="auto"/>
      </w:pPr>
      <w:r>
        <w:lastRenderedPageBreak/>
        <w:t xml:space="preserve">Aunado a lo anterior, el Sujeto Obligado </w:t>
      </w:r>
      <w:r>
        <w:rPr>
          <w:b/>
        </w:rPr>
        <w:t>no se pronunció por la totalidad de la temporalidad</w:t>
      </w:r>
      <w:r>
        <w:t xml:space="preserve"> que debió contemplar el proceso de búsqueda de la información, es decir de un año anterior a la solicitud, por tanto, será necesario que realice la búsqueda de la información y se pronuncie por la totalidad de la temporalidad.</w:t>
      </w:r>
    </w:p>
    <w:p w14:paraId="22E65B35" w14:textId="77777777" w:rsidR="001D70AE" w:rsidRDefault="001D70AE">
      <w:pPr>
        <w:spacing w:after="0" w:line="360" w:lineRule="auto"/>
      </w:pPr>
    </w:p>
    <w:p w14:paraId="7A45D299" w14:textId="77777777" w:rsidR="001D70AE" w:rsidRDefault="00CD61A4">
      <w:pPr>
        <w:spacing w:after="0" w:line="360" w:lineRule="auto"/>
      </w:pPr>
      <w:r>
        <w:t xml:space="preserve">Aunado a lo anterior, es preciso señalar que el Sujeto Obligado también precisó que las listas de asistencia de las capacitaciones mencionadas en respuesta, no son de su competencia, dado que fueron otorgadas por el INFOEM, al respecto, </w:t>
      </w:r>
      <w:r>
        <w:rPr>
          <w:b/>
        </w:rPr>
        <w:t>las capacitaciones emitidas por el Instituto de Transparencia, Acceso a la Información Pública y Protección de Datos Personales del Estado de México y Municipios</w:t>
      </w:r>
      <w:r>
        <w:t>, respecto a las listas de asistencia, se trata de información que corresponde a otro Sujeto Obligado, es decir este instituto, por tanto</w:t>
      </w:r>
      <w:r>
        <w:rPr>
          <w:b/>
        </w:rPr>
        <w:t>, se aprecia la incompetencia, del Sujeto Obligado para conocer de la misma</w:t>
      </w:r>
      <w:r>
        <w:t xml:space="preserve">, </w:t>
      </w:r>
      <w:r>
        <w:rPr>
          <w:color w:val="000000"/>
        </w:rPr>
        <w:t xml:space="preserve">al respecto, </w:t>
      </w:r>
      <w:r>
        <w:t>según Cabanellas, Guillermo (1993), en el “Diccionario Jurídico Elemental” (p. 32 y 161), precisó los siguientes conceptos:</w:t>
      </w:r>
    </w:p>
    <w:p w14:paraId="63AD2952" w14:textId="77777777" w:rsidR="001D70AE" w:rsidRDefault="001D70AE">
      <w:pPr>
        <w:spacing w:after="0" w:line="360" w:lineRule="auto"/>
      </w:pPr>
    </w:p>
    <w:p w14:paraId="051724CE" w14:textId="77777777" w:rsidR="001D70AE" w:rsidRDefault="00CD61A4">
      <w:pPr>
        <w:numPr>
          <w:ilvl w:val="0"/>
          <w:numId w:val="4"/>
        </w:numPr>
        <w:spacing w:after="0" w:line="360" w:lineRule="auto"/>
      </w:pPr>
      <w:r>
        <w:rPr>
          <w:b/>
        </w:rPr>
        <w:t xml:space="preserve">Competencia: </w:t>
      </w:r>
      <w:r>
        <w:t>La capacidad de una autoridad para conocer sobre una materia o asunto.</w:t>
      </w:r>
    </w:p>
    <w:p w14:paraId="63EBA988" w14:textId="77777777" w:rsidR="001D70AE" w:rsidRDefault="00CD61A4">
      <w:pPr>
        <w:numPr>
          <w:ilvl w:val="0"/>
          <w:numId w:val="4"/>
        </w:numPr>
        <w:spacing w:after="0" w:line="360" w:lineRule="auto"/>
      </w:pPr>
      <w:r>
        <w:rPr>
          <w:b/>
        </w:rPr>
        <w:t>Incompetencia:</w:t>
      </w:r>
      <w:r>
        <w:t xml:space="preserve"> Falta de Competencia.</w:t>
      </w:r>
    </w:p>
    <w:p w14:paraId="62D3B72C" w14:textId="77777777" w:rsidR="001D70AE" w:rsidRDefault="001D70AE">
      <w:pPr>
        <w:spacing w:after="0" w:line="360" w:lineRule="auto"/>
      </w:pPr>
    </w:p>
    <w:p w14:paraId="6F26FAFB" w14:textId="77777777" w:rsidR="001D70AE" w:rsidRDefault="00CD61A4">
      <w:pPr>
        <w:spacing w:after="0" w:line="360" w:lineRule="auto"/>
      </w:pPr>
      <w: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57773E2" w14:textId="77777777" w:rsidR="001D70AE" w:rsidRDefault="001D70AE">
      <w:pPr>
        <w:spacing w:after="0" w:line="360" w:lineRule="auto"/>
      </w:pPr>
    </w:p>
    <w:p w14:paraId="12A572F5" w14:textId="77777777" w:rsidR="001D70AE" w:rsidRDefault="00CD61A4">
      <w:pPr>
        <w:spacing w:after="0" w:line="360" w:lineRule="auto"/>
        <w:ind w:left="567" w:right="567"/>
        <w:rPr>
          <w:i/>
          <w:sz w:val="20"/>
          <w:szCs w:val="20"/>
        </w:rPr>
      </w:pPr>
      <w:r>
        <w:rPr>
          <w:b/>
          <w:i/>
          <w:sz w:val="20"/>
          <w:szCs w:val="20"/>
        </w:rPr>
        <w:t xml:space="preserve">“LEGITIMACIÓN DE FUNCIONARIOS PÚBLICOS. LOS TRIBUNALES DE AMPARO, POR ESTAR VINCULADOS CON EL CONCEPTO DE COMPETENCIA A QUE SE REFIERE EL ARTÍCULO 16 CONSTITUCIONAL, NO PUEDEN CONOCER DE AQUÉLLA. </w:t>
      </w:r>
      <w:r>
        <w:rPr>
          <w:i/>
          <w:sz w:val="20"/>
          <w:szCs w:val="20"/>
        </w:rPr>
        <w:t xml:space="preserve">El artículo 16 constitucional se refiere a la competencia que tienen las autoridades para </w:t>
      </w:r>
      <w:r>
        <w:rPr>
          <w:i/>
          <w:sz w:val="20"/>
          <w:szCs w:val="20"/>
        </w:rPr>
        <w:lastRenderedPageBreak/>
        <w:t>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037C9EA" w14:textId="77777777" w:rsidR="001D70AE" w:rsidRDefault="001D70AE">
      <w:pPr>
        <w:spacing w:after="0" w:line="360" w:lineRule="auto"/>
      </w:pPr>
    </w:p>
    <w:p w14:paraId="2749F698" w14:textId="77777777" w:rsidR="001D70AE" w:rsidRDefault="00CD61A4">
      <w:pPr>
        <w:spacing w:after="0" w:line="360" w:lineRule="auto"/>
      </w:pPr>
      <w:r>
        <w:t xml:space="preserve">Por otro lado, en el Criterio de Interpretación, de la Segunda Época, con número de registro SO/013/2017, emitido por el entonces Instituto Nacional de Transparencia, Acceso a la Información y Protección de Datos Personales, que dispone lo siguiente: </w:t>
      </w:r>
    </w:p>
    <w:p w14:paraId="5B85DDF0" w14:textId="77777777" w:rsidR="001D70AE" w:rsidRDefault="001D70AE">
      <w:pPr>
        <w:spacing w:after="0" w:line="360" w:lineRule="auto"/>
      </w:pPr>
    </w:p>
    <w:p w14:paraId="39A02D49" w14:textId="77777777" w:rsidR="001D70AE" w:rsidRDefault="00CD61A4">
      <w:pPr>
        <w:spacing w:after="0" w:line="360" w:lineRule="auto"/>
        <w:ind w:left="567" w:right="567"/>
        <w:rPr>
          <w:i/>
          <w:sz w:val="20"/>
          <w:szCs w:val="20"/>
        </w:rPr>
      </w:pPr>
      <w:r>
        <w:rPr>
          <w:i/>
          <w:sz w:val="20"/>
          <w:szCs w:val="20"/>
        </w:rPr>
        <w:t>“</w:t>
      </w:r>
      <w:r>
        <w:rPr>
          <w:b/>
          <w:i/>
          <w:sz w:val="20"/>
          <w:szCs w:val="20"/>
        </w:rPr>
        <w:t xml:space="preserve">Incompetencia. </w:t>
      </w:r>
      <w:r>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0F60EFA" w14:textId="77777777" w:rsidR="001D70AE" w:rsidRDefault="001D70AE">
      <w:pPr>
        <w:spacing w:after="0" w:line="360" w:lineRule="auto"/>
      </w:pPr>
    </w:p>
    <w:p w14:paraId="0AA97546" w14:textId="77777777" w:rsidR="001D70AE" w:rsidRDefault="00CD61A4">
      <w:pPr>
        <w:spacing w:after="0" w:line="360" w:lineRule="auto"/>
      </w:pPr>
      <w:r>
        <w:t xml:space="preserve">En tal virtud, la </w:t>
      </w:r>
      <w:r>
        <w:rPr>
          <w:b/>
        </w:rPr>
        <w:t xml:space="preserve">incompetencia </w:t>
      </w:r>
      <w:r>
        <w:t>implica que, de conformidad con las atribuciones conferidas al Sujeto Obligado, no habría razón por la cual éste deba contar con la información solicitada, en cuyo caso, tendría que orientar al particular para que acuda a la instancia competente.</w:t>
      </w:r>
    </w:p>
    <w:p w14:paraId="2204B9DA" w14:textId="77777777" w:rsidR="001D70AE" w:rsidRDefault="001D70AE">
      <w:pPr>
        <w:spacing w:after="0" w:line="360" w:lineRule="auto"/>
      </w:pPr>
    </w:p>
    <w:p w14:paraId="2A5A953F" w14:textId="77777777" w:rsidR="001D70AE" w:rsidRDefault="00CD61A4">
      <w:pPr>
        <w:spacing w:after="0" w:line="360" w:lineRule="auto"/>
      </w:pPr>
      <w: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701C5C70" w14:textId="77777777" w:rsidR="001D70AE" w:rsidRDefault="001D70AE">
      <w:pPr>
        <w:spacing w:after="0" w:line="360" w:lineRule="auto"/>
      </w:pPr>
    </w:p>
    <w:p w14:paraId="0B132AA1" w14:textId="77777777" w:rsidR="001D70AE" w:rsidRDefault="00CD61A4">
      <w:pPr>
        <w:spacing w:after="0" w:line="360" w:lineRule="auto"/>
        <w:rPr>
          <w:b/>
        </w:rPr>
      </w:pPr>
      <w:r>
        <w:t xml:space="preserve">Al respecto, de los artículos 49, fracción II, 53, fracción III y 167 de la Ley de Transparencia y Acceso a la Información Pública del Estado de México y Municipios, se desprende que las </w:t>
      </w:r>
      <w:r>
        <w:lastRenderedPageBreak/>
        <w:t xml:space="preserve">Unidades de Transparencia son responsables de orientar a los particulares respecto de la dependencia, entidad u órgano que pudiera tener la información requerida, </w:t>
      </w:r>
      <w:r>
        <w:rPr>
          <w:b/>
        </w:rPr>
        <w:t>cuando la misma no sea competencia del sujeto obligado ante el cual se formule la solicitud de acceso.</w:t>
      </w:r>
    </w:p>
    <w:p w14:paraId="7957125D" w14:textId="77777777" w:rsidR="001D70AE" w:rsidRDefault="001D70AE">
      <w:pPr>
        <w:spacing w:after="0" w:line="360" w:lineRule="auto"/>
      </w:pPr>
    </w:p>
    <w:p w14:paraId="1C687C9D" w14:textId="77777777" w:rsidR="001D70AE" w:rsidRDefault="00CD61A4">
      <w:pPr>
        <w:spacing w:after="0" w:line="360" w:lineRule="auto"/>
        <w:rPr>
          <w:color w:val="000000"/>
        </w:rPr>
      </w:pPr>
      <w:r>
        <w:t xml:space="preserve">En el caso que nos ocupa, </w:t>
      </w:r>
      <w:r>
        <w:rPr>
          <w:color w:val="000000"/>
        </w:rPr>
        <w:t xml:space="preserve">por cuanto hace a las listas de asistencia de las capacitaciones señaladas en respuesta, se advierte que </w:t>
      </w:r>
      <w:r>
        <w:rPr>
          <w:b/>
          <w:color w:val="000000"/>
        </w:rPr>
        <w:t>el Sujeto Obligado resulta incompetente para conocer de las mismas,</w:t>
      </w:r>
      <w:r>
        <w:rPr>
          <w:color w:val="000000"/>
        </w:rPr>
        <w:t xml:space="preserve"> puesto que corresponde a facultades o atribuciones que son propias de este Instituto, pues fue la encargada de realizar la capacitación, el cual, corresponde a un Sujeto Obligado diverso, de conformidad con el padrón de Sujetos Obligados emitidos por este Organismo Garante, por tanto, </w:t>
      </w:r>
      <w:r>
        <w:rPr>
          <w:b/>
          <w:color w:val="000000"/>
        </w:rPr>
        <w:t>no resulta procedente ordenar al Sujeto Obligado la entrega de la información.</w:t>
      </w:r>
    </w:p>
    <w:p w14:paraId="6F814C34" w14:textId="77777777" w:rsidR="001D70AE" w:rsidRDefault="001D70AE">
      <w:pPr>
        <w:spacing w:after="0" w:line="360" w:lineRule="auto"/>
      </w:pPr>
    </w:p>
    <w:p w14:paraId="4E55576F" w14:textId="77777777" w:rsidR="001D70AE" w:rsidRDefault="00CD61A4">
      <w:pPr>
        <w:spacing w:after="0" w:line="360" w:lineRule="auto"/>
      </w:pPr>
      <w:r>
        <w:t xml:space="preserve">Asimismo, se </w:t>
      </w:r>
      <w:r>
        <w:rPr>
          <w:b/>
        </w:rPr>
        <w:t>dejan a salvo los derechos de la parte Recurrente</w:t>
      </w:r>
      <w:r>
        <w:t xml:space="preserve"> a fin de que, en caso de considerarlo pertinente requiera ante este Instituto mediante una nueva solicitud de información las listas de asistencia de las capacitaciones emitidas por el INFOEM al Sujeto Obligado señaladas en respuesta.  </w:t>
      </w:r>
    </w:p>
    <w:p w14:paraId="3B081092" w14:textId="77777777" w:rsidR="001D70AE" w:rsidRDefault="001D70AE">
      <w:pPr>
        <w:spacing w:after="0" w:line="360" w:lineRule="auto"/>
      </w:pPr>
    </w:p>
    <w:p w14:paraId="3F708350" w14:textId="77777777" w:rsidR="001D70AE" w:rsidRDefault="00CD61A4">
      <w:pPr>
        <w:spacing w:after="0" w:line="360" w:lineRule="auto"/>
      </w:pPr>
      <w:r>
        <w:t xml:space="preserve">En atención a lo anterior, será necesario, que el Sujeto Obligado realice la búsqueda de la información y entregue la documentación que dé cuenta de lo solicitado respecto a las capacitaciones en los términos antes expuestos y por la temporalidad requerida. </w:t>
      </w:r>
    </w:p>
    <w:p w14:paraId="5A6A5879" w14:textId="77777777" w:rsidR="001D70AE" w:rsidRDefault="001D70AE">
      <w:pPr>
        <w:spacing w:after="0" w:line="360" w:lineRule="auto"/>
      </w:pPr>
    </w:p>
    <w:p w14:paraId="3CD0ED94" w14:textId="446F505B" w:rsidR="001D70AE" w:rsidRDefault="00CD61A4">
      <w:pPr>
        <w:spacing w:after="0" w:line="360" w:lineRule="auto"/>
      </w:pPr>
      <w:r>
        <w:t xml:space="preserve">En consecuencia, resulta dable considerar </w:t>
      </w:r>
      <w:r w:rsidR="002A4BE7" w:rsidRPr="002A4BE7">
        <w:rPr>
          <w:b/>
          <w:bCs/>
        </w:rPr>
        <w:t>FUNDADOS</w:t>
      </w:r>
      <w:r>
        <w:t xml:space="preserve"> los motivos de inconformidad planteados por la parte Recurrente </w:t>
      </w:r>
      <w:r w:rsidR="002A4BE7">
        <w:t>pues no se pronunció de todos los puntos solicitados y omitió entregar la información de manera completa.</w:t>
      </w:r>
    </w:p>
    <w:p w14:paraId="36371584" w14:textId="77777777" w:rsidR="001D70AE" w:rsidRDefault="001D70AE">
      <w:pPr>
        <w:spacing w:after="0" w:line="360" w:lineRule="auto"/>
      </w:pPr>
    </w:p>
    <w:p w14:paraId="7A413F1E" w14:textId="77777777" w:rsidR="001D70AE" w:rsidRDefault="00CD61A4">
      <w:pPr>
        <w:spacing w:after="0" w:line="360" w:lineRule="auto"/>
      </w:pPr>
      <w:r>
        <w:t xml:space="preserve">Para el caso de que la información tenga datos personales confidenciales, deberá realizar la versión pública correspondiente y proporcionar el Acuerdo de Clasificación donde el Comité </w:t>
      </w:r>
      <w:r>
        <w:lastRenderedPageBreak/>
        <w:t>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341F5DC2" w14:textId="77777777" w:rsidR="001D70AE" w:rsidRDefault="001D70AE">
      <w:pPr>
        <w:spacing w:after="0" w:line="360" w:lineRule="auto"/>
      </w:pPr>
    </w:p>
    <w:p w14:paraId="1D67AE6A" w14:textId="31D8229D" w:rsidR="002A4BE7" w:rsidRDefault="002A4BE7" w:rsidP="002A4BE7">
      <w:pPr>
        <w:spacing w:after="0" w:line="360" w:lineRule="auto"/>
        <w:rPr>
          <w:rFonts w:eastAsia="Calibri" w:cs="Tahoma"/>
          <w:bCs/>
          <w:color w:val="000000"/>
          <w:lang w:val="es-ES"/>
        </w:rPr>
      </w:pPr>
      <w:r>
        <w:rPr>
          <w:rFonts w:eastAsia="Calibri" w:cs="Tahoma"/>
          <w:bCs/>
          <w:color w:val="000000"/>
          <w:lang w:val="es-ES"/>
        </w:rPr>
        <w:t xml:space="preserve">Finalmente, </w:t>
      </w:r>
      <w:r>
        <w:rPr>
          <w:rFonts w:eastAsia="Calibri" w:cs="Tahoma"/>
          <w:bCs/>
          <w:color w:val="000000"/>
          <w:lang w:val="es-ES_tradnl"/>
        </w:rPr>
        <w:t>no pasa desapercibido para este Instituto que los documentos que atiendan la solicitud, pudieran contener datos o información clasificable; a</w:t>
      </w:r>
      <w:r>
        <w:rPr>
          <w:rFonts w:eastAsia="Calibri" w:cs="Tahoma"/>
          <w:b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D9ACE15" w14:textId="77777777" w:rsidR="002A4BE7" w:rsidRDefault="002A4BE7" w:rsidP="002A4BE7">
      <w:pPr>
        <w:spacing w:after="0" w:line="360" w:lineRule="auto"/>
        <w:rPr>
          <w:rFonts w:eastAsia="Times New Roman" w:cs="Tahoma"/>
          <w:bCs/>
          <w:iCs/>
          <w:lang w:val="es-ES" w:eastAsia="es-ES"/>
        </w:rPr>
      </w:pPr>
    </w:p>
    <w:p w14:paraId="26E0D099" w14:textId="77777777" w:rsidR="002A4BE7" w:rsidRDefault="002A4BE7" w:rsidP="002A4BE7">
      <w:pPr>
        <w:spacing w:after="0" w:line="360" w:lineRule="auto"/>
        <w:rPr>
          <w:rFonts w:eastAsia="Times New Roman" w:cs="Tahoma"/>
          <w:bCs/>
          <w:iCs/>
          <w:lang w:val="es-ES" w:eastAsia="es-ES"/>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0A547F7" w14:textId="77777777" w:rsidR="001D70AE" w:rsidRDefault="001D70AE">
      <w:pPr>
        <w:tabs>
          <w:tab w:val="left" w:pos="4962"/>
        </w:tabs>
        <w:spacing w:after="0" w:line="360" w:lineRule="auto"/>
      </w:pPr>
    </w:p>
    <w:p w14:paraId="3FC6B90E" w14:textId="77777777" w:rsidR="001D70AE" w:rsidRDefault="00CD61A4">
      <w:pPr>
        <w:pStyle w:val="Ttulo2"/>
        <w:spacing w:before="0" w:after="0"/>
        <w:rPr>
          <w:b w:val="0"/>
        </w:rPr>
      </w:pPr>
      <w:bookmarkStart w:id="13" w:name="_heading=h.ldewophjizl" w:colFirst="0" w:colLast="0"/>
      <w:bookmarkEnd w:id="13"/>
      <w:r>
        <w:t>SEXTO. Decisión</w:t>
      </w:r>
    </w:p>
    <w:p w14:paraId="45B61E42" w14:textId="77777777" w:rsidR="001D70AE" w:rsidRDefault="001D70AE">
      <w:pPr>
        <w:spacing w:after="0" w:line="360" w:lineRule="auto"/>
        <w:rPr>
          <w:b/>
        </w:rPr>
      </w:pPr>
    </w:p>
    <w:p w14:paraId="76B3B173" w14:textId="77777777" w:rsidR="001D70AE" w:rsidRPr="002A4BE7" w:rsidRDefault="00CD61A4">
      <w:pPr>
        <w:spacing w:after="0" w:line="360" w:lineRule="auto"/>
        <w:rPr>
          <w:bCs/>
        </w:rPr>
      </w:pPr>
      <w:r>
        <w:t xml:space="preserve">Con fundamento en el artículo 186, fracción III, de la Ley de Transparencia y Acceso a la Información Pública del Estado de México y Municipios, este Instituto considera procedente </w:t>
      </w:r>
      <w:r>
        <w:rPr>
          <w:b/>
        </w:rPr>
        <w:t>MODIFICAR</w:t>
      </w:r>
      <w:r>
        <w:t xml:space="preserve"> la respuesta otorgada por el Sujeto Obligado a la solicitud de información </w:t>
      </w:r>
      <w:r w:rsidRPr="002A4BE7">
        <w:rPr>
          <w:bCs/>
        </w:rPr>
        <w:t>01757/TOLUCA/IP/2025, por resultar fundadas las razones o motivos de inconformidad hechos valer por la parte Recurrente, en el Recurso de Revisión 04481/INFOEM/IP/RR/2025, en consecuencia procede ORDENAR, la entrega de la información en los términos expuestos.</w:t>
      </w:r>
    </w:p>
    <w:p w14:paraId="66AB830F" w14:textId="77777777" w:rsidR="001D70AE" w:rsidRDefault="001D70AE">
      <w:pPr>
        <w:spacing w:after="0" w:line="360" w:lineRule="auto"/>
      </w:pPr>
    </w:p>
    <w:p w14:paraId="5CCFC112" w14:textId="148061A1" w:rsidR="001D70AE" w:rsidRDefault="00CD61A4">
      <w:pPr>
        <w:spacing w:after="0" w:line="360" w:lineRule="auto"/>
        <w:rPr>
          <w:b/>
          <w:u w:val="single"/>
        </w:rPr>
      </w:pPr>
      <w:r>
        <w:rPr>
          <w:b/>
          <w:u w:val="single"/>
        </w:rPr>
        <w:lastRenderedPageBreak/>
        <w:t>Términos de la Reso</w:t>
      </w:r>
      <w:r w:rsidR="007659BD">
        <w:rPr>
          <w:b/>
          <w:u w:val="single"/>
        </w:rPr>
        <w:t>lución para la parte Recurrente</w:t>
      </w:r>
    </w:p>
    <w:p w14:paraId="292EBB96" w14:textId="77777777" w:rsidR="001D70AE" w:rsidRDefault="001D70AE">
      <w:pPr>
        <w:spacing w:after="0" w:line="360" w:lineRule="auto"/>
      </w:pPr>
    </w:p>
    <w:p w14:paraId="00DF407D" w14:textId="77777777" w:rsidR="001D70AE" w:rsidRDefault="00CD61A4">
      <w:pPr>
        <w:spacing w:after="0" w:line="360" w:lineRule="auto"/>
        <w:rPr>
          <w:u w:val="single"/>
        </w:rPr>
      </w:pPr>
      <w:r>
        <w:rPr>
          <w:u w:val="single"/>
        </w:rPr>
        <w:t xml:space="preserve">Se hace del conocimiento de parte Recurrente que este Organismo Garante determinó concederle la razón, puesto que el Sujeto Obligado no entregó la totalidad de la información solicitada, dado que no se pronunció respecto a las asesorías en materia de protección de datos, ni de los servidores públicos habilitados y si bien señaló que tuvo dos capacitaciones no fue claro para determinar sí fueron en materia de datos personales o de transparencia, por tanto, no es dable tener por atendida la solicitud y se ordena la entrega de la información. </w:t>
      </w:r>
    </w:p>
    <w:p w14:paraId="0FB9AA78" w14:textId="77777777" w:rsidR="001D70AE" w:rsidRDefault="001D70AE">
      <w:pPr>
        <w:spacing w:after="0" w:line="360" w:lineRule="auto"/>
        <w:rPr>
          <w:u w:val="single"/>
        </w:rPr>
      </w:pPr>
    </w:p>
    <w:p w14:paraId="60CD73C4" w14:textId="77777777" w:rsidR="001D70AE" w:rsidRDefault="00CD61A4">
      <w:pPr>
        <w:spacing w:after="0" w:line="360" w:lineRule="auto"/>
        <w:rPr>
          <w:u w:val="single"/>
        </w:rPr>
      </w:pPr>
      <w:r>
        <w:rPr>
          <w:u w:val="single"/>
        </w:rPr>
        <w:t>Es necesario mencionar que para el caso de que la información tenga información confidencial, la misma debe ser testada y se entregará acompañada de un acuerdo en el que se expresen las razones por las que se protege dicha información.</w:t>
      </w:r>
    </w:p>
    <w:p w14:paraId="44DF180F" w14:textId="77777777" w:rsidR="001D70AE" w:rsidRDefault="001D70AE">
      <w:pPr>
        <w:spacing w:after="0" w:line="360" w:lineRule="auto"/>
        <w:rPr>
          <w:u w:val="single"/>
        </w:rPr>
      </w:pPr>
    </w:p>
    <w:p w14:paraId="3DAABE2F" w14:textId="77777777" w:rsidR="001D70AE" w:rsidRDefault="00CD61A4">
      <w:pPr>
        <w:spacing w:after="0" w:line="360" w:lineRule="auto"/>
        <w:rPr>
          <w:u w:val="single"/>
        </w:rPr>
      </w:pPr>
      <w:r>
        <w:rPr>
          <w:u w:val="single"/>
        </w:rPr>
        <w:t xml:space="preserve">Se dejan a salvo sus derechos para que solicité mediante una nueva solicitud de información ante el INFOEM la entrega de las listas de asistencia de las capacitaciones indicadas en la solicitud, dado que se trata de un Sujeto Obligado diverso, ello siempre y cuando así atienda a sus intereses. </w:t>
      </w:r>
    </w:p>
    <w:p w14:paraId="5A4ED688" w14:textId="77777777" w:rsidR="001D70AE" w:rsidRDefault="001D70AE">
      <w:pPr>
        <w:spacing w:after="0" w:line="360" w:lineRule="auto"/>
        <w:rPr>
          <w:u w:val="single"/>
        </w:rPr>
      </w:pPr>
    </w:p>
    <w:p w14:paraId="1D8907DC" w14:textId="77777777" w:rsidR="001D70AE" w:rsidRDefault="00CD61A4">
      <w:pPr>
        <w:spacing w:after="0" w:line="360" w:lineRule="auto"/>
        <w:rPr>
          <w:u w:val="single"/>
        </w:rPr>
      </w:pPr>
      <w:r>
        <w:rPr>
          <w:u w:val="single"/>
        </w:rPr>
        <w:t>La labor del INFOEM, es apoyar a la población para acceder a la información pública y garantizar la protección de sus datos personales.</w:t>
      </w:r>
    </w:p>
    <w:p w14:paraId="2CFF3E57" w14:textId="77777777" w:rsidR="001D70AE" w:rsidRDefault="001D70AE">
      <w:pPr>
        <w:spacing w:after="0" w:line="360" w:lineRule="auto"/>
        <w:rPr>
          <w:u w:val="single"/>
        </w:rPr>
      </w:pPr>
    </w:p>
    <w:p w14:paraId="57076B04" w14:textId="77777777" w:rsidR="001D70AE" w:rsidRDefault="00CD61A4">
      <w:pPr>
        <w:pStyle w:val="Ttulo1"/>
        <w:spacing w:before="0" w:after="0"/>
        <w:rPr>
          <w:b w:val="0"/>
          <w:sz w:val="22"/>
          <w:szCs w:val="22"/>
        </w:rPr>
      </w:pPr>
      <w:bookmarkStart w:id="14" w:name="_heading=h.pdf10ffgl4o7" w:colFirst="0" w:colLast="0"/>
      <w:bookmarkEnd w:id="14"/>
      <w:r>
        <w:rPr>
          <w:sz w:val="22"/>
          <w:szCs w:val="22"/>
        </w:rPr>
        <w:t>R E S U E L V E</w:t>
      </w:r>
    </w:p>
    <w:p w14:paraId="52A1695F" w14:textId="77777777" w:rsidR="001D70AE" w:rsidRDefault="001D70AE">
      <w:pPr>
        <w:spacing w:after="0" w:line="360" w:lineRule="auto"/>
        <w:rPr>
          <w:b/>
        </w:rPr>
      </w:pPr>
    </w:p>
    <w:p w14:paraId="15543117" w14:textId="77777777" w:rsidR="001D70AE" w:rsidRDefault="00CD61A4">
      <w:pPr>
        <w:spacing w:after="0" w:line="360" w:lineRule="auto"/>
      </w:pPr>
      <w:r>
        <w:rPr>
          <w:b/>
        </w:rPr>
        <w:t xml:space="preserve">PRIMERO. </w:t>
      </w:r>
      <w:r>
        <w:t xml:space="preserve">Se </w:t>
      </w:r>
      <w:r>
        <w:rPr>
          <w:b/>
        </w:rPr>
        <w:t>MODIFICA</w:t>
      </w:r>
      <w:r>
        <w:t xml:space="preserve"> la respuesta entregada por el </w:t>
      </w:r>
      <w:r>
        <w:rPr>
          <w:b/>
        </w:rPr>
        <w:t>Ayuntamiento de Toluca</w:t>
      </w:r>
      <w:r>
        <w:t xml:space="preserve"> a la solicitud de información </w:t>
      </w:r>
      <w:r>
        <w:rPr>
          <w:b/>
        </w:rPr>
        <w:t xml:space="preserve">01757/TOLUCA/IP/2025 </w:t>
      </w:r>
      <w:r>
        <w:t xml:space="preserve">por resultar fundadas las razones o motivos de inconformidad hechos valer por la persona Recurrente en el Recurso de Revisión </w:t>
      </w:r>
      <w:r>
        <w:rPr>
          <w:b/>
        </w:rPr>
        <w:lastRenderedPageBreak/>
        <w:t>04481/INFOEM/IP/RR/2025</w:t>
      </w:r>
      <w:r>
        <w:t>, en términos de los considerandos QUINTO y SEXTO de la presente Resolución.</w:t>
      </w:r>
    </w:p>
    <w:p w14:paraId="59EBEF15" w14:textId="77777777" w:rsidR="001D70AE" w:rsidRDefault="001D70AE">
      <w:pPr>
        <w:spacing w:after="0" w:line="360" w:lineRule="auto"/>
      </w:pPr>
    </w:p>
    <w:p w14:paraId="4B3FED84" w14:textId="77777777" w:rsidR="001D70AE" w:rsidRDefault="00CD61A4">
      <w:pPr>
        <w:spacing w:after="0" w:line="360" w:lineRule="auto"/>
      </w:pPr>
      <w:r>
        <w:rPr>
          <w:b/>
        </w:rPr>
        <w:t xml:space="preserve">SEGUNDO. </w:t>
      </w:r>
      <w:r>
        <w:t xml:space="preserve">Se </w:t>
      </w:r>
      <w:r>
        <w:rPr>
          <w:b/>
        </w:rPr>
        <w:t>ORDENA</w:t>
      </w:r>
      <w:r>
        <w:t xml:space="preserve"> al Sujeto Obligado, a efecto de entregue, previa búsqueda exhaustiva y razonable, a través del SAIMEX, en su caso, en versión pública, los documentos que den cuenta de lo siguiente:</w:t>
      </w:r>
    </w:p>
    <w:p w14:paraId="6E87C894" w14:textId="77777777" w:rsidR="001D70AE" w:rsidRDefault="001D70AE">
      <w:pPr>
        <w:spacing w:after="0" w:line="360" w:lineRule="auto"/>
      </w:pPr>
    </w:p>
    <w:p w14:paraId="6A26B79F" w14:textId="77777777" w:rsidR="001D70AE" w:rsidRDefault="00CD61A4">
      <w:pPr>
        <w:numPr>
          <w:ilvl w:val="0"/>
          <w:numId w:val="9"/>
        </w:numPr>
        <w:pBdr>
          <w:top w:val="nil"/>
          <w:left w:val="nil"/>
          <w:bottom w:val="nil"/>
          <w:right w:val="nil"/>
          <w:between w:val="nil"/>
        </w:pBdr>
        <w:spacing w:after="0" w:line="360" w:lineRule="auto"/>
        <w:rPr>
          <w:color w:val="000000"/>
        </w:rPr>
      </w:pPr>
      <w:r>
        <w:rPr>
          <w:color w:val="000000"/>
        </w:rPr>
        <w:t>Del periodo del veintiuno de marzo de dos mil veinticuatro al veintiuno de marzo de dos mil veinticinco, lo siguiente:</w:t>
      </w:r>
    </w:p>
    <w:p w14:paraId="6A5F314A" w14:textId="77777777" w:rsidR="001D70AE" w:rsidRDefault="001D70AE">
      <w:pPr>
        <w:pBdr>
          <w:top w:val="nil"/>
          <w:left w:val="nil"/>
          <w:bottom w:val="nil"/>
          <w:right w:val="nil"/>
          <w:between w:val="nil"/>
        </w:pBdr>
        <w:spacing w:after="0" w:line="360" w:lineRule="auto"/>
        <w:ind w:left="720"/>
        <w:rPr>
          <w:color w:val="000000"/>
        </w:rPr>
      </w:pPr>
    </w:p>
    <w:p w14:paraId="60F2DE9D" w14:textId="78873937" w:rsidR="001D70AE" w:rsidRDefault="002A4BE7" w:rsidP="002A4BE7">
      <w:pPr>
        <w:numPr>
          <w:ilvl w:val="3"/>
          <w:numId w:val="9"/>
        </w:numPr>
        <w:pBdr>
          <w:top w:val="nil"/>
          <w:left w:val="nil"/>
          <w:bottom w:val="nil"/>
          <w:right w:val="nil"/>
          <w:between w:val="nil"/>
        </w:pBdr>
        <w:tabs>
          <w:tab w:val="left" w:pos="4962"/>
        </w:tabs>
        <w:spacing w:after="0" w:line="360" w:lineRule="auto"/>
        <w:ind w:left="1134"/>
        <w:rPr>
          <w:color w:val="000000"/>
        </w:rPr>
      </w:pPr>
      <w:r>
        <w:rPr>
          <w:color w:val="000000"/>
        </w:rPr>
        <w:t xml:space="preserve">El número de asesorías que ha otorgado la Unidad de Transparencia y han recibido las áreas que conforman al Ayuntamiento, en relación a la protección de datos personales. </w:t>
      </w:r>
    </w:p>
    <w:p w14:paraId="60531B1A" w14:textId="5E691EBF" w:rsidR="001D70AE" w:rsidRPr="002A4BE7" w:rsidRDefault="002A4BE7" w:rsidP="00D6241F">
      <w:pPr>
        <w:numPr>
          <w:ilvl w:val="3"/>
          <w:numId w:val="9"/>
        </w:numPr>
        <w:pBdr>
          <w:top w:val="nil"/>
          <w:left w:val="nil"/>
          <w:bottom w:val="nil"/>
          <w:right w:val="nil"/>
          <w:between w:val="nil"/>
        </w:pBdr>
        <w:tabs>
          <w:tab w:val="left" w:pos="4962"/>
        </w:tabs>
        <w:spacing w:after="0" w:line="360" w:lineRule="auto"/>
        <w:ind w:left="1134"/>
        <w:rPr>
          <w:color w:val="000000"/>
        </w:rPr>
      </w:pPr>
      <w:r w:rsidRPr="002A4BE7">
        <w:rPr>
          <w:color w:val="000000"/>
        </w:rPr>
        <w:t>El número total de capacitaciones otorgadas por la Unidad de Transparencia, en materia de la protección de datos personales, a los servidores públicos habilitados, que incluya las listas de asistencia y material otorgado</w:t>
      </w:r>
      <w:r>
        <w:rPr>
          <w:color w:val="000000"/>
        </w:rPr>
        <w:t>.</w:t>
      </w:r>
    </w:p>
    <w:p w14:paraId="6F43AE20" w14:textId="0B6D727C" w:rsidR="001D70AE" w:rsidRPr="002A4BE7" w:rsidRDefault="002A4BE7" w:rsidP="0067345D">
      <w:pPr>
        <w:numPr>
          <w:ilvl w:val="3"/>
          <w:numId w:val="9"/>
        </w:numPr>
        <w:pBdr>
          <w:top w:val="nil"/>
          <w:left w:val="nil"/>
          <w:bottom w:val="nil"/>
          <w:right w:val="nil"/>
          <w:between w:val="nil"/>
        </w:pBdr>
        <w:tabs>
          <w:tab w:val="left" w:pos="4962"/>
        </w:tabs>
        <w:spacing w:after="0" w:line="360" w:lineRule="auto"/>
        <w:ind w:left="1134"/>
        <w:rPr>
          <w:color w:val="000000"/>
        </w:rPr>
      </w:pPr>
      <w:r w:rsidRPr="002A4BE7">
        <w:rPr>
          <w:color w:val="000000"/>
        </w:rPr>
        <w:t xml:space="preserve">El número total de servidores públicos capacitados en materia de transparencia, </w:t>
      </w:r>
      <w:r>
        <w:rPr>
          <w:color w:val="000000"/>
        </w:rPr>
        <w:t>así como, el</w:t>
      </w:r>
      <w:r w:rsidRPr="002A4BE7">
        <w:rPr>
          <w:color w:val="000000"/>
        </w:rPr>
        <w:t xml:space="preserve"> nombre </w:t>
      </w:r>
      <w:r>
        <w:rPr>
          <w:color w:val="000000"/>
        </w:rPr>
        <w:t>de cada uno</w:t>
      </w:r>
      <w:r w:rsidRPr="002A4BE7">
        <w:rPr>
          <w:color w:val="000000"/>
        </w:rPr>
        <w:t xml:space="preserve">, material obtenido, lugar, hora y lista de asistencia. </w:t>
      </w:r>
    </w:p>
    <w:p w14:paraId="127C013B" w14:textId="77777777" w:rsidR="001D70AE" w:rsidRDefault="001D70AE">
      <w:pPr>
        <w:pBdr>
          <w:top w:val="nil"/>
          <w:left w:val="nil"/>
          <w:bottom w:val="nil"/>
          <w:right w:val="nil"/>
          <w:between w:val="nil"/>
        </w:pBdr>
        <w:tabs>
          <w:tab w:val="left" w:pos="4962"/>
        </w:tabs>
        <w:spacing w:after="0" w:line="360" w:lineRule="auto"/>
        <w:ind w:left="567"/>
        <w:rPr>
          <w:color w:val="000000"/>
        </w:rPr>
      </w:pPr>
    </w:p>
    <w:p w14:paraId="73C05A45" w14:textId="6CB70253" w:rsidR="002A4BE7" w:rsidRDefault="002A4BE7">
      <w:pPr>
        <w:numPr>
          <w:ilvl w:val="0"/>
          <w:numId w:val="9"/>
        </w:numPr>
        <w:pBdr>
          <w:top w:val="nil"/>
          <w:left w:val="nil"/>
          <w:bottom w:val="nil"/>
          <w:right w:val="nil"/>
          <w:between w:val="nil"/>
        </w:pBdr>
        <w:tabs>
          <w:tab w:val="left" w:pos="4962"/>
        </w:tabs>
        <w:spacing w:after="0" w:line="360" w:lineRule="auto"/>
        <w:rPr>
          <w:color w:val="000000"/>
        </w:rPr>
      </w:pPr>
      <w:r>
        <w:rPr>
          <w:color w:val="000000"/>
        </w:rPr>
        <w:t>El número total de servidores públicos habilitados al veintiuno de marzo de dos mil veinticinco; así como, el nombre y cargo de cada uno.</w:t>
      </w:r>
    </w:p>
    <w:p w14:paraId="75871112" w14:textId="77777777" w:rsidR="001D70AE" w:rsidRDefault="001D70AE">
      <w:pPr>
        <w:pBdr>
          <w:top w:val="nil"/>
          <w:left w:val="nil"/>
          <w:bottom w:val="nil"/>
          <w:right w:val="nil"/>
          <w:between w:val="nil"/>
        </w:pBdr>
        <w:tabs>
          <w:tab w:val="left" w:pos="4962"/>
        </w:tabs>
        <w:spacing w:after="0" w:line="360" w:lineRule="auto"/>
        <w:ind w:left="720"/>
        <w:rPr>
          <w:color w:val="000000"/>
        </w:rPr>
      </w:pPr>
    </w:p>
    <w:p w14:paraId="59A6CD02" w14:textId="00CDA81D" w:rsidR="001D70AE" w:rsidRDefault="00CD61A4">
      <w:pPr>
        <w:numPr>
          <w:ilvl w:val="0"/>
          <w:numId w:val="9"/>
        </w:numPr>
        <w:pBdr>
          <w:top w:val="nil"/>
          <w:left w:val="nil"/>
          <w:bottom w:val="nil"/>
          <w:right w:val="nil"/>
          <w:between w:val="nil"/>
        </w:pBdr>
        <w:tabs>
          <w:tab w:val="left" w:pos="4962"/>
        </w:tabs>
        <w:spacing w:after="0" w:line="360" w:lineRule="auto"/>
        <w:rPr>
          <w:color w:val="000000"/>
        </w:rPr>
      </w:pPr>
      <w:r>
        <w:rPr>
          <w:color w:val="000000"/>
        </w:rPr>
        <w:t>Temas de las capacitaciones identificadas en respuesta</w:t>
      </w:r>
      <w:r w:rsidR="002A4BE7">
        <w:rPr>
          <w:color w:val="000000"/>
        </w:rPr>
        <w:t>.</w:t>
      </w:r>
    </w:p>
    <w:p w14:paraId="6F13AE19" w14:textId="77777777" w:rsidR="001D70AE" w:rsidRDefault="001D70AE">
      <w:pPr>
        <w:pBdr>
          <w:top w:val="nil"/>
          <w:left w:val="nil"/>
          <w:bottom w:val="nil"/>
          <w:right w:val="nil"/>
          <w:between w:val="nil"/>
        </w:pBdr>
        <w:tabs>
          <w:tab w:val="left" w:pos="4962"/>
        </w:tabs>
        <w:spacing w:after="0" w:line="360" w:lineRule="auto"/>
        <w:ind w:left="720"/>
        <w:rPr>
          <w:b/>
          <w:color w:val="000000"/>
        </w:rPr>
      </w:pPr>
    </w:p>
    <w:p w14:paraId="610AF642" w14:textId="77777777" w:rsidR="001D70AE" w:rsidRDefault="00CD61A4">
      <w:pPr>
        <w:spacing w:after="0" w:line="360" w:lineRule="auto"/>
      </w:pPr>
      <w:r>
        <w:t xml:space="preserve">Para la entrega de la información, de ser necesarias las versiones públicas, se deberá proporcionar el Acuerdo de Clasificación donde el Comité de Transparencia, confirme la eliminación de la información confidencial, de conformidad con los artículos 49, fracciones II y </w:t>
      </w:r>
      <w:r>
        <w:lastRenderedPageBreak/>
        <w:t xml:space="preserve">VIII, 132, fracción II, 143, fracción I y 149 de la Ley de Transparencia y Acceso a la Información Pública del Estado de México y Municipios. </w:t>
      </w:r>
    </w:p>
    <w:p w14:paraId="7C962182" w14:textId="77777777" w:rsidR="001D70AE" w:rsidRDefault="001D70AE">
      <w:pPr>
        <w:spacing w:after="0" w:line="360" w:lineRule="auto"/>
      </w:pPr>
    </w:p>
    <w:p w14:paraId="2FACE793" w14:textId="51A483D4" w:rsidR="002A4BE7" w:rsidRDefault="00CD61A4">
      <w:pPr>
        <w:spacing w:after="0" w:line="360" w:lineRule="auto"/>
      </w:pPr>
      <w:r>
        <w:t xml:space="preserve">No se omite mencionar que para el caso de que no cuente con la información </w:t>
      </w:r>
      <w:r w:rsidR="002A4BE7">
        <w:t>de los puntos 1 y 2, al no haber realizado asesorías o capacitaciones, o bien, las primeras hayan verbales y no se cuente con algún registro, deberá hacerlo del conocimiento de la persona Recurrente, de manera clara y precisa.</w:t>
      </w:r>
    </w:p>
    <w:p w14:paraId="0ECE023B" w14:textId="77777777" w:rsidR="002A4BE7" w:rsidRDefault="002A4BE7">
      <w:pPr>
        <w:spacing w:after="0" w:line="360" w:lineRule="auto"/>
      </w:pPr>
    </w:p>
    <w:p w14:paraId="0D1020D1" w14:textId="0F4022AE" w:rsidR="001D70AE" w:rsidRDefault="002A4BE7">
      <w:pPr>
        <w:spacing w:after="0" w:line="360" w:lineRule="auto"/>
      </w:pPr>
      <w:r>
        <w:t>De igual manera, respecto al punto 3, de que no cuente con las listas de asistencia, al haber brindado las capacitaciones el personal de este Organismo Garante, deberá hacerlo del conocimiento de manera clara y precisa.</w:t>
      </w:r>
    </w:p>
    <w:p w14:paraId="673FD2A4" w14:textId="77777777" w:rsidR="002A4BE7" w:rsidRDefault="002A4BE7">
      <w:pPr>
        <w:spacing w:after="0" w:line="360" w:lineRule="auto"/>
      </w:pPr>
    </w:p>
    <w:p w14:paraId="3EC79DD6" w14:textId="77777777" w:rsidR="001D70AE" w:rsidRDefault="00CD61A4">
      <w:pPr>
        <w:spacing w:after="0" w:line="360" w:lineRule="auto"/>
      </w:pPr>
      <w:bookmarkStart w:id="15" w:name="_heading=h.argy21qnkmhr" w:colFirst="0" w:colLast="0"/>
      <w:bookmarkEnd w:id="15"/>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AFEDF28" w14:textId="77777777" w:rsidR="001D70AE" w:rsidRDefault="001D70AE">
      <w:pPr>
        <w:spacing w:after="0" w:line="360" w:lineRule="auto"/>
      </w:pPr>
    </w:p>
    <w:p w14:paraId="6EC3AEC9" w14:textId="77777777" w:rsidR="001D70AE" w:rsidRDefault="00CD61A4">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154A21" w14:textId="77777777" w:rsidR="001D70AE" w:rsidRDefault="001D70AE">
      <w:pPr>
        <w:spacing w:after="0" w:line="360" w:lineRule="auto"/>
      </w:pPr>
    </w:p>
    <w:p w14:paraId="1FC9D099" w14:textId="77777777" w:rsidR="001D70AE" w:rsidRDefault="00CD61A4">
      <w:pPr>
        <w:spacing w:after="0" w:line="360" w:lineRule="auto"/>
      </w:pPr>
      <w:r>
        <w:rPr>
          <w:b/>
        </w:rPr>
        <w:lastRenderedPageBreak/>
        <w:t>CUARTO. NOTIFÍQUESE</w:t>
      </w:r>
      <w:r>
        <w:t xml:space="preserve"> </w:t>
      </w:r>
      <w:r>
        <w:rPr>
          <w:b/>
        </w:rPr>
        <w:t xml:space="preserve">POR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5433AF" w14:textId="77777777" w:rsidR="001D70AE" w:rsidRDefault="001D70AE">
      <w:pPr>
        <w:spacing w:after="0" w:line="360" w:lineRule="auto"/>
      </w:pPr>
    </w:p>
    <w:p w14:paraId="654F7998" w14:textId="1E8A5D2B" w:rsidR="001D70AE" w:rsidRDefault="00CD61A4">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34F89ED3" w14:textId="77777777" w:rsidR="001D70AE" w:rsidRDefault="001D70AE">
      <w:pPr>
        <w:pStyle w:val="Ttulo2"/>
        <w:spacing w:before="0" w:after="0"/>
        <w:rPr>
          <w:b w:val="0"/>
        </w:rPr>
      </w:pPr>
    </w:p>
    <w:p w14:paraId="40F1DFFD" w14:textId="77777777" w:rsidR="001D70AE" w:rsidRDefault="001D70AE">
      <w:pPr>
        <w:spacing w:after="0" w:line="360" w:lineRule="auto"/>
      </w:pPr>
    </w:p>
    <w:p w14:paraId="1A2AD6DD" w14:textId="77777777" w:rsidR="001D70AE" w:rsidRDefault="001D70AE">
      <w:pPr>
        <w:spacing w:after="0" w:line="360" w:lineRule="auto"/>
      </w:pPr>
    </w:p>
    <w:p w14:paraId="7881899D" w14:textId="77777777" w:rsidR="001D70AE" w:rsidRDefault="001D70AE">
      <w:pPr>
        <w:spacing w:after="0" w:line="360" w:lineRule="auto"/>
      </w:pPr>
    </w:p>
    <w:p w14:paraId="1C89481E" w14:textId="77777777" w:rsidR="001D70AE" w:rsidRDefault="001D70AE">
      <w:pPr>
        <w:spacing w:after="0" w:line="360" w:lineRule="auto"/>
      </w:pPr>
    </w:p>
    <w:p w14:paraId="59A078F2" w14:textId="77777777" w:rsidR="001D70AE" w:rsidRDefault="001D70AE">
      <w:pPr>
        <w:spacing w:after="0" w:line="360" w:lineRule="auto"/>
      </w:pPr>
    </w:p>
    <w:p w14:paraId="7C4CB1C7" w14:textId="77777777" w:rsidR="001D70AE" w:rsidRDefault="001D70AE">
      <w:pPr>
        <w:spacing w:after="0" w:line="360" w:lineRule="auto"/>
      </w:pPr>
    </w:p>
    <w:p w14:paraId="254D25A4" w14:textId="77777777" w:rsidR="001D70AE" w:rsidRDefault="001D70AE">
      <w:pPr>
        <w:spacing w:after="0" w:line="360" w:lineRule="auto"/>
      </w:pPr>
    </w:p>
    <w:p w14:paraId="1BA9D248" w14:textId="77777777" w:rsidR="001D70AE" w:rsidRDefault="001D70AE">
      <w:pPr>
        <w:spacing w:after="0" w:line="360" w:lineRule="auto"/>
      </w:pPr>
    </w:p>
    <w:p w14:paraId="5CF4D57E" w14:textId="77777777" w:rsidR="001D70AE" w:rsidRDefault="001D70AE">
      <w:pPr>
        <w:spacing w:after="0" w:line="360" w:lineRule="auto"/>
      </w:pPr>
    </w:p>
    <w:p w14:paraId="37AF2B99" w14:textId="77777777" w:rsidR="001D70AE" w:rsidRDefault="001D70AE">
      <w:pPr>
        <w:spacing w:after="0" w:line="360" w:lineRule="auto"/>
      </w:pPr>
    </w:p>
    <w:p w14:paraId="56286AD7" w14:textId="77777777" w:rsidR="001D70AE" w:rsidRDefault="001D70AE">
      <w:pPr>
        <w:spacing w:after="0" w:line="360" w:lineRule="auto"/>
      </w:pPr>
    </w:p>
    <w:p w14:paraId="6797A746" w14:textId="77777777" w:rsidR="001D70AE" w:rsidRDefault="001D70AE">
      <w:pPr>
        <w:spacing w:after="0" w:line="360" w:lineRule="auto"/>
      </w:pPr>
    </w:p>
    <w:p w14:paraId="3FF91B38" w14:textId="77777777" w:rsidR="001D70AE" w:rsidRDefault="001D70AE">
      <w:pPr>
        <w:spacing w:after="0" w:line="360" w:lineRule="auto"/>
      </w:pPr>
    </w:p>
    <w:p w14:paraId="529617AC" w14:textId="77777777" w:rsidR="001D70AE" w:rsidRDefault="001D70AE">
      <w:pPr>
        <w:spacing w:after="0" w:line="360" w:lineRule="auto"/>
      </w:pPr>
    </w:p>
    <w:p w14:paraId="631703A3" w14:textId="77777777" w:rsidR="001D70AE" w:rsidRDefault="001D70AE">
      <w:pPr>
        <w:spacing w:after="0" w:line="360" w:lineRule="auto"/>
      </w:pPr>
    </w:p>
    <w:p w14:paraId="04F38279" w14:textId="77777777" w:rsidR="001D70AE" w:rsidRDefault="001D70AE">
      <w:pPr>
        <w:spacing w:after="0" w:line="360" w:lineRule="auto"/>
      </w:pPr>
    </w:p>
    <w:p w14:paraId="0CE111E9" w14:textId="77777777" w:rsidR="001D70AE" w:rsidRDefault="001D70AE">
      <w:pPr>
        <w:spacing w:after="0" w:line="360" w:lineRule="auto"/>
      </w:pPr>
    </w:p>
    <w:p w14:paraId="3178C2BB" w14:textId="77777777" w:rsidR="001D70AE" w:rsidRDefault="001D70AE">
      <w:pPr>
        <w:spacing w:after="0" w:line="360" w:lineRule="auto"/>
      </w:pPr>
    </w:p>
    <w:p w14:paraId="00D3446C" w14:textId="77777777" w:rsidR="001D70AE" w:rsidRDefault="001D70AE">
      <w:pPr>
        <w:spacing w:after="0" w:line="360" w:lineRule="auto"/>
      </w:pPr>
    </w:p>
    <w:p w14:paraId="43F49776" w14:textId="77777777" w:rsidR="001D70AE" w:rsidRDefault="001D70AE">
      <w:pPr>
        <w:spacing w:after="0" w:line="360" w:lineRule="auto"/>
      </w:pPr>
    </w:p>
    <w:p w14:paraId="19635480" w14:textId="77777777" w:rsidR="001D70AE" w:rsidRDefault="001D70AE">
      <w:pPr>
        <w:spacing w:after="0" w:line="360" w:lineRule="auto"/>
      </w:pPr>
    </w:p>
    <w:p w14:paraId="12AD6E25" w14:textId="77777777" w:rsidR="001D70AE" w:rsidRDefault="001D70AE">
      <w:pPr>
        <w:spacing w:after="0" w:line="360" w:lineRule="auto"/>
      </w:pPr>
    </w:p>
    <w:p w14:paraId="22674B66" w14:textId="77777777" w:rsidR="001D70AE" w:rsidRDefault="001D70AE">
      <w:pPr>
        <w:spacing w:after="0" w:line="360" w:lineRule="auto"/>
      </w:pPr>
    </w:p>
    <w:sectPr w:rsidR="001D70AE">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9FF4" w14:textId="77777777" w:rsidR="004752D6" w:rsidRDefault="004752D6">
      <w:pPr>
        <w:spacing w:after="0" w:line="240" w:lineRule="auto"/>
      </w:pPr>
      <w:r>
        <w:separator/>
      </w:r>
    </w:p>
  </w:endnote>
  <w:endnote w:type="continuationSeparator" w:id="0">
    <w:p w14:paraId="1258D252" w14:textId="77777777" w:rsidR="004752D6" w:rsidRDefault="0047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52E1" w14:textId="2D9E91A6" w:rsidR="001D70AE" w:rsidRDefault="00CD61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D1A70">
      <w:rPr>
        <w:b/>
        <w:color w:val="000000"/>
        <w:sz w:val="24"/>
        <w:szCs w:val="24"/>
      </w:rPr>
      <w:fldChar w:fldCharType="separate"/>
    </w:r>
    <w:r w:rsidR="006D1A70">
      <w:rPr>
        <w:b/>
        <w:noProof/>
        <w:color w:val="000000"/>
        <w:sz w:val="24"/>
        <w:szCs w:val="24"/>
      </w:rPr>
      <w:t>26</w:t>
    </w:r>
    <w:r>
      <w:rPr>
        <w:b/>
        <w:color w:val="000000"/>
        <w:sz w:val="24"/>
        <w:szCs w:val="24"/>
      </w:rPr>
      <w:fldChar w:fldCharType="end"/>
    </w:r>
  </w:p>
  <w:p w14:paraId="491E3F54" w14:textId="77777777" w:rsidR="001D70AE" w:rsidRDefault="001D70A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DE4C" w14:textId="77777777" w:rsidR="001D70AE" w:rsidRDefault="00CD61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59B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59BD">
      <w:rPr>
        <w:b/>
        <w:noProof/>
        <w:color w:val="000000"/>
        <w:sz w:val="24"/>
        <w:szCs w:val="24"/>
      </w:rPr>
      <w:t>26</w:t>
    </w:r>
    <w:r>
      <w:rPr>
        <w:b/>
        <w:color w:val="000000"/>
        <w:sz w:val="24"/>
        <w:szCs w:val="24"/>
      </w:rPr>
      <w:fldChar w:fldCharType="end"/>
    </w:r>
  </w:p>
  <w:p w14:paraId="0E5D0159" w14:textId="77777777" w:rsidR="001D70AE" w:rsidRDefault="001D70A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9F49" w14:textId="77777777" w:rsidR="001D70AE" w:rsidRDefault="00CD61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59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59BD">
      <w:rPr>
        <w:b/>
        <w:noProof/>
        <w:color w:val="000000"/>
        <w:sz w:val="24"/>
        <w:szCs w:val="24"/>
      </w:rPr>
      <w:t>26</w:t>
    </w:r>
    <w:r>
      <w:rPr>
        <w:b/>
        <w:color w:val="000000"/>
        <w:sz w:val="24"/>
        <w:szCs w:val="24"/>
      </w:rPr>
      <w:fldChar w:fldCharType="end"/>
    </w:r>
  </w:p>
  <w:p w14:paraId="5E1AAC3A" w14:textId="77777777" w:rsidR="001D70AE" w:rsidRDefault="001D70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112C" w14:textId="77777777" w:rsidR="004752D6" w:rsidRDefault="004752D6">
      <w:pPr>
        <w:spacing w:after="0" w:line="240" w:lineRule="auto"/>
      </w:pPr>
      <w:r>
        <w:separator/>
      </w:r>
    </w:p>
  </w:footnote>
  <w:footnote w:type="continuationSeparator" w:id="0">
    <w:p w14:paraId="367174E7" w14:textId="77777777" w:rsidR="004752D6" w:rsidRDefault="0047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0AFE" w14:textId="77777777" w:rsidR="001D70AE" w:rsidRDefault="001D70AE">
    <w:pPr>
      <w:widowControl w:val="0"/>
      <w:pBdr>
        <w:top w:val="nil"/>
        <w:left w:val="nil"/>
        <w:bottom w:val="nil"/>
        <w:right w:val="nil"/>
        <w:between w:val="nil"/>
      </w:pBdr>
      <w:spacing w:after="0" w:line="276" w:lineRule="auto"/>
      <w:jc w:val="left"/>
      <w:rPr>
        <w:color w:val="000000"/>
      </w:rPr>
    </w:pPr>
  </w:p>
  <w:tbl>
    <w:tblPr>
      <w:tblStyle w:val="afffff8"/>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1D70AE" w14:paraId="7972CC88" w14:textId="77777777">
      <w:trPr>
        <w:trHeight w:val="141"/>
      </w:trPr>
      <w:tc>
        <w:tcPr>
          <w:tcW w:w="2404" w:type="dxa"/>
        </w:tcPr>
        <w:p w14:paraId="076D6B4C" w14:textId="77777777" w:rsidR="001D70AE" w:rsidRDefault="00CD61A4">
          <w:pPr>
            <w:tabs>
              <w:tab w:val="right" w:pos="8838"/>
            </w:tabs>
            <w:ind w:right="-105"/>
            <w:rPr>
              <w:b/>
            </w:rPr>
          </w:pPr>
          <w:r>
            <w:rPr>
              <w:b/>
            </w:rPr>
            <w:t>Recurso de Revisión:</w:t>
          </w:r>
        </w:p>
      </w:tc>
      <w:tc>
        <w:tcPr>
          <w:tcW w:w="3587" w:type="dxa"/>
        </w:tcPr>
        <w:p w14:paraId="0BB9FEDB" w14:textId="77777777" w:rsidR="001D70AE" w:rsidRDefault="00CD61A4">
          <w:pPr>
            <w:tabs>
              <w:tab w:val="right" w:pos="8838"/>
            </w:tabs>
            <w:ind w:left="-28" w:right="683"/>
          </w:pPr>
          <w:r>
            <w:t>04196/INFOEM/IP/RR/2020</w:t>
          </w:r>
        </w:p>
      </w:tc>
    </w:tr>
    <w:tr w:rsidR="001D70AE" w14:paraId="6A713E92" w14:textId="77777777">
      <w:trPr>
        <w:trHeight w:val="276"/>
      </w:trPr>
      <w:tc>
        <w:tcPr>
          <w:tcW w:w="2404" w:type="dxa"/>
        </w:tcPr>
        <w:p w14:paraId="441D675B" w14:textId="77777777" w:rsidR="001D70AE" w:rsidRDefault="00CD61A4">
          <w:pPr>
            <w:tabs>
              <w:tab w:val="right" w:pos="8838"/>
            </w:tabs>
            <w:ind w:right="-105"/>
            <w:rPr>
              <w:b/>
            </w:rPr>
          </w:pPr>
          <w:r>
            <w:rPr>
              <w:b/>
            </w:rPr>
            <w:t>Sujeto Obligado:</w:t>
          </w:r>
        </w:p>
      </w:tc>
      <w:tc>
        <w:tcPr>
          <w:tcW w:w="3587" w:type="dxa"/>
        </w:tcPr>
        <w:p w14:paraId="3712E1E7" w14:textId="77777777" w:rsidR="001D70AE" w:rsidRDefault="00CD61A4">
          <w:pPr>
            <w:tabs>
              <w:tab w:val="right" w:pos="8838"/>
            </w:tabs>
            <w:ind w:right="116"/>
          </w:pPr>
          <w:r>
            <w:t>Ayuntamiento de Chapultepec</w:t>
          </w:r>
        </w:p>
      </w:tc>
    </w:tr>
    <w:tr w:rsidR="001D70AE" w14:paraId="1F8DDDF4" w14:textId="77777777">
      <w:trPr>
        <w:trHeight w:val="276"/>
      </w:trPr>
      <w:tc>
        <w:tcPr>
          <w:tcW w:w="2404" w:type="dxa"/>
        </w:tcPr>
        <w:p w14:paraId="157A5736" w14:textId="77777777" w:rsidR="001D70AE" w:rsidRDefault="00CD61A4">
          <w:pPr>
            <w:tabs>
              <w:tab w:val="right" w:pos="8838"/>
            </w:tabs>
            <w:ind w:right="-105"/>
            <w:rPr>
              <w:b/>
            </w:rPr>
          </w:pPr>
          <w:r>
            <w:rPr>
              <w:b/>
            </w:rPr>
            <w:t>Comisionado Ponente:</w:t>
          </w:r>
        </w:p>
      </w:tc>
      <w:tc>
        <w:tcPr>
          <w:tcW w:w="3587" w:type="dxa"/>
        </w:tcPr>
        <w:p w14:paraId="117062E0" w14:textId="77777777" w:rsidR="001D70AE" w:rsidRDefault="00CD61A4">
          <w:pPr>
            <w:tabs>
              <w:tab w:val="right" w:pos="8838"/>
            </w:tabs>
            <w:ind w:right="-32"/>
          </w:pPr>
          <w:r>
            <w:t>Luis Gustavo Parra Noriega</w:t>
          </w:r>
        </w:p>
      </w:tc>
    </w:tr>
  </w:tbl>
  <w:p w14:paraId="2088A46C" w14:textId="77777777" w:rsidR="001D70A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CC6F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236E" w14:textId="77777777" w:rsidR="001D70AE" w:rsidRDefault="001D70AE">
    <w:pPr>
      <w:rPr>
        <w:sz w:val="16"/>
        <w:szCs w:val="16"/>
      </w:rPr>
    </w:pPr>
  </w:p>
  <w:tbl>
    <w:tblPr>
      <w:tblStyle w:val="afffff9"/>
      <w:tblW w:w="6095"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1D70AE" w14:paraId="4007E9AE" w14:textId="77777777" w:rsidTr="00AA73E7">
      <w:trPr>
        <w:trHeight w:val="141"/>
      </w:trPr>
      <w:tc>
        <w:tcPr>
          <w:tcW w:w="2409" w:type="dxa"/>
        </w:tcPr>
        <w:p w14:paraId="6086DC3F" w14:textId="77777777" w:rsidR="001D70AE" w:rsidRDefault="00CD61A4">
          <w:pPr>
            <w:tabs>
              <w:tab w:val="right" w:pos="8838"/>
            </w:tabs>
            <w:ind w:left="-395" w:right="-105" w:firstLine="395"/>
            <w:rPr>
              <w:b/>
            </w:rPr>
          </w:pPr>
          <w:r>
            <w:rPr>
              <w:b/>
            </w:rPr>
            <w:t>Recurso de Revisión:</w:t>
          </w:r>
        </w:p>
      </w:tc>
      <w:tc>
        <w:tcPr>
          <w:tcW w:w="3686" w:type="dxa"/>
        </w:tcPr>
        <w:p w14:paraId="30BC39F3" w14:textId="77777777" w:rsidR="001D70AE" w:rsidRPr="00AA73E7" w:rsidRDefault="00CD61A4">
          <w:pPr>
            <w:tabs>
              <w:tab w:val="right" w:pos="8838"/>
            </w:tabs>
            <w:ind w:right="176"/>
            <w:rPr>
              <w:bCs/>
            </w:rPr>
          </w:pPr>
          <w:r w:rsidRPr="00AA73E7">
            <w:rPr>
              <w:bCs/>
            </w:rPr>
            <w:t>04481/INFOEM/IP/RR/2025</w:t>
          </w:r>
        </w:p>
      </w:tc>
    </w:tr>
    <w:tr w:rsidR="001D70AE" w14:paraId="6545FF6A" w14:textId="77777777" w:rsidTr="00AA73E7">
      <w:trPr>
        <w:trHeight w:val="276"/>
      </w:trPr>
      <w:tc>
        <w:tcPr>
          <w:tcW w:w="2409" w:type="dxa"/>
        </w:tcPr>
        <w:p w14:paraId="0A9CA037" w14:textId="77777777" w:rsidR="001D70AE" w:rsidRDefault="00CD61A4">
          <w:pPr>
            <w:tabs>
              <w:tab w:val="right" w:pos="8838"/>
            </w:tabs>
            <w:ind w:right="-105"/>
            <w:rPr>
              <w:b/>
            </w:rPr>
          </w:pPr>
          <w:r>
            <w:rPr>
              <w:b/>
            </w:rPr>
            <w:t>Sujeto Obligado:</w:t>
          </w:r>
        </w:p>
      </w:tc>
      <w:tc>
        <w:tcPr>
          <w:tcW w:w="3686" w:type="dxa"/>
        </w:tcPr>
        <w:p w14:paraId="35BB15F4" w14:textId="77777777" w:rsidR="001D70AE" w:rsidRDefault="00CD61A4">
          <w:pPr>
            <w:tabs>
              <w:tab w:val="left" w:pos="3158"/>
              <w:tab w:val="left" w:pos="4292"/>
              <w:tab w:val="right" w:pos="8838"/>
            </w:tabs>
            <w:ind w:right="176"/>
          </w:pPr>
          <w:r>
            <w:t>Ayuntamiento de Toluca</w:t>
          </w:r>
        </w:p>
      </w:tc>
    </w:tr>
    <w:tr w:rsidR="001D70AE" w14:paraId="06DAB8B6" w14:textId="77777777" w:rsidTr="00AA73E7">
      <w:trPr>
        <w:trHeight w:val="276"/>
      </w:trPr>
      <w:tc>
        <w:tcPr>
          <w:tcW w:w="2409" w:type="dxa"/>
        </w:tcPr>
        <w:p w14:paraId="4964742D" w14:textId="77777777" w:rsidR="001D70AE" w:rsidRDefault="00CD61A4">
          <w:pPr>
            <w:tabs>
              <w:tab w:val="right" w:pos="8838"/>
            </w:tabs>
            <w:ind w:right="-105"/>
            <w:rPr>
              <w:b/>
            </w:rPr>
          </w:pPr>
          <w:r>
            <w:rPr>
              <w:b/>
            </w:rPr>
            <w:t>Comisionado Ponente:</w:t>
          </w:r>
        </w:p>
      </w:tc>
      <w:tc>
        <w:tcPr>
          <w:tcW w:w="3686" w:type="dxa"/>
        </w:tcPr>
        <w:p w14:paraId="2DC9C70D" w14:textId="77777777" w:rsidR="001D70AE" w:rsidRDefault="00CD61A4">
          <w:pPr>
            <w:tabs>
              <w:tab w:val="right" w:pos="8838"/>
            </w:tabs>
            <w:ind w:right="176"/>
          </w:pPr>
          <w:r>
            <w:t>Luis Gustavo Parra Noriega</w:t>
          </w:r>
        </w:p>
        <w:p w14:paraId="30E61C5C" w14:textId="77777777" w:rsidR="001D70AE" w:rsidRDefault="001D70AE">
          <w:pPr>
            <w:tabs>
              <w:tab w:val="right" w:pos="8838"/>
            </w:tabs>
            <w:ind w:right="176"/>
          </w:pPr>
        </w:p>
      </w:tc>
    </w:tr>
  </w:tbl>
  <w:p w14:paraId="0FECD5F1" w14:textId="77777777" w:rsidR="001D70A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73C5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D349" w14:textId="77777777" w:rsidR="001D70AE" w:rsidRDefault="00000000">
    <w:pPr>
      <w:widowControl w:val="0"/>
      <w:pBdr>
        <w:top w:val="nil"/>
        <w:left w:val="nil"/>
        <w:bottom w:val="nil"/>
        <w:right w:val="nil"/>
        <w:between w:val="nil"/>
      </w:pBdr>
      <w:spacing w:after="0" w:line="276" w:lineRule="auto"/>
      <w:jc w:val="left"/>
      <w:rPr>
        <w:color w:val="000000"/>
      </w:rPr>
    </w:pPr>
    <w:r>
      <w:rPr>
        <w:color w:val="000000"/>
      </w:rPr>
      <w:pict w14:anchorId="70DC1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a"/>
      <w:tblW w:w="9214" w:type="dxa"/>
      <w:tblInd w:w="0" w:type="dxa"/>
      <w:tblLayout w:type="fixed"/>
      <w:tblLook w:val="0400" w:firstRow="0" w:lastRow="0" w:firstColumn="0" w:lastColumn="0" w:noHBand="0" w:noVBand="1"/>
    </w:tblPr>
    <w:tblGrid>
      <w:gridCol w:w="2127"/>
      <w:gridCol w:w="7087"/>
    </w:tblGrid>
    <w:tr w:rsidR="001D70AE" w14:paraId="5323E1C3" w14:textId="77777777">
      <w:trPr>
        <w:trHeight w:val="1546"/>
      </w:trPr>
      <w:tc>
        <w:tcPr>
          <w:tcW w:w="2127" w:type="dxa"/>
        </w:tcPr>
        <w:p w14:paraId="0BF65989" w14:textId="77777777" w:rsidR="001D70AE" w:rsidRDefault="001D70AE">
          <w:pPr>
            <w:tabs>
              <w:tab w:val="right" w:pos="4273"/>
            </w:tabs>
            <w:rPr>
              <w:rFonts w:ascii="Garamond" w:eastAsia="Garamond" w:hAnsi="Garamond" w:cs="Garamond"/>
              <w:sz w:val="16"/>
              <w:szCs w:val="16"/>
            </w:rPr>
          </w:pPr>
        </w:p>
      </w:tc>
      <w:tc>
        <w:tcPr>
          <w:tcW w:w="7087" w:type="dxa"/>
        </w:tcPr>
        <w:p w14:paraId="04D5913A" w14:textId="77777777" w:rsidR="001D70AE" w:rsidRDefault="001D70AE">
          <w:pPr>
            <w:rPr>
              <w:sz w:val="10"/>
              <w:szCs w:val="10"/>
            </w:rPr>
          </w:pPr>
        </w:p>
        <w:tbl>
          <w:tblPr>
            <w:tblStyle w:val="afffffb"/>
            <w:tblW w:w="5812" w:type="dxa"/>
            <w:tblInd w:w="1167" w:type="dxa"/>
            <w:tblLayout w:type="fixed"/>
            <w:tblLook w:val="0400" w:firstRow="0" w:lastRow="0" w:firstColumn="0" w:lastColumn="0" w:noHBand="0" w:noVBand="1"/>
          </w:tblPr>
          <w:tblGrid>
            <w:gridCol w:w="2410"/>
            <w:gridCol w:w="3402"/>
          </w:tblGrid>
          <w:tr w:rsidR="001D70AE" w14:paraId="095E5B24" w14:textId="77777777">
            <w:trPr>
              <w:trHeight w:val="427"/>
            </w:trPr>
            <w:tc>
              <w:tcPr>
                <w:tcW w:w="2410" w:type="dxa"/>
                <w:vAlign w:val="bottom"/>
              </w:tcPr>
              <w:p w14:paraId="103107E0" w14:textId="77777777" w:rsidR="001D70AE" w:rsidRDefault="00CD61A4">
                <w:pPr>
                  <w:tabs>
                    <w:tab w:val="right" w:pos="8838"/>
                  </w:tabs>
                  <w:ind w:right="-105"/>
                  <w:rPr>
                    <w:b/>
                  </w:rPr>
                </w:pPr>
                <w:r>
                  <w:rPr>
                    <w:b/>
                  </w:rPr>
                  <w:t>Recurso de Revisión:</w:t>
                </w:r>
              </w:p>
            </w:tc>
            <w:tc>
              <w:tcPr>
                <w:tcW w:w="3402" w:type="dxa"/>
              </w:tcPr>
              <w:p w14:paraId="4407CE3B" w14:textId="77777777" w:rsidR="001D70AE" w:rsidRDefault="001D70AE">
                <w:pPr>
                  <w:tabs>
                    <w:tab w:val="right" w:pos="8838"/>
                  </w:tabs>
                  <w:ind w:left="-28" w:right="-107"/>
                  <w:rPr>
                    <w:b/>
                  </w:rPr>
                </w:pPr>
              </w:p>
              <w:p w14:paraId="7A7F86AC" w14:textId="77777777" w:rsidR="001D70AE" w:rsidRDefault="00CD61A4">
                <w:pPr>
                  <w:tabs>
                    <w:tab w:val="right" w:pos="8838"/>
                  </w:tabs>
                  <w:ind w:left="-28" w:right="-107"/>
                  <w:rPr>
                    <w:b/>
                  </w:rPr>
                </w:pPr>
                <w:r>
                  <w:rPr>
                    <w:b/>
                  </w:rPr>
                  <w:t>04481/INFOEM/IP/RR/2025</w:t>
                </w:r>
              </w:p>
            </w:tc>
          </w:tr>
          <w:tr w:rsidR="001D70AE" w14:paraId="352501AD" w14:textId="77777777">
            <w:trPr>
              <w:trHeight w:val="141"/>
            </w:trPr>
            <w:tc>
              <w:tcPr>
                <w:tcW w:w="2410" w:type="dxa"/>
              </w:tcPr>
              <w:p w14:paraId="03DB21DD" w14:textId="77777777" w:rsidR="001D70AE" w:rsidRDefault="00CD61A4">
                <w:pPr>
                  <w:tabs>
                    <w:tab w:val="right" w:pos="8838"/>
                  </w:tabs>
                  <w:ind w:right="-105"/>
                  <w:rPr>
                    <w:b/>
                  </w:rPr>
                </w:pPr>
                <w:r>
                  <w:rPr>
                    <w:b/>
                  </w:rPr>
                  <w:t>Recurrente:</w:t>
                </w:r>
              </w:p>
            </w:tc>
            <w:tc>
              <w:tcPr>
                <w:tcW w:w="3402" w:type="dxa"/>
              </w:tcPr>
              <w:p w14:paraId="08AECE17" w14:textId="77777777" w:rsidR="001D70AE" w:rsidRDefault="001D70AE">
                <w:pPr>
                  <w:tabs>
                    <w:tab w:val="right" w:pos="8838"/>
                  </w:tabs>
                  <w:ind w:right="-107"/>
                </w:pPr>
              </w:p>
            </w:tc>
          </w:tr>
          <w:tr w:rsidR="001D70AE" w14:paraId="5273FE93" w14:textId="77777777">
            <w:trPr>
              <w:trHeight w:val="276"/>
            </w:trPr>
            <w:tc>
              <w:tcPr>
                <w:tcW w:w="2410" w:type="dxa"/>
              </w:tcPr>
              <w:p w14:paraId="67BE21F6" w14:textId="77777777" w:rsidR="001D70AE" w:rsidRDefault="00CD61A4">
                <w:pPr>
                  <w:tabs>
                    <w:tab w:val="right" w:pos="8838"/>
                  </w:tabs>
                  <w:ind w:right="-105"/>
                  <w:rPr>
                    <w:b/>
                  </w:rPr>
                </w:pPr>
                <w:r>
                  <w:rPr>
                    <w:b/>
                  </w:rPr>
                  <w:t>Sujeto Obligado:</w:t>
                </w:r>
              </w:p>
            </w:tc>
            <w:tc>
              <w:tcPr>
                <w:tcW w:w="3402" w:type="dxa"/>
              </w:tcPr>
              <w:p w14:paraId="0429CB96" w14:textId="77777777" w:rsidR="001D70AE" w:rsidRDefault="00CD61A4">
                <w:pPr>
                  <w:tabs>
                    <w:tab w:val="right" w:pos="8838"/>
                  </w:tabs>
                  <w:ind w:right="33"/>
                </w:pPr>
                <w:r>
                  <w:t>Ayuntamiento de Toluca</w:t>
                </w:r>
              </w:p>
            </w:tc>
          </w:tr>
          <w:tr w:rsidR="001D70AE" w14:paraId="7B083C17" w14:textId="77777777">
            <w:trPr>
              <w:trHeight w:val="276"/>
            </w:trPr>
            <w:tc>
              <w:tcPr>
                <w:tcW w:w="2410" w:type="dxa"/>
              </w:tcPr>
              <w:p w14:paraId="46FA3960" w14:textId="77777777" w:rsidR="001D70AE" w:rsidRDefault="00CD61A4">
                <w:pPr>
                  <w:tabs>
                    <w:tab w:val="right" w:pos="8838"/>
                  </w:tabs>
                  <w:ind w:right="-105"/>
                  <w:rPr>
                    <w:b/>
                  </w:rPr>
                </w:pPr>
                <w:r>
                  <w:rPr>
                    <w:b/>
                  </w:rPr>
                  <w:t>Comisionado Ponente:</w:t>
                </w:r>
              </w:p>
            </w:tc>
            <w:tc>
              <w:tcPr>
                <w:tcW w:w="3402" w:type="dxa"/>
              </w:tcPr>
              <w:p w14:paraId="0877E7E7" w14:textId="77777777" w:rsidR="001D70AE" w:rsidRDefault="00CD61A4">
                <w:pPr>
                  <w:tabs>
                    <w:tab w:val="right" w:pos="8838"/>
                  </w:tabs>
                  <w:ind w:right="-107"/>
                </w:pPr>
                <w:r>
                  <w:t>Luis Gustavo Parra Noriega</w:t>
                </w:r>
              </w:p>
            </w:tc>
          </w:tr>
        </w:tbl>
        <w:p w14:paraId="05F640E2" w14:textId="77777777" w:rsidR="001D70AE" w:rsidRDefault="001D70AE">
          <w:pPr>
            <w:tabs>
              <w:tab w:val="right" w:pos="8838"/>
            </w:tabs>
            <w:ind w:left="-28"/>
            <w:rPr>
              <w:rFonts w:ascii="Arial" w:eastAsia="Arial" w:hAnsi="Arial" w:cs="Arial"/>
              <w:b/>
            </w:rPr>
          </w:pPr>
        </w:p>
      </w:tc>
    </w:tr>
  </w:tbl>
  <w:p w14:paraId="2298D081" w14:textId="77777777" w:rsidR="001D70AE" w:rsidRDefault="001D70A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82A"/>
    <w:multiLevelType w:val="multilevel"/>
    <w:tmpl w:val="21ECD4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3687F"/>
    <w:multiLevelType w:val="multilevel"/>
    <w:tmpl w:val="5A7CAB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1905EC"/>
    <w:multiLevelType w:val="multilevel"/>
    <w:tmpl w:val="C69E33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027F1A"/>
    <w:multiLevelType w:val="multilevel"/>
    <w:tmpl w:val="D456A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E90A42"/>
    <w:multiLevelType w:val="multilevel"/>
    <w:tmpl w:val="E7F2D7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5B71D4"/>
    <w:multiLevelType w:val="multilevel"/>
    <w:tmpl w:val="249CCB12"/>
    <w:lvl w:ilvl="0">
      <w:start w:val="2"/>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19E4372"/>
    <w:multiLevelType w:val="multilevel"/>
    <w:tmpl w:val="6F8CB7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CF1AA9"/>
    <w:multiLevelType w:val="multilevel"/>
    <w:tmpl w:val="E7F2D7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8D789A"/>
    <w:multiLevelType w:val="multilevel"/>
    <w:tmpl w:val="EF509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C61917"/>
    <w:multiLevelType w:val="multilevel"/>
    <w:tmpl w:val="6D4099E4"/>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20151709">
    <w:abstractNumId w:val="0"/>
  </w:num>
  <w:num w:numId="2" w16cid:durableId="1180463529">
    <w:abstractNumId w:val="2"/>
  </w:num>
  <w:num w:numId="3" w16cid:durableId="1309555314">
    <w:abstractNumId w:val="3"/>
  </w:num>
  <w:num w:numId="4" w16cid:durableId="1275022010">
    <w:abstractNumId w:val="5"/>
  </w:num>
  <w:num w:numId="5" w16cid:durableId="1153445290">
    <w:abstractNumId w:val="9"/>
  </w:num>
  <w:num w:numId="6" w16cid:durableId="1870022178">
    <w:abstractNumId w:val="7"/>
  </w:num>
  <w:num w:numId="7" w16cid:durableId="1342318752">
    <w:abstractNumId w:val="8"/>
  </w:num>
  <w:num w:numId="8" w16cid:durableId="1709329231">
    <w:abstractNumId w:val="1"/>
  </w:num>
  <w:num w:numId="9" w16cid:durableId="1283152195">
    <w:abstractNumId w:val="6"/>
  </w:num>
  <w:num w:numId="10" w16cid:durableId="916329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AE"/>
    <w:rsid w:val="001D70AE"/>
    <w:rsid w:val="002A4BE7"/>
    <w:rsid w:val="00363F6E"/>
    <w:rsid w:val="003C5603"/>
    <w:rsid w:val="004752D6"/>
    <w:rsid w:val="00606EF7"/>
    <w:rsid w:val="006135AA"/>
    <w:rsid w:val="006D1A70"/>
    <w:rsid w:val="007659BD"/>
    <w:rsid w:val="00AA73E7"/>
    <w:rsid w:val="00B2266D"/>
    <w:rsid w:val="00C17E86"/>
    <w:rsid w:val="00CD6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7658"/>
  <w15:docId w15:val="{68A15EB1-691F-4D79-B60B-C8B445D0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0"/>
    <w:pPr>
      <w:spacing w:after="0" w:line="240" w:lineRule="auto"/>
    </w:pPr>
    <w:tblPr>
      <w:tblStyleRowBandSize w:val="1"/>
      <w:tblStyleColBandSize w:val="1"/>
      <w:tblCellMar>
        <w:left w:w="108" w:type="dxa"/>
        <w:right w:w="108" w:type="dxa"/>
      </w:tblCellMar>
    </w:tblPr>
  </w:style>
  <w:style w:type="table" w:customStyle="1" w:styleId="a0">
    <w:basedOn w:val="TableNormalf0"/>
    <w:pPr>
      <w:spacing w:after="0" w:line="240" w:lineRule="auto"/>
    </w:pPr>
    <w:tblPr>
      <w:tblStyleRowBandSize w:val="1"/>
      <w:tblStyleColBandSize w:val="1"/>
      <w:tblCellMar>
        <w:left w:w="108" w:type="dxa"/>
        <w:right w:w="108"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0"/>
    <w:pPr>
      <w:spacing w:after="0" w:line="240" w:lineRule="auto"/>
    </w:pPr>
    <w:tblPr>
      <w:tblStyleRowBandSize w:val="1"/>
      <w:tblStyleColBandSize w:val="1"/>
      <w:tblCellMar>
        <w:left w:w="108" w:type="dxa"/>
        <w:right w:w="108" w:type="dxa"/>
      </w:tblCellMar>
    </w:tblPr>
  </w:style>
  <w:style w:type="table" w:customStyle="1" w:styleId="a4">
    <w:basedOn w:val="TableNormalf0"/>
    <w:pPr>
      <w:spacing w:after="0" w:line="240" w:lineRule="auto"/>
    </w:pPr>
    <w:tblPr>
      <w:tblStyleRowBandSize w:val="1"/>
      <w:tblStyleColBandSize w:val="1"/>
      <w:tblCellMar>
        <w:left w:w="108" w:type="dxa"/>
        <w:right w:w="108" w:type="dxa"/>
      </w:tblCellMar>
    </w:tblPr>
  </w:style>
  <w:style w:type="table" w:customStyle="1" w:styleId="a5">
    <w:basedOn w:val="TableNormalf0"/>
    <w:pPr>
      <w:spacing w:after="0" w:line="240" w:lineRule="auto"/>
    </w:pPr>
    <w:tblPr>
      <w:tblStyleRowBandSize w:val="1"/>
      <w:tblStyleColBandSize w:val="1"/>
      <w:tblCellMar>
        <w:left w:w="108" w:type="dxa"/>
        <w:right w:w="108" w:type="dxa"/>
      </w:tblCellMar>
    </w:tblPr>
  </w:style>
  <w:style w:type="table" w:customStyle="1" w:styleId="a6">
    <w:basedOn w:val="TableNormalf0"/>
    <w:pPr>
      <w:spacing w:after="0" w:line="240" w:lineRule="auto"/>
    </w:pPr>
    <w:tblPr>
      <w:tblStyleRowBandSize w:val="1"/>
      <w:tblStyleColBandSize w:val="1"/>
      <w:tblCellMar>
        <w:left w:w="108" w:type="dxa"/>
        <w:right w:w="108" w:type="dxa"/>
      </w:tblCellMar>
    </w:tblPr>
  </w:style>
  <w:style w:type="table" w:customStyle="1" w:styleId="a7">
    <w:basedOn w:val="TableNormalf"/>
    <w:pPr>
      <w:spacing w:after="0" w:line="240" w:lineRule="auto"/>
    </w:pPr>
    <w:tblPr>
      <w:tblStyleRowBandSize w:val="1"/>
      <w:tblStyleColBandSize w:val="1"/>
      <w:tblCellMar>
        <w:left w:w="108" w:type="dxa"/>
        <w:right w:w="108" w:type="dxa"/>
      </w:tblCellMar>
    </w:tblPr>
  </w:style>
  <w:style w:type="table" w:customStyle="1" w:styleId="a8">
    <w:basedOn w:val="TableNormalf"/>
    <w:pPr>
      <w:spacing w:after="0" w:line="240" w:lineRule="auto"/>
    </w:pPr>
    <w:tblPr>
      <w:tblStyleRowBandSize w:val="1"/>
      <w:tblStyleColBandSize w:val="1"/>
      <w:tblCellMar>
        <w:left w:w="108" w:type="dxa"/>
        <w:right w:w="108" w:type="dxa"/>
      </w:tblCellMar>
    </w:tblPr>
  </w:style>
  <w:style w:type="table" w:customStyle="1" w:styleId="a9">
    <w:basedOn w:val="TableNormalf"/>
    <w:pPr>
      <w:spacing w:after="0" w:line="240" w:lineRule="auto"/>
    </w:pPr>
    <w:tblPr>
      <w:tblStyleRowBandSize w:val="1"/>
      <w:tblStyleColBandSize w:val="1"/>
      <w:tblCellMar>
        <w:left w:w="108" w:type="dxa"/>
        <w:right w:w="108" w:type="dxa"/>
      </w:tblCellMar>
    </w:tblPr>
  </w:style>
  <w:style w:type="table" w:customStyle="1" w:styleId="aa">
    <w:basedOn w:val="TableNormalf"/>
    <w:pPr>
      <w:spacing w:after="0" w:line="240" w:lineRule="auto"/>
    </w:pPr>
    <w:tblPr>
      <w:tblStyleRowBandSize w:val="1"/>
      <w:tblStyleColBandSize w:val="1"/>
      <w:tblCellMar>
        <w:left w:w="108" w:type="dxa"/>
        <w:right w:w="108" w:type="dxa"/>
      </w:tblCellMar>
    </w:tblPr>
  </w:style>
  <w:style w:type="table" w:customStyle="1" w:styleId="ab">
    <w:basedOn w:val="TableNormale"/>
    <w:pPr>
      <w:spacing w:after="0" w:line="240" w:lineRule="auto"/>
    </w:pPr>
    <w:tblPr>
      <w:tblStyleRowBandSize w:val="1"/>
      <w:tblStyleColBandSize w:val="1"/>
      <w:tblCellMar>
        <w:left w:w="108" w:type="dxa"/>
        <w:right w:w="108" w:type="dxa"/>
      </w:tblCellMar>
    </w:tblPr>
  </w:style>
  <w:style w:type="table" w:customStyle="1" w:styleId="ac">
    <w:basedOn w:val="TableNormale"/>
    <w:pPr>
      <w:spacing w:after="0" w:line="240" w:lineRule="auto"/>
    </w:pPr>
    <w:tblPr>
      <w:tblStyleRowBandSize w:val="1"/>
      <w:tblStyleColBandSize w:val="1"/>
      <w:tblCellMar>
        <w:left w:w="108" w:type="dxa"/>
        <w:right w:w="108" w:type="dxa"/>
      </w:tblCellMar>
    </w:tblPr>
  </w:style>
  <w:style w:type="table" w:customStyle="1" w:styleId="ad">
    <w:basedOn w:val="TableNormale"/>
    <w:pPr>
      <w:spacing w:after="0" w:line="240" w:lineRule="auto"/>
    </w:pPr>
    <w:tblPr>
      <w:tblStyleRowBandSize w:val="1"/>
      <w:tblStyleColBandSize w:val="1"/>
      <w:tblCellMar>
        <w:left w:w="108" w:type="dxa"/>
        <w:right w:w="108" w:type="dxa"/>
      </w:tblCellMar>
    </w:tblPr>
  </w:style>
  <w:style w:type="table" w:customStyle="1" w:styleId="ae">
    <w:basedOn w:val="TableNormale"/>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customStyle="1" w:styleId="af0">
    <w:basedOn w:val="TableNormald"/>
    <w:pPr>
      <w:spacing w:after="0" w:line="240" w:lineRule="auto"/>
    </w:pPr>
    <w:tblPr>
      <w:tblStyleRowBandSize w:val="1"/>
      <w:tblStyleColBandSize w:val="1"/>
      <w:tblCellMar>
        <w:left w:w="108" w:type="dxa"/>
        <w:right w:w="108" w:type="dxa"/>
      </w:tblCellMar>
    </w:tblPr>
  </w:style>
  <w:style w:type="table" w:customStyle="1" w:styleId="af1">
    <w:basedOn w:val="TableNormald"/>
    <w:pPr>
      <w:spacing w:after="0" w:line="240" w:lineRule="auto"/>
    </w:pPr>
    <w:tblPr>
      <w:tblStyleRowBandSize w:val="1"/>
      <w:tblStyleColBandSize w:val="1"/>
      <w:tblCellMar>
        <w:left w:w="108" w:type="dxa"/>
        <w:right w:w="108" w:type="dxa"/>
      </w:tblCellMar>
    </w:tblPr>
  </w:style>
  <w:style w:type="table" w:customStyle="1" w:styleId="af2">
    <w:basedOn w:val="TableNormald"/>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table" w:customStyle="1" w:styleId="af4">
    <w:basedOn w:val="TableNormalc"/>
    <w:pPr>
      <w:spacing w:after="0" w:line="240" w:lineRule="auto"/>
    </w:pPr>
    <w:tblPr>
      <w:tblStyleRowBandSize w:val="1"/>
      <w:tblStyleColBandSize w:val="1"/>
      <w:tblCellMar>
        <w:left w:w="108" w:type="dxa"/>
        <w:right w:w="108" w:type="dxa"/>
      </w:tblCellMar>
    </w:tblPr>
  </w:style>
  <w:style w:type="table" w:customStyle="1" w:styleId="af5">
    <w:basedOn w:val="TableNormalc"/>
    <w:pPr>
      <w:spacing w:after="0" w:line="240" w:lineRule="auto"/>
    </w:pPr>
    <w:tblPr>
      <w:tblStyleRowBandSize w:val="1"/>
      <w:tblStyleColBandSize w:val="1"/>
      <w:tblCellMar>
        <w:left w:w="108" w:type="dxa"/>
        <w:right w:w="108" w:type="dxa"/>
      </w:tblCellMar>
    </w:tblPr>
  </w:style>
  <w:style w:type="table" w:customStyle="1" w:styleId="af6">
    <w:basedOn w:val="TableNormalc"/>
    <w:pPr>
      <w:spacing w:after="0" w:line="240" w:lineRule="auto"/>
    </w:pPr>
    <w:tblPr>
      <w:tblStyleRowBandSize w:val="1"/>
      <w:tblStyleColBandSize w:val="1"/>
      <w:tblCellMar>
        <w:left w:w="108" w:type="dxa"/>
        <w:right w:w="108" w:type="dxa"/>
      </w:tblCellMar>
    </w:tblPr>
  </w:style>
  <w:style w:type="table" w:customStyle="1" w:styleId="af7">
    <w:basedOn w:val="TableNormalb"/>
    <w:pPr>
      <w:spacing w:after="0" w:line="240" w:lineRule="auto"/>
    </w:pPr>
    <w:tblPr>
      <w:tblStyleRowBandSize w:val="1"/>
      <w:tblStyleColBandSize w:val="1"/>
      <w:tblCellMar>
        <w:left w:w="108" w:type="dxa"/>
        <w:right w:w="108" w:type="dxa"/>
      </w:tblCellMar>
    </w:tblPr>
  </w:style>
  <w:style w:type="table" w:customStyle="1" w:styleId="af8">
    <w:basedOn w:val="TableNormalb"/>
    <w:pPr>
      <w:spacing w:after="0" w:line="240" w:lineRule="auto"/>
    </w:pPr>
    <w:tblPr>
      <w:tblStyleRowBandSize w:val="1"/>
      <w:tblStyleColBandSize w:val="1"/>
      <w:tblCellMar>
        <w:left w:w="108" w:type="dxa"/>
        <w:right w:w="108" w:type="dxa"/>
      </w:tblCellMar>
    </w:tblPr>
  </w:style>
  <w:style w:type="table" w:customStyle="1" w:styleId="af9">
    <w:basedOn w:val="TableNormalb"/>
    <w:pPr>
      <w:spacing w:after="0" w:line="240" w:lineRule="auto"/>
    </w:pPr>
    <w:tblPr>
      <w:tblStyleRowBandSize w:val="1"/>
      <w:tblStyleColBandSize w:val="1"/>
      <w:tblCellMar>
        <w:left w:w="108" w:type="dxa"/>
        <w:right w:w="108" w:type="dxa"/>
      </w:tblCellMar>
    </w:tblPr>
  </w:style>
  <w:style w:type="table" w:customStyle="1" w:styleId="afa">
    <w:basedOn w:val="TableNormalb"/>
    <w:pPr>
      <w:spacing w:after="0" w:line="240" w:lineRule="auto"/>
    </w:pPr>
    <w:tblPr>
      <w:tblStyleRowBandSize w:val="1"/>
      <w:tblStyleColBandSize w:val="1"/>
      <w:tblCellMar>
        <w:left w:w="108" w:type="dxa"/>
        <w:right w:w="108" w:type="dxa"/>
      </w:tblCellMar>
    </w:tblPr>
  </w:style>
  <w:style w:type="table" w:customStyle="1" w:styleId="afb">
    <w:basedOn w:val="TableNormala"/>
    <w:pPr>
      <w:spacing w:after="0" w:line="240" w:lineRule="auto"/>
    </w:pPr>
    <w:tblPr>
      <w:tblStyleRowBandSize w:val="1"/>
      <w:tblStyleColBandSize w:val="1"/>
      <w:tblCellMar>
        <w:left w:w="108" w:type="dxa"/>
        <w:right w:w="108" w:type="dxa"/>
      </w:tblCellMar>
    </w:tblPr>
  </w:style>
  <w:style w:type="table" w:customStyle="1" w:styleId="afc">
    <w:basedOn w:val="TableNormala"/>
    <w:pPr>
      <w:spacing w:after="0" w:line="240" w:lineRule="auto"/>
    </w:pPr>
    <w:tblPr>
      <w:tblStyleRowBandSize w:val="1"/>
      <w:tblStyleColBandSize w:val="1"/>
      <w:tblCellMar>
        <w:left w:w="108" w:type="dxa"/>
        <w:right w:w="108" w:type="dxa"/>
      </w:tblCellMar>
    </w:tblPr>
  </w:style>
  <w:style w:type="table" w:customStyle="1" w:styleId="afd">
    <w:basedOn w:val="TableNormala"/>
    <w:pPr>
      <w:spacing w:after="0" w:line="240" w:lineRule="auto"/>
    </w:pPr>
    <w:tblPr>
      <w:tblStyleRowBandSize w:val="1"/>
      <w:tblStyleColBandSize w:val="1"/>
      <w:tblCellMar>
        <w:left w:w="108" w:type="dxa"/>
        <w:right w:w="108" w:type="dxa"/>
      </w:tblCellMar>
    </w:tblPr>
  </w:style>
  <w:style w:type="table" w:customStyle="1" w:styleId="afe">
    <w:basedOn w:val="TableNormala"/>
    <w:pPr>
      <w:spacing w:after="0" w:line="240" w:lineRule="auto"/>
    </w:pPr>
    <w:tblPr>
      <w:tblStyleRowBandSize w:val="1"/>
      <w:tblStyleColBandSize w:val="1"/>
      <w:tblCellMar>
        <w:left w:w="108" w:type="dxa"/>
        <w:right w:w="108" w:type="dxa"/>
      </w:tblCellMar>
    </w:tblPr>
  </w:style>
  <w:style w:type="table" w:customStyle="1" w:styleId="aff">
    <w:basedOn w:val="TableNormal9"/>
    <w:pPr>
      <w:spacing w:after="0" w:line="240" w:lineRule="auto"/>
    </w:pPr>
    <w:tblPr>
      <w:tblStyleRowBandSize w:val="1"/>
      <w:tblStyleColBandSize w:val="1"/>
      <w:tblCellMar>
        <w:left w:w="108" w:type="dxa"/>
        <w:right w:w="108" w:type="dxa"/>
      </w:tblCellMar>
    </w:tblPr>
  </w:style>
  <w:style w:type="table" w:customStyle="1" w:styleId="aff0">
    <w:basedOn w:val="TableNormal9"/>
    <w:pPr>
      <w:spacing w:after="0" w:line="240" w:lineRule="auto"/>
    </w:pPr>
    <w:tblPr>
      <w:tblStyleRowBandSize w:val="1"/>
      <w:tblStyleColBandSize w:val="1"/>
      <w:tblCellMar>
        <w:left w:w="108" w:type="dxa"/>
        <w:right w:w="108" w:type="dxa"/>
      </w:tblCellMar>
    </w:tblPr>
  </w:style>
  <w:style w:type="table" w:customStyle="1" w:styleId="aff1">
    <w:basedOn w:val="TableNormal9"/>
    <w:pPr>
      <w:spacing w:after="0" w:line="240" w:lineRule="auto"/>
    </w:pPr>
    <w:tblPr>
      <w:tblStyleRowBandSize w:val="1"/>
      <w:tblStyleColBandSize w:val="1"/>
      <w:tblCellMar>
        <w:left w:w="108" w:type="dxa"/>
        <w:right w:w="108" w:type="dxa"/>
      </w:tblCellMar>
    </w:tblPr>
  </w:style>
  <w:style w:type="table" w:customStyle="1" w:styleId="aff2">
    <w:basedOn w:val="TableNormal9"/>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pPr>
      <w:spacing w:after="0" w:line="240" w:lineRule="auto"/>
    </w:pPr>
    <w:tblPr>
      <w:tblStyleRowBandSize w:val="1"/>
      <w:tblStyleColBandSize w:val="1"/>
      <w:tblCellMar>
        <w:left w:w="108" w:type="dxa"/>
        <w:right w:w="108"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7"/>
    <w:pPr>
      <w:spacing w:after="0" w:line="240" w:lineRule="auto"/>
    </w:pPr>
    <w:tblPr>
      <w:tblStyleRowBandSize w:val="1"/>
      <w:tblStyleColBandSize w:val="1"/>
      <w:tblCellMar>
        <w:left w:w="108" w:type="dxa"/>
        <w:right w:w="108" w:type="dxa"/>
      </w:tblCellMar>
    </w:tblPr>
  </w:style>
  <w:style w:type="table" w:customStyle="1" w:styleId="aff8">
    <w:basedOn w:val="TableNormal7"/>
    <w:pPr>
      <w:spacing w:after="0" w:line="240" w:lineRule="auto"/>
    </w:pPr>
    <w:tblPr>
      <w:tblStyleRowBandSize w:val="1"/>
      <w:tblStyleColBandSize w:val="1"/>
      <w:tblCellMar>
        <w:left w:w="108" w:type="dxa"/>
        <w:right w:w="108" w:type="dxa"/>
      </w:tblCellMar>
    </w:tblPr>
  </w:style>
  <w:style w:type="table" w:customStyle="1" w:styleId="aff9">
    <w:basedOn w:val="TableNormal7"/>
    <w:pPr>
      <w:spacing w:after="0" w:line="240" w:lineRule="auto"/>
    </w:pPr>
    <w:tblPr>
      <w:tblStyleRowBandSize w:val="1"/>
      <w:tblStyleColBandSize w:val="1"/>
      <w:tblCellMar>
        <w:left w:w="108" w:type="dxa"/>
        <w:right w:w="108" w:type="dxa"/>
      </w:tblCellMar>
    </w:tblPr>
  </w:style>
  <w:style w:type="table" w:customStyle="1" w:styleId="affa">
    <w:basedOn w:val="TableNormal7"/>
    <w:pPr>
      <w:spacing w:after="0" w:line="240" w:lineRule="auto"/>
    </w:pPr>
    <w:tblPr>
      <w:tblStyleRowBandSize w:val="1"/>
      <w:tblStyleColBandSize w:val="1"/>
      <w:tblCellMar>
        <w:left w:w="108" w:type="dxa"/>
        <w:right w:w="108" w:type="dxa"/>
      </w:tblCellMar>
    </w:tblPr>
  </w:style>
  <w:style w:type="table" w:customStyle="1" w:styleId="affb">
    <w:basedOn w:val="TableNormal7"/>
    <w:pPr>
      <w:spacing w:after="0" w:line="240" w:lineRule="auto"/>
    </w:pPr>
    <w:tblPr>
      <w:tblStyleRowBandSize w:val="1"/>
      <w:tblStyleColBandSize w:val="1"/>
      <w:tblCellMar>
        <w:left w:w="108" w:type="dxa"/>
        <w:right w:w="108" w:type="dxa"/>
      </w:tblCellMar>
    </w:tblPr>
  </w:style>
  <w:style w:type="table" w:customStyle="1" w:styleId="affc">
    <w:basedOn w:val="TableNormal7"/>
    <w:pPr>
      <w:spacing w:after="0" w:line="240" w:lineRule="auto"/>
    </w:pPr>
    <w:tblPr>
      <w:tblStyleRowBandSize w:val="1"/>
      <w:tblStyleColBandSize w:val="1"/>
      <w:tblCellMar>
        <w:left w:w="108" w:type="dxa"/>
        <w:right w:w="108" w:type="dxa"/>
      </w:tblCellMar>
    </w:tblPr>
  </w:style>
  <w:style w:type="table" w:customStyle="1" w:styleId="affd">
    <w:basedOn w:val="TableNormal7"/>
    <w:pPr>
      <w:spacing w:after="0" w:line="240" w:lineRule="auto"/>
    </w:pPr>
    <w:tblPr>
      <w:tblStyleRowBandSize w:val="1"/>
      <w:tblStyleColBandSize w:val="1"/>
      <w:tblCellMar>
        <w:left w:w="108" w:type="dxa"/>
        <w:right w:w="108" w:type="dxa"/>
      </w:tblCellMar>
    </w:tblPr>
  </w:style>
  <w:style w:type="table" w:customStyle="1" w:styleId="affe">
    <w:basedOn w:val="TableNormal7"/>
    <w:pPr>
      <w:spacing w:after="0" w:line="240" w:lineRule="auto"/>
    </w:pPr>
    <w:tblPr>
      <w:tblStyleRowBandSize w:val="1"/>
      <w:tblStyleColBandSize w:val="1"/>
      <w:tblCellMar>
        <w:left w:w="108" w:type="dxa"/>
        <w:right w:w="108" w:type="dxa"/>
      </w:tblCellMar>
    </w:tblPr>
  </w:style>
  <w:style w:type="table" w:customStyle="1" w:styleId="afff">
    <w:basedOn w:val="TableNormal7"/>
    <w:pPr>
      <w:spacing w:after="0" w:line="240" w:lineRule="auto"/>
    </w:pPr>
    <w:tblPr>
      <w:tblStyleRowBandSize w:val="1"/>
      <w:tblStyleColBandSize w:val="1"/>
      <w:tblCellMar>
        <w:left w:w="108" w:type="dxa"/>
        <w:right w:w="108" w:type="dxa"/>
      </w:tblCellMar>
    </w:tblPr>
  </w:style>
  <w:style w:type="table" w:customStyle="1" w:styleId="afff0">
    <w:basedOn w:val="TableNormal7"/>
    <w:pPr>
      <w:spacing w:after="0" w:line="240" w:lineRule="auto"/>
    </w:pPr>
    <w:tblPr>
      <w:tblStyleRowBandSize w:val="1"/>
      <w:tblStyleColBandSize w:val="1"/>
      <w:tblCellMar>
        <w:left w:w="108" w:type="dxa"/>
        <w:right w:w="108" w:type="dxa"/>
      </w:tblCellMar>
    </w:tblPr>
  </w:style>
  <w:style w:type="table" w:customStyle="1" w:styleId="afff1">
    <w:basedOn w:val="TableNormal7"/>
    <w:pPr>
      <w:spacing w:after="0" w:line="240" w:lineRule="auto"/>
    </w:pPr>
    <w:tblPr>
      <w:tblStyleRowBandSize w:val="1"/>
      <w:tblStyleColBandSize w:val="1"/>
      <w:tblCellMar>
        <w:left w:w="108" w:type="dxa"/>
        <w:right w:w="108" w:type="dxa"/>
      </w:tblCellMar>
    </w:tblPr>
  </w:style>
  <w:style w:type="table" w:customStyle="1" w:styleId="afff2">
    <w:basedOn w:val="TableNormal7"/>
    <w:pPr>
      <w:spacing w:after="0" w:line="240" w:lineRule="auto"/>
    </w:pPr>
    <w:tblPr>
      <w:tblStyleRowBandSize w:val="1"/>
      <w:tblStyleColBandSize w:val="1"/>
      <w:tblCellMar>
        <w:left w:w="108" w:type="dxa"/>
        <w:right w:w="108" w:type="dxa"/>
      </w:tblCellMar>
    </w:tblPr>
  </w:style>
  <w:style w:type="table" w:customStyle="1" w:styleId="afff3">
    <w:basedOn w:val="TableNormal7"/>
    <w:pPr>
      <w:spacing w:after="0" w:line="240" w:lineRule="auto"/>
    </w:pPr>
    <w:tblPr>
      <w:tblStyleRowBandSize w:val="1"/>
      <w:tblStyleColBandSize w:val="1"/>
      <w:tblCellMar>
        <w:left w:w="108" w:type="dxa"/>
        <w:right w:w="108" w:type="dxa"/>
      </w:tblCellMar>
    </w:tblPr>
  </w:style>
  <w:style w:type="table" w:customStyle="1" w:styleId="afff4">
    <w:basedOn w:val="TableNormal7"/>
    <w:pPr>
      <w:spacing w:after="0" w:line="240" w:lineRule="auto"/>
    </w:pPr>
    <w:tblPr>
      <w:tblStyleRowBandSize w:val="1"/>
      <w:tblStyleColBandSize w:val="1"/>
      <w:tblCellMar>
        <w:left w:w="108" w:type="dxa"/>
        <w:right w:w="108" w:type="dxa"/>
      </w:tblCellMar>
    </w:tblPr>
  </w:style>
  <w:style w:type="table" w:customStyle="1" w:styleId="afff5">
    <w:basedOn w:val="TableNormal7"/>
    <w:pPr>
      <w:spacing w:after="0" w:line="240" w:lineRule="auto"/>
    </w:pPr>
    <w:tblPr>
      <w:tblStyleRowBandSize w:val="1"/>
      <w:tblStyleColBandSize w:val="1"/>
      <w:tblCellMar>
        <w:left w:w="108" w:type="dxa"/>
        <w:right w:w="108" w:type="dxa"/>
      </w:tblCellMar>
    </w:tblPr>
  </w:style>
  <w:style w:type="table" w:customStyle="1" w:styleId="afff6">
    <w:basedOn w:val="TableNormal7"/>
    <w:pPr>
      <w:spacing w:after="0" w:line="240" w:lineRule="auto"/>
    </w:pPr>
    <w:tblPr>
      <w:tblStyleRowBandSize w:val="1"/>
      <w:tblStyleColBandSize w:val="1"/>
      <w:tblCellMar>
        <w:left w:w="108" w:type="dxa"/>
        <w:right w:w="108" w:type="dxa"/>
      </w:tblCellMar>
    </w:tblPr>
  </w:style>
  <w:style w:type="table" w:customStyle="1" w:styleId="afff7">
    <w:basedOn w:val="TableNormal7"/>
    <w:pPr>
      <w:spacing w:after="0" w:line="240" w:lineRule="auto"/>
    </w:pPr>
    <w:tblPr>
      <w:tblStyleRowBandSize w:val="1"/>
      <w:tblStyleColBandSize w:val="1"/>
      <w:tblCellMar>
        <w:left w:w="108" w:type="dxa"/>
        <w:right w:w="108" w:type="dxa"/>
      </w:tblCellMar>
    </w:tblPr>
  </w:style>
  <w:style w:type="table" w:customStyle="1" w:styleId="afff8">
    <w:basedOn w:val="TableNormal7"/>
    <w:pPr>
      <w:spacing w:after="0" w:line="240" w:lineRule="auto"/>
    </w:pPr>
    <w:tblPr>
      <w:tblStyleRowBandSize w:val="1"/>
      <w:tblStyleColBandSize w:val="1"/>
      <w:tblCellMar>
        <w:left w:w="108" w:type="dxa"/>
        <w:right w:w="108" w:type="dxa"/>
      </w:tblCellMar>
    </w:tblPr>
  </w:style>
  <w:style w:type="table" w:customStyle="1" w:styleId="afff9">
    <w:basedOn w:val="TableNormal7"/>
    <w:pPr>
      <w:spacing w:after="0" w:line="240" w:lineRule="auto"/>
    </w:pPr>
    <w:tblPr>
      <w:tblStyleRowBandSize w:val="1"/>
      <w:tblStyleColBandSize w:val="1"/>
      <w:tblCellMar>
        <w:left w:w="108" w:type="dxa"/>
        <w:right w:w="108" w:type="dxa"/>
      </w:tblCellMar>
    </w:tblPr>
  </w:style>
  <w:style w:type="table" w:customStyle="1" w:styleId="afffa">
    <w:basedOn w:val="TableNormal7"/>
    <w:pPr>
      <w:spacing w:after="0" w:line="240" w:lineRule="auto"/>
    </w:pPr>
    <w:tblPr>
      <w:tblStyleRowBandSize w:val="1"/>
      <w:tblStyleColBandSize w:val="1"/>
      <w:tblCellMar>
        <w:left w:w="108" w:type="dxa"/>
        <w:right w:w="108" w:type="dxa"/>
      </w:tblCellMar>
    </w:tblPr>
  </w:style>
  <w:style w:type="table" w:customStyle="1" w:styleId="afffb">
    <w:basedOn w:val="TableNormal7"/>
    <w:pPr>
      <w:spacing w:after="0" w:line="240" w:lineRule="auto"/>
    </w:pPr>
    <w:tblPr>
      <w:tblStyleRowBandSize w:val="1"/>
      <w:tblStyleColBandSize w:val="1"/>
      <w:tblCellMar>
        <w:left w:w="108" w:type="dxa"/>
        <w:right w:w="108" w:type="dxa"/>
      </w:tblCellMar>
    </w:tblPr>
  </w:style>
  <w:style w:type="table" w:customStyle="1" w:styleId="afffc">
    <w:basedOn w:val="TableNormal7"/>
    <w:pPr>
      <w:spacing w:after="0" w:line="240" w:lineRule="auto"/>
    </w:pPr>
    <w:tblPr>
      <w:tblStyleRowBandSize w:val="1"/>
      <w:tblStyleColBandSize w:val="1"/>
      <w:tblCellMar>
        <w:left w:w="108" w:type="dxa"/>
        <w:right w:w="108" w:type="dxa"/>
      </w:tblCellMar>
    </w:tblPr>
  </w:style>
  <w:style w:type="table" w:customStyle="1" w:styleId="afffd">
    <w:basedOn w:val="TableNormal6"/>
    <w:pPr>
      <w:spacing w:after="0" w:line="240" w:lineRule="auto"/>
    </w:pPr>
    <w:tblPr>
      <w:tblStyleRowBandSize w:val="1"/>
      <w:tblStyleColBandSize w:val="1"/>
      <w:tblCellMar>
        <w:left w:w="108" w:type="dxa"/>
        <w:right w:w="108" w:type="dxa"/>
      </w:tblCellMar>
    </w:tblPr>
  </w:style>
  <w:style w:type="table" w:customStyle="1" w:styleId="afffe">
    <w:basedOn w:val="TableNormal6"/>
    <w:pPr>
      <w:spacing w:after="0" w:line="240" w:lineRule="auto"/>
    </w:pPr>
    <w:tblPr>
      <w:tblStyleRowBandSize w:val="1"/>
      <w:tblStyleColBandSize w:val="1"/>
      <w:tblCellMar>
        <w:left w:w="108" w:type="dxa"/>
        <w:right w:w="108" w:type="dxa"/>
      </w:tblCellMar>
    </w:tblPr>
  </w:style>
  <w:style w:type="table" w:customStyle="1" w:styleId="affff">
    <w:basedOn w:val="TableNormal6"/>
    <w:pPr>
      <w:spacing w:after="0" w:line="240" w:lineRule="auto"/>
    </w:pPr>
    <w:tblPr>
      <w:tblStyleRowBandSize w:val="1"/>
      <w:tblStyleColBandSize w:val="1"/>
      <w:tblCellMar>
        <w:left w:w="108" w:type="dxa"/>
        <w:right w:w="108" w:type="dxa"/>
      </w:tblCellMar>
    </w:tblPr>
  </w:style>
  <w:style w:type="table" w:customStyle="1" w:styleId="affff0">
    <w:basedOn w:val="TableNormal6"/>
    <w:pPr>
      <w:spacing w:after="0" w:line="240" w:lineRule="auto"/>
    </w:pPr>
    <w:tblPr>
      <w:tblStyleRowBandSize w:val="1"/>
      <w:tblStyleColBandSize w:val="1"/>
      <w:tblCellMar>
        <w:left w:w="108" w:type="dxa"/>
        <w:right w:w="108" w:type="dxa"/>
      </w:tblCellMar>
    </w:tblPr>
  </w:style>
  <w:style w:type="table" w:customStyle="1" w:styleId="affff1">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5"/>
    <w:pPr>
      <w:spacing w:after="0" w:line="240" w:lineRule="auto"/>
    </w:pPr>
    <w:tblPr>
      <w:tblStyleRowBandSize w:val="1"/>
      <w:tblStyleColBandSize w:val="1"/>
      <w:tblCellMar>
        <w:left w:w="108" w:type="dxa"/>
        <w:right w:w="108" w:type="dxa"/>
      </w:tblCellMar>
    </w:tblPr>
  </w:style>
  <w:style w:type="table" w:customStyle="1" w:styleId="affff3">
    <w:basedOn w:val="TableNormal5"/>
    <w:pPr>
      <w:spacing w:after="0" w:line="240" w:lineRule="auto"/>
    </w:pPr>
    <w:tblPr>
      <w:tblStyleRowBandSize w:val="1"/>
      <w:tblStyleColBandSize w:val="1"/>
      <w:tblCellMar>
        <w:left w:w="108" w:type="dxa"/>
        <w:right w:w="108" w:type="dxa"/>
      </w:tblCellMar>
    </w:tblPr>
  </w:style>
  <w:style w:type="table" w:customStyle="1" w:styleId="affff4">
    <w:basedOn w:val="TableNormal5"/>
    <w:pPr>
      <w:spacing w:after="0" w:line="240" w:lineRule="auto"/>
    </w:pPr>
    <w:tblPr>
      <w:tblStyleRowBandSize w:val="1"/>
      <w:tblStyleColBandSize w:val="1"/>
      <w:tblCellMar>
        <w:left w:w="108" w:type="dxa"/>
        <w:right w:w="108" w:type="dxa"/>
      </w:tblCellMar>
    </w:tblPr>
  </w:style>
  <w:style w:type="table" w:customStyle="1" w:styleId="affff5">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4"/>
    <w:pPr>
      <w:spacing w:after="0" w:line="240" w:lineRule="auto"/>
    </w:pPr>
    <w:tblPr>
      <w:tblStyleRowBandSize w:val="1"/>
      <w:tblStyleColBandSize w:val="1"/>
      <w:tblCellMar>
        <w:left w:w="108" w:type="dxa"/>
        <w:right w:w="108" w:type="dxa"/>
      </w:tblCellMar>
    </w:tblPr>
  </w:style>
  <w:style w:type="table" w:customStyle="1" w:styleId="affff7">
    <w:basedOn w:val="TableNormal4"/>
    <w:pPr>
      <w:spacing w:after="0" w:line="240" w:lineRule="auto"/>
    </w:pPr>
    <w:tblPr>
      <w:tblStyleRowBandSize w:val="1"/>
      <w:tblStyleColBandSize w:val="1"/>
      <w:tblCellMar>
        <w:left w:w="108" w:type="dxa"/>
        <w:right w:w="108" w:type="dxa"/>
      </w:tblCellMar>
    </w:tblPr>
  </w:style>
  <w:style w:type="table" w:customStyle="1" w:styleId="affff8">
    <w:basedOn w:val="TableNormal4"/>
    <w:pPr>
      <w:spacing w:after="0" w:line="240" w:lineRule="auto"/>
    </w:pPr>
    <w:tblPr>
      <w:tblStyleRowBandSize w:val="1"/>
      <w:tblStyleColBandSize w:val="1"/>
      <w:tblCellMar>
        <w:left w:w="108" w:type="dxa"/>
        <w:right w:w="108" w:type="dxa"/>
      </w:tblCellMar>
    </w:tblPr>
  </w:style>
  <w:style w:type="table" w:customStyle="1" w:styleId="affff9">
    <w:basedOn w:val="TableNormal4"/>
    <w:pPr>
      <w:spacing w:after="0" w:line="240" w:lineRule="auto"/>
    </w:pPr>
    <w:tblPr>
      <w:tblStyleRowBandSize w:val="1"/>
      <w:tblStyleColBandSize w:val="1"/>
      <w:tblCellMar>
        <w:left w:w="108" w:type="dxa"/>
        <w:right w:w="108" w:type="dxa"/>
      </w:tblCellMar>
    </w:tblPr>
  </w:style>
  <w:style w:type="table" w:customStyle="1" w:styleId="affffa">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3"/>
    <w:pPr>
      <w:spacing w:after="0" w:line="240" w:lineRule="auto"/>
    </w:pPr>
    <w:tblPr>
      <w:tblStyleRowBandSize w:val="1"/>
      <w:tblStyleColBandSize w:val="1"/>
      <w:tblCellMar>
        <w:left w:w="108" w:type="dxa"/>
        <w:right w:w="108" w:type="dxa"/>
      </w:tblCellMar>
    </w:tblPr>
  </w:style>
  <w:style w:type="table" w:customStyle="1" w:styleId="affffc">
    <w:basedOn w:val="TableNormal3"/>
    <w:pPr>
      <w:spacing w:after="0" w:line="240" w:lineRule="auto"/>
    </w:pPr>
    <w:tblPr>
      <w:tblStyleRowBandSize w:val="1"/>
      <w:tblStyleColBandSize w:val="1"/>
      <w:tblCellMar>
        <w:left w:w="108" w:type="dxa"/>
        <w:right w:w="108" w:type="dxa"/>
      </w:tblCellMar>
    </w:tblPr>
  </w:style>
  <w:style w:type="table" w:customStyle="1" w:styleId="affffd">
    <w:basedOn w:val="TableNormal3"/>
    <w:pPr>
      <w:spacing w:after="0" w:line="240" w:lineRule="auto"/>
    </w:pPr>
    <w:tblPr>
      <w:tblStyleRowBandSize w:val="1"/>
      <w:tblStyleColBandSize w:val="1"/>
      <w:tblCellMar>
        <w:left w:w="108" w:type="dxa"/>
        <w:right w:w="108" w:type="dxa"/>
      </w:tblCellMar>
    </w:tblPr>
  </w:style>
  <w:style w:type="table" w:customStyle="1" w:styleId="affffe">
    <w:basedOn w:val="TableNormal3"/>
    <w:pPr>
      <w:spacing w:after="0" w:line="240" w:lineRule="auto"/>
    </w:pPr>
    <w:tblPr>
      <w:tblStyleRowBandSize w:val="1"/>
      <w:tblStyleColBandSize w:val="1"/>
      <w:tblCellMar>
        <w:left w:w="108" w:type="dxa"/>
        <w:right w:w="108" w:type="dxa"/>
      </w:tblCellMar>
    </w:tblPr>
  </w:style>
  <w:style w:type="table" w:customStyle="1" w:styleId="afffff">
    <w:basedOn w:val="TableNormal2"/>
    <w:pPr>
      <w:spacing w:after="0" w:line="240" w:lineRule="auto"/>
    </w:pPr>
    <w:tblPr>
      <w:tblStyleRowBandSize w:val="1"/>
      <w:tblStyleColBandSize w:val="1"/>
      <w:tblCellMar>
        <w:left w:w="108" w:type="dxa"/>
        <w:right w:w="108" w:type="dxa"/>
      </w:tblCellMar>
    </w:tblPr>
  </w:style>
  <w:style w:type="table" w:customStyle="1" w:styleId="afffff0">
    <w:basedOn w:val="TableNormal2"/>
    <w:pPr>
      <w:spacing w:after="0" w:line="240" w:lineRule="auto"/>
    </w:pPr>
    <w:tblPr>
      <w:tblStyleRowBandSize w:val="1"/>
      <w:tblStyleColBandSize w:val="1"/>
      <w:tblCellMar>
        <w:left w:w="108" w:type="dxa"/>
        <w:right w:w="108" w:type="dxa"/>
      </w:tblCellMar>
    </w:tblPr>
  </w:style>
  <w:style w:type="table" w:customStyle="1" w:styleId="afffff1">
    <w:basedOn w:val="TableNormal2"/>
    <w:pPr>
      <w:spacing w:after="0" w:line="240" w:lineRule="auto"/>
    </w:pPr>
    <w:tblPr>
      <w:tblStyleRowBandSize w:val="1"/>
      <w:tblStyleColBandSize w:val="1"/>
      <w:tblCellMar>
        <w:left w:w="108" w:type="dxa"/>
        <w:right w:w="108" w:type="dxa"/>
      </w:tblCellMar>
    </w:tblPr>
  </w:style>
  <w:style w:type="table" w:customStyle="1" w:styleId="afffff2">
    <w:basedOn w:val="TableNormal2"/>
    <w:pPr>
      <w:spacing w:after="0" w:line="240" w:lineRule="auto"/>
    </w:pPr>
    <w:tblPr>
      <w:tblStyleRowBandSize w:val="1"/>
      <w:tblStyleColBandSize w:val="1"/>
      <w:tblCellMar>
        <w:left w:w="108" w:type="dxa"/>
        <w:right w:w="108" w:type="dxa"/>
      </w:tblCellMar>
    </w:tblPr>
  </w:style>
  <w:style w:type="table" w:customStyle="1" w:styleId="afffff3">
    <w:basedOn w:val="TableNormal2"/>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 w:type="table" w:customStyle="1" w:styleId="afffff9">
    <w:basedOn w:val="TableNormal0"/>
    <w:pPr>
      <w:spacing w:after="0" w:line="240" w:lineRule="auto"/>
    </w:pPr>
    <w:tblPr>
      <w:tblStyleRowBandSize w:val="1"/>
      <w:tblStyleColBandSize w:val="1"/>
      <w:tblCellMar>
        <w:left w:w="108" w:type="dxa"/>
        <w:right w:w="108" w:type="dxa"/>
      </w:tblCellMar>
    </w:tblPr>
  </w:style>
  <w:style w:type="table" w:customStyle="1" w:styleId="afffffa">
    <w:basedOn w:val="TableNormal0"/>
    <w:pPr>
      <w:spacing w:after="0" w:line="240" w:lineRule="auto"/>
    </w:pPr>
    <w:tblPr>
      <w:tblStyleRowBandSize w:val="1"/>
      <w:tblStyleColBandSize w:val="1"/>
      <w:tblCellMar>
        <w:left w:w="108" w:type="dxa"/>
        <w:right w:w="108" w:type="dxa"/>
      </w:tblCellMar>
    </w:tblPr>
  </w:style>
  <w:style w:type="table" w:customStyle="1" w:styleId="aff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19810">
      <w:bodyDiv w:val="1"/>
      <w:marLeft w:val="0"/>
      <w:marRight w:val="0"/>
      <w:marTop w:val="0"/>
      <w:marBottom w:val="0"/>
      <w:divBdr>
        <w:top w:val="none" w:sz="0" w:space="0" w:color="auto"/>
        <w:left w:val="none" w:sz="0" w:space="0" w:color="auto"/>
        <w:bottom w:val="none" w:sz="0" w:space="0" w:color="auto"/>
        <w:right w:val="none" w:sz="0" w:space="0" w:color="auto"/>
      </w:divBdr>
    </w:div>
    <w:div w:id="644165132">
      <w:bodyDiv w:val="1"/>
      <w:marLeft w:val="0"/>
      <w:marRight w:val="0"/>
      <w:marTop w:val="0"/>
      <w:marBottom w:val="0"/>
      <w:divBdr>
        <w:top w:val="none" w:sz="0" w:space="0" w:color="auto"/>
        <w:left w:val="none" w:sz="0" w:space="0" w:color="auto"/>
        <w:bottom w:val="none" w:sz="0" w:space="0" w:color="auto"/>
        <w:right w:val="none" w:sz="0" w:space="0" w:color="auto"/>
      </w:divBdr>
    </w:div>
    <w:div w:id="183167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noticias/infoem-capacita-servidoras-y-servidores-p%C3%BAblicos-de-tolu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Sndtmeax4czKhk0jdThag8ZVw==">CgMxLjAyDmgubzVmbjF6cGpodHk4MghoLmdqZGd4czIOaC4xOXZxcmo1bTdwcTcyDmguY2t6eG1idzFkb2F4Mg5oLmpyb29id253ZXhtajIJaC4yZXQ5MnAwMg1oLnlmb2libXl1Z25uMg5oLjdzZTk4OWo0azB3ejINaC53Y3VnZnlmaWFqbzINaC5hcXA4eGV6Zm5keDIOaC41a3NmbXlhdXluOXkyDmgudTBtNTZyZWpzc2ZiMg5oLjEwM3pydzE3dWMyODINaC5sZGV3b3Boaml6bDIOaC5wZGYxMGZmZ2w0bzcyDmguYXJneTIxcW5rbWhyOAByITFIYXl1QlZrVVZQclcxZmN5QlhXX2pXMktHeWo5aGRx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6571</Words>
  <Characters>36143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Office</cp:lastModifiedBy>
  <cp:revision>4</cp:revision>
  <cp:lastPrinted>2025-08-08T06:32:00Z</cp:lastPrinted>
  <dcterms:created xsi:type="dcterms:W3CDTF">2025-08-08T06:32:00Z</dcterms:created>
  <dcterms:modified xsi:type="dcterms:W3CDTF">2025-08-08T06:32:00Z</dcterms:modified>
</cp:coreProperties>
</file>