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00B9E" w14:textId="7A537DAB" w:rsidR="00344ABC" w:rsidRPr="00F408B9" w:rsidRDefault="000D2644">
      <w:pPr>
        <w:spacing w:before="240" w:after="240" w:line="360" w:lineRule="auto"/>
        <w:jc w:val="both"/>
        <w:rPr>
          <w:rFonts w:ascii="Palatino Linotype" w:eastAsia="Palatino Linotype" w:hAnsi="Palatino Linotype" w:cs="Palatino Linotype"/>
          <w:sz w:val="22"/>
          <w:szCs w:val="22"/>
        </w:rPr>
      </w:pPr>
      <w:bookmarkStart w:id="0" w:name="_heading=h.1t3h5sf" w:colFirst="0" w:colLast="0"/>
      <w:bookmarkEnd w:id="0"/>
      <w:r w:rsidRPr="00F408B9">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w:t>
      </w:r>
      <w:r w:rsidR="00611664" w:rsidRPr="00F408B9">
        <w:rPr>
          <w:rFonts w:ascii="Palatino Linotype" w:eastAsia="Palatino Linotype" w:hAnsi="Palatino Linotype" w:cs="Palatino Linotype"/>
          <w:sz w:val="22"/>
          <w:szCs w:val="22"/>
        </w:rPr>
        <w:t>tres de diciembre</w:t>
      </w:r>
      <w:r w:rsidR="00C51BE3" w:rsidRPr="00F408B9">
        <w:rPr>
          <w:rFonts w:ascii="Palatino Linotype" w:eastAsia="Palatino Linotype" w:hAnsi="Palatino Linotype" w:cs="Palatino Linotype"/>
          <w:sz w:val="22"/>
          <w:szCs w:val="22"/>
        </w:rPr>
        <w:t xml:space="preserve"> </w:t>
      </w:r>
      <w:r w:rsidR="00A603DA" w:rsidRPr="00F408B9">
        <w:rPr>
          <w:rFonts w:ascii="Palatino Linotype" w:eastAsia="Palatino Linotype" w:hAnsi="Palatino Linotype" w:cs="Palatino Linotype"/>
          <w:sz w:val="22"/>
          <w:szCs w:val="22"/>
        </w:rPr>
        <w:t>de dos mil veintic</w:t>
      </w:r>
      <w:r w:rsidR="00C51BE3" w:rsidRPr="00F408B9">
        <w:rPr>
          <w:rFonts w:ascii="Palatino Linotype" w:eastAsia="Palatino Linotype" w:hAnsi="Palatino Linotype" w:cs="Palatino Linotype"/>
          <w:sz w:val="22"/>
          <w:szCs w:val="22"/>
        </w:rPr>
        <w:t>inco.</w:t>
      </w:r>
    </w:p>
    <w:p w14:paraId="588AB1C5" w14:textId="7C0A9A38" w:rsidR="00344ABC" w:rsidRPr="00F408B9" w:rsidRDefault="000D2644">
      <w:pPr>
        <w:spacing w:before="240" w:after="240" w:line="360" w:lineRule="auto"/>
        <w:jc w:val="both"/>
        <w:rPr>
          <w:rFonts w:ascii="Palatino Linotype" w:eastAsia="Palatino Linotype" w:hAnsi="Palatino Linotype" w:cs="Palatino Linotype"/>
          <w:sz w:val="22"/>
          <w:szCs w:val="22"/>
        </w:rPr>
      </w:pPr>
      <w:bookmarkStart w:id="1" w:name="_heading=h.30j0zll" w:colFirst="0" w:colLast="0"/>
      <w:bookmarkEnd w:id="1"/>
      <w:r w:rsidRPr="00F408B9">
        <w:rPr>
          <w:rFonts w:ascii="Palatino Linotype" w:eastAsia="Palatino Linotype" w:hAnsi="Palatino Linotype" w:cs="Palatino Linotype"/>
          <w:b/>
          <w:sz w:val="22"/>
          <w:szCs w:val="22"/>
        </w:rPr>
        <w:t xml:space="preserve">Vistos </w:t>
      </w:r>
      <w:r w:rsidRPr="00F408B9">
        <w:rPr>
          <w:rFonts w:ascii="Palatino Linotype" w:eastAsia="Palatino Linotype" w:hAnsi="Palatino Linotype" w:cs="Palatino Linotype"/>
          <w:sz w:val="22"/>
          <w:szCs w:val="22"/>
        </w:rPr>
        <w:t xml:space="preserve">los expedientes relativos a los recursos de revisión </w:t>
      </w:r>
      <w:r w:rsidR="00313479" w:rsidRPr="00F408B9">
        <w:rPr>
          <w:rFonts w:ascii="Palatino Linotype" w:eastAsia="Palatino Linotype" w:hAnsi="Palatino Linotype" w:cs="Palatino Linotype"/>
          <w:b/>
          <w:sz w:val="22"/>
          <w:szCs w:val="22"/>
        </w:rPr>
        <w:t>12</w:t>
      </w:r>
      <w:r w:rsidR="007B6EEC" w:rsidRPr="00F408B9">
        <w:rPr>
          <w:rFonts w:ascii="Palatino Linotype" w:eastAsia="Palatino Linotype" w:hAnsi="Palatino Linotype" w:cs="Palatino Linotype"/>
          <w:b/>
          <w:sz w:val="22"/>
          <w:szCs w:val="22"/>
        </w:rPr>
        <w:t xml:space="preserve">629/INFOEM/IP/RR/2025 </w:t>
      </w:r>
      <w:r w:rsidR="00313479" w:rsidRPr="00F408B9">
        <w:rPr>
          <w:rFonts w:ascii="Palatino Linotype" w:eastAsia="Palatino Linotype" w:hAnsi="Palatino Linotype" w:cs="Palatino Linotype"/>
          <w:bCs/>
          <w:sz w:val="22"/>
          <w:szCs w:val="22"/>
        </w:rPr>
        <w:t>y</w:t>
      </w:r>
      <w:r w:rsidR="00313479" w:rsidRPr="00F408B9">
        <w:rPr>
          <w:rFonts w:ascii="Palatino Linotype" w:eastAsia="Palatino Linotype" w:hAnsi="Palatino Linotype" w:cs="Palatino Linotype"/>
          <w:b/>
          <w:sz w:val="22"/>
          <w:szCs w:val="22"/>
        </w:rPr>
        <w:t xml:space="preserve"> 12</w:t>
      </w:r>
      <w:r w:rsidR="007B6EEC" w:rsidRPr="00F408B9">
        <w:rPr>
          <w:rFonts w:ascii="Palatino Linotype" w:eastAsia="Palatino Linotype" w:hAnsi="Palatino Linotype" w:cs="Palatino Linotype"/>
          <w:b/>
          <w:sz w:val="22"/>
          <w:szCs w:val="22"/>
        </w:rPr>
        <w:t>630</w:t>
      </w:r>
      <w:r w:rsidR="00313479" w:rsidRPr="00F408B9">
        <w:rPr>
          <w:rFonts w:ascii="Palatino Linotype" w:eastAsia="Palatino Linotype" w:hAnsi="Palatino Linotype" w:cs="Palatino Linotype"/>
          <w:b/>
          <w:sz w:val="22"/>
          <w:szCs w:val="22"/>
        </w:rPr>
        <w:t>/INFOEM/IP/RR/2025</w:t>
      </w:r>
      <w:r w:rsidRPr="00F408B9">
        <w:rPr>
          <w:rFonts w:ascii="Palatino Linotype" w:eastAsia="Palatino Linotype" w:hAnsi="Palatino Linotype" w:cs="Palatino Linotype"/>
          <w:b/>
          <w:sz w:val="22"/>
          <w:szCs w:val="22"/>
        </w:rPr>
        <w:t>, acumulados</w:t>
      </w:r>
      <w:r w:rsidRPr="00F408B9">
        <w:rPr>
          <w:rFonts w:ascii="Palatino Linotype" w:eastAsia="Palatino Linotype" w:hAnsi="Palatino Linotype" w:cs="Palatino Linotype"/>
          <w:sz w:val="22"/>
          <w:szCs w:val="22"/>
        </w:rPr>
        <w:t xml:space="preserve">, interpuestos por </w:t>
      </w:r>
      <w:r w:rsidR="000844BD" w:rsidRPr="000844BD">
        <w:rPr>
          <w:rFonts w:ascii="Palatino Linotype" w:eastAsia="Palatino Linotype" w:hAnsi="Palatino Linotype" w:cs="Palatino Linotype"/>
          <w:b/>
          <w:sz w:val="22"/>
          <w:szCs w:val="22"/>
        </w:rPr>
        <w:t>XXXX XXXXXX XX XXXX</w:t>
      </w:r>
      <w:bookmarkStart w:id="2" w:name="_GoBack"/>
      <w:bookmarkEnd w:id="2"/>
      <w:r w:rsidR="00516D23" w:rsidRPr="00F408B9">
        <w:rPr>
          <w:rFonts w:ascii="Palatino Linotype" w:eastAsia="Palatino Linotype" w:hAnsi="Palatino Linotype" w:cs="Palatino Linotype"/>
          <w:b/>
          <w:sz w:val="22"/>
          <w:szCs w:val="22"/>
        </w:rPr>
        <w:t>,</w:t>
      </w:r>
      <w:r w:rsidRPr="00F408B9">
        <w:rPr>
          <w:rFonts w:ascii="Palatino Linotype" w:eastAsia="Palatino Linotype" w:hAnsi="Palatino Linotype" w:cs="Palatino Linotype"/>
          <w:sz w:val="22"/>
          <w:szCs w:val="22"/>
        </w:rPr>
        <w:t xml:space="preserve"> en lo sucesivo la parte </w:t>
      </w:r>
      <w:r w:rsidRPr="00F408B9">
        <w:rPr>
          <w:rFonts w:ascii="Palatino Linotype" w:eastAsia="Palatino Linotype" w:hAnsi="Palatino Linotype" w:cs="Palatino Linotype"/>
          <w:b/>
          <w:sz w:val="22"/>
          <w:szCs w:val="22"/>
        </w:rPr>
        <w:t>Recurrente</w:t>
      </w:r>
      <w:r w:rsidRPr="00F408B9">
        <w:rPr>
          <w:rFonts w:ascii="Palatino Linotype" w:eastAsia="Palatino Linotype" w:hAnsi="Palatino Linotype" w:cs="Palatino Linotype"/>
          <w:sz w:val="22"/>
          <w:szCs w:val="22"/>
        </w:rPr>
        <w:t>, en contra de la falta de respuesta sus solicitudes de información con número</w:t>
      </w:r>
      <w:r w:rsidR="00313479" w:rsidRPr="00F408B9">
        <w:rPr>
          <w:rFonts w:ascii="Palatino Linotype" w:eastAsia="Palatino Linotype" w:hAnsi="Palatino Linotype" w:cs="Palatino Linotype"/>
          <w:sz w:val="22"/>
          <w:szCs w:val="22"/>
        </w:rPr>
        <w:t>s</w:t>
      </w:r>
      <w:r w:rsidRPr="00F408B9">
        <w:rPr>
          <w:rFonts w:ascii="Palatino Linotype" w:eastAsia="Palatino Linotype" w:hAnsi="Palatino Linotype" w:cs="Palatino Linotype"/>
          <w:sz w:val="22"/>
          <w:szCs w:val="22"/>
        </w:rPr>
        <w:t xml:space="preserve"> de folio </w:t>
      </w:r>
      <w:r w:rsidR="007B6EEC" w:rsidRPr="00F408B9">
        <w:rPr>
          <w:rFonts w:ascii="Palatino Linotype" w:eastAsia="Palatino Linotype" w:hAnsi="Palatino Linotype" w:cs="Palatino Linotype"/>
          <w:b/>
          <w:sz w:val="22"/>
          <w:szCs w:val="22"/>
        </w:rPr>
        <w:t>00270/DIFIXTAPAL/IP/2025</w:t>
      </w:r>
      <w:r w:rsidR="00313479" w:rsidRPr="00F408B9">
        <w:rPr>
          <w:rFonts w:ascii="Palatino Linotype" w:eastAsia="Palatino Linotype" w:hAnsi="Palatino Linotype" w:cs="Palatino Linotype"/>
          <w:b/>
          <w:sz w:val="22"/>
          <w:szCs w:val="22"/>
        </w:rPr>
        <w:t xml:space="preserve"> </w:t>
      </w:r>
      <w:r w:rsidRPr="00F408B9">
        <w:rPr>
          <w:rFonts w:ascii="Palatino Linotype" w:eastAsia="Palatino Linotype" w:hAnsi="Palatino Linotype" w:cs="Palatino Linotype"/>
          <w:sz w:val="22"/>
          <w:szCs w:val="22"/>
        </w:rPr>
        <w:t xml:space="preserve">y </w:t>
      </w:r>
      <w:r w:rsidR="008D733B" w:rsidRPr="00F408B9">
        <w:rPr>
          <w:rFonts w:ascii="Palatino Linotype" w:eastAsia="Palatino Linotype" w:hAnsi="Palatino Linotype" w:cs="Palatino Linotype"/>
          <w:b/>
          <w:sz w:val="22"/>
          <w:szCs w:val="22"/>
        </w:rPr>
        <w:t>00271/DIFIXTAPAL/IP/2025</w:t>
      </w:r>
      <w:r w:rsidRPr="00F408B9">
        <w:rPr>
          <w:rFonts w:ascii="Palatino Linotype" w:eastAsia="Palatino Linotype" w:hAnsi="Palatino Linotype" w:cs="Palatino Linotype"/>
          <w:b/>
          <w:sz w:val="22"/>
          <w:szCs w:val="22"/>
        </w:rPr>
        <w:t xml:space="preserve">, </w:t>
      </w:r>
      <w:r w:rsidRPr="00F408B9">
        <w:rPr>
          <w:rFonts w:ascii="Palatino Linotype" w:eastAsia="Palatino Linotype" w:hAnsi="Palatino Linotype" w:cs="Palatino Linotype"/>
          <w:sz w:val="22"/>
          <w:szCs w:val="22"/>
        </w:rPr>
        <w:t>por parte de</w:t>
      </w:r>
      <w:r w:rsidR="00313479" w:rsidRPr="00F408B9">
        <w:rPr>
          <w:rFonts w:ascii="Palatino Linotype" w:eastAsia="Palatino Linotype" w:hAnsi="Palatino Linotype" w:cs="Palatino Linotype"/>
          <w:sz w:val="22"/>
          <w:szCs w:val="22"/>
        </w:rPr>
        <w:t xml:space="preserve">l </w:t>
      </w:r>
      <w:r w:rsidR="008D733B" w:rsidRPr="00F408B9">
        <w:rPr>
          <w:rFonts w:ascii="Palatino Linotype" w:eastAsia="Palatino Linotype" w:hAnsi="Palatino Linotype" w:cs="Palatino Linotype"/>
          <w:b/>
          <w:bCs/>
          <w:sz w:val="22"/>
          <w:szCs w:val="22"/>
        </w:rPr>
        <w:t>Sistema Municipal Para el Desarrollo Integral de la Familia de Ixtapaluca</w:t>
      </w:r>
      <w:r w:rsidR="00313479" w:rsidRPr="00F408B9">
        <w:rPr>
          <w:rFonts w:ascii="Palatino Linotype" w:eastAsia="Palatino Linotype" w:hAnsi="Palatino Linotype" w:cs="Palatino Linotype"/>
          <w:sz w:val="22"/>
          <w:szCs w:val="22"/>
        </w:rPr>
        <w:t>,</w:t>
      </w:r>
      <w:r w:rsidRPr="00F408B9">
        <w:rPr>
          <w:rFonts w:ascii="Palatino Linotype" w:eastAsia="Palatino Linotype" w:hAnsi="Palatino Linotype" w:cs="Palatino Linotype"/>
          <w:sz w:val="22"/>
          <w:szCs w:val="22"/>
        </w:rPr>
        <w:t xml:space="preserve"> en lo sucesivo el </w:t>
      </w:r>
      <w:r w:rsidRPr="00F408B9">
        <w:rPr>
          <w:rFonts w:ascii="Palatino Linotype" w:eastAsia="Palatino Linotype" w:hAnsi="Palatino Linotype" w:cs="Palatino Linotype"/>
          <w:b/>
          <w:sz w:val="22"/>
          <w:szCs w:val="22"/>
        </w:rPr>
        <w:t xml:space="preserve">Sujeto Obligado; </w:t>
      </w:r>
      <w:r w:rsidRPr="00F408B9">
        <w:rPr>
          <w:rFonts w:ascii="Palatino Linotype" w:eastAsia="Palatino Linotype" w:hAnsi="Palatino Linotype" w:cs="Palatino Linotype"/>
          <w:sz w:val="22"/>
          <w:szCs w:val="22"/>
        </w:rPr>
        <w:t xml:space="preserve">se procede a dictar la presente resolución, con base en lo siguiente. </w:t>
      </w:r>
    </w:p>
    <w:p w14:paraId="5BD2B8B1" w14:textId="77777777" w:rsidR="00344ABC" w:rsidRPr="00F408B9" w:rsidRDefault="000D2644">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F408B9">
        <w:rPr>
          <w:rFonts w:ascii="Palatino Linotype" w:eastAsia="Palatino Linotype" w:hAnsi="Palatino Linotype" w:cs="Palatino Linotype"/>
          <w:b/>
          <w:sz w:val="22"/>
          <w:szCs w:val="22"/>
        </w:rPr>
        <w:t>I. A N T E C E D E N T E S:</w:t>
      </w:r>
    </w:p>
    <w:p w14:paraId="3E044E3E" w14:textId="33734118" w:rsidR="00344ABC" w:rsidRPr="00F408B9" w:rsidRDefault="000D2644">
      <w:pPr>
        <w:spacing w:before="240" w:after="240" w:line="360" w:lineRule="auto"/>
        <w:jc w:val="both"/>
        <w:rPr>
          <w:rFonts w:ascii="Palatino Linotype" w:eastAsia="Palatino Linotype" w:hAnsi="Palatino Linotype" w:cs="Palatino Linotype"/>
          <w:sz w:val="22"/>
          <w:szCs w:val="22"/>
        </w:rPr>
      </w:pPr>
      <w:bookmarkStart w:id="3" w:name="_heading=h.gjdgxs" w:colFirst="0" w:colLast="0"/>
      <w:bookmarkEnd w:id="3"/>
      <w:r w:rsidRPr="00F408B9">
        <w:rPr>
          <w:rFonts w:ascii="Palatino Linotype" w:eastAsia="Palatino Linotype" w:hAnsi="Palatino Linotype" w:cs="Palatino Linotype"/>
          <w:b/>
          <w:sz w:val="22"/>
          <w:szCs w:val="22"/>
        </w:rPr>
        <w:t>1. Solicitudes de acceso a la información.</w:t>
      </w:r>
      <w:r w:rsidRPr="00F408B9">
        <w:rPr>
          <w:rFonts w:ascii="Palatino Linotype" w:eastAsia="Palatino Linotype" w:hAnsi="Palatino Linotype" w:cs="Palatino Linotype"/>
          <w:sz w:val="22"/>
          <w:szCs w:val="22"/>
        </w:rPr>
        <w:t xml:space="preserve"> </w:t>
      </w:r>
      <w:r w:rsidR="00313479" w:rsidRPr="00F408B9">
        <w:rPr>
          <w:rFonts w:ascii="Palatino Linotype" w:eastAsia="Palatino Linotype" w:hAnsi="Palatino Linotype" w:cs="Palatino Linotype"/>
          <w:sz w:val="22"/>
          <w:szCs w:val="22"/>
        </w:rPr>
        <w:t xml:space="preserve">El </w:t>
      </w:r>
      <w:r w:rsidR="008D733B" w:rsidRPr="00F408B9">
        <w:rPr>
          <w:rFonts w:ascii="Palatino Linotype" w:eastAsia="Palatino Linotype" w:hAnsi="Palatino Linotype" w:cs="Palatino Linotype"/>
          <w:b/>
          <w:bCs/>
          <w:sz w:val="22"/>
          <w:szCs w:val="22"/>
        </w:rPr>
        <w:t>diez</w:t>
      </w:r>
      <w:r w:rsidR="00611664" w:rsidRPr="00F408B9">
        <w:rPr>
          <w:rFonts w:ascii="Palatino Linotype" w:eastAsia="Palatino Linotype" w:hAnsi="Palatino Linotype" w:cs="Palatino Linotype"/>
          <w:b/>
          <w:bCs/>
          <w:sz w:val="22"/>
          <w:szCs w:val="22"/>
        </w:rPr>
        <w:t xml:space="preserve"> de octubre</w:t>
      </w:r>
      <w:r w:rsidR="00313479" w:rsidRPr="00F408B9">
        <w:rPr>
          <w:rFonts w:ascii="Palatino Linotype" w:eastAsia="Palatino Linotype" w:hAnsi="Palatino Linotype" w:cs="Palatino Linotype"/>
          <w:b/>
          <w:bCs/>
          <w:sz w:val="22"/>
          <w:szCs w:val="22"/>
        </w:rPr>
        <w:t xml:space="preserve"> de dos mil veinticinco</w:t>
      </w:r>
      <w:r w:rsidRPr="00F408B9">
        <w:rPr>
          <w:rFonts w:ascii="Palatino Linotype" w:eastAsia="Palatino Linotype" w:hAnsi="Palatino Linotype" w:cs="Palatino Linotype"/>
          <w:b/>
          <w:sz w:val="22"/>
          <w:szCs w:val="22"/>
        </w:rPr>
        <w:t xml:space="preserve">, </w:t>
      </w:r>
      <w:r w:rsidRPr="00F408B9">
        <w:rPr>
          <w:rFonts w:ascii="Palatino Linotype" w:eastAsia="Palatino Linotype" w:hAnsi="Palatino Linotype" w:cs="Palatino Linotype"/>
          <w:sz w:val="22"/>
          <w:szCs w:val="22"/>
        </w:rPr>
        <w:t>la p</w:t>
      </w:r>
      <w:r w:rsidR="00313479" w:rsidRPr="00F408B9">
        <w:rPr>
          <w:rFonts w:ascii="Palatino Linotype" w:eastAsia="Palatino Linotype" w:hAnsi="Palatino Linotype" w:cs="Palatino Linotype"/>
          <w:sz w:val="22"/>
          <w:szCs w:val="22"/>
        </w:rPr>
        <w:t xml:space="preserve">arte </w:t>
      </w:r>
      <w:r w:rsidR="00313479" w:rsidRPr="00F408B9">
        <w:rPr>
          <w:rFonts w:ascii="Palatino Linotype" w:eastAsia="Palatino Linotype" w:hAnsi="Palatino Linotype" w:cs="Palatino Linotype"/>
          <w:b/>
          <w:bCs/>
          <w:sz w:val="22"/>
          <w:szCs w:val="22"/>
        </w:rPr>
        <w:t xml:space="preserve">Recurrente </w:t>
      </w:r>
      <w:r w:rsidRPr="00F408B9">
        <w:rPr>
          <w:rFonts w:ascii="Palatino Linotype" w:eastAsia="Palatino Linotype" w:hAnsi="Palatino Linotype" w:cs="Palatino Linotype"/>
          <w:sz w:val="22"/>
          <w:szCs w:val="22"/>
        </w:rPr>
        <w:t xml:space="preserve">presentó, través del Sistema de Acceso a la Información Mexiquense, en lo subsecuente el </w:t>
      </w:r>
      <w:r w:rsidRPr="00F408B9">
        <w:rPr>
          <w:rFonts w:ascii="Palatino Linotype" w:eastAsia="Palatino Linotype" w:hAnsi="Palatino Linotype" w:cs="Palatino Linotype"/>
          <w:b/>
          <w:sz w:val="22"/>
          <w:szCs w:val="22"/>
        </w:rPr>
        <w:t xml:space="preserve">SAIMEX, </w:t>
      </w:r>
      <w:r w:rsidRPr="00F408B9">
        <w:rPr>
          <w:rFonts w:ascii="Palatino Linotype" w:eastAsia="Palatino Linotype" w:hAnsi="Palatino Linotype" w:cs="Palatino Linotype"/>
          <w:sz w:val="22"/>
          <w:szCs w:val="22"/>
        </w:rPr>
        <w:t xml:space="preserve">ante el </w:t>
      </w:r>
      <w:r w:rsidRPr="00F408B9">
        <w:rPr>
          <w:rFonts w:ascii="Palatino Linotype" w:eastAsia="Palatino Linotype" w:hAnsi="Palatino Linotype" w:cs="Palatino Linotype"/>
          <w:b/>
          <w:sz w:val="22"/>
          <w:szCs w:val="22"/>
        </w:rPr>
        <w:t>Sujeto Obligado</w:t>
      </w:r>
      <w:r w:rsidRPr="00F408B9">
        <w:rPr>
          <w:rFonts w:ascii="Palatino Linotype" w:eastAsia="Palatino Linotype" w:hAnsi="Palatino Linotype" w:cs="Palatino Linotype"/>
          <w:sz w:val="22"/>
          <w:szCs w:val="22"/>
        </w:rPr>
        <w:t>, las solicitudes de acceso a la información pública, mediante las cuales requirió la información siguiente:</w:t>
      </w:r>
    </w:p>
    <w:tbl>
      <w:tblPr>
        <w:tblStyle w:val="afb"/>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56"/>
      </w:tblGrid>
      <w:tr w:rsidR="0046048C" w:rsidRPr="00F408B9" w14:paraId="0E34CDF2" w14:textId="77777777">
        <w:trPr>
          <w:jc w:val="center"/>
        </w:trPr>
        <w:tc>
          <w:tcPr>
            <w:tcW w:w="2972" w:type="dxa"/>
            <w:shd w:val="clear" w:color="auto" w:fill="A6A6A6"/>
          </w:tcPr>
          <w:p w14:paraId="4E973AE2" w14:textId="77777777" w:rsidR="00344ABC" w:rsidRPr="00F408B9" w:rsidRDefault="000D2644">
            <w:pPr>
              <w:jc w:val="center"/>
              <w:rPr>
                <w:rFonts w:ascii="Palatino Linotype" w:eastAsia="Palatino Linotype" w:hAnsi="Palatino Linotype" w:cs="Palatino Linotype"/>
                <w:b/>
                <w:sz w:val="20"/>
                <w:szCs w:val="20"/>
              </w:rPr>
            </w:pPr>
            <w:r w:rsidRPr="00F408B9">
              <w:rPr>
                <w:rFonts w:ascii="Palatino Linotype" w:eastAsia="Palatino Linotype" w:hAnsi="Palatino Linotype" w:cs="Palatino Linotype"/>
                <w:b/>
                <w:sz w:val="20"/>
                <w:szCs w:val="20"/>
              </w:rPr>
              <w:t>Número de solicitud</w:t>
            </w:r>
          </w:p>
        </w:tc>
        <w:tc>
          <w:tcPr>
            <w:tcW w:w="5856" w:type="dxa"/>
            <w:shd w:val="clear" w:color="auto" w:fill="A6A6A6"/>
          </w:tcPr>
          <w:p w14:paraId="1ABAE01F" w14:textId="77777777" w:rsidR="00344ABC" w:rsidRPr="00F408B9" w:rsidRDefault="000D2644">
            <w:pPr>
              <w:jc w:val="center"/>
              <w:rPr>
                <w:rFonts w:ascii="Palatino Linotype" w:eastAsia="Palatino Linotype" w:hAnsi="Palatino Linotype" w:cs="Palatino Linotype"/>
                <w:b/>
                <w:sz w:val="20"/>
                <w:szCs w:val="20"/>
              </w:rPr>
            </w:pPr>
            <w:r w:rsidRPr="00F408B9">
              <w:rPr>
                <w:rFonts w:ascii="Palatino Linotype" w:eastAsia="Palatino Linotype" w:hAnsi="Palatino Linotype" w:cs="Palatino Linotype"/>
                <w:b/>
                <w:sz w:val="20"/>
                <w:szCs w:val="20"/>
              </w:rPr>
              <w:t>Información solicitada</w:t>
            </w:r>
          </w:p>
        </w:tc>
      </w:tr>
      <w:tr w:rsidR="0046048C" w:rsidRPr="00F408B9" w14:paraId="12AC28AD" w14:textId="77777777">
        <w:trPr>
          <w:jc w:val="center"/>
        </w:trPr>
        <w:tc>
          <w:tcPr>
            <w:tcW w:w="2972" w:type="dxa"/>
            <w:vAlign w:val="center"/>
          </w:tcPr>
          <w:p w14:paraId="35717788" w14:textId="77777777" w:rsidR="00137C58" w:rsidRPr="00F408B9" w:rsidRDefault="00137C58" w:rsidP="00611664">
            <w:pPr>
              <w:spacing w:before="120" w:after="120"/>
              <w:jc w:val="center"/>
              <w:rPr>
                <w:rFonts w:ascii="Palatino Linotype" w:eastAsia="Palatino Linotype" w:hAnsi="Palatino Linotype" w:cs="Palatino Linotype"/>
                <w:b/>
                <w:sz w:val="20"/>
                <w:szCs w:val="20"/>
                <w:lang w:val="en-US"/>
              </w:rPr>
            </w:pPr>
            <w:r w:rsidRPr="00F408B9">
              <w:rPr>
                <w:rFonts w:ascii="Palatino Linotype" w:eastAsia="Palatino Linotype" w:hAnsi="Palatino Linotype" w:cs="Palatino Linotype"/>
                <w:b/>
                <w:sz w:val="20"/>
                <w:szCs w:val="20"/>
                <w:lang w:val="en-US"/>
              </w:rPr>
              <w:t>00270/DIFIXTAPAL/IP/2025</w:t>
            </w:r>
          </w:p>
          <w:p w14:paraId="1ACD77BC" w14:textId="6CBCCAF3" w:rsidR="00313479" w:rsidRPr="00F408B9" w:rsidRDefault="00137C58" w:rsidP="00611664">
            <w:pPr>
              <w:spacing w:before="120" w:after="120"/>
              <w:jc w:val="center"/>
              <w:rPr>
                <w:rFonts w:ascii="Palatino Linotype" w:eastAsia="Palatino Linotype" w:hAnsi="Palatino Linotype" w:cs="Palatino Linotype"/>
                <w:b/>
                <w:i/>
                <w:sz w:val="20"/>
                <w:szCs w:val="20"/>
                <w:lang w:val="en-US"/>
              </w:rPr>
            </w:pPr>
            <w:r w:rsidRPr="00F408B9">
              <w:rPr>
                <w:rFonts w:ascii="Palatino Linotype" w:eastAsia="Palatino Linotype" w:hAnsi="Palatino Linotype" w:cs="Palatino Linotype"/>
                <w:b/>
                <w:sz w:val="20"/>
                <w:szCs w:val="20"/>
                <w:lang w:val="en-US"/>
              </w:rPr>
              <w:t>12630/INFOEM/IP/RR/2025</w:t>
            </w:r>
          </w:p>
        </w:tc>
        <w:tc>
          <w:tcPr>
            <w:tcW w:w="5856" w:type="dxa"/>
            <w:vAlign w:val="center"/>
          </w:tcPr>
          <w:p w14:paraId="57773153" w14:textId="0E0C7CBA" w:rsidR="00344ABC" w:rsidRPr="00F408B9" w:rsidRDefault="000D2644" w:rsidP="00137C58">
            <w:pPr>
              <w:spacing w:before="120" w:after="120"/>
              <w:jc w:val="center"/>
              <w:rPr>
                <w:rFonts w:ascii="Palatino Linotype" w:eastAsia="Palatino Linotype" w:hAnsi="Palatino Linotype" w:cs="Palatino Linotype"/>
                <w:i/>
                <w:sz w:val="20"/>
                <w:szCs w:val="20"/>
              </w:rPr>
            </w:pPr>
            <w:r w:rsidRPr="00F408B9">
              <w:rPr>
                <w:rFonts w:ascii="Palatino Linotype" w:eastAsia="Palatino Linotype" w:hAnsi="Palatino Linotype" w:cs="Palatino Linotype"/>
                <w:i/>
                <w:sz w:val="20"/>
                <w:szCs w:val="20"/>
              </w:rPr>
              <w:t>“</w:t>
            </w:r>
            <w:r w:rsidR="00137C58" w:rsidRPr="00F408B9">
              <w:rPr>
                <w:rFonts w:ascii="Palatino Linotype" w:eastAsia="Palatino Linotype" w:hAnsi="Palatino Linotype" w:cs="Palatino Linotype"/>
                <w:i/>
                <w:sz w:val="20"/>
                <w:szCs w:val="20"/>
              </w:rPr>
              <w:t>Solicito relación de oficios enviados por la unidad URIS del DIF Ixtapaluca del 2022 a la fecha.</w:t>
            </w:r>
            <w:r w:rsidRPr="00F408B9">
              <w:rPr>
                <w:rFonts w:ascii="Palatino Linotype" w:eastAsia="Palatino Linotype" w:hAnsi="Palatino Linotype" w:cs="Palatino Linotype"/>
                <w:i/>
                <w:sz w:val="20"/>
                <w:szCs w:val="20"/>
              </w:rPr>
              <w:t>” (sic)</w:t>
            </w:r>
          </w:p>
        </w:tc>
      </w:tr>
      <w:tr w:rsidR="0046048C" w:rsidRPr="00F408B9" w14:paraId="671CB104" w14:textId="77777777" w:rsidTr="0099504E">
        <w:trPr>
          <w:jc w:val="center"/>
        </w:trPr>
        <w:tc>
          <w:tcPr>
            <w:tcW w:w="2972" w:type="dxa"/>
            <w:vAlign w:val="center"/>
          </w:tcPr>
          <w:p w14:paraId="74A322F0" w14:textId="77777777" w:rsidR="00137C58" w:rsidRPr="00F408B9" w:rsidRDefault="00137C58" w:rsidP="00611664">
            <w:pPr>
              <w:spacing w:before="120" w:after="120"/>
              <w:jc w:val="center"/>
              <w:rPr>
                <w:rFonts w:ascii="Palatino Linotype" w:eastAsia="Palatino Linotype" w:hAnsi="Palatino Linotype" w:cs="Palatino Linotype"/>
                <w:b/>
                <w:sz w:val="20"/>
                <w:szCs w:val="20"/>
                <w:lang w:val="en-US"/>
              </w:rPr>
            </w:pPr>
            <w:r w:rsidRPr="00F408B9">
              <w:rPr>
                <w:rFonts w:ascii="Palatino Linotype" w:eastAsia="Palatino Linotype" w:hAnsi="Palatino Linotype" w:cs="Palatino Linotype"/>
                <w:b/>
                <w:sz w:val="20"/>
                <w:szCs w:val="20"/>
                <w:lang w:val="en-US"/>
              </w:rPr>
              <w:t>00271/DIFIXTAPAL/IP/2025</w:t>
            </w:r>
          </w:p>
          <w:p w14:paraId="5257BE80" w14:textId="53B91A5E" w:rsidR="00313479" w:rsidRPr="00F408B9" w:rsidRDefault="00137C58" w:rsidP="00611664">
            <w:pPr>
              <w:spacing w:before="120" w:after="120"/>
              <w:jc w:val="center"/>
              <w:rPr>
                <w:rFonts w:ascii="Palatino Linotype" w:eastAsia="Palatino Linotype" w:hAnsi="Palatino Linotype" w:cs="Palatino Linotype"/>
                <w:b/>
                <w:i/>
                <w:sz w:val="20"/>
                <w:szCs w:val="20"/>
                <w:lang w:val="en-US"/>
              </w:rPr>
            </w:pPr>
            <w:r w:rsidRPr="00F408B9">
              <w:rPr>
                <w:rFonts w:ascii="Palatino Linotype" w:eastAsia="Palatino Linotype" w:hAnsi="Palatino Linotype" w:cs="Palatino Linotype"/>
                <w:b/>
                <w:sz w:val="20"/>
                <w:szCs w:val="20"/>
                <w:lang w:val="en-US"/>
              </w:rPr>
              <w:t>12629/INFOEM/IP/RR/2025</w:t>
            </w:r>
          </w:p>
        </w:tc>
        <w:tc>
          <w:tcPr>
            <w:tcW w:w="5856" w:type="dxa"/>
            <w:vAlign w:val="center"/>
          </w:tcPr>
          <w:p w14:paraId="0B340E7E" w14:textId="676BD906" w:rsidR="00313479" w:rsidRPr="00F408B9" w:rsidRDefault="00313479" w:rsidP="00137C58">
            <w:pPr>
              <w:spacing w:before="120" w:after="120"/>
              <w:jc w:val="center"/>
              <w:rPr>
                <w:rFonts w:ascii="Palatino Linotype" w:eastAsia="Palatino Linotype" w:hAnsi="Palatino Linotype" w:cs="Palatino Linotype"/>
                <w:i/>
                <w:sz w:val="20"/>
                <w:szCs w:val="20"/>
              </w:rPr>
            </w:pPr>
            <w:r w:rsidRPr="00F408B9">
              <w:rPr>
                <w:rFonts w:ascii="Palatino Linotype" w:eastAsia="Palatino Linotype" w:hAnsi="Palatino Linotype" w:cs="Palatino Linotype"/>
                <w:i/>
                <w:sz w:val="20"/>
                <w:szCs w:val="20"/>
              </w:rPr>
              <w:t>“</w:t>
            </w:r>
            <w:r w:rsidR="00137C58" w:rsidRPr="00F408B9">
              <w:rPr>
                <w:rFonts w:ascii="Palatino Linotype" w:eastAsia="Palatino Linotype" w:hAnsi="Palatino Linotype" w:cs="Palatino Linotype"/>
                <w:i/>
                <w:sz w:val="20"/>
                <w:szCs w:val="20"/>
              </w:rPr>
              <w:t>Solicito relación de oficios recibidos por la unidad URIS del DIF Ixtapaluca del 2022 a la fecha.</w:t>
            </w:r>
            <w:r w:rsidRPr="00F408B9">
              <w:rPr>
                <w:rFonts w:ascii="Palatino Linotype" w:eastAsia="Palatino Linotype" w:hAnsi="Palatino Linotype" w:cs="Palatino Linotype"/>
                <w:i/>
                <w:sz w:val="20"/>
                <w:szCs w:val="20"/>
              </w:rPr>
              <w:t>” (sic)</w:t>
            </w:r>
          </w:p>
        </w:tc>
      </w:tr>
    </w:tbl>
    <w:p w14:paraId="16650D90" w14:textId="77777777" w:rsidR="00344ABC" w:rsidRPr="00F408B9" w:rsidRDefault="000D2644">
      <w:pPr>
        <w:spacing w:before="240" w:after="240" w:line="360" w:lineRule="auto"/>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b/>
          <w:sz w:val="22"/>
          <w:szCs w:val="22"/>
        </w:rPr>
        <w:lastRenderedPageBreak/>
        <w:t xml:space="preserve">Modalidad elegida para la entrega de la información: </w:t>
      </w:r>
      <w:r w:rsidRPr="00F408B9">
        <w:rPr>
          <w:rFonts w:ascii="Palatino Linotype" w:eastAsia="Palatino Linotype" w:hAnsi="Palatino Linotype" w:cs="Palatino Linotype"/>
          <w:sz w:val="22"/>
          <w:szCs w:val="22"/>
        </w:rPr>
        <w:t xml:space="preserve">a través del </w:t>
      </w:r>
      <w:r w:rsidRPr="00F408B9">
        <w:rPr>
          <w:rFonts w:ascii="Palatino Linotype" w:eastAsia="Palatino Linotype" w:hAnsi="Palatino Linotype" w:cs="Palatino Linotype"/>
          <w:b/>
          <w:bCs/>
          <w:sz w:val="22"/>
          <w:szCs w:val="22"/>
        </w:rPr>
        <w:t xml:space="preserve">SAIMEX </w:t>
      </w:r>
      <w:r w:rsidRPr="00F408B9">
        <w:rPr>
          <w:rFonts w:ascii="Palatino Linotype" w:eastAsia="Palatino Linotype" w:hAnsi="Palatino Linotype" w:cs="Palatino Linotype"/>
          <w:sz w:val="22"/>
          <w:szCs w:val="22"/>
        </w:rPr>
        <w:t>en todos los casos.</w:t>
      </w:r>
    </w:p>
    <w:p w14:paraId="3DC60908" w14:textId="3819F916" w:rsidR="00344ABC" w:rsidRPr="00F408B9" w:rsidRDefault="000D2644">
      <w:pPr>
        <w:spacing w:before="240" w:after="240" w:line="360" w:lineRule="auto"/>
        <w:jc w:val="both"/>
        <w:rPr>
          <w:rFonts w:ascii="Palatino Linotype" w:eastAsia="Palatino Linotype" w:hAnsi="Palatino Linotype" w:cs="Palatino Linotype"/>
          <w:b/>
          <w:sz w:val="22"/>
          <w:szCs w:val="22"/>
        </w:rPr>
      </w:pPr>
      <w:r w:rsidRPr="00F408B9">
        <w:rPr>
          <w:rFonts w:ascii="Palatino Linotype" w:eastAsia="Palatino Linotype" w:hAnsi="Palatino Linotype" w:cs="Palatino Linotype"/>
          <w:b/>
          <w:sz w:val="22"/>
          <w:szCs w:val="22"/>
        </w:rPr>
        <w:t xml:space="preserve">2. Respuesta. </w:t>
      </w:r>
      <w:r w:rsidRPr="00F408B9">
        <w:rPr>
          <w:rFonts w:ascii="Palatino Linotype" w:eastAsia="Palatino Linotype" w:hAnsi="Palatino Linotype" w:cs="Palatino Linotype"/>
          <w:sz w:val="22"/>
          <w:szCs w:val="22"/>
        </w:rPr>
        <w:t xml:space="preserve">De las constancias que obran en SAIMEX, se observa que el </w:t>
      </w:r>
      <w:r w:rsidRPr="00F408B9">
        <w:rPr>
          <w:rFonts w:ascii="Palatino Linotype" w:eastAsia="Palatino Linotype" w:hAnsi="Palatino Linotype" w:cs="Palatino Linotype"/>
          <w:b/>
          <w:sz w:val="22"/>
          <w:szCs w:val="22"/>
        </w:rPr>
        <w:t>Sujeto Obligado</w:t>
      </w:r>
      <w:r w:rsidRPr="00F408B9">
        <w:rPr>
          <w:rFonts w:ascii="Palatino Linotype" w:eastAsia="Palatino Linotype" w:hAnsi="Palatino Linotype" w:cs="Palatino Linotype"/>
          <w:sz w:val="22"/>
          <w:szCs w:val="22"/>
        </w:rPr>
        <w:t xml:space="preserve"> no emitió respuesta a las solicitudes de información formuladas por la </w:t>
      </w:r>
      <w:r w:rsidR="005C40B4" w:rsidRPr="00F408B9">
        <w:rPr>
          <w:rFonts w:ascii="Palatino Linotype" w:eastAsia="Palatino Linotype" w:hAnsi="Palatino Linotype" w:cs="Palatino Linotype"/>
          <w:sz w:val="22"/>
          <w:szCs w:val="22"/>
        </w:rPr>
        <w:t xml:space="preserve">parte </w:t>
      </w:r>
      <w:r w:rsidR="005C40B4" w:rsidRPr="00F408B9">
        <w:rPr>
          <w:rFonts w:ascii="Palatino Linotype" w:eastAsia="Palatino Linotype" w:hAnsi="Palatino Linotype" w:cs="Palatino Linotype"/>
          <w:b/>
          <w:bCs/>
          <w:sz w:val="22"/>
          <w:szCs w:val="22"/>
        </w:rPr>
        <w:t>Recurrente</w:t>
      </w:r>
      <w:r w:rsidRPr="00F408B9">
        <w:rPr>
          <w:rFonts w:ascii="Palatino Linotype" w:eastAsia="Palatino Linotype" w:hAnsi="Palatino Linotype" w:cs="Palatino Linotype"/>
          <w:b/>
          <w:sz w:val="22"/>
          <w:szCs w:val="22"/>
        </w:rPr>
        <w:t>.</w:t>
      </w:r>
    </w:p>
    <w:p w14:paraId="715548D3" w14:textId="3C6A5A7B" w:rsidR="00344ABC" w:rsidRPr="00F408B9" w:rsidRDefault="000D2644">
      <w:pPr>
        <w:spacing w:before="240" w:after="240" w:line="360" w:lineRule="auto"/>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b/>
          <w:sz w:val="22"/>
          <w:szCs w:val="22"/>
        </w:rPr>
        <w:t xml:space="preserve">3. Interposición de los recursos de revisión. </w:t>
      </w:r>
      <w:r w:rsidRPr="00F408B9">
        <w:rPr>
          <w:rFonts w:ascii="Palatino Linotype" w:eastAsia="Palatino Linotype" w:hAnsi="Palatino Linotype" w:cs="Palatino Linotype"/>
          <w:sz w:val="22"/>
          <w:szCs w:val="22"/>
        </w:rPr>
        <w:t xml:space="preserve">Inconforme la </w:t>
      </w:r>
      <w:r w:rsidR="005C40B4" w:rsidRPr="00F408B9">
        <w:rPr>
          <w:rFonts w:ascii="Palatino Linotype" w:eastAsia="Palatino Linotype" w:hAnsi="Palatino Linotype" w:cs="Palatino Linotype"/>
          <w:sz w:val="22"/>
          <w:szCs w:val="22"/>
        </w:rPr>
        <w:t xml:space="preserve">parte </w:t>
      </w:r>
      <w:r w:rsidR="005C40B4" w:rsidRPr="00F408B9">
        <w:rPr>
          <w:rFonts w:ascii="Palatino Linotype" w:eastAsia="Palatino Linotype" w:hAnsi="Palatino Linotype" w:cs="Palatino Linotype"/>
          <w:b/>
          <w:bCs/>
          <w:sz w:val="22"/>
          <w:szCs w:val="22"/>
        </w:rPr>
        <w:t>Recurrente</w:t>
      </w:r>
      <w:r w:rsidR="005C40B4" w:rsidRPr="00F408B9">
        <w:rPr>
          <w:rFonts w:ascii="Palatino Linotype" w:eastAsia="Palatino Linotype" w:hAnsi="Palatino Linotype" w:cs="Palatino Linotype"/>
          <w:sz w:val="22"/>
          <w:szCs w:val="22"/>
        </w:rPr>
        <w:t xml:space="preserve"> </w:t>
      </w:r>
      <w:r w:rsidRPr="00F408B9">
        <w:rPr>
          <w:rFonts w:ascii="Palatino Linotype" w:eastAsia="Palatino Linotype" w:hAnsi="Palatino Linotype" w:cs="Palatino Linotype"/>
          <w:sz w:val="22"/>
          <w:szCs w:val="22"/>
        </w:rPr>
        <w:t xml:space="preserve">con la falta de respuesta del </w:t>
      </w:r>
      <w:r w:rsidRPr="00F408B9">
        <w:rPr>
          <w:rFonts w:ascii="Palatino Linotype" w:eastAsia="Palatino Linotype" w:hAnsi="Palatino Linotype" w:cs="Palatino Linotype"/>
          <w:b/>
          <w:sz w:val="22"/>
          <w:szCs w:val="22"/>
        </w:rPr>
        <w:t>Sujeto Obligado</w:t>
      </w:r>
      <w:r w:rsidRPr="00F408B9">
        <w:rPr>
          <w:rFonts w:ascii="Palatino Linotype" w:eastAsia="Palatino Linotype" w:hAnsi="Palatino Linotype" w:cs="Palatino Linotype"/>
          <w:sz w:val="22"/>
          <w:szCs w:val="22"/>
        </w:rPr>
        <w:t xml:space="preserve">, </w:t>
      </w:r>
      <w:r w:rsidR="005C40B4" w:rsidRPr="00F408B9">
        <w:rPr>
          <w:rFonts w:ascii="Palatino Linotype" w:eastAsia="Palatino Linotype" w:hAnsi="Palatino Linotype" w:cs="Palatino Linotype"/>
          <w:sz w:val="22"/>
          <w:szCs w:val="22"/>
        </w:rPr>
        <w:t>el</w:t>
      </w:r>
      <w:r w:rsidRPr="00F408B9">
        <w:rPr>
          <w:rFonts w:ascii="Palatino Linotype" w:eastAsia="Palatino Linotype" w:hAnsi="Palatino Linotype" w:cs="Palatino Linotype"/>
          <w:sz w:val="22"/>
          <w:szCs w:val="22"/>
        </w:rPr>
        <w:t xml:space="preserve"> </w:t>
      </w:r>
      <w:r w:rsidR="00FB3FC6" w:rsidRPr="00F408B9">
        <w:rPr>
          <w:rFonts w:ascii="Palatino Linotype" w:eastAsia="Palatino Linotype" w:hAnsi="Palatino Linotype" w:cs="Palatino Linotype"/>
          <w:b/>
          <w:sz w:val="22"/>
          <w:szCs w:val="22"/>
        </w:rPr>
        <w:t>cuatro</w:t>
      </w:r>
      <w:r w:rsidR="00730996" w:rsidRPr="00F408B9">
        <w:rPr>
          <w:rFonts w:ascii="Palatino Linotype" w:eastAsia="Palatino Linotype" w:hAnsi="Palatino Linotype" w:cs="Palatino Linotype"/>
          <w:b/>
          <w:sz w:val="22"/>
          <w:szCs w:val="22"/>
        </w:rPr>
        <w:t xml:space="preserve"> de noviembre</w:t>
      </w:r>
      <w:r w:rsidR="005C40B4" w:rsidRPr="00F408B9">
        <w:rPr>
          <w:rFonts w:ascii="Palatino Linotype" w:eastAsia="Palatino Linotype" w:hAnsi="Palatino Linotype" w:cs="Palatino Linotype"/>
          <w:b/>
          <w:sz w:val="22"/>
          <w:szCs w:val="22"/>
        </w:rPr>
        <w:t xml:space="preserve"> </w:t>
      </w:r>
      <w:r w:rsidRPr="00F408B9">
        <w:rPr>
          <w:rFonts w:ascii="Palatino Linotype" w:eastAsia="Palatino Linotype" w:hAnsi="Palatino Linotype" w:cs="Palatino Linotype"/>
          <w:b/>
          <w:sz w:val="22"/>
          <w:szCs w:val="22"/>
        </w:rPr>
        <w:t>de dos mil veintic</w:t>
      </w:r>
      <w:r w:rsidR="005C40B4" w:rsidRPr="00F408B9">
        <w:rPr>
          <w:rFonts w:ascii="Palatino Linotype" w:eastAsia="Palatino Linotype" w:hAnsi="Palatino Linotype" w:cs="Palatino Linotype"/>
          <w:b/>
          <w:sz w:val="22"/>
          <w:szCs w:val="22"/>
        </w:rPr>
        <w:t>inco</w:t>
      </w:r>
      <w:r w:rsidRPr="00F408B9">
        <w:rPr>
          <w:rFonts w:ascii="Palatino Linotype" w:eastAsia="Palatino Linotype" w:hAnsi="Palatino Linotype" w:cs="Palatino Linotype"/>
          <w:sz w:val="22"/>
          <w:szCs w:val="22"/>
        </w:rPr>
        <w:t>, interpuso recursos de revisión a través de SAIMEX expresando lo siguiente:</w:t>
      </w:r>
    </w:p>
    <w:tbl>
      <w:tblPr>
        <w:tblStyle w:val="afc"/>
        <w:tblW w:w="897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9"/>
        <w:gridCol w:w="3140"/>
        <w:gridCol w:w="3021"/>
      </w:tblGrid>
      <w:tr w:rsidR="0046048C" w:rsidRPr="00F408B9" w14:paraId="53C5117B" w14:textId="77777777">
        <w:tc>
          <w:tcPr>
            <w:tcW w:w="2809" w:type="dxa"/>
            <w:shd w:val="clear" w:color="auto" w:fill="D9D9D9"/>
            <w:vAlign w:val="center"/>
          </w:tcPr>
          <w:p w14:paraId="6FD7CD72" w14:textId="77777777" w:rsidR="00344ABC" w:rsidRPr="00F408B9" w:rsidRDefault="000D2644">
            <w:pPr>
              <w:jc w:val="center"/>
              <w:rPr>
                <w:rFonts w:ascii="Palatino Linotype" w:eastAsia="Palatino Linotype" w:hAnsi="Palatino Linotype" w:cs="Palatino Linotype"/>
                <w:b/>
                <w:sz w:val="20"/>
                <w:szCs w:val="20"/>
              </w:rPr>
            </w:pPr>
            <w:r w:rsidRPr="00F408B9">
              <w:rPr>
                <w:rFonts w:ascii="Palatino Linotype" w:eastAsia="Palatino Linotype" w:hAnsi="Palatino Linotype" w:cs="Palatino Linotype"/>
                <w:b/>
                <w:sz w:val="20"/>
                <w:szCs w:val="20"/>
              </w:rPr>
              <w:t>Recurso de revisión</w:t>
            </w:r>
          </w:p>
        </w:tc>
        <w:tc>
          <w:tcPr>
            <w:tcW w:w="3140" w:type="dxa"/>
            <w:shd w:val="clear" w:color="auto" w:fill="D9D9D9"/>
            <w:vAlign w:val="center"/>
          </w:tcPr>
          <w:p w14:paraId="44F185ED" w14:textId="77777777" w:rsidR="00344ABC" w:rsidRPr="00F408B9" w:rsidRDefault="000D2644">
            <w:pPr>
              <w:jc w:val="center"/>
              <w:rPr>
                <w:rFonts w:ascii="Palatino Linotype" w:eastAsia="Palatino Linotype" w:hAnsi="Palatino Linotype" w:cs="Palatino Linotype"/>
                <w:b/>
                <w:sz w:val="20"/>
                <w:szCs w:val="20"/>
              </w:rPr>
            </w:pPr>
            <w:r w:rsidRPr="00F408B9">
              <w:rPr>
                <w:rFonts w:ascii="Palatino Linotype" w:eastAsia="Palatino Linotype" w:hAnsi="Palatino Linotype" w:cs="Palatino Linotype"/>
                <w:b/>
                <w:sz w:val="20"/>
                <w:szCs w:val="20"/>
              </w:rPr>
              <w:t>Acto impugnado.</w:t>
            </w:r>
          </w:p>
        </w:tc>
        <w:tc>
          <w:tcPr>
            <w:tcW w:w="3021" w:type="dxa"/>
            <w:shd w:val="clear" w:color="auto" w:fill="D9D9D9"/>
            <w:vAlign w:val="center"/>
          </w:tcPr>
          <w:p w14:paraId="00ABA427" w14:textId="77777777" w:rsidR="00344ABC" w:rsidRPr="00F408B9" w:rsidRDefault="000D2644">
            <w:pPr>
              <w:jc w:val="center"/>
              <w:rPr>
                <w:rFonts w:ascii="Palatino Linotype" w:eastAsia="Palatino Linotype" w:hAnsi="Palatino Linotype" w:cs="Palatino Linotype"/>
                <w:b/>
                <w:sz w:val="20"/>
                <w:szCs w:val="20"/>
              </w:rPr>
            </w:pPr>
            <w:r w:rsidRPr="00F408B9">
              <w:rPr>
                <w:rFonts w:ascii="Palatino Linotype" w:eastAsia="Palatino Linotype" w:hAnsi="Palatino Linotype" w:cs="Palatino Linotype"/>
                <w:b/>
                <w:sz w:val="20"/>
                <w:szCs w:val="20"/>
              </w:rPr>
              <w:t>Motivos de inconformidad.</w:t>
            </w:r>
          </w:p>
        </w:tc>
      </w:tr>
      <w:tr w:rsidR="0046048C" w:rsidRPr="00F408B9" w14:paraId="1674CFF0" w14:textId="77777777">
        <w:tc>
          <w:tcPr>
            <w:tcW w:w="2809" w:type="dxa"/>
            <w:vAlign w:val="center"/>
          </w:tcPr>
          <w:p w14:paraId="6C4934E0" w14:textId="77777777" w:rsidR="00FB3FC6" w:rsidRPr="00F408B9" w:rsidRDefault="00FB3FC6" w:rsidP="00FB3FC6">
            <w:pPr>
              <w:spacing w:before="120" w:after="120"/>
              <w:jc w:val="center"/>
              <w:rPr>
                <w:rFonts w:ascii="Palatino Linotype" w:eastAsia="Palatino Linotype" w:hAnsi="Palatino Linotype" w:cs="Palatino Linotype"/>
                <w:b/>
                <w:sz w:val="20"/>
                <w:szCs w:val="20"/>
                <w:lang w:val="en-US"/>
              </w:rPr>
            </w:pPr>
            <w:r w:rsidRPr="00F408B9">
              <w:rPr>
                <w:rFonts w:ascii="Palatino Linotype" w:eastAsia="Palatino Linotype" w:hAnsi="Palatino Linotype" w:cs="Palatino Linotype"/>
                <w:b/>
                <w:sz w:val="20"/>
                <w:szCs w:val="20"/>
                <w:lang w:val="en-US"/>
              </w:rPr>
              <w:t>00270/DIFIXTAPAL/IP/2025</w:t>
            </w:r>
          </w:p>
          <w:p w14:paraId="4A3C870F" w14:textId="06BA0249" w:rsidR="00730996" w:rsidRPr="00F408B9" w:rsidRDefault="00FB3FC6" w:rsidP="00FB3FC6">
            <w:pPr>
              <w:spacing w:before="120" w:after="120"/>
              <w:jc w:val="center"/>
              <w:rPr>
                <w:rFonts w:ascii="Palatino Linotype" w:eastAsia="Palatino Linotype" w:hAnsi="Palatino Linotype" w:cs="Palatino Linotype"/>
                <w:b/>
                <w:sz w:val="20"/>
                <w:szCs w:val="20"/>
                <w:lang w:val="en-US"/>
              </w:rPr>
            </w:pPr>
            <w:r w:rsidRPr="00F408B9">
              <w:rPr>
                <w:rFonts w:ascii="Palatino Linotype" w:eastAsia="Palatino Linotype" w:hAnsi="Palatino Linotype" w:cs="Palatino Linotype"/>
                <w:b/>
                <w:sz w:val="20"/>
                <w:szCs w:val="20"/>
                <w:lang w:val="en-US"/>
              </w:rPr>
              <w:t>12630/INFOEM/IP/RR/2025</w:t>
            </w:r>
          </w:p>
        </w:tc>
        <w:tc>
          <w:tcPr>
            <w:tcW w:w="3140" w:type="dxa"/>
            <w:vAlign w:val="center"/>
          </w:tcPr>
          <w:p w14:paraId="0F16148E" w14:textId="22022DEC" w:rsidR="00730996" w:rsidRPr="00F408B9" w:rsidRDefault="00730996" w:rsidP="00FB3FC6">
            <w:pPr>
              <w:jc w:val="both"/>
              <w:rPr>
                <w:rFonts w:ascii="Palatino Linotype" w:eastAsia="Palatino Linotype" w:hAnsi="Palatino Linotype" w:cs="Palatino Linotype"/>
                <w:i/>
                <w:sz w:val="20"/>
                <w:szCs w:val="20"/>
              </w:rPr>
            </w:pPr>
            <w:r w:rsidRPr="00F408B9">
              <w:rPr>
                <w:rFonts w:ascii="Palatino Linotype" w:eastAsia="Palatino Linotype" w:hAnsi="Palatino Linotype" w:cs="Palatino Linotype"/>
                <w:i/>
                <w:sz w:val="20"/>
                <w:szCs w:val="20"/>
              </w:rPr>
              <w:t>“</w:t>
            </w:r>
            <w:r w:rsidR="00FB3FC6" w:rsidRPr="00F408B9">
              <w:rPr>
                <w:rFonts w:ascii="Palatino Linotype" w:eastAsia="Palatino Linotype" w:hAnsi="Palatino Linotype" w:cs="Palatino Linotype"/>
                <w:i/>
                <w:sz w:val="20"/>
                <w:szCs w:val="20"/>
              </w:rPr>
              <w:t xml:space="preserve">Con fundamento en lo dispuesto por el artículo 179 fracción VII de la Ley de Transparencia y Acceso a la Información Pública del Estado de México y Municipios, el presente recurso de revisión se interpone en virtud de que el sujeto obligado incurrió en omisión de respuesta respecto de la solicitud de acceso a la información presentada dentro de los plazos establecidos por la ley. Dicha fracción establece como causal de procedencia del recurso de revisión la falta de respuesta por parte del sujeto obligado, situación que vulnera de manera directa el derecho de acceso a la información pública reconocido en los artículos 5 y 6 de la citada Ley, así como el principio de máxima publicidad que debe regir la actuación de toda autoridad. La omisión referida impide al solicitante conocer el contenido y sentido de la información requerida, además de obstaculizar el ejercicio efectivo del </w:t>
            </w:r>
            <w:r w:rsidR="00FB3FC6" w:rsidRPr="00F408B9">
              <w:rPr>
                <w:rFonts w:ascii="Palatino Linotype" w:eastAsia="Palatino Linotype" w:hAnsi="Palatino Linotype" w:cs="Palatino Linotype"/>
                <w:i/>
                <w:sz w:val="20"/>
                <w:szCs w:val="20"/>
              </w:rPr>
              <w:lastRenderedPageBreak/>
              <w:t>derecho a la información, generando un acto de autoridad contrario a los principios de legalidad, certeza y transparencia administrativa. Por lo anterior, se solicita respetuosamente a ese Órgano Garante que, con base en las facultades conferidas por la Ley, ordene al sujeto obligado emitir la respuesta correspondiente en términos de los plazos y condiciones establecidos por el marco normativo aplicable, garantizando así el pleno ejercicio del derecho de acceso a la información.</w:t>
            </w:r>
            <w:r w:rsidRPr="00F408B9">
              <w:rPr>
                <w:rFonts w:ascii="Palatino Linotype" w:eastAsia="Palatino Linotype" w:hAnsi="Palatino Linotype" w:cs="Palatino Linotype"/>
                <w:i/>
                <w:sz w:val="20"/>
                <w:szCs w:val="20"/>
              </w:rPr>
              <w:t>” (sic)</w:t>
            </w:r>
          </w:p>
        </w:tc>
        <w:tc>
          <w:tcPr>
            <w:tcW w:w="3021" w:type="dxa"/>
          </w:tcPr>
          <w:p w14:paraId="5D1F57B6" w14:textId="0CC2B450" w:rsidR="00730996" w:rsidRPr="00F408B9" w:rsidRDefault="00730996" w:rsidP="00FB3FC6">
            <w:pPr>
              <w:jc w:val="both"/>
              <w:rPr>
                <w:rFonts w:ascii="Palatino Linotype" w:eastAsia="Palatino Linotype" w:hAnsi="Palatino Linotype" w:cs="Palatino Linotype"/>
                <w:i/>
                <w:sz w:val="20"/>
                <w:szCs w:val="20"/>
              </w:rPr>
            </w:pPr>
            <w:r w:rsidRPr="00F408B9">
              <w:rPr>
                <w:rFonts w:ascii="Palatino Linotype" w:eastAsia="Palatino Linotype" w:hAnsi="Palatino Linotype" w:cs="Palatino Linotype"/>
                <w:i/>
                <w:sz w:val="20"/>
                <w:szCs w:val="20"/>
              </w:rPr>
              <w:lastRenderedPageBreak/>
              <w:t>“</w:t>
            </w:r>
            <w:r w:rsidR="00FB3FC6" w:rsidRPr="00F408B9">
              <w:rPr>
                <w:rFonts w:ascii="Palatino Linotype" w:eastAsia="Palatino Linotype" w:hAnsi="Palatino Linotype" w:cs="Palatino Linotype"/>
                <w:i/>
                <w:sz w:val="20"/>
                <w:szCs w:val="20"/>
              </w:rPr>
              <w:t xml:space="preserve">Con fundamento en lo dispuesto por el artículo 179 fracción VII de la Ley de Transparencia y Acceso a la Información Pública del Estado de México y Municipios, el presente recurso de revisión se interpone en virtud de que el sujeto obligado incurrió en omisión de respuesta respecto de la solicitud de acceso a la información presentada dentro de los plazos establecidos por la ley. Dicha fracción establece como causal de procedencia del recurso de revisión la falta de respuesta por parte del sujeto obligado, situación que vulnera de manera directa el derecho de acceso a la información pública reconocido en los artículos 5 y 6 de la citada Ley, así como el principio de máxima publicidad que debe regir la actuación de toda autoridad. La omisión referida impide al solicitante conocer el contenido y sentido de la información </w:t>
            </w:r>
            <w:r w:rsidR="00FB3FC6" w:rsidRPr="00F408B9">
              <w:rPr>
                <w:rFonts w:ascii="Palatino Linotype" w:eastAsia="Palatino Linotype" w:hAnsi="Palatino Linotype" w:cs="Palatino Linotype"/>
                <w:i/>
                <w:sz w:val="20"/>
                <w:szCs w:val="20"/>
              </w:rPr>
              <w:lastRenderedPageBreak/>
              <w:t>requerida, además de obstaculizar el ejercicio efectivo del derecho a la información, generando un acto de autoridad contrario a los principios de legalidad, certeza y transparencia administrativa. Por lo anterior, se solicita respetuosamente a ese Órgano Garante que, con base en las facultades conferidas por la Ley, ordene al sujeto obligado emitir la respuesta correspondiente en términos de los plazos y condiciones establecidos por el marco normativo aplicable, garantizando así el pleno ejercicio del derecho de acceso a la información.</w:t>
            </w:r>
            <w:r w:rsidRPr="00F408B9">
              <w:rPr>
                <w:rFonts w:ascii="Palatino Linotype" w:eastAsia="Palatino Linotype" w:hAnsi="Palatino Linotype" w:cs="Palatino Linotype"/>
                <w:i/>
                <w:sz w:val="20"/>
                <w:szCs w:val="20"/>
              </w:rPr>
              <w:t>” (sic)</w:t>
            </w:r>
          </w:p>
        </w:tc>
      </w:tr>
      <w:tr w:rsidR="0046048C" w:rsidRPr="00F408B9" w14:paraId="565658DE" w14:textId="77777777" w:rsidTr="00D05C74">
        <w:tc>
          <w:tcPr>
            <w:tcW w:w="2809" w:type="dxa"/>
            <w:vAlign w:val="center"/>
          </w:tcPr>
          <w:p w14:paraId="05A56F9A" w14:textId="77777777" w:rsidR="00FB3FC6" w:rsidRPr="00F408B9" w:rsidRDefault="00FB3FC6" w:rsidP="00FB3FC6">
            <w:pPr>
              <w:spacing w:before="120" w:after="120"/>
              <w:jc w:val="center"/>
              <w:rPr>
                <w:rFonts w:ascii="Palatino Linotype" w:eastAsia="Palatino Linotype" w:hAnsi="Palatino Linotype" w:cs="Palatino Linotype"/>
                <w:b/>
                <w:sz w:val="20"/>
                <w:szCs w:val="20"/>
                <w:lang w:val="en-US"/>
              </w:rPr>
            </w:pPr>
            <w:r w:rsidRPr="00F408B9">
              <w:rPr>
                <w:rFonts w:ascii="Palatino Linotype" w:eastAsia="Palatino Linotype" w:hAnsi="Palatino Linotype" w:cs="Palatino Linotype"/>
                <w:b/>
                <w:sz w:val="20"/>
                <w:szCs w:val="20"/>
                <w:lang w:val="en-US"/>
              </w:rPr>
              <w:lastRenderedPageBreak/>
              <w:t>00271/DIFIXTAPAL/IP/2025</w:t>
            </w:r>
          </w:p>
          <w:p w14:paraId="273B541A" w14:textId="36B70870" w:rsidR="00D23271" w:rsidRPr="00F408B9" w:rsidRDefault="00FB3FC6" w:rsidP="00FB3FC6">
            <w:pPr>
              <w:jc w:val="center"/>
              <w:rPr>
                <w:rFonts w:ascii="Palatino Linotype" w:eastAsia="Palatino Linotype" w:hAnsi="Palatino Linotype" w:cs="Palatino Linotype"/>
                <w:b/>
                <w:sz w:val="20"/>
                <w:szCs w:val="20"/>
                <w:lang w:val="en-US"/>
              </w:rPr>
            </w:pPr>
            <w:r w:rsidRPr="00F408B9">
              <w:rPr>
                <w:rFonts w:ascii="Palatino Linotype" w:eastAsia="Palatino Linotype" w:hAnsi="Palatino Linotype" w:cs="Palatino Linotype"/>
                <w:b/>
                <w:sz w:val="20"/>
                <w:szCs w:val="20"/>
                <w:lang w:val="en-US"/>
              </w:rPr>
              <w:t>12629/INFOEM/IP/RR/2025</w:t>
            </w:r>
          </w:p>
        </w:tc>
        <w:tc>
          <w:tcPr>
            <w:tcW w:w="3140" w:type="dxa"/>
            <w:vAlign w:val="center"/>
          </w:tcPr>
          <w:p w14:paraId="2A163101" w14:textId="02FBF383" w:rsidR="00D23271" w:rsidRPr="00F408B9" w:rsidRDefault="00D23271" w:rsidP="00730996">
            <w:pPr>
              <w:jc w:val="both"/>
              <w:rPr>
                <w:rFonts w:ascii="Palatino Linotype" w:eastAsia="Palatino Linotype" w:hAnsi="Palatino Linotype" w:cs="Palatino Linotype"/>
                <w:i/>
                <w:sz w:val="20"/>
                <w:szCs w:val="20"/>
              </w:rPr>
            </w:pPr>
            <w:r w:rsidRPr="00F408B9">
              <w:rPr>
                <w:rFonts w:ascii="Palatino Linotype" w:eastAsia="Palatino Linotype" w:hAnsi="Palatino Linotype" w:cs="Palatino Linotype"/>
                <w:i/>
                <w:sz w:val="20"/>
                <w:szCs w:val="20"/>
              </w:rPr>
              <w:t>“</w:t>
            </w:r>
            <w:r w:rsidR="00FB3FC6" w:rsidRPr="00F408B9">
              <w:rPr>
                <w:rFonts w:ascii="Palatino Linotype" w:eastAsia="Palatino Linotype" w:hAnsi="Palatino Linotype" w:cs="Palatino Linotype"/>
                <w:i/>
                <w:sz w:val="20"/>
                <w:szCs w:val="20"/>
              </w:rPr>
              <w:t>Con fundamento en lo dispuesto por el artículo 179 fracción VII de la Ley de Transparencia y Acceso a la Información Pública del Estado de México y Municipios, el presente recurso de revisión se interpone en virtud de que el sujeto obligado incurrió en omisión de respuesta respecto de la solicitud de acceso a la información presentada dentro de los plazos establecidos por la ley. Dicha fracción establece como causal de procedencia del recurso de revisión la falta de respuesta por parte del sujeto obligado, situación que vulnera de manera directa el derecho de acceso a la información pública reconocido en los artículos 5 y 6 de la citada Ley, así como el principio de máxima publicidad que debe regir la actuación de toda autoridad. La omisión referida impide al solicitante conocer el contenido y sentido de la información requerida, además de obstaculizar el ejercicio efectivo del derecho a la información, generando un acto de autoridad contrario a los principios de legalidad, certeza y transparencia administrativa. Por lo anterior, se solicita respetuosamente a ese Órgano Garante que, con base en las facultades conferidas por la Ley, ordene al sujeto obligado emitir la respuesta correspondiente en términos de los plazos y condiciones establecidos por el marco normativo aplicable, garantizando así el pleno ejercicio del derecho de acceso a la información.</w:t>
            </w:r>
            <w:r w:rsidRPr="00F408B9">
              <w:rPr>
                <w:rFonts w:ascii="Palatino Linotype" w:eastAsia="Palatino Linotype" w:hAnsi="Palatino Linotype" w:cs="Palatino Linotype"/>
                <w:i/>
                <w:sz w:val="20"/>
                <w:szCs w:val="20"/>
              </w:rPr>
              <w:t>” (sic)</w:t>
            </w:r>
          </w:p>
        </w:tc>
        <w:tc>
          <w:tcPr>
            <w:tcW w:w="3021" w:type="dxa"/>
            <w:vAlign w:val="center"/>
          </w:tcPr>
          <w:p w14:paraId="3062B8C0" w14:textId="52029697" w:rsidR="00D23271" w:rsidRPr="00F408B9" w:rsidRDefault="00D23271" w:rsidP="00730996">
            <w:pPr>
              <w:jc w:val="both"/>
              <w:rPr>
                <w:rFonts w:ascii="Palatino Linotype" w:eastAsia="Palatino Linotype" w:hAnsi="Palatino Linotype" w:cs="Palatino Linotype"/>
                <w:i/>
                <w:sz w:val="20"/>
                <w:szCs w:val="20"/>
              </w:rPr>
            </w:pPr>
            <w:r w:rsidRPr="00F408B9">
              <w:rPr>
                <w:rFonts w:ascii="Palatino Linotype" w:eastAsia="Palatino Linotype" w:hAnsi="Palatino Linotype" w:cs="Palatino Linotype"/>
                <w:i/>
                <w:sz w:val="20"/>
                <w:szCs w:val="20"/>
              </w:rPr>
              <w:t>“</w:t>
            </w:r>
            <w:r w:rsidR="00FB3FC6" w:rsidRPr="00F408B9">
              <w:rPr>
                <w:rFonts w:ascii="Palatino Linotype" w:eastAsia="Palatino Linotype" w:hAnsi="Palatino Linotype" w:cs="Palatino Linotype"/>
                <w:i/>
                <w:sz w:val="20"/>
                <w:szCs w:val="20"/>
              </w:rPr>
              <w:t>Con fundamento en lo dispuesto por el artículo 179 fracción VII de la Ley de Transparencia y Acceso a la Información Pública del Estado de México y Municipios, el presente recurso de revisión se interpone en virtud de que el sujeto obligado incurrió en omisión de respuesta respecto de la solicitud de acceso a la información presentada dentro de los plazos establecidos por la ley. Dicha fracción establece como causal de procedencia del recurso de revisión la falta de respuesta por parte del sujeto obligado, situación que vulnera de manera directa el derecho de acceso a la información pública reconocido en los artículos 5 y 6 de la citada Ley, así como el principio de máxima publicidad que debe regir la actuación de toda autoridad. La omisión referida impide al solicitante conocer el contenido y sentido de la información requerida, además de obstaculizar el ejercicio efectivo del derecho a la información, generando un acto de autoridad contrario a los principios de legalidad, certeza y transparencia administrativa. Por lo anterior, se solicita respetuosamente a ese Órgano Garante que, con base en las facultades conferidas por la Ley, ordene al sujeto obligado emitir la respuesta correspondiente en términos de los plazos y condiciones establecidos por el marco normativo aplicable, garantizando así el pleno ejercicio del derecho de acceso a la información.</w:t>
            </w:r>
            <w:r w:rsidRPr="00F408B9">
              <w:rPr>
                <w:rFonts w:ascii="Palatino Linotype" w:eastAsia="Palatino Linotype" w:hAnsi="Palatino Linotype" w:cs="Palatino Linotype"/>
                <w:i/>
                <w:sz w:val="20"/>
                <w:szCs w:val="20"/>
              </w:rPr>
              <w:t>” (sic)</w:t>
            </w:r>
          </w:p>
        </w:tc>
      </w:tr>
    </w:tbl>
    <w:p w14:paraId="23361D3F" w14:textId="613009F8" w:rsidR="00344ABC" w:rsidRPr="00F408B9" w:rsidRDefault="000D2644">
      <w:pPr>
        <w:spacing w:before="240" w:after="240" w:line="360" w:lineRule="auto"/>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b/>
          <w:sz w:val="22"/>
          <w:szCs w:val="22"/>
        </w:rPr>
        <w:t>4. Turno.</w:t>
      </w:r>
      <w:r w:rsidRPr="00F408B9">
        <w:rPr>
          <w:rFonts w:ascii="Palatino Linotype" w:eastAsia="Palatino Linotype" w:hAnsi="Palatino Linotype" w:cs="Palatino Linotype"/>
          <w:sz w:val="22"/>
          <w:szCs w:val="22"/>
        </w:rPr>
        <w:t xml:space="preserve"> De conformidad con el artículo 185 fracción I de la Ley de Transparencia y Acceso a la Información Pública del Estado de México y Municipios vigente, los presentes recursos de revisión se turnaron por el sistema electrónico del Instituto de Transparencia, Acceso a la Información Pública y Protección de Datos Personales del Estado de México y Municipios, a los Comisionados</w:t>
      </w:r>
      <w:r w:rsidR="00D14F8D" w:rsidRPr="00F408B9">
        <w:rPr>
          <w:rFonts w:ascii="Palatino Linotype" w:eastAsia="Palatino Linotype" w:hAnsi="Palatino Linotype" w:cs="Palatino Linotype"/>
          <w:b/>
          <w:sz w:val="22"/>
          <w:szCs w:val="22"/>
        </w:rPr>
        <w:t xml:space="preserve"> Guadalupe Ramírez Peña </w:t>
      </w:r>
      <w:r w:rsidR="00D14F8D" w:rsidRPr="00F408B9">
        <w:rPr>
          <w:rFonts w:ascii="Palatino Linotype" w:eastAsia="Palatino Linotype" w:hAnsi="Palatino Linotype" w:cs="Palatino Linotype"/>
          <w:sz w:val="22"/>
          <w:szCs w:val="22"/>
        </w:rPr>
        <w:t>y</w:t>
      </w:r>
      <w:r w:rsidR="00A41D0E" w:rsidRPr="00F408B9">
        <w:rPr>
          <w:rFonts w:ascii="Palatino Linotype" w:eastAsia="Palatino Linotype" w:hAnsi="Palatino Linotype" w:cs="Palatino Linotype"/>
          <w:b/>
          <w:sz w:val="22"/>
          <w:szCs w:val="22"/>
        </w:rPr>
        <w:t xml:space="preserve"> </w:t>
      </w:r>
      <w:r w:rsidR="002C68A5" w:rsidRPr="00F408B9">
        <w:rPr>
          <w:rFonts w:ascii="Palatino Linotype" w:eastAsia="Palatino Linotype" w:hAnsi="Palatino Linotype" w:cs="Palatino Linotype"/>
          <w:b/>
          <w:sz w:val="22"/>
          <w:szCs w:val="22"/>
        </w:rPr>
        <w:t>José Martínez Vilchis</w:t>
      </w:r>
      <w:r w:rsidR="00A41D0E" w:rsidRPr="00F408B9">
        <w:rPr>
          <w:rFonts w:ascii="Palatino Linotype" w:eastAsia="Palatino Linotype" w:hAnsi="Palatino Linotype" w:cs="Palatino Linotype"/>
          <w:sz w:val="22"/>
          <w:szCs w:val="22"/>
        </w:rPr>
        <w:t>,</w:t>
      </w:r>
      <w:r w:rsidRPr="00F408B9">
        <w:rPr>
          <w:rFonts w:ascii="Palatino Linotype" w:eastAsia="Palatino Linotype" w:hAnsi="Palatino Linotype" w:cs="Palatino Linotype"/>
          <w:b/>
          <w:sz w:val="22"/>
          <w:szCs w:val="22"/>
        </w:rPr>
        <w:t xml:space="preserve"> </w:t>
      </w:r>
      <w:r w:rsidRPr="00F408B9">
        <w:rPr>
          <w:rFonts w:ascii="Palatino Linotype" w:eastAsia="Palatino Linotype" w:hAnsi="Palatino Linotype" w:cs="Palatino Linotype"/>
          <w:sz w:val="22"/>
          <w:szCs w:val="22"/>
        </w:rPr>
        <w:t xml:space="preserve">a efecto de que analizaran sobre su admisión o su desechamiento. </w:t>
      </w:r>
    </w:p>
    <w:p w14:paraId="6E0CB740" w14:textId="3DAD3137" w:rsidR="00344ABC" w:rsidRPr="00F408B9" w:rsidRDefault="000D2644">
      <w:pPr>
        <w:spacing w:before="240" w:after="240" w:line="360" w:lineRule="auto"/>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b/>
          <w:sz w:val="22"/>
          <w:szCs w:val="22"/>
        </w:rPr>
        <w:t xml:space="preserve">5. Admisión de los Recursos de Revisión. </w:t>
      </w:r>
      <w:r w:rsidR="00227CBA" w:rsidRPr="00F408B9">
        <w:rPr>
          <w:rFonts w:ascii="Palatino Linotype" w:eastAsia="Palatino Linotype" w:hAnsi="Palatino Linotype" w:cs="Palatino Linotype"/>
          <w:sz w:val="22"/>
          <w:szCs w:val="22"/>
        </w:rPr>
        <w:t xml:space="preserve">El </w:t>
      </w:r>
      <w:r w:rsidR="00D14F8D" w:rsidRPr="00F408B9">
        <w:rPr>
          <w:rFonts w:ascii="Palatino Linotype" w:eastAsia="Palatino Linotype" w:hAnsi="Palatino Linotype" w:cs="Palatino Linotype"/>
          <w:b/>
          <w:sz w:val="22"/>
          <w:szCs w:val="22"/>
        </w:rPr>
        <w:t>seis</w:t>
      </w:r>
      <w:r w:rsidR="00D14F8D" w:rsidRPr="00F408B9">
        <w:rPr>
          <w:rFonts w:ascii="Palatino Linotype" w:eastAsia="Palatino Linotype" w:hAnsi="Palatino Linotype" w:cs="Palatino Linotype"/>
          <w:sz w:val="22"/>
          <w:szCs w:val="22"/>
        </w:rPr>
        <w:t xml:space="preserve"> y </w:t>
      </w:r>
      <w:r w:rsidR="002C68A5" w:rsidRPr="00F408B9">
        <w:rPr>
          <w:rFonts w:ascii="Palatino Linotype" w:eastAsia="Palatino Linotype" w:hAnsi="Palatino Linotype" w:cs="Palatino Linotype"/>
          <w:b/>
          <w:bCs/>
          <w:sz w:val="22"/>
          <w:szCs w:val="22"/>
        </w:rPr>
        <w:t>siete</w:t>
      </w:r>
      <w:r w:rsidR="00D14F8D" w:rsidRPr="00F408B9">
        <w:rPr>
          <w:rFonts w:ascii="Palatino Linotype" w:eastAsia="Palatino Linotype" w:hAnsi="Palatino Linotype" w:cs="Palatino Linotype"/>
          <w:b/>
          <w:bCs/>
          <w:sz w:val="22"/>
          <w:szCs w:val="22"/>
        </w:rPr>
        <w:t xml:space="preserve"> </w:t>
      </w:r>
      <w:r w:rsidR="00227CBA" w:rsidRPr="00F408B9">
        <w:rPr>
          <w:rFonts w:ascii="Palatino Linotype" w:eastAsia="Palatino Linotype" w:hAnsi="Palatino Linotype" w:cs="Palatino Linotype"/>
          <w:b/>
          <w:bCs/>
          <w:sz w:val="22"/>
          <w:szCs w:val="22"/>
        </w:rPr>
        <w:t xml:space="preserve">e </w:t>
      </w:r>
      <w:r w:rsidR="002C68A5" w:rsidRPr="00F408B9">
        <w:rPr>
          <w:rFonts w:ascii="Palatino Linotype" w:eastAsia="Palatino Linotype" w:hAnsi="Palatino Linotype" w:cs="Palatino Linotype"/>
          <w:b/>
          <w:bCs/>
          <w:sz w:val="22"/>
          <w:szCs w:val="22"/>
        </w:rPr>
        <w:t xml:space="preserve">noviembre </w:t>
      </w:r>
      <w:r w:rsidR="00227CBA" w:rsidRPr="00F408B9">
        <w:rPr>
          <w:rFonts w:ascii="Palatino Linotype" w:eastAsia="Palatino Linotype" w:hAnsi="Palatino Linotype" w:cs="Palatino Linotype"/>
          <w:sz w:val="22"/>
          <w:szCs w:val="22"/>
        </w:rPr>
        <w:t>d</w:t>
      </w:r>
      <w:r w:rsidRPr="00F408B9">
        <w:rPr>
          <w:rFonts w:ascii="Palatino Linotype" w:eastAsia="Palatino Linotype" w:hAnsi="Palatino Linotype" w:cs="Palatino Linotype"/>
          <w:b/>
          <w:sz w:val="22"/>
          <w:szCs w:val="22"/>
        </w:rPr>
        <w:t>e dos mil veintic</w:t>
      </w:r>
      <w:r w:rsidR="00227CBA" w:rsidRPr="00F408B9">
        <w:rPr>
          <w:rFonts w:ascii="Palatino Linotype" w:eastAsia="Palatino Linotype" w:hAnsi="Palatino Linotype" w:cs="Palatino Linotype"/>
          <w:b/>
          <w:sz w:val="22"/>
          <w:szCs w:val="22"/>
        </w:rPr>
        <w:t>inco</w:t>
      </w:r>
      <w:r w:rsidRPr="00F408B9">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admitieron a trámite los recursos de revisión al rubro indicado.</w:t>
      </w:r>
    </w:p>
    <w:p w14:paraId="78DF0962" w14:textId="606BA123" w:rsidR="00344ABC" w:rsidRPr="00F408B9" w:rsidRDefault="000D2644">
      <w:pPr>
        <w:pBdr>
          <w:top w:val="nil"/>
          <w:left w:val="nil"/>
          <w:bottom w:val="nil"/>
          <w:right w:val="nil"/>
          <w:between w:val="nil"/>
        </w:pBdr>
        <w:spacing w:before="240" w:after="240" w:line="360" w:lineRule="auto"/>
        <w:jc w:val="both"/>
        <w:rPr>
          <w:rFonts w:ascii="Palatino Linotype" w:eastAsia="Palatino Linotype" w:hAnsi="Palatino Linotype" w:cs="Palatino Linotype"/>
          <w:b/>
          <w:sz w:val="22"/>
          <w:szCs w:val="22"/>
        </w:rPr>
      </w:pPr>
      <w:r w:rsidRPr="00F408B9">
        <w:rPr>
          <w:rFonts w:ascii="Palatino Linotype" w:eastAsia="Palatino Linotype" w:hAnsi="Palatino Linotype" w:cs="Palatino Linotype"/>
          <w:b/>
          <w:sz w:val="22"/>
          <w:szCs w:val="22"/>
        </w:rPr>
        <w:t>6. Acumulación de los recursos de revisión.</w:t>
      </w:r>
      <w:r w:rsidR="003D7618" w:rsidRPr="00F408B9">
        <w:rPr>
          <w:rFonts w:ascii="Palatino Linotype" w:eastAsia="Palatino Linotype" w:hAnsi="Palatino Linotype" w:cs="Palatino Linotype"/>
          <w:b/>
          <w:sz w:val="22"/>
          <w:szCs w:val="22"/>
        </w:rPr>
        <w:t xml:space="preserve"> </w:t>
      </w:r>
      <w:r w:rsidR="003D7618" w:rsidRPr="00F408B9">
        <w:rPr>
          <w:rFonts w:ascii="Palatino Linotype" w:eastAsia="Palatino Linotype" w:hAnsi="Palatino Linotype" w:cs="Palatino Linotype"/>
          <w:bCs/>
          <w:sz w:val="22"/>
          <w:szCs w:val="22"/>
        </w:rPr>
        <w:t xml:space="preserve">El </w:t>
      </w:r>
      <w:r w:rsidR="002C68A5" w:rsidRPr="00F408B9">
        <w:rPr>
          <w:rFonts w:ascii="Palatino Linotype" w:eastAsia="Palatino Linotype" w:hAnsi="Palatino Linotype" w:cs="Palatino Linotype"/>
          <w:b/>
          <w:sz w:val="22"/>
          <w:szCs w:val="22"/>
        </w:rPr>
        <w:t xml:space="preserve">veinte </w:t>
      </w:r>
      <w:r w:rsidR="00227CBA" w:rsidRPr="00F408B9">
        <w:rPr>
          <w:rFonts w:ascii="Palatino Linotype" w:eastAsia="Palatino Linotype" w:hAnsi="Palatino Linotype" w:cs="Palatino Linotype"/>
          <w:b/>
          <w:sz w:val="22"/>
          <w:szCs w:val="22"/>
        </w:rPr>
        <w:t xml:space="preserve">de </w:t>
      </w:r>
      <w:r w:rsidR="002C68A5" w:rsidRPr="00F408B9">
        <w:rPr>
          <w:rFonts w:ascii="Palatino Linotype" w:eastAsia="Palatino Linotype" w:hAnsi="Palatino Linotype" w:cs="Palatino Linotype"/>
          <w:b/>
          <w:sz w:val="22"/>
          <w:szCs w:val="22"/>
        </w:rPr>
        <w:t xml:space="preserve">noviembre </w:t>
      </w:r>
      <w:r w:rsidR="00227CBA" w:rsidRPr="00F408B9">
        <w:rPr>
          <w:rFonts w:ascii="Palatino Linotype" w:eastAsia="Palatino Linotype" w:hAnsi="Palatino Linotype" w:cs="Palatino Linotype"/>
          <w:b/>
          <w:sz w:val="22"/>
          <w:szCs w:val="22"/>
        </w:rPr>
        <w:t xml:space="preserve">de dos mil veinticinco, </w:t>
      </w:r>
      <w:r w:rsidRPr="00F408B9">
        <w:rPr>
          <w:rFonts w:ascii="Palatino Linotype" w:eastAsia="Palatino Linotype" w:hAnsi="Palatino Linotype" w:cs="Palatino Linotype"/>
          <w:sz w:val="22"/>
          <w:szCs w:val="22"/>
        </w:rPr>
        <w:t xml:space="preserve">el Pleno de este Instituto, </w:t>
      </w:r>
      <w:r w:rsidR="003D7618" w:rsidRPr="00F408B9">
        <w:rPr>
          <w:rFonts w:ascii="Palatino Linotype" w:eastAsia="Palatino Linotype" w:hAnsi="Palatino Linotype" w:cs="Palatino Linotype"/>
          <w:sz w:val="22"/>
          <w:szCs w:val="22"/>
        </w:rPr>
        <w:t xml:space="preserve">acordó </w:t>
      </w:r>
      <w:r w:rsidRPr="00F408B9">
        <w:rPr>
          <w:rFonts w:ascii="Palatino Linotype" w:eastAsia="Palatino Linotype" w:hAnsi="Palatino Linotype" w:cs="Palatino Linotype"/>
          <w:sz w:val="22"/>
          <w:szCs w:val="22"/>
        </w:rPr>
        <w:t xml:space="preserve">la acumulación de los expedientes citados, a efecto de que la Comisionada </w:t>
      </w:r>
      <w:r w:rsidRPr="00F408B9">
        <w:rPr>
          <w:rFonts w:ascii="Palatino Linotype" w:eastAsia="Palatino Linotype" w:hAnsi="Palatino Linotype" w:cs="Palatino Linotype"/>
          <w:b/>
          <w:sz w:val="22"/>
          <w:szCs w:val="22"/>
        </w:rPr>
        <w:t xml:space="preserve">Guadalupe Ramírez Peña </w:t>
      </w:r>
      <w:r w:rsidRPr="00F408B9">
        <w:rPr>
          <w:rFonts w:ascii="Palatino Linotype" w:eastAsia="Palatino Linotype" w:hAnsi="Palatino Linotype" w:cs="Palatino Linotype"/>
          <w:sz w:val="22"/>
          <w:szCs w:val="22"/>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1F77ED9D" w14:textId="77777777" w:rsidR="00344ABC" w:rsidRPr="00F408B9" w:rsidRDefault="000D2644">
      <w:pPr>
        <w:pBdr>
          <w:top w:val="nil"/>
          <w:left w:val="nil"/>
          <w:bottom w:val="nil"/>
          <w:right w:val="nil"/>
          <w:between w:val="nil"/>
        </w:pBdr>
        <w:spacing w:before="120" w:after="120"/>
        <w:ind w:left="851" w:right="902"/>
        <w:jc w:val="both"/>
        <w:rPr>
          <w:rFonts w:ascii="Palatino Linotype" w:hAnsi="Palatino Linotype"/>
          <w:sz w:val="22"/>
          <w:szCs w:val="22"/>
        </w:rPr>
      </w:pPr>
      <w:r w:rsidRPr="00F408B9">
        <w:rPr>
          <w:rFonts w:ascii="Palatino Linotype" w:eastAsia="Palatino Linotype" w:hAnsi="Palatino Linotype" w:cs="Palatino Linotype"/>
          <w:b/>
          <w:i/>
          <w:sz w:val="22"/>
          <w:szCs w:val="22"/>
        </w:rPr>
        <w:t>Código de Procedimientos Administrativos del Estado de México</w:t>
      </w:r>
    </w:p>
    <w:p w14:paraId="56E360FF" w14:textId="77777777" w:rsidR="00344ABC" w:rsidRPr="00F408B9" w:rsidRDefault="000D2644">
      <w:pPr>
        <w:pBdr>
          <w:top w:val="nil"/>
          <w:left w:val="nil"/>
          <w:bottom w:val="nil"/>
          <w:right w:val="nil"/>
          <w:between w:val="nil"/>
        </w:pBdr>
        <w:spacing w:before="120" w:after="120"/>
        <w:ind w:left="851" w:right="902"/>
        <w:jc w:val="both"/>
        <w:rPr>
          <w:rFonts w:ascii="Palatino Linotype" w:hAnsi="Palatino Linotype"/>
          <w:sz w:val="22"/>
          <w:szCs w:val="22"/>
        </w:rPr>
      </w:pPr>
      <w:r w:rsidRPr="00F408B9">
        <w:rPr>
          <w:rFonts w:ascii="Palatino Linotype" w:eastAsia="Palatino Linotype" w:hAnsi="Palatino Linotype" w:cs="Palatino Linotype"/>
          <w:b/>
          <w:i/>
          <w:sz w:val="22"/>
          <w:szCs w:val="22"/>
        </w:rPr>
        <w:t>“Artículo 18.-</w:t>
      </w:r>
      <w:r w:rsidRPr="00F408B9">
        <w:rPr>
          <w:rFonts w:ascii="Palatino Linotype" w:eastAsia="Palatino Linotype" w:hAnsi="Palatino Linotype" w:cs="Palatino Linotype"/>
          <w:i/>
          <w:sz w:val="22"/>
          <w:szCs w:val="22"/>
        </w:rPr>
        <w:t xml:space="preserve"> </w:t>
      </w:r>
      <w:r w:rsidRPr="00F408B9">
        <w:rPr>
          <w:rFonts w:ascii="Palatino Linotype" w:eastAsia="Palatino Linotype" w:hAnsi="Palatino Linotype" w:cs="Palatino Linotype"/>
          <w:b/>
          <w:i/>
          <w:sz w:val="22"/>
          <w:szCs w:val="22"/>
        </w:rPr>
        <w:t>La autoridad administrativa o el Tribunal acordarán la acumulación de los expedientes del procedimiento y proceso administrativo que ante ellos se sigan, de oficio</w:t>
      </w:r>
      <w:r w:rsidRPr="00F408B9">
        <w:rPr>
          <w:rFonts w:ascii="Palatino Linotype" w:eastAsia="Palatino Linotype" w:hAnsi="Palatino Linotype" w:cs="Palatino Linotype"/>
          <w:i/>
          <w:sz w:val="22"/>
          <w:szCs w:val="22"/>
        </w:rPr>
        <w:t xml:space="preserve"> o a petición de parte, </w:t>
      </w:r>
      <w:r w:rsidRPr="00F408B9">
        <w:rPr>
          <w:rFonts w:ascii="Palatino Linotype" w:eastAsia="Palatino Linotype" w:hAnsi="Palatino Linotype" w:cs="Palatino Linotype"/>
          <w:b/>
          <w:i/>
          <w:sz w:val="22"/>
          <w:szCs w:val="22"/>
        </w:rPr>
        <w:t>cuando las partes</w:t>
      </w:r>
      <w:r w:rsidRPr="00F408B9">
        <w:rPr>
          <w:rFonts w:ascii="Palatino Linotype" w:eastAsia="Palatino Linotype" w:hAnsi="Palatino Linotype" w:cs="Palatino Linotype"/>
          <w:i/>
          <w:sz w:val="22"/>
          <w:szCs w:val="22"/>
        </w:rPr>
        <w:t xml:space="preserve"> o los actos administrativos sean iguales, se trate de actos conexos o </w:t>
      </w:r>
      <w:r w:rsidRPr="00F408B9">
        <w:rPr>
          <w:rFonts w:ascii="Palatino Linotype" w:eastAsia="Palatino Linotype" w:hAnsi="Palatino Linotype" w:cs="Palatino Linotype"/>
          <w:b/>
          <w:i/>
          <w:sz w:val="22"/>
          <w:szCs w:val="22"/>
        </w:rPr>
        <w:t>resulte conveniente el trámite unificado de los asuntos, para evitar la emisión de resoluciones contradictorias</w:t>
      </w:r>
      <w:r w:rsidRPr="00F408B9">
        <w:rPr>
          <w:rFonts w:ascii="Palatino Linotype" w:eastAsia="Palatino Linotype" w:hAnsi="Palatino Linotype" w:cs="Palatino Linotype"/>
          <w:i/>
          <w:sz w:val="22"/>
          <w:szCs w:val="22"/>
        </w:rPr>
        <w:t>. La misma regla se aplicará, en lo conducente, para la separación de los expedientes.”</w:t>
      </w:r>
    </w:p>
    <w:p w14:paraId="6C0D02FB" w14:textId="77777777" w:rsidR="00344ABC" w:rsidRPr="00F408B9" w:rsidRDefault="000D2644">
      <w:pPr>
        <w:pBdr>
          <w:top w:val="nil"/>
          <w:left w:val="nil"/>
          <w:bottom w:val="nil"/>
          <w:right w:val="nil"/>
          <w:between w:val="nil"/>
        </w:pBdr>
        <w:spacing w:before="120" w:after="120"/>
        <w:ind w:left="851" w:right="902"/>
        <w:jc w:val="both"/>
        <w:rPr>
          <w:rFonts w:ascii="Palatino Linotype" w:hAnsi="Palatino Linotype"/>
          <w:sz w:val="22"/>
          <w:szCs w:val="22"/>
        </w:rPr>
      </w:pPr>
      <w:r w:rsidRPr="00F408B9">
        <w:rPr>
          <w:rFonts w:ascii="Palatino Linotype" w:eastAsia="Palatino Linotype" w:hAnsi="Palatino Linotype" w:cs="Palatino Linotype"/>
          <w:b/>
          <w:i/>
          <w:sz w:val="22"/>
          <w:szCs w:val="22"/>
        </w:rPr>
        <w:t>Ley de Transparencia y Acceso a la Información Pública del Estado de México y Municipios</w:t>
      </w:r>
    </w:p>
    <w:p w14:paraId="4A384A0C" w14:textId="77777777" w:rsidR="00344ABC" w:rsidRPr="00F408B9" w:rsidRDefault="000D2644">
      <w:pPr>
        <w:pBdr>
          <w:top w:val="nil"/>
          <w:left w:val="nil"/>
          <w:bottom w:val="nil"/>
          <w:right w:val="nil"/>
          <w:between w:val="nil"/>
        </w:pBdr>
        <w:spacing w:before="120" w:after="120"/>
        <w:ind w:left="851" w:right="902"/>
        <w:jc w:val="both"/>
        <w:rPr>
          <w:rFonts w:ascii="Palatino Linotype" w:hAnsi="Palatino Linotype"/>
          <w:sz w:val="22"/>
          <w:szCs w:val="22"/>
        </w:rPr>
      </w:pPr>
      <w:r w:rsidRPr="00F408B9">
        <w:rPr>
          <w:rFonts w:ascii="Palatino Linotype" w:eastAsia="Palatino Linotype" w:hAnsi="Palatino Linotype" w:cs="Palatino Linotype"/>
          <w:b/>
          <w:i/>
          <w:sz w:val="22"/>
          <w:szCs w:val="22"/>
        </w:rPr>
        <w:t>“Artículo 195.-</w:t>
      </w:r>
      <w:r w:rsidRPr="00F408B9">
        <w:rPr>
          <w:rFonts w:ascii="Palatino Linotype" w:eastAsia="Palatino Linotype" w:hAnsi="Palatino Linotype" w:cs="Palatino Linotype"/>
          <w:i/>
          <w:sz w:val="22"/>
          <w:szCs w:val="22"/>
        </w:rPr>
        <w:t xml:space="preserve"> En la tramitación del recurso de revisión se aplicará supletoriamente las disposiciones contenidas en el Código de Procedimientos Administrativos del Estado de México.”</w:t>
      </w:r>
    </w:p>
    <w:p w14:paraId="6C7D99BB" w14:textId="77777777" w:rsidR="00344ABC" w:rsidRPr="00F408B9" w:rsidRDefault="000D2644">
      <w:pPr>
        <w:spacing w:before="240" w:after="240" w:line="360" w:lineRule="auto"/>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b/>
          <w:sz w:val="22"/>
          <w:szCs w:val="22"/>
        </w:rPr>
        <w:t xml:space="preserve">7. Manifestaciones. </w:t>
      </w:r>
      <w:r w:rsidRPr="00F408B9">
        <w:rPr>
          <w:rFonts w:ascii="Palatino Linotype" w:eastAsia="Palatino Linotype" w:hAnsi="Palatino Linotype" w:cs="Palatino Linotype"/>
          <w:sz w:val="22"/>
          <w:szCs w:val="22"/>
        </w:rPr>
        <w:t>De las constancias que obran en los expedientes electrónicos del SAIMEX se desprende que</w:t>
      </w:r>
      <w:r w:rsidRPr="00F408B9">
        <w:rPr>
          <w:rFonts w:ascii="Palatino Linotype" w:eastAsia="Palatino Linotype" w:hAnsi="Palatino Linotype" w:cs="Palatino Linotype"/>
          <w:b/>
          <w:sz w:val="22"/>
          <w:szCs w:val="22"/>
        </w:rPr>
        <w:t xml:space="preserve"> </w:t>
      </w:r>
      <w:r w:rsidRPr="00F408B9">
        <w:rPr>
          <w:rFonts w:ascii="Palatino Linotype" w:eastAsia="Palatino Linotype" w:hAnsi="Palatino Linotype" w:cs="Palatino Linotype"/>
          <w:sz w:val="22"/>
          <w:szCs w:val="22"/>
        </w:rPr>
        <w:t xml:space="preserve">el </w:t>
      </w:r>
      <w:r w:rsidRPr="00F408B9">
        <w:rPr>
          <w:rFonts w:ascii="Palatino Linotype" w:eastAsia="Palatino Linotype" w:hAnsi="Palatino Linotype" w:cs="Palatino Linotype"/>
          <w:b/>
          <w:sz w:val="22"/>
          <w:szCs w:val="22"/>
        </w:rPr>
        <w:t>Sujeto Obligado</w:t>
      </w:r>
      <w:r w:rsidRPr="00F408B9">
        <w:rPr>
          <w:rFonts w:ascii="Palatino Linotype" w:eastAsia="Palatino Linotype" w:hAnsi="Palatino Linotype" w:cs="Palatino Linotype"/>
          <w:sz w:val="22"/>
          <w:szCs w:val="22"/>
        </w:rPr>
        <w:t xml:space="preserve"> no rindió su informe justificado, del mismo modo la parte </w:t>
      </w:r>
      <w:r w:rsidRPr="00F408B9">
        <w:rPr>
          <w:rFonts w:ascii="Palatino Linotype" w:eastAsia="Palatino Linotype" w:hAnsi="Palatino Linotype" w:cs="Palatino Linotype"/>
          <w:b/>
          <w:sz w:val="22"/>
          <w:szCs w:val="22"/>
        </w:rPr>
        <w:t>Recurrente</w:t>
      </w:r>
      <w:r w:rsidRPr="00F408B9">
        <w:rPr>
          <w:rFonts w:ascii="Palatino Linotype" w:eastAsia="Palatino Linotype" w:hAnsi="Palatino Linotype" w:cs="Palatino Linotype"/>
          <w:sz w:val="22"/>
          <w:szCs w:val="22"/>
        </w:rPr>
        <w:t xml:space="preserve"> omitió realizar manifestaciones, como se observa a continuación:</w:t>
      </w:r>
    </w:p>
    <w:p w14:paraId="73A62481" w14:textId="3845D11D" w:rsidR="00AF2592" w:rsidRPr="00F408B9" w:rsidRDefault="00AF2592">
      <w:pPr>
        <w:spacing w:before="240" w:after="240" w:line="360" w:lineRule="auto"/>
        <w:jc w:val="both"/>
        <w:rPr>
          <w:rFonts w:ascii="Palatino Linotype" w:eastAsia="Palatino Linotype" w:hAnsi="Palatino Linotype" w:cs="Palatino Linotype"/>
          <w:sz w:val="22"/>
          <w:szCs w:val="22"/>
        </w:rPr>
      </w:pPr>
    </w:p>
    <w:p w14:paraId="69917537" w14:textId="69741FF9" w:rsidR="00AF2592" w:rsidRPr="00F408B9" w:rsidRDefault="00AF2592">
      <w:pPr>
        <w:spacing w:before="240" w:after="240" w:line="360" w:lineRule="auto"/>
        <w:jc w:val="both"/>
        <w:rPr>
          <w:rFonts w:ascii="Palatino Linotype" w:eastAsia="Palatino Linotype" w:hAnsi="Palatino Linotype" w:cs="Palatino Linotype"/>
          <w:sz w:val="22"/>
          <w:szCs w:val="22"/>
        </w:rPr>
      </w:pPr>
    </w:p>
    <w:p w14:paraId="7F828EAE" w14:textId="7364489F" w:rsidR="00D14F8D" w:rsidRPr="00F408B9" w:rsidRDefault="00D14F8D">
      <w:pPr>
        <w:spacing w:before="240" w:after="240" w:line="360" w:lineRule="auto"/>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noProof/>
          <w:sz w:val="22"/>
          <w:szCs w:val="22"/>
          <w:lang w:eastAsia="es-MX"/>
        </w:rPr>
        <w:drawing>
          <wp:inline distT="0" distB="0" distL="0" distR="0" wp14:anchorId="24089E34" wp14:editId="5FF2C529">
            <wp:extent cx="5612130" cy="1579245"/>
            <wp:effectExtent l="0" t="0" r="762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579245"/>
                    </a:xfrm>
                    <a:prstGeom prst="rect">
                      <a:avLst/>
                    </a:prstGeom>
                  </pic:spPr>
                </pic:pic>
              </a:graphicData>
            </a:graphic>
          </wp:inline>
        </w:drawing>
      </w:r>
      <w:r w:rsidRPr="00F408B9">
        <w:rPr>
          <w:rFonts w:ascii="Palatino Linotype" w:eastAsia="Palatino Linotype" w:hAnsi="Palatino Linotype" w:cs="Palatino Linotype"/>
          <w:noProof/>
          <w:sz w:val="22"/>
          <w:szCs w:val="22"/>
          <w:lang w:eastAsia="es-MX"/>
        </w:rPr>
        <w:drawing>
          <wp:inline distT="0" distB="0" distL="0" distR="0" wp14:anchorId="096C06A0" wp14:editId="25381402">
            <wp:extent cx="5612130" cy="1603375"/>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03375"/>
                    </a:xfrm>
                    <a:prstGeom prst="rect">
                      <a:avLst/>
                    </a:prstGeom>
                  </pic:spPr>
                </pic:pic>
              </a:graphicData>
            </a:graphic>
          </wp:inline>
        </w:drawing>
      </w:r>
    </w:p>
    <w:p w14:paraId="2A35695F" w14:textId="3C57A722" w:rsidR="00344ABC" w:rsidRPr="00F408B9" w:rsidRDefault="000D2644">
      <w:pPr>
        <w:spacing w:before="240" w:after="240" w:line="360" w:lineRule="auto"/>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b/>
          <w:sz w:val="22"/>
          <w:szCs w:val="22"/>
        </w:rPr>
        <w:t xml:space="preserve">8. Cierre de Instrucción. </w:t>
      </w:r>
      <w:r w:rsidRPr="00F408B9">
        <w:rPr>
          <w:rFonts w:ascii="Palatino Linotype" w:eastAsia="Palatino Linotype" w:hAnsi="Palatino Linotype" w:cs="Palatino Linotype"/>
          <w:sz w:val="22"/>
          <w:szCs w:val="22"/>
        </w:rPr>
        <w:t>E</w:t>
      </w:r>
      <w:r w:rsidR="008E304D" w:rsidRPr="00F408B9">
        <w:rPr>
          <w:rFonts w:ascii="Palatino Linotype" w:eastAsia="Palatino Linotype" w:hAnsi="Palatino Linotype" w:cs="Palatino Linotype"/>
          <w:sz w:val="22"/>
          <w:szCs w:val="22"/>
        </w:rPr>
        <w:t xml:space="preserve">l </w:t>
      </w:r>
      <w:r w:rsidR="00D14F8D" w:rsidRPr="00F408B9">
        <w:rPr>
          <w:rFonts w:ascii="Palatino Linotype" w:eastAsia="Palatino Linotype" w:hAnsi="Palatino Linotype" w:cs="Palatino Linotype"/>
          <w:b/>
          <w:sz w:val="22"/>
          <w:szCs w:val="22"/>
        </w:rPr>
        <w:t>veinte</w:t>
      </w:r>
      <w:r w:rsidR="008E304D" w:rsidRPr="00F408B9">
        <w:rPr>
          <w:rFonts w:ascii="Palatino Linotype" w:eastAsia="Palatino Linotype" w:hAnsi="Palatino Linotype" w:cs="Palatino Linotype"/>
          <w:b/>
          <w:sz w:val="22"/>
          <w:szCs w:val="22"/>
        </w:rPr>
        <w:t xml:space="preserve"> </w:t>
      </w:r>
      <w:r w:rsidR="008E304D" w:rsidRPr="00F408B9">
        <w:rPr>
          <w:rFonts w:ascii="Palatino Linotype" w:eastAsia="Palatino Linotype" w:hAnsi="Palatino Linotype" w:cs="Palatino Linotype"/>
          <w:sz w:val="22"/>
          <w:szCs w:val="22"/>
        </w:rPr>
        <w:t xml:space="preserve">y </w:t>
      </w:r>
      <w:r w:rsidR="00D14F8D" w:rsidRPr="00F408B9">
        <w:rPr>
          <w:rFonts w:ascii="Palatino Linotype" w:eastAsia="Palatino Linotype" w:hAnsi="Palatino Linotype" w:cs="Palatino Linotype"/>
          <w:b/>
          <w:sz w:val="22"/>
          <w:szCs w:val="22"/>
        </w:rPr>
        <w:t xml:space="preserve">veintiuno </w:t>
      </w:r>
      <w:r w:rsidR="008B2686" w:rsidRPr="00F408B9">
        <w:rPr>
          <w:rFonts w:ascii="Palatino Linotype" w:eastAsia="Palatino Linotype" w:hAnsi="Palatino Linotype" w:cs="Palatino Linotype"/>
          <w:b/>
          <w:sz w:val="22"/>
          <w:szCs w:val="22"/>
        </w:rPr>
        <w:t>de noviembre de dos mil veinticinco</w:t>
      </w:r>
      <w:r w:rsidRPr="00F408B9">
        <w:rPr>
          <w:rFonts w:ascii="Palatino Linotype" w:eastAsia="Palatino Linotype" w:hAnsi="Palatino Linotype" w:cs="Palatino Linotype"/>
          <w:sz w:val="22"/>
          <w:szCs w:val="22"/>
        </w:rPr>
        <w:t>, con fundamento en lo establecido en el artículo 185, fracción VI de la Ley de Transparencia y Acceso a la Información Pública del Estado de México y Municipios, al no existir trámite pendiente por realizar y haber sido sustanciado el medio de impugnación, se acordó el cierre de instrucción y se procedió a formular la resolución que en derecho corresponda.</w:t>
      </w:r>
    </w:p>
    <w:p w14:paraId="5E182698" w14:textId="77777777" w:rsidR="00344ABC" w:rsidRPr="00F408B9" w:rsidRDefault="000D2644">
      <w:pPr>
        <w:spacing w:before="240" w:after="240" w:line="360" w:lineRule="auto"/>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sz w:val="22"/>
          <w:szCs w:val="22"/>
        </w:rPr>
        <w:t xml:space="preserve">En razón de que fueron debidamente sustanciados los expedientes electrónicos y no existe diligencia pendiente de desahogo, se emite la Resolución que conforme a Derecho proceda, de acuerdo con los siguientes: </w:t>
      </w:r>
    </w:p>
    <w:p w14:paraId="09B3AA62" w14:textId="77777777" w:rsidR="00D14F8D" w:rsidRPr="00F408B9" w:rsidRDefault="00D14F8D">
      <w:pPr>
        <w:spacing w:before="240" w:after="240" w:line="360" w:lineRule="auto"/>
        <w:jc w:val="both"/>
        <w:rPr>
          <w:rFonts w:ascii="Palatino Linotype" w:eastAsia="Palatino Linotype" w:hAnsi="Palatino Linotype" w:cs="Palatino Linotype"/>
          <w:sz w:val="22"/>
          <w:szCs w:val="22"/>
        </w:rPr>
      </w:pPr>
    </w:p>
    <w:p w14:paraId="4C9C1BB6" w14:textId="77777777" w:rsidR="00D14F8D" w:rsidRPr="00F408B9" w:rsidRDefault="00D14F8D">
      <w:pPr>
        <w:spacing w:before="240" w:after="240" w:line="360" w:lineRule="auto"/>
        <w:jc w:val="both"/>
        <w:rPr>
          <w:rFonts w:ascii="Palatino Linotype" w:eastAsia="Palatino Linotype" w:hAnsi="Palatino Linotype" w:cs="Palatino Linotype"/>
          <w:sz w:val="22"/>
          <w:szCs w:val="22"/>
        </w:rPr>
      </w:pPr>
    </w:p>
    <w:p w14:paraId="5F8D8130" w14:textId="77777777" w:rsidR="00344ABC" w:rsidRPr="00F408B9" w:rsidRDefault="000D2644">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F408B9">
        <w:rPr>
          <w:rFonts w:ascii="Palatino Linotype" w:eastAsia="Palatino Linotype" w:hAnsi="Palatino Linotype" w:cs="Palatino Linotype"/>
          <w:b/>
          <w:sz w:val="22"/>
          <w:szCs w:val="22"/>
        </w:rPr>
        <w:t>II. C O N S I D E R A N D O S:</w:t>
      </w:r>
    </w:p>
    <w:p w14:paraId="52A204D3" w14:textId="58AD0537" w:rsidR="00344ABC" w:rsidRPr="00F408B9" w:rsidRDefault="000D2644">
      <w:pPr>
        <w:spacing w:before="240" w:after="240" w:line="360" w:lineRule="auto"/>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b/>
          <w:sz w:val="22"/>
          <w:szCs w:val="22"/>
        </w:rPr>
        <w:t>Primero. Competencia.</w:t>
      </w:r>
      <w:r w:rsidRPr="00F408B9">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los presentes recursos de revisión interpuestos por la parte </w:t>
      </w:r>
      <w:r w:rsidRPr="00F408B9">
        <w:rPr>
          <w:rFonts w:ascii="Palatino Linotype" w:eastAsia="Palatino Linotype" w:hAnsi="Palatino Linotype" w:cs="Palatino Linotype"/>
          <w:b/>
          <w:sz w:val="22"/>
          <w:szCs w:val="22"/>
        </w:rPr>
        <w:t>Recurrente</w:t>
      </w:r>
      <w:r w:rsidRPr="00F408B9">
        <w:rPr>
          <w:rFonts w:ascii="Palatino Linotype" w:eastAsia="Palatino Linotype" w:hAnsi="Palatino Linotype" w:cs="Palatino Linotype"/>
          <w:sz w:val="22"/>
          <w:szCs w:val="22"/>
        </w:rPr>
        <w:t xml:space="preserve">, conforme a lo dispuesto en los artículos 6, apartado A de la Constitución Política de los Estados Unidos Mexicanos; 5 párrafos </w:t>
      </w:r>
      <w:r w:rsidR="000033EE" w:rsidRPr="00F408B9">
        <w:rPr>
          <w:rFonts w:ascii="Palatino Linotype" w:eastAsia="Palatino Linotype" w:hAnsi="Palatino Linotype" w:cs="Palatino Linotype"/>
          <w:sz w:val="22"/>
          <w:szCs w:val="22"/>
        </w:rPr>
        <w:t>cuadragésimo cuarto, cuadragésimo quinto y cuadragésimo sexto, fracciones IV y V de la Constitución Política del Estado Libre y Soberano de México; transitorio Cuarto del Decreto número 198 de la “LXII” Legislatura del Estado de México</w:t>
      </w:r>
      <w:r w:rsidRPr="00F408B9">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C9FEC31" w14:textId="5095057E" w:rsidR="00344ABC" w:rsidRPr="00F408B9" w:rsidRDefault="000D2644">
      <w:pPr>
        <w:spacing w:before="240" w:after="240" w:line="360" w:lineRule="auto"/>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b/>
          <w:sz w:val="22"/>
          <w:szCs w:val="22"/>
        </w:rPr>
        <w:t xml:space="preserve">Segundo. Oportunidad y Procedibilidad. </w:t>
      </w:r>
      <w:r w:rsidRPr="00F408B9">
        <w:rPr>
          <w:rFonts w:ascii="Palatino Linotype" w:eastAsia="Palatino Linotype" w:hAnsi="Palatino Linotype" w:cs="Palatino Linotype"/>
          <w:sz w:val="22"/>
          <w:szCs w:val="22"/>
        </w:rPr>
        <w:t>Es de precisar que la</w:t>
      </w:r>
      <w:r w:rsidRPr="00F408B9">
        <w:rPr>
          <w:rFonts w:ascii="Palatino Linotype" w:eastAsia="Palatino Linotype" w:hAnsi="Palatino Linotype" w:cs="Palatino Linotype"/>
          <w:b/>
          <w:sz w:val="22"/>
          <w:szCs w:val="22"/>
        </w:rPr>
        <w:t xml:space="preserve"> </w:t>
      </w:r>
      <w:r w:rsidRPr="00F408B9">
        <w:rPr>
          <w:rFonts w:ascii="Palatino Linotype" w:eastAsia="Palatino Linotype" w:hAnsi="Palatino Linotype" w:cs="Palatino Linotype"/>
          <w:sz w:val="22"/>
          <w:szCs w:val="22"/>
        </w:rPr>
        <w:t xml:space="preserve">Ley de Transparencia y Acceso a la Información Pública del Estado de México y Municipios, describe el mecanismo de procedencia de los recursos de revisión, como se dispone en los artículos 163 y 166, del tenor literal siguiente: </w:t>
      </w:r>
    </w:p>
    <w:p w14:paraId="0E34EFF7" w14:textId="5357240E" w:rsidR="00344ABC" w:rsidRPr="00F408B9" w:rsidRDefault="000D2644">
      <w:pPr>
        <w:ind w:left="851" w:right="851"/>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i/>
          <w:sz w:val="22"/>
          <w:szCs w:val="22"/>
        </w:rPr>
        <w:t>“</w:t>
      </w:r>
      <w:r w:rsidRPr="00F408B9">
        <w:rPr>
          <w:rFonts w:ascii="Palatino Linotype" w:eastAsia="Palatino Linotype" w:hAnsi="Palatino Linotype" w:cs="Palatino Linotype"/>
          <w:b/>
          <w:i/>
          <w:sz w:val="22"/>
          <w:szCs w:val="22"/>
        </w:rPr>
        <w:t xml:space="preserve">Artículo 163. </w:t>
      </w:r>
      <w:r w:rsidRPr="00F408B9">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1FE69A3E" w14:textId="77777777" w:rsidR="00344ABC" w:rsidRPr="00F408B9" w:rsidRDefault="000D2644">
      <w:pPr>
        <w:ind w:left="851" w:right="851"/>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i/>
          <w:sz w:val="22"/>
          <w:szCs w:val="22"/>
        </w:rPr>
        <w:t>…</w:t>
      </w:r>
    </w:p>
    <w:p w14:paraId="6CB8093F" w14:textId="77777777" w:rsidR="00344ABC" w:rsidRPr="00F408B9" w:rsidRDefault="000D2644">
      <w:pPr>
        <w:ind w:left="851" w:right="851"/>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b/>
          <w:i/>
          <w:sz w:val="22"/>
          <w:szCs w:val="22"/>
        </w:rPr>
        <w:t>Artículo 166.</w:t>
      </w:r>
      <w:r w:rsidRPr="00F408B9">
        <w:rPr>
          <w:rFonts w:ascii="Palatino Linotype" w:eastAsia="Palatino Linotype" w:hAnsi="Palatino Linotype" w:cs="Palatino Linotype"/>
          <w:i/>
          <w:sz w:val="22"/>
          <w:szCs w:val="22"/>
        </w:rPr>
        <w:t xml:space="preserve"> …</w:t>
      </w:r>
    </w:p>
    <w:p w14:paraId="6B47B616" w14:textId="77777777" w:rsidR="00344ABC" w:rsidRPr="00F408B9" w:rsidRDefault="000D2644">
      <w:pPr>
        <w:ind w:left="851" w:right="851"/>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w:t>
      </w:r>
    </w:p>
    <w:p w14:paraId="3921621A" w14:textId="77777777" w:rsidR="00344ABC" w:rsidRPr="00F408B9" w:rsidRDefault="000D2644">
      <w:pPr>
        <w:ind w:left="851" w:right="851"/>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i/>
          <w:sz w:val="22"/>
          <w:szCs w:val="22"/>
        </w:rPr>
        <w:t xml:space="preserve">…” </w:t>
      </w:r>
    </w:p>
    <w:p w14:paraId="50BD5FE1" w14:textId="77777777" w:rsidR="00344ABC" w:rsidRPr="00F408B9" w:rsidRDefault="000D2644">
      <w:pPr>
        <w:spacing w:before="240" w:after="240" w:line="360" w:lineRule="auto"/>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sz w:val="22"/>
          <w:szCs w:val="22"/>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w:t>
      </w:r>
    </w:p>
    <w:p w14:paraId="0C140BD0" w14:textId="0700C73D" w:rsidR="00344ABC" w:rsidRPr="00F408B9" w:rsidRDefault="000D2644">
      <w:pPr>
        <w:spacing w:before="240" w:after="240" w:line="360" w:lineRule="auto"/>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sz w:val="22"/>
          <w:szCs w:val="22"/>
        </w:rPr>
        <w:t xml:space="preserve">Derivado de lo anterior, se constituye lo que en la doctrina se conoce como </w:t>
      </w:r>
      <w:r w:rsidR="00FA4BD1" w:rsidRPr="00F408B9">
        <w:rPr>
          <w:rFonts w:ascii="Palatino Linotype" w:eastAsia="Palatino Linotype" w:hAnsi="Palatino Linotype" w:cs="Palatino Linotype"/>
          <w:b/>
          <w:bCs/>
          <w:sz w:val="22"/>
          <w:szCs w:val="22"/>
        </w:rPr>
        <w:t>NEGATIVA FICTA</w:t>
      </w:r>
      <w:r w:rsidRPr="00F408B9">
        <w:rPr>
          <w:rFonts w:ascii="Palatino Linotype" w:eastAsia="Palatino Linotype" w:hAnsi="Palatino Linotype" w:cs="Palatino Linotype"/>
          <w:sz w:val="22"/>
          <w:szCs w:val="22"/>
        </w:rPr>
        <w:t>, figura jurídica cuya esencia consiste en atribuir un efecto negativo al silencio de la autoridad administrativa frente a las instancias y solicitudes que hagan los particulares.</w:t>
      </w:r>
    </w:p>
    <w:p w14:paraId="7815F291" w14:textId="77777777" w:rsidR="00344ABC" w:rsidRPr="00F408B9" w:rsidRDefault="000D2644">
      <w:pPr>
        <w:spacing w:before="240" w:after="240" w:line="360" w:lineRule="auto"/>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sz w:val="22"/>
          <w:szCs w:val="22"/>
        </w:rPr>
        <w:t>Por su parte, el artículo 178 del citado ordenamiento, establece:</w:t>
      </w:r>
    </w:p>
    <w:p w14:paraId="7D0793DE" w14:textId="77777777" w:rsidR="00344ABC" w:rsidRPr="00F408B9" w:rsidRDefault="000D2644">
      <w:pPr>
        <w:spacing w:before="120" w:after="120"/>
        <w:ind w:left="851" w:right="851"/>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i/>
          <w:sz w:val="22"/>
          <w:szCs w:val="22"/>
        </w:rPr>
        <w:t>“</w:t>
      </w:r>
      <w:r w:rsidRPr="00F408B9">
        <w:rPr>
          <w:rFonts w:ascii="Palatino Linotype" w:eastAsia="Palatino Linotype" w:hAnsi="Palatino Linotype" w:cs="Palatino Linotype"/>
          <w:b/>
          <w:i/>
          <w:sz w:val="22"/>
          <w:szCs w:val="22"/>
        </w:rPr>
        <w:t xml:space="preserve">Artículo 178. </w:t>
      </w:r>
      <w:r w:rsidRPr="00F408B9">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C09AC5" w14:textId="77777777" w:rsidR="00344ABC" w:rsidRPr="00F408B9" w:rsidRDefault="000D2644">
      <w:pPr>
        <w:spacing w:before="120" w:after="120"/>
        <w:ind w:left="851" w:right="851"/>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5FE396E" w14:textId="77777777" w:rsidR="00344ABC" w:rsidRPr="00F408B9" w:rsidRDefault="000D2644">
      <w:pPr>
        <w:spacing w:before="240" w:after="240" w:line="360" w:lineRule="auto"/>
        <w:jc w:val="both"/>
        <w:rPr>
          <w:rFonts w:ascii="Palatino Linotype" w:eastAsia="Palatino Linotype" w:hAnsi="Palatino Linotype" w:cs="Palatino Linotype"/>
          <w:b/>
          <w:sz w:val="22"/>
          <w:szCs w:val="22"/>
          <w:u w:val="single"/>
        </w:rPr>
      </w:pPr>
      <w:r w:rsidRPr="00F408B9">
        <w:rPr>
          <w:rFonts w:ascii="Palatino Linotype" w:eastAsia="Palatino Linotype" w:hAnsi="Palatino Linotype" w:cs="Palatino Linotype"/>
          <w:sz w:val="22"/>
          <w:szCs w:val="22"/>
        </w:rPr>
        <w:t xml:space="preserve">De lo anterior, se advierte que el recurso de revisión se ha de interponer dentro del plazo de quince días hábiles, a partir de la fecha en que el </w:t>
      </w:r>
      <w:r w:rsidRPr="00F408B9">
        <w:rPr>
          <w:rFonts w:ascii="Palatino Linotype" w:eastAsia="Palatino Linotype" w:hAnsi="Palatino Linotype" w:cs="Palatino Linotype"/>
          <w:b/>
          <w:sz w:val="22"/>
          <w:szCs w:val="22"/>
        </w:rPr>
        <w:t xml:space="preserve">Sujeto Obligado </w:t>
      </w:r>
      <w:r w:rsidRPr="00F408B9">
        <w:rPr>
          <w:rFonts w:ascii="Palatino Linotype" w:eastAsia="Palatino Linotype" w:hAnsi="Palatino Linotype" w:cs="Palatino Linotype"/>
          <w:sz w:val="22"/>
          <w:szCs w:val="22"/>
        </w:rPr>
        <w:t xml:space="preserve">da respuesta a la solicitud de información; sin embargo, tratándose de negativa ficta no existe resolución que se haga del conocimiento del particular a partir de la cual pueda computarse dicho plazo, por lo que se concluye que </w:t>
      </w:r>
      <w:r w:rsidRPr="00F408B9">
        <w:rPr>
          <w:rFonts w:ascii="Palatino Linotype" w:eastAsia="Palatino Linotype" w:hAnsi="Palatino Linotype" w:cs="Palatino Linotype"/>
          <w:b/>
          <w:sz w:val="22"/>
          <w:szCs w:val="22"/>
          <w:u w:val="single"/>
        </w:rPr>
        <w:t>la interposición del recurso de revisión puede ser en cualquier momento.</w:t>
      </w:r>
    </w:p>
    <w:p w14:paraId="44EDFDD6" w14:textId="77777777" w:rsidR="00344ABC" w:rsidRPr="00F408B9" w:rsidRDefault="000D2644">
      <w:pPr>
        <w:spacing w:before="240" w:after="240" w:line="360" w:lineRule="auto"/>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sz w:val="22"/>
          <w:szCs w:val="22"/>
        </w:rPr>
        <w:t xml:space="preserve">La negativa ficta constituye una presunción legal, en el entendido de que donde no hubo respuesta por parte del </w:t>
      </w:r>
      <w:r w:rsidRPr="00F408B9">
        <w:rPr>
          <w:rFonts w:ascii="Palatino Linotype" w:eastAsia="Palatino Linotype" w:hAnsi="Palatino Linotype" w:cs="Palatino Linotype"/>
          <w:b/>
          <w:sz w:val="22"/>
          <w:szCs w:val="22"/>
        </w:rPr>
        <w:t xml:space="preserve">Sujeto Obligado </w:t>
      </w:r>
      <w:r w:rsidRPr="00F408B9">
        <w:rPr>
          <w:rFonts w:ascii="Palatino Linotype" w:eastAsia="Palatino Linotype" w:hAnsi="Palatino Linotype" w:cs="Palatino Linotype"/>
          <w:sz w:val="22"/>
          <w:szCs w:val="22"/>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792FE284" w14:textId="77777777" w:rsidR="00344ABC" w:rsidRPr="00F408B9" w:rsidRDefault="000D2644">
      <w:pPr>
        <w:spacing w:before="240" w:after="240" w:line="360" w:lineRule="auto"/>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sz w:val="22"/>
          <w:szCs w:val="22"/>
        </w:rPr>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14:paraId="3D11D1BF" w14:textId="77777777" w:rsidR="00344ABC" w:rsidRPr="00F408B9" w:rsidRDefault="000D2644">
      <w:pPr>
        <w:spacing w:before="240" w:after="240" w:line="360" w:lineRule="auto"/>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sz w:val="22"/>
          <w:szCs w:val="22"/>
        </w:rPr>
        <w:t xml:space="preserve">Por lo tanto, con la finalidad de no reducir ni limitar el derecho de acceso a la información y concederle una protección más eficaz al solicitante para impugnar el silencio del </w:t>
      </w:r>
      <w:r w:rsidRPr="00F408B9">
        <w:rPr>
          <w:rFonts w:ascii="Palatino Linotype" w:eastAsia="Palatino Linotype" w:hAnsi="Palatino Linotype" w:cs="Palatino Linotype"/>
          <w:b/>
          <w:sz w:val="22"/>
          <w:szCs w:val="22"/>
        </w:rPr>
        <w:t>Sujeto Obligado</w:t>
      </w:r>
      <w:r w:rsidRPr="00F408B9">
        <w:rPr>
          <w:rFonts w:ascii="Palatino Linotype" w:eastAsia="Palatino Linotype" w:hAnsi="Palatino Linotype" w:cs="Palatino Linotype"/>
          <w:sz w:val="22"/>
          <w:szCs w:val="22"/>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6FA86686" w14:textId="77777777" w:rsidR="00344ABC" w:rsidRPr="00F408B9" w:rsidRDefault="000D2644">
      <w:pPr>
        <w:ind w:left="851" w:right="851"/>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b/>
          <w:i/>
          <w:sz w:val="22"/>
          <w:szCs w:val="22"/>
        </w:rPr>
        <w:t>“CRITERIO 0001-15. NEGATIVA FICTA. PLAZO PARA INTERPONER EL RECURSO DE REVISIÓN TRATÁNDOSE DE</w:t>
      </w:r>
      <w:r w:rsidRPr="00F408B9">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 </w:t>
      </w:r>
    </w:p>
    <w:p w14:paraId="44D12F81" w14:textId="77777777" w:rsidR="00FA4BD1" w:rsidRPr="00F408B9" w:rsidRDefault="000D2644">
      <w:pPr>
        <w:spacing w:before="240" w:after="240" w:line="360" w:lineRule="auto"/>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sz w:val="22"/>
          <w:szCs w:val="22"/>
        </w:rPr>
        <w:t>Al mismo tiempo, por cuanto hace a la procedibilidad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fueron presentados mediante el formato visible en el SAIMEX.</w:t>
      </w:r>
    </w:p>
    <w:p w14:paraId="44F89C79" w14:textId="394C727E" w:rsidR="00344ABC" w:rsidRPr="00F408B9" w:rsidRDefault="000D2644">
      <w:pPr>
        <w:spacing w:before="240" w:after="240" w:line="360" w:lineRule="auto"/>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sz w:val="22"/>
          <w:szCs w:val="22"/>
        </w:rPr>
        <w:t>Finalmente, antes de entrar al estudio de la presente resolución es preciso determinar si resulta procedente la interposición de los recursos de revisión, toda vez que se actualiza la hipótesis prevista en el artículo 179, fracción VII de la ley de la materia, que a la letra dice:</w:t>
      </w:r>
    </w:p>
    <w:p w14:paraId="1097A70D" w14:textId="77777777" w:rsidR="00344ABC" w:rsidRPr="00F408B9" w:rsidRDefault="000D2644">
      <w:pPr>
        <w:ind w:left="851" w:right="851"/>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i/>
          <w:sz w:val="22"/>
          <w:szCs w:val="22"/>
        </w:rPr>
        <w:t>“</w:t>
      </w:r>
      <w:r w:rsidRPr="00F408B9">
        <w:rPr>
          <w:rFonts w:ascii="Palatino Linotype" w:eastAsia="Palatino Linotype" w:hAnsi="Palatino Linotype" w:cs="Palatino Linotype"/>
          <w:b/>
          <w:i/>
          <w:sz w:val="22"/>
          <w:szCs w:val="22"/>
        </w:rPr>
        <w:t xml:space="preserve">Artículo 179. </w:t>
      </w:r>
      <w:r w:rsidRPr="00F408B9">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24F05014" w14:textId="77777777" w:rsidR="00344ABC" w:rsidRPr="00F408B9" w:rsidRDefault="000D2644">
      <w:pPr>
        <w:ind w:left="1134" w:right="851"/>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i/>
          <w:sz w:val="22"/>
          <w:szCs w:val="22"/>
        </w:rPr>
        <w:t>…</w:t>
      </w:r>
    </w:p>
    <w:p w14:paraId="323CC524" w14:textId="77777777" w:rsidR="00344ABC" w:rsidRPr="00F408B9" w:rsidRDefault="000D2644">
      <w:pPr>
        <w:ind w:left="1134" w:right="851"/>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b/>
          <w:i/>
          <w:sz w:val="22"/>
          <w:szCs w:val="22"/>
        </w:rPr>
        <w:t xml:space="preserve">VII. </w:t>
      </w:r>
      <w:r w:rsidRPr="00F408B9">
        <w:rPr>
          <w:rFonts w:ascii="Palatino Linotype" w:eastAsia="Palatino Linotype" w:hAnsi="Palatino Linotype" w:cs="Palatino Linotype"/>
          <w:i/>
          <w:sz w:val="22"/>
          <w:szCs w:val="22"/>
        </w:rPr>
        <w:t>La falta de respuesta a una solicitud de acceso a la información;”</w:t>
      </w:r>
    </w:p>
    <w:p w14:paraId="6063C08E" w14:textId="77777777" w:rsidR="00344ABC" w:rsidRPr="00F408B9" w:rsidRDefault="000D2644">
      <w:pPr>
        <w:spacing w:before="240" w:after="240" w:line="360" w:lineRule="auto"/>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sz w:val="22"/>
          <w:szCs w:val="22"/>
        </w:rPr>
        <w:t xml:space="preserve">El precepto legal citado, establece como supuesto de procedencia del recurso de revisión, en aquellos casos en que la parte </w:t>
      </w:r>
      <w:r w:rsidRPr="00F408B9">
        <w:rPr>
          <w:rFonts w:ascii="Palatino Linotype" w:eastAsia="Palatino Linotype" w:hAnsi="Palatino Linotype" w:cs="Palatino Linotype"/>
          <w:b/>
          <w:sz w:val="22"/>
          <w:szCs w:val="22"/>
        </w:rPr>
        <w:t xml:space="preserve">Recurrente </w:t>
      </w:r>
      <w:r w:rsidRPr="00F408B9">
        <w:rPr>
          <w:rFonts w:ascii="Palatino Linotype" w:eastAsia="Palatino Linotype" w:hAnsi="Palatino Linotype" w:cs="Palatino Linotype"/>
          <w:sz w:val="22"/>
          <w:szCs w:val="22"/>
        </w:rPr>
        <w:t xml:space="preserve">estime negado el acceso a la información por la falta de respuesta por el </w:t>
      </w:r>
      <w:r w:rsidRPr="00F408B9">
        <w:rPr>
          <w:rFonts w:ascii="Palatino Linotype" w:eastAsia="Palatino Linotype" w:hAnsi="Palatino Linotype" w:cs="Palatino Linotype"/>
          <w:b/>
          <w:sz w:val="22"/>
          <w:szCs w:val="22"/>
        </w:rPr>
        <w:t>Sujeto Obligado</w:t>
      </w:r>
      <w:r w:rsidRPr="00F408B9">
        <w:rPr>
          <w:rFonts w:ascii="Palatino Linotype" w:eastAsia="Palatino Linotype" w:hAnsi="Palatino Linotype" w:cs="Palatino Linotype"/>
          <w:sz w:val="22"/>
          <w:szCs w:val="22"/>
        </w:rPr>
        <w:t xml:space="preserve">, en este asunto se actualiza la hipótesis jurídica citada, en atención a que la parte </w:t>
      </w:r>
      <w:r w:rsidRPr="00F408B9">
        <w:rPr>
          <w:rFonts w:ascii="Palatino Linotype" w:eastAsia="Palatino Linotype" w:hAnsi="Palatino Linotype" w:cs="Palatino Linotype"/>
          <w:b/>
          <w:sz w:val="22"/>
          <w:szCs w:val="22"/>
        </w:rPr>
        <w:t>Recurrente</w:t>
      </w:r>
      <w:r w:rsidRPr="00F408B9">
        <w:rPr>
          <w:rFonts w:ascii="Palatino Linotype" w:eastAsia="Palatino Linotype" w:hAnsi="Palatino Linotype" w:cs="Palatino Linotype"/>
          <w:sz w:val="22"/>
          <w:szCs w:val="22"/>
        </w:rPr>
        <w:t xml:space="preserve"> combate falta de trámite por el </w:t>
      </w:r>
      <w:r w:rsidRPr="00F408B9">
        <w:rPr>
          <w:rFonts w:ascii="Palatino Linotype" w:eastAsia="Palatino Linotype" w:hAnsi="Palatino Linotype" w:cs="Palatino Linotype"/>
          <w:b/>
          <w:sz w:val="22"/>
          <w:szCs w:val="22"/>
        </w:rPr>
        <w:t>Sujeto Obligado</w:t>
      </w:r>
      <w:r w:rsidRPr="00F408B9">
        <w:rPr>
          <w:rFonts w:ascii="Palatino Linotype" w:eastAsia="Palatino Linotype" w:hAnsi="Palatino Linotype" w:cs="Palatino Linotype"/>
          <w:sz w:val="22"/>
          <w:szCs w:val="22"/>
        </w:rPr>
        <w:t xml:space="preserve"> y expresa motivos de inconformidad en contra de dicha circunstancia.</w:t>
      </w:r>
    </w:p>
    <w:p w14:paraId="6DDEF68D" w14:textId="77777777" w:rsidR="00344ABC" w:rsidRPr="00F408B9" w:rsidRDefault="000D2644">
      <w:pPr>
        <w:tabs>
          <w:tab w:val="left" w:pos="8647"/>
        </w:tabs>
        <w:spacing w:before="240" w:after="240" w:line="360" w:lineRule="auto"/>
        <w:jc w:val="both"/>
        <w:rPr>
          <w:rFonts w:ascii="Palatino Linotype" w:eastAsia="Palatino Linotype" w:hAnsi="Palatino Linotype" w:cs="Palatino Linotype"/>
          <w:b/>
          <w:sz w:val="22"/>
          <w:szCs w:val="22"/>
        </w:rPr>
      </w:pPr>
      <w:r w:rsidRPr="00F408B9">
        <w:rPr>
          <w:rFonts w:ascii="Palatino Linotype" w:eastAsia="Palatino Linotype" w:hAnsi="Palatino Linotype" w:cs="Palatino Linotype"/>
          <w:b/>
          <w:sz w:val="22"/>
          <w:szCs w:val="22"/>
        </w:rPr>
        <w:t xml:space="preserve">Tercero. Materia de la revisión. </w:t>
      </w:r>
      <w:r w:rsidRPr="00F408B9">
        <w:rPr>
          <w:rFonts w:ascii="Palatino Linotype" w:eastAsia="Palatino Linotype" w:hAnsi="Palatino Linotype" w:cs="Palatino Linotype"/>
          <w:sz w:val="22"/>
          <w:szCs w:val="22"/>
        </w:rPr>
        <w:t xml:space="preserve">Este Organismo Garante procede del análisis de los agravios hechos valer por la parte </w:t>
      </w:r>
      <w:r w:rsidRPr="00F408B9">
        <w:rPr>
          <w:rFonts w:ascii="Palatino Linotype" w:eastAsia="Palatino Linotype" w:hAnsi="Palatino Linotype" w:cs="Palatino Linotype"/>
          <w:b/>
          <w:sz w:val="22"/>
          <w:szCs w:val="22"/>
        </w:rPr>
        <w:t>Recurrente</w:t>
      </w:r>
      <w:r w:rsidRPr="00F408B9">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DA57FCD" w14:textId="444197B6" w:rsidR="00344ABC" w:rsidRPr="00F408B9" w:rsidRDefault="000D2644">
      <w:pPr>
        <w:spacing w:before="240" w:after="240" w:line="360" w:lineRule="auto"/>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b/>
          <w:sz w:val="22"/>
          <w:szCs w:val="22"/>
        </w:rPr>
        <w:t xml:space="preserve">Cuarto. Estudio de los Recursos de Revisión. </w:t>
      </w:r>
      <w:r w:rsidRPr="00F408B9">
        <w:rPr>
          <w:rFonts w:ascii="Palatino Linotype" w:eastAsia="Palatino Linotype" w:hAnsi="Palatino Linotype" w:cs="Palatino Linotype"/>
          <w:sz w:val="22"/>
          <w:szCs w:val="22"/>
        </w:rPr>
        <w:t xml:space="preserve">Una vez determinada la vía sobre la que versará el presente asunto, y previa revisión de los expedientes de los  recursos de revisión materia de la presente resolución, se advierte que el </w:t>
      </w:r>
      <w:r w:rsidRPr="00F408B9">
        <w:rPr>
          <w:rFonts w:ascii="Palatino Linotype" w:eastAsia="Palatino Linotype" w:hAnsi="Palatino Linotype" w:cs="Palatino Linotype"/>
          <w:b/>
          <w:sz w:val="22"/>
          <w:szCs w:val="22"/>
        </w:rPr>
        <w:t xml:space="preserve">Sujeto Obligado </w:t>
      </w:r>
      <w:r w:rsidRPr="00F408B9">
        <w:rPr>
          <w:rFonts w:ascii="Palatino Linotype" w:eastAsia="Palatino Linotype" w:hAnsi="Palatino Linotype" w:cs="Palatino Linotype"/>
          <w:sz w:val="22"/>
          <w:szCs w:val="22"/>
        </w:rPr>
        <w:t xml:space="preserve">no dio respuesta a las solicitudes de información planteadas por la parte </w:t>
      </w:r>
      <w:r w:rsidRPr="00F408B9">
        <w:rPr>
          <w:rFonts w:ascii="Palatino Linotype" w:eastAsia="Palatino Linotype" w:hAnsi="Palatino Linotype" w:cs="Palatino Linotype"/>
          <w:b/>
          <w:sz w:val="22"/>
          <w:szCs w:val="22"/>
        </w:rPr>
        <w:t>Recurrente</w:t>
      </w:r>
      <w:r w:rsidRPr="00F408B9">
        <w:rPr>
          <w:rFonts w:ascii="Palatino Linotype" w:eastAsia="Palatino Linotype" w:hAnsi="Palatino Linotype" w:cs="Palatino Linotype"/>
          <w:sz w:val="22"/>
          <w:szCs w:val="22"/>
        </w:rPr>
        <w:t xml:space="preserve">, lo que se traduce como la configuración de la </w:t>
      </w:r>
      <w:r w:rsidR="00FA4BD1" w:rsidRPr="00F408B9">
        <w:rPr>
          <w:rFonts w:ascii="Palatino Linotype" w:eastAsia="Palatino Linotype" w:hAnsi="Palatino Linotype" w:cs="Palatino Linotype"/>
          <w:b/>
          <w:sz w:val="22"/>
          <w:szCs w:val="22"/>
        </w:rPr>
        <w:t>negativa ficta</w:t>
      </w:r>
      <w:r w:rsidRPr="00F408B9">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F408B9">
        <w:rPr>
          <w:rFonts w:ascii="Palatino Linotype" w:eastAsia="Palatino Linotype" w:hAnsi="Palatino Linotype" w:cs="Palatino Linotype"/>
          <w:b/>
          <w:sz w:val="22"/>
          <w:szCs w:val="22"/>
        </w:rPr>
        <w:t>Sujeto Obligado</w:t>
      </w:r>
      <w:r w:rsidRPr="00F408B9">
        <w:rPr>
          <w:rFonts w:ascii="Palatino Linotype" w:eastAsia="Palatino Linotype" w:hAnsi="Palatino Linotype" w:cs="Palatino Linotype"/>
          <w:sz w:val="22"/>
          <w:szCs w:val="22"/>
        </w:rPr>
        <w:t xml:space="preserve"> no emitió respuesta a las solicitudes de información, dentro del plazo legal previsto para ello.</w:t>
      </w:r>
    </w:p>
    <w:p w14:paraId="51521B6A" w14:textId="77777777" w:rsidR="00C00FCB" w:rsidRPr="00F408B9" w:rsidRDefault="000D2644" w:rsidP="00C00FCB">
      <w:pPr>
        <w:spacing w:before="240" w:after="240" w:line="360" w:lineRule="auto"/>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las solicitudes formuladas por la parte </w:t>
      </w:r>
      <w:r w:rsidRPr="00F408B9">
        <w:rPr>
          <w:rFonts w:ascii="Palatino Linotype" w:eastAsia="Palatino Linotype" w:hAnsi="Palatino Linotype" w:cs="Palatino Linotype"/>
          <w:b/>
          <w:sz w:val="22"/>
          <w:szCs w:val="22"/>
        </w:rPr>
        <w:t>Recurrente</w:t>
      </w:r>
      <w:r w:rsidRPr="00F408B9">
        <w:rPr>
          <w:rFonts w:ascii="Palatino Linotype" w:eastAsia="Palatino Linotype" w:hAnsi="Palatino Linotype" w:cs="Palatino Linotype"/>
          <w:sz w:val="22"/>
          <w:szCs w:val="22"/>
        </w:rPr>
        <w:t>,</w:t>
      </w:r>
      <w:r w:rsidRPr="00F408B9">
        <w:rPr>
          <w:rFonts w:ascii="Palatino Linotype" w:eastAsia="Palatino Linotype" w:hAnsi="Palatino Linotype" w:cs="Palatino Linotype"/>
          <w:b/>
          <w:sz w:val="22"/>
          <w:szCs w:val="22"/>
        </w:rPr>
        <w:t xml:space="preserve"> </w:t>
      </w:r>
      <w:r w:rsidRPr="00F408B9">
        <w:rPr>
          <w:rFonts w:ascii="Palatino Linotype" w:eastAsia="Palatino Linotype" w:hAnsi="Palatino Linotype" w:cs="Palatino Linotype"/>
          <w:sz w:val="22"/>
          <w:szCs w:val="22"/>
        </w:rPr>
        <w:t xml:space="preserve">se advierte que requirió al </w:t>
      </w:r>
      <w:r w:rsidRPr="00F408B9">
        <w:rPr>
          <w:rFonts w:ascii="Palatino Linotype" w:eastAsia="Palatino Linotype" w:hAnsi="Palatino Linotype" w:cs="Palatino Linotype"/>
          <w:b/>
          <w:sz w:val="22"/>
          <w:szCs w:val="22"/>
        </w:rPr>
        <w:t>Sujeto Obligado</w:t>
      </w:r>
      <w:r w:rsidRPr="00F408B9">
        <w:rPr>
          <w:rFonts w:ascii="Palatino Linotype" w:eastAsia="Palatino Linotype" w:hAnsi="Palatino Linotype" w:cs="Palatino Linotype"/>
          <w:sz w:val="22"/>
          <w:szCs w:val="22"/>
        </w:rPr>
        <w:t xml:space="preserve"> le proporcionara, lo siguiente:</w:t>
      </w:r>
    </w:p>
    <w:p w14:paraId="3E72C8D3" w14:textId="77777777" w:rsidR="008E1494" w:rsidRPr="00F408B9" w:rsidRDefault="00D14F8D" w:rsidP="00723828">
      <w:pPr>
        <w:pStyle w:val="Prrafodelista"/>
        <w:numPr>
          <w:ilvl w:val="0"/>
          <w:numId w:val="7"/>
        </w:numPr>
        <w:spacing w:before="240" w:after="240" w:line="360" w:lineRule="auto"/>
        <w:jc w:val="both"/>
        <w:rPr>
          <w:rFonts w:ascii="Palatino Linotype" w:eastAsia="Palatino Linotype" w:hAnsi="Palatino Linotype" w:cs="Palatino Linotype"/>
        </w:rPr>
      </w:pPr>
      <w:r w:rsidRPr="00F408B9">
        <w:rPr>
          <w:rFonts w:ascii="Palatino Linotype" w:eastAsia="Palatino Linotype" w:hAnsi="Palatino Linotype" w:cs="Palatino Linotype"/>
        </w:rPr>
        <w:t xml:space="preserve">Relación de oficios recibidos y enviados por la unidad URIS, del </w:t>
      </w:r>
      <w:r w:rsidR="008E1494" w:rsidRPr="00F408B9">
        <w:rPr>
          <w:rFonts w:ascii="Palatino Linotype" w:eastAsia="Palatino Linotype" w:hAnsi="Palatino Linotype" w:cs="Palatino Linotype"/>
        </w:rPr>
        <w:t>uno de enero de dos mil veintidós al diez de octubre de dos mil veinticinco.</w:t>
      </w:r>
    </w:p>
    <w:p w14:paraId="0AE653B4" w14:textId="3148E036" w:rsidR="00344ABC" w:rsidRPr="00F408B9" w:rsidRDefault="000D2644">
      <w:pPr>
        <w:spacing w:before="240" w:after="240" w:line="360" w:lineRule="auto"/>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sz w:val="22"/>
          <w:szCs w:val="22"/>
        </w:rPr>
        <w:t>Precisado lo anterior, se procede al análisis de los presentes recursos, así como al contenido íntegro de las actuaciones que obran en los expedientes electrónicos,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125E2C7" w14:textId="0EF729E6" w:rsidR="00344ABC" w:rsidRPr="00F408B9" w:rsidRDefault="00FA4BD1">
      <w:pPr>
        <w:tabs>
          <w:tab w:val="left" w:pos="709"/>
        </w:tabs>
        <w:spacing w:line="360" w:lineRule="auto"/>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sz w:val="22"/>
          <w:szCs w:val="22"/>
        </w:rPr>
        <w:t>En primer lugar, e</w:t>
      </w:r>
      <w:r w:rsidR="000D2644" w:rsidRPr="00F408B9">
        <w:rPr>
          <w:rFonts w:ascii="Palatino Linotype" w:eastAsia="Palatino Linotype" w:hAnsi="Palatino Linotype" w:cs="Palatino Linotype"/>
          <w:sz w:val="22"/>
          <w:szCs w:val="22"/>
        </w:rPr>
        <w:t>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B563719" w14:textId="77777777" w:rsidR="00FA4BD1" w:rsidRPr="00F408B9" w:rsidRDefault="00FA4BD1" w:rsidP="00FA4BD1">
      <w:pPr>
        <w:tabs>
          <w:tab w:val="left" w:pos="709"/>
        </w:tabs>
        <w:spacing w:line="276" w:lineRule="auto"/>
        <w:ind w:left="851" w:right="851"/>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F408B9">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58CA12F" w14:textId="77777777" w:rsidR="00FA4BD1" w:rsidRPr="00F408B9" w:rsidRDefault="00FA4BD1" w:rsidP="00FA4BD1">
      <w:pPr>
        <w:tabs>
          <w:tab w:val="left" w:pos="709"/>
        </w:tabs>
        <w:spacing w:line="276" w:lineRule="auto"/>
        <w:ind w:left="851" w:right="851"/>
        <w:jc w:val="both"/>
        <w:rPr>
          <w:rFonts w:ascii="Palatino Linotype" w:eastAsia="Palatino Linotype" w:hAnsi="Palatino Linotype" w:cs="Palatino Linotype"/>
          <w:b/>
          <w:i/>
          <w:sz w:val="22"/>
          <w:szCs w:val="22"/>
        </w:rPr>
      </w:pPr>
      <w:r w:rsidRPr="00F408B9">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3F105F84" w14:textId="77777777" w:rsidR="00FA4BD1" w:rsidRPr="00F408B9" w:rsidRDefault="00FA4BD1" w:rsidP="00FA4BD1">
      <w:pPr>
        <w:tabs>
          <w:tab w:val="left" w:pos="709"/>
        </w:tabs>
        <w:spacing w:line="276" w:lineRule="auto"/>
        <w:ind w:left="851" w:right="851"/>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F408B9">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22D23D1" w14:textId="77777777" w:rsidR="00FA4BD1" w:rsidRPr="00F408B9" w:rsidRDefault="00FA4BD1" w:rsidP="00FA4BD1">
      <w:pPr>
        <w:tabs>
          <w:tab w:val="left" w:pos="709"/>
        </w:tabs>
        <w:spacing w:line="276" w:lineRule="auto"/>
        <w:ind w:left="851" w:right="851"/>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i/>
          <w:sz w:val="22"/>
          <w:szCs w:val="22"/>
        </w:rPr>
        <w:t>[…]</w:t>
      </w:r>
    </w:p>
    <w:p w14:paraId="48C3F319" w14:textId="77777777" w:rsidR="00FA4BD1" w:rsidRPr="00F408B9" w:rsidRDefault="00FA4BD1" w:rsidP="00FA4BD1">
      <w:pPr>
        <w:spacing w:line="276" w:lineRule="auto"/>
        <w:ind w:left="851" w:right="851"/>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b/>
          <w:i/>
          <w:sz w:val="22"/>
          <w:szCs w:val="22"/>
        </w:rPr>
        <w:t>“Artículo 6o.</w:t>
      </w:r>
    </w:p>
    <w:p w14:paraId="2051EEC2" w14:textId="77777777" w:rsidR="00FA4BD1" w:rsidRPr="00F408B9" w:rsidRDefault="00FA4BD1" w:rsidP="00FA4BD1">
      <w:pPr>
        <w:spacing w:line="276" w:lineRule="auto"/>
        <w:ind w:left="851" w:right="851"/>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i/>
          <w:sz w:val="22"/>
          <w:szCs w:val="22"/>
        </w:rPr>
        <w:t>[...]</w:t>
      </w:r>
    </w:p>
    <w:p w14:paraId="024158CE" w14:textId="77777777" w:rsidR="00FA4BD1" w:rsidRPr="00F408B9" w:rsidRDefault="00FA4BD1" w:rsidP="00FA4BD1">
      <w:pPr>
        <w:spacing w:line="276" w:lineRule="auto"/>
        <w:ind w:left="851" w:right="851"/>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b/>
          <w:i/>
          <w:sz w:val="22"/>
          <w:szCs w:val="22"/>
        </w:rPr>
        <w:t xml:space="preserve">A. Para el ejercicio del derecho de acceso a la información, la Federación y </w:t>
      </w:r>
      <w:r w:rsidRPr="00F408B9">
        <w:rPr>
          <w:rFonts w:ascii="Palatino Linotype" w:eastAsia="Palatino Linotype" w:hAnsi="Palatino Linotype" w:cs="Palatino Linotype"/>
          <w:b/>
          <w:i/>
          <w:sz w:val="22"/>
          <w:szCs w:val="22"/>
          <w:u w:val="single"/>
        </w:rPr>
        <w:t>las entidades federativas</w:t>
      </w:r>
      <w:r w:rsidRPr="00F408B9">
        <w:rPr>
          <w:rFonts w:ascii="Palatino Linotype" w:eastAsia="Palatino Linotype" w:hAnsi="Palatino Linotype" w:cs="Palatino Linotype"/>
          <w:b/>
          <w:i/>
          <w:sz w:val="22"/>
          <w:szCs w:val="22"/>
        </w:rPr>
        <w:t>,</w:t>
      </w:r>
      <w:r w:rsidRPr="00F408B9">
        <w:rPr>
          <w:rFonts w:ascii="Palatino Linotype" w:eastAsia="Palatino Linotype" w:hAnsi="Palatino Linotype" w:cs="Palatino Linotype"/>
          <w:i/>
          <w:sz w:val="22"/>
          <w:szCs w:val="22"/>
        </w:rPr>
        <w:t xml:space="preserve"> en el ámbito de sus respectivas competencias, se regirán por los siguientes principios y bases:</w:t>
      </w:r>
    </w:p>
    <w:p w14:paraId="1FF87F86" w14:textId="77777777" w:rsidR="00FA4BD1" w:rsidRPr="00F408B9" w:rsidRDefault="00FA4BD1" w:rsidP="00FA4BD1">
      <w:pPr>
        <w:spacing w:line="276" w:lineRule="auto"/>
        <w:ind w:left="851" w:right="851"/>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b/>
          <w:i/>
          <w:sz w:val="22"/>
          <w:szCs w:val="22"/>
        </w:rPr>
        <w:t xml:space="preserve">I. </w:t>
      </w:r>
      <w:r w:rsidRPr="00F408B9">
        <w:rPr>
          <w:rFonts w:ascii="Palatino Linotype" w:eastAsia="Palatino Linotype" w:hAnsi="Palatino Linotype" w:cs="Palatino Linotype"/>
          <w:b/>
          <w:i/>
          <w:sz w:val="22"/>
          <w:szCs w:val="22"/>
          <w:u w:val="single"/>
        </w:rPr>
        <w:t>Toda la información en posesión de cualquier autoridad, entidad, órgano y organismo de los Poderes</w:t>
      </w:r>
      <w:r w:rsidRPr="00F408B9">
        <w:rPr>
          <w:rFonts w:ascii="Palatino Linotype" w:eastAsia="Palatino Linotype" w:hAnsi="Palatino Linotype" w:cs="Palatino Linotype"/>
          <w:i/>
          <w:sz w:val="22"/>
          <w:szCs w:val="22"/>
        </w:rPr>
        <w:t xml:space="preserve"> Ejecutivo, Legislativo </w:t>
      </w:r>
      <w:r w:rsidRPr="00F408B9">
        <w:rPr>
          <w:rFonts w:ascii="Palatino Linotype" w:eastAsia="Palatino Linotype" w:hAnsi="Palatino Linotype" w:cs="Palatino Linotype"/>
          <w:b/>
          <w:i/>
          <w:sz w:val="22"/>
          <w:szCs w:val="22"/>
          <w:u w:val="single"/>
        </w:rPr>
        <w:t>y Judicial</w:t>
      </w:r>
      <w:r w:rsidRPr="00F408B9">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F408B9">
        <w:rPr>
          <w:rFonts w:ascii="Palatino Linotype" w:eastAsia="Palatino Linotype" w:hAnsi="Palatino Linotype" w:cs="Palatino Linotype"/>
          <w:b/>
          <w:i/>
          <w:sz w:val="22"/>
          <w:szCs w:val="22"/>
        </w:rPr>
        <w:t>es pública y sólo podrá ser reservada temporalmente por razones de interés público y seguridad nacional,</w:t>
      </w:r>
      <w:r w:rsidRPr="00F408B9">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B41035D" w14:textId="77777777" w:rsidR="00FA4BD1" w:rsidRPr="00F408B9" w:rsidRDefault="00FA4BD1" w:rsidP="00FA4BD1">
      <w:pPr>
        <w:spacing w:line="276" w:lineRule="auto"/>
        <w:ind w:left="851" w:right="851"/>
        <w:jc w:val="both"/>
        <w:rPr>
          <w:rFonts w:ascii="Palatino Linotype" w:eastAsia="Palatino Linotype" w:hAnsi="Palatino Linotype" w:cs="Palatino Linotype"/>
          <w:b/>
          <w:i/>
          <w:sz w:val="22"/>
          <w:szCs w:val="22"/>
        </w:rPr>
      </w:pPr>
      <w:r w:rsidRPr="00F408B9">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82ABC70" w14:textId="77777777" w:rsidR="00FA4BD1" w:rsidRPr="00F408B9" w:rsidRDefault="00FA4BD1" w:rsidP="00FA4BD1">
      <w:pPr>
        <w:spacing w:line="276" w:lineRule="auto"/>
        <w:ind w:left="851" w:right="851"/>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b/>
          <w:i/>
          <w:sz w:val="22"/>
          <w:szCs w:val="22"/>
        </w:rPr>
        <w:t xml:space="preserve">III. </w:t>
      </w:r>
      <w:r w:rsidRPr="00F408B9">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F408B9">
        <w:rPr>
          <w:rFonts w:ascii="Palatino Linotype" w:eastAsia="Palatino Linotype" w:hAnsi="Palatino Linotype" w:cs="Palatino Linotype"/>
          <w:i/>
          <w:sz w:val="22"/>
          <w:szCs w:val="22"/>
        </w:rPr>
        <w:t xml:space="preserve"> a sus datos personales o a la rectificación de éstos.</w:t>
      </w:r>
    </w:p>
    <w:p w14:paraId="0A8BCA44" w14:textId="77777777" w:rsidR="00FA4BD1" w:rsidRPr="00F408B9" w:rsidRDefault="00FA4BD1" w:rsidP="00FA4BD1">
      <w:pPr>
        <w:spacing w:line="276" w:lineRule="auto"/>
        <w:ind w:left="851" w:right="851"/>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b/>
          <w:i/>
          <w:sz w:val="22"/>
          <w:szCs w:val="22"/>
        </w:rPr>
        <w:t xml:space="preserve">IV. </w:t>
      </w:r>
      <w:r w:rsidRPr="00F408B9">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2FDB414F" w14:textId="77777777" w:rsidR="00FA4BD1" w:rsidRPr="00F408B9" w:rsidRDefault="00FA4BD1" w:rsidP="00FA4BD1">
      <w:pPr>
        <w:spacing w:line="276" w:lineRule="auto"/>
        <w:ind w:left="851" w:right="851"/>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b/>
          <w:i/>
          <w:sz w:val="22"/>
          <w:szCs w:val="22"/>
        </w:rPr>
        <w:t xml:space="preserve">V. </w:t>
      </w:r>
      <w:r w:rsidRPr="00F408B9">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9654CCB" w14:textId="77777777" w:rsidR="00FA4BD1" w:rsidRPr="00F408B9" w:rsidRDefault="00FA4BD1" w:rsidP="00FA4BD1">
      <w:pPr>
        <w:spacing w:line="276" w:lineRule="auto"/>
        <w:ind w:left="851" w:right="851"/>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b/>
          <w:i/>
          <w:sz w:val="22"/>
          <w:szCs w:val="22"/>
        </w:rPr>
        <w:t xml:space="preserve">VI. </w:t>
      </w:r>
      <w:r w:rsidRPr="00F408B9">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0E3FBA1A" w14:textId="77777777" w:rsidR="00FA4BD1" w:rsidRPr="00F408B9" w:rsidRDefault="00FA4BD1" w:rsidP="00FA4BD1">
      <w:pPr>
        <w:spacing w:line="276" w:lineRule="auto"/>
        <w:ind w:left="851" w:right="851"/>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b/>
          <w:i/>
          <w:sz w:val="22"/>
          <w:szCs w:val="22"/>
        </w:rPr>
        <w:t xml:space="preserve">VII. </w:t>
      </w:r>
      <w:r w:rsidRPr="00F408B9">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660D3FB2" w14:textId="77777777" w:rsidR="00344ABC" w:rsidRPr="00F408B9" w:rsidRDefault="000D2644">
      <w:pPr>
        <w:tabs>
          <w:tab w:val="left" w:pos="709"/>
        </w:tabs>
        <w:spacing w:before="240" w:after="240" w:line="360" w:lineRule="auto"/>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255174AB" w14:textId="77777777" w:rsidR="00344ABC" w:rsidRPr="00F408B9" w:rsidRDefault="000D2644">
      <w:pPr>
        <w:spacing w:before="280" w:after="280" w:line="360" w:lineRule="auto"/>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0F59844" w14:textId="77777777" w:rsidR="00344ABC" w:rsidRPr="00F408B9" w:rsidRDefault="000D2644" w:rsidP="00FA4BD1">
      <w:pPr>
        <w:spacing w:before="120" w:after="120"/>
        <w:ind w:left="851" w:right="902"/>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i/>
          <w:sz w:val="22"/>
          <w:szCs w:val="22"/>
        </w:rPr>
        <w:t>“</w:t>
      </w:r>
      <w:r w:rsidRPr="00F408B9">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F408B9">
        <w:rPr>
          <w:rFonts w:ascii="Palatino Linotype" w:eastAsia="Palatino Linotype" w:hAnsi="Palatino Linotype" w:cs="Palatino Linotype"/>
          <w:i/>
          <w:sz w:val="22"/>
          <w:szCs w:val="22"/>
        </w:rPr>
        <w:t>:</w:t>
      </w:r>
    </w:p>
    <w:p w14:paraId="28DF41DF" w14:textId="77777777" w:rsidR="00344ABC" w:rsidRPr="00F408B9" w:rsidRDefault="000D2644" w:rsidP="00FA4BD1">
      <w:pPr>
        <w:pBdr>
          <w:top w:val="nil"/>
          <w:left w:val="nil"/>
          <w:bottom w:val="nil"/>
          <w:right w:val="nil"/>
          <w:between w:val="nil"/>
        </w:pBdr>
        <w:spacing w:before="120" w:after="120"/>
        <w:ind w:left="851" w:right="864"/>
        <w:jc w:val="both"/>
        <w:rPr>
          <w:rFonts w:ascii="Palatino Linotype" w:eastAsia="Palatino Linotype" w:hAnsi="Palatino Linotype" w:cs="Palatino Linotype"/>
          <w:b/>
          <w:i/>
          <w:sz w:val="22"/>
          <w:szCs w:val="22"/>
        </w:rPr>
      </w:pPr>
      <w:r w:rsidRPr="00F408B9">
        <w:rPr>
          <w:rFonts w:ascii="Palatino Linotype" w:eastAsia="Palatino Linotype" w:hAnsi="Palatino Linotype" w:cs="Palatino Linotype"/>
          <w:b/>
          <w:i/>
          <w:sz w:val="22"/>
          <w:szCs w:val="22"/>
        </w:rPr>
        <w:t>I.</w:t>
      </w:r>
      <w:r w:rsidRPr="00F408B9">
        <w:rPr>
          <w:rFonts w:ascii="Palatino Linotype" w:eastAsia="Palatino Linotype" w:hAnsi="Palatino Linotype" w:cs="Palatino Linotype"/>
          <w:i/>
          <w:sz w:val="22"/>
          <w:szCs w:val="22"/>
        </w:rPr>
        <w:t xml:space="preserve"> El Poder Ejecutivo del Estado de México, las dependencias, organismos auxiliares,</w:t>
      </w:r>
      <w:r w:rsidRPr="00F408B9">
        <w:rPr>
          <w:rFonts w:ascii="Palatino Linotype" w:eastAsia="Palatino Linotype" w:hAnsi="Palatino Linotype" w:cs="Palatino Linotype"/>
          <w:b/>
          <w:i/>
          <w:sz w:val="22"/>
          <w:szCs w:val="22"/>
        </w:rPr>
        <w:t xml:space="preserve"> </w:t>
      </w:r>
      <w:r w:rsidRPr="00F408B9">
        <w:rPr>
          <w:rFonts w:ascii="Palatino Linotype" w:eastAsia="Palatino Linotype" w:hAnsi="Palatino Linotype" w:cs="Palatino Linotype"/>
          <w:i/>
          <w:sz w:val="22"/>
          <w:szCs w:val="22"/>
        </w:rPr>
        <w:t>órganos, entidades, fideicomisos y fondos públicos, así como la Procuraduría General de Justicia;</w:t>
      </w:r>
    </w:p>
    <w:p w14:paraId="17EEC156" w14:textId="77777777" w:rsidR="00344ABC" w:rsidRPr="00F408B9" w:rsidRDefault="000D2644" w:rsidP="00FA4BD1">
      <w:pPr>
        <w:pBdr>
          <w:top w:val="nil"/>
          <w:left w:val="nil"/>
          <w:bottom w:val="nil"/>
          <w:right w:val="nil"/>
          <w:between w:val="nil"/>
        </w:pBdr>
        <w:spacing w:before="120" w:after="120"/>
        <w:ind w:left="851" w:right="864"/>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b/>
          <w:i/>
          <w:sz w:val="22"/>
          <w:szCs w:val="22"/>
        </w:rPr>
        <w:t>II.</w:t>
      </w:r>
      <w:r w:rsidRPr="00F408B9">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3D7BB1FF" w14:textId="77777777" w:rsidR="00344ABC" w:rsidRPr="00F408B9" w:rsidRDefault="000D2644" w:rsidP="00FA4BD1">
      <w:pPr>
        <w:pBdr>
          <w:top w:val="nil"/>
          <w:left w:val="nil"/>
          <w:bottom w:val="nil"/>
          <w:right w:val="nil"/>
          <w:between w:val="nil"/>
        </w:pBdr>
        <w:spacing w:before="120" w:after="120"/>
        <w:ind w:left="851" w:right="864"/>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b/>
          <w:i/>
          <w:sz w:val="22"/>
          <w:szCs w:val="22"/>
        </w:rPr>
        <w:t>III.</w:t>
      </w:r>
      <w:r w:rsidRPr="00F408B9">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4D684E7D" w14:textId="77777777" w:rsidR="00344ABC" w:rsidRPr="00F408B9" w:rsidRDefault="000D2644" w:rsidP="00FA4BD1">
      <w:pPr>
        <w:pBdr>
          <w:top w:val="nil"/>
          <w:left w:val="nil"/>
          <w:bottom w:val="nil"/>
          <w:right w:val="nil"/>
          <w:between w:val="nil"/>
        </w:pBdr>
        <w:spacing w:before="120" w:after="120"/>
        <w:ind w:left="851" w:right="864"/>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b/>
          <w:bCs/>
          <w:i/>
          <w:sz w:val="22"/>
          <w:szCs w:val="22"/>
        </w:rPr>
        <w:t>IV.</w:t>
      </w:r>
      <w:r w:rsidRPr="00F408B9">
        <w:rPr>
          <w:rFonts w:ascii="Palatino Linotype" w:eastAsia="Palatino Linotype" w:hAnsi="Palatino Linotype" w:cs="Palatino Linotype"/>
          <w:i/>
          <w:sz w:val="22"/>
          <w:szCs w:val="22"/>
        </w:rPr>
        <w:t xml:space="preserve"> Los ayuntamientos y las dependencias, organismos, órganos y entidades de la administración municipal;</w:t>
      </w:r>
    </w:p>
    <w:p w14:paraId="3597FCDC" w14:textId="77777777" w:rsidR="00344ABC" w:rsidRPr="00F408B9" w:rsidRDefault="000D2644" w:rsidP="00FA4BD1">
      <w:pPr>
        <w:pBdr>
          <w:top w:val="nil"/>
          <w:left w:val="nil"/>
          <w:bottom w:val="nil"/>
          <w:right w:val="nil"/>
          <w:between w:val="nil"/>
        </w:pBdr>
        <w:spacing w:before="120" w:after="120"/>
        <w:ind w:left="851" w:right="864"/>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b/>
          <w:i/>
          <w:sz w:val="22"/>
          <w:szCs w:val="22"/>
        </w:rPr>
        <w:t>V.</w:t>
      </w:r>
      <w:r w:rsidRPr="00F408B9">
        <w:rPr>
          <w:rFonts w:ascii="Palatino Linotype" w:eastAsia="Palatino Linotype" w:hAnsi="Palatino Linotype" w:cs="Palatino Linotype"/>
          <w:i/>
          <w:sz w:val="22"/>
          <w:szCs w:val="22"/>
        </w:rPr>
        <w:t xml:space="preserve"> Los órganos autónomos;</w:t>
      </w:r>
    </w:p>
    <w:p w14:paraId="22CC4988" w14:textId="77777777" w:rsidR="00344ABC" w:rsidRPr="00F408B9" w:rsidRDefault="000D2644" w:rsidP="00FA4BD1">
      <w:pPr>
        <w:pBdr>
          <w:top w:val="nil"/>
          <w:left w:val="nil"/>
          <w:bottom w:val="nil"/>
          <w:right w:val="nil"/>
          <w:between w:val="nil"/>
        </w:pBdr>
        <w:spacing w:before="120" w:after="120"/>
        <w:ind w:left="851" w:right="864"/>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b/>
          <w:i/>
          <w:sz w:val="22"/>
          <w:szCs w:val="22"/>
        </w:rPr>
        <w:t>VI.</w:t>
      </w:r>
      <w:r w:rsidRPr="00F408B9">
        <w:rPr>
          <w:rFonts w:ascii="Palatino Linotype" w:eastAsia="Palatino Linotype" w:hAnsi="Palatino Linotype" w:cs="Palatino Linotype"/>
          <w:i/>
          <w:sz w:val="22"/>
          <w:szCs w:val="22"/>
        </w:rPr>
        <w:t xml:space="preserve"> Los tribunales administrativos y autoridades jurisdiccionales en materia laboral;</w:t>
      </w:r>
    </w:p>
    <w:p w14:paraId="122DB66F" w14:textId="77777777" w:rsidR="00344ABC" w:rsidRPr="00F408B9" w:rsidRDefault="000D2644" w:rsidP="00FA4BD1">
      <w:pPr>
        <w:pBdr>
          <w:top w:val="nil"/>
          <w:left w:val="nil"/>
          <w:bottom w:val="nil"/>
          <w:right w:val="nil"/>
          <w:between w:val="nil"/>
        </w:pBdr>
        <w:spacing w:before="120" w:after="120"/>
        <w:ind w:left="851" w:right="864"/>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b/>
          <w:i/>
          <w:sz w:val="22"/>
          <w:szCs w:val="22"/>
        </w:rPr>
        <w:t>VII.</w:t>
      </w:r>
      <w:r w:rsidRPr="00F408B9">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7EBC737F" w14:textId="77777777" w:rsidR="00344ABC" w:rsidRPr="00F408B9" w:rsidRDefault="000D2644" w:rsidP="00FA4BD1">
      <w:pPr>
        <w:pBdr>
          <w:top w:val="nil"/>
          <w:left w:val="nil"/>
          <w:bottom w:val="nil"/>
          <w:right w:val="nil"/>
          <w:between w:val="nil"/>
        </w:pBdr>
        <w:spacing w:before="120" w:after="120"/>
        <w:ind w:left="851" w:right="864"/>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b/>
          <w:i/>
          <w:sz w:val="22"/>
          <w:szCs w:val="22"/>
        </w:rPr>
        <w:t>VIII.</w:t>
      </w:r>
      <w:r w:rsidRPr="00F408B9">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1EA7D1AA" w14:textId="77777777" w:rsidR="00344ABC" w:rsidRPr="00F408B9" w:rsidRDefault="000D2644" w:rsidP="00FA4BD1">
      <w:pPr>
        <w:pBdr>
          <w:top w:val="nil"/>
          <w:left w:val="nil"/>
          <w:bottom w:val="nil"/>
          <w:right w:val="nil"/>
          <w:between w:val="nil"/>
        </w:pBdr>
        <w:spacing w:before="120" w:after="120"/>
        <w:ind w:left="851" w:right="864"/>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b/>
          <w:i/>
          <w:sz w:val="22"/>
          <w:szCs w:val="22"/>
        </w:rPr>
        <w:t>IX.</w:t>
      </w:r>
      <w:r w:rsidRPr="00F408B9">
        <w:rPr>
          <w:rFonts w:ascii="Palatino Linotype" w:eastAsia="Palatino Linotype" w:hAnsi="Palatino Linotype" w:cs="Palatino Linotype"/>
          <w:i/>
          <w:sz w:val="22"/>
          <w:szCs w:val="22"/>
        </w:rPr>
        <w:t xml:space="preserve"> Los sindicatos que reciban y/o ejerzan recursos públicos en el ámbito estatal y municipal;</w:t>
      </w:r>
    </w:p>
    <w:p w14:paraId="27232A6B" w14:textId="77777777" w:rsidR="00344ABC" w:rsidRPr="00F408B9" w:rsidRDefault="000D2644" w:rsidP="00FA4BD1">
      <w:pPr>
        <w:pBdr>
          <w:top w:val="nil"/>
          <w:left w:val="nil"/>
          <w:bottom w:val="nil"/>
          <w:right w:val="nil"/>
          <w:between w:val="nil"/>
        </w:pBdr>
        <w:spacing w:before="120" w:after="120"/>
        <w:ind w:left="851" w:right="864"/>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b/>
          <w:i/>
          <w:sz w:val="22"/>
          <w:szCs w:val="22"/>
        </w:rPr>
        <w:t>X.</w:t>
      </w:r>
      <w:r w:rsidRPr="00F408B9">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0B1F258A" w14:textId="77777777" w:rsidR="00344ABC" w:rsidRPr="00F408B9" w:rsidRDefault="000D2644" w:rsidP="00FA4BD1">
      <w:pPr>
        <w:pBdr>
          <w:top w:val="nil"/>
          <w:left w:val="nil"/>
          <w:bottom w:val="nil"/>
          <w:right w:val="nil"/>
          <w:between w:val="nil"/>
        </w:pBdr>
        <w:spacing w:before="120" w:after="120"/>
        <w:ind w:left="851" w:right="864"/>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b/>
          <w:i/>
          <w:sz w:val="22"/>
          <w:szCs w:val="22"/>
        </w:rPr>
        <w:t>XI.</w:t>
      </w:r>
      <w:r w:rsidRPr="00F408B9">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44EFCA5E" w14:textId="77777777" w:rsidR="00344ABC" w:rsidRPr="00F408B9" w:rsidRDefault="000D2644" w:rsidP="00FA4BD1">
      <w:pPr>
        <w:pBdr>
          <w:top w:val="nil"/>
          <w:left w:val="nil"/>
          <w:bottom w:val="nil"/>
          <w:right w:val="nil"/>
          <w:between w:val="nil"/>
        </w:pBdr>
        <w:spacing w:before="120" w:after="120"/>
        <w:ind w:left="851" w:right="864"/>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E334A92" w14:textId="77777777" w:rsidR="00344ABC" w:rsidRPr="00F408B9" w:rsidRDefault="000D2644" w:rsidP="00FA4BD1">
      <w:pPr>
        <w:pBdr>
          <w:top w:val="nil"/>
          <w:left w:val="nil"/>
          <w:bottom w:val="nil"/>
          <w:right w:val="nil"/>
          <w:between w:val="nil"/>
        </w:pBdr>
        <w:spacing w:before="120" w:after="120"/>
        <w:ind w:left="851" w:right="864"/>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F408B9">
        <w:rPr>
          <w:rFonts w:ascii="Palatino Linotype" w:eastAsia="Palatino Linotype" w:hAnsi="Palatino Linotype" w:cs="Palatino Linotype"/>
          <w:i/>
          <w:sz w:val="22"/>
          <w:szCs w:val="22"/>
        </w:rPr>
        <w:t>.”</w:t>
      </w:r>
    </w:p>
    <w:p w14:paraId="50C09562" w14:textId="77777777" w:rsidR="00344ABC" w:rsidRPr="00F408B9" w:rsidRDefault="000D2644">
      <w:pPr>
        <w:spacing w:before="280" w:after="280" w:line="360" w:lineRule="auto"/>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072FC259" w14:textId="77777777" w:rsidR="00344ABC" w:rsidRPr="00F408B9" w:rsidRDefault="000D2644">
      <w:pPr>
        <w:spacing w:before="280" w:after="280" w:line="360" w:lineRule="auto"/>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E3F7978" w14:textId="77777777" w:rsidR="00344ABC" w:rsidRPr="00F408B9" w:rsidRDefault="000D2644">
      <w:pPr>
        <w:widowControl w:val="0"/>
        <w:tabs>
          <w:tab w:val="left" w:pos="1276"/>
        </w:tabs>
        <w:spacing w:before="240" w:after="280" w:line="360" w:lineRule="auto"/>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7423BFB7" w14:textId="77777777" w:rsidR="00344ABC" w:rsidRPr="00F408B9" w:rsidRDefault="000D2644">
      <w:pPr>
        <w:widowControl w:val="0"/>
        <w:tabs>
          <w:tab w:val="left" w:pos="1276"/>
        </w:tabs>
        <w:spacing w:before="240" w:after="280" w:line="360" w:lineRule="auto"/>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A7EC87E" w14:textId="77777777" w:rsidR="00344ABC" w:rsidRPr="00F408B9" w:rsidRDefault="000D2644">
      <w:pPr>
        <w:spacing w:before="280" w:after="280" w:line="360" w:lineRule="auto"/>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CDE4ABD" w14:textId="77777777" w:rsidR="00344ABC" w:rsidRPr="00F408B9" w:rsidRDefault="000D2644">
      <w:pPr>
        <w:widowControl w:val="0"/>
        <w:tabs>
          <w:tab w:val="left" w:pos="1276"/>
        </w:tabs>
        <w:spacing w:before="240" w:after="280" w:line="360" w:lineRule="auto"/>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6E5FAA5" w14:textId="77777777" w:rsidR="00344ABC" w:rsidRPr="00F408B9" w:rsidRDefault="000D2644">
      <w:pPr>
        <w:spacing w:before="280" w:after="280" w:line="360" w:lineRule="auto"/>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w:t>
      </w:r>
      <w:r w:rsidRPr="00F408B9">
        <w:rPr>
          <w:rFonts w:ascii="Palatino Linotype" w:eastAsia="Palatino Linotype" w:hAnsi="Palatino Linotype" w:cs="Palatino Linotype"/>
          <w:b/>
          <w:sz w:val="22"/>
          <w:szCs w:val="22"/>
        </w:rPr>
        <w:t>quince días hábiles</w:t>
      </w:r>
      <w:r w:rsidRPr="00F408B9">
        <w:rPr>
          <w:rFonts w:ascii="Palatino Linotype" w:eastAsia="Palatino Linotype" w:hAnsi="Palatino Linotype" w:cs="Palatino Linotype"/>
          <w:sz w:val="22"/>
          <w:szCs w:val="22"/>
        </w:rPr>
        <w:t xml:space="preserve">,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7FCD5871" w14:textId="77777777" w:rsidR="00344ABC" w:rsidRPr="00F408B9" w:rsidRDefault="000D2644">
      <w:pPr>
        <w:spacing w:before="280" w:after="280" w:line="360" w:lineRule="auto"/>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sz w:val="22"/>
          <w:szCs w:val="22"/>
        </w:rPr>
        <w:t>Sirve de sustento a lo anterior, el precepto legal en cita:</w:t>
      </w:r>
    </w:p>
    <w:p w14:paraId="03C6D25A" w14:textId="77777777" w:rsidR="00344ABC" w:rsidRPr="00F408B9" w:rsidRDefault="000D2644">
      <w:pPr>
        <w:spacing w:before="120" w:after="120"/>
        <w:ind w:left="851" w:right="902"/>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i/>
          <w:sz w:val="22"/>
          <w:szCs w:val="22"/>
        </w:rPr>
        <w:t>“</w:t>
      </w:r>
      <w:r w:rsidRPr="00F408B9">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F408B9">
        <w:rPr>
          <w:rFonts w:ascii="Palatino Linotype" w:eastAsia="Palatino Linotype" w:hAnsi="Palatino Linotype" w:cs="Palatino Linotype"/>
          <w:i/>
          <w:sz w:val="22"/>
          <w:szCs w:val="22"/>
        </w:rPr>
        <w:t xml:space="preserve">, contados a partir del día siguiente a la presentación de aquélla. </w:t>
      </w:r>
    </w:p>
    <w:p w14:paraId="7D807E5D" w14:textId="77777777" w:rsidR="00344ABC" w:rsidRPr="00F408B9" w:rsidRDefault="000D2644">
      <w:pPr>
        <w:spacing w:before="120" w:after="120"/>
        <w:ind w:left="851" w:right="902"/>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57CB46A" w14:textId="77777777" w:rsidR="00344ABC" w:rsidRPr="00F408B9" w:rsidRDefault="000D2644">
      <w:pPr>
        <w:spacing w:before="280" w:after="280" w:line="360" w:lineRule="auto"/>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sz w:val="22"/>
          <w:szCs w:val="22"/>
        </w:rPr>
        <w:t xml:space="preserve">En mérito de lo expuesto, es claro que en este caso el </w:t>
      </w:r>
      <w:r w:rsidRPr="00F408B9">
        <w:rPr>
          <w:rFonts w:ascii="Palatino Linotype" w:eastAsia="Palatino Linotype" w:hAnsi="Palatino Linotype" w:cs="Palatino Linotype"/>
          <w:b/>
          <w:sz w:val="22"/>
          <w:szCs w:val="22"/>
        </w:rPr>
        <w:t>Sujeto Obligado</w:t>
      </w:r>
      <w:r w:rsidRPr="00F408B9">
        <w:rPr>
          <w:rFonts w:ascii="Palatino Linotype" w:eastAsia="Palatino Linotype" w:hAnsi="Palatino Linotype" w:cs="Palatino Linotype"/>
          <w:sz w:val="22"/>
          <w:szCs w:val="22"/>
        </w:rPr>
        <w:t xml:space="preserve"> incumplió la normativa en la materia, puesto que no dio trámite ni respuesta a las solicitudes de acceso a la información, limitando el derecho de acceso a la información, accionado por la persona solicitante.</w:t>
      </w:r>
    </w:p>
    <w:p w14:paraId="5C221F72" w14:textId="77777777" w:rsidR="00344ABC" w:rsidRPr="00F408B9" w:rsidRDefault="000D2644">
      <w:pPr>
        <w:spacing w:before="280" w:after="280" w:line="360" w:lineRule="auto"/>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241D498F" w14:textId="77777777" w:rsidR="00344ABC" w:rsidRPr="00F408B9" w:rsidRDefault="000D2644">
      <w:pPr>
        <w:spacing w:before="280" w:after="280" w:line="360" w:lineRule="auto"/>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F408B9">
        <w:rPr>
          <w:rFonts w:ascii="Palatino Linotype" w:eastAsia="Palatino Linotype" w:hAnsi="Palatino Linotype" w:cs="Palatino Linotype"/>
          <w:b/>
          <w:sz w:val="22"/>
          <w:szCs w:val="22"/>
        </w:rPr>
        <w:t>el Sujeto Obligado</w:t>
      </w:r>
      <w:r w:rsidRPr="00F408B9">
        <w:rPr>
          <w:rFonts w:ascii="Palatino Linotype" w:eastAsia="Palatino Linotype" w:hAnsi="Palatino Linotype" w:cs="Palatino Linotype"/>
          <w:sz w:val="22"/>
          <w:szCs w:val="22"/>
        </w:rPr>
        <w:t>; por lo que, en caso de no atender de manera positiva</w:t>
      </w:r>
      <w:r w:rsidRPr="00F408B9">
        <w:rPr>
          <w:rFonts w:ascii="Palatino Linotype" w:eastAsia="Palatino Linotype" w:hAnsi="Palatino Linotype" w:cs="Palatino Linotype"/>
          <w:sz w:val="22"/>
          <w:szCs w:val="22"/>
          <w:vertAlign w:val="superscript"/>
        </w:rPr>
        <w:footnoteReference w:id="1"/>
      </w:r>
      <w:r w:rsidRPr="00F408B9">
        <w:rPr>
          <w:rFonts w:ascii="Palatino Linotype" w:eastAsia="Palatino Linotype" w:hAnsi="Palatino Linotype" w:cs="Palatino Linotype"/>
          <w:sz w:val="22"/>
          <w:szCs w:val="22"/>
        </w:rPr>
        <w:t>, el requerimiento de información deberá manifestarse al respecto.</w:t>
      </w:r>
    </w:p>
    <w:p w14:paraId="129BB111" w14:textId="2010F1D5" w:rsidR="00344ABC" w:rsidRPr="00F408B9" w:rsidRDefault="000D2644" w:rsidP="00D73FD2">
      <w:pPr>
        <w:spacing w:before="280" w:after="280" w:line="360" w:lineRule="auto"/>
        <w:jc w:val="both"/>
        <w:rPr>
          <w:rFonts w:ascii="Palatino Linotype" w:eastAsia="Palatino Linotype" w:hAnsi="Palatino Linotype" w:cs="Palatino Linotype"/>
          <w:b/>
        </w:rPr>
      </w:pPr>
      <w:r w:rsidRPr="00F408B9">
        <w:rPr>
          <w:rFonts w:ascii="Palatino Linotype" w:eastAsia="Palatino Linotype" w:hAnsi="Palatino Linotype" w:cs="Palatino Linotype"/>
          <w:b/>
        </w:rPr>
        <w:t>De la clasificación de la información.</w:t>
      </w:r>
    </w:p>
    <w:p w14:paraId="79E4A2E7" w14:textId="77777777" w:rsidR="00344ABC" w:rsidRPr="00F408B9" w:rsidRDefault="000D2644">
      <w:pPr>
        <w:spacing w:before="240" w:after="240" w:line="360" w:lineRule="auto"/>
        <w:ind w:right="51"/>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sz w:val="22"/>
          <w:szCs w:val="22"/>
        </w:rPr>
        <w:t>Ahora bien, en atención al sentido en que se resuelven los presentes medios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534A6DEE" w14:textId="77777777" w:rsidR="00344ABC" w:rsidRPr="00F408B9" w:rsidRDefault="000D2644">
      <w:pPr>
        <w:ind w:left="851" w:right="900"/>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b/>
          <w:i/>
          <w:sz w:val="22"/>
          <w:szCs w:val="22"/>
        </w:rPr>
        <w:t xml:space="preserve">“Artículo 91. </w:t>
      </w:r>
      <w:r w:rsidRPr="00F408B9">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69682098" w14:textId="77777777" w:rsidR="00344ABC" w:rsidRPr="00F408B9" w:rsidRDefault="000D2644">
      <w:pPr>
        <w:spacing w:before="240" w:after="240" w:line="360" w:lineRule="auto"/>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AB75EF4" w14:textId="77777777" w:rsidR="00344ABC" w:rsidRPr="00F408B9" w:rsidRDefault="000D2644">
      <w:pPr>
        <w:spacing w:before="240" w:after="240" w:line="360" w:lineRule="auto"/>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47C29A85" w14:textId="77777777" w:rsidR="00344ABC" w:rsidRPr="00F408B9" w:rsidRDefault="000D2644" w:rsidP="00D73FD2">
      <w:pPr>
        <w:spacing w:before="120" w:after="120"/>
        <w:ind w:left="851" w:right="900"/>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b/>
          <w:i/>
          <w:sz w:val="22"/>
          <w:szCs w:val="22"/>
        </w:rPr>
        <w:t xml:space="preserve">“Artículo 140. </w:t>
      </w:r>
      <w:r w:rsidRPr="00F408B9">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FAEBF07" w14:textId="77777777" w:rsidR="00344ABC" w:rsidRPr="00F408B9" w:rsidRDefault="000D2644" w:rsidP="00D73FD2">
      <w:pPr>
        <w:spacing w:before="120" w:after="120"/>
        <w:ind w:left="851" w:right="900"/>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b/>
          <w:i/>
          <w:sz w:val="22"/>
          <w:szCs w:val="22"/>
        </w:rPr>
        <w:t xml:space="preserve">I. </w:t>
      </w:r>
      <w:r w:rsidRPr="00F408B9">
        <w:rPr>
          <w:rFonts w:ascii="Palatino Linotype" w:eastAsia="Palatino Linotype" w:hAnsi="Palatino Linotype" w:cs="Palatino Linotype"/>
          <w:i/>
          <w:sz w:val="22"/>
          <w:szCs w:val="22"/>
        </w:rPr>
        <w:t>Comprometa la seguridad pública y cuente con un propósito genuino y un efecto demostrable;</w:t>
      </w:r>
    </w:p>
    <w:p w14:paraId="3DE339CC" w14:textId="77777777" w:rsidR="00344ABC" w:rsidRPr="00F408B9" w:rsidRDefault="000D2644" w:rsidP="00D73FD2">
      <w:pPr>
        <w:spacing w:before="120" w:after="120"/>
        <w:ind w:left="851" w:right="900"/>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b/>
          <w:i/>
          <w:sz w:val="22"/>
          <w:szCs w:val="22"/>
        </w:rPr>
        <w:t xml:space="preserve">II. </w:t>
      </w:r>
      <w:r w:rsidRPr="00F408B9">
        <w:rPr>
          <w:rFonts w:ascii="Palatino Linotype" w:eastAsia="Palatino Linotype" w:hAnsi="Palatino Linotype" w:cs="Palatino Linotype"/>
          <w:i/>
          <w:sz w:val="22"/>
          <w:szCs w:val="22"/>
        </w:rPr>
        <w:t>Pueda menoscabar la conducción de las negociaciones y relaciones internacionales;</w:t>
      </w:r>
    </w:p>
    <w:p w14:paraId="512D212C" w14:textId="77777777" w:rsidR="00344ABC" w:rsidRPr="00F408B9" w:rsidRDefault="000D2644" w:rsidP="00D73FD2">
      <w:pPr>
        <w:spacing w:before="120" w:after="120"/>
        <w:ind w:left="851" w:right="900"/>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b/>
          <w:i/>
          <w:sz w:val="22"/>
          <w:szCs w:val="22"/>
        </w:rPr>
        <w:t xml:space="preserve">III. </w:t>
      </w:r>
      <w:r w:rsidRPr="00F408B9">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B5E7B90" w14:textId="77777777" w:rsidR="00344ABC" w:rsidRPr="00F408B9" w:rsidRDefault="000D2644" w:rsidP="00D73FD2">
      <w:pPr>
        <w:spacing w:before="120" w:after="120"/>
        <w:ind w:left="851" w:right="900"/>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b/>
          <w:i/>
          <w:sz w:val="22"/>
          <w:szCs w:val="22"/>
        </w:rPr>
        <w:t xml:space="preserve">IV. </w:t>
      </w:r>
      <w:r w:rsidRPr="00F408B9">
        <w:rPr>
          <w:rFonts w:ascii="Palatino Linotype" w:eastAsia="Palatino Linotype" w:hAnsi="Palatino Linotype" w:cs="Palatino Linotype"/>
          <w:i/>
          <w:sz w:val="22"/>
          <w:szCs w:val="22"/>
        </w:rPr>
        <w:t>Ponga en riesgo la vida, la seguridad o la salud de una persona física;</w:t>
      </w:r>
    </w:p>
    <w:p w14:paraId="02B71058" w14:textId="77777777" w:rsidR="00344ABC" w:rsidRPr="00F408B9" w:rsidRDefault="000D2644" w:rsidP="00D73FD2">
      <w:pPr>
        <w:spacing w:before="120" w:after="120"/>
        <w:ind w:left="851" w:right="900"/>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b/>
          <w:i/>
          <w:sz w:val="22"/>
          <w:szCs w:val="22"/>
        </w:rPr>
        <w:t xml:space="preserve">V. </w:t>
      </w:r>
      <w:r w:rsidRPr="00F408B9">
        <w:rPr>
          <w:rFonts w:ascii="Palatino Linotype" w:eastAsia="Palatino Linotype" w:hAnsi="Palatino Linotype" w:cs="Palatino Linotype"/>
          <w:i/>
          <w:sz w:val="22"/>
          <w:szCs w:val="22"/>
        </w:rPr>
        <w:t>Aquella cuya divulgación obstruya o pueda causar un serio perjuicio a:</w:t>
      </w:r>
    </w:p>
    <w:p w14:paraId="43FAA8F4" w14:textId="77777777" w:rsidR="00344ABC" w:rsidRPr="00F408B9" w:rsidRDefault="000D2644" w:rsidP="00D73FD2">
      <w:pPr>
        <w:spacing w:before="120" w:after="120"/>
        <w:ind w:left="851" w:right="900"/>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b/>
          <w:i/>
          <w:sz w:val="22"/>
          <w:szCs w:val="22"/>
        </w:rPr>
        <w:t xml:space="preserve">1. </w:t>
      </w:r>
      <w:r w:rsidRPr="00F408B9">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02308033" w14:textId="77777777" w:rsidR="00344ABC" w:rsidRPr="00F408B9" w:rsidRDefault="000D2644" w:rsidP="00D73FD2">
      <w:pPr>
        <w:spacing w:before="120" w:after="120"/>
        <w:ind w:left="851" w:right="900"/>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b/>
          <w:i/>
          <w:sz w:val="22"/>
          <w:szCs w:val="22"/>
        </w:rPr>
        <w:t xml:space="preserve">2. </w:t>
      </w:r>
      <w:r w:rsidRPr="00F408B9">
        <w:rPr>
          <w:rFonts w:ascii="Palatino Linotype" w:eastAsia="Palatino Linotype" w:hAnsi="Palatino Linotype" w:cs="Palatino Linotype"/>
          <w:i/>
          <w:sz w:val="22"/>
          <w:szCs w:val="22"/>
        </w:rPr>
        <w:t>La recaudación de las contribuciones.</w:t>
      </w:r>
    </w:p>
    <w:p w14:paraId="19B2C9B2" w14:textId="77777777" w:rsidR="00344ABC" w:rsidRPr="00F408B9" w:rsidRDefault="000D2644" w:rsidP="00D73FD2">
      <w:pPr>
        <w:spacing w:before="120" w:after="120"/>
        <w:ind w:left="851" w:right="900"/>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b/>
          <w:i/>
          <w:sz w:val="22"/>
          <w:szCs w:val="22"/>
        </w:rPr>
        <w:t xml:space="preserve">VI. </w:t>
      </w:r>
      <w:r w:rsidRPr="00F408B9">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7AF068BC" w14:textId="77777777" w:rsidR="00344ABC" w:rsidRPr="00F408B9" w:rsidRDefault="000D2644" w:rsidP="00D73FD2">
      <w:pPr>
        <w:spacing w:before="120" w:after="120"/>
        <w:ind w:left="851" w:right="900"/>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b/>
          <w:i/>
          <w:sz w:val="22"/>
          <w:szCs w:val="22"/>
        </w:rPr>
        <w:t xml:space="preserve">VII. </w:t>
      </w:r>
      <w:r w:rsidRPr="00F408B9">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73EEF88B" w14:textId="77777777" w:rsidR="00344ABC" w:rsidRPr="00F408B9" w:rsidRDefault="000D2644" w:rsidP="00D73FD2">
      <w:pPr>
        <w:spacing w:before="120" w:after="120"/>
        <w:ind w:left="851" w:right="900"/>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b/>
          <w:i/>
          <w:sz w:val="22"/>
          <w:szCs w:val="22"/>
        </w:rPr>
        <w:t>VIII</w:t>
      </w:r>
      <w:r w:rsidRPr="00F408B9">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F408B9">
        <w:rPr>
          <w:rFonts w:ascii="Palatino Linotype" w:eastAsia="Palatino Linotype" w:hAnsi="Palatino Linotype" w:cs="Palatino Linotype"/>
          <w:b/>
          <w:i/>
          <w:sz w:val="22"/>
          <w:szCs w:val="22"/>
        </w:rPr>
        <w:t>;</w:t>
      </w:r>
    </w:p>
    <w:p w14:paraId="31C1DD44" w14:textId="77777777" w:rsidR="00344ABC" w:rsidRPr="00F408B9" w:rsidRDefault="000D2644" w:rsidP="00D73FD2">
      <w:pPr>
        <w:spacing w:before="120" w:after="120"/>
        <w:ind w:left="851" w:right="900"/>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b/>
          <w:i/>
          <w:sz w:val="22"/>
          <w:szCs w:val="22"/>
        </w:rPr>
        <w:t xml:space="preserve">IX. </w:t>
      </w:r>
      <w:r w:rsidRPr="00F408B9">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75523B6A" w14:textId="77777777" w:rsidR="00344ABC" w:rsidRPr="00F408B9" w:rsidRDefault="000D2644" w:rsidP="00D73FD2">
      <w:pPr>
        <w:spacing w:before="120" w:after="120"/>
        <w:ind w:left="851" w:right="900"/>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b/>
          <w:i/>
          <w:sz w:val="22"/>
          <w:szCs w:val="22"/>
        </w:rPr>
        <w:t xml:space="preserve">X. </w:t>
      </w:r>
      <w:r w:rsidRPr="00F408B9">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EBE36CF" w14:textId="77777777" w:rsidR="00344ABC" w:rsidRPr="00F408B9" w:rsidRDefault="000D2644" w:rsidP="00D73FD2">
      <w:pPr>
        <w:spacing w:before="120" w:after="120"/>
        <w:ind w:left="851" w:right="900"/>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2499338" w14:textId="77777777" w:rsidR="00344ABC" w:rsidRPr="00F408B9" w:rsidRDefault="000D2644" w:rsidP="00D73FD2">
      <w:pPr>
        <w:spacing w:before="120" w:after="120"/>
        <w:ind w:left="851" w:right="900"/>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b/>
          <w:i/>
          <w:sz w:val="22"/>
          <w:szCs w:val="22"/>
        </w:rPr>
        <w:t xml:space="preserve">XI. </w:t>
      </w:r>
      <w:r w:rsidRPr="00F408B9">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2BA1941A" w14:textId="77777777" w:rsidR="00344ABC" w:rsidRPr="00F408B9" w:rsidRDefault="000D2644" w:rsidP="00D73FD2">
      <w:pPr>
        <w:spacing w:before="120" w:after="120"/>
        <w:ind w:left="851" w:right="900"/>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i/>
          <w:sz w:val="22"/>
          <w:szCs w:val="22"/>
        </w:rPr>
        <w:t>(…)</w:t>
      </w:r>
    </w:p>
    <w:p w14:paraId="70BB6B3B" w14:textId="77777777" w:rsidR="00344ABC" w:rsidRPr="00F408B9" w:rsidRDefault="000D2644" w:rsidP="00D73FD2">
      <w:pPr>
        <w:spacing w:before="120" w:after="120"/>
        <w:ind w:left="851" w:right="900"/>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b/>
          <w:i/>
          <w:sz w:val="22"/>
          <w:szCs w:val="22"/>
        </w:rPr>
        <w:t xml:space="preserve">Artículo 143. </w:t>
      </w:r>
      <w:r w:rsidRPr="00F408B9">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10DA2B4" w14:textId="77777777" w:rsidR="00344ABC" w:rsidRPr="00F408B9" w:rsidRDefault="000D2644" w:rsidP="00D73FD2">
      <w:pPr>
        <w:spacing w:before="120" w:after="120"/>
        <w:ind w:left="851" w:right="900"/>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b/>
          <w:i/>
          <w:sz w:val="22"/>
          <w:szCs w:val="22"/>
        </w:rPr>
        <w:t xml:space="preserve">I. </w:t>
      </w:r>
      <w:r w:rsidRPr="00F408B9">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6327BF5C" w14:textId="77777777" w:rsidR="00344ABC" w:rsidRPr="00F408B9" w:rsidRDefault="000D2644" w:rsidP="00D73FD2">
      <w:pPr>
        <w:spacing w:before="120" w:after="120"/>
        <w:ind w:left="851" w:right="900"/>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b/>
          <w:i/>
          <w:sz w:val="22"/>
          <w:szCs w:val="22"/>
        </w:rPr>
        <w:t xml:space="preserve">II. </w:t>
      </w:r>
      <w:r w:rsidRPr="00F408B9">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E522D0" w14:textId="77777777" w:rsidR="00344ABC" w:rsidRPr="00F408B9" w:rsidRDefault="000D2644" w:rsidP="00D73FD2">
      <w:pPr>
        <w:spacing w:before="120" w:after="120"/>
        <w:ind w:left="851" w:right="900"/>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b/>
          <w:i/>
          <w:sz w:val="22"/>
          <w:szCs w:val="22"/>
        </w:rPr>
        <w:t xml:space="preserve">III. </w:t>
      </w:r>
      <w:r w:rsidRPr="00F408B9">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1F7538BE" w14:textId="77777777" w:rsidR="00344ABC" w:rsidRPr="00F408B9" w:rsidRDefault="000D2644" w:rsidP="00D73FD2">
      <w:pPr>
        <w:spacing w:before="120" w:after="120"/>
        <w:ind w:left="851" w:right="900"/>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6F0E86D2" w14:textId="77777777" w:rsidR="00344ABC" w:rsidRPr="00F408B9" w:rsidRDefault="000D2644" w:rsidP="00D73FD2">
      <w:pPr>
        <w:spacing w:before="120" w:after="120"/>
        <w:ind w:left="851"/>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B57102A" w14:textId="77777777" w:rsidR="00344ABC" w:rsidRPr="00F408B9" w:rsidRDefault="000D2644">
      <w:pPr>
        <w:spacing w:before="280" w:after="280" w:line="360" w:lineRule="auto"/>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613E80E" w14:textId="77777777" w:rsidR="00344ABC" w:rsidRPr="00F408B9" w:rsidRDefault="000D2644">
      <w:pPr>
        <w:numPr>
          <w:ilvl w:val="0"/>
          <w:numId w:val="2"/>
        </w:numPr>
        <w:tabs>
          <w:tab w:val="left" w:pos="851"/>
        </w:tabs>
        <w:spacing w:before="280" w:line="360" w:lineRule="auto"/>
        <w:ind w:left="567" w:firstLine="0"/>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sz w:val="22"/>
          <w:szCs w:val="22"/>
        </w:rPr>
        <w:t>Se reciba una solicitud de acceso a la información;</w:t>
      </w:r>
    </w:p>
    <w:p w14:paraId="74BA6841" w14:textId="77777777" w:rsidR="00344ABC" w:rsidRPr="00F408B9" w:rsidRDefault="000D2644">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sz w:val="22"/>
          <w:szCs w:val="22"/>
        </w:rPr>
        <w:t>Se determine mediante resolución de autoridad competente; y/o</w:t>
      </w:r>
    </w:p>
    <w:p w14:paraId="2E3E7987" w14:textId="77777777" w:rsidR="00344ABC" w:rsidRPr="00F408B9" w:rsidRDefault="000D2644">
      <w:pPr>
        <w:numPr>
          <w:ilvl w:val="0"/>
          <w:numId w:val="2"/>
        </w:numPr>
        <w:tabs>
          <w:tab w:val="left" w:pos="851"/>
        </w:tabs>
        <w:spacing w:after="280" w:line="360" w:lineRule="auto"/>
        <w:ind w:left="567" w:firstLine="0"/>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sz w:val="22"/>
          <w:szCs w:val="22"/>
        </w:rPr>
        <w:t>Se generen versiones públicas para dar cumplimiento a las obligaciones de transparencia previstas en la Ley.</w:t>
      </w:r>
    </w:p>
    <w:p w14:paraId="2DC909E2" w14:textId="0A86DA06" w:rsidR="00344ABC" w:rsidRPr="00F408B9" w:rsidRDefault="000D2644">
      <w:pPr>
        <w:spacing w:before="280" w:after="280" w:line="360" w:lineRule="auto"/>
        <w:ind w:right="51"/>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F408B9">
        <w:rPr>
          <w:rFonts w:ascii="Palatino Linotype" w:eastAsia="Palatino Linotype" w:hAnsi="Palatino Linotype" w:cs="Palatino Linotype"/>
          <w:b/>
          <w:sz w:val="22"/>
          <w:szCs w:val="22"/>
        </w:rPr>
        <w:t>Sujeto Obligado,</w:t>
      </w:r>
      <w:r w:rsidRPr="00F408B9">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F408B9">
        <w:rPr>
          <w:rFonts w:ascii="Palatino Linotype" w:eastAsia="Palatino Linotype" w:hAnsi="Palatino Linotype" w:cs="Palatino Linotype"/>
          <w:b/>
          <w:sz w:val="22"/>
          <w:szCs w:val="22"/>
        </w:rPr>
        <w:t>Sujeto Obligado</w:t>
      </w:r>
      <w:r w:rsidRPr="00F408B9">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49, fracciones II y VIII, 53, fracción X y 59, fracción V de la Ley de Transparencia y Acceso a la Información Pública del Estado de México y Municipios, a saber:</w:t>
      </w:r>
    </w:p>
    <w:p w14:paraId="148CF4C7" w14:textId="77777777" w:rsidR="00344ABC" w:rsidRPr="00F408B9" w:rsidRDefault="000D2644" w:rsidP="00D73FD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i/>
          <w:sz w:val="22"/>
          <w:szCs w:val="22"/>
        </w:rPr>
        <w:t>“</w:t>
      </w:r>
      <w:r w:rsidRPr="00F408B9">
        <w:rPr>
          <w:rFonts w:ascii="Palatino Linotype" w:eastAsia="Palatino Linotype" w:hAnsi="Palatino Linotype" w:cs="Palatino Linotype"/>
          <w:b/>
          <w:i/>
          <w:sz w:val="22"/>
          <w:szCs w:val="22"/>
        </w:rPr>
        <w:t>Artículo 49.</w:t>
      </w:r>
      <w:r w:rsidRPr="00F408B9">
        <w:rPr>
          <w:rFonts w:ascii="Palatino Linotype" w:eastAsia="Palatino Linotype" w:hAnsi="Palatino Linotype" w:cs="Palatino Linotype"/>
          <w:i/>
          <w:sz w:val="22"/>
          <w:szCs w:val="22"/>
        </w:rPr>
        <w:t xml:space="preserve"> Los Comités de Transparencia tendrán las siguientes atribuciones:</w:t>
      </w:r>
    </w:p>
    <w:p w14:paraId="7E972951" w14:textId="77777777" w:rsidR="00344ABC" w:rsidRPr="00F408B9" w:rsidRDefault="000D2644" w:rsidP="00D73FD2">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F408B9">
        <w:rPr>
          <w:rFonts w:ascii="Palatino Linotype" w:eastAsia="Palatino Linotype" w:hAnsi="Palatino Linotype" w:cs="Palatino Linotype"/>
          <w:b/>
          <w:i/>
          <w:sz w:val="22"/>
          <w:szCs w:val="22"/>
        </w:rPr>
        <w:t>…</w:t>
      </w:r>
    </w:p>
    <w:p w14:paraId="0818FD05" w14:textId="77777777" w:rsidR="00344ABC" w:rsidRPr="00F408B9" w:rsidRDefault="000D2644" w:rsidP="00D73FD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b/>
          <w:i/>
          <w:sz w:val="22"/>
          <w:szCs w:val="22"/>
        </w:rPr>
        <w:t>II.</w:t>
      </w:r>
      <w:r w:rsidRPr="00F408B9">
        <w:rPr>
          <w:rFonts w:ascii="Palatino Linotype" w:eastAsia="Palatino Linotype" w:hAnsi="Palatino Linotype" w:cs="Palatino Linotype"/>
          <w:i/>
          <w:sz w:val="22"/>
          <w:szCs w:val="22"/>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41AF4E35" w14:textId="77777777" w:rsidR="00344ABC" w:rsidRPr="00F408B9" w:rsidRDefault="000D2644" w:rsidP="00D73FD2">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F408B9">
        <w:rPr>
          <w:rFonts w:ascii="Palatino Linotype" w:eastAsia="Palatino Linotype" w:hAnsi="Palatino Linotype" w:cs="Palatino Linotype"/>
          <w:b/>
          <w:i/>
          <w:sz w:val="22"/>
          <w:szCs w:val="22"/>
        </w:rPr>
        <w:t>…</w:t>
      </w:r>
    </w:p>
    <w:p w14:paraId="7D58133A" w14:textId="77777777" w:rsidR="00344ABC" w:rsidRPr="00F408B9" w:rsidRDefault="000D2644" w:rsidP="00D73FD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b/>
          <w:i/>
          <w:sz w:val="22"/>
          <w:szCs w:val="22"/>
        </w:rPr>
        <w:t>VIII.</w:t>
      </w:r>
      <w:r w:rsidRPr="00F408B9">
        <w:rPr>
          <w:rFonts w:ascii="Palatino Linotype" w:eastAsia="Palatino Linotype" w:hAnsi="Palatino Linotype" w:cs="Palatino Linotype"/>
          <w:i/>
          <w:sz w:val="22"/>
          <w:szCs w:val="22"/>
        </w:rPr>
        <w:t xml:space="preserve"> Aprobar, modificar o revocar la clasificación de la información;</w:t>
      </w:r>
    </w:p>
    <w:p w14:paraId="36E69F51" w14:textId="77777777" w:rsidR="00344ABC" w:rsidRPr="00F408B9" w:rsidRDefault="000D2644" w:rsidP="00D73FD2">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F408B9">
        <w:rPr>
          <w:rFonts w:ascii="Palatino Linotype" w:eastAsia="Palatino Linotype" w:hAnsi="Palatino Linotype" w:cs="Palatino Linotype"/>
          <w:b/>
          <w:i/>
          <w:sz w:val="22"/>
          <w:szCs w:val="22"/>
        </w:rPr>
        <w:t>…</w:t>
      </w:r>
    </w:p>
    <w:p w14:paraId="487ABB05" w14:textId="77777777" w:rsidR="00344ABC" w:rsidRPr="00F408B9" w:rsidRDefault="000D2644" w:rsidP="00D73FD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b/>
          <w:i/>
          <w:sz w:val="22"/>
          <w:szCs w:val="22"/>
        </w:rPr>
        <w:t>Artículo 5</w:t>
      </w:r>
      <w:r w:rsidRPr="00F408B9">
        <w:rPr>
          <w:rFonts w:ascii="Palatino Linotype" w:eastAsia="Palatino Linotype" w:hAnsi="Palatino Linotype" w:cs="Palatino Linotype"/>
          <w:i/>
          <w:sz w:val="22"/>
          <w:szCs w:val="22"/>
        </w:rPr>
        <w:t>3. Las Unidades de Transparencia tendrán las siguientes funciones:</w:t>
      </w:r>
    </w:p>
    <w:p w14:paraId="27658B6E" w14:textId="77777777" w:rsidR="00344ABC" w:rsidRPr="00F408B9" w:rsidRDefault="000D2644" w:rsidP="00D73FD2">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F408B9">
        <w:rPr>
          <w:rFonts w:ascii="Palatino Linotype" w:eastAsia="Palatino Linotype" w:hAnsi="Palatino Linotype" w:cs="Palatino Linotype"/>
          <w:b/>
          <w:i/>
          <w:sz w:val="22"/>
          <w:szCs w:val="22"/>
        </w:rPr>
        <w:t>…</w:t>
      </w:r>
    </w:p>
    <w:p w14:paraId="7DA2C1EA" w14:textId="77777777" w:rsidR="00344ABC" w:rsidRPr="00F408B9" w:rsidRDefault="000D2644" w:rsidP="00D73FD2">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F408B9">
        <w:rPr>
          <w:rFonts w:ascii="Palatino Linotype" w:eastAsia="Palatino Linotype" w:hAnsi="Palatino Linotype" w:cs="Palatino Linotype"/>
          <w:b/>
          <w:i/>
          <w:sz w:val="22"/>
          <w:szCs w:val="22"/>
        </w:rPr>
        <w:t>X</w:t>
      </w:r>
      <w:r w:rsidRPr="00F408B9">
        <w:rPr>
          <w:rFonts w:ascii="Palatino Linotype" w:eastAsia="Palatino Linotype" w:hAnsi="Palatino Linotype" w:cs="Palatino Linotype"/>
          <w:i/>
          <w:sz w:val="22"/>
          <w:szCs w:val="22"/>
        </w:rPr>
        <w:t>. Presentar ante el Comité, el proyecto de clasificación de información</w:t>
      </w:r>
    </w:p>
    <w:p w14:paraId="67F62EBC" w14:textId="77777777" w:rsidR="00344ABC" w:rsidRPr="00F408B9" w:rsidRDefault="000D2644" w:rsidP="00D73FD2">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F408B9">
        <w:rPr>
          <w:rFonts w:ascii="Palatino Linotype" w:eastAsia="Palatino Linotype" w:hAnsi="Palatino Linotype" w:cs="Palatino Linotype"/>
          <w:b/>
          <w:i/>
          <w:sz w:val="22"/>
          <w:szCs w:val="22"/>
        </w:rPr>
        <w:t>…</w:t>
      </w:r>
    </w:p>
    <w:p w14:paraId="6A6BBE88" w14:textId="77777777" w:rsidR="00344ABC" w:rsidRPr="00F408B9" w:rsidRDefault="000D2644" w:rsidP="00D73FD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b/>
          <w:i/>
          <w:sz w:val="22"/>
          <w:szCs w:val="22"/>
        </w:rPr>
        <w:t>Artículo 59.</w:t>
      </w:r>
      <w:r w:rsidRPr="00F408B9">
        <w:rPr>
          <w:rFonts w:ascii="Palatino Linotype" w:eastAsia="Palatino Linotype" w:hAnsi="Palatino Linotype" w:cs="Palatino Linotype"/>
          <w:i/>
          <w:sz w:val="22"/>
          <w:szCs w:val="22"/>
        </w:rPr>
        <w:t xml:space="preserve"> Los servidores públicos habilitados tendrán las funciones siguientes:</w:t>
      </w:r>
    </w:p>
    <w:p w14:paraId="42795840" w14:textId="77777777" w:rsidR="00344ABC" w:rsidRPr="00F408B9" w:rsidRDefault="000D2644" w:rsidP="00D73FD2">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F408B9">
        <w:rPr>
          <w:rFonts w:ascii="Palatino Linotype" w:eastAsia="Palatino Linotype" w:hAnsi="Palatino Linotype" w:cs="Palatino Linotype"/>
          <w:b/>
          <w:i/>
          <w:sz w:val="22"/>
          <w:szCs w:val="22"/>
        </w:rPr>
        <w:t>…</w:t>
      </w:r>
    </w:p>
    <w:p w14:paraId="443B57DB" w14:textId="77777777" w:rsidR="00344ABC" w:rsidRPr="00F408B9" w:rsidRDefault="000D2644" w:rsidP="00D73FD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b/>
          <w:i/>
          <w:sz w:val="22"/>
          <w:szCs w:val="22"/>
        </w:rPr>
        <w:t>V.</w:t>
      </w:r>
      <w:r w:rsidRPr="00F408B9">
        <w:rPr>
          <w:rFonts w:ascii="Palatino Linotype" w:eastAsia="Palatino Linotype" w:hAnsi="Palatino Linotype" w:cs="Palatino Linotype"/>
          <w:i/>
          <w:sz w:val="22"/>
          <w:szCs w:val="22"/>
        </w:rPr>
        <w:t xml:space="preserve"> Integrar y presentar al responsable de la Unidad de Transparencia la propuesta de clasificación de información, la cual tendrá los fundamentos y argumentos en que se basa dicha propuesta;”</w:t>
      </w:r>
    </w:p>
    <w:p w14:paraId="33A646C6" w14:textId="77777777" w:rsidR="00344ABC" w:rsidRPr="00F408B9" w:rsidRDefault="000D2644">
      <w:pPr>
        <w:spacing w:before="280" w:after="280" w:line="360" w:lineRule="auto"/>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sz w:val="22"/>
          <w:szCs w:val="22"/>
        </w:rPr>
        <w:t xml:space="preserve">Bajo tales consideraciones, este Organismo Garante no omite señalar que, si el </w:t>
      </w:r>
      <w:r w:rsidRPr="00F408B9">
        <w:rPr>
          <w:rFonts w:ascii="Palatino Linotype" w:eastAsia="Palatino Linotype" w:hAnsi="Palatino Linotype" w:cs="Palatino Linotype"/>
          <w:b/>
          <w:sz w:val="22"/>
          <w:szCs w:val="22"/>
        </w:rPr>
        <w:t>Sujeto Obligado</w:t>
      </w:r>
      <w:r w:rsidRPr="00F408B9">
        <w:rPr>
          <w:rFonts w:ascii="Palatino Linotype" w:eastAsia="Palatino Linotype" w:hAnsi="Palatino Linotype" w:cs="Palatino Linotype"/>
          <w:sz w:val="22"/>
          <w:szCs w:val="22"/>
        </w:rPr>
        <w:t xml:space="preserve"> advierte que la información solicitada contiene </w:t>
      </w:r>
      <w:r w:rsidRPr="00F408B9">
        <w:rPr>
          <w:rFonts w:ascii="Palatino Linotype" w:eastAsia="Palatino Linotype" w:hAnsi="Palatino Linotype" w:cs="Palatino Linotype"/>
          <w:b/>
          <w:sz w:val="22"/>
          <w:szCs w:val="22"/>
        </w:rPr>
        <w:t>datos personales</w:t>
      </w:r>
      <w:r w:rsidRPr="00F408B9">
        <w:rPr>
          <w:rFonts w:ascii="Palatino Linotype" w:eastAsia="Palatino Linotype" w:hAnsi="Palatino Linotype" w:cs="Palatino Linotype"/>
          <w:sz w:val="22"/>
          <w:szCs w:val="22"/>
        </w:rPr>
        <w:t xml:space="preserve"> que sean susceptibles de ser </w:t>
      </w:r>
      <w:r w:rsidRPr="00F408B9">
        <w:rPr>
          <w:rFonts w:ascii="Palatino Linotype" w:eastAsia="Palatino Linotype" w:hAnsi="Palatino Linotype" w:cs="Palatino Linotype"/>
          <w:b/>
          <w:sz w:val="22"/>
          <w:szCs w:val="22"/>
        </w:rPr>
        <w:t xml:space="preserve">clasificados como confidenciales, </w:t>
      </w:r>
      <w:r w:rsidRPr="00F408B9">
        <w:rPr>
          <w:rFonts w:ascii="Palatino Linotype" w:eastAsia="Palatino Linotype" w:hAnsi="Palatino Linotype" w:cs="Palatino Linotype"/>
          <w:sz w:val="22"/>
          <w:szCs w:val="22"/>
        </w:rPr>
        <w:t>o, si por otro lado</w:t>
      </w:r>
      <w:r w:rsidRPr="00F408B9">
        <w:rPr>
          <w:rFonts w:ascii="Palatino Linotype" w:eastAsia="Palatino Linotype" w:hAnsi="Palatino Linotype" w:cs="Palatino Linotype"/>
          <w:b/>
          <w:sz w:val="22"/>
          <w:szCs w:val="22"/>
        </w:rPr>
        <w:t>, por su propia y especial naturaleza,</w:t>
      </w:r>
      <w:r w:rsidRPr="00F408B9">
        <w:rPr>
          <w:rFonts w:ascii="Palatino Linotype" w:eastAsia="Palatino Linotype" w:hAnsi="Palatino Linotype" w:cs="Palatino Linotype"/>
          <w:sz w:val="22"/>
          <w:szCs w:val="22"/>
        </w:rPr>
        <w:t xml:space="preserve"> encuadra en alguno de los </w:t>
      </w:r>
      <w:r w:rsidRPr="00F408B9">
        <w:rPr>
          <w:rFonts w:ascii="Palatino Linotype" w:eastAsia="Palatino Linotype" w:hAnsi="Palatino Linotype" w:cs="Palatino Linotype"/>
          <w:b/>
          <w:sz w:val="22"/>
          <w:szCs w:val="22"/>
        </w:rPr>
        <w:t>supuestos de reserva o de confidencialidad en su totalidad</w:t>
      </w:r>
      <w:r w:rsidRPr="00F408B9">
        <w:rPr>
          <w:rFonts w:ascii="Palatino Linotype" w:eastAsia="Palatino Linotype" w:hAnsi="Palatino Linotype" w:cs="Palatino Linotype"/>
          <w:sz w:val="22"/>
          <w:szCs w:val="22"/>
        </w:rPr>
        <w:t>, deberá emitir, un</w:t>
      </w:r>
      <w:r w:rsidRPr="00F408B9">
        <w:rPr>
          <w:rFonts w:ascii="Palatino Linotype" w:eastAsia="Palatino Linotype" w:hAnsi="Palatino Linotype" w:cs="Palatino Linotype"/>
          <w:b/>
          <w:sz w:val="22"/>
          <w:szCs w:val="22"/>
        </w:rPr>
        <w:t xml:space="preserve"> Acuerdo de Clasificación </w:t>
      </w:r>
      <w:r w:rsidRPr="00F408B9">
        <w:rPr>
          <w:rFonts w:ascii="Palatino Linotype" w:eastAsia="Palatino Linotype" w:hAnsi="Palatino Linotype" w:cs="Palatino Linotype"/>
          <w:sz w:val="22"/>
          <w:szCs w:val="22"/>
        </w:rPr>
        <w:t>debidamente fundado y motivado que</w:t>
      </w:r>
      <w:r w:rsidRPr="00F408B9">
        <w:rPr>
          <w:rFonts w:ascii="Palatino Linotype" w:eastAsia="Palatino Linotype" w:hAnsi="Palatino Linotype" w:cs="Palatino Linotype"/>
          <w:b/>
          <w:sz w:val="22"/>
          <w:szCs w:val="22"/>
        </w:rPr>
        <w:t xml:space="preserve"> sustente la clasificación parcial, a través de la versión pública que emita,</w:t>
      </w:r>
      <w:r w:rsidRPr="00F408B9">
        <w:rPr>
          <w:rFonts w:ascii="Palatino Linotype" w:eastAsia="Palatino Linotype" w:hAnsi="Palatino Linotype" w:cs="Palatino Linotype"/>
          <w:sz w:val="22"/>
          <w:szCs w:val="22"/>
        </w:rPr>
        <w:t xml:space="preserve"> o bien, la restricción total del derecho de acceso a la información.  </w:t>
      </w:r>
    </w:p>
    <w:p w14:paraId="4F55809D" w14:textId="77777777" w:rsidR="00D73FD2" w:rsidRPr="00F408B9" w:rsidRDefault="00D73FD2">
      <w:pPr>
        <w:spacing w:before="280" w:after="280" w:line="360" w:lineRule="auto"/>
        <w:jc w:val="both"/>
        <w:rPr>
          <w:rFonts w:ascii="Palatino Linotype" w:eastAsia="Palatino Linotype" w:hAnsi="Palatino Linotype" w:cs="Palatino Linotype"/>
          <w:sz w:val="22"/>
          <w:szCs w:val="22"/>
        </w:rPr>
      </w:pPr>
    </w:p>
    <w:p w14:paraId="0CF5E815" w14:textId="77777777" w:rsidR="00344ABC" w:rsidRPr="00F408B9" w:rsidRDefault="000D2644">
      <w:pPr>
        <w:numPr>
          <w:ilvl w:val="0"/>
          <w:numId w:val="6"/>
        </w:num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b/>
          <w:sz w:val="22"/>
          <w:szCs w:val="22"/>
        </w:rPr>
        <w:t>De la clasificación parcial de la información.</w:t>
      </w:r>
    </w:p>
    <w:p w14:paraId="50D5326A" w14:textId="77777777" w:rsidR="00344ABC" w:rsidRPr="00F408B9" w:rsidRDefault="000D2644">
      <w:pPr>
        <w:spacing w:before="280" w:after="280" w:line="360" w:lineRule="auto"/>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1DFBDC9C" w14:textId="77777777" w:rsidR="00344ABC" w:rsidRPr="00F408B9" w:rsidRDefault="000D2644">
      <w:pPr>
        <w:numPr>
          <w:ilvl w:val="0"/>
          <w:numId w:val="5"/>
        </w:num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b/>
          <w:sz w:val="22"/>
          <w:szCs w:val="22"/>
        </w:rPr>
      </w:pPr>
      <w:r w:rsidRPr="00F408B9">
        <w:rPr>
          <w:rFonts w:ascii="Palatino Linotype" w:eastAsia="Palatino Linotype" w:hAnsi="Palatino Linotype" w:cs="Palatino Linotype"/>
          <w:b/>
          <w:sz w:val="22"/>
          <w:szCs w:val="22"/>
        </w:rPr>
        <w:t xml:space="preserve"> De la clasificación de información como reservada.</w:t>
      </w:r>
    </w:p>
    <w:p w14:paraId="624B06D1" w14:textId="77777777" w:rsidR="00344ABC" w:rsidRPr="00F408B9" w:rsidRDefault="000D2644">
      <w:pPr>
        <w:spacing w:before="280" w:after="280" w:line="360" w:lineRule="auto"/>
        <w:ind w:right="51"/>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F408B9">
        <w:rPr>
          <w:rFonts w:ascii="Palatino Linotype" w:eastAsia="Palatino Linotype" w:hAnsi="Palatino Linotype" w:cs="Palatino Linotype"/>
          <w:b/>
          <w:sz w:val="22"/>
          <w:szCs w:val="22"/>
        </w:rPr>
        <w:t>Sujeto Obligado</w:t>
      </w:r>
      <w:r w:rsidRPr="00F408B9">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735157F7" w14:textId="77777777" w:rsidR="00344ABC" w:rsidRPr="00F408B9" w:rsidRDefault="000D2644">
      <w:pPr>
        <w:spacing w:before="280" w:after="280" w:line="360" w:lineRule="auto"/>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2A888FB" w14:textId="77777777" w:rsidR="00344ABC" w:rsidRPr="00F408B9" w:rsidRDefault="000D2644">
      <w:pPr>
        <w:numPr>
          <w:ilvl w:val="0"/>
          <w:numId w:val="3"/>
        </w:numPr>
        <w:tabs>
          <w:tab w:val="left" w:pos="709"/>
        </w:tabs>
        <w:spacing w:before="280" w:line="360" w:lineRule="auto"/>
        <w:ind w:left="426" w:firstLine="1"/>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sz w:val="22"/>
          <w:szCs w:val="22"/>
        </w:rPr>
        <w:t xml:space="preserve">La divulgación de la información representa un </w:t>
      </w:r>
      <w:r w:rsidRPr="00F408B9">
        <w:rPr>
          <w:rFonts w:ascii="Palatino Linotype" w:eastAsia="Palatino Linotype" w:hAnsi="Palatino Linotype" w:cs="Palatino Linotype"/>
          <w:b/>
          <w:sz w:val="22"/>
          <w:szCs w:val="22"/>
        </w:rPr>
        <w:t>riesgo real, demostrable e identificable del perjuicio significativo al interés público o a la seguridad pública</w:t>
      </w:r>
      <w:r w:rsidRPr="00F408B9">
        <w:rPr>
          <w:rFonts w:ascii="Palatino Linotype" w:eastAsia="Palatino Linotype" w:hAnsi="Palatino Linotype" w:cs="Palatino Linotype"/>
          <w:sz w:val="22"/>
          <w:szCs w:val="22"/>
        </w:rPr>
        <w:t>;</w:t>
      </w:r>
    </w:p>
    <w:p w14:paraId="669BCE89" w14:textId="77777777" w:rsidR="00344ABC" w:rsidRPr="00F408B9" w:rsidRDefault="000D2644">
      <w:pPr>
        <w:numPr>
          <w:ilvl w:val="0"/>
          <w:numId w:val="3"/>
        </w:numPr>
        <w:tabs>
          <w:tab w:val="left" w:pos="709"/>
        </w:tabs>
        <w:spacing w:line="360" w:lineRule="auto"/>
        <w:ind w:left="426" w:firstLine="1"/>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sz w:val="22"/>
          <w:szCs w:val="22"/>
        </w:rPr>
        <w:t>El riesgo de perjuicio que supondría la divulgación supera el interés público general de que se difunda; y,</w:t>
      </w:r>
    </w:p>
    <w:p w14:paraId="024F574F" w14:textId="77777777" w:rsidR="00344ABC" w:rsidRPr="00F408B9" w:rsidRDefault="000D2644">
      <w:pPr>
        <w:numPr>
          <w:ilvl w:val="0"/>
          <w:numId w:val="3"/>
        </w:numPr>
        <w:tabs>
          <w:tab w:val="left" w:pos="709"/>
        </w:tabs>
        <w:spacing w:after="280" w:line="360" w:lineRule="auto"/>
        <w:ind w:left="426" w:firstLine="1"/>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38D516A4" w14:textId="77777777" w:rsidR="00344ABC" w:rsidRPr="00F408B9" w:rsidRDefault="000D2644">
      <w:pPr>
        <w:spacing w:before="280" w:after="280" w:line="360" w:lineRule="auto"/>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sz w:val="22"/>
          <w:szCs w:val="22"/>
        </w:rPr>
        <w:t xml:space="preserve">Es pertinente aclarar que, la información que se clasifica bajo la premisa de reservada, </w:t>
      </w:r>
      <w:r w:rsidRPr="00F408B9">
        <w:rPr>
          <w:rFonts w:ascii="Palatino Linotype" w:eastAsia="Palatino Linotype" w:hAnsi="Palatino Linotype" w:cs="Palatino Linotype"/>
          <w:b/>
          <w:sz w:val="22"/>
          <w:szCs w:val="22"/>
        </w:rPr>
        <w:t>no pierde el carácter de pública</w:t>
      </w:r>
      <w:r w:rsidRPr="00F408B9">
        <w:rPr>
          <w:rFonts w:ascii="Palatino Linotype" w:eastAsia="Palatino Linotype" w:hAnsi="Palatino Linotype" w:cs="Palatino Linotype"/>
          <w:sz w:val="22"/>
          <w:szCs w:val="22"/>
        </w:rPr>
        <w:t xml:space="preserve">, sino que </w:t>
      </w:r>
      <w:r w:rsidRPr="00F408B9">
        <w:rPr>
          <w:rFonts w:ascii="Palatino Linotype" w:eastAsia="Palatino Linotype" w:hAnsi="Palatino Linotype" w:cs="Palatino Linotype"/>
          <w:b/>
          <w:sz w:val="22"/>
          <w:szCs w:val="22"/>
        </w:rPr>
        <w:t>se reserva temporalmente</w:t>
      </w:r>
      <w:r w:rsidRPr="00F408B9">
        <w:rPr>
          <w:rFonts w:ascii="Palatino Linotype" w:eastAsia="Palatino Linotype" w:hAnsi="Palatino Linotype" w:cs="Palatino Linotype"/>
          <w:sz w:val="22"/>
          <w:szCs w:val="22"/>
        </w:rPr>
        <w:t xml:space="preserve"> </w:t>
      </w:r>
      <w:r w:rsidRPr="00F408B9">
        <w:rPr>
          <w:rFonts w:ascii="Palatino Linotype" w:eastAsia="Palatino Linotype" w:hAnsi="Palatino Linotype" w:cs="Palatino Linotype"/>
          <w:b/>
          <w:sz w:val="22"/>
          <w:szCs w:val="22"/>
        </w:rPr>
        <w:t>del conocimiento público</w:t>
      </w:r>
      <w:r w:rsidRPr="00F408B9">
        <w:rPr>
          <w:rFonts w:ascii="Palatino Linotype" w:eastAsia="Palatino Linotype" w:hAnsi="Palatino Linotype" w:cs="Palatino Linotype"/>
          <w:sz w:val="22"/>
          <w:szCs w:val="22"/>
        </w:rPr>
        <w:t xml:space="preserve">, es decir, que, </w:t>
      </w:r>
      <w:r w:rsidRPr="00F408B9">
        <w:rPr>
          <w:rFonts w:ascii="Palatino Linotype" w:eastAsia="Palatino Linotype" w:hAnsi="Palatino Linotype" w:cs="Palatino Linotype"/>
          <w:b/>
          <w:sz w:val="22"/>
          <w:szCs w:val="22"/>
        </w:rPr>
        <w:t>por un tiempo determinado</w:t>
      </w:r>
      <w:r w:rsidRPr="00F408B9">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61D25A1C" w14:textId="77777777" w:rsidR="00344ABC" w:rsidRPr="00F408B9" w:rsidRDefault="000D2644">
      <w:pPr>
        <w:spacing w:before="280" w:after="280" w:line="360" w:lineRule="auto"/>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5DD7CE6B" w14:textId="77777777" w:rsidR="00344ABC" w:rsidRPr="00F408B9" w:rsidRDefault="000D2644">
      <w:pPr>
        <w:numPr>
          <w:ilvl w:val="0"/>
          <w:numId w:val="4"/>
        </w:numPr>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b/>
          <w:sz w:val="22"/>
          <w:szCs w:val="22"/>
        </w:rPr>
      </w:pPr>
      <w:r w:rsidRPr="00F408B9">
        <w:rPr>
          <w:rFonts w:ascii="Palatino Linotype" w:eastAsia="Palatino Linotype" w:hAnsi="Palatino Linotype" w:cs="Palatino Linotype"/>
          <w:b/>
          <w:sz w:val="22"/>
          <w:szCs w:val="22"/>
        </w:rPr>
        <w:t>De la clasificación de la información como totalmente confidencial.</w:t>
      </w:r>
    </w:p>
    <w:p w14:paraId="3B16CE71" w14:textId="77777777" w:rsidR="00344ABC" w:rsidRPr="00F408B9" w:rsidRDefault="000D2644">
      <w:pPr>
        <w:tabs>
          <w:tab w:val="left" w:pos="709"/>
        </w:tabs>
        <w:spacing w:before="240" w:after="240" w:line="360" w:lineRule="auto"/>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74FA8A48" w14:textId="77777777" w:rsidR="00344ABC" w:rsidRPr="00F408B9" w:rsidRDefault="000D2644">
      <w:pPr>
        <w:spacing w:before="280" w:after="280" w:line="360" w:lineRule="auto"/>
        <w:ind w:right="51"/>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F408B9">
        <w:rPr>
          <w:rFonts w:ascii="Palatino Linotype" w:eastAsia="Palatino Linotype" w:hAnsi="Palatino Linotype" w:cs="Palatino Linotype"/>
          <w:sz w:val="22"/>
          <w:szCs w:val="22"/>
          <w:vertAlign w:val="superscript"/>
        </w:rPr>
        <w:footnoteReference w:id="2"/>
      </w:r>
      <w:r w:rsidRPr="00F408B9">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4A97E610" w14:textId="6941218D" w:rsidR="00344ABC" w:rsidRPr="00F408B9" w:rsidRDefault="000D2644" w:rsidP="00D73FD2">
      <w:pPr>
        <w:spacing w:before="280" w:after="280" w:line="360" w:lineRule="auto"/>
        <w:ind w:right="51"/>
        <w:jc w:val="both"/>
        <w:rPr>
          <w:rFonts w:ascii="Palatino Linotype" w:eastAsia="Palatino Linotype" w:hAnsi="Palatino Linotype" w:cs="Palatino Linotype"/>
        </w:rPr>
      </w:pPr>
      <w:r w:rsidRPr="00F408B9">
        <w:rPr>
          <w:rFonts w:ascii="Palatino Linotype" w:eastAsia="Palatino Linotype" w:hAnsi="Palatino Linotype" w:cs="Palatino Linotype"/>
          <w:b/>
        </w:rPr>
        <w:t>De la declaratoria de inexistencia de la información</w:t>
      </w:r>
      <w:r w:rsidRPr="00F408B9">
        <w:rPr>
          <w:rFonts w:ascii="Palatino Linotype" w:eastAsia="Palatino Linotype" w:hAnsi="Palatino Linotype" w:cs="Palatino Linotype"/>
        </w:rPr>
        <w:t>.</w:t>
      </w:r>
    </w:p>
    <w:p w14:paraId="4061E208" w14:textId="77777777" w:rsidR="00344ABC" w:rsidRPr="00F408B9" w:rsidRDefault="000D2644">
      <w:pPr>
        <w:spacing w:before="280" w:after="280" w:line="360" w:lineRule="auto"/>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sz w:val="22"/>
          <w:szCs w:val="22"/>
        </w:rPr>
        <w:t xml:space="preserve">Por otro lado, estima prudente señalar al </w:t>
      </w:r>
      <w:r w:rsidRPr="00F408B9">
        <w:rPr>
          <w:rFonts w:ascii="Palatino Linotype" w:eastAsia="Palatino Linotype" w:hAnsi="Palatino Linotype" w:cs="Palatino Linotype"/>
          <w:b/>
          <w:sz w:val="22"/>
          <w:szCs w:val="22"/>
        </w:rPr>
        <w:t>Sujeto Obligado</w:t>
      </w:r>
      <w:r w:rsidRPr="00F408B9">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06292E2B" w14:textId="77777777" w:rsidR="00344ABC" w:rsidRPr="00F408B9" w:rsidRDefault="000D2644">
      <w:pPr>
        <w:spacing w:before="280" w:after="280" w:line="360" w:lineRule="auto"/>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74DCD241" w14:textId="77777777" w:rsidR="00344ABC" w:rsidRPr="00F408B9" w:rsidRDefault="000D2644">
      <w:pPr>
        <w:spacing w:before="280" w:after="280" w:line="360" w:lineRule="auto"/>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567AEF03" w14:textId="77777777" w:rsidR="00344ABC" w:rsidRPr="00F408B9" w:rsidRDefault="000D2644">
      <w:pPr>
        <w:spacing w:before="280" w:after="280" w:line="360" w:lineRule="auto"/>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45303968" w14:textId="77777777" w:rsidR="00344ABC" w:rsidRPr="00F408B9" w:rsidRDefault="000D2644">
      <w:pPr>
        <w:ind w:left="851" w:right="902"/>
        <w:jc w:val="both"/>
        <w:rPr>
          <w:rFonts w:ascii="Palatino Linotype" w:eastAsia="Palatino Linotype" w:hAnsi="Palatino Linotype" w:cs="Palatino Linotype"/>
          <w:i/>
          <w:sz w:val="22"/>
          <w:szCs w:val="22"/>
        </w:rPr>
      </w:pPr>
      <w:r w:rsidRPr="00F408B9">
        <w:rPr>
          <w:rFonts w:ascii="Palatino Linotype" w:eastAsia="Palatino Linotype" w:hAnsi="Palatino Linotype" w:cs="Palatino Linotype"/>
          <w:b/>
          <w:i/>
          <w:sz w:val="22"/>
          <w:szCs w:val="22"/>
        </w:rPr>
        <w:t xml:space="preserve">“INEXISTENCIA DE LA INFORMACIÓN. SUPUESTOS PARA EMITIR LA RESOLUCIÓN DE LA. </w:t>
      </w:r>
      <w:r w:rsidRPr="00F408B9">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66171329" w14:textId="77777777" w:rsidR="00344ABC" w:rsidRPr="00F408B9" w:rsidRDefault="000D2644">
      <w:pPr>
        <w:spacing w:before="280" w:after="280" w:line="360" w:lineRule="auto"/>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sz w:val="22"/>
          <w:szCs w:val="22"/>
        </w:rPr>
        <w:t xml:space="preserve">En mérito de todo lo expuesto, ante lo </w:t>
      </w:r>
      <w:r w:rsidRPr="00F408B9">
        <w:rPr>
          <w:rFonts w:ascii="Palatino Linotype" w:eastAsia="Palatino Linotype" w:hAnsi="Palatino Linotype" w:cs="Palatino Linotype"/>
          <w:b/>
          <w:sz w:val="22"/>
          <w:szCs w:val="22"/>
        </w:rPr>
        <w:t>fundado</w:t>
      </w:r>
      <w:r w:rsidRPr="00F408B9">
        <w:rPr>
          <w:rFonts w:ascii="Palatino Linotype" w:eastAsia="Palatino Linotype" w:hAnsi="Palatino Linotype" w:cs="Palatino Linotype"/>
          <w:sz w:val="22"/>
          <w:szCs w:val="22"/>
        </w:rPr>
        <w:t xml:space="preserve"> de las razones o motivos de inconformidad hechos valer por la parte </w:t>
      </w:r>
      <w:r w:rsidRPr="00F408B9">
        <w:rPr>
          <w:rFonts w:ascii="Palatino Linotype" w:eastAsia="Palatino Linotype" w:hAnsi="Palatino Linotype" w:cs="Palatino Linotype"/>
          <w:b/>
          <w:sz w:val="22"/>
          <w:szCs w:val="22"/>
        </w:rPr>
        <w:t>Recurrente</w:t>
      </w:r>
      <w:r w:rsidRPr="00F408B9">
        <w:rPr>
          <w:rFonts w:ascii="Palatino Linotype" w:eastAsia="Palatino Linotype" w:hAnsi="Palatino Linotype" w:cs="Palatino Linotype"/>
          <w:sz w:val="22"/>
          <w:szCs w:val="22"/>
        </w:rPr>
        <w:t xml:space="preserve">, este Instituto estima que lo dable es </w:t>
      </w:r>
      <w:r w:rsidRPr="00F408B9">
        <w:rPr>
          <w:rFonts w:ascii="Palatino Linotype" w:eastAsia="Palatino Linotype" w:hAnsi="Palatino Linotype" w:cs="Palatino Linotype"/>
          <w:b/>
          <w:sz w:val="22"/>
          <w:szCs w:val="22"/>
        </w:rPr>
        <w:t>Ordenar</w:t>
      </w:r>
      <w:r w:rsidRPr="00F408B9">
        <w:rPr>
          <w:rFonts w:ascii="Palatino Linotype" w:eastAsia="Palatino Linotype" w:hAnsi="Palatino Linotype" w:cs="Palatino Linotype"/>
          <w:sz w:val="22"/>
          <w:szCs w:val="22"/>
        </w:rPr>
        <w:t xml:space="preserve"> al </w:t>
      </w:r>
      <w:r w:rsidRPr="00F408B9">
        <w:rPr>
          <w:rFonts w:ascii="Palatino Linotype" w:eastAsia="Palatino Linotype" w:hAnsi="Palatino Linotype" w:cs="Palatino Linotype"/>
          <w:b/>
          <w:sz w:val="22"/>
          <w:szCs w:val="22"/>
        </w:rPr>
        <w:t>Sujeto Obligado</w:t>
      </w:r>
      <w:r w:rsidRPr="00F408B9">
        <w:rPr>
          <w:rFonts w:ascii="Palatino Linotype" w:eastAsia="Palatino Linotype" w:hAnsi="Palatino Linotype" w:cs="Palatino Linotype"/>
          <w:sz w:val="22"/>
          <w:szCs w:val="22"/>
        </w:rPr>
        <w:t xml:space="preserve"> dé respuesta a las solicitudes de acceso a la información, atendiendo lo señalado en el presente Considerando.</w:t>
      </w:r>
    </w:p>
    <w:p w14:paraId="55DCFF8B" w14:textId="77777777" w:rsidR="00D73FD2" w:rsidRPr="00F408B9" w:rsidRDefault="000D2644" w:rsidP="00D73FD2">
      <w:pPr>
        <w:spacing w:before="240" w:after="240" w:line="360" w:lineRule="auto"/>
        <w:ind w:right="51"/>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sz w:val="22"/>
          <w:szCs w:val="22"/>
        </w:rPr>
        <w:t xml:space="preserve">Finalmente, es de señalar que, como ya se mencionó el </w:t>
      </w:r>
      <w:r w:rsidRPr="00F408B9">
        <w:rPr>
          <w:rFonts w:ascii="Palatino Linotype" w:eastAsia="Palatino Linotype" w:hAnsi="Palatino Linotype" w:cs="Palatino Linotype"/>
          <w:b/>
          <w:sz w:val="22"/>
          <w:szCs w:val="22"/>
        </w:rPr>
        <w:t>Sujeto Obligado</w:t>
      </w:r>
      <w:r w:rsidRPr="00F408B9">
        <w:rPr>
          <w:rFonts w:ascii="Palatino Linotype" w:eastAsia="Palatino Linotype" w:hAnsi="Palatino Linotype" w:cs="Palatino Linotype"/>
          <w:sz w:val="22"/>
          <w:szCs w:val="22"/>
        </w:rPr>
        <w:t xml:space="preserve">, omitió proporcionar respuesta a las solicitudes de acceso a la información pública, en el término contemplado en el ya citado artículo 163 de la Ley de la materia, razón por la que se </w:t>
      </w:r>
      <w:r w:rsidRPr="00F408B9">
        <w:rPr>
          <w:rFonts w:ascii="Palatino Linotype" w:eastAsia="Palatino Linotype" w:hAnsi="Palatino Linotype" w:cs="Palatino Linotype"/>
          <w:b/>
          <w:sz w:val="22"/>
          <w:szCs w:val="22"/>
        </w:rPr>
        <w:t>ordena</w:t>
      </w:r>
      <w:r w:rsidRPr="00F408B9">
        <w:rPr>
          <w:rFonts w:ascii="Palatino Linotype" w:eastAsia="Palatino Linotype" w:hAnsi="Palatino Linotype" w:cs="Palatino Linotype"/>
          <w:sz w:val="22"/>
          <w:szCs w:val="22"/>
        </w:rPr>
        <w:t xml:space="preserve"> dar vista a la </w:t>
      </w:r>
      <w:r w:rsidRPr="00F408B9">
        <w:rPr>
          <w:rFonts w:ascii="Palatino Linotype" w:eastAsia="Palatino Linotype" w:hAnsi="Palatino Linotype" w:cs="Palatino Linotype"/>
          <w:bCs/>
          <w:sz w:val="22"/>
          <w:szCs w:val="22"/>
        </w:rPr>
        <w:t>Secretaría Técnica del Pleno de este Instituto para hacer del conocimiento del Órgano Interno de Control competente</w:t>
      </w:r>
      <w:r w:rsidR="00D73FD2" w:rsidRPr="00F408B9">
        <w:rPr>
          <w:bCs/>
        </w:rPr>
        <w:t xml:space="preserve"> </w:t>
      </w:r>
      <w:r w:rsidR="00D73FD2" w:rsidRPr="00F408B9">
        <w:rPr>
          <w:rFonts w:ascii="Palatino Linotype" w:eastAsia="Palatino Linotype" w:hAnsi="Palatino Linotype" w:cs="Palatino Linotype"/>
          <w:bCs/>
          <w:sz w:val="22"/>
          <w:szCs w:val="22"/>
        </w:rPr>
        <w:t>la presente resolución</w:t>
      </w:r>
      <w:r w:rsidR="00D73FD2" w:rsidRPr="00F408B9">
        <w:rPr>
          <w:rFonts w:ascii="Palatino Linotype" w:eastAsia="Palatino Linotype" w:hAnsi="Palatino Linotype" w:cs="Palatino Linotype"/>
          <w:sz w:val="22"/>
          <w:szCs w:val="22"/>
        </w:rPr>
        <w:t>, a fin de que de conformidad con el artículo 190 de la Ley de Transparencia y Acceso a la Información Pública del Estado de México y Municipios se determine lo conducente.</w:t>
      </w:r>
    </w:p>
    <w:p w14:paraId="23945031" w14:textId="3E88B8B3" w:rsidR="00344ABC" w:rsidRPr="00F408B9" w:rsidRDefault="000D2644" w:rsidP="00D73FD2">
      <w:pPr>
        <w:spacing w:before="240" w:after="240" w:line="360" w:lineRule="auto"/>
        <w:ind w:right="51"/>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sz w:val="22"/>
          <w:szCs w:val="22"/>
        </w:rPr>
        <w:t>Así, con fundamento en lo prescrito en los</w:t>
      </w:r>
      <w:r w:rsidRPr="00F408B9">
        <w:rPr>
          <w:rFonts w:ascii="Palatino Linotype" w:hAnsi="Palatino Linotype"/>
          <w:sz w:val="22"/>
          <w:szCs w:val="22"/>
        </w:rPr>
        <w:t xml:space="preserve"> </w:t>
      </w:r>
      <w:r w:rsidRPr="00F408B9">
        <w:rPr>
          <w:rFonts w:ascii="Palatino Linotype" w:eastAsia="Palatino Linotype" w:hAnsi="Palatino Linotype" w:cs="Palatino Linotype"/>
          <w:sz w:val="22"/>
          <w:szCs w:val="22"/>
        </w:rPr>
        <w:t>artículos 5</w:t>
      </w:r>
      <w:r w:rsidR="00C00FCB" w:rsidRPr="00F408B9">
        <w:rPr>
          <w:rFonts w:ascii="Palatino Linotype" w:eastAsia="Palatino Linotype" w:hAnsi="Palatino Linotype" w:cs="Palatino Linotype"/>
          <w:sz w:val="22"/>
          <w:szCs w:val="22"/>
        </w:rPr>
        <w:t>,</w:t>
      </w:r>
      <w:r w:rsidRPr="00F408B9">
        <w:rPr>
          <w:rFonts w:ascii="Palatino Linotype" w:eastAsia="Palatino Linotype" w:hAnsi="Palatino Linotype" w:cs="Palatino Linotype"/>
          <w:sz w:val="22"/>
          <w:szCs w:val="22"/>
        </w:rPr>
        <w:t xml:space="preserve"> párrafos </w:t>
      </w:r>
      <w:r w:rsidR="000033EE" w:rsidRPr="00F408B9">
        <w:rPr>
          <w:rFonts w:ascii="Palatino Linotype" w:eastAsia="Palatino Linotype" w:hAnsi="Palatino Linotype" w:cs="Palatino Linotype"/>
          <w:sz w:val="22"/>
          <w:szCs w:val="22"/>
        </w:rPr>
        <w:t>cuadragésimo cuarto, cuadragésimo quinto y cuadragésimo sexto, de la Constitución Política del Estado Libre y Soberano de México; transitorio Cuarto del Decreto número 198 de la “LXII” Legislatura del Estado de México</w:t>
      </w:r>
      <w:r w:rsidRPr="00F408B9">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0BD52B77" w14:textId="77777777" w:rsidR="00344ABC" w:rsidRPr="00F408B9" w:rsidRDefault="000D2644">
      <w:pPr>
        <w:pBdr>
          <w:top w:val="nil"/>
          <w:left w:val="nil"/>
          <w:bottom w:val="nil"/>
          <w:right w:val="nil"/>
          <w:between w:val="nil"/>
        </w:pBdr>
        <w:spacing w:before="280" w:after="280" w:line="360" w:lineRule="auto"/>
        <w:jc w:val="center"/>
        <w:rPr>
          <w:rFonts w:ascii="Palatino Linotype" w:eastAsia="Palatino Linotype" w:hAnsi="Palatino Linotype" w:cs="Palatino Linotype"/>
          <w:b/>
          <w:sz w:val="22"/>
          <w:szCs w:val="22"/>
        </w:rPr>
      </w:pPr>
      <w:r w:rsidRPr="00F408B9">
        <w:rPr>
          <w:rFonts w:ascii="Palatino Linotype" w:eastAsia="Palatino Linotype" w:hAnsi="Palatino Linotype" w:cs="Palatino Linotype"/>
          <w:b/>
          <w:sz w:val="22"/>
          <w:szCs w:val="22"/>
        </w:rPr>
        <w:t>III. R E S U E L V E:</w:t>
      </w:r>
    </w:p>
    <w:p w14:paraId="0BF12889" w14:textId="77777777" w:rsidR="00344ABC" w:rsidRPr="00F408B9" w:rsidRDefault="000D2644">
      <w:pPr>
        <w:spacing w:before="240" w:after="240" w:line="360" w:lineRule="auto"/>
        <w:ind w:right="49"/>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b/>
          <w:sz w:val="22"/>
          <w:szCs w:val="22"/>
        </w:rPr>
        <w:t xml:space="preserve">Primero. </w:t>
      </w:r>
      <w:r w:rsidRPr="00F408B9">
        <w:rPr>
          <w:rFonts w:ascii="Palatino Linotype" w:eastAsia="Palatino Linotype" w:hAnsi="Palatino Linotype" w:cs="Palatino Linotype"/>
          <w:sz w:val="22"/>
          <w:szCs w:val="22"/>
        </w:rPr>
        <w:t xml:space="preserve">Resultan </w:t>
      </w:r>
      <w:r w:rsidRPr="00F408B9">
        <w:rPr>
          <w:rFonts w:ascii="Palatino Linotype" w:eastAsia="Palatino Linotype" w:hAnsi="Palatino Linotype" w:cs="Palatino Linotype"/>
          <w:b/>
          <w:sz w:val="22"/>
          <w:szCs w:val="22"/>
        </w:rPr>
        <w:t>fundados</w:t>
      </w:r>
      <w:r w:rsidRPr="00F408B9">
        <w:rPr>
          <w:rFonts w:ascii="Palatino Linotype" w:eastAsia="Palatino Linotype" w:hAnsi="Palatino Linotype" w:cs="Palatino Linotype"/>
          <w:sz w:val="22"/>
          <w:szCs w:val="22"/>
        </w:rPr>
        <w:t xml:space="preserve"> los motivos de inconformidad de la parte </w:t>
      </w:r>
      <w:r w:rsidRPr="00F408B9">
        <w:rPr>
          <w:rFonts w:ascii="Palatino Linotype" w:eastAsia="Palatino Linotype" w:hAnsi="Palatino Linotype" w:cs="Palatino Linotype"/>
          <w:b/>
          <w:sz w:val="22"/>
          <w:szCs w:val="22"/>
        </w:rPr>
        <w:t>Recurrente</w:t>
      </w:r>
      <w:r w:rsidRPr="00F408B9">
        <w:rPr>
          <w:rFonts w:ascii="Palatino Linotype" w:eastAsia="Palatino Linotype" w:hAnsi="Palatino Linotype" w:cs="Palatino Linotype"/>
          <w:sz w:val="22"/>
          <w:szCs w:val="22"/>
        </w:rPr>
        <w:t xml:space="preserve">, en términos del Considerando </w:t>
      </w:r>
      <w:r w:rsidRPr="00F408B9">
        <w:rPr>
          <w:rFonts w:ascii="Palatino Linotype" w:eastAsia="Palatino Linotype" w:hAnsi="Palatino Linotype" w:cs="Palatino Linotype"/>
          <w:b/>
          <w:sz w:val="22"/>
          <w:szCs w:val="22"/>
        </w:rPr>
        <w:t>Cuarto</w:t>
      </w:r>
      <w:r w:rsidRPr="00F408B9">
        <w:rPr>
          <w:rFonts w:ascii="Palatino Linotype" w:eastAsia="Palatino Linotype" w:hAnsi="Palatino Linotype" w:cs="Palatino Linotype"/>
          <w:sz w:val="22"/>
          <w:szCs w:val="22"/>
        </w:rPr>
        <w:t xml:space="preserve"> de la presente resolución.</w:t>
      </w:r>
    </w:p>
    <w:p w14:paraId="3DACBB01" w14:textId="1DB4EC35" w:rsidR="00344ABC" w:rsidRPr="00F408B9" w:rsidRDefault="000D2644">
      <w:pPr>
        <w:spacing w:before="240" w:after="240" w:line="360" w:lineRule="auto"/>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b/>
          <w:sz w:val="22"/>
          <w:szCs w:val="22"/>
        </w:rPr>
        <w:t>Segundo.</w:t>
      </w:r>
      <w:r w:rsidRPr="00F408B9">
        <w:rPr>
          <w:rFonts w:ascii="Palatino Linotype" w:eastAsia="Palatino Linotype" w:hAnsi="Palatino Linotype" w:cs="Palatino Linotype"/>
          <w:sz w:val="22"/>
          <w:szCs w:val="22"/>
        </w:rPr>
        <w:t xml:space="preserve"> Se</w:t>
      </w:r>
      <w:r w:rsidRPr="00F408B9">
        <w:rPr>
          <w:rFonts w:ascii="Palatino Linotype" w:eastAsia="Palatino Linotype" w:hAnsi="Palatino Linotype" w:cs="Palatino Linotype"/>
          <w:b/>
          <w:sz w:val="22"/>
          <w:szCs w:val="22"/>
        </w:rPr>
        <w:t xml:space="preserve"> Ordena </w:t>
      </w:r>
      <w:r w:rsidRPr="00F408B9">
        <w:rPr>
          <w:rFonts w:ascii="Palatino Linotype" w:eastAsia="Palatino Linotype" w:hAnsi="Palatino Linotype" w:cs="Palatino Linotype"/>
          <w:sz w:val="22"/>
          <w:szCs w:val="22"/>
        </w:rPr>
        <w:t xml:space="preserve">al </w:t>
      </w:r>
      <w:r w:rsidRPr="00F408B9">
        <w:rPr>
          <w:rFonts w:ascii="Palatino Linotype" w:eastAsia="Palatino Linotype" w:hAnsi="Palatino Linotype" w:cs="Palatino Linotype"/>
          <w:b/>
          <w:sz w:val="22"/>
          <w:szCs w:val="22"/>
        </w:rPr>
        <w:t xml:space="preserve">Sujeto Obligado </w:t>
      </w:r>
      <w:r w:rsidRPr="00F408B9">
        <w:rPr>
          <w:rFonts w:ascii="Palatino Linotype" w:eastAsia="Palatino Linotype" w:hAnsi="Palatino Linotype" w:cs="Palatino Linotype"/>
          <w:sz w:val="22"/>
          <w:szCs w:val="22"/>
        </w:rPr>
        <w:t xml:space="preserve">atienda las solicitudes de </w:t>
      </w:r>
      <w:r w:rsidR="0099504E" w:rsidRPr="00F408B9">
        <w:rPr>
          <w:rFonts w:ascii="Palatino Linotype" w:eastAsia="Palatino Linotype" w:hAnsi="Palatino Linotype" w:cs="Palatino Linotype"/>
          <w:sz w:val="22"/>
          <w:szCs w:val="22"/>
        </w:rPr>
        <w:t xml:space="preserve">acceso a la información pública </w:t>
      </w:r>
      <w:r w:rsidR="008E1494" w:rsidRPr="00F408B9">
        <w:rPr>
          <w:rFonts w:ascii="Palatino Linotype" w:eastAsia="Palatino Linotype" w:hAnsi="Palatino Linotype" w:cs="Palatino Linotype"/>
          <w:b/>
          <w:sz w:val="22"/>
          <w:szCs w:val="22"/>
        </w:rPr>
        <w:t xml:space="preserve">00270/DIFIXTAPAL/IP/2025 </w:t>
      </w:r>
      <w:r w:rsidR="008E1494" w:rsidRPr="00F408B9">
        <w:rPr>
          <w:rFonts w:ascii="Palatino Linotype" w:eastAsia="Palatino Linotype" w:hAnsi="Palatino Linotype" w:cs="Palatino Linotype"/>
          <w:sz w:val="22"/>
          <w:szCs w:val="22"/>
        </w:rPr>
        <w:t xml:space="preserve">y </w:t>
      </w:r>
      <w:r w:rsidR="008E1494" w:rsidRPr="00F408B9">
        <w:rPr>
          <w:rFonts w:ascii="Palatino Linotype" w:eastAsia="Palatino Linotype" w:hAnsi="Palatino Linotype" w:cs="Palatino Linotype"/>
          <w:b/>
          <w:sz w:val="22"/>
          <w:szCs w:val="22"/>
        </w:rPr>
        <w:t>00271/DIFIXTAPAL/IP/2025</w:t>
      </w:r>
      <w:r w:rsidR="0099504E" w:rsidRPr="00F408B9">
        <w:rPr>
          <w:rFonts w:ascii="Palatino Linotype" w:eastAsia="Palatino Linotype" w:hAnsi="Palatino Linotype" w:cs="Palatino Linotype"/>
          <w:b/>
          <w:sz w:val="22"/>
          <w:szCs w:val="22"/>
        </w:rPr>
        <w:t>,</w:t>
      </w:r>
      <w:r w:rsidR="00D73FD2" w:rsidRPr="00F408B9">
        <w:rPr>
          <w:rFonts w:ascii="Palatino Linotype" w:eastAsia="Palatino Linotype" w:hAnsi="Palatino Linotype" w:cs="Palatino Linotype"/>
          <w:b/>
          <w:sz w:val="22"/>
          <w:szCs w:val="22"/>
        </w:rPr>
        <w:t xml:space="preserve"> </w:t>
      </w:r>
      <w:r w:rsidRPr="00F408B9">
        <w:rPr>
          <w:rFonts w:ascii="Palatino Linotype" w:eastAsia="Palatino Linotype" w:hAnsi="Palatino Linotype" w:cs="Palatino Linotype"/>
          <w:sz w:val="22"/>
          <w:szCs w:val="22"/>
        </w:rPr>
        <w:t>que dieron origen a los recursos de revisión</w:t>
      </w:r>
      <w:r w:rsidR="0099504E" w:rsidRPr="00F408B9">
        <w:rPr>
          <w:rFonts w:ascii="Palatino Linotype" w:eastAsia="Palatino Linotype" w:hAnsi="Palatino Linotype" w:cs="Palatino Linotype"/>
          <w:sz w:val="22"/>
          <w:szCs w:val="22"/>
        </w:rPr>
        <w:t xml:space="preserve"> </w:t>
      </w:r>
      <w:r w:rsidR="008E1494" w:rsidRPr="00F408B9">
        <w:rPr>
          <w:rFonts w:ascii="Palatino Linotype" w:eastAsia="Palatino Linotype" w:hAnsi="Palatino Linotype" w:cs="Palatino Linotype"/>
          <w:b/>
          <w:sz w:val="22"/>
          <w:szCs w:val="22"/>
        </w:rPr>
        <w:t xml:space="preserve">12629/INFOEM/IP/RR/2025 </w:t>
      </w:r>
      <w:r w:rsidR="008E1494" w:rsidRPr="00F408B9">
        <w:rPr>
          <w:rFonts w:ascii="Palatino Linotype" w:eastAsia="Palatino Linotype" w:hAnsi="Palatino Linotype" w:cs="Palatino Linotype"/>
          <w:bCs/>
          <w:sz w:val="22"/>
          <w:szCs w:val="22"/>
        </w:rPr>
        <w:t>y</w:t>
      </w:r>
      <w:r w:rsidR="008E1494" w:rsidRPr="00F408B9">
        <w:rPr>
          <w:rFonts w:ascii="Palatino Linotype" w:eastAsia="Palatino Linotype" w:hAnsi="Palatino Linotype" w:cs="Palatino Linotype"/>
          <w:b/>
          <w:sz w:val="22"/>
          <w:szCs w:val="22"/>
        </w:rPr>
        <w:t xml:space="preserve"> 12630/INFOEM/IP/RR/2025</w:t>
      </w:r>
      <w:r w:rsidR="00D73FD2" w:rsidRPr="00F408B9">
        <w:rPr>
          <w:rFonts w:ascii="Palatino Linotype" w:eastAsia="Palatino Linotype" w:hAnsi="Palatino Linotype" w:cs="Palatino Linotype"/>
          <w:b/>
          <w:sz w:val="22"/>
          <w:szCs w:val="22"/>
        </w:rPr>
        <w:t xml:space="preserve">, </w:t>
      </w:r>
      <w:r w:rsidRPr="00F408B9">
        <w:rPr>
          <w:rFonts w:ascii="Palatino Linotype" w:eastAsia="Palatino Linotype" w:hAnsi="Palatino Linotype" w:cs="Palatino Linotype"/>
          <w:sz w:val="22"/>
          <w:szCs w:val="22"/>
        </w:rPr>
        <w:t>en términos del Considerando</w:t>
      </w:r>
      <w:r w:rsidRPr="00F408B9">
        <w:rPr>
          <w:rFonts w:ascii="Palatino Linotype" w:eastAsia="Palatino Linotype" w:hAnsi="Palatino Linotype" w:cs="Palatino Linotype"/>
          <w:b/>
          <w:sz w:val="22"/>
          <w:szCs w:val="22"/>
        </w:rPr>
        <w:t xml:space="preserve"> Cuarto</w:t>
      </w:r>
      <w:r w:rsidRPr="00F408B9">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268EE7C9" w14:textId="77777777" w:rsidR="00344ABC" w:rsidRPr="00F408B9" w:rsidRDefault="000D2644">
      <w:pPr>
        <w:spacing w:before="240" w:after="240" w:line="360" w:lineRule="auto"/>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b/>
          <w:sz w:val="22"/>
          <w:szCs w:val="22"/>
        </w:rPr>
        <w:t xml:space="preserve">Tercero. Notifíquese, </w:t>
      </w:r>
      <w:r w:rsidRPr="00F408B9">
        <w:rPr>
          <w:rFonts w:ascii="Palatino Linotype" w:eastAsia="Palatino Linotype" w:hAnsi="Palatino Linotype" w:cs="Palatino Linotype"/>
          <w:sz w:val="22"/>
          <w:szCs w:val="22"/>
        </w:rPr>
        <w:t xml:space="preserve">vía </w:t>
      </w:r>
      <w:r w:rsidRPr="00F408B9">
        <w:rPr>
          <w:rFonts w:ascii="Palatino Linotype" w:eastAsia="Palatino Linotype" w:hAnsi="Palatino Linotype" w:cs="Palatino Linotype"/>
          <w:b/>
          <w:sz w:val="22"/>
          <w:szCs w:val="22"/>
        </w:rPr>
        <w:t>SAIMEX</w:t>
      </w:r>
      <w:r w:rsidRPr="00F408B9">
        <w:rPr>
          <w:rFonts w:ascii="Palatino Linotype" w:eastAsia="Palatino Linotype" w:hAnsi="Palatino Linotype" w:cs="Palatino Linotype"/>
          <w:sz w:val="22"/>
          <w:szCs w:val="22"/>
        </w:rPr>
        <w:t xml:space="preserve">, a la persona Titular de la Unidad de Transparencia del </w:t>
      </w:r>
      <w:r w:rsidRPr="00F408B9">
        <w:rPr>
          <w:rFonts w:ascii="Palatino Linotype" w:eastAsia="Palatino Linotype" w:hAnsi="Palatino Linotype" w:cs="Palatino Linotype"/>
          <w:b/>
          <w:sz w:val="22"/>
          <w:szCs w:val="22"/>
        </w:rPr>
        <w:t>Sujeto Obligado,</w:t>
      </w:r>
      <w:r w:rsidRPr="00F408B9">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35EDC5D" w14:textId="77777777" w:rsidR="00344ABC" w:rsidRPr="00F408B9" w:rsidRDefault="000D2644">
      <w:pPr>
        <w:spacing w:before="240" w:after="240" w:line="360" w:lineRule="auto"/>
        <w:jc w:val="both"/>
        <w:rPr>
          <w:rFonts w:ascii="Palatino Linotype" w:eastAsia="Palatino Linotype" w:hAnsi="Palatino Linotype" w:cs="Palatino Linotype"/>
          <w:sz w:val="22"/>
          <w:szCs w:val="22"/>
        </w:rPr>
      </w:pPr>
      <w:r w:rsidRPr="00F408B9">
        <w:rPr>
          <w:rFonts w:ascii="Palatino Linotype" w:eastAsia="Palatino Linotype" w:hAnsi="Palatino Linotype" w:cs="Palatino Linotype"/>
          <w:b/>
          <w:sz w:val="22"/>
          <w:szCs w:val="22"/>
        </w:rPr>
        <w:t xml:space="preserve">Cuarto. Notifíquese, </w:t>
      </w:r>
      <w:r w:rsidRPr="00F408B9">
        <w:rPr>
          <w:rFonts w:ascii="Palatino Linotype" w:eastAsia="Palatino Linotype" w:hAnsi="Palatino Linotype" w:cs="Palatino Linotype"/>
          <w:sz w:val="22"/>
          <w:szCs w:val="22"/>
        </w:rPr>
        <w:t xml:space="preserve">vía </w:t>
      </w:r>
      <w:r w:rsidRPr="00F408B9">
        <w:rPr>
          <w:rFonts w:ascii="Palatino Linotype" w:eastAsia="Palatino Linotype" w:hAnsi="Palatino Linotype" w:cs="Palatino Linotype"/>
          <w:b/>
          <w:sz w:val="22"/>
          <w:szCs w:val="22"/>
        </w:rPr>
        <w:t>SAIMEX,</w:t>
      </w:r>
      <w:r w:rsidRPr="00F408B9">
        <w:rPr>
          <w:rFonts w:ascii="Palatino Linotype" w:eastAsia="Palatino Linotype" w:hAnsi="Palatino Linotype" w:cs="Palatino Linotype"/>
          <w:sz w:val="22"/>
          <w:szCs w:val="22"/>
        </w:rPr>
        <w:t xml:space="preserve"> a la parte </w:t>
      </w:r>
      <w:r w:rsidRPr="00F408B9">
        <w:rPr>
          <w:rFonts w:ascii="Palatino Linotype" w:eastAsia="Palatino Linotype" w:hAnsi="Palatino Linotype" w:cs="Palatino Linotype"/>
          <w:b/>
          <w:sz w:val="22"/>
          <w:szCs w:val="22"/>
        </w:rPr>
        <w:t xml:space="preserve">Recurrente </w:t>
      </w:r>
      <w:r w:rsidRPr="00F408B9">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938CD86" w14:textId="77777777" w:rsidR="00344ABC" w:rsidRPr="00F408B9" w:rsidRDefault="000D2644">
      <w:pPr>
        <w:spacing w:before="240" w:after="240" w:line="360" w:lineRule="auto"/>
        <w:jc w:val="both"/>
        <w:rPr>
          <w:rFonts w:ascii="Palatino Linotype" w:eastAsia="Palatino Linotype" w:hAnsi="Palatino Linotype" w:cs="Palatino Linotype"/>
          <w:b/>
          <w:sz w:val="22"/>
          <w:szCs w:val="22"/>
        </w:rPr>
      </w:pPr>
      <w:r w:rsidRPr="00F408B9">
        <w:rPr>
          <w:rFonts w:ascii="Palatino Linotype" w:eastAsia="Palatino Linotype" w:hAnsi="Palatino Linotype" w:cs="Palatino Linotype"/>
          <w:b/>
          <w:sz w:val="22"/>
          <w:szCs w:val="22"/>
        </w:rPr>
        <w:t xml:space="preserve">Quinto. Notifíquese, </w:t>
      </w:r>
      <w:r w:rsidRPr="00F408B9">
        <w:rPr>
          <w:rFonts w:ascii="Palatino Linotype" w:eastAsia="Palatino Linotype" w:hAnsi="Palatino Linotype" w:cs="Palatino Linotype"/>
          <w:sz w:val="22"/>
          <w:szCs w:val="22"/>
        </w:rPr>
        <w:t xml:space="preserve">a la parte </w:t>
      </w:r>
      <w:r w:rsidRPr="00F408B9">
        <w:rPr>
          <w:rFonts w:ascii="Palatino Linotype" w:eastAsia="Palatino Linotype" w:hAnsi="Palatino Linotype" w:cs="Palatino Linotype"/>
          <w:b/>
          <w:sz w:val="22"/>
          <w:szCs w:val="22"/>
        </w:rPr>
        <w:t xml:space="preserve">Recurrente </w:t>
      </w:r>
      <w:r w:rsidRPr="00F408B9">
        <w:rPr>
          <w:rFonts w:ascii="Palatino Linotype" w:eastAsia="Palatino Linotype" w:hAnsi="Palatino Linotype" w:cs="Palatino Linotype"/>
          <w:sz w:val="22"/>
          <w:szCs w:val="22"/>
        </w:rPr>
        <w:t xml:space="preserve">que la respuesta que dé el </w:t>
      </w:r>
      <w:r w:rsidRPr="00F408B9">
        <w:rPr>
          <w:rFonts w:ascii="Palatino Linotype" w:eastAsia="Palatino Linotype" w:hAnsi="Palatino Linotype" w:cs="Palatino Linotype"/>
          <w:b/>
          <w:sz w:val="22"/>
          <w:szCs w:val="22"/>
        </w:rPr>
        <w:t>Sujeto Obligado</w:t>
      </w:r>
      <w:r w:rsidRPr="00F408B9">
        <w:rPr>
          <w:rFonts w:ascii="Palatino Linotype" w:eastAsia="Palatino Linotype" w:hAnsi="Palatino Linotype" w:cs="Palatino Linotype"/>
          <w:sz w:val="22"/>
          <w:szCs w:val="22"/>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331838C" w14:textId="7B5CB673" w:rsidR="00344ABC" w:rsidRPr="00F408B9" w:rsidRDefault="000D2644">
      <w:pPr>
        <w:spacing w:before="240" w:after="240" w:line="360" w:lineRule="auto"/>
        <w:jc w:val="both"/>
        <w:rPr>
          <w:rFonts w:ascii="Palatino Linotype" w:eastAsia="Palatino Linotype" w:hAnsi="Palatino Linotype" w:cs="Palatino Linotype"/>
          <w:b/>
          <w:sz w:val="22"/>
          <w:szCs w:val="22"/>
        </w:rPr>
      </w:pPr>
      <w:r w:rsidRPr="00F408B9">
        <w:rPr>
          <w:rFonts w:ascii="Palatino Linotype" w:eastAsia="Palatino Linotype" w:hAnsi="Palatino Linotype" w:cs="Palatino Linotype"/>
          <w:b/>
          <w:sz w:val="22"/>
          <w:szCs w:val="22"/>
        </w:rPr>
        <w:t>Sexto. Gírese</w:t>
      </w:r>
      <w:r w:rsidR="00D73FD2" w:rsidRPr="00F408B9">
        <w:rPr>
          <w:rFonts w:ascii="Palatino Linotype" w:eastAsia="Palatino Linotype" w:hAnsi="Palatino Linotype" w:cs="Palatino Linotype"/>
          <w:b/>
          <w:sz w:val="22"/>
          <w:szCs w:val="22"/>
        </w:rPr>
        <w:t xml:space="preserve">, </w:t>
      </w:r>
      <w:r w:rsidR="00D73FD2" w:rsidRPr="00F408B9">
        <w:rPr>
          <w:rFonts w:ascii="Palatino Linotype" w:eastAsia="Palatino Linotype" w:hAnsi="Palatino Linotype" w:cs="Palatino Linotype"/>
          <w:sz w:val="22"/>
          <w:szCs w:val="22"/>
        </w:rPr>
        <w:t xml:space="preserve">vista </w:t>
      </w:r>
      <w:r w:rsidRPr="00F408B9">
        <w:rPr>
          <w:rFonts w:ascii="Palatino Linotype" w:eastAsia="Palatino Linotype" w:hAnsi="Palatino Linotype" w:cs="Palatino Linotype"/>
          <w:sz w:val="22"/>
          <w:szCs w:val="22"/>
        </w:rPr>
        <w:t xml:space="preserve"> la </w:t>
      </w:r>
      <w:r w:rsidRPr="00F408B9">
        <w:rPr>
          <w:rFonts w:ascii="Palatino Linotype" w:eastAsia="Palatino Linotype" w:hAnsi="Palatino Linotype" w:cs="Palatino Linotype"/>
          <w:b/>
          <w:sz w:val="22"/>
          <w:szCs w:val="22"/>
        </w:rPr>
        <w:t>Secretaría Técnica del Pleno</w:t>
      </w:r>
      <w:r w:rsidRPr="00F408B9">
        <w:rPr>
          <w:rFonts w:ascii="Palatino Linotype" w:eastAsia="Palatino Linotype" w:hAnsi="Palatino Linotype" w:cs="Palatino Linotype"/>
          <w:sz w:val="22"/>
          <w:szCs w:val="22"/>
        </w:rPr>
        <w:t xml:space="preserve"> de este Instituto </w:t>
      </w:r>
      <w:r w:rsidR="00D73FD2" w:rsidRPr="00F408B9">
        <w:rPr>
          <w:rFonts w:ascii="Palatino Linotype" w:eastAsia="Palatino Linotype" w:hAnsi="Palatino Linotype" w:cs="Palatino Linotype"/>
          <w:sz w:val="22"/>
          <w:szCs w:val="22"/>
        </w:rPr>
        <w:t xml:space="preserve">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D73FD2" w:rsidRPr="00F408B9">
        <w:rPr>
          <w:rFonts w:ascii="Palatino Linotype" w:eastAsia="Palatino Linotype" w:hAnsi="Palatino Linotype" w:cs="Palatino Linotype"/>
          <w:b/>
          <w:bCs/>
          <w:sz w:val="22"/>
          <w:szCs w:val="22"/>
        </w:rPr>
        <w:t>Cuarto</w:t>
      </w:r>
      <w:r w:rsidR="00D73FD2" w:rsidRPr="00F408B9">
        <w:rPr>
          <w:rFonts w:ascii="Palatino Linotype" w:eastAsia="Palatino Linotype" w:hAnsi="Palatino Linotype" w:cs="Palatino Linotype"/>
          <w:b/>
          <w:sz w:val="22"/>
          <w:szCs w:val="22"/>
        </w:rPr>
        <w:t xml:space="preserve"> </w:t>
      </w:r>
      <w:r w:rsidR="00D73FD2" w:rsidRPr="00F408B9">
        <w:rPr>
          <w:rFonts w:ascii="Palatino Linotype" w:eastAsia="Palatino Linotype" w:hAnsi="Palatino Linotype" w:cs="Palatino Linotype"/>
          <w:sz w:val="22"/>
          <w:szCs w:val="22"/>
        </w:rPr>
        <w:t>de la presente resolución.</w:t>
      </w:r>
      <w:r w:rsidR="00D73FD2" w:rsidRPr="00F408B9">
        <w:rPr>
          <w:rFonts w:ascii="Palatino Linotype" w:eastAsia="Palatino Linotype" w:hAnsi="Palatino Linotype" w:cs="Palatino Linotype"/>
          <w:b/>
          <w:sz w:val="22"/>
          <w:szCs w:val="22"/>
        </w:rPr>
        <w:t xml:space="preserve"> </w:t>
      </w:r>
    </w:p>
    <w:p w14:paraId="2ED04108" w14:textId="065B8F13" w:rsidR="0046048C" w:rsidRPr="00F408B9" w:rsidRDefault="0046048C">
      <w:pPr>
        <w:spacing w:before="240" w:after="240" w:line="360" w:lineRule="auto"/>
        <w:jc w:val="both"/>
        <w:rPr>
          <w:rFonts w:ascii="Palatino Linotype" w:eastAsia="Palatino Linotype" w:hAnsi="Palatino Linotype" w:cs="Palatino Linotype"/>
          <w:b/>
          <w:sz w:val="22"/>
          <w:szCs w:val="22"/>
        </w:rPr>
      </w:pPr>
    </w:p>
    <w:p w14:paraId="018C841A" w14:textId="77777777" w:rsidR="0046048C" w:rsidRPr="00F408B9" w:rsidRDefault="0046048C">
      <w:pPr>
        <w:spacing w:before="240" w:after="240" w:line="360" w:lineRule="auto"/>
        <w:jc w:val="both"/>
        <w:rPr>
          <w:rFonts w:ascii="Palatino Linotype" w:eastAsia="Palatino Linotype" w:hAnsi="Palatino Linotype" w:cs="Palatino Linotype"/>
          <w:b/>
          <w:sz w:val="22"/>
          <w:szCs w:val="22"/>
        </w:rPr>
      </w:pPr>
    </w:p>
    <w:p w14:paraId="6D903AB1" w14:textId="48E5078D" w:rsidR="00344ABC" w:rsidRPr="0046048C" w:rsidRDefault="000D2644">
      <w:pPr>
        <w:spacing w:line="360" w:lineRule="auto"/>
        <w:ind w:right="49"/>
        <w:jc w:val="both"/>
        <w:rPr>
          <w:rFonts w:ascii="Palatino Linotype" w:eastAsia="Palatino Linotype" w:hAnsi="Palatino Linotype" w:cs="Palatino Linotype"/>
          <w:sz w:val="22"/>
          <w:szCs w:val="22"/>
        </w:rPr>
      </w:pPr>
      <w:bookmarkStart w:id="4" w:name="_heading=h.1fob9te" w:colFirst="0" w:colLast="0"/>
      <w:bookmarkEnd w:id="4"/>
      <w:r w:rsidRPr="00F408B9">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73FD2" w:rsidRPr="00F408B9">
        <w:rPr>
          <w:rFonts w:ascii="Palatino Linotype" w:eastAsia="Palatino Linotype" w:hAnsi="Palatino Linotype" w:cs="Palatino Linotype"/>
          <w:sz w:val="22"/>
          <w:szCs w:val="22"/>
        </w:rPr>
        <w:t>CUADRAGESIMA</w:t>
      </w:r>
      <w:r w:rsidR="00C00FCB" w:rsidRPr="00F408B9">
        <w:rPr>
          <w:rFonts w:ascii="Palatino Linotype" w:eastAsia="Palatino Linotype" w:hAnsi="Palatino Linotype" w:cs="Palatino Linotype"/>
          <w:sz w:val="22"/>
          <w:szCs w:val="22"/>
        </w:rPr>
        <w:t xml:space="preserve"> </w:t>
      </w:r>
      <w:r w:rsidR="00611664" w:rsidRPr="00F408B9">
        <w:rPr>
          <w:rFonts w:ascii="Palatino Linotype" w:eastAsia="Palatino Linotype" w:hAnsi="Palatino Linotype" w:cs="Palatino Linotype"/>
          <w:sz w:val="22"/>
          <w:szCs w:val="22"/>
        </w:rPr>
        <w:t xml:space="preserve">TERCERA </w:t>
      </w:r>
      <w:r w:rsidRPr="00F408B9">
        <w:rPr>
          <w:rFonts w:ascii="Palatino Linotype" w:eastAsia="Palatino Linotype" w:hAnsi="Palatino Linotype" w:cs="Palatino Linotype"/>
          <w:sz w:val="22"/>
          <w:szCs w:val="22"/>
        </w:rPr>
        <w:t xml:space="preserve">SESIÓN ORDINARIA CELEBRADA EL </w:t>
      </w:r>
      <w:r w:rsidR="00611664" w:rsidRPr="00F408B9">
        <w:rPr>
          <w:rFonts w:ascii="Palatino Linotype" w:eastAsia="Palatino Linotype" w:hAnsi="Palatino Linotype" w:cs="Palatino Linotype"/>
          <w:sz w:val="22"/>
          <w:szCs w:val="22"/>
        </w:rPr>
        <w:t>TRES DE DICIEMBRE</w:t>
      </w:r>
      <w:r w:rsidR="00D73FD2" w:rsidRPr="00F408B9">
        <w:rPr>
          <w:rFonts w:ascii="Palatino Linotype" w:eastAsia="Palatino Linotype" w:hAnsi="Palatino Linotype" w:cs="Palatino Linotype"/>
          <w:sz w:val="22"/>
          <w:szCs w:val="22"/>
        </w:rPr>
        <w:t xml:space="preserve"> </w:t>
      </w:r>
      <w:r w:rsidRPr="00F408B9">
        <w:rPr>
          <w:rFonts w:ascii="Palatino Linotype" w:eastAsia="Palatino Linotype" w:hAnsi="Palatino Linotype" w:cs="Palatino Linotype"/>
          <w:sz w:val="22"/>
          <w:szCs w:val="22"/>
        </w:rPr>
        <w:t>DE DOS MIL VEINTIC</w:t>
      </w:r>
      <w:r w:rsidR="00D73FD2" w:rsidRPr="00F408B9">
        <w:rPr>
          <w:rFonts w:ascii="Palatino Linotype" w:eastAsia="Palatino Linotype" w:hAnsi="Palatino Linotype" w:cs="Palatino Linotype"/>
          <w:sz w:val="22"/>
          <w:szCs w:val="22"/>
        </w:rPr>
        <w:t>INCO</w:t>
      </w:r>
      <w:r w:rsidRPr="00F408B9">
        <w:rPr>
          <w:rFonts w:ascii="Palatino Linotype" w:eastAsia="Palatino Linotype" w:hAnsi="Palatino Linotype" w:cs="Palatino Linotype"/>
          <w:sz w:val="22"/>
          <w:szCs w:val="22"/>
        </w:rPr>
        <w:t>, ANTE EL SECRETARIO TÉCNICO DEL PLENO ALEXIS TAPIA RAMÍREZ.</w:t>
      </w:r>
    </w:p>
    <w:p w14:paraId="51289847" w14:textId="2C02AF40" w:rsidR="00344ABC" w:rsidRPr="0046048C" w:rsidRDefault="00344ABC">
      <w:pPr>
        <w:spacing w:line="360" w:lineRule="auto"/>
        <w:ind w:right="49"/>
        <w:jc w:val="both"/>
        <w:rPr>
          <w:rFonts w:ascii="Palatino Linotype" w:eastAsia="Palatino Linotype" w:hAnsi="Palatino Linotype" w:cs="Palatino Linotype"/>
          <w:sz w:val="22"/>
          <w:szCs w:val="22"/>
        </w:rPr>
      </w:pPr>
    </w:p>
    <w:p w14:paraId="02DB31B3" w14:textId="77777777" w:rsidR="00E260A2" w:rsidRPr="0046048C" w:rsidRDefault="00E260A2">
      <w:pPr>
        <w:spacing w:line="360" w:lineRule="auto"/>
        <w:ind w:right="49"/>
        <w:jc w:val="both"/>
        <w:rPr>
          <w:rFonts w:ascii="Palatino Linotype" w:eastAsia="Palatino Linotype" w:hAnsi="Palatino Linotype" w:cs="Palatino Linotype"/>
          <w:sz w:val="22"/>
          <w:szCs w:val="22"/>
        </w:rPr>
        <w:sectPr w:rsidR="00E260A2" w:rsidRPr="0046048C">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p>
    <w:p w14:paraId="1D66BEED" w14:textId="77777777" w:rsidR="00344ABC" w:rsidRPr="0046048C" w:rsidRDefault="00344ABC">
      <w:pPr>
        <w:tabs>
          <w:tab w:val="left" w:pos="709"/>
        </w:tabs>
        <w:spacing w:before="240" w:after="240" w:line="360" w:lineRule="auto"/>
        <w:jc w:val="both"/>
        <w:rPr>
          <w:rFonts w:ascii="Palatino Linotype" w:eastAsia="Palatino Linotype" w:hAnsi="Palatino Linotype" w:cs="Palatino Linotype"/>
          <w:sz w:val="22"/>
          <w:szCs w:val="22"/>
        </w:rPr>
      </w:pPr>
      <w:bookmarkStart w:id="5" w:name="_heading=h.tyjcwt" w:colFirst="0" w:colLast="0"/>
      <w:bookmarkEnd w:id="5"/>
    </w:p>
    <w:p w14:paraId="09B7497E" w14:textId="77777777" w:rsidR="00344ABC" w:rsidRPr="0046048C" w:rsidRDefault="00344ABC">
      <w:pPr>
        <w:rPr>
          <w:rFonts w:ascii="Palatino Linotype" w:hAnsi="Palatino Linotype"/>
          <w:sz w:val="22"/>
          <w:szCs w:val="22"/>
        </w:rPr>
      </w:pPr>
    </w:p>
    <w:p w14:paraId="578B0D83" w14:textId="77777777" w:rsidR="00344ABC" w:rsidRPr="0046048C" w:rsidRDefault="00344ABC">
      <w:pPr>
        <w:rPr>
          <w:rFonts w:ascii="Palatino Linotype" w:hAnsi="Palatino Linotype"/>
          <w:sz w:val="22"/>
          <w:szCs w:val="22"/>
        </w:rPr>
      </w:pPr>
    </w:p>
    <w:sectPr w:rsidR="00344ABC" w:rsidRPr="0046048C">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266E8" w14:textId="77777777" w:rsidR="00751230" w:rsidRDefault="00751230">
      <w:r>
        <w:separator/>
      </w:r>
    </w:p>
  </w:endnote>
  <w:endnote w:type="continuationSeparator" w:id="0">
    <w:p w14:paraId="1C521225" w14:textId="77777777" w:rsidR="00751230" w:rsidRDefault="00751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BD5D3" w14:textId="61592435" w:rsidR="0099504E" w:rsidRDefault="0099504E">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844BD">
      <w:rPr>
        <w:rFonts w:ascii="Arial" w:eastAsia="Arial" w:hAnsi="Arial" w:cs="Arial"/>
        <w:b/>
        <w:noProof/>
        <w:color w:val="000000"/>
        <w:sz w:val="20"/>
        <w:szCs w:val="20"/>
      </w:rPr>
      <w:t>30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844BD">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14:paraId="6636B36D" w14:textId="77777777" w:rsidR="0099504E" w:rsidRDefault="0099504E">
    <w:pPr>
      <w:pBdr>
        <w:top w:val="nil"/>
        <w:left w:val="nil"/>
        <w:bottom w:val="nil"/>
        <w:right w:val="nil"/>
        <w:between w:val="nil"/>
      </w:pBdr>
      <w:tabs>
        <w:tab w:val="center" w:pos="4252"/>
        <w:tab w:val="right" w:pos="8504"/>
      </w:tabs>
      <w:rPr>
        <w:color w:val="000000"/>
      </w:rPr>
    </w:pPr>
  </w:p>
  <w:p w14:paraId="5B8E4A24" w14:textId="77777777" w:rsidR="0099504E" w:rsidRDefault="0099504E">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A7D80" w14:textId="7C740CBD" w:rsidR="0099504E" w:rsidRDefault="0099504E">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844BD">
      <w:rPr>
        <w:rFonts w:ascii="Arial" w:eastAsia="Arial" w:hAnsi="Arial" w:cs="Arial"/>
        <w:b/>
        <w:noProof/>
        <w:color w:val="000000"/>
        <w:sz w:val="20"/>
        <w:szCs w:val="20"/>
      </w:rPr>
      <w:t>31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844BD">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14:paraId="0E9D64D4" w14:textId="77777777" w:rsidR="0099504E" w:rsidRDefault="0099504E">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5D8ED" w14:textId="77777777" w:rsidR="00751230" w:rsidRDefault="00751230">
      <w:r>
        <w:separator/>
      </w:r>
    </w:p>
  </w:footnote>
  <w:footnote w:type="continuationSeparator" w:id="0">
    <w:p w14:paraId="0A45ECC4" w14:textId="77777777" w:rsidR="00751230" w:rsidRDefault="00751230">
      <w:r>
        <w:continuationSeparator/>
      </w:r>
    </w:p>
  </w:footnote>
  <w:footnote w:id="1">
    <w:p w14:paraId="263BB664" w14:textId="77777777" w:rsidR="0099504E" w:rsidRDefault="0099504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5BD0D525" w14:textId="77777777" w:rsidR="0099504E" w:rsidRDefault="0099504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3DABF" w14:textId="77777777" w:rsidR="0099504E" w:rsidRDefault="0099504E">
    <w:pPr>
      <w:widowControl w:val="0"/>
      <w:pBdr>
        <w:top w:val="nil"/>
        <w:left w:val="nil"/>
        <w:bottom w:val="nil"/>
        <w:right w:val="nil"/>
        <w:between w:val="nil"/>
      </w:pBdr>
      <w:spacing w:line="276" w:lineRule="auto"/>
      <w:rPr>
        <w:rFonts w:ascii="Calibri" w:eastAsia="Calibri" w:hAnsi="Calibri" w:cs="Calibri"/>
        <w:color w:val="000000"/>
      </w:rPr>
    </w:pPr>
    <w:r>
      <w:rPr>
        <w:noProof/>
        <w:lang w:eastAsia="es-MX"/>
      </w:rPr>
      <w:drawing>
        <wp:anchor distT="0" distB="0" distL="0" distR="0" simplePos="0" relativeHeight="251658240" behindDoc="1" locked="0" layoutInCell="1" hidden="0" allowOverlap="1" wp14:anchorId="70F36FF2" wp14:editId="461A8462">
          <wp:simplePos x="0" y="0"/>
          <wp:positionH relativeFrom="column">
            <wp:posOffset>-990590</wp:posOffset>
          </wp:positionH>
          <wp:positionV relativeFrom="paragraph">
            <wp:posOffset>-412741</wp:posOffset>
          </wp:positionV>
          <wp:extent cx="7635163" cy="9944100"/>
          <wp:effectExtent l="0" t="0" r="0" b="0"/>
          <wp:wrapNone/>
          <wp:docPr id="39"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e"/>
      <w:tblW w:w="5812" w:type="dxa"/>
      <w:tblInd w:w="3119" w:type="dxa"/>
      <w:tblLayout w:type="fixed"/>
      <w:tblLook w:val="0400" w:firstRow="0" w:lastRow="0" w:firstColumn="0" w:lastColumn="0" w:noHBand="0" w:noVBand="1"/>
    </w:tblPr>
    <w:tblGrid>
      <w:gridCol w:w="2694"/>
      <w:gridCol w:w="3118"/>
    </w:tblGrid>
    <w:tr w:rsidR="0099504E" w14:paraId="65C6BF13" w14:textId="77777777">
      <w:tc>
        <w:tcPr>
          <w:tcW w:w="2694" w:type="dxa"/>
          <w:vAlign w:val="center"/>
        </w:tcPr>
        <w:p w14:paraId="607BB929" w14:textId="77777777" w:rsidR="0099504E" w:rsidRDefault="0099504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8" w:type="dxa"/>
          <w:vAlign w:val="center"/>
        </w:tcPr>
        <w:p w14:paraId="057B49B1" w14:textId="2EF59E43" w:rsidR="0099504E" w:rsidRDefault="007B6EEC" w:rsidP="0061166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126</w:t>
          </w:r>
          <w:r w:rsidR="0046048C">
            <w:rPr>
              <w:rFonts w:ascii="Palatino Linotype" w:eastAsia="Palatino Linotype" w:hAnsi="Palatino Linotype" w:cs="Palatino Linotype"/>
              <w:b/>
              <w:sz w:val="22"/>
              <w:szCs w:val="22"/>
            </w:rPr>
            <w:t>2</w:t>
          </w:r>
          <w:r>
            <w:rPr>
              <w:rFonts w:ascii="Palatino Linotype" w:eastAsia="Palatino Linotype" w:hAnsi="Palatino Linotype" w:cs="Palatino Linotype"/>
              <w:b/>
              <w:sz w:val="22"/>
              <w:szCs w:val="22"/>
            </w:rPr>
            <w:t>9/INFOEM/IP/RR/2025 y acumulado</w:t>
          </w:r>
        </w:p>
      </w:tc>
    </w:tr>
    <w:tr w:rsidR="0099504E" w14:paraId="3750AE4C" w14:textId="77777777">
      <w:trPr>
        <w:trHeight w:val="228"/>
      </w:trPr>
      <w:tc>
        <w:tcPr>
          <w:tcW w:w="2694" w:type="dxa"/>
          <w:vAlign w:val="center"/>
        </w:tcPr>
        <w:p w14:paraId="149D2973" w14:textId="77777777" w:rsidR="0099504E" w:rsidRDefault="0099504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8" w:type="dxa"/>
          <w:vAlign w:val="center"/>
        </w:tcPr>
        <w:p w14:paraId="6C4BE9AE" w14:textId="0790F5DD" w:rsidR="0099504E" w:rsidRDefault="007B6EEC">
          <w:pPr>
            <w:jc w:val="both"/>
            <w:rPr>
              <w:rFonts w:ascii="Palatino Linotype" w:eastAsia="Palatino Linotype" w:hAnsi="Palatino Linotype" w:cs="Palatino Linotype"/>
              <w:b/>
              <w:sz w:val="22"/>
              <w:szCs w:val="22"/>
            </w:rPr>
          </w:pPr>
          <w:r w:rsidRPr="007B6EEC">
            <w:rPr>
              <w:rFonts w:ascii="Palatino Linotype" w:eastAsia="Palatino Linotype" w:hAnsi="Palatino Linotype" w:cs="Palatino Linotype"/>
              <w:b/>
              <w:sz w:val="22"/>
              <w:szCs w:val="22"/>
            </w:rPr>
            <w:t>Sistema Municipal Para el Desarrollo Integral de la Familia de Ixtapaluca</w:t>
          </w:r>
        </w:p>
      </w:tc>
    </w:tr>
    <w:tr w:rsidR="0099504E" w14:paraId="34F35A4C" w14:textId="77777777">
      <w:tc>
        <w:tcPr>
          <w:tcW w:w="2694" w:type="dxa"/>
          <w:vAlign w:val="center"/>
        </w:tcPr>
        <w:p w14:paraId="2D3B7DA4" w14:textId="77777777" w:rsidR="0099504E" w:rsidRDefault="0099504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8" w:type="dxa"/>
          <w:vAlign w:val="center"/>
        </w:tcPr>
        <w:p w14:paraId="5E4FC2DC" w14:textId="77777777" w:rsidR="0099504E" w:rsidRDefault="0099504E">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6DBF06B" w14:textId="77777777" w:rsidR="0099504E" w:rsidRDefault="0099504E">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4C40E" w14:textId="77777777" w:rsidR="0099504E" w:rsidRDefault="0099504E">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fd"/>
      <w:tblW w:w="5953" w:type="dxa"/>
      <w:tblInd w:w="3119" w:type="dxa"/>
      <w:tblLayout w:type="fixed"/>
      <w:tblLook w:val="0400" w:firstRow="0" w:lastRow="0" w:firstColumn="0" w:lastColumn="0" w:noHBand="0" w:noVBand="1"/>
    </w:tblPr>
    <w:tblGrid>
      <w:gridCol w:w="2551"/>
      <w:gridCol w:w="3402"/>
    </w:tblGrid>
    <w:tr w:rsidR="0099504E" w:rsidRPr="00C51BE3" w14:paraId="612D5716" w14:textId="77777777">
      <w:tc>
        <w:tcPr>
          <w:tcW w:w="2551" w:type="dxa"/>
          <w:vAlign w:val="center"/>
        </w:tcPr>
        <w:p w14:paraId="3C32311E" w14:textId="77777777" w:rsidR="0099504E" w:rsidRPr="00C51BE3" w:rsidRDefault="0099504E" w:rsidP="00C51BE3">
          <w:pPr>
            <w:rPr>
              <w:rFonts w:ascii="Palatino Linotype" w:eastAsia="Palatino Linotype" w:hAnsi="Palatino Linotype" w:cs="Palatino Linotype"/>
              <w:b/>
              <w:sz w:val="20"/>
              <w:szCs w:val="20"/>
            </w:rPr>
          </w:pPr>
          <w:r w:rsidRPr="00C51BE3">
            <w:rPr>
              <w:rFonts w:ascii="Palatino Linotype" w:eastAsia="Palatino Linotype" w:hAnsi="Palatino Linotype" w:cs="Palatino Linotype"/>
              <w:b/>
              <w:sz w:val="20"/>
              <w:szCs w:val="20"/>
            </w:rPr>
            <w:t>Recurso de Revisión:</w:t>
          </w:r>
        </w:p>
      </w:tc>
      <w:tc>
        <w:tcPr>
          <w:tcW w:w="3402" w:type="dxa"/>
          <w:vAlign w:val="center"/>
        </w:tcPr>
        <w:p w14:paraId="6C93122E" w14:textId="032ED45E" w:rsidR="0099504E" w:rsidRPr="00C51BE3" w:rsidRDefault="007B6EEC" w:rsidP="00611664">
          <w:pPr>
            <w:ind w:left="36"/>
            <w:jc w:val="both"/>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12629</w:t>
          </w:r>
          <w:r w:rsidR="0099504E" w:rsidRPr="00C51BE3">
            <w:rPr>
              <w:rFonts w:ascii="Palatino Linotype" w:eastAsia="Palatino Linotype" w:hAnsi="Palatino Linotype" w:cs="Palatino Linotype"/>
              <w:b/>
              <w:sz w:val="20"/>
              <w:szCs w:val="20"/>
            </w:rPr>
            <w:t>/INFOEM/IP/RR/202</w:t>
          </w:r>
          <w:r w:rsidR="0099504E">
            <w:rPr>
              <w:rFonts w:ascii="Palatino Linotype" w:eastAsia="Palatino Linotype" w:hAnsi="Palatino Linotype" w:cs="Palatino Linotype"/>
              <w:b/>
              <w:sz w:val="20"/>
              <w:szCs w:val="20"/>
            </w:rPr>
            <w:t>5</w:t>
          </w:r>
          <w:r>
            <w:rPr>
              <w:rFonts w:ascii="Palatino Linotype" w:eastAsia="Palatino Linotype" w:hAnsi="Palatino Linotype" w:cs="Palatino Linotype"/>
              <w:b/>
              <w:sz w:val="20"/>
              <w:szCs w:val="20"/>
            </w:rPr>
            <w:t xml:space="preserve"> y acumulado</w:t>
          </w:r>
        </w:p>
      </w:tc>
    </w:tr>
    <w:tr w:rsidR="0099504E" w:rsidRPr="00C51BE3" w14:paraId="730FFF94" w14:textId="77777777">
      <w:tc>
        <w:tcPr>
          <w:tcW w:w="2551" w:type="dxa"/>
          <w:vAlign w:val="center"/>
        </w:tcPr>
        <w:p w14:paraId="2372C1E2" w14:textId="77777777" w:rsidR="0099504E" w:rsidRPr="00C51BE3" w:rsidRDefault="0099504E" w:rsidP="00C51BE3">
          <w:pPr>
            <w:ind w:left="35" w:hanging="35"/>
            <w:rPr>
              <w:rFonts w:ascii="Palatino Linotype" w:eastAsia="Palatino Linotype" w:hAnsi="Palatino Linotype" w:cs="Palatino Linotype"/>
              <w:b/>
              <w:sz w:val="20"/>
              <w:szCs w:val="20"/>
            </w:rPr>
          </w:pPr>
          <w:r w:rsidRPr="00C51BE3">
            <w:rPr>
              <w:rFonts w:ascii="Palatino Linotype" w:eastAsia="Palatino Linotype" w:hAnsi="Palatino Linotype" w:cs="Palatino Linotype"/>
              <w:b/>
              <w:sz w:val="20"/>
              <w:szCs w:val="20"/>
            </w:rPr>
            <w:t>Recurrente:</w:t>
          </w:r>
        </w:p>
      </w:tc>
      <w:tc>
        <w:tcPr>
          <w:tcW w:w="3402" w:type="dxa"/>
          <w:vAlign w:val="center"/>
        </w:tcPr>
        <w:p w14:paraId="0484BB3E" w14:textId="0D614B2F" w:rsidR="0099504E" w:rsidRPr="00C51BE3" w:rsidRDefault="000844BD" w:rsidP="00C51BE3">
          <w:pPr>
            <w:ind w:left="36"/>
            <w:jc w:val="both"/>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XXXX XXXXXX XX XXXX</w:t>
          </w:r>
          <w:r w:rsidR="0099504E" w:rsidRPr="00C51BE3">
            <w:rPr>
              <w:noProof/>
              <w:sz w:val="20"/>
              <w:szCs w:val="20"/>
              <w:lang w:eastAsia="es-MX"/>
            </w:rPr>
            <w:drawing>
              <wp:anchor distT="0" distB="0" distL="0" distR="0" simplePos="0" relativeHeight="251659264" behindDoc="1" locked="0" layoutInCell="1" hidden="0" allowOverlap="1" wp14:anchorId="02558BFB" wp14:editId="26E7D0A3">
                <wp:simplePos x="0" y="0"/>
                <wp:positionH relativeFrom="column">
                  <wp:posOffset>-4685661</wp:posOffset>
                </wp:positionH>
                <wp:positionV relativeFrom="paragraph">
                  <wp:posOffset>-913759</wp:posOffset>
                </wp:positionV>
                <wp:extent cx="7635240" cy="9942830"/>
                <wp:effectExtent l="0" t="0" r="0" b="0"/>
                <wp:wrapNone/>
                <wp:docPr id="40"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p>
      </w:tc>
    </w:tr>
    <w:tr w:rsidR="0099504E" w:rsidRPr="00C51BE3" w14:paraId="0F984EA1" w14:textId="77777777">
      <w:trPr>
        <w:trHeight w:val="228"/>
      </w:trPr>
      <w:tc>
        <w:tcPr>
          <w:tcW w:w="2551" w:type="dxa"/>
          <w:vAlign w:val="center"/>
        </w:tcPr>
        <w:p w14:paraId="47CCCA99" w14:textId="77777777" w:rsidR="0099504E" w:rsidRPr="00C51BE3" w:rsidRDefault="0099504E" w:rsidP="00C51BE3">
          <w:pPr>
            <w:rPr>
              <w:rFonts w:ascii="Palatino Linotype" w:eastAsia="Palatino Linotype" w:hAnsi="Palatino Linotype" w:cs="Palatino Linotype"/>
              <w:b/>
              <w:sz w:val="20"/>
              <w:szCs w:val="20"/>
            </w:rPr>
          </w:pPr>
          <w:r w:rsidRPr="00C51BE3">
            <w:rPr>
              <w:rFonts w:ascii="Palatino Linotype" w:eastAsia="Palatino Linotype" w:hAnsi="Palatino Linotype" w:cs="Palatino Linotype"/>
              <w:b/>
              <w:sz w:val="20"/>
              <w:szCs w:val="20"/>
            </w:rPr>
            <w:t>Sujeto obligado:</w:t>
          </w:r>
        </w:p>
      </w:tc>
      <w:tc>
        <w:tcPr>
          <w:tcW w:w="3402" w:type="dxa"/>
          <w:vAlign w:val="center"/>
        </w:tcPr>
        <w:p w14:paraId="168536E9" w14:textId="09D54C87" w:rsidR="0099504E" w:rsidRPr="00C51BE3" w:rsidRDefault="007B6EEC" w:rsidP="00C51BE3">
          <w:pPr>
            <w:ind w:left="36"/>
            <w:jc w:val="both"/>
            <w:rPr>
              <w:rFonts w:ascii="Palatino Linotype" w:eastAsia="Palatino Linotype" w:hAnsi="Palatino Linotype" w:cs="Palatino Linotype"/>
              <w:b/>
              <w:sz w:val="20"/>
              <w:szCs w:val="20"/>
            </w:rPr>
          </w:pPr>
          <w:r w:rsidRPr="007B6EEC">
            <w:rPr>
              <w:rFonts w:ascii="Palatino Linotype" w:eastAsia="Palatino Linotype" w:hAnsi="Palatino Linotype" w:cs="Palatino Linotype"/>
              <w:b/>
              <w:sz w:val="20"/>
              <w:szCs w:val="20"/>
            </w:rPr>
            <w:t>Sistema Municipal Para el Desarrollo Integral de la Familia de Ixtapaluca</w:t>
          </w:r>
        </w:p>
      </w:tc>
    </w:tr>
    <w:tr w:rsidR="0099504E" w:rsidRPr="00C51BE3" w14:paraId="434D024A" w14:textId="77777777">
      <w:tc>
        <w:tcPr>
          <w:tcW w:w="2551" w:type="dxa"/>
          <w:vAlign w:val="center"/>
        </w:tcPr>
        <w:p w14:paraId="610D42FD" w14:textId="77777777" w:rsidR="0099504E" w:rsidRPr="00C51BE3" w:rsidRDefault="0099504E" w:rsidP="00C51BE3">
          <w:pPr>
            <w:rPr>
              <w:rFonts w:ascii="Palatino Linotype" w:eastAsia="Palatino Linotype" w:hAnsi="Palatino Linotype" w:cs="Palatino Linotype"/>
              <w:b/>
              <w:sz w:val="20"/>
              <w:szCs w:val="20"/>
            </w:rPr>
          </w:pPr>
          <w:r w:rsidRPr="00C51BE3">
            <w:rPr>
              <w:rFonts w:ascii="Palatino Linotype" w:eastAsia="Palatino Linotype" w:hAnsi="Palatino Linotype" w:cs="Palatino Linotype"/>
              <w:b/>
              <w:sz w:val="20"/>
              <w:szCs w:val="20"/>
            </w:rPr>
            <w:t>Comisionada ponente:</w:t>
          </w:r>
        </w:p>
      </w:tc>
      <w:tc>
        <w:tcPr>
          <w:tcW w:w="3402" w:type="dxa"/>
          <w:vAlign w:val="center"/>
        </w:tcPr>
        <w:p w14:paraId="54CFCF35" w14:textId="77777777" w:rsidR="0099504E" w:rsidRPr="00C51BE3" w:rsidRDefault="0099504E" w:rsidP="00C51BE3">
          <w:pPr>
            <w:ind w:left="36" w:right="-533"/>
            <w:jc w:val="both"/>
            <w:rPr>
              <w:rFonts w:ascii="Palatino Linotype" w:eastAsia="Palatino Linotype" w:hAnsi="Palatino Linotype" w:cs="Palatino Linotype"/>
              <w:b/>
              <w:sz w:val="20"/>
              <w:szCs w:val="20"/>
            </w:rPr>
          </w:pPr>
          <w:r w:rsidRPr="00C51BE3">
            <w:rPr>
              <w:rFonts w:ascii="Palatino Linotype" w:eastAsia="Palatino Linotype" w:hAnsi="Palatino Linotype" w:cs="Palatino Linotype"/>
              <w:b/>
              <w:sz w:val="20"/>
              <w:szCs w:val="20"/>
            </w:rPr>
            <w:t>Guadalupe Ramírez Peña</w:t>
          </w:r>
        </w:p>
      </w:tc>
    </w:tr>
  </w:tbl>
  <w:p w14:paraId="7C5DA925" w14:textId="77777777" w:rsidR="0099504E" w:rsidRDefault="0099504E">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9B171" w14:textId="77777777" w:rsidR="0099504E" w:rsidRDefault="0099504E">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77B9186F" w14:textId="77777777" w:rsidR="0099504E" w:rsidRDefault="0099504E">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003D7"/>
    <w:multiLevelType w:val="multilevel"/>
    <w:tmpl w:val="F578B7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6D4569"/>
    <w:multiLevelType w:val="multilevel"/>
    <w:tmpl w:val="0236252A"/>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1D3394E"/>
    <w:multiLevelType w:val="multilevel"/>
    <w:tmpl w:val="257668B4"/>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5843551"/>
    <w:multiLevelType w:val="multilevel"/>
    <w:tmpl w:val="37F66268"/>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E893D34"/>
    <w:multiLevelType w:val="hybridMultilevel"/>
    <w:tmpl w:val="591CEB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79E0237"/>
    <w:multiLevelType w:val="multilevel"/>
    <w:tmpl w:val="38D6EC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F3F23A5"/>
    <w:multiLevelType w:val="hybridMultilevel"/>
    <w:tmpl w:val="BFE2D3EA"/>
    <w:lvl w:ilvl="0" w:tplc="FD44B302">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79A20B2"/>
    <w:multiLevelType w:val="multilevel"/>
    <w:tmpl w:val="E5BE3FEC"/>
    <w:lvl w:ilvl="0">
      <w:start w:val="1"/>
      <w:numFmt w:val="decimal"/>
      <w:lvlText w:val="%1."/>
      <w:lvlJc w:val="left"/>
      <w:pPr>
        <w:ind w:left="644" w:hanging="357"/>
      </w:pPr>
      <w:rPr>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7"/>
  </w:num>
  <w:num w:numId="2">
    <w:abstractNumId w:val="0"/>
  </w:num>
  <w:num w:numId="3">
    <w:abstractNumId w:val="5"/>
  </w:num>
  <w:num w:numId="4">
    <w:abstractNumId w:val="2"/>
  </w:num>
  <w:num w:numId="5">
    <w:abstractNumId w:val="1"/>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ABC"/>
    <w:rsid w:val="000033EE"/>
    <w:rsid w:val="00070F75"/>
    <w:rsid w:val="000844BD"/>
    <w:rsid w:val="000D2644"/>
    <w:rsid w:val="000D6D7A"/>
    <w:rsid w:val="00137C58"/>
    <w:rsid w:val="00227CBA"/>
    <w:rsid w:val="002C68A5"/>
    <w:rsid w:val="00313479"/>
    <w:rsid w:val="00344ABC"/>
    <w:rsid w:val="00380380"/>
    <w:rsid w:val="003D7618"/>
    <w:rsid w:val="003E0BD7"/>
    <w:rsid w:val="0046048C"/>
    <w:rsid w:val="004A1815"/>
    <w:rsid w:val="004E4A84"/>
    <w:rsid w:val="00516D23"/>
    <w:rsid w:val="005C40B4"/>
    <w:rsid w:val="005F00D7"/>
    <w:rsid w:val="00611664"/>
    <w:rsid w:val="00730996"/>
    <w:rsid w:val="00751230"/>
    <w:rsid w:val="007B6EEC"/>
    <w:rsid w:val="008B2686"/>
    <w:rsid w:val="008D733B"/>
    <w:rsid w:val="008E1494"/>
    <w:rsid w:val="008E304D"/>
    <w:rsid w:val="0095411C"/>
    <w:rsid w:val="0099504E"/>
    <w:rsid w:val="00A41D0E"/>
    <w:rsid w:val="00A603DA"/>
    <w:rsid w:val="00AA57B2"/>
    <w:rsid w:val="00AF2592"/>
    <w:rsid w:val="00B17CEB"/>
    <w:rsid w:val="00BE0B09"/>
    <w:rsid w:val="00C00FCB"/>
    <w:rsid w:val="00C32DB5"/>
    <w:rsid w:val="00C51BE3"/>
    <w:rsid w:val="00D05C74"/>
    <w:rsid w:val="00D14F8D"/>
    <w:rsid w:val="00D23271"/>
    <w:rsid w:val="00D642C4"/>
    <w:rsid w:val="00D73FD2"/>
    <w:rsid w:val="00E14728"/>
    <w:rsid w:val="00E260A2"/>
    <w:rsid w:val="00E70143"/>
    <w:rsid w:val="00F408B9"/>
    <w:rsid w:val="00F871D1"/>
    <w:rsid w:val="00FA4BD1"/>
    <w:rsid w:val="00FB3F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0AE492"/>
  <w15:docId w15:val="{55D1BF19-5C9C-44C1-9EC6-2C0BD63DD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CellMar>
        <w:left w:w="115" w:type="dxa"/>
        <w:right w:w="115" w:type="dxa"/>
      </w:tblCellMar>
    </w:tblPr>
  </w:style>
  <w:style w:type="table" w:customStyle="1" w:styleId="a0">
    <w:basedOn w:val="TableNormal6"/>
    <w:tblPr>
      <w:tblStyleRowBandSize w:val="1"/>
      <w:tblStyleColBandSize w:val="1"/>
      <w:tblCellMar>
        <w:left w:w="115" w:type="dxa"/>
        <w:right w:w="115" w:type="dxa"/>
      </w:tblCellMar>
    </w:tblPr>
  </w:style>
  <w:style w:type="paragraph" w:styleId="Sinespaciado">
    <w:name w:val="No Spacing"/>
    <w:aliases w:val="Francesa"/>
    <w:link w:val="SinespaciadoCar"/>
    <w:uiPriority w:val="1"/>
    <w:qFormat/>
    <w:rsid w:val="000039DE"/>
    <w:rPr>
      <w:lang w:eastAsia="es-ES"/>
    </w:rPr>
  </w:style>
  <w:style w:type="character" w:customStyle="1" w:styleId="SinespaciadoCar">
    <w:name w:val="Sin espaciado Car"/>
    <w:aliases w:val="Francesa Car"/>
    <w:link w:val="Sinespaciado"/>
    <w:uiPriority w:val="1"/>
    <w:locked/>
    <w:rsid w:val="000039DE"/>
    <w:rPr>
      <w:lang w:val="es-MX" w:eastAsia="es-ES"/>
    </w:rPr>
  </w:style>
  <w:style w:type="table" w:customStyle="1" w:styleId="a1">
    <w:basedOn w:val="TableNormal6"/>
    <w:tblPr>
      <w:tblStyleRowBandSize w:val="1"/>
      <w:tblStyleColBandSize w:val="1"/>
      <w:tblCellMar>
        <w:left w:w="108" w:type="dxa"/>
        <w:right w:w="108" w:type="dxa"/>
      </w:tblCellMar>
    </w:tblPr>
  </w:style>
  <w:style w:type="table" w:customStyle="1" w:styleId="a2">
    <w:basedOn w:val="TableNormal6"/>
    <w:tblPr>
      <w:tblStyleRowBandSize w:val="1"/>
      <w:tblStyleColBandSize w:val="1"/>
      <w:tblCellMar>
        <w:left w:w="108" w:type="dxa"/>
        <w:right w:w="108" w:type="dxa"/>
      </w:tblCellMar>
    </w:tblPr>
  </w:style>
  <w:style w:type="table" w:customStyle="1" w:styleId="a3">
    <w:basedOn w:val="TableNormal6"/>
    <w:tblPr>
      <w:tblStyleRowBandSize w:val="1"/>
      <w:tblStyleColBandSize w:val="1"/>
      <w:tblCellMar>
        <w:left w:w="115" w:type="dxa"/>
        <w:right w:w="115" w:type="dxa"/>
      </w:tblCellMar>
    </w:tblPr>
  </w:style>
  <w:style w:type="table" w:customStyle="1" w:styleId="a4">
    <w:basedOn w:val="TableNormal6"/>
    <w:tblPr>
      <w:tblStyleRowBandSize w:val="1"/>
      <w:tblStyleColBandSize w:val="1"/>
      <w:tblCellMar>
        <w:left w:w="115" w:type="dxa"/>
        <w:right w:w="115" w:type="dxa"/>
      </w:tblCellMar>
    </w:tblPr>
  </w:style>
  <w:style w:type="table" w:customStyle="1" w:styleId="a5">
    <w:basedOn w:val="TableNormal5"/>
    <w:tblPr>
      <w:tblStyleRowBandSize w:val="1"/>
      <w:tblStyleColBandSize w:val="1"/>
      <w:tblCellMar>
        <w:left w:w="115" w:type="dxa"/>
        <w:right w:w="115" w:type="dxa"/>
      </w:tblCellMar>
    </w:tblPr>
  </w:style>
  <w:style w:type="table" w:customStyle="1" w:styleId="a6">
    <w:basedOn w:val="TableNormal5"/>
    <w:tblPr>
      <w:tblStyleRowBandSize w:val="1"/>
      <w:tblStyleColBandSize w:val="1"/>
      <w:tblCellMar>
        <w:left w:w="115" w:type="dxa"/>
        <w:right w:w="115" w:type="dxa"/>
      </w:tblCellMar>
    </w:tblPr>
  </w:style>
  <w:style w:type="table" w:customStyle="1" w:styleId="a7">
    <w:basedOn w:val="TableNormal5"/>
    <w:tblPr>
      <w:tblStyleRowBandSize w:val="1"/>
      <w:tblStyleColBandSize w:val="1"/>
      <w:tblCellMar>
        <w:left w:w="115" w:type="dxa"/>
        <w:right w:w="115" w:type="dxa"/>
      </w:tblCellMar>
    </w:tblPr>
  </w:style>
  <w:style w:type="table" w:customStyle="1" w:styleId="a8">
    <w:basedOn w:val="TableNormal5"/>
    <w:tblPr>
      <w:tblStyleRowBandSize w:val="1"/>
      <w:tblStyleColBandSize w:val="1"/>
      <w:tblCellMar>
        <w:left w:w="115" w:type="dxa"/>
        <w:right w:w="115" w:type="dxa"/>
      </w:tblCellMar>
    </w:tblPr>
  </w:style>
  <w:style w:type="table" w:customStyle="1" w:styleId="a9">
    <w:basedOn w:val="TableNormal5"/>
    <w:tblPr>
      <w:tblStyleRowBandSize w:val="1"/>
      <w:tblStyleColBandSize w:val="1"/>
      <w:tblCellMar>
        <w:left w:w="115" w:type="dxa"/>
        <w:right w:w="115" w:type="dxa"/>
      </w:tblCellMar>
    </w:tblPr>
  </w:style>
  <w:style w:type="table" w:customStyle="1" w:styleId="aa">
    <w:basedOn w:val="TableNormal4"/>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4"/>
    <w:tblPr>
      <w:tblStyleRowBandSize w:val="1"/>
      <w:tblStyleColBandSize w:val="1"/>
      <w:tblCellMar>
        <w:left w:w="115" w:type="dxa"/>
        <w:right w:w="115" w:type="dxa"/>
      </w:tblCellMar>
    </w:tblPr>
  </w:style>
  <w:style w:type="table" w:customStyle="1" w:styleId="Tabladelista1clara-nfasis11">
    <w:name w:val="Tabla de lista 1 clara - Énfasis 11"/>
    <w:basedOn w:val="Tablanormal"/>
    <w:uiPriority w:val="46"/>
    <w:rsid w:val="006D213A"/>
    <w:rPr>
      <w:rFonts w:asciiTheme="minorHAnsi" w:eastAsia="MS Mincho" w:hAnsiTheme="minorHAnsi" w:cstheme="minorBidi"/>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rPr>
      <w:rFonts w:ascii="Calibri" w:eastAsia="Calibri" w:hAnsi="Calibri" w:cs="Calibri"/>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5">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6">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7">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8">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9">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a">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b">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c">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d">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e">
    <w:basedOn w:val="TableNormal0"/>
    <w:rPr>
      <w:rFonts w:ascii="Calibri" w:eastAsia="Calibri" w:hAnsi="Calibri" w:cs="Calibri"/>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36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xrmpsUeyIBy2dS+FzGtlSaHckw==">CgMxLjAyCWguMXQzaDVzZjIJaC4zMGowemxsMghoLmdqZGd4czIJaC4xZm9iOXRlMghoLnR5amN3dDgAciExcnhITWpxZUVGU3pTYlhja05DY3BBWmN6cmZ5NVpSdDE=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8273</Words>
  <Characters>45503</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2025-12-05T19:19:00Z</cp:lastPrinted>
  <dcterms:created xsi:type="dcterms:W3CDTF">2026-01-19T22:40:00Z</dcterms:created>
  <dcterms:modified xsi:type="dcterms:W3CDTF">2026-01-19T22:40:00Z</dcterms:modified>
</cp:coreProperties>
</file>