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2066C" w14:textId="1655F48B" w:rsidR="008665CE" w:rsidRPr="00C739C2" w:rsidRDefault="008665CE" w:rsidP="00C46F50">
      <w:pPr>
        <w:tabs>
          <w:tab w:val="left" w:pos="0"/>
        </w:tabs>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w:t>
      </w:r>
      <w:r w:rsidR="00532AA1">
        <w:rPr>
          <w:rFonts w:ascii="Palatino Linotype" w:eastAsia="Palatino Linotype" w:hAnsi="Palatino Linotype" w:cs="Palatino Linotype"/>
          <w:color w:val="000000" w:themeColor="text1"/>
        </w:rPr>
        <w:t xml:space="preserve"> Metepec, Estado de México; de fecha </w:t>
      </w:r>
      <w:r w:rsidR="00310376" w:rsidRPr="00C739C2">
        <w:rPr>
          <w:rFonts w:ascii="Palatino Linotype" w:eastAsia="Palatino Linotype" w:hAnsi="Palatino Linotype" w:cs="Palatino Linotype"/>
          <w:b/>
          <w:color w:val="000000" w:themeColor="text1"/>
        </w:rPr>
        <w:t>trece</w:t>
      </w:r>
      <w:r w:rsidRPr="00C739C2">
        <w:rPr>
          <w:rFonts w:ascii="Palatino Linotype" w:eastAsia="Palatino Linotype" w:hAnsi="Palatino Linotype" w:cs="Palatino Linotype"/>
          <w:b/>
          <w:color w:val="000000" w:themeColor="text1"/>
        </w:rPr>
        <w:t xml:space="preserve"> </w:t>
      </w:r>
      <w:r w:rsidR="00532AA1">
        <w:rPr>
          <w:rFonts w:ascii="Palatino Linotype" w:eastAsia="Palatino Linotype" w:hAnsi="Palatino Linotype" w:cs="Palatino Linotype"/>
          <w:b/>
          <w:color w:val="000000" w:themeColor="text1"/>
        </w:rPr>
        <w:t xml:space="preserve">(13) </w:t>
      </w:r>
      <w:r w:rsidRPr="00C739C2">
        <w:rPr>
          <w:rFonts w:ascii="Palatino Linotype" w:eastAsia="Palatino Linotype" w:hAnsi="Palatino Linotype" w:cs="Palatino Linotype"/>
          <w:b/>
          <w:color w:val="000000" w:themeColor="text1"/>
        </w:rPr>
        <w:t>de agosto de dos mil veinticinco.</w:t>
      </w:r>
      <w:r w:rsidRPr="00C739C2">
        <w:rPr>
          <w:rFonts w:ascii="Palatino Linotype" w:eastAsia="Palatino Linotype" w:hAnsi="Palatino Linotype" w:cs="Palatino Linotype"/>
          <w:color w:val="000000" w:themeColor="text1"/>
        </w:rPr>
        <w:t xml:space="preserve"> </w:t>
      </w:r>
    </w:p>
    <w:p w14:paraId="149D4277"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color w:val="000000" w:themeColor="text1"/>
        </w:rPr>
      </w:pPr>
    </w:p>
    <w:p w14:paraId="700B91EA" w14:textId="11FEB7D3" w:rsidR="008665CE" w:rsidRPr="00C739C2" w:rsidRDefault="008665CE" w:rsidP="00C46F50">
      <w:pPr>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VISTO</w:t>
      </w:r>
      <w:r w:rsidRPr="00C739C2">
        <w:rPr>
          <w:rFonts w:ascii="Palatino Linotype" w:eastAsia="Palatino Linotype" w:hAnsi="Palatino Linotype" w:cs="Palatino Linotype"/>
          <w:color w:val="000000" w:themeColor="text1"/>
        </w:rPr>
        <w:t xml:space="preserve"> el expediente electrónico formado con motivo del recurso de revisión </w:t>
      </w:r>
      <w:r w:rsidR="00310376" w:rsidRPr="00C739C2">
        <w:rPr>
          <w:rFonts w:ascii="Palatino Linotype" w:eastAsia="Palatino Linotype" w:hAnsi="Palatino Linotype" w:cs="Palatino Linotype"/>
          <w:b/>
          <w:color w:val="000000" w:themeColor="text1"/>
        </w:rPr>
        <w:t>02793</w:t>
      </w:r>
      <w:r w:rsidRPr="00C739C2">
        <w:rPr>
          <w:rFonts w:ascii="Palatino Linotype" w:eastAsia="Palatino Linotype" w:hAnsi="Palatino Linotype" w:cs="Palatino Linotype"/>
          <w:b/>
          <w:color w:val="000000" w:themeColor="text1"/>
        </w:rPr>
        <w:t xml:space="preserve">/INFOEM/IP/RR/2025, </w:t>
      </w:r>
      <w:r w:rsidRPr="00C739C2">
        <w:rPr>
          <w:rFonts w:ascii="Palatino Linotype" w:eastAsia="Palatino Linotype" w:hAnsi="Palatino Linotype" w:cs="Palatino Linotype"/>
          <w:color w:val="000000" w:themeColor="text1"/>
        </w:rPr>
        <w:t xml:space="preserve">promovido por </w:t>
      </w:r>
      <w:r w:rsidRPr="00C739C2">
        <w:rPr>
          <w:rFonts w:ascii="Palatino Linotype" w:eastAsia="Palatino Linotype" w:hAnsi="Palatino Linotype" w:cs="Palatino Linotype"/>
          <w:b/>
          <w:color w:val="000000" w:themeColor="text1"/>
        </w:rPr>
        <w:t> </w:t>
      </w:r>
      <w:r w:rsidR="001A4025">
        <w:rPr>
          <w:rFonts w:ascii="Palatino Linotype" w:eastAsia="Palatino Linotype" w:hAnsi="Palatino Linotype" w:cs="Palatino Linotype"/>
          <w:b/>
          <w:bCs/>
          <w:color w:val="000000" w:themeColor="text1"/>
        </w:rPr>
        <w:t>XXXX</w:t>
      </w:r>
      <w:r w:rsidRPr="00C739C2">
        <w:rPr>
          <w:rFonts w:ascii="Palatino Linotype" w:eastAsia="Palatino Linotype" w:hAnsi="Palatino Linotype" w:cs="Palatino Linotype"/>
          <w:color w:val="000000" w:themeColor="text1"/>
        </w:rPr>
        <w:t xml:space="preserve">, quien en lo sucesivo se le identificara como </w:t>
      </w:r>
      <w:r w:rsidR="00C46F50" w:rsidRPr="00C739C2">
        <w:rPr>
          <w:rFonts w:ascii="Palatino Linotype" w:eastAsia="Palatino Linotype" w:hAnsi="Palatino Linotype" w:cs="Palatino Linotype"/>
          <w:color w:val="000000" w:themeColor="text1"/>
        </w:rPr>
        <w:t xml:space="preserve">EL </w:t>
      </w:r>
      <w:r w:rsidRPr="00C739C2">
        <w:rPr>
          <w:rFonts w:ascii="Palatino Linotype" w:eastAsia="Palatino Linotype" w:hAnsi="Palatino Linotype" w:cs="Palatino Linotype"/>
          <w:b/>
          <w:color w:val="000000" w:themeColor="text1"/>
        </w:rPr>
        <w:t>RECURRENTE</w:t>
      </w:r>
      <w:r w:rsidRPr="00C739C2">
        <w:rPr>
          <w:rFonts w:ascii="Palatino Linotype" w:eastAsia="Palatino Linotype" w:hAnsi="Palatino Linotype" w:cs="Palatino Linotype"/>
          <w:color w:val="000000" w:themeColor="text1"/>
        </w:rPr>
        <w:t>, en contra de la respuesta de</w:t>
      </w:r>
      <w:r w:rsidR="00C46F50" w:rsidRPr="00C739C2">
        <w:rPr>
          <w:rFonts w:ascii="Palatino Linotype" w:eastAsia="Palatino Linotype" w:hAnsi="Palatino Linotype" w:cs="Palatino Linotype"/>
          <w:b/>
          <w:color w:val="000000" w:themeColor="text1"/>
        </w:rPr>
        <w:t>l Poder Judicial</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en lo sucesivo el</w:t>
      </w:r>
      <w:r w:rsidRPr="00C739C2">
        <w:rPr>
          <w:rFonts w:ascii="Palatino Linotype" w:eastAsia="Palatino Linotype" w:hAnsi="Palatino Linotype" w:cs="Palatino Linotype"/>
          <w:b/>
          <w:color w:val="000000" w:themeColor="text1"/>
        </w:rPr>
        <w:t xml:space="preserve"> SUJETO OBLIGADO, </w:t>
      </w:r>
      <w:r w:rsidRPr="00C739C2">
        <w:rPr>
          <w:rFonts w:ascii="Palatino Linotype" w:eastAsia="Palatino Linotype" w:hAnsi="Palatino Linotype" w:cs="Palatino Linotype"/>
          <w:color w:val="000000" w:themeColor="text1"/>
        </w:rPr>
        <w:t xml:space="preserve">se procede a dictar la presente resolución, con base en los siguientes: </w:t>
      </w:r>
    </w:p>
    <w:p w14:paraId="06E9B12D" w14:textId="77777777" w:rsidR="008665CE" w:rsidRPr="00C739C2" w:rsidRDefault="008665CE" w:rsidP="00C46F50">
      <w:pPr>
        <w:spacing w:line="360" w:lineRule="auto"/>
        <w:jc w:val="both"/>
        <w:rPr>
          <w:rFonts w:ascii="Palatino Linotype" w:eastAsia="Palatino Linotype" w:hAnsi="Palatino Linotype" w:cs="Palatino Linotype"/>
          <w:color w:val="000000" w:themeColor="text1"/>
        </w:rPr>
      </w:pPr>
    </w:p>
    <w:p w14:paraId="4E3EC5DE" w14:textId="2FDD7046" w:rsidR="008665CE" w:rsidRPr="00C739C2" w:rsidRDefault="008665CE" w:rsidP="00C46F5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0" w:name="_heading=h.xmfljtfma8mi" w:colFirst="0" w:colLast="0"/>
      <w:bookmarkEnd w:id="0"/>
      <w:r w:rsidRPr="00C739C2">
        <w:rPr>
          <w:rFonts w:ascii="Palatino Linotype" w:eastAsia="Palatino Linotype" w:hAnsi="Palatino Linotype" w:cs="Palatino Linotype"/>
          <w:b/>
          <w:color w:val="000000" w:themeColor="text1"/>
        </w:rPr>
        <w:t>A</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N</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T</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E</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C</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E</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D</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E</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N</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T</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E</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S</w:t>
      </w:r>
    </w:p>
    <w:p w14:paraId="5939AA2B" w14:textId="77777777" w:rsidR="008665CE" w:rsidRPr="00C739C2" w:rsidRDefault="008665CE" w:rsidP="00C46F50">
      <w:pPr>
        <w:keepNext/>
        <w:keepLines/>
        <w:tabs>
          <w:tab w:val="left" w:pos="0"/>
        </w:tabs>
        <w:spacing w:line="360" w:lineRule="auto"/>
        <w:jc w:val="center"/>
        <w:rPr>
          <w:rFonts w:ascii="Palatino Linotype" w:eastAsia="Palatino Linotype" w:hAnsi="Palatino Linotype" w:cs="Palatino Linotype"/>
          <w:b/>
          <w:color w:val="000000" w:themeColor="text1"/>
        </w:rPr>
      </w:pPr>
    </w:p>
    <w:p w14:paraId="14420944" w14:textId="77777777" w:rsidR="008665CE" w:rsidRPr="00C739C2" w:rsidRDefault="008665CE" w:rsidP="00C46F5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El </w:t>
      </w:r>
      <w:r w:rsidR="000C125C" w:rsidRPr="00C739C2">
        <w:rPr>
          <w:rFonts w:ascii="Palatino Linotype" w:eastAsia="Palatino Linotype" w:hAnsi="Palatino Linotype" w:cs="Palatino Linotype"/>
          <w:b/>
          <w:color w:val="000000" w:themeColor="text1"/>
        </w:rPr>
        <w:t>diecisiete de febrero</w:t>
      </w:r>
      <w:r w:rsidRPr="00C739C2">
        <w:rPr>
          <w:rFonts w:ascii="Palatino Linotype" w:eastAsia="Palatino Linotype" w:hAnsi="Palatino Linotype" w:cs="Palatino Linotype"/>
          <w:b/>
          <w:color w:val="000000" w:themeColor="text1"/>
        </w:rPr>
        <w:t xml:space="preserve"> de dos mil veinticinco</w:t>
      </w:r>
      <w:r w:rsidRPr="00C739C2">
        <w:rPr>
          <w:rFonts w:ascii="Palatino Linotype" w:eastAsia="Palatino Linotype" w:hAnsi="Palatino Linotype" w:cs="Palatino Linotype"/>
          <w:color w:val="000000" w:themeColor="text1"/>
        </w:rPr>
        <w:t>, el</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solicitante</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presentó</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 xml:space="preserve">ante el </w:t>
      </w:r>
      <w:r w:rsidRPr="00C739C2">
        <w:rPr>
          <w:rFonts w:ascii="Palatino Linotype" w:eastAsia="Palatino Linotype" w:hAnsi="Palatino Linotype" w:cs="Palatino Linotype"/>
          <w:b/>
          <w:color w:val="000000" w:themeColor="text1"/>
        </w:rPr>
        <w:t>SUJETO OBLIGADO,</w:t>
      </w:r>
      <w:r w:rsidRPr="00C739C2">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C739C2">
        <w:rPr>
          <w:rFonts w:ascii="Palatino Linotype" w:eastAsia="Palatino Linotype" w:hAnsi="Palatino Linotype" w:cs="Palatino Linotype"/>
          <w:b/>
          <w:color w:val="000000" w:themeColor="text1"/>
        </w:rPr>
        <w:t> </w:t>
      </w:r>
      <w:r w:rsidRPr="00C739C2">
        <w:rPr>
          <w:rFonts w:ascii="Palatino Linotype" w:eastAsia="Palatino Linotype" w:hAnsi="Palatino Linotype" w:cs="Palatino Linotype"/>
          <w:b/>
          <w:bCs/>
          <w:color w:val="000000" w:themeColor="text1"/>
        </w:rPr>
        <w:t>00136/PJUDICI/IP/2025</w:t>
      </w:r>
      <w:r w:rsidRPr="00C739C2">
        <w:rPr>
          <w:rFonts w:ascii="Palatino Linotype" w:eastAsia="Palatino Linotype" w:hAnsi="Palatino Linotype" w:cs="Palatino Linotype"/>
          <w:color w:val="000000" w:themeColor="text1"/>
        </w:rPr>
        <w:t>, mediante la cual se solicitó:</w:t>
      </w:r>
    </w:p>
    <w:p w14:paraId="446A40C8"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color w:val="000000" w:themeColor="text1"/>
        </w:rPr>
      </w:pPr>
    </w:p>
    <w:p w14:paraId="3B4412A5"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“versión pública de la sentencia definitiva que resuelve el expediente 47/2020 del indice del Juzgado Segundo Familiar del Distrito Judicial de Nezahualcóyotl, del Tribunal Superior de Justicia del Estado de México” (Sic)</w:t>
      </w:r>
    </w:p>
    <w:p w14:paraId="3D8C238D"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color w:val="000000" w:themeColor="text1"/>
        </w:rPr>
      </w:pPr>
    </w:p>
    <w:p w14:paraId="443CA95F"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color w:val="000000" w:themeColor="text1"/>
        </w:rPr>
        <w:t>Se hace constar que se señaló como modalidad de entrega de la información a través de SAIMEX.</w:t>
      </w:r>
    </w:p>
    <w:p w14:paraId="663A707C"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color w:val="000000" w:themeColor="text1"/>
        </w:rPr>
      </w:pPr>
    </w:p>
    <w:p w14:paraId="6AFA301E" w14:textId="77777777" w:rsidR="008665CE" w:rsidRPr="00C739C2" w:rsidRDefault="008665CE" w:rsidP="00C46F5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lastRenderedPageBreak/>
        <w:t xml:space="preserve">El </w:t>
      </w:r>
      <w:r w:rsidRPr="00C739C2">
        <w:rPr>
          <w:rFonts w:ascii="Palatino Linotype" w:eastAsia="Palatino Linotype" w:hAnsi="Palatino Linotype" w:cs="Palatino Linotype"/>
          <w:b/>
          <w:color w:val="000000" w:themeColor="text1"/>
        </w:rPr>
        <w:t>once de marzo de dos mil veinticinco</w:t>
      </w:r>
      <w:r w:rsidRPr="00C739C2">
        <w:rPr>
          <w:rFonts w:ascii="Palatino Linotype" w:eastAsia="Palatino Linotype" w:hAnsi="Palatino Linotype" w:cs="Palatino Linotype"/>
          <w:color w:val="000000" w:themeColor="text1"/>
        </w:rPr>
        <w:t>, el Sujeto Obligado dio respuesta a la solicitud de información en el siguiente sentido:</w:t>
      </w:r>
    </w:p>
    <w:tbl>
      <w:tblPr>
        <w:tblW w:w="7481" w:type="dxa"/>
        <w:jc w:val="center"/>
        <w:tblCellSpacing w:w="0" w:type="dxa"/>
        <w:tblCellMar>
          <w:left w:w="0" w:type="dxa"/>
          <w:right w:w="0" w:type="dxa"/>
        </w:tblCellMar>
        <w:tblLook w:val="04A0" w:firstRow="1" w:lastRow="0" w:firstColumn="1" w:lastColumn="0" w:noHBand="0" w:noVBand="1"/>
      </w:tblPr>
      <w:tblGrid>
        <w:gridCol w:w="7481"/>
      </w:tblGrid>
      <w:tr w:rsidR="00C46F50" w:rsidRPr="00C739C2" w14:paraId="64DA3CAB" w14:textId="77777777" w:rsidTr="008665CE">
        <w:trPr>
          <w:trHeight w:val="311"/>
          <w:tblCellSpacing w:w="0" w:type="dxa"/>
          <w:jc w:val="center"/>
        </w:trPr>
        <w:tc>
          <w:tcPr>
            <w:tcW w:w="0" w:type="auto"/>
            <w:vAlign w:val="center"/>
            <w:hideMark/>
          </w:tcPr>
          <w:p w14:paraId="0AA486F6" w14:textId="5D28FDFA" w:rsidR="008665CE" w:rsidRPr="00C739C2" w:rsidRDefault="008665CE" w:rsidP="00C46F50">
            <w:pPr>
              <w:jc w:val="right"/>
              <w:rPr>
                <w:rFonts w:ascii="Palatino Linotype" w:hAnsi="Palatino Linotype"/>
                <w:i/>
                <w:color w:val="000000" w:themeColor="text1"/>
              </w:rPr>
            </w:pPr>
            <w:r w:rsidRPr="00C739C2">
              <w:rPr>
                <w:rFonts w:ascii="Palatino Linotype" w:hAnsi="Palatino Linotype"/>
                <w:i/>
                <w:color w:val="000000" w:themeColor="text1"/>
              </w:rPr>
              <w:t>“Metepec, México a 11 de Marzo de 2025</w:t>
            </w:r>
          </w:p>
        </w:tc>
      </w:tr>
      <w:tr w:rsidR="00C46F50" w:rsidRPr="00C739C2" w14:paraId="42C35DA3" w14:textId="77777777" w:rsidTr="008665CE">
        <w:trPr>
          <w:trHeight w:val="311"/>
          <w:tblCellSpacing w:w="0" w:type="dxa"/>
          <w:jc w:val="center"/>
        </w:trPr>
        <w:tc>
          <w:tcPr>
            <w:tcW w:w="0" w:type="auto"/>
            <w:vAlign w:val="center"/>
            <w:hideMark/>
          </w:tcPr>
          <w:p w14:paraId="235659E5" w14:textId="77777777" w:rsidR="008665CE" w:rsidRPr="00C739C2" w:rsidRDefault="008665CE" w:rsidP="00C46F50">
            <w:pPr>
              <w:jc w:val="right"/>
              <w:rPr>
                <w:rFonts w:ascii="Palatino Linotype" w:hAnsi="Palatino Linotype"/>
                <w:i/>
                <w:color w:val="000000" w:themeColor="text1"/>
              </w:rPr>
            </w:pPr>
            <w:r w:rsidRPr="00C739C2">
              <w:rPr>
                <w:rFonts w:ascii="Palatino Linotype" w:hAnsi="Palatino Linotype"/>
                <w:i/>
                <w:color w:val="000000" w:themeColor="text1"/>
              </w:rPr>
              <w:t>Nombre del solicitante: C. Solicitante</w:t>
            </w:r>
          </w:p>
        </w:tc>
      </w:tr>
      <w:tr w:rsidR="00C46F50" w:rsidRPr="00C739C2" w14:paraId="0C921F58" w14:textId="77777777" w:rsidTr="008665CE">
        <w:trPr>
          <w:trHeight w:val="311"/>
          <w:tblCellSpacing w:w="0" w:type="dxa"/>
          <w:jc w:val="center"/>
        </w:trPr>
        <w:tc>
          <w:tcPr>
            <w:tcW w:w="0" w:type="auto"/>
            <w:vAlign w:val="center"/>
            <w:hideMark/>
          </w:tcPr>
          <w:p w14:paraId="5BEC1FF0" w14:textId="77777777" w:rsidR="008665CE" w:rsidRPr="00C739C2" w:rsidRDefault="008665CE" w:rsidP="00C46F50">
            <w:pPr>
              <w:jc w:val="right"/>
              <w:rPr>
                <w:rFonts w:ascii="Palatino Linotype" w:hAnsi="Palatino Linotype"/>
                <w:i/>
                <w:color w:val="000000" w:themeColor="text1"/>
              </w:rPr>
            </w:pPr>
            <w:r w:rsidRPr="00C739C2">
              <w:rPr>
                <w:rFonts w:ascii="Palatino Linotype" w:hAnsi="Palatino Linotype"/>
                <w:i/>
                <w:color w:val="000000" w:themeColor="text1"/>
              </w:rPr>
              <w:t>Folio de la solicitud: 00136/PJUDICI/IP/2025</w:t>
            </w:r>
          </w:p>
        </w:tc>
      </w:tr>
      <w:tr w:rsidR="00C46F50" w:rsidRPr="00C739C2" w14:paraId="2D10E6DD" w14:textId="77777777" w:rsidTr="008665CE">
        <w:trPr>
          <w:trHeight w:val="155"/>
          <w:tblCellSpacing w:w="0" w:type="dxa"/>
          <w:jc w:val="center"/>
        </w:trPr>
        <w:tc>
          <w:tcPr>
            <w:tcW w:w="0" w:type="auto"/>
            <w:vAlign w:val="center"/>
            <w:hideMark/>
          </w:tcPr>
          <w:p w14:paraId="5CC92EAF" w14:textId="77777777" w:rsidR="008665CE" w:rsidRPr="00C739C2" w:rsidRDefault="008665CE" w:rsidP="00C46F50">
            <w:pPr>
              <w:jc w:val="center"/>
              <w:rPr>
                <w:rFonts w:ascii="Palatino Linotype" w:hAnsi="Palatino Linotype"/>
                <w:i/>
                <w:color w:val="000000" w:themeColor="text1"/>
              </w:rPr>
            </w:pPr>
          </w:p>
        </w:tc>
      </w:tr>
      <w:tr w:rsidR="00C46F50" w:rsidRPr="00C739C2" w14:paraId="3EE48222" w14:textId="77777777" w:rsidTr="008665CE">
        <w:trPr>
          <w:trHeight w:val="388"/>
          <w:tblCellSpacing w:w="0" w:type="dxa"/>
          <w:jc w:val="center"/>
        </w:trPr>
        <w:tc>
          <w:tcPr>
            <w:tcW w:w="0" w:type="auto"/>
            <w:vAlign w:val="center"/>
            <w:hideMark/>
          </w:tcPr>
          <w:p w14:paraId="7C75665A" w14:textId="77777777" w:rsidR="008665CE" w:rsidRPr="00C739C2" w:rsidRDefault="008665CE" w:rsidP="00C46F50">
            <w:pPr>
              <w:rPr>
                <w:rFonts w:ascii="Palatino Linotype" w:hAnsi="Palatino Linotype"/>
                <w:i/>
                <w:color w:val="000000" w:themeColor="text1"/>
              </w:rPr>
            </w:pPr>
          </w:p>
        </w:tc>
      </w:tr>
      <w:tr w:rsidR="00C46F50" w:rsidRPr="00C739C2" w14:paraId="2B42C3FF" w14:textId="77777777" w:rsidTr="008665CE">
        <w:trPr>
          <w:trHeight w:val="155"/>
          <w:tblCellSpacing w:w="0" w:type="dxa"/>
          <w:jc w:val="center"/>
        </w:trPr>
        <w:tc>
          <w:tcPr>
            <w:tcW w:w="0" w:type="auto"/>
            <w:vAlign w:val="center"/>
            <w:hideMark/>
          </w:tcPr>
          <w:p w14:paraId="5F611A82" w14:textId="77777777" w:rsidR="008665CE" w:rsidRPr="00C739C2" w:rsidRDefault="008665CE" w:rsidP="00C46F50">
            <w:pPr>
              <w:rPr>
                <w:rFonts w:ascii="Palatino Linotype" w:hAnsi="Palatino Linotype"/>
                <w:i/>
                <w:color w:val="000000" w:themeColor="text1"/>
              </w:rPr>
            </w:pPr>
            <w:r w:rsidRPr="00C739C2">
              <w:rPr>
                <w:rFonts w:ascii="Palatino Linotype" w:hAnsi="Palatino Linotype"/>
                <w:i/>
                <w:color w:val="000000" w:themeColor="text1"/>
              </w:rPr>
              <w:t>Se anexa documento</w:t>
            </w:r>
          </w:p>
        </w:tc>
      </w:tr>
      <w:tr w:rsidR="00C46F50" w:rsidRPr="00C739C2" w14:paraId="4BA270B4" w14:textId="77777777" w:rsidTr="008665CE">
        <w:trPr>
          <w:trHeight w:val="388"/>
          <w:tblCellSpacing w:w="0" w:type="dxa"/>
          <w:jc w:val="center"/>
        </w:trPr>
        <w:tc>
          <w:tcPr>
            <w:tcW w:w="0" w:type="auto"/>
            <w:vAlign w:val="center"/>
            <w:hideMark/>
          </w:tcPr>
          <w:p w14:paraId="3B65CE27" w14:textId="77777777" w:rsidR="008665CE" w:rsidRPr="00C739C2" w:rsidRDefault="008665CE" w:rsidP="00C46F50">
            <w:pPr>
              <w:rPr>
                <w:rFonts w:ascii="Palatino Linotype" w:hAnsi="Palatino Linotype"/>
                <w:i/>
                <w:color w:val="000000" w:themeColor="text1"/>
              </w:rPr>
            </w:pPr>
          </w:p>
        </w:tc>
      </w:tr>
      <w:tr w:rsidR="00C46F50" w:rsidRPr="00C739C2" w14:paraId="42CE2C73" w14:textId="77777777" w:rsidTr="008665CE">
        <w:trPr>
          <w:trHeight w:val="155"/>
          <w:tblCellSpacing w:w="0" w:type="dxa"/>
          <w:jc w:val="center"/>
        </w:trPr>
        <w:tc>
          <w:tcPr>
            <w:tcW w:w="0" w:type="auto"/>
            <w:vAlign w:val="center"/>
            <w:hideMark/>
          </w:tcPr>
          <w:p w14:paraId="31CA8E9F" w14:textId="77777777" w:rsidR="008665CE" w:rsidRPr="00C739C2" w:rsidRDefault="008665CE" w:rsidP="00C46F50">
            <w:pPr>
              <w:jc w:val="center"/>
              <w:rPr>
                <w:rFonts w:ascii="Palatino Linotype" w:hAnsi="Palatino Linotype"/>
                <w:i/>
                <w:color w:val="000000" w:themeColor="text1"/>
              </w:rPr>
            </w:pPr>
          </w:p>
        </w:tc>
      </w:tr>
      <w:tr w:rsidR="00C46F50" w:rsidRPr="00C739C2" w14:paraId="68988292" w14:textId="77777777" w:rsidTr="008665CE">
        <w:trPr>
          <w:trHeight w:val="155"/>
          <w:tblCellSpacing w:w="0" w:type="dxa"/>
          <w:jc w:val="center"/>
        </w:trPr>
        <w:tc>
          <w:tcPr>
            <w:tcW w:w="0" w:type="auto"/>
            <w:vAlign w:val="center"/>
            <w:hideMark/>
          </w:tcPr>
          <w:p w14:paraId="7A8C0493" w14:textId="77777777" w:rsidR="008665CE" w:rsidRPr="00C739C2" w:rsidRDefault="008665CE" w:rsidP="00C46F50">
            <w:pPr>
              <w:rPr>
                <w:rFonts w:ascii="Palatino Linotype" w:hAnsi="Palatino Linotype"/>
                <w:i/>
                <w:color w:val="000000" w:themeColor="text1"/>
              </w:rPr>
            </w:pPr>
          </w:p>
        </w:tc>
      </w:tr>
      <w:tr w:rsidR="00C46F50" w:rsidRPr="00C739C2" w14:paraId="58088067" w14:textId="77777777" w:rsidTr="008665CE">
        <w:trPr>
          <w:trHeight w:val="155"/>
          <w:tblCellSpacing w:w="0" w:type="dxa"/>
          <w:jc w:val="center"/>
        </w:trPr>
        <w:tc>
          <w:tcPr>
            <w:tcW w:w="0" w:type="auto"/>
            <w:vAlign w:val="center"/>
            <w:hideMark/>
          </w:tcPr>
          <w:p w14:paraId="3DD60EF4" w14:textId="77777777" w:rsidR="008665CE" w:rsidRPr="00C739C2" w:rsidRDefault="008665CE" w:rsidP="00C46F50">
            <w:pPr>
              <w:rPr>
                <w:rFonts w:ascii="Palatino Linotype" w:hAnsi="Palatino Linotype"/>
                <w:i/>
                <w:color w:val="000000" w:themeColor="text1"/>
              </w:rPr>
            </w:pPr>
            <w:r w:rsidRPr="00C739C2">
              <w:rPr>
                <w:rFonts w:ascii="Palatino Linotype" w:hAnsi="Palatino Linotype"/>
                <w:i/>
                <w:color w:val="000000" w:themeColor="text1"/>
              </w:rPr>
              <w:t>ATENTAMENTE</w:t>
            </w:r>
          </w:p>
        </w:tc>
      </w:tr>
      <w:tr w:rsidR="00C46F50" w:rsidRPr="00C739C2" w14:paraId="0FDAD290" w14:textId="77777777" w:rsidTr="008665CE">
        <w:trPr>
          <w:trHeight w:val="233"/>
          <w:tblCellSpacing w:w="0" w:type="dxa"/>
          <w:jc w:val="center"/>
        </w:trPr>
        <w:tc>
          <w:tcPr>
            <w:tcW w:w="0" w:type="auto"/>
            <w:vAlign w:val="center"/>
            <w:hideMark/>
          </w:tcPr>
          <w:p w14:paraId="5932E07C" w14:textId="77777777" w:rsidR="008665CE" w:rsidRPr="00C739C2" w:rsidRDefault="008665CE" w:rsidP="00C46F50">
            <w:pPr>
              <w:rPr>
                <w:rFonts w:ascii="Palatino Linotype" w:hAnsi="Palatino Linotype"/>
                <w:i/>
                <w:color w:val="000000" w:themeColor="text1"/>
              </w:rPr>
            </w:pPr>
          </w:p>
        </w:tc>
      </w:tr>
      <w:tr w:rsidR="008665CE" w:rsidRPr="00C739C2" w14:paraId="3935D8BF" w14:textId="77777777" w:rsidTr="008665CE">
        <w:trPr>
          <w:trHeight w:val="155"/>
          <w:tblCellSpacing w:w="0" w:type="dxa"/>
          <w:jc w:val="center"/>
        </w:trPr>
        <w:tc>
          <w:tcPr>
            <w:tcW w:w="0" w:type="auto"/>
            <w:vAlign w:val="center"/>
            <w:hideMark/>
          </w:tcPr>
          <w:p w14:paraId="58CC85CC" w14:textId="77777777" w:rsidR="008665CE" w:rsidRPr="00C739C2" w:rsidRDefault="008665CE" w:rsidP="00C46F50">
            <w:pPr>
              <w:rPr>
                <w:rFonts w:ascii="Palatino Linotype" w:hAnsi="Palatino Linotype"/>
                <w:i/>
                <w:color w:val="000000" w:themeColor="text1"/>
              </w:rPr>
            </w:pPr>
            <w:r w:rsidRPr="00C739C2">
              <w:rPr>
                <w:rFonts w:ascii="Palatino Linotype" w:hAnsi="Palatino Linotype"/>
                <w:i/>
                <w:color w:val="000000" w:themeColor="text1"/>
              </w:rPr>
              <w:t>L. EN D. PEDRO J. ISAAC GONZÁLEZ”</w:t>
            </w:r>
          </w:p>
        </w:tc>
      </w:tr>
    </w:tbl>
    <w:p w14:paraId="61C8F7F8"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color w:val="000000" w:themeColor="text1"/>
        </w:rPr>
      </w:pPr>
    </w:p>
    <w:p w14:paraId="75DDC41A" w14:textId="77777777" w:rsidR="008665CE" w:rsidRPr="00C739C2" w:rsidRDefault="008665CE" w:rsidP="00C46F50">
      <w:pPr>
        <w:numPr>
          <w:ilvl w:val="0"/>
          <w:numId w:val="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bookmarkStart w:id="1" w:name="_heading=h.8c6e316dxsj1" w:colFirst="0" w:colLast="0"/>
      <w:bookmarkEnd w:id="1"/>
      <w:r w:rsidRPr="00C739C2">
        <w:rPr>
          <w:rFonts w:ascii="Palatino Linotype" w:eastAsia="Palatino Linotype" w:hAnsi="Palatino Linotype" w:cs="Palatino Linotype"/>
          <w:color w:val="000000" w:themeColor="text1"/>
        </w:rPr>
        <w:t xml:space="preserve">A la respuesta se adjuntó el archivo electrónico denominado </w:t>
      </w:r>
      <w:hyperlink r:id="rId8" w:tgtFrame="_blank" w:history="1">
        <w:r w:rsidRPr="00C739C2">
          <w:rPr>
            <w:rStyle w:val="Hipervnculo"/>
            <w:rFonts w:ascii="Palatino Linotype" w:eastAsia="Palatino Linotype" w:hAnsi="Palatino Linotype" w:cs="Palatino Linotype"/>
            <w:b/>
            <w:bCs/>
            <w:color w:val="000000" w:themeColor="text1"/>
          </w:rPr>
          <w:t>RESPUESTA 00136-2025.pdf</w:t>
        </w:r>
      </w:hyperlink>
      <w:r w:rsidRPr="00C739C2">
        <w:rPr>
          <w:rFonts w:ascii="Palatino Linotype" w:eastAsia="Palatino Linotype" w:hAnsi="Palatino Linotype" w:cs="Palatino Linotype"/>
          <w:color w:val="000000" w:themeColor="text1"/>
        </w:rPr>
        <w:t>, en el que se advierte un documento de fecha once de marzo de dos mil veinticinco, suscrito por el Titular de la Unidad de Transparencia, en el que señaló:</w:t>
      </w:r>
    </w:p>
    <w:p w14:paraId="57B8FF92" w14:textId="77777777" w:rsidR="008665CE" w:rsidRPr="00C739C2" w:rsidRDefault="008665CE"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F31740E" w14:textId="77777777" w:rsidR="008665CE" w:rsidRPr="00C739C2" w:rsidRDefault="008665CE" w:rsidP="00C46F50">
      <w:pPr>
        <w:pBdr>
          <w:top w:val="nil"/>
          <w:left w:val="nil"/>
          <w:bottom w:val="nil"/>
          <w:right w:val="nil"/>
          <w:between w:val="nil"/>
        </w:pBdr>
        <w:tabs>
          <w:tab w:val="left" w:pos="0"/>
        </w:tabs>
        <w:spacing w:line="360" w:lineRule="auto"/>
        <w:jc w:val="both"/>
        <w:rPr>
          <w:rFonts w:ascii="Palatino Linotype" w:hAnsi="Palatino Linotype"/>
          <w:i/>
          <w:color w:val="000000" w:themeColor="text1"/>
        </w:rPr>
      </w:pPr>
      <w:r w:rsidRPr="00C739C2">
        <w:rPr>
          <w:rFonts w:ascii="Palatino Linotype" w:hAnsi="Palatino Linotype"/>
          <w:i/>
          <w:color w:val="000000" w:themeColor="text1"/>
        </w:rPr>
        <w:t xml:space="preserve">“Visto el contenido de la solicitud, se da respuesta acorde a lo rendido por el M. Airshinio Miranda Reyes, Juez del Juzgado Segundo Familiar del Distrito Judicial de Nezahualcóyotl, Estado de México, en los términos siguientes: </w:t>
      </w:r>
    </w:p>
    <w:p w14:paraId="573E2C21" w14:textId="77777777" w:rsidR="008665CE" w:rsidRPr="00C739C2" w:rsidRDefault="008665CE"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C739C2">
        <w:rPr>
          <w:rFonts w:ascii="Palatino Linotype" w:hAnsi="Palatino Linotype"/>
          <w:i/>
          <w:color w:val="000000" w:themeColor="text1"/>
        </w:rPr>
        <w:t xml:space="preserve">• El expediente 47/2020 del Juzgado Segundo Familiar del Distrito Judicial de Nezahualcóyotl, Estado de México, aún se encuentra en trámite, por el cual el Comité de Transparencia, Acceso a la Información Pública y Protección de Datos Personales del Poder Judicial del Estado de México, mediante Sesión Ordinaria 03/2025, confirmo la reserva de la información requerida, por un periodo de cinco años, en tanto quede firme, la cual puede consultar en el siguiente link </w:t>
      </w:r>
      <w:hyperlink r:id="rId9" w:history="1">
        <w:r w:rsidRPr="00C739C2">
          <w:rPr>
            <w:rStyle w:val="Hipervnculo"/>
            <w:rFonts w:ascii="Palatino Linotype" w:hAnsi="Palatino Linotype"/>
            <w:i/>
            <w:color w:val="000000" w:themeColor="text1"/>
          </w:rPr>
          <w:t>https://www.pjedomex.gob.mx/transparencia/8_actas_comite</w:t>
        </w:r>
      </w:hyperlink>
      <w:r w:rsidRPr="00C739C2">
        <w:rPr>
          <w:rFonts w:ascii="Palatino Linotype" w:hAnsi="Palatino Linotype"/>
          <w:i/>
          <w:color w:val="000000" w:themeColor="text1"/>
        </w:rPr>
        <w:t>”</w:t>
      </w:r>
    </w:p>
    <w:p w14:paraId="072FCF53" w14:textId="77777777" w:rsidR="008665CE" w:rsidRPr="00C739C2" w:rsidRDefault="008665CE"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03154C1" w14:textId="77777777" w:rsidR="008665CE" w:rsidRPr="00C739C2" w:rsidRDefault="008665CE" w:rsidP="00C46F5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color w:val="000000" w:themeColor="text1"/>
        </w:rPr>
        <w:lastRenderedPageBreak/>
        <w:t xml:space="preserve">En lo sucesivo el </w:t>
      </w:r>
      <w:r w:rsidRPr="00C739C2">
        <w:rPr>
          <w:rFonts w:ascii="Palatino Linotype" w:eastAsia="Palatino Linotype" w:hAnsi="Palatino Linotype" w:cs="Palatino Linotype"/>
          <w:b/>
          <w:color w:val="000000" w:themeColor="text1"/>
        </w:rPr>
        <w:t>once de marzo de dos mil veinticinco,</w:t>
      </w:r>
      <w:r w:rsidRPr="00C739C2">
        <w:rPr>
          <w:rFonts w:ascii="Palatino Linotype" w:eastAsia="Palatino Linotype" w:hAnsi="Palatino Linotype" w:cs="Palatino Linotype"/>
          <w:color w:val="000000" w:themeColor="text1"/>
        </w:rPr>
        <w:t xml:space="preserve"> </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el solicitante interpuso el recurso de revisión, señalando como:</w:t>
      </w:r>
    </w:p>
    <w:p w14:paraId="0F8D5366" w14:textId="77777777" w:rsidR="008665CE" w:rsidRPr="00C739C2" w:rsidRDefault="008665CE"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3BC51705" w14:textId="77777777" w:rsidR="008665CE" w:rsidRPr="00532AA1" w:rsidRDefault="008665CE" w:rsidP="00532AA1">
      <w:pPr>
        <w:pStyle w:val="Prrafodelista"/>
        <w:numPr>
          <w:ilvl w:val="0"/>
          <w:numId w:val="15"/>
        </w:numPr>
        <w:tabs>
          <w:tab w:val="left" w:pos="851"/>
          <w:tab w:val="left" w:pos="8222"/>
        </w:tabs>
        <w:spacing w:line="360" w:lineRule="auto"/>
        <w:jc w:val="both"/>
        <w:rPr>
          <w:rFonts w:ascii="Palatino Linotype" w:eastAsia="Palatino Linotype" w:hAnsi="Palatino Linotype" w:cs="Palatino Linotype"/>
          <w:i/>
          <w:color w:val="000000" w:themeColor="text1"/>
        </w:rPr>
      </w:pPr>
      <w:r w:rsidRPr="00532AA1">
        <w:rPr>
          <w:rFonts w:ascii="Palatino Linotype" w:eastAsia="Palatino Linotype" w:hAnsi="Palatino Linotype" w:cs="Palatino Linotype"/>
          <w:b/>
          <w:color w:val="000000" w:themeColor="text1"/>
        </w:rPr>
        <w:t>Acto impugnado:</w:t>
      </w:r>
      <w:r w:rsidRPr="00532AA1">
        <w:rPr>
          <w:rFonts w:ascii="Palatino Linotype" w:eastAsia="Palatino Linotype" w:hAnsi="Palatino Linotype" w:cs="Palatino Linotype"/>
          <w:i/>
          <w:color w:val="000000" w:themeColor="text1"/>
        </w:rPr>
        <w:t xml:space="preserve"> </w:t>
      </w:r>
      <w:r w:rsidRPr="00532AA1">
        <w:rPr>
          <w:rFonts w:ascii="Palatino Linotype" w:eastAsia="Palatino Linotype" w:hAnsi="Palatino Linotype" w:cs="Palatino Linotype"/>
          <w:color w:val="000000" w:themeColor="text1"/>
        </w:rPr>
        <w:t>“</w:t>
      </w:r>
      <w:r w:rsidRPr="00532AA1">
        <w:rPr>
          <w:rFonts w:ascii="Palatino Linotype" w:eastAsia="Palatino Linotype" w:hAnsi="Palatino Linotype" w:cs="Palatino Linotype"/>
          <w:i/>
          <w:color w:val="000000" w:themeColor="text1"/>
        </w:rPr>
        <w:t xml:space="preserve">La respuesta a mi solicitud de información pública con número de folio 00136/PJUDICI/IP/2025, misma respuesta que fuera generada, según el documento, por el M. Airshinio Miranda Reyes, Juez del Juzgado Segundo Familiar del Distrito Judicial de Nezahualcóyotl.” (Sic) </w:t>
      </w:r>
    </w:p>
    <w:p w14:paraId="1310DFAE" w14:textId="77777777" w:rsidR="008665CE" w:rsidRPr="00C739C2" w:rsidRDefault="008665CE" w:rsidP="00C46F50">
      <w:pPr>
        <w:tabs>
          <w:tab w:val="left" w:pos="0"/>
        </w:tabs>
        <w:spacing w:line="360" w:lineRule="auto"/>
        <w:ind w:hanging="141"/>
        <w:rPr>
          <w:rFonts w:ascii="Palatino Linotype" w:eastAsia="Palatino Linotype" w:hAnsi="Palatino Linotype" w:cs="Palatino Linotype"/>
          <w:i/>
          <w:color w:val="000000" w:themeColor="text1"/>
        </w:rPr>
      </w:pPr>
    </w:p>
    <w:p w14:paraId="0961C6EB" w14:textId="77777777" w:rsidR="00083495" w:rsidRPr="00532AA1" w:rsidRDefault="008665CE" w:rsidP="00532AA1">
      <w:pPr>
        <w:pStyle w:val="Prrafodelista"/>
        <w:numPr>
          <w:ilvl w:val="0"/>
          <w:numId w:val="15"/>
        </w:numPr>
        <w:tabs>
          <w:tab w:val="left" w:pos="851"/>
        </w:tabs>
        <w:spacing w:line="360" w:lineRule="auto"/>
        <w:jc w:val="both"/>
        <w:rPr>
          <w:rFonts w:ascii="Palatino Linotype" w:eastAsia="Palatino Linotype" w:hAnsi="Palatino Linotype" w:cs="Palatino Linotype"/>
          <w:i/>
          <w:color w:val="000000" w:themeColor="text1"/>
        </w:rPr>
      </w:pPr>
      <w:r w:rsidRPr="00532AA1">
        <w:rPr>
          <w:rFonts w:ascii="Palatino Linotype" w:eastAsia="Palatino Linotype" w:hAnsi="Palatino Linotype" w:cs="Palatino Linotype"/>
          <w:b/>
          <w:color w:val="000000" w:themeColor="text1"/>
        </w:rPr>
        <w:t>Razones o Motivos de inconformidad: “</w:t>
      </w:r>
      <w:r w:rsidRPr="00532AA1">
        <w:rPr>
          <w:rFonts w:ascii="Palatino Linotype" w:eastAsia="Palatino Linotype" w:hAnsi="Palatino Linotype" w:cs="Palatino Linotype"/>
          <w:i/>
          <w:color w:val="000000" w:themeColor="text1"/>
        </w:rPr>
        <w:t xml:space="preserve">Debido a que el sistema constriñe a elegir solo una causa del recurso, se eligió la de clasificación de la información; sin embargo, también lo son las siguientes razones, la negativa de la información y los motivos para la clasificación de la misma. En efecto, el servidor público supra referido, expresa que, el asunto del cual se solicitó la sentencia en su versión pública continúa en trámite. Ahora bien, bajo protesta de decir verdad, manifiesto que, el asunto del cual se solicita la versión pública de su sentencia, fue resuelto de manera definitiva en el año 2022, y la resolución que indica que el asunto causó ejecutoria, es del 5 cinco de mayo de 2022 dos mil veintidós. Así, el expediente incluso fue enviado al archivo, y esto se expresa con seguridad porque, bajo protesta de decir verdad, el 8 ocho de agosto de 2024 dos mil veinticuatro, se emitió un acuerdo que ordena pedir el expediente a archivo y el 19 diecinueve de ese mismo mes y ese mismo año se acordó la llegada del expediente en comento del archivo. En ese orden de ideas, bajo protesta de decir verdad, el 11 once de marzo de 2025 dos mil veinticinco, se acordó lo relativo a la expedición de copias certificadas del expediente que nos interesa, por lo que, dicho expediente se encuentra en el juzgado al que se solicitó la infromación. La cronología anterior, nos permite concluir que, el asunto ya está totalmente concluido, ya causó ejecutoria, fue incluso pedido al archivo, actualmente se encuentra en poder de la autoridad que debe entregar la </w:t>
      </w:r>
      <w:r w:rsidRPr="00532AA1">
        <w:rPr>
          <w:rFonts w:ascii="Palatino Linotype" w:eastAsia="Palatino Linotype" w:hAnsi="Palatino Linotype" w:cs="Palatino Linotype"/>
          <w:i/>
          <w:color w:val="000000" w:themeColor="text1"/>
        </w:rPr>
        <w:lastRenderedPageBreak/>
        <w:t>información solicitada y así, es inconcuso que, la información no puede clasificarse como se hizo por los motivos que se expusieron y por ello es dable atender mi solicitud y entregarme la información solicitada.</w:t>
      </w:r>
    </w:p>
    <w:p w14:paraId="0718DB66" w14:textId="77777777" w:rsidR="008665CE" w:rsidRPr="00C739C2" w:rsidRDefault="008665CE" w:rsidP="00532AA1">
      <w:pPr>
        <w:spacing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 (sic)</w:t>
      </w:r>
    </w:p>
    <w:p w14:paraId="5FA58A1B" w14:textId="77777777" w:rsidR="008665CE" w:rsidRPr="00C739C2" w:rsidRDefault="008665CE" w:rsidP="00C46F50">
      <w:pPr>
        <w:tabs>
          <w:tab w:val="left" w:pos="851"/>
        </w:tabs>
        <w:spacing w:line="360" w:lineRule="auto"/>
        <w:jc w:val="both"/>
        <w:rPr>
          <w:rFonts w:ascii="Palatino Linotype" w:eastAsia="Palatino Linotype" w:hAnsi="Palatino Linotype" w:cs="Palatino Linotype"/>
          <w:color w:val="000000" w:themeColor="text1"/>
        </w:rPr>
      </w:pPr>
    </w:p>
    <w:p w14:paraId="6CB01488" w14:textId="7B2350A5"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C739C2">
        <w:rPr>
          <w:rFonts w:ascii="Palatino Linotype" w:eastAsia="Palatino Linotype" w:hAnsi="Palatino Linotype" w:cs="Palatino Linotype"/>
          <w:b/>
          <w:color w:val="000000" w:themeColor="text1"/>
        </w:rPr>
        <w:t>Comisionada María del Rosario Mejía Ayala</w:t>
      </w:r>
      <w:r w:rsidR="00532AA1">
        <w:rPr>
          <w:rFonts w:ascii="Palatino Linotype" w:eastAsia="Palatino Linotype" w:hAnsi="Palatino Linotype" w:cs="Palatino Linotype"/>
          <w:b/>
          <w:color w:val="000000" w:themeColor="text1"/>
        </w:rPr>
        <w:t>,</w:t>
      </w:r>
      <w:r w:rsidRPr="00C739C2">
        <w:rPr>
          <w:rFonts w:ascii="Palatino Linotype" w:eastAsia="Palatino Linotype" w:hAnsi="Palatino Linotype" w:cs="Palatino Linotype"/>
          <w:color w:val="000000" w:themeColor="text1"/>
        </w:rPr>
        <w:t xml:space="preserve"> </w:t>
      </w:r>
      <w:r w:rsidR="00532AA1">
        <w:rPr>
          <w:rFonts w:ascii="Palatino Linotype" w:eastAsia="Palatino Linotype" w:hAnsi="Palatino Linotype" w:cs="Palatino Linotype"/>
          <w:color w:val="000000" w:themeColor="text1"/>
        </w:rPr>
        <w:t>para</w:t>
      </w:r>
      <w:r w:rsidRPr="00C739C2">
        <w:rPr>
          <w:rFonts w:ascii="Palatino Linotype" w:eastAsia="Palatino Linotype" w:hAnsi="Palatino Linotype" w:cs="Palatino Linotype"/>
          <w:color w:val="000000" w:themeColor="text1"/>
        </w:rPr>
        <w:t xml:space="preserve"> su análisis.</w:t>
      </w:r>
    </w:p>
    <w:p w14:paraId="3A10A6BC" w14:textId="77777777" w:rsidR="008665CE" w:rsidRPr="00C739C2" w:rsidRDefault="008665CE" w:rsidP="00C46F50">
      <w:pPr>
        <w:spacing w:line="360" w:lineRule="auto"/>
        <w:jc w:val="both"/>
        <w:rPr>
          <w:rFonts w:ascii="Palatino Linotype" w:eastAsia="Palatino Linotype" w:hAnsi="Palatino Linotype" w:cs="Palatino Linotype"/>
          <w:i/>
          <w:color w:val="000000" w:themeColor="text1"/>
        </w:rPr>
      </w:pPr>
    </w:p>
    <w:p w14:paraId="2BD9418E"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083495" w:rsidRPr="00C739C2">
        <w:rPr>
          <w:rFonts w:ascii="Palatino Linotype" w:eastAsia="Palatino Linotype" w:hAnsi="Palatino Linotype" w:cs="Palatino Linotype"/>
          <w:b/>
          <w:color w:val="000000" w:themeColor="text1"/>
        </w:rPr>
        <w:t>dieciocho de marzo</w:t>
      </w:r>
      <w:r w:rsidRPr="00C739C2">
        <w:rPr>
          <w:rFonts w:ascii="Palatino Linotype" w:eastAsia="Palatino Linotype" w:hAnsi="Palatino Linotype" w:cs="Palatino Linotype"/>
          <w:b/>
          <w:color w:val="000000" w:themeColor="text1"/>
        </w:rPr>
        <w:t xml:space="preserve"> de dos mil veinticinco</w:t>
      </w:r>
      <w:r w:rsidRPr="00C739C2">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C739C2">
        <w:rPr>
          <w:rFonts w:ascii="Palatino Linotype" w:eastAsia="Palatino Linotype" w:hAnsi="Palatino Linotype" w:cs="Palatino Linotype"/>
          <w:b/>
          <w:color w:val="000000" w:themeColor="text1"/>
        </w:rPr>
        <w:t xml:space="preserve">(SAIMEX) </w:t>
      </w:r>
      <w:r w:rsidRPr="00C739C2">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C739C2">
        <w:rPr>
          <w:rFonts w:ascii="Palatino Linotype" w:eastAsia="Palatino Linotype" w:hAnsi="Palatino Linotype" w:cs="Palatino Linotype"/>
          <w:b/>
          <w:color w:val="000000" w:themeColor="text1"/>
        </w:rPr>
        <w:t>SUJETO OBLIGADO</w:t>
      </w:r>
      <w:r w:rsidRPr="00C739C2">
        <w:rPr>
          <w:rFonts w:ascii="Palatino Linotype" w:eastAsia="Palatino Linotype" w:hAnsi="Palatino Linotype" w:cs="Palatino Linotype"/>
          <w:color w:val="000000" w:themeColor="text1"/>
        </w:rPr>
        <w:t xml:space="preserve"> presentara el Informe Justificado procedente.  </w:t>
      </w:r>
    </w:p>
    <w:p w14:paraId="48B4B476" w14:textId="77777777" w:rsidR="008665CE" w:rsidRPr="00C739C2" w:rsidRDefault="008665CE" w:rsidP="00C46F5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77BDE78"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color w:val="000000" w:themeColor="text1"/>
        </w:rPr>
        <w:t xml:space="preserve">De las constancias que obran en el expediente electrónico SAIMEX, se advierte que el particular no realizó manifestaciones que a su derecho convinieran; por su parte, el Sujeto Obligado entregó informe justificado el </w:t>
      </w:r>
      <w:r w:rsidR="00083495" w:rsidRPr="00C739C2">
        <w:rPr>
          <w:rFonts w:ascii="Palatino Linotype" w:eastAsia="Palatino Linotype" w:hAnsi="Palatino Linotype" w:cs="Palatino Linotype"/>
          <w:color w:val="000000" w:themeColor="text1"/>
        </w:rPr>
        <w:t>veintiséis de marzo</w:t>
      </w:r>
      <w:r w:rsidRPr="00C739C2">
        <w:rPr>
          <w:rFonts w:ascii="Palatino Linotype" w:eastAsia="Palatino Linotype" w:hAnsi="Palatino Linotype" w:cs="Palatino Linotype"/>
          <w:color w:val="000000" w:themeColor="text1"/>
        </w:rPr>
        <w:t xml:space="preserve"> de dos mil veinticinco, mismo que se puso a la v</w:t>
      </w:r>
      <w:r w:rsidR="00083495" w:rsidRPr="00C739C2">
        <w:rPr>
          <w:rFonts w:ascii="Palatino Linotype" w:eastAsia="Palatino Linotype" w:hAnsi="Palatino Linotype" w:cs="Palatino Linotype"/>
          <w:color w:val="000000" w:themeColor="text1"/>
        </w:rPr>
        <w:t>ista del particular el quince</w:t>
      </w:r>
      <w:r w:rsidRPr="00C739C2">
        <w:rPr>
          <w:rFonts w:ascii="Palatino Linotype" w:eastAsia="Palatino Linotype" w:hAnsi="Palatino Linotype" w:cs="Palatino Linotype"/>
          <w:color w:val="000000" w:themeColor="text1"/>
        </w:rPr>
        <w:t xml:space="preserve"> de julio del mismo año y que consta de</w:t>
      </w:r>
      <w:r w:rsidR="00083495" w:rsidRPr="00C739C2">
        <w:rPr>
          <w:rFonts w:ascii="Palatino Linotype" w:eastAsia="Palatino Linotype" w:hAnsi="Palatino Linotype" w:cs="Palatino Linotype"/>
          <w:color w:val="000000" w:themeColor="text1"/>
        </w:rPr>
        <w:t xml:space="preserve"> </w:t>
      </w:r>
      <w:r w:rsidRPr="00C739C2">
        <w:rPr>
          <w:rFonts w:ascii="Palatino Linotype" w:eastAsia="Palatino Linotype" w:hAnsi="Palatino Linotype" w:cs="Palatino Linotype"/>
          <w:color w:val="000000" w:themeColor="text1"/>
        </w:rPr>
        <w:t>l</w:t>
      </w:r>
      <w:r w:rsidR="00083495" w:rsidRPr="00C739C2">
        <w:rPr>
          <w:rFonts w:ascii="Palatino Linotype" w:eastAsia="Palatino Linotype" w:hAnsi="Palatino Linotype" w:cs="Palatino Linotype"/>
          <w:color w:val="000000" w:themeColor="text1"/>
        </w:rPr>
        <w:t>os</w:t>
      </w:r>
      <w:r w:rsidRPr="00C739C2">
        <w:rPr>
          <w:rFonts w:ascii="Palatino Linotype" w:eastAsia="Palatino Linotype" w:hAnsi="Palatino Linotype" w:cs="Palatino Linotype"/>
          <w:color w:val="000000" w:themeColor="text1"/>
        </w:rPr>
        <w:t xml:space="preserve"> archivo</w:t>
      </w:r>
      <w:r w:rsidR="00083495" w:rsidRPr="00C739C2">
        <w:rPr>
          <w:rFonts w:ascii="Palatino Linotype" w:eastAsia="Palatino Linotype" w:hAnsi="Palatino Linotype" w:cs="Palatino Linotype"/>
          <w:color w:val="000000" w:themeColor="text1"/>
        </w:rPr>
        <w:t>s</w:t>
      </w:r>
      <w:r w:rsidRPr="00C739C2">
        <w:rPr>
          <w:rFonts w:ascii="Palatino Linotype" w:eastAsia="Palatino Linotype" w:hAnsi="Palatino Linotype" w:cs="Palatino Linotype"/>
          <w:color w:val="000000" w:themeColor="text1"/>
        </w:rPr>
        <w:t xml:space="preserve"> denominado</w:t>
      </w:r>
      <w:r w:rsidR="00083495" w:rsidRPr="00C739C2">
        <w:rPr>
          <w:rFonts w:ascii="Palatino Linotype" w:eastAsia="Palatino Linotype" w:hAnsi="Palatino Linotype" w:cs="Palatino Linotype"/>
          <w:color w:val="000000" w:themeColor="text1"/>
        </w:rPr>
        <w:t>s</w:t>
      </w:r>
      <w:r w:rsidRPr="00C739C2">
        <w:rPr>
          <w:rFonts w:ascii="Palatino Linotype" w:eastAsia="Palatino Linotype" w:hAnsi="Palatino Linotype" w:cs="Palatino Linotype"/>
          <w:color w:val="000000" w:themeColor="text1"/>
        </w:rPr>
        <w:t xml:space="preserve"> </w:t>
      </w:r>
      <w:hyperlink r:id="rId10" w:history="1">
        <w:r w:rsidR="00083495" w:rsidRPr="00C739C2">
          <w:rPr>
            <w:rStyle w:val="Hipervnculo"/>
            <w:rFonts w:ascii="Palatino Linotype" w:eastAsia="Palatino Linotype" w:hAnsi="Palatino Linotype" w:cs="Palatino Linotype"/>
            <w:b/>
            <w:bCs/>
            <w:color w:val="000000" w:themeColor="text1"/>
          </w:rPr>
          <w:t>INFORME JUSTIFICADO 02793 25.pdf</w:t>
        </w:r>
      </w:hyperlink>
      <w:r w:rsidR="00083495" w:rsidRPr="00C739C2">
        <w:rPr>
          <w:rFonts w:ascii="Palatino Linotype" w:eastAsia="Palatino Linotype" w:hAnsi="Palatino Linotype" w:cs="Palatino Linotype"/>
          <w:b/>
          <w:color w:val="000000" w:themeColor="text1"/>
        </w:rPr>
        <w:t xml:space="preserve"> y </w:t>
      </w:r>
      <w:hyperlink r:id="rId11" w:history="1">
        <w:r w:rsidR="00083495" w:rsidRPr="00C739C2">
          <w:rPr>
            <w:rStyle w:val="Hipervnculo"/>
            <w:rFonts w:ascii="Palatino Linotype" w:eastAsia="Palatino Linotype" w:hAnsi="Palatino Linotype" w:cs="Palatino Linotype"/>
            <w:b/>
            <w:bCs/>
            <w:color w:val="000000" w:themeColor="text1"/>
          </w:rPr>
          <w:t>Acta Ordinaria 03 25.pdf</w:t>
        </w:r>
      </w:hyperlink>
      <w:r w:rsidRPr="00C739C2">
        <w:rPr>
          <w:rFonts w:ascii="Palatino Linotype" w:eastAsia="Palatino Linotype" w:hAnsi="Palatino Linotype" w:cs="Palatino Linotype"/>
          <w:color w:val="000000" w:themeColor="text1"/>
        </w:rPr>
        <w:t>,</w:t>
      </w:r>
      <w:r w:rsidR="00083495" w:rsidRPr="00C739C2">
        <w:rPr>
          <w:rFonts w:ascii="Palatino Linotype" w:eastAsia="Palatino Linotype" w:hAnsi="Palatino Linotype" w:cs="Palatino Linotype"/>
          <w:color w:val="000000" w:themeColor="text1"/>
        </w:rPr>
        <w:t xml:space="preserve"> en los</w:t>
      </w:r>
      <w:r w:rsidRPr="00C739C2">
        <w:rPr>
          <w:rFonts w:ascii="Palatino Linotype" w:eastAsia="Palatino Linotype" w:hAnsi="Palatino Linotype" w:cs="Palatino Linotype"/>
          <w:color w:val="000000" w:themeColor="text1"/>
        </w:rPr>
        <w:t xml:space="preserve"> que, de forma medular, se rarificó la respuesta. </w:t>
      </w:r>
    </w:p>
    <w:p w14:paraId="461285FF"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b/>
          <w:color w:val="000000" w:themeColor="text1"/>
        </w:rPr>
      </w:pPr>
    </w:p>
    <w:p w14:paraId="4FAB70C3"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color w:val="000000" w:themeColor="text1"/>
        </w:rPr>
        <w:lastRenderedPageBreak/>
        <w:t xml:space="preserve">El </w:t>
      </w:r>
      <w:r w:rsidR="00083495" w:rsidRPr="00C739C2">
        <w:rPr>
          <w:rFonts w:ascii="Palatino Linotype" w:eastAsia="Palatino Linotype" w:hAnsi="Palatino Linotype" w:cs="Palatino Linotype"/>
          <w:b/>
          <w:color w:val="000000" w:themeColor="text1"/>
        </w:rPr>
        <w:t>doce</w:t>
      </w:r>
      <w:r w:rsidRPr="00C739C2">
        <w:rPr>
          <w:rFonts w:ascii="Palatino Linotype" w:eastAsia="Palatino Linotype" w:hAnsi="Palatino Linotype" w:cs="Palatino Linotype"/>
          <w:b/>
          <w:color w:val="000000" w:themeColor="text1"/>
        </w:rPr>
        <w:t xml:space="preserve"> de julio de dos mil veinticinco, </w:t>
      </w:r>
      <w:r w:rsidRPr="00C739C2">
        <w:rPr>
          <w:rFonts w:ascii="Palatino Linotype" w:eastAsia="Palatino Linotype" w:hAnsi="Palatino Linotype" w:cs="Palatino Linotype"/>
          <w:color w:val="000000" w:themeColor="text1"/>
        </w:rPr>
        <w:t>se notificó el acuerdo a través del cual se aprobó la ampliación de plazo para emitir resolución.</w:t>
      </w:r>
    </w:p>
    <w:p w14:paraId="7F11BC9B"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b/>
          <w:color w:val="000000" w:themeColor="text1"/>
        </w:rPr>
      </w:pPr>
    </w:p>
    <w:p w14:paraId="667D895B"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e49927uul1f0" w:colFirst="0" w:colLast="0"/>
      <w:bookmarkEnd w:id="2"/>
      <w:r w:rsidRPr="00C739C2">
        <w:rPr>
          <w:rFonts w:ascii="Palatino Linotype" w:eastAsia="Palatino Linotype" w:hAnsi="Palatino Linotype" w:cs="Palatino Linotype"/>
          <w:color w:val="000000" w:themeColor="text1"/>
        </w:rPr>
        <w:t>El</w:t>
      </w:r>
      <w:r w:rsidRPr="00C739C2">
        <w:rPr>
          <w:rFonts w:ascii="Palatino Linotype" w:eastAsia="Palatino Linotype" w:hAnsi="Palatino Linotype" w:cs="Palatino Linotype"/>
          <w:b/>
          <w:color w:val="000000" w:themeColor="text1"/>
        </w:rPr>
        <w:t xml:space="preserve"> cinco de agosto de dos mil veinticinco</w:t>
      </w:r>
      <w:r w:rsidRPr="00C739C2">
        <w:rPr>
          <w:rFonts w:ascii="Palatino Linotype" w:eastAsia="Palatino Linotype" w:hAnsi="Palatino Linotype" w:cs="Palatino Linotype"/>
          <w:color w:val="000000" w:themeColor="text1"/>
        </w:rPr>
        <w:t>, se notificó el acuerdo a través del cual se decretó el cierre de instrucción.</w:t>
      </w:r>
      <w:r w:rsidRPr="00C739C2">
        <w:rPr>
          <w:rFonts w:ascii="Palatino Linotype" w:eastAsia="Palatino Linotype" w:hAnsi="Palatino Linotype" w:cs="Palatino Linotype"/>
          <w:b/>
          <w:color w:val="000000" w:themeColor="text1"/>
        </w:rPr>
        <w:t xml:space="preserve"> </w:t>
      </w:r>
    </w:p>
    <w:p w14:paraId="790B5C6B" w14:textId="77777777" w:rsidR="008665CE" w:rsidRPr="00C739C2" w:rsidRDefault="008665CE" w:rsidP="00C46F50">
      <w:pPr>
        <w:spacing w:line="360" w:lineRule="auto"/>
        <w:jc w:val="both"/>
        <w:rPr>
          <w:rFonts w:ascii="Palatino Linotype" w:eastAsia="Palatino Linotype" w:hAnsi="Palatino Linotype" w:cs="Palatino Linotype"/>
          <w:b/>
          <w:color w:val="000000" w:themeColor="text1"/>
        </w:rPr>
      </w:pPr>
    </w:p>
    <w:p w14:paraId="43E57872" w14:textId="67154D4C" w:rsidR="008665CE" w:rsidRPr="00C739C2" w:rsidRDefault="008665CE" w:rsidP="00C46F50">
      <w:pPr>
        <w:keepNext/>
        <w:keepLines/>
        <w:spacing w:line="360" w:lineRule="auto"/>
        <w:jc w:val="center"/>
        <w:rPr>
          <w:rFonts w:ascii="Palatino Linotype" w:eastAsia="Palatino Linotype" w:hAnsi="Palatino Linotype" w:cs="Palatino Linotype"/>
          <w:b/>
          <w:color w:val="000000" w:themeColor="text1"/>
        </w:rPr>
      </w:pPr>
      <w:bookmarkStart w:id="3" w:name="_heading=h.1p4hvgcup4jl" w:colFirst="0" w:colLast="0"/>
      <w:bookmarkEnd w:id="3"/>
      <w:r w:rsidRPr="00C739C2">
        <w:rPr>
          <w:rFonts w:ascii="Palatino Linotype" w:eastAsia="Palatino Linotype" w:hAnsi="Palatino Linotype" w:cs="Palatino Linotype"/>
          <w:b/>
          <w:color w:val="000000" w:themeColor="text1"/>
        </w:rPr>
        <w:t>C</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O</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N</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S</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I</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D</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E</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R</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A</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N</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D</w:t>
      </w:r>
      <w:r w:rsidR="00532AA1">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b/>
          <w:color w:val="000000" w:themeColor="text1"/>
        </w:rPr>
        <w:t>O</w:t>
      </w:r>
    </w:p>
    <w:p w14:paraId="554A85C1" w14:textId="77777777" w:rsidR="008665CE" w:rsidRPr="00C739C2" w:rsidRDefault="008665CE" w:rsidP="00C46F50">
      <w:pPr>
        <w:keepNext/>
        <w:keepLines/>
        <w:spacing w:line="360" w:lineRule="auto"/>
        <w:jc w:val="center"/>
        <w:rPr>
          <w:rFonts w:ascii="Palatino Linotype" w:eastAsia="Palatino Linotype" w:hAnsi="Palatino Linotype" w:cs="Palatino Linotype"/>
          <w:b/>
          <w:color w:val="000000" w:themeColor="text1"/>
        </w:rPr>
      </w:pPr>
    </w:p>
    <w:p w14:paraId="26FA1CE0" w14:textId="77777777" w:rsidR="008665CE" w:rsidRPr="00C739C2" w:rsidRDefault="008665CE" w:rsidP="00C46F50">
      <w:pPr>
        <w:keepNext/>
        <w:keepLines/>
        <w:spacing w:line="360" w:lineRule="auto"/>
        <w:rPr>
          <w:rFonts w:ascii="Palatino Linotype" w:eastAsia="Palatino Linotype" w:hAnsi="Palatino Linotype" w:cs="Palatino Linotype"/>
          <w:b/>
          <w:color w:val="000000" w:themeColor="text1"/>
        </w:rPr>
      </w:pPr>
      <w:bookmarkStart w:id="4" w:name="_heading=h.drmzaaeg778q" w:colFirst="0" w:colLast="0"/>
      <w:bookmarkEnd w:id="4"/>
      <w:r w:rsidRPr="00C739C2">
        <w:rPr>
          <w:rFonts w:ascii="Palatino Linotype" w:eastAsia="Palatino Linotype" w:hAnsi="Palatino Linotype" w:cs="Palatino Linotype"/>
          <w:b/>
          <w:color w:val="000000" w:themeColor="text1"/>
        </w:rPr>
        <w:t>PRIMERO. De la competencia.</w:t>
      </w:r>
    </w:p>
    <w:p w14:paraId="64327618" w14:textId="77777777" w:rsidR="008665CE" w:rsidRPr="00C739C2" w:rsidRDefault="008665CE" w:rsidP="00C46F50">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9C2">
        <w:rPr>
          <w:rFonts w:ascii="Palatino Linotype" w:eastAsia="Palatino Linotype" w:hAnsi="Palatino Linotype" w:cs="Palatino Linotype"/>
          <w:b/>
          <w:color w:val="000000" w:themeColor="text1"/>
        </w:rPr>
        <w:t>Constitución Política de los Estados Unidos Mexicanos</w:t>
      </w:r>
      <w:r w:rsidRPr="00C739C2">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C739C2">
        <w:rPr>
          <w:rFonts w:ascii="Palatino Linotype" w:eastAsia="Palatino Linotype" w:hAnsi="Palatino Linotype" w:cs="Palatino Linotype"/>
          <w:b/>
          <w:color w:val="000000" w:themeColor="text1"/>
        </w:rPr>
        <w:t>Constitución Política del Estado Libre y Soberano de México</w:t>
      </w:r>
      <w:r w:rsidRPr="00C739C2">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C739C2">
        <w:rPr>
          <w:rFonts w:ascii="Palatino Linotype" w:eastAsia="Palatino Linotype" w:hAnsi="Palatino Linotype" w:cs="Palatino Linotype"/>
          <w:b/>
          <w:color w:val="000000" w:themeColor="text1"/>
        </w:rPr>
        <w:t>Ley de Transparencia y Acceso a la Información Pública del Estado de México y Municipios</w:t>
      </w:r>
      <w:r w:rsidRPr="00C739C2">
        <w:rPr>
          <w:rFonts w:ascii="Palatino Linotype" w:eastAsia="Palatino Linotype" w:hAnsi="Palatino Linotype" w:cs="Palatino Linotype"/>
          <w:color w:val="000000" w:themeColor="text1"/>
        </w:rPr>
        <w:t xml:space="preserve">; y 7, 9 fracciones I y XXIII, y 11 del </w:t>
      </w:r>
      <w:r w:rsidRPr="00C739C2">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14:paraId="7EE963D0" w14:textId="77777777" w:rsidR="008665CE" w:rsidRPr="00C739C2" w:rsidRDefault="008665CE" w:rsidP="00C46F50">
      <w:pPr>
        <w:keepNext/>
        <w:keepLines/>
        <w:spacing w:line="360" w:lineRule="auto"/>
        <w:rPr>
          <w:rFonts w:ascii="Palatino Linotype" w:eastAsia="Palatino Linotype" w:hAnsi="Palatino Linotype" w:cs="Palatino Linotype"/>
          <w:b/>
          <w:color w:val="000000" w:themeColor="text1"/>
        </w:rPr>
      </w:pPr>
      <w:bookmarkStart w:id="5" w:name="_heading=h.r7lnptq56x52" w:colFirst="0" w:colLast="0"/>
      <w:bookmarkEnd w:id="5"/>
      <w:r w:rsidRPr="00C739C2">
        <w:rPr>
          <w:rFonts w:ascii="Palatino Linotype" w:eastAsia="Palatino Linotype" w:hAnsi="Palatino Linotype" w:cs="Palatino Linotype"/>
          <w:b/>
          <w:color w:val="000000" w:themeColor="text1"/>
        </w:rPr>
        <w:t>SEGUNDO. De la oportunidad y procedencia.</w:t>
      </w:r>
    </w:p>
    <w:p w14:paraId="55DFAE20"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El medio de impugnación fue presentado a través del </w:t>
      </w:r>
      <w:r w:rsidRPr="00C739C2">
        <w:rPr>
          <w:rFonts w:ascii="Palatino Linotype" w:eastAsia="Palatino Linotype" w:hAnsi="Palatino Linotype" w:cs="Palatino Linotype"/>
          <w:b/>
          <w:color w:val="000000" w:themeColor="text1"/>
        </w:rPr>
        <w:t>SAIMEX,</w:t>
      </w:r>
      <w:r w:rsidRPr="00C739C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739C2">
        <w:rPr>
          <w:rFonts w:ascii="Palatino Linotype" w:eastAsia="Palatino Linotype" w:hAnsi="Palatino Linotype" w:cs="Palatino Linotype"/>
          <w:b/>
          <w:color w:val="000000" w:themeColor="text1"/>
        </w:rPr>
        <w:t>SUJETO OBLIGADO</w:t>
      </w:r>
      <w:r w:rsidRPr="00C739C2">
        <w:rPr>
          <w:rFonts w:ascii="Palatino Linotype" w:eastAsia="Palatino Linotype" w:hAnsi="Palatino Linotype" w:cs="Palatino Linotype"/>
          <w:color w:val="000000" w:themeColor="text1"/>
        </w:rPr>
        <w:t xml:space="preserve"> entregó respuesta el día </w:t>
      </w:r>
      <w:r w:rsidR="00310376" w:rsidRPr="00C739C2">
        <w:rPr>
          <w:rFonts w:ascii="Palatino Linotype" w:eastAsia="Palatino Linotype" w:hAnsi="Palatino Linotype" w:cs="Palatino Linotype"/>
          <w:b/>
          <w:color w:val="000000" w:themeColor="text1"/>
        </w:rPr>
        <w:t>once</w:t>
      </w:r>
      <w:r w:rsidRPr="00C739C2">
        <w:rPr>
          <w:rFonts w:ascii="Palatino Linotype" w:eastAsia="Palatino Linotype" w:hAnsi="Palatino Linotype" w:cs="Palatino Linotype"/>
          <w:b/>
          <w:color w:val="000000" w:themeColor="text1"/>
        </w:rPr>
        <w:t xml:space="preserve"> de marzo de dos mil veinticinco</w:t>
      </w:r>
      <w:r w:rsidRPr="00C739C2">
        <w:rPr>
          <w:rFonts w:ascii="Palatino Linotype" w:eastAsia="Palatino Linotype" w:hAnsi="Palatino Linotype" w:cs="Palatino Linotype"/>
          <w:color w:val="000000" w:themeColor="text1"/>
        </w:rPr>
        <w:t xml:space="preserve">, de tal forma que el plazo para </w:t>
      </w:r>
      <w:r w:rsidRPr="00C739C2">
        <w:rPr>
          <w:rFonts w:ascii="Palatino Linotype" w:eastAsia="Palatino Linotype" w:hAnsi="Palatino Linotype" w:cs="Palatino Linotype"/>
          <w:color w:val="000000" w:themeColor="text1"/>
        </w:rPr>
        <w:lastRenderedPageBreak/>
        <w:t xml:space="preserve">interponer el recurso transcurrió del </w:t>
      </w:r>
      <w:r w:rsidR="00310376" w:rsidRPr="00C739C2">
        <w:rPr>
          <w:rFonts w:ascii="Palatino Linotype" w:eastAsia="Palatino Linotype" w:hAnsi="Palatino Linotype" w:cs="Palatino Linotype"/>
          <w:b/>
          <w:color w:val="000000" w:themeColor="text1"/>
        </w:rPr>
        <w:t>doce de marzo al dos de abril</w:t>
      </w:r>
      <w:r w:rsidRPr="00C739C2">
        <w:rPr>
          <w:rFonts w:ascii="Palatino Linotype" w:eastAsia="Palatino Linotype" w:hAnsi="Palatino Linotype" w:cs="Palatino Linotype"/>
          <w:b/>
          <w:color w:val="000000" w:themeColor="text1"/>
        </w:rPr>
        <w:t xml:space="preserve"> de dos mil veinticinco</w:t>
      </w:r>
      <w:r w:rsidRPr="00C739C2">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00310376" w:rsidRPr="00C739C2">
        <w:rPr>
          <w:rFonts w:ascii="Palatino Linotype" w:eastAsia="Palatino Linotype" w:hAnsi="Palatino Linotype" w:cs="Palatino Linotype"/>
          <w:b/>
          <w:color w:val="000000" w:themeColor="text1"/>
        </w:rPr>
        <w:t>once de marzo</w:t>
      </w:r>
      <w:r w:rsidRPr="00C739C2">
        <w:rPr>
          <w:rFonts w:ascii="Palatino Linotype" w:eastAsia="Palatino Linotype" w:hAnsi="Palatino Linotype" w:cs="Palatino Linotype"/>
          <w:b/>
          <w:color w:val="000000" w:themeColor="text1"/>
        </w:rPr>
        <w:t xml:space="preserve"> de dos mil veinticinco</w:t>
      </w:r>
      <w:r w:rsidRPr="00C739C2">
        <w:rPr>
          <w:rFonts w:ascii="Palatino Linotype" w:eastAsia="Palatino Linotype" w:hAnsi="Palatino Linotype" w:cs="Palatino Linotype"/>
          <w:color w:val="000000" w:themeColor="text1"/>
        </w:rPr>
        <w:t xml:space="preserve">, se encuentra dentro de los márgenes temporales previstos en el artículo 178 de la </w:t>
      </w:r>
      <w:r w:rsidRPr="00C739C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739C2">
        <w:rPr>
          <w:rFonts w:ascii="Palatino Linotype" w:eastAsia="Palatino Linotype" w:hAnsi="Palatino Linotype" w:cs="Palatino Linotype"/>
          <w:color w:val="000000" w:themeColor="text1"/>
        </w:rPr>
        <w:t>vigente.</w:t>
      </w:r>
    </w:p>
    <w:p w14:paraId="0127EA61" w14:textId="77777777" w:rsidR="00310376" w:rsidRPr="00C739C2" w:rsidRDefault="00310376" w:rsidP="00C46F50">
      <w:pPr>
        <w:pStyle w:val="Prrafodelista"/>
        <w:numPr>
          <w:ilvl w:val="0"/>
          <w:numId w:val="1"/>
        </w:numPr>
        <w:spacing w:before="240" w:after="240" w:line="360" w:lineRule="auto"/>
        <w:ind w:left="0" w:firstLine="0"/>
        <w:jc w:val="both"/>
        <w:rPr>
          <w:rFonts w:ascii="Palatino Linotype" w:hAnsi="Palatino Linotype" w:cs="Arial"/>
          <w:bCs/>
          <w:color w:val="000000" w:themeColor="text1"/>
        </w:rPr>
      </w:pPr>
      <w:r w:rsidRPr="00C739C2">
        <w:rPr>
          <w:rFonts w:ascii="Palatino Linotype" w:hAnsi="Palatino Linotype" w:cs="Arial"/>
          <w:bCs/>
          <w:color w:val="000000" w:themeColor="text1"/>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3573C2A" w14:textId="77777777" w:rsidR="00310376" w:rsidRPr="00C739C2" w:rsidRDefault="00310376" w:rsidP="00C46F50">
      <w:pPr>
        <w:pStyle w:val="Prrafodelista"/>
        <w:ind w:left="0"/>
        <w:rPr>
          <w:rFonts w:ascii="Palatino Linotype" w:hAnsi="Palatino Linotype" w:cs="Arial"/>
          <w:color w:val="000000" w:themeColor="text1"/>
        </w:rPr>
      </w:pPr>
    </w:p>
    <w:p w14:paraId="74AC088C" w14:textId="77777777" w:rsidR="00310376" w:rsidRPr="00C739C2" w:rsidRDefault="00310376" w:rsidP="00C46F50">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C739C2">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6D0E0D1"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w:t>
      </w:r>
      <w:r w:rsidRPr="00C739C2">
        <w:rPr>
          <w:rFonts w:ascii="Palatino Linotype" w:hAnsi="Palatino Linotype" w:cs="Arial"/>
          <w:i/>
          <w:color w:val="000000" w:themeColor="text1"/>
        </w:rPr>
        <w:lastRenderedPageBreak/>
        <w:t>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64D7271"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 1a./J. 41/2015 (10a.) </w:t>
      </w:r>
    </w:p>
    <w:p w14:paraId="342C1B97"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B2B2EB9"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p>
    <w:p w14:paraId="62AC31E4"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0302EAFF"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p>
    <w:p w14:paraId="21FDF315"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26633A2F"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p>
    <w:p w14:paraId="47BBE77A"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0EAC1B53"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p>
    <w:p w14:paraId="7BA0F71F"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r w:rsidRPr="00C739C2">
        <w:rPr>
          <w:rFonts w:ascii="Palatino Linotype" w:hAnsi="Palatino Linotype" w:cs="Arial"/>
          <w:i/>
          <w:color w:val="000000" w:themeColor="text1"/>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9355466" w14:textId="77777777" w:rsidR="00310376" w:rsidRPr="00C739C2" w:rsidRDefault="00310376" w:rsidP="00C46F50">
      <w:pPr>
        <w:spacing w:before="240" w:after="240" w:line="360" w:lineRule="auto"/>
        <w:contextualSpacing/>
        <w:jc w:val="both"/>
        <w:rPr>
          <w:rFonts w:ascii="Palatino Linotype" w:hAnsi="Palatino Linotype" w:cs="Arial"/>
          <w:i/>
          <w:color w:val="000000" w:themeColor="text1"/>
        </w:rPr>
      </w:pPr>
    </w:p>
    <w:p w14:paraId="3DF3BBE0" w14:textId="77777777" w:rsidR="00310376" w:rsidRPr="00C739C2" w:rsidRDefault="00310376" w:rsidP="00C46F50">
      <w:pPr>
        <w:spacing w:before="240" w:after="240" w:line="360" w:lineRule="auto"/>
        <w:contextualSpacing/>
        <w:jc w:val="both"/>
        <w:rPr>
          <w:rFonts w:ascii="Palatino Linotype" w:hAnsi="Palatino Linotype"/>
          <w:i/>
          <w:color w:val="000000" w:themeColor="text1"/>
        </w:rPr>
      </w:pPr>
      <w:r w:rsidRPr="00C739C2">
        <w:rPr>
          <w:rFonts w:ascii="Palatino Linotype" w:hAnsi="Palatino Linotype" w:cs="Arial"/>
          <w:i/>
          <w:color w:val="000000" w:themeColor="text1"/>
        </w:rPr>
        <w:t>Tesis de jurisprudencia 41/2015 (10a.). Aprobada por la Primera Sala de este Alto Tribunal, en sesión privada de veintisiete de mayo de dos mil quince.</w:t>
      </w:r>
    </w:p>
    <w:p w14:paraId="4A7B4CA7" w14:textId="77777777" w:rsidR="00310376" w:rsidRPr="00C739C2" w:rsidRDefault="00310376" w:rsidP="00C46F50">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C739C2">
        <w:rPr>
          <w:rFonts w:ascii="Palatino Linotype" w:hAnsi="Palatino Linotype"/>
          <w:color w:val="000000" w:themeColor="text1"/>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738790F" w14:textId="77777777" w:rsidR="00310376" w:rsidRPr="00C739C2" w:rsidRDefault="00310376" w:rsidP="00C46F50">
      <w:pPr>
        <w:pStyle w:val="Prrafodelista"/>
        <w:spacing w:before="240" w:after="240" w:line="360" w:lineRule="auto"/>
        <w:ind w:left="0"/>
        <w:jc w:val="both"/>
        <w:rPr>
          <w:rFonts w:ascii="Palatino Linotype" w:hAnsi="Palatino Linotype" w:cs="Arial"/>
          <w:i/>
          <w:color w:val="000000" w:themeColor="text1"/>
        </w:rPr>
      </w:pPr>
    </w:p>
    <w:p w14:paraId="4C891ED9" w14:textId="77777777" w:rsidR="00310376" w:rsidRPr="00C739C2" w:rsidRDefault="00310376" w:rsidP="00C46F50">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C739C2">
        <w:rPr>
          <w:rFonts w:ascii="Palatino Linotype" w:hAnsi="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37141F9" w14:textId="77777777" w:rsidR="00310376" w:rsidRPr="00C739C2" w:rsidRDefault="00310376" w:rsidP="00C46F50">
      <w:pPr>
        <w:pStyle w:val="Prrafodelista"/>
        <w:ind w:left="0"/>
        <w:rPr>
          <w:rFonts w:ascii="Palatino Linotype" w:hAnsi="Palatino Linotype" w:cs="Arial"/>
          <w:i/>
          <w:color w:val="000000" w:themeColor="text1"/>
        </w:rPr>
      </w:pPr>
    </w:p>
    <w:p w14:paraId="6AFCD0CF" w14:textId="77777777" w:rsidR="008665CE" w:rsidRPr="00C739C2" w:rsidRDefault="00310376" w:rsidP="00C46F50">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C739C2">
        <w:rPr>
          <w:rFonts w:ascii="Palatino Linotype" w:hAnsi="Palatino Linotype"/>
          <w:color w:val="000000" w:themeColor="text1"/>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C739C2">
        <w:rPr>
          <w:rFonts w:ascii="Palatino Linotype" w:hAnsi="Palatino Linotype"/>
          <w:b/>
          <w:color w:val="000000" w:themeColor="text1"/>
        </w:rPr>
        <w:t>SUJETO OBLIGADO.</w:t>
      </w:r>
    </w:p>
    <w:p w14:paraId="7FE38FDA" w14:textId="77777777" w:rsidR="008665CE" w:rsidRPr="00C739C2" w:rsidRDefault="008665CE" w:rsidP="00C46F50">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812ABBC" w14:textId="77777777" w:rsidR="008665CE" w:rsidRPr="00C739C2" w:rsidRDefault="008665CE" w:rsidP="00C46F50">
      <w:pPr>
        <w:spacing w:line="360" w:lineRule="auto"/>
        <w:jc w:val="both"/>
        <w:rPr>
          <w:rFonts w:ascii="Palatino Linotype" w:eastAsia="Palatino Linotype" w:hAnsi="Palatino Linotype" w:cs="Palatino Linotype"/>
          <w:b/>
          <w:color w:val="000000" w:themeColor="text1"/>
        </w:rPr>
      </w:pPr>
    </w:p>
    <w:p w14:paraId="5F5329C8" w14:textId="77777777" w:rsidR="008665CE" w:rsidRPr="00C739C2" w:rsidRDefault="008665CE" w:rsidP="00C46F50">
      <w:pPr>
        <w:keepNext/>
        <w:keepLines/>
        <w:spacing w:line="360" w:lineRule="auto"/>
        <w:rPr>
          <w:rFonts w:ascii="Palatino Linotype" w:eastAsia="Palatino Linotype" w:hAnsi="Palatino Linotype" w:cs="Palatino Linotype"/>
          <w:b/>
          <w:color w:val="000000" w:themeColor="text1"/>
        </w:rPr>
      </w:pPr>
      <w:bookmarkStart w:id="6" w:name="_heading=h.4jl0pi7i139l" w:colFirst="0" w:colLast="0"/>
      <w:bookmarkEnd w:id="6"/>
      <w:r w:rsidRPr="00C739C2">
        <w:rPr>
          <w:rFonts w:ascii="Palatino Linotype" w:eastAsia="Palatino Linotype" w:hAnsi="Palatino Linotype" w:cs="Palatino Linotype"/>
          <w:b/>
          <w:color w:val="000000" w:themeColor="text1"/>
        </w:rPr>
        <w:t>TERCERO. Planteamiento de la Litis.</w:t>
      </w:r>
    </w:p>
    <w:p w14:paraId="29B23194" w14:textId="77777777" w:rsidR="008665CE" w:rsidRPr="00C739C2" w:rsidRDefault="00310376"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color w:val="000000" w:themeColor="text1"/>
        </w:rPr>
        <w:t xml:space="preserve">El particular solicitó la versión pública de la sentencia definitiva </w:t>
      </w:r>
      <w:r w:rsidR="003945D9" w:rsidRPr="00C739C2">
        <w:rPr>
          <w:rFonts w:ascii="Palatino Linotype" w:eastAsia="Palatino Linotype" w:hAnsi="Palatino Linotype" w:cs="Palatino Linotype"/>
          <w:color w:val="000000" w:themeColor="text1"/>
        </w:rPr>
        <w:t xml:space="preserve">que resuelve el expediente 47/2020 del índice del Juzgado Segundo Familiar del Distrito Judicial de Nezahualcóyotl, del Tribunal Superior de Justicia del Estado de México. </w:t>
      </w:r>
      <w:r w:rsidR="008665CE" w:rsidRPr="00C739C2">
        <w:rPr>
          <w:rFonts w:ascii="Palatino Linotype" w:eastAsia="Palatino Linotype" w:hAnsi="Palatino Linotype" w:cs="Palatino Linotype"/>
          <w:color w:val="000000" w:themeColor="text1"/>
        </w:rPr>
        <w:t xml:space="preserve"> </w:t>
      </w:r>
    </w:p>
    <w:p w14:paraId="3424B9DB" w14:textId="77777777" w:rsidR="008665CE" w:rsidRPr="00C739C2" w:rsidRDefault="008665CE" w:rsidP="00C46F5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FFADE25"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color w:val="000000" w:themeColor="text1"/>
        </w:rPr>
        <w:t>E</w:t>
      </w:r>
      <w:r w:rsidR="003945D9" w:rsidRPr="00C739C2">
        <w:rPr>
          <w:rFonts w:ascii="Palatino Linotype" w:eastAsia="Palatino Linotype" w:hAnsi="Palatino Linotype" w:cs="Palatino Linotype"/>
          <w:color w:val="000000" w:themeColor="text1"/>
        </w:rPr>
        <w:t xml:space="preserve">n respuesta, el Sujeto Obligado señaló que la información solicitada aun esta en trámite t clasificó la información como reservada. </w:t>
      </w:r>
      <w:r w:rsidR="00744B28" w:rsidRPr="00C739C2">
        <w:rPr>
          <w:rFonts w:ascii="Palatino Linotype" w:eastAsia="Palatino Linotype" w:hAnsi="Palatino Linotype" w:cs="Palatino Linotype"/>
          <w:color w:val="000000" w:themeColor="text1"/>
        </w:rPr>
        <w:t xml:space="preserve">Posteriormente, el particular interpuso recurso de revisión en el que inconformó, de forma medular, por la clasificación de la información. </w:t>
      </w:r>
      <w:r w:rsidRPr="00C739C2">
        <w:rPr>
          <w:rFonts w:ascii="Palatino Linotype" w:eastAsia="Palatino Linotype" w:hAnsi="Palatino Linotype" w:cs="Palatino Linotype"/>
          <w:color w:val="000000" w:themeColor="text1"/>
        </w:rPr>
        <w:t xml:space="preserve"> </w:t>
      </w:r>
    </w:p>
    <w:p w14:paraId="56293E9B" w14:textId="77777777" w:rsidR="008665CE" w:rsidRPr="00C739C2" w:rsidRDefault="008665CE" w:rsidP="00C46F50">
      <w:pPr>
        <w:tabs>
          <w:tab w:val="left" w:pos="0"/>
        </w:tabs>
        <w:spacing w:line="360" w:lineRule="auto"/>
        <w:jc w:val="both"/>
        <w:rPr>
          <w:rFonts w:ascii="Palatino Linotype" w:eastAsia="Palatino Linotype" w:hAnsi="Palatino Linotype" w:cs="Palatino Linotype"/>
          <w:i/>
          <w:color w:val="000000" w:themeColor="text1"/>
        </w:rPr>
      </w:pPr>
    </w:p>
    <w:p w14:paraId="0753A23E"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w:t>
      </w:r>
      <w:r w:rsidR="00744B28" w:rsidRPr="00C739C2">
        <w:rPr>
          <w:rFonts w:ascii="Palatino Linotype" w:eastAsia="Palatino Linotype" w:hAnsi="Palatino Linotype" w:cs="Palatino Linotype"/>
          <w:color w:val="000000" w:themeColor="text1"/>
        </w:rPr>
        <w:t>I</w:t>
      </w:r>
      <w:r w:rsidRPr="00C739C2">
        <w:rPr>
          <w:rFonts w:ascii="Palatino Linotype" w:eastAsia="Palatino Linotype" w:hAnsi="Palatino Linotype" w:cs="Palatino Linotype"/>
          <w:color w:val="000000" w:themeColor="text1"/>
        </w:rPr>
        <w:t xml:space="preserve">I de la Ley de Transparencia y Acceso a la Información Pública del Estado de México y Municipios; que establece la </w:t>
      </w:r>
      <w:r w:rsidR="00744B28" w:rsidRPr="00C739C2">
        <w:rPr>
          <w:rFonts w:ascii="Palatino Linotype" w:eastAsia="Palatino Linotype" w:hAnsi="Palatino Linotype" w:cs="Palatino Linotype"/>
          <w:color w:val="000000" w:themeColor="text1"/>
        </w:rPr>
        <w:t xml:space="preserve">clasificación de la información. </w:t>
      </w:r>
      <w:r w:rsidRPr="00C739C2">
        <w:rPr>
          <w:rFonts w:ascii="Palatino Linotype" w:eastAsia="Palatino Linotype" w:hAnsi="Palatino Linotype" w:cs="Palatino Linotype"/>
          <w:color w:val="000000" w:themeColor="text1"/>
        </w:rPr>
        <w:t xml:space="preserve"> </w:t>
      </w:r>
    </w:p>
    <w:p w14:paraId="2E83E783" w14:textId="77777777" w:rsidR="008665CE" w:rsidRPr="00C739C2" w:rsidRDefault="008665CE"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5554EE8" w14:textId="77777777" w:rsidR="008665CE" w:rsidRPr="00C739C2" w:rsidRDefault="008665CE" w:rsidP="00C46F50">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m5xsg7xadhhk" w:colFirst="0" w:colLast="0"/>
      <w:bookmarkEnd w:id="7"/>
      <w:r w:rsidRPr="00C739C2">
        <w:rPr>
          <w:rFonts w:ascii="Palatino Linotype" w:eastAsia="Palatino Linotype" w:hAnsi="Palatino Linotype" w:cs="Palatino Linotype"/>
          <w:b/>
          <w:color w:val="000000" w:themeColor="text1"/>
          <w:sz w:val="24"/>
          <w:szCs w:val="24"/>
        </w:rPr>
        <w:t>CUARTO. Del estudio y resolución del recurso de revisión.</w:t>
      </w:r>
    </w:p>
    <w:p w14:paraId="72354D92"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xp1s98hnyfbd" w:colFirst="0" w:colLast="0"/>
      <w:bookmarkEnd w:id="8"/>
      <w:r w:rsidRPr="00C739C2">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w:t>
      </w:r>
      <w:r w:rsidRPr="00C739C2">
        <w:rPr>
          <w:rFonts w:ascii="Palatino Linotype" w:eastAsia="Palatino Linotype" w:hAnsi="Palatino Linotype" w:cs="Palatino Linotype"/>
          <w:color w:val="000000" w:themeColor="text1"/>
        </w:rPr>
        <w:lastRenderedPageBreak/>
        <w:t>acuerdo con lo establecido en el artículo 8 de la Ley de Transparencia y Acceso a la Información Pública del Estado de México y Municipios.</w:t>
      </w:r>
    </w:p>
    <w:p w14:paraId="01EDCC16" w14:textId="77777777" w:rsidR="0033476C" w:rsidRPr="00C739C2" w:rsidRDefault="0033476C"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ABB06CA" w14:textId="77777777" w:rsidR="00DC34A4" w:rsidRPr="00C739C2" w:rsidRDefault="00DC34A4" w:rsidP="00532AA1">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De la naturaleza de la información.</w:t>
      </w:r>
    </w:p>
    <w:p w14:paraId="14003FF7" w14:textId="77777777" w:rsidR="0033476C" w:rsidRPr="00C739C2" w:rsidRDefault="0033476C"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Primeramente debemos recordar que el Recurrente solicitó la versión pública de la sentencia definitiva que resuelve el expediente 47/2020 del índice del Juzgado Segundo Familiar del Distrito Judicial de Nezahualcóyotl, del Tribunal Superior de Justicia del Estado de México.  </w:t>
      </w:r>
    </w:p>
    <w:p w14:paraId="68A2A345" w14:textId="77777777" w:rsidR="00DC34A4" w:rsidRPr="00C739C2" w:rsidRDefault="00DC34A4"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25E8547" w14:textId="77777777" w:rsidR="00DC34A4" w:rsidRPr="00C739C2" w:rsidRDefault="00DC34A4"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Ahora bien, derivado de la solicitud, el  Sujeto Obligado señaló que la información requerida es clasificada como reservada por estar en trámite, es decir, que se encuentra en poder del Sujeto Obligado, 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3F2BCE42" w14:textId="77777777" w:rsidR="00DC34A4" w:rsidRPr="00C739C2" w:rsidRDefault="00DC34A4" w:rsidP="00C46F50">
      <w:pPr>
        <w:pStyle w:val="Prrafodelista"/>
        <w:ind w:left="0"/>
        <w:rPr>
          <w:rFonts w:ascii="Palatino Linotype" w:eastAsia="Palatino Linotype" w:hAnsi="Palatino Linotype" w:cs="Palatino Linotype"/>
          <w:color w:val="000000" w:themeColor="text1"/>
        </w:rPr>
      </w:pPr>
    </w:p>
    <w:p w14:paraId="0E948F2C" w14:textId="77777777" w:rsidR="00DC34A4" w:rsidRPr="00C739C2" w:rsidRDefault="00DC34A4"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En otras palabras, la clasificación y la inexistencia se excluyen entre sí, por tanto, si en el presente caso, el Sujeto Obligado negó la entrega de la información, está reconociendo implícitamente que los mismos obran en sus archivos. Tiene aplicación al </w:t>
      </w:r>
      <w:r w:rsidRPr="00C739C2">
        <w:rPr>
          <w:rFonts w:ascii="Palatino Linotype" w:eastAsia="Palatino Linotype" w:hAnsi="Palatino Linotype" w:cs="Palatino Linotype"/>
          <w:color w:val="000000" w:themeColor="text1"/>
        </w:rPr>
        <w:lastRenderedPageBreak/>
        <w:t>respecto, el criterio 29/10 sostenido por el Instituto Nacional de Transparencia, Acceso a la Información y Protección de Datos Personales, mismo que se señala lo siguiente:</w:t>
      </w:r>
    </w:p>
    <w:p w14:paraId="7445529D" w14:textId="77777777" w:rsidR="00DC34A4" w:rsidRPr="00C739C2" w:rsidRDefault="00DC34A4"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27F43C1" w14:textId="77777777" w:rsidR="00DC34A4" w:rsidRPr="00C739C2" w:rsidRDefault="00DC34A4" w:rsidP="00C46F5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La clasificación y la inexistencia de información son conceptos que no pueden coexistir. </w:t>
      </w:r>
      <w:r w:rsidRPr="00C739C2">
        <w:rPr>
          <w:rFonts w:ascii="Palatino Linotype" w:eastAsia="Palatino Linotype" w:hAnsi="Palatino Linotype" w:cs="Palatino Linotype"/>
          <w:i/>
          <w:color w:val="000000" w:themeColor="text1"/>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756FA30" w14:textId="77777777" w:rsidR="00DC34A4" w:rsidRPr="00C739C2" w:rsidRDefault="00DC34A4"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EC8CA52" w14:textId="77777777" w:rsidR="00DC34A4" w:rsidRPr="00C739C2" w:rsidRDefault="00DC34A4" w:rsidP="00532AA1">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De la búsqueda exhaustiva.</w:t>
      </w:r>
    </w:p>
    <w:p w14:paraId="5C4A0E48"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C739C2">
        <w:rPr>
          <w:rFonts w:ascii="Palatino Linotype" w:eastAsia="Palatino Linotype" w:hAnsi="Palatino Linotype" w:cs="Palatino Linotype"/>
          <w:i/>
          <w:color w:val="000000" w:themeColor="text1"/>
        </w:rPr>
        <w:t xml:space="preserve">en el ámbito de sus atribuciones, de promover, respetar, proteger y </w:t>
      </w:r>
      <w:r w:rsidRPr="00C739C2">
        <w:rPr>
          <w:rFonts w:ascii="Palatino Linotype" w:eastAsia="Palatino Linotype" w:hAnsi="Palatino Linotype" w:cs="Palatino Linotype"/>
          <w:b/>
          <w:i/>
          <w:color w:val="000000" w:themeColor="text1"/>
        </w:rPr>
        <w:t>garantizar</w:t>
      </w:r>
      <w:r w:rsidRPr="00C739C2">
        <w:rPr>
          <w:rFonts w:ascii="Palatino Linotype" w:eastAsia="Palatino Linotype" w:hAnsi="Palatino Linotype" w:cs="Palatino Linotype"/>
          <w:i/>
          <w:color w:val="000000" w:themeColor="text1"/>
        </w:rPr>
        <w:t xml:space="preserve"> los derechos humanos. </w:t>
      </w:r>
      <w:r w:rsidRPr="00C739C2">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C739C2">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C739C2">
        <w:rPr>
          <w:rFonts w:ascii="Palatino Linotype" w:eastAsia="Century Gothic" w:hAnsi="Palatino Linotype" w:cs="Century Gothic"/>
          <w:i/>
          <w:color w:val="000000" w:themeColor="text1"/>
          <w:vertAlign w:val="superscript"/>
        </w:rPr>
        <w:footnoteReference w:id="1"/>
      </w:r>
      <w:r w:rsidRPr="00C739C2">
        <w:rPr>
          <w:rFonts w:ascii="Palatino Linotype" w:eastAsia="Palatino Linotype" w:hAnsi="Palatino Linotype" w:cs="Palatino Linotype"/>
          <w:i/>
          <w:color w:val="000000" w:themeColor="text1"/>
        </w:rPr>
        <w:t xml:space="preserve">, </w:t>
      </w:r>
      <w:r w:rsidRPr="00C739C2">
        <w:rPr>
          <w:rFonts w:ascii="Palatino Linotype" w:eastAsia="Palatino Linotype" w:hAnsi="Palatino Linotype" w:cs="Palatino Linotype"/>
          <w:color w:val="000000" w:themeColor="text1"/>
        </w:rPr>
        <w:t>asimismo establece</w:t>
      </w:r>
      <w:r w:rsidRPr="00C739C2">
        <w:rPr>
          <w:rFonts w:ascii="Palatino Linotype" w:eastAsia="Palatino Linotype" w:hAnsi="Palatino Linotype" w:cs="Palatino Linotype"/>
          <w:i/>
          <w:color w:val="000000" w:themeColor="text1"/>
        </w:rPr>
        <w:t xml:space="preserve"> que las unidades de </w:t>
      </w:r>
      <w:r w:rsidRPr="00C739C2">
        <w:rPr>
          <w:rFonts w:ascii="Palatino Linotype" w:eastAsia="Palatino Linotype" w:hAnsi="Palatino Linotype" w:cs="Palatino Linotype"/>
          <w:i/>
          <w:color w:val="000000" w:themeColor="text1"/>
        </w:rPr>
        <w:lastRenderedPageBreak/>
        <w:t>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012C2B0"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color w:val="000000" w:themeColor="text1"/>
        </w:rPr>
      </w:pPr>
    </w:p>
    <w:p w14:paraId="0AC3AE4F"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002D469"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color w:val="000000" w:themeColor="text1"/>
        </w:rPr>
      </w:pPr>
    </w:p>
    <w:p w14:paraId="579B6D1A"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Es así que, su obligación es </w:t>
      </w:r>
      <w:r w:rsidRPr="00C739C2">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C739C2">
        <w:rPr>
          <w:rFonts w:ascii="Palatino Linotype" w:eastAsia="Century Gothic" w:hAnsi="Palatino Linotype" w:cs="Century Gothic"/>
          <w:color w:val="000000" w:themeColor="text1"/>
          <w:vertAlign w:val="superscript"/>
        </w:rPr>
        <w:footnoteReference w:id="2"/>
      </w:r>
      <w:r w:rsidRPr="00C739C2">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00B557B0" w14:textId="77777777" w:rsidR="008665CE" w:rsidRPr="00C739C2" w:rsidRDefault="008665CE" w:rsidP="00C46F50">
      <w:pPr>
        <w:pBdr>
          <w:top w:val="nil"/>
          <w:left w:val="nil"/>
          <w:bottom w:val="nil"/>
          <w:right w:val="nil"/>
          <w:between w:val="nil"/>
        </w:pBdr>
        <w:rPr>
          <w:rFonts w:ascii="Palatino Linotype" w:eastAsia="Palatino Linotype" w:hAnsi="Palatino Linotype" w:cs="Palatino Linotype"/>
          <w:color w:val="000000" w:themeColor="text1"/>
        </w:rPr>
      </w:pPr>
    </w:p>
    <w:p w14:paraId="47F1BB3A"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1C7986DF"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Artículo 50. </w:t>
      </w:r>
      <w:r w:rsidRPr="00C739C2">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14:paraId="7D37D28E" w14:textId="77777777" w:rsidR="008665CE" w:rsidRPr="00C739C2" w:rsidRDefault="008665CE" w:rsidP="00C46F50">
      <w:pPr>
        <w:jc w:val="both"/>
        <w:rPr>
          <w:rFonts w:ascii="Palatino Linotype" w:eastAsia="Palatino Linotype" w:hAnsi="Palatino Linotype" w:cs="Palatino Linotype"/>
          <w:i/>
          <w:color w:val="000000" w:themeColor="text1"/>
        </w:rPr>
      </w:pPr>
    </w:p>
    <w:p w14:paraId="61957E9B"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Artículo 53. </w:t>
      </w:r>
      <w:r w:rsidRPr="00C739C2">
        <w:rPr>
          <w:rFonts w:ascii="Palatino Linotype" w:eastAsia="Palatino Linotype" w:hAnsi="Palatino Linotype" w:cs="Palatino Linotype"/>
          <w:i/>
          <w:color w:val="000000" w:themeColor="text1"/>
        </w:rPr>
        <w:t>Las Unidades de Transparencia tendrán las siguientes funciones:</w:t>
      </w:r>
    </w:p>
    <w:p w14:paraId="3F26E53D"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w:t>
      </w:r>
    </w:p>
    <w:p w14:paraId="52352256"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II.</w:t>
      </w:r>
      <w:r w:rsidRPr="00C739C2">
        <w:rPr>
          <w:rFonts w:ascii="Palatino Linotype" w:eastAsia="Palatino Linotype" w:hAnsi="Palatino Linotype" w:cs="Palatino Linotype"/>
          <w:i/>
          <w:color w:val="000000" w:themeColor="text1"/>
        </w:rPr>
        <w:t xml:space="preserve"> Recibir, tramitar y dar respuesta a las solicitudes de acceso a la información;</w:t>
      </w:r>
    </w:p>
    <w:p w14:paraId="5B731A87"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lastRenderedPageBreak/>
        <w:t>(…)</w:t>
      </w:r>
    </w:p>
    <w:p w14:paraId="69CD8C59"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IV.</w:t>
      </w:r>
      <w:r w:rsidRPr="00C739C2">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0D8E3456"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V.</w:t>
      </w:r>
      <w:r w:rsidRPr="00C739C2">
        <w:rPr>
          <w:rFonts w:ascii="Palatino Linotype" w:eastAsia="Palatino Linotype" w:hAnsi="Palatino Linotype" w:cs="Palatino Linotype"/>
          <w:i/>
          <w:color w:val="000000" w:themeColor="text1"/>
        </w:rPr>
        <w:t xml:space="preserve"> Entregar, en su caso, a los particulares la información solicitada;</w:t>
      </w:r>
    </w:p>
    <w:p w14:paraId="237A8057"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w:t>
      </w:r>
    </w:p>
    <w:p w14:paraId="2D9A4CD1" w14:textId="77777777" w:rsidR="008665CE" w:rsidRPr="00C739C2" w:rsidRDefault="008665CE" w:rsidP="00C46F50">
      <w:pPr>
        <w:jc w:val="both"/>
        <w:rPr>
          <w:rFonts w:ascii="Palatino Linotype" w:eastAsia="Palatino Linotype" w:hAnsi="Palatino Linotype" w:cs="Palatino Linotype"/>
          <w:i/>
          <w:color w:val="000000" w:themeColor="text1"/>
        </w:rPr>
      </w:pPr>
    </w:p>
    <w:p w14:paraId="1381C525"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Artículo 58. </w:t>
      </w:r>
      <w:r w:rsidRPr="00C739C2">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7474E066" w14:textId="77777777" w:rsidR="008665CE" w:rsidRPr="00C739C2" w:rsidRDefault="008665CE" w:rsidP="00C46F50">
      <w:pPr>
        <w:jc w:val="both"/>
        <w:rPr>
          <w:rFonts w:ascii="Palatino Linotype" w:eastAsia="Palatino Linotype" w:hAnsi="Palatino Linotype" w:cs="Palatino Linotype"/>
          <w:i/>
          <w:color w:val="000000" w:themeColor="text1"/>
        </w:rPr>
      </w:pPr>
    </w:p>
    <w:p w14:paraId="42D19F97"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Artículo 59. </w:t>
      </w:r>
      <w:r w:rsidRPr="00C739C2">
        <w:rPr>
          <w:rFonts w:ascii="Palatino Linotype" w:eastAsia="Palatino Linotype" w:hAnsi="Palatino Linotype" w:cs="Palatino Linotype"/>
          <w:i/>
          <w:color w:val="000000" w:themeColor="text1"/>
        </w:rPr>
        <w:t>Los servidores públicos habilitados tendrán las funciones siguientes:</w:t>
      </w:r>
    </w:p>
    <w:p w14:paraId="7EE44B7A" w14:textId="77777777" w:rsidR="008665CE" w:rsidRPr="00C739C2" w:rsidRDefault="008665CE" w:rsidP="00C46F50">
      <w:pPr>
        <w:jc w:val="both"/>
        <w:rPr>
          <w:rFonts w:ascii="Palatino Linotype" w:eastAsia="Palatino Linotype" w:hAnsi="Palatino Linotype" w:cs="Palatino Linotype"/>
          <w:i/>
          <w:color w:val="000000" w:themeColor="text1"/>
        </w:rPr>
      </w:pPr>
    </w:p>
    <w:p w14:paraId="17308F8B"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w:t>
      </w:r>
      <w:r w:rsidRPr="00C739C2">
        <w:rPr>
          <w:rFonts w:ascii="Palatino Linotype" w:eastAsia="Palatino Linotype" w:hAnsi="Palatino Linotype" w:cs="Palatino Linotype"/>
          <w:i/>
          <w:color w:val="000000" w:themeColor="text1"/>
        </w:rPr>
        <w:t xml:space="preserve"> Localizar la información que le solicite la Unidad de Transparencia;</w:t>
      </w:r>
    </w:p>
    <w:p w14:paraId="3CFF83AA"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II.</w:t>
      </w:r>
      <w:r w:rsidRPr="00C739C2">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316AE521"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w:t>
      </w:r>
    </w:p>
    <w:p w14:paraId="6CE4EAB1" w14:textId="77777777" w:rsidR="008665CE" w:rsidRPr="00C739C2" w:rsidRDefault="008665CE" w:rsidP="00C46F50">
      <w:pPr>
        <w:jc w:val="both"/>
        <w:rPr>
          <w:rFonts w:ascii="Palatino Linotype" w:eastAsia="Palatino Linotype" w:hAnsi="Palatino Linotype" w:cs="Palatino Linotype"/>
          <w:i/>
          <w:color w:val="000000" w:themeColor="text1"/>
        </w:rPr>
      </w:pPr>
    </w:p>
    <w:p w14:paraId="250C81FC" w14:textId="77777777" w:rsidR="008665CE" w:rsidRPr="00C739C2" w:rsidRDefault="008665CE"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 xml:space="preserve">Artículo 162. </w:t>
      </w:r>
      <w:r w:rsidRPr="00C739C2">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E379C9" w14:textId="77777777" w:rsidR="00DC34A4" w:rsidRPr="00C739C2" w:rsidRDefault="00DC34A4" w:rsidP="00C46F50">
      <w:pPr>
        <w:jc w:val="both"/>
        <w:rPr>
          <w:rFonts w:ascii="Palatino Linotype" w:eastAsia="Palatino Linotype" w:hAnsi="Palatino Linotype" w:cs="Palatino Linotype"/>
          <w:i/>
          <w:color w:val="000000" w:themeColor="text1"/>
        </w:rPr>
      </w:pPr>
    </w:p>
    <w:p w14:paraId="10C3FAAD"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127835A8"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lastRenderedPageBreak/>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w:t>
      </w:r>
      <w:r w:rsidR="0033476C" w:rsidRPr="00C739C2">
        <w:rPr>
          <w:rFonts w:ascii="Palatino Linotype" w:eastAsia="Palatino Linotype" w:hAnsi="Palatino Linotype" w:cs="Palatino Linotype"/>
          <w:color w:val="000000" w:themeColor="text1"/>
        </w:rPr>
        <w:t>de interés para el particular;</w:t>
      </w:r>
      <w:r w:rsidRPr="00C739C2">
        <w:rPr>
          <w:rFonts w:ascii="Palatino Linotype" w:eastAsia="Palatino Linotype" w:hAnsi="Palatino Linotype" w:cs="Palatino Linotype"/>
          <w:color w:val="000000" w:themeColor="text1"/>
        </w:rPr>
        <w:t xml:space="preserve"> </w:t>
      </w:r>
      <w:r w:rsidR="008005AA" w:rsidRPr="00C739C2">
        <w:rPr>
          <w:rFonts w:ascii="Palatino Linotype" w:eastAsia="Palatino Linotype" w:hAnsi="Palatino Linotype" w:cs="Palatino Linotype"/>
          <w:color w:val="000000" w:themeColor="text1"/>
        </w:rPr>
        <w:t xml:space="preserve">en el presente caso, de acuerdo a lo señalado por el Titular de la Unidad de Transparencia, la respuesta fue entregada por el Juez del Juzgado Segundo Familiar del Distrito Judicial de Nezahualcóyotl, es decir, que la solicitud si fue turnada al servidor público habilitado con facultades para conocer de la información solicitada, por lo tanto, se dio cumplimiento a lo establecido por la Legislación aplicable. </w:t>
      </w:r>
    </w:p>
    <w:p w14:paraId="28AF275A" w14:textId="77777777" w:rsidR="008665CE" w:rsidRPr="00C739C2" w:rsidRDefault="008665CE"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2857FCF" w14:textId="77777777" w:rsidR="00DC34A4" w:rsidRPr="00C739C2" w:rsidRDefault="00DC34A4" w:rsidP="00532AA1">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De la clasificación de la información</w:t>
      </w:r>
      <w:r w:rsidRPr="00C739C2">
        <w:rPr>
          <w:rFonts w:ascii="Palatino Linotype" w:eastAsia="Palatino Linotype" w:hAnsi="Palatino Linotype" w:cs="Palatino Linotype"/>
          <w:color w:val="000000" w:themeColor="text1"/>
        </w:rPr>
        <w:t xml:space="preserve">. </w:t>
      </w:r>
    </w:p>
    <w:p w14:paraId="2B2CE2F5" w14:textId="77777777" w:rsidR="003F2D82" w:rsidRPr="00C739C2" w:rsidRDefault="005024C7" w:rsidP="00C46F5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Ahora bien, una vez dicha la pretensión del Sujeto Obligado para clasificar la información requerida porque, a su dicho actualiza causal de reserva, es</w:t>
      </w:r>
      <w:r w:rsidR="00726FD2" w:rsidRPr="00C739C2">
        <w:rPr>
          <w:rFonts w:ascii="Palatino Linotype" w:eastAsia="Palatino Linotype" w:hAnsi="Palatino Linotype" w:cs="Palatino Linotype"/>
          <w:color w:val="000000" w:themeColor="text1"/>
        </w:rPr>
        <w:t xml:space="preserve"> necesario referir </w:t>
      </w:r>
      <w:r w:rsidR="00DC34A4" w:rsidRPr="00C739C2">
        <w:rPr>
          <w:rFonts w:ascii="Palatino Linotype" w:hAnsi="Palatino Linotype" w:cs="Tahoma"/>
          <w:color w:val="000000" w:themeColor="text1"/>
        </w:rPr>
        <w:t>que l</w:t>
      </w:r>
      <w:r w:rsidR="00DC34A4" w:rsidRPr="00C739C2">
        <w:rPr>
          <w:rFonts w:ascii="Palatino Linotype" w:hAnsi="Palatino Linotype" w:cs="Tahoma"/>
          <w:color w:val="000000" w:themeColor="text1"/>
          <w:lang w:val="es-ES"/>
        </w:rPr>
        <w:t xml:space="preserve">as </w:t>
      </w:r>
      <w:r w:rsidR="00DC34A4" w:rsidRPr="00C739C2">
        <w:rPr>
          <w:rFonts w:ascii="Palatino Linotype" w:hAnsi="Palatino Linotype" w:cs="Tahoma"/>
          <w:bCs/>
          <w:iCs/>
          <w:color w:val="000000" w:themeColor="text1"/>
          <w:lang w:val="es-ES"/>
        </w:rPr>
        <w:t xml:space="preserve">excepciones al derecho de acceso a la información, consisten en que la documentación sea inexistente o </w:t>
      </w:r>
      <w:r w:rsidR="00DC34A4" w:rsidRPr="00C739C2">
        <w:rPr>
          <w:rFonts w:ascii="Palatino Linotype" w:hAnsi="Palatino Linotype" w:cs="Tahoma"/>
          <w:b/>
          <w:bCs/>
          <w:iCs/>
          <w:color w:val="000000" w:themeColor="text1"/>
          <w:lang w:val="es-ES"/>
        </w:rPr>
        <w:t>se encuentre clasificada como se pretende en el caso concreto</w:t>
      </w:r>
      <w:r w:rsidR="00DC34A4" w:rsidRPr="00C739C2">
        <w:rPr>
          <w:rFonts w:ascii="Palatino Linotype" w:hAnsi="Palatino Linotype" w:cs="Tahoma"/>
          <w:bCs/>
          <w:iCs/>
          <w:color w:val="000000" w:themeColor="text1"/>
          <w:lang w:val="es-ES"/>
        </w:rPr>
        <w:t>; es decir, la nega</w:t>
      </w:r>
      <w:r w:rsidR="00726FD2" w:rsidRPr="00C739C2">
        <w:rPr>
          <w:rFonts w:ascii="Palatino Linotype" w:hAnsi="Palatino Linotype" w:cs="Tahoma"/>
          <w:bCs/>
          <w:iCs/>
          <w:color w:val="000000" w:themeColor="text1"/>
          <w:lang w:val="es-ES"/>
        </w:rPr>
        <w:t>tiva de acceso a la información</w:t>
      </w:r>
      <w:r w:rsidR="00DC34A4" w:rsidRPr="00C739C2">
        <w:rPr>
          <w:rFonts w:ascii="Palatino Linotype" w:hAnsi="Palatino Linotype" w:cs="Tahoma"/>
          <w:bCs/>
          <w:iCs/>
          <w:color w:val="000000" w:themeColor="text1"/>
          <w:lang w:val="es-ES"/>
        </w:rPr>
        <w:t xml:space="preserve"> recae cuando la documentación no se encuentre en los archivos del sujeto obligado, o bien exista, pero no pueda proporcionar por ser confidencial o reservada.</w:t>
      </w:r>
    </w:p>
    <w:p w14:paraId="740B969C" w14:textId="77777777" w:rsidR="003F2D82" w:rsidRPr="00C739C2" w:rsidRDefault="003F2D82"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B9DD50E" w14:textId="77777777" w:rsidR="003F2D82" w:rsidRPr="00C739C2" w:rsidRDefault="003F2D82" w:rsidP="00C46F5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Ahora bien, una vez dicha la pretensión del Sujeto Obligado para clasificar la información requerida porque, a su dicho actualiza causal de reserva, es necesario referir lo siguiente. Los artículos 140 y 113 de la Ley Estatal y de la Ley General, respectivamente, señalan los supuestos para que una información pueda considerarse como reservada.</w:t>
      </w:r>
    </w:p>
    <w:p w14:paraId="710379FC" w14:textId="77777777" w:rsidR="003F2D82" w:rsidRPr="00C739C2" w:rsidRDefault="003F2D82" w:rsidP="00C46F5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D6BBB26" w14:textId="77777777" w:rsidR="003F2D82" w:rsidRDefault="003F2D82" w:rsidP="00C46F5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Los artículos 128 segundo párrafo y 103 segundo párrafo de las leyes estatal y general, respectivamente, señalan que, en el caso de la información reservada, se debe de </w:t>
      </w:r>
      <w:r w:rsidRPr="00C739C2">
        <w:rPr>
          <w:rFonts w:ascii="Palatino Linotype" w:eastAsia="Palatino Linotype" w:hAnsi="Palatino Linotype" w:cs="Palatino Linotype"/>
          <w:color w:val="000000" w:themeColor="text1"/>
        </w:rPr>
        <w:lastRenderedPageBreak/>
        <w:t>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5104E927" w14:textId="77777777" w:rsidR="00532AA1" w:rsidRPr="00C739C2" w:rsidRDefault="00532AA1" w:rsidP="00532AA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8F76B5C" w14:textId="77777777" w:rsidR="003F2D82" w:rsidRPr="00C739C2" w:rsidRDefault="003F2D82" w:rsidP="00532AA1">
      <w:pPr>
        <w:numPr>
          <w:ilvl w:val="0"/>
          <w:numId w:val="13"/>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La prueba de daño.</w:t>
      </w:r>
    </w:p>
    <w:p w14:paraId="7FAE47BA" w14:textId="77777777" w:rsidR="003F2D82" w:rsidRPr="00C739C2" w:rsidRDefault="003F2D82"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C029F75" w14:textId="77777777" w:rsidR="003F2D82" w:rsidRPr="00C739C2" w:rsidRDefault="003F2D82"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BAC3321" w14:textId="77777777" w:rsidR="003F2D82" w:rsidRPr="00C739C2" w:rsidRDefault="003F2D82"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Para aplicar la prueba de daño, se deberán de precisar las razones objetivas por las que la apertura genera una afectación, acreditando que:</w:t>
      </w:r>
    </w:p>
    <w:p w14:paraId="4ED3F300" w14:textId="77777777" w:rsidR="003F2D82" w:rsidRPr="00C739C2" w:rsidRDefault="003F2D82" w:rsidP="00C46F50">
      <w:pPr>
        <w:widowControl w:val="0"/>
        <w:spacing w:after="240"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 xml:space="preserve">I. La divulgación de la información representa un riesgo real, demostrable e identificable del perjuicio significativo al interés público o a la seguridad pública; </w:t>
      </w:r>
    </w:p>
    <w:p w14:paraId="341E1B5F" w14:textId="77777777" w:rsidR="003F2D82" w:rsidRPr="00C739C2" w:rsidRDefault="003F2D82" w:rsidP="00C46F50">
      <w:pPr>
        <w:widowControl w:val="0"/>
        <w:spacing w:after="240"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 xml:space="preserve">II. El riesgo de perjuicio que supondría la divulgación supera el interés público general de que se difunda; y </w:t>
      </w:r>
    </w:p>
    <w:p w14:paraId="4E185FF2" w14:textId="18259644" w:rsidR="00532AA1" w:rsidRDefault="003F2D82" w:rsidP="00C46F50">
      <w:pPr>
        <w:widowControl w:val="0"/>
        <w:spacing w:after="240"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lastRenderedPageBreak/>
        <w:t xml:space="preserve">III. La limitación se adecua al principio de proporcionalidad y representa el medio menos restrictivo disponible para evitar el perjuicio. </w:t>
      </w:r>
    </w:p>
    <w:p w14:paraId="16A64C4B" w14:textId="77777777" w:rsidR="003F2D82" w:rsidRPr="00C739C2" w:rsidRDefault="003F2D82" w:rsidP="00532AA1">
      <w:pPr>
        <w:keepNext/>
        <w:keepLines/>
        <w:numPr>
          <w:ilvl w:val="0"/>
          <w:numId w:val="13"/>
        </w:numPr>
        <w:pBdr>
          <w:top w:val="nil"/>
          <w:left w:val="nil"/>
          <w:bottom w:val="nil"/>
          <w:right w:val="nil"/>
          <w:between w:val="nil"/>
        </w:pBdr>
        <w:spacing w:before="240"/>
        <w:ind w:left="0" w:firstLine="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La clasificación de la información reservada debe ser de manera temporal.</w:t>
      </w:r>
    </w:p>
    <w:p w14:paraId="46AC1E66" w14:textId="77777777" w:rsidR="003F2D82" w:rsidRPr="00C739C2" w:rsidRDefault="003F2D82" w:rsidP="00C46F50">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41716E8" w14:textId="77777777" w:rsidR="003F2D82" w:rsidRPr="00C739C2" w:rsidRDefault="003F2D82" w:rsidP="00C46F50">
      <w:pPr>
        <w:spacing w:line="360" w:lineRule="auto"/>
        <w:jc w:val="both"/>
        <w:rPr>
          <w:rFonts w:ascii="Palatino Linotype" w:eastAsia="Palatino Linotype" w:hAnsi="Palatino Linotype" w:cs="Palatino Linotype"/>
          <w:color w:val="000000" w:themeColor="text1"/>
        </w:rPr>
      </w:pPr>
    </w:p>
    <w:p w14:paraId="14D692AF" w14:textId="77777777" w:rsidR="003F2D82" w:rsidRPr="00C739C2" w:rsidRDefault="003F2D82"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C739C2">
        <w:rPr>
          <w:rFonts w:ascii="Palatino Linotype" w:eastAsia="Palatino Linotype" w:hAnsi="Palatino Linotype" w:cs="Palatino Linotype"/>
          <w:b/>
          <w:color w:val="000000" w:themeColor="text1"/>
        </w:rPr>
        <w:t>hasta por un periodo de cinco años,</w:t>
      </w:r>
      <w:r w:rsidRPr="00C739C2">
        <w:rPr>
          <w:rFonts w:ascii="Palatino Linotype" w:eastAsia="Palatino Linotype" w:hAnsi="Palatino Linotype" w:cs="Palatino Linotype"/>
          <w:color w:val="000000" w:themeColor="text1"/>
        </w:rPr>
        <w:t xml:space="preserve"> contados a partir de su clasificación, salvo que antes del cumplimiento del periodo de restricción, dejarán de existir los motivos de su reserva. </w:t>
      </w:r>
    </w:p>
    <w:p w14:paraId="06C5F33C" w14:textId="77777777" w:rsidR="003F2D82" w:rsidRPr="00C739C2" w:rsidRDefault="003F2D82" w:rsidP="00C46F50">
      <w:pPr>
        <w:rPr>
          <w:rFonts w:ascii="Palatino Linotype" w:eastAsia="Palatino Linotype" w:hAnsi="Palatino Linotype" w:cs="Palatino Linotype"/>
          <w:color w:val="000000" w:themeColor="text1"/>
        </w:rPr>
      </w:pPr>
    </w:p>
    <w:p w14:paraId="7310E5FD" w14:textId="77777777" w:rsidR="003F2D82" w:rsidRPr="00C739C2" w:rsidRDefault="003F2D82"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A5406A8" w14:textId="77777777" w:rsidR="003F2D82" w:rsidRPr="00C739C2" w:rsidRDefault="003F2D82" w:rsidP="00C46F50">
      <w:pPr>
        <w:rPr>
          <w:rFonts w:ascii="Palatino Linotype" w:eastAsia="Palatino Linotype" w:hAnsi="Palatino Linotype" w:cs="Palatino Linotype"/>
          <w:b/>
          <w:color w:val="000000" w:themeColor="text1"/>
        </w:rPr>
      </w:pPr>
    </w:p>
    <w:p w14:paraId="34903CAA" w14:textId="77777777" w:rsidR="003F2D82" w:rsidRPr="00C739C2" w:rsidRDefault="003F2D82"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De</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 xml:space="preserve">manera excepcional </w:t>
      </w:r>
      <w:r w:rsidRPr="00C739C2">
        <w:rPr>
          <w:rFonts w:ascii="Palatino Linotype" w:eastAsia="Palatino Linotype" w:hAnsi="Palatino Linotype" w:cs="Palatino Linotype"/>
          <w:b/>
          <w:color w:val="000000" w:themeColor="text1"/>
        </w:rPr>
        <w:t>los sujetos obligados</w:t>
      </w:r>
      <w:r w:rsidRPr="00C739C2">
        <w:rPr>
          <w:rFonts w:ascii="Palatino Linotype" w:eastAsia="Palatino Linotype" w:hAnsi="Palatino Linotype" w:cs="Palatino Linotype"/>
          <w:color w:val="000000" w:themeColor="text1"/>
        </w:rPr>
        <w:t xml:space="preserve"> con la aprobación de su Comité de Transparencia, </w:t>
      </w:r>
      <w:r w:rsidRPr="00C739C2">
        <w:rPr>
          <w:rFonts w:ascii="Palatino Linotype" w:eastAsia="Palatino Linotype" w:hAnsi="Palatino Linotype" w:cs="Palatino Linotype"/>
          <w:b/>
          <w:color w:val="000000" w:themeColor="text1"/>
        </w:rPr>
        <w:t>podrán ampliar el periodo de reserva hasta por un plazo de cinco años adicionales y por una sola vez</w:t>
      </w:r>
      <w:r w:rsidRPr="00C739C2">
        <w:rPr>
          <w:rFonts w:ascii="Palatino Linotype" w:eastAsia="Palatino Linotype" w:hAnsi="Palatino Linotype" w:cs="Palatino Linotype"/>
          <w:color w:val="000000" w:themeColor="text1"/>
        </w:rPr>
        <w:t xml:space="preserve">, siempre y cuando justifiquen que subsisten las causas que dieron origen a su clasificación, mediante la aplicación de una prueba de daño. </w:t>
      </w:r>
    </w:p>
    <w:p w14:paraId="1C74133C" w14:textId="77777777" w:rsidR="003F2D82" w:rsidRPr="00C739C2" w:rsidRDefault="003F2D82" w:rsidP="00C46F50">
      <w:pPr>
        <w:rPr>
          <w:rFonts w:ascii="Palatino Linotype" w:eastAsia="Palatino Linotype" w:hAnsi="Palatino Linotype" w:cs="Palatino Linotype"/>
          <w:color w:val="000000" w:themeColor="text1"/>
        </w:rPr>
      </w:pPr>
    </w:p>
    <w:p w14:paraId="2C12B798" w14:textId="77777777" w:rsidR="003F2D82" w:rsidRPr="00C739C2" w:rsidRDefault="003F2D82"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51A110B" w14:textId="77777777" w:rsidR="003F2D82" w:rsidRPr="00C739C2" w:rsidRDefault="003F2D82" w:rsidP="00C46F50">
      <w:pPr>
        <w:pStyle w:val="Prrafodelista"/>
        <w:ind w:left="0"/>
        <w:rPr>
          <w:rFonts w:ascii="Palatino Linotype" w:eastAsia="Palatino Linotype" w:hAnsi="Palatino Linotype" w:cs="Palatino Linotype"/>
          <w:color w:val="000000" w:themeColor="text1"/>
        </w:rPr>
      </w:pPr>
    </w:p>
    <w:p w14:paraId="340CB022" w14:textId="77777777" w:rsidR="003F2D82" w:rsidRPr="00C739C2" w:rsidRDefault="003F2D82" w:rsidP="00C46F5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65CDD9B9" w14:textId="77777777" w:rsidR="003F2D82" w:rsidRPr="00C739C2" w:rsidRDefault="003F2D82" w:rsidP="00C46F50">
      <w:pPr>
        <w:shd w:val="clear" w:color="auto" w:fill="FFFFFF"/>
        <w:spacing w:line="360" w:lineRule="auto"/>
        <w:jc w:val="both"/>
        <w:rPr>
          <w:rFonts w:ascii="Palatino Linotype" w:eastAsia="Palatino Linotype" w:hAnsi="Palatino Linotype" w:cs="Palatino Linotype"/>
          <w:color w:val="000000" w:themeColor="text1"/>
        </w:rPr>
      </w:pPr>
    </w:p>
    <w:p w14:paraId="25267217" w14:textId="77777777" w:rsidR="003F2D82" w:rsidRPr="00C739C2" w:rsidRDefault="003F2D82" w:rsidP="00C46F50">
      <w:pPr>
        <w:numPr>
          <w:ilvl w:val="0"/>
          <w:numId w:val="1"/>
        </w:numPr>
        <w:shd w:val="clear" w:color="auto" w:fill="FFFFFF"/>
        <w:spacing w:after="280"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Asimismo, para la clasificación de la información, se deben observar los lineamientos correspondientes, los cuales disponen lo siguiente:</w:t>
      </w:r>
    </w:p>
    <w:p w14:paraId="4EF394B3" w14:textId="77777777" w:rsidR="003F2D82" w:rsidRPr="00C739C2" w:rsidRDefault="003F2D82" w:rsidP="00C46F50">
      <w:pPr>
        <w:pBdr>
          <w:top w:val="nil"/>
          <w:left w:val="nil"/>
          <w:bottom w:val="nil"/>
          <w:right w:val="nil"/>
          <w:between w:val="nil"/>
        </w:pBdr>
        <w:rPr>
          <w:rFonts w:ascii="Palatino Linotype" w:eastAsia="Palatino Linotype" w:hAnsi="Palatino Linotype" w:cs="Palatino Linotype"/>
          <w:color w:val="000000" w:themeColor="text1"/>
        </w:rPr>
      </w:pPr>
    </w:p>
    <w:p w14:paraId="719C87A4" w14:textId="77777777" w:rsidR="003F2D82" w:rsidRPr="00C739C2" w:rsidRDefault="003F2D82"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Para aplicar la prueba de daño, es necesario traer a contexto los Lineamientos Generales en materia de clasificación y desclasificación de la información, así como para la elaboración de versiones públicas.</w:t>
      </w:r>
      <w:r w:rsidRPr="00C739C2">
        <w:rPr>
          <w:rFonts w:ascii="Palatino Linotype" w:eastAsia="Palatino Linotype" w:hAnsi="Palatino Linotype" w:cs="Palatino Linotype"/>
          <w:color w:val="000000" w:themeColor="text1"/>
          <w:vertAlign w:val="superscript"/>
        </w:rPr>
        <w:footnoteReference w:id="3"/>
      </w:r>
    </w:p>
    <w:p w14:paraId="1D0C9F02" w14:textId="77777777" w:rsidR="003F2D82" w:rsidRPr="00C739C2" w:rsidRDefault="003F2D82" w:rsidP="00C46F50">
      <w:pPr>
        <w:spacing w:line="360" w:lineRule="auto"/>
        <w:jc w:val="center"/>
        <w:rPr>
          <w:rFonts w:ascii="Palatino Linotype" w:eastAsia="Palatino Linotype" w:hAnsi="Palatino Linotype" w:cs="Palatino Linotype"/>
          <w:b/>
          <w:i/>
          <w:color w:val="000000" w:themeColor="text1"/>
        </w:rPr>
      </w:pPr>
      <w:r w:rsidRPr="00C739C2">
        <w:rPr>
          <w:rFonts w:ascii="Palatino Linotype" w:eastAsia="Palatino Linotype" w:hAnsi="Palatino Linotype" w:cs="Palatino Linotype"/>
          <w:b/>
          <w:i/>
          <w:color w:val="000000" w:themeColor="text1"/>
        </w:rPr>
        <w:t>TÍTULO SEXTO</w:t>
      </w:r>
    </w:p>
    <w:p w14:paraId="083CD018" w14:textId="77777777" w:rsidR="003F2D82" w:rsidRPr="00C739C2" w:rsidRDefault="003F2D82" w:rsidP="00C46F50">
      <w:pPr>
        <w:spacing w:line="360" w:lineRule="auto"/>
        <w:jc w:val="center"/>
        <w:rPr>
          <w:rFonts w:ascii="Palatino Linotype" w:eastAsia="Palatino Linotype" w:hAnsi="Palatino Linotype" w:cs="Palatino Linotype"/>
          <w:b/>
          <w:i/>
          <w:color w:val="000000" w:themeColor="text1"/>
        </w:rPr>
      </w:pPr>
      <w:r w:rsidRPr="00C739C2">
        <w:rPr>
          <w:rFonts w:ascii="Palatino Linotype" w:eastAsia="Palatino Linotype" w:hAnsi="Palatino Linotype" w:cs="Palatino Linotype"/>
          <w:b/>
          <w:i/>
          <w:color w:val="000000" w:themeColor="text1"/>
        </w:rPr>
        <w:t>INFORMACIÓN CLASIFICADA</w:t>
      </w:r>
    </w:p>
    <w:p w14:paraId="2007DD52" w14:textId="77777777" w:rsidR="003F2D82" w:rsidRPr="00C739C2" w:rsidRDefault="003F2D82" w:rsidP="00C46F50">
      <w:pPr>
        <w:spacing w:line="360" w:lineRule="auto"/>
        <w:jc w:val="center"/>
        <w:rPr>
          <w:rFonts w:ascii="Palatino Linotype" w:eastAsia="Palatino Linotype" w:hAnsi="Palatino Linotype" w:cs="Palatino Linotype"/>
          <w:b/>
          <w:i/>
          <w:color w:val="000000" w:themeColor="text1"/>
        </w:rPr>
      </w:pPr>
      <w:r w:rsidRPr="00C739C2">
        <w:rPr>
          <w:rFonts w:ascii="Palatino Linotype" w:eastAsia="Palatino Linotype" w:hAnsi="Palatino Linotype" w:cs="Palatino Linotype"/>
          <w:b/>
          <w:i/>
          <w:color w:val="000000" w:themeColor="text1"/>
        </w:rPr>
        <w:lastRenderedPageBreak/>
        <w:t>Capítulo I</w:t>
      </w:r>
    </w:p>
    <w:p w14:paraId="68C259E5" w14:textId="77777777" w:rsidR="003F2D82" w:rsidRPr="00C739C2" w:rsidRDefault="003F2D82" w:rsidP="00C46F50">
      <w:pPr>
        <w:spacing w:line="360" w:lineRule="auto"/>
        <w:jc w:val="center"/>
        <w:rPr>
          <w:rFonts w:ascii="Palatino Linotype" w:eastAsia="Palatino Linotype" w:hAnsi="Palatino Linotype" w:cs="Palatino Linotype"/>
          <w:b/>
          <w:i/>
          <w:color w:val="000000" w:themeColor="text1"/>
        </w:rPr>
      </w:pPr>
      <w:r w:rsidRPr="00C739C2">
        <w:rPr>
          <w:rFonts w:ascii="Palatino Linotype" w:eastAsia="Palatino Linotype" w:hAnsi="Palatino Linotype" w:cs="Palatino Linotype"/>
          <w:b/>
          <w:i/>
          <w:color w:val="000000" w:themeColor="text1"/>
        </w:rPr>
        <w:t>De las disposiciones generales de la clasificación y desclasificación de la información</w:t>
      </w:r>
    </w:p>
    <w:p w14:paraId="02FF8E7F" w14:textId="77777777" w:rsidR="003F2D82" w:rsidRPr="00C739C2" w:rsidRDefault="003F2D82" w:rsidP="00C46F50">
      <w:pPr>
        <w:spacing w:line="360" w:lineRule="auto"/>
        <w:jc w:val="center"/>
        <w:rPr>
          <w:rFonts w:ascii="Palatino Linotype" w:eastAsia="Palatino Linotype" w:hAnsi="Palatino Linotype" w:cs="Palatino Linotype"/>
          <w:i/>
          <w:color w:val="000000" w:themeColor="text1"/>
        </w:rPr>
      </w:pPr>
    </w:p>
    <w:p w14:paraId="210A4B9F" w14:textId="77777777" w:rsidR="003F2D82" w:rsidRPr="00C739C2" w:rsidRDefault="003F2D82" w:rsidP="00C46F50">
      <w:pPr>
        <w:spacing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2303D00F" w14:textId="77777777" w:rsidR="003F2D82" w:rsidRPr="00C739C2" w:rsidRDefault="003F2D82" w:rsidP="00C46F50">
      <w:pPr>
        <w:spacing w:line="360" w:lineRule="auto"/>
        <w:jc w:val="both"/>
        <w:rPr>
          <w:rFonts w:ascii="Palatino Linotype" w:eastAsia="Palatino Linotype" w:hAnsi="Palatino Linotype" w:cs="Palatino Linotype"/>
          <w:i/>
          <w:color w:val="000000" w:themeColor="text1"/>
        </w:rPr>
      </w:pPr>
    </w:p>
    <w:p w14:paraId="645189E4" w14:textId="77777777" w:rsidR="003F2D82" w:rsidRPr="00C739C2" w:rsidRDefault="003F2D82" w:rsidP="00C46F50">
      <w:pPr>
        <w:shd w:val="clear" w:color="auto" w:fill="FFFFFF"/>
        <w:spacing w:line="360" w:lineRule="auto"/>
        <w:jc w:val="center"/>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CAPÍTULO V</w:t>
      </w:r>
    </w:p>
    <w:p w14:paraId="2723E3BE" w14:textId="77777777" w:rsidR="003F2D82" w:rsidRPr="00C739C2" w:rsidRDefault="003F2D82" w:rsidP="00C46F50">
      <w:pPr>
        <w:shd w:val="clear" w:color="auto" w:fill="FFFFFF"/>
        <w:spacing w:line="360" w:lineRule="auto"/>
        <w:jc w:val="center"/>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DE LA INFORMACIÓN RESERVADA</w:t>
      </w:r>
    </w:p>
    <w:p w14:paraId="26E4C9CA" w14:textId="77777777" w:rsidR="003F2D82" w:rsidRPr="00C739C2" w:rsidRDefault="003F2D82" w:rsidP="00C46F50">
      <w:pPr>
        <w:spacing w:line="360" w:lineRule="auto"/>
        <w:jc w:val="both"/>
        <w:rPr>
          <w:rFonts w:ascii="Palatino Linotype" w:eastAsia="Palatino Linotype" w:hAnsi="Palatino Linotype" w:cs="Palatino Linotype"/>
          <w:i/>
          <w:color w:val="000000" w:themeColor="text1"/>
        </w:rPr>
      </w:pPr>
    </w:p>
    <w:p w14:paraId="321E1516"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Trigésimo tercero. </w:t>
      </w:r>
      <w:r w:rsidRPr="00C739C2">
        <w:rPr>
          <w:rFonts w:ascii="Palatino Linotype" w:eastAsia="Palatino Linotype" w:hAnsi="Palatino Linotype" w:cs="Palatino Linotype"/>
          <w:i/>
          <w:color w:val="000000" w:themeColor="text1"/>
        </w:rPr>
        <w:t>Para la aplicación de la prueba de daño a la que hace referencia el artículo 104 de la Ley General, los sujetos obligados atenderán lo siguiente:</w:t>
      </w:r>
    </w:p>
    <w:p w14:paraId="471BCA81"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w:t>
      </w:r>
      <w:r w:rsidRPr="00C739C2">
        <w:rPr>
          <w:rFonts w:ascii="Palatino Linotype" w:eastAsia="Palatino Linotype" w:hAnsi="Palatino Linotype" w:cs="Palatino Linotype"/>
          <w:i/>
          <w:color w:val="000000" w:themeColor="text1"/>
        </w:rPr>
        <w:t>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103484B8"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II.</w:t>
      </w:r>
      <w:r w:rsidRPr="00C739C2">
        <w:rPr>
          <w:rFonts w:ascii="Palatino Linotype" w:eastAsia="Palatino Linotype" w:hAnsi="Palatino Linotype" w:cs="Palatino Linotype"/>
          <w:i/>
          <w:color w:val="000000" w:themeColor="text1"/>
        </w:rPr>
        <w:t>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49D42FC1"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III.</w:t>
      </w:r>
      <w:r w:rsidRPr="00C739C2">
        <w:rPr>
          <w:rFonts w:ascii="Palatino Linotype" w:eastAsia="Palatino Linotype" w:hAnsi="Palatino Linotype" w:cs="Palatino Linotype"/>
          <w:i/>
          <w:color w:val="000000" w:themeColor="text1"/>
        </w:rPr>
        <w:t>      Se debe de acreditar el vínculo entre la difusión de la información y la afectación del interés jurídico tutelado de que se trate;</w:t>
      </w:r>
    </w:p>
    <w:p w14:paraId="6C38DFB2"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lastRenderedPageBreak/>
        <w:t>IV.</w:t>
      </w:r>
      <w:r w:rsidRPr="00C739C2">
        <w:rPr>
          <w:rFonts w:ascii="Palatino Linotype" w:eastAsia="Palatino Linotype" w:hAnsi="Palatino Linotype" w:cs="Palatino Linotype"/>
          <w:i/>
          <w:color w:val="000000" w:themeColor="text1"/>
        </w:rPr>
        <w:t>      Precisar las razones objetivas por las que la apertura de la información generaría una afectación, a través de los elementos de un riesgo real, demostrable e identificable;</w:t>
      </w:r>
    </w:p>
    <w:p w14:paraId="5CEA8EAC"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V.</w:t>
      </w:r>
      <w:r w:rsidRPr="00C739C2">
        <w:rPr>
          <w:rFonts w:ascii="Palatino Linotype" w:eastAsia="Palatino Linotype" w:hAnsi="Palatino Linotype" w:cs="Palatino Linotype"/>
          <w:i/>
          <w:color w:val="000000" w:themeColor="text1"/>
        </w:rPr>
        <w:t>       En la motivación de la clasificación, el sujeto obligado deberá acreditar las circunstancias de modo, tiempo y lugar del daño, y</w:t>
      </w:r>
    </w:p>
    <w:p w14:paraId="2D70429D" w14:textId="77777777" w:rsidR="003F2D82" w:rsidRPr="00C739C2" w:rsidRDefault="003F2D82" w:rsidP="00C46F50">
      <w:pPr>
        <w:shd w:val="clear" w:color="auto" w:fill="FFFFFF"/>
        <w:spacing w:after="82" w:line="360" w:lineRule="auto"/>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VI.</w:t>
      </w:r>
      <w:r w:rsidRPr="00C739C2">
        <w:rPr>
          <w:rFonts w:ascii="Palatino Linotype" w:eastAsia="Palatino Linotype" w:hAnsi="Palatino Linotype" w:cs="Palatino Linotype"/>
          <w:i/>
          <w:color w:val="000000" w:themeColor="text1"/>
        </w:rPr>
        <w:t>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46B84A9D" w14:textId="77777777" w:rsidR="003F2D82" w:rsidRPr="00C739C2" w:rsidRDefault="003F2D82" w:rsidP="00C46F5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14:paraId="2713511D" w14:textId="77777777" w:rsidR="003F2D82" w:rsidRPr="00C739C2" w:rsidRDefault="003F2D82"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Dicho lo anterior, es necesario analizar detalladamente el acta del comité de transparencia del Sujeto Obligado que sustenta la pretendida clasificación, a efecto de demostrar si cumple cabalmente con las formalidades exigidas por la normatividad en materia de clasificación y desclasificación de la información.</w:t>
      </w:r>
    </w:p>
    <w:p w14:paraId="2B1B847A" w14:textId="77777777" w:rsidR="003F2D82" w:rsidRPr="00C739C2" w:rsidRDefault="003F2D82"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9B605F9" w14:textId="77777777" w:rsidR="003F2D82" w:rsidRPr="00C739C2" w:rsidRDefault="003F2D82"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Ahora bien, una vez analizadas las formalidades que exige la normatividad en la materia para la clasificación de la información como reservada, es necesario analizar las documentales entregadas por el Sujeto Obligado, por lo que se procede a realizar el siguiente análisis: </w:t>
      </w:r>
    </w:p>
    <w:tbl>
      <w:tblPr>
        <w:tblW w:w="947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992"/>
        <w:gridCol w:w="4944"/>
      </w:tblGrid>
      <w:tr w:rsidR="00C46F50" w:rsidRPr="00C739C2" w14:paraId="05CA212D" w14:textId="77777777" w:rsidTr="00532AA1">
        <w:trPr>
          <w:trHeight w:val="371"/>
        </w:trPr>
        <w:tc>
          <w:tcPr>
            <w:tcW w:w="2537" w:type="dxa"/>
            <w:tcBorders>
              <w:top w:val="nil"/>
              <w:left w:val="nil"/>
            </w:tcBorders>
          </w:tcPr>
          <w:p w14:paraId="7E55DFAE" w14:textId="77777777" w:rsidR="003F2D82" w:rsidRPr="00C739C2" w:rsidRDefault="003F2D82" w:rsidP="00C46F50">
            <w:pPr>
              <w:pBdr>
                <w:top w:val="nil"/>
                <w:left w:val="nil"/>
                <w:bottom w:val="nil"/>
                <w:right w:val="nil"/>
                <w:between w:val="nil"/>
              </w:pBdr>
              <w:spacing w:after="120"/>
              <w:rPr>
                <w:rFonts w:ascii="Palatino Linotype" w:eastAsia="Palatino Linotype" w:hAnsi="Palatino Linotype" w:cs="Palatino Linotype"/>
                <w:b/>
                <w:color w:val="000000" w:themeColor="text1"/>
              </w:rPr>
            </w:pPr>
          </w:p>
        </w:tc>
        <w:tc>
          <w:tcPr>
            <w:tcW w:w="1992" w:type="dxa"/>
            <w:tcBorders>
              <w:bottom w:val="single" w:sz="4" w:space="0" w:color="000000"/>
            </w:tcBorders>
            <w:shd w:val="clear" w:color="auto" w:fill="BFBFBF"/>
            <w:vAlign w:val="bottom"/>
          </w:tcPr>
          <w:p w14:paraId="3F73069B" w14:textId="77777777" w:rsidR="003F2D82" w:rsidRPr="00C739C2" w:rsidRDefault="003F2D82" w:rsidP="00C46F50">
            <w:pPr>
              <w:pBdr>
                <w:top w:val="nil"/>
                <w:left w:val="nil"/>
                <w:bottom w:val="nil"/>
                <w:right w:val="nil"/>
                <w:between w:val="nil"/>
              </w:pBd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Cumplió:</w:t>
            </w:r>
          </w:p>
        </w:tc>
        <w:tc>
          <w:tcPr>
            <w:tcW w:w="4944" w:type="dxa"/>
            <w:tcBorders>
              <w:bottom w:val="single" w:sz="4" w:space="0" w:color="000000"/>
            </w:tcBorders>
            <w:shd w:val="clear" w:color="auto" w:fill="BFBFBF"/>
            <w:vAlign w:val="bottom"/>
          </w:tcPr>
          <w:p w14:paraId="3AD12D78" w14:textId="77777777" w:rsidR="003F2D82" w:rsidRPr="00C739C2" w:rsidRDefault="003F2D82" w:rsidP="00C46F50">
            <w:pPr>
              <w:pBdr>
                <w:top w:val="nil"/>
                <w:left w:val="nil"/>
                <w:bottom w:val="nil"/>
                <w:right w:val="nil"/>
                <w:between w:val="nil"/>
              </w:pBd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Contenido</w:t>
            </w:r>
          </w:p>
        </w:tc>
      </w:tr>
      <w:tr w:rsidR="00C46F50" w:rsidRPr="00C739C2" w14:paraId="63603353" w14:textId="77777777" w:rsidTr="00532AA1">
        <w:trPr>
          <w:trHeight w:val="895"/>
        </w:trPr>
        <w:tc>
          <w:tcPr>
            <w:tcW w:w="2537" w:type="dxa"/>
            <w:vAlign w:val="center"/>
          </w:tcPr>
          <w:p w14:paraId="366760E3"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Número de folio de la solicitud</w:t>
            </w:r>
          </w:p>
        </w:tc>
        <w:tc>
          <w:tcPr>
            <w:tcW w:w="1992" w:type="dxa"/>
            <w:tcBorders>
              <w:top w:val="single" w:sz="4" w:space="0" w:color="000000"/>
            </w:tcBorders>
            <w:vAlign w:val="center"/>
          </w:tcPr>
          <w:p w14:paraId="36FCBE61" w14:textId="77777777" w:rsidR="003F2D82" w:rsidRPr="00C739C2" w:rsidRDefault="009040FD"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Sí</w:t>
            </w:r>
          </w:p>
        </w:tc>
        <w:tc>
          <w:tcPr>
            <w:tcW w:w="4944" w:type="dxa"/>
            <w:tcBorders>
              <w:top w:val="single" w:sz="4" w:space="0" w:color="000000"/>
            </w:tcBorders>
            <w:vAlign w:val="center"/>
          </w:tcPr>
          <w:p w14:paraId="192067E2" w14:textId="77777777" w:rsidR="003F2D82" w:rsidRPr="00C739C2" w:rsidRDefault="009040FD" w:rsidP="00C46F50">
            <w:pPr>
              <w:spacing w:after="120"/>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noProof/>
                <w:color w:val="000000" w:themeColor="text1"/>
              </w:rPr>
              <w:drawing>
                <wp:inline distT="0" distB="0" distL="0" distR="0" wp14:anchorId="0410A26A" wp14:editId="0D337D06">
                  <wp:extent cx="2636322" cy="458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4123" cy="459827"/>
                          </a:xfrm>
                          <a:prstGeom prst="rect">
                            <a:avLst/>
                          </a:prstGeom>
                        </pic:spPr>
                      </pic:pic>
                    </a:graphicData>
                  </a:graphic>
                </wp:inline>
              </w:drawing>
            </w:r>
          </w:p>
          <w:p w14:paraId="0B3DF803" w14:textId="77777777" w:rsidR="003F2D82" w:rsidRPr="00C739C2" w:rsidRDefault="003F2D82" w:rsidP="00C46F50">
            <w:pPr>
              <w:spacing w:after="120"/>
              <w:rPr>
                <w:rFonts w:ascii="Palatino Linotype" w:eastAsia="Palatino Linotype" w:hAnsi="Palatino Linotype" w:cs="Palatino Linotype"/>
                <w:color w:val="000000" w:themeColor="text1"/>
              </w:rPr>
            </w:pPr>
          </w:p>
        </w:tc>
      </w:tr>
      <w:tr w:rsidR="00C46F50" w:rsidRPr="00C739C2" w14:paraId="73BD12D8" w14:textId="77777777" w:rsidTr="00532AA1">
        <w:trPr>
          <w:trHeight w:val="3488"/>
        </w:trPr>
        <w:tc>
          <w:tcPr>
            <w:tcW w:w="2537" w:type="dxa"/>
            <w:vAlign w:val="center"/>
          </w:tcPr>
          <w:p w14:paraId="7C9DE5BE"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lastRenderedPageBreak/>
              <w:t>C</w:t>
            </w:r>
            <w:r w:rsidR="009040FD" w:rsidRPr="00C739C2">
              <w:rPr>
                <w:rFonts w:ascii="Palatino Linotype" w:eastAsia="Palatino Linotype" w:hAnsi="Palatino Linotype" w:cs="Palatino Linotype"/>
                <w:b/>
                <w:color w:val="000000" w:themeColor="text1"/>
              </w:rPr>
              <w:t>ausal aplicable del artículo 112</w:t>
            </w:r>
            <w:r w:rsidRPr="00C739C2">
              <w:rPr>
                <w:rFonts w:ascii="Palatino Linotype" w:eastAsia="Palatino Linotype" w:hAnsi="Palatino Linotype" w:cs="Palatino Linotype"/>
                <w:b/>
                <w:color w:val="000000" w:themeColor="text1"/>
              </w:rPr>
              <w:t xml:space="preserve"> de la Ley General, vinculándola con el Lineamiento específico del presente ordenamiento y, cuando corresponda, el supuesto normativo que expresamente le otorga el carácter de información reservada</w:t>
            </w:r>
          </w:p>
        </w:tc>
        <w:tc>
          <w:tcPr>
            <w:tcW w:w="1992" w:type="dxa"/>
            <w:vAlign w:val="center"/>
          </w:tcPr>
          <w:p w14:paraId="5083AE1F" w14:textId="77777777" w:rsidR="003F2D82" w:rsidRPr="00C739C2" w:rsidRDefault="009040FD"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No</w:t>
            </w:r>
          </w:p>
          <w:p w14:paraId="66BBBE17" w14:textId="77777777" w:rsidR="009040FD" w:rsidRPr="00C739C2" w:rsidRDefault="009040FD" w:rsidP="00C46F50">
            <w:pPr>
              <w:spacing w:after="120"/>
              <w:jc w:val="center"/>
              <w:rPr>
                <w:rFonts w:ascii="Palatino Linotype" w:eastAsia="Palatino Linotype" w:hAnsi="Palatino Linotype" w:cs="Palatino Linotype"/>
                <w:b/>
                <w:color w:val="000000" w:themeColor="text1"/>
              </w:rPr>
            </w:pPr>
          </w:p>
          <w:p w14:paraId="4B786899" w14:textId="77777777" w:rsidR="009040FD" w:rsidRPr="00C739C2" w:rsidRDefault="009040FD" w:rsidP="00C46F50">
            <w:pPr>
              <w:spacing w:after="120"/>
              <w:jc w:val="center"/>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Hacen referencia a un artículo que ya no corresponde al establecido en la Ley General a la hace referencia.</w:t>
            </w:r>
          </w:p>
        </w:tc>
        <w:tc>
          <w:tcPr>
            <w:tcW w:w="4944" w:type="dxa"/>
            <w:vAlign w:val="center"/>
          </w:tcPr>
          <w:p w14:paraId="6551932A" w14:textId="77777777" w:rsidR="003F2D82" w:rsidRPr="00C739C2" w:rsidRDefault="003F2D82" w:rsidP="00C46F50">
            <w:pPr>
              <w:spacing w:after="120"/>
              <w:rPr>
                <w:rFonts w:ascii="Palatino Linotype" w:eastAsia="Palatino Linotype" w:hAnsi="Palatino Linotype" w:cs="Palatino Linotype"/>
                <w:color w:val="000000" w:themeColor="text1"/>
              </w:rPr>
            </w:pPr>
          </w:p>
          <w:p w14:paraId="0587AD72" w14:textId="77777777" w:rsidR="003F2D82" w:rsidRPr="00C739C2" w:rsidRDefault="009040FD" w:rsidP="00C46F50">
            <w:pPr>
              <w:spacing w:after="120"/>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noProof/>
                <w:color w:val="000000" w:themeColor="text1"/>
              </w:rPr>
              <w:drawing>
                <wp:inline distT="0" distB="0" distL="0" distR="0" wp14:anchorId="0B5011B8" wp14:editId="19C47EB6">
                  <wp:extent cx="2671948" cy="16662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80798" cy="1671759"/>
                          </a:xfrm>
                          <a:prstGeom prst="rect">
                            <a:avLst/>
                          </a:prstGeom>
                        </pic:spPr>
                      </pic:pic>
                    </a:graphicData>
                  </a:graphic>
                </wp:inline>
              </w:drawing>
            </w:r>
          </w:p>
          <w:p w14:paraId="41159334" w14:textId="77777777" w:rsidR="003F2D82" w:rsidRPr="00C739C2" w:rsidRDefault="003F2D82" w:rsidP="00C46F50">
            <w:pPr>
              <w:spacing w:after="120"/>
              <w:rPr>
                <w:rFonts w:ascii="Palatino Linotype" w:eastAsia="Palatino Linotype" w:hAnsi="Palatino Linotype" w:cs="Palatino Linotype"/>
                <w:color w:val="000000" w:themeColor="text1"/>
              </w:rPr>
            </w:pPr>
          </w:p>
        </w:tc>
      </w:tr>
      <w:tr w:rsidR="00C46F50" w:rsidRPr="00C739C2" w14:paraId="624F237E" w14:textId="77777777" w:rsidTr="00532AA1">
        <w:trPr>
          <w:trHeight w:val="2226"/>
        </w:trPr>
        <w:tc>
          <w:tcPr>
            <w:tcW w:w="2537" w:type="dxa"/>
            <w:vAlign w:val="center"/>
          </w:tcPr>
          <w:p w14:paraId="3788EA52" w14:textId="77777777" w:rsidR="003F2D82" w:rsidRPr="00C739C2" w:rsidRDefault="003F2D82" w:rsidP="00C46F50">
            <w:pPr>
              <w:tabs>
                <w:tab w:val="left" w:pos="317"/>
              </w:tabs>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Fundamento y Motivación Legal</w:t>
            </w:r>
          </w:p>
        </w:tc>
        <w:tc>
          <w:tcPr>
            <w:tcW w:w="1992" w:type="dxa"/>
            <w:vAlign w:val="center"/>
          </w:tcPr>
          <w:p w14:paraId="1A921D63"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No</w:t>
            </w:r>
          </w:p>
          <w:p w14:paraId="727E3162" w14:textId="77777777" w:rsidR="00F64585" w:rsidRPr="00C739C2" w:rsidRDefault="00F64585" w:rsidP="00C46F50">
            <w:pPr>
              <w:spacing w:after="12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El fundamento legal no corresponde  pues se cita un artículo diverso.</w:t>
            </w:r>
          </w:p>
          <w:p w14:paraId="6E39754F" w14:textId="77777777" w:rsidR="00F64585" w:rsidRPr="00C739C2" w:rsidRDefault="00F64585" w:rsidP="00C46F50">
            <w:pPr>
              <w:spacing w:after="120"/>
              <w:jc w:val="center"/>
              <w:rPr>
                <w:rFonts w:ascii="Palatino Linotype" w:eastAsia="Palatino Linotype" w:hAnsi="Palatino Linotype" w:cs="Palatino Linotype"/>
                <w:b/>
                <w:color w:val="000000" w:themeColor="text1"/>
              </w:rPr>
            </w:pPr>
          </w:p>
        </w:tc>
        <w:tc>
          <w:tcPr>
            <w:tcW w:w="4944" w:type="dxa"/>
            <w:vAlign w:val="center"/>
          </w:tcPr>
          <w:p w14:paraId="2D564984" w14:textId="77777777" w:rsidR="003F2D82" w:rsidRPr="00C739C2" w:rsidRDefault="00F64585" w:rsidP="00C46F50">
            <w:pPr>
              <w:spacing w:after="12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noProof/>
                <w:color w:val="000000" w:themeColor="text1"/>
              </w:rPr>
              <w:drawing>
                <wp:inline distT="0" distB="0" distL="0" distR="0" wp14:anchorId="223DCECE" wp14:editId="383381A3">
                  <wp:extent cx="2653665" cy="45529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53665" cy="455295"/>
                          </a:xfrm>
                          <a:prstGeom prst="rect">
                            <a:avLst/>
                          </a:prstGeom>
                        </pic:spPr>
                      </pic:pic>
                    </a:graphicData>
                  </a:graphic>
                </wp:inline>
              </w:drawing>
            </w:r>
          </w:p>
        </w:tc>
      </w:tr>
      <w:tr w:rsidR="00C46F50" w:rsidRPr="00C739C2" w14:paraId="6C2BD2DB" w14:textId="77777777" w:rsidTr="00532AA1">
        <w:trPr>
          <w:trHeight w:val="1835"/>
        </w:trPr>
        <w:tc>
          <w:tcPr>
            <w:tcW w:w="2537" w:type="dxa"/>
            <w:vAlign w:val="center"/>
          </w:tcPr>
          <w:p w14:paraId="1111911D"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Conexión entre los fundamentos y motivos que dieron origen a la Reserva de la información</w:t>
            </w:r>
          </w:p>
        </w:tc>
        <w:tc>
          <w:tcPr>
            <w:tcW w:w="1992" w:type="dxa"/>
            <w:vAlign w:val="center"/>
          </w:tcPr>
          <w:p w14:paraId="69F8AE12" w14:textId="77777777" w:rsidR="00F64585" w:rsidRPr="00C739C2" w:rsidRDefault="00F64585" w:rsidP="00C46F50">
            <w:pPr>
              <w:spacing w:after="120"/>
              <w:jc w:val="center"/>
              <w:rPr>
                <w:rFonts w:ascii="Palatino Linotype" w:eastAsia="Palatino Linotype" w:hAnsi="Palatino Linotype" w:cs="Palatino Linotype"/>
                <w:b/>
                <w:color w:val="000000" w:themeColor="text1"/>
              </w:rPr>
            </w:pPr>
          </w:p>
          <w:p w14:paraId="043ACCA6" w14:textId="77777777" w:rsidR="00F64585" w:rsidRPr="00C739C2" w:rsidRDefault="00F64585"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No</w:t>
            </w:r>
          </w:p>
          <w:p w14:paraId="5EC9A331" w14:textId="77777777" w:rsidR="00F64585" w:rsidRPr="00C739C2" w:rsidRDefault="00F64585"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El fundamento legal no corresponde  pues se cita un artículo diverso.</w:t>
            </w:r>
          </w:p>
          <w:p w14:paraId="11A7DD73" w14:textId="77777777" w:rsidR="001A4025" w:rsidRDefault="001A4025" w:rsidP="001A4025">
            <w:pPr>
              <w:spacing w:after="120"/>
              <w:rPr>
                <w:rFonts w:ascii="Palatino Linotype" w:eastAsia="Palatino Linotype" w:hAnsi="Palatino Linotype" w:cs="Palatino Linotype"/>
                <w:b/>
                <w:color w:val="000000" w:themeColor="text1"/>
              </w:rPr>
            </w:pPr>
          </w:p>
          <w:p w14:paraId="6FE746A3" w14:textId="77777777" w:rsidR="001A4025" w:rsidRDefault="001A4025" w:rsidP="001A4025">
            <w:pPr>
              <w:spacing w:after="120"/>
              <w:rPr>
                <w:rFonts w:ascii="Palatino Linotype" w:eastAsia="Palatino Linotype" w:hAnsi="Palatino Linotype" w:cs="Palatino Linotype"/>
                <w:b/>
                <w:color w:val="000000" w:themeColor="text1"/>
              </w:rPr>
            </w:pPr>
          </w:p>
          <w:p w14:paraId="168DCE75" w14:textId="77777777" w:rsidR="001A4025" w:rsidRDefault="001A4025" w:rsidP="001A4025">
            <w:pPr>
              <w:spacing w:after="120"/>
              <w:rPr>
                <w:rFonts w:ascii="Palatino Linotype" w:eastAsia="Palatino Linotype" w:hAnsi="Palatino Linotype" w:cs="Palatino Linotype"/>
                <w:b/>
                <w:color w:val="000000" w:themeColor="text1"/>
              </w:rPr>
            </w:pPr>
          </w:p>
          <w:p w14:paraId="7886730D" w14:textId="77777777" w:rsidR="001A4025" w:rsidRPr="00C739C2" w:rsidRDefault="001A4025" w:rsidP="001A4025">
            <w:pPr>
              <w:spacing w:after="120"/>
              <w:rPr>
                <w:rFonts w:ascii="Palatino Linotype" w:eastAsia="Palatino Linotype" w:hAnsi="Palatino Linotype" w:cs="Palatino Linotype"/>
                <w:b/>
                <w:color w:val="000000" w:themeColor="text1"/>
              </w:rPr>
            </w:pPr>
          </w:p>
        </w:tc>
        <w:tc>
          <w:tcPr>
            <w:tcW w:w="4944" w:type="dxa"/>
            <w:vAlign w:val="center"/>
          </w:tcPr>
          <w:p w14:paraId="58F8BB46" w14:textId="77777777" w:rsidR="003F2D82" w:rsidRPr="00C739C2" w:rsidRDefault="00F64585" w:rsidP="00C46F50">
            <w:pPr>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noProof/>
                <w:color w:val="000000" w:themeColor="text1"/>
              </w:rPr>
              <w:drawing>
                <wp:inline distT="0" distB="0" distL="0" distR="0" wp14:anchorId="2B012B06" wp14:editId="66DC52BA">
                  <wp:extent cx="2653665" cy="4552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53665" cy="455295"/>
                          </a:xfrm>
                          <a:prstGeom prst="rect">
                            <a:avLst/>
                          </a:prstGeom>
                        </pic:spPr>
                      </pic:pic>
                    </a:graphicData>
                  </a:graphic>
                </wp:inline>
              </w:drawing>
            </w:r>
          </w:p>
          <w:p w14:paraId="59354884" w14:textId="77777777" w:rsidR="003F2D82" w:rsidRPr="00C739C2" w:rsidRDefault="003F2D82" w:rsidP="00C46F50">
            <w:pPr>
              <w:rPr>
                <w:rFonts w:ascii="Palatino Linotype" w:eastAsia="Palatino Linotype" w:hAnsi="Palatino Linotype" w:cs="Palatino Linotype"/>
                <w:color w:val="000000" w:themeColor="text1"/>
              </w:rPr>
            </w:pPr>
          </w:p>
        </w:tc>
      </w:tr>
      <w:tr w:rsidR="00C46F50" w:rsidRPr="00C739C2" w14:paraId="3CEDE91B" w14:textId="77777777" w:rsidTr="00532AA1">
        <w:trPr>
          <w:trHeight w:val="371"/>
        </w:trPr>
        <w:tc>
          <w:tcPr>
            <w:tcW w:w="9473" w:type="dxa"/>
            <w:gridSpan w:val="3"/>
            <w:shd w:val="clear" w:color="auto" w:fill="D9D9D9"/>
            <w:vAlign w:val="center"/>
          </w:tcPr>
          <w:p w14:paraId="684512C4" w14:textId="77777777" w:rsidR="003F2D82" w:rsidRPr="00C739C2" w:rsidRDefault="003F2D82" w:rsidP="00C46F50">
            <w:pPr>
              <w:pBdr>
                <w:top w:val="nil"/>
                <w:left w:val="nil"/>
                <w:bottom w:val="nil"/>
                <w:right w:val="nil"/>
                <w:between w:val="nil"/>
              </w:pBdr>
              <w:spacing w:after="120"/>
              <w:ind w:firstLine="18"/>
              <w:jc w:val="center"/>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lastRenderedPageBreak/>
              <w:t>Prueba de Daño</w:t>
            </w:r>
          </w:p>
        </w:tc>
      </w:tr>
      <w:tr w:rsidR="00C46F50" w:rsidRPr="00C739C2" w14:paraId="681C5EA8" w14:textId="77777777" w:rsidTr="00532AA1">
        <w:trPr>
          <w:trHeight w:val="4629"/>
        </w:trPr>
        <w:tc>
          <w:tcPr>
            <w:tcW w:w="2537" w:type="dxa"/>
            <w:vAlign w:val="center"/>
          </w:tcPr>
          <w:p w14:paraId="0E148CF9"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Riesgo Real, Demostrable e Identificable</w:t>
            </w:r>
          </w:p>
          <w:p w14:paraId="4570EFF8"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(Modo, Tiempo y Lugar)</w:t>
            </w:r>
          </w:p>
        </w:tc>
        <w:tc>
          <w:tcPr>
            <w:tcW w:w="1992" w:type="dxa"/>
            <w:vAlign w:val="center"/>
          </w:tcPr>
          <w:p w14:paraId="18B2C9D3" w14:textId="77777777" w:rsidR="003F2D82" w:rsidRPr="00C739C2" w:rsidRDefault="009040FD"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Sí</w:t>
            </w:r>
          </w:p>
        </w:tc>
        <w:tc>
          <w:tcPr>
            <w:tcW w:w="4944" w:type="dxa"/>
            <w:vAlign w:val="center"/>
          </w:tcPr>
          <w:p w14:paraId="1DF55721" w14:textId="77777777" w:rsidR="003F2D82" w:rsidRPr="00C739C2" w:rsidRDefault="009040FD" w:rsidP="00C46F50">
            <w:pPr>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noProof/>
                <w:color w:val="000000" w:themeColor="text1"/>
              </w:rPr>
              <w:drawing>
                <wp:inline distT="0" distB="0" distL="0" distR="0" wp14:anchorId="2D5EA9B3" wp14:editId="23A102BC">
                  <wp:extent cx="2653331" cy="2624447"/>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683" cy="2638642"/>
                          </a:xfrm>
                          <a:prstGeom prst="rect">
                            <a:avLst/>
                          </a:prstGeom>
                        </pic:spPr>
                      </pic:pic>
                    </a:graphicData>
                  </a:graphic>
                </wp:inline>
              </w:drawing>
            </w:r>
          </w:p>
        </w:tc>
      </w:tr>
      <w:tr w:rsidR="00C46F50" w:rsidRPr="00C739C2" w14:paraId="5EE7DAA1" w14:textId="77777777" w:rsidTr="00532AA1">
        <w:trPr>
          <w:trHeight w:val="1297"/>
        </w:trPr>
        <w:tc>
          <w:tcPr>
            <w:tcW w:w="2537" w:type="dxa"/>
            <w:vAlign w:val="center"/>
          </w:tcPr>
          <w:p w14:paraId="236852C9"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Temporalidad de la Reserva de la información</w:t>
            </w:r>
          </w:p>
        </w:tc>
        <w:tc>
          <w:tcPr>
            <w:tcW w:w="1992" w:type="dxa"/>
            <w:shd w:val="clear" w:color="auto" w:fill="auto"/>
            <w:vAlign w:val="center"/>
          </w:tcPr>
          <w:p w14:paraId="743CB73E" w14:textId="77777777" w:rsidR="003F2D82" w:rsidRPr="00C739C2" w:rsidRDefault="003F2D82" w:rsidP="00C46F50">
            <w:pPr>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Sí</w:t>
            </w:r>
          </w:p>
        </w:tc>
        <w:tc>
          <w:tcPr>
            <w:tcW w:w="4944" w:type="dxa"/>
            <w:vAlign w:val="center"/>
          </w:tcPr>
          <w:p w14:paraId="584EB7A3" w14:textId="77777777" w:rsidR="003F2D82" w:rsidRPr="00C739C2" w:rsidRDefault="00F64585" w:rsidP="00C46F50">
            <w:pPr>
              <w:spacing w:after="12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noProof/>
                <w:color w:val="000000" w:themeColor="text1"/>
              </w:rPr>
              <w:drawing>
                <wp:inline distT="0" distB="0" distL="0" distR="0" wp14:anchorId="72F29D71" wp14:editId="608EEC43">
                  <wp:extent cx="2653665" cy="6293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90255" cy="638070"/>
                          </a:xfrm>
                          <a:prstGeom prst="rect">
                            <a:avLst/>
                          </a:prstGeom>
                        </pic:spPr>
                      </pic:pic>
                    </a:graphicData>
                  </a:graphic>
                </wp:inline>
              </w:drawing>
            </w:r>
          </w:p>
        </w:tc>
      </w:tr>
      <w:tr w:rsidR="00C46F50" w:rsidRPr="00C739C2" w14:paraId="71742F07" w14:textId="77777777" w:rsidTr="00532AA1">
        <w:trPr>
          <w:trHeight w:val="3489"/>
        </w:trPr>
        <w:tc>
          <w:tcPr>
            <w:tcW w:w="2537" w:type="dxa"/>
            <w:vAlign w:val="center"/>
          </w:tcPr>
          <w:p w14:paraId="7FBB3A56" w14:textId="77777777" w:rsidR="003F2D82" w:rsidRPr="00C739C2" w:rsidRDefault="003F2D82" w:rsidP="00C46F50">
            <w:pPr>
              <w:tabs>
                <w:tab w:val="left" w:pos="317"/>
              </w:tabs>
              <w:spacing w:after="120"/>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Autoridades competentes.</w:t>
            </w:r>
          </w:p>
        </w:tc>
        <w:tc>
          <w:tcPr>
            <w:tcW w:w="1992" w:type="dxa"/>
            <w:vAlign w:val="center"/>
          </w:tcPr>
          <w:p w14:paraId="4CB9EC01" w14:textId="77777777" w:rsidR="003F2D82" w:rsidRPr="00C739C2" w:rsidRDefault="00F64585" w:rsidP="00C46F50">
            <w:pPr>
              <w:tabs>
                <w:tab w:val="left" w:pos="317"/>
              </w:tabs>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color w:val="000000" w:themeColor="text1"/>
              </w:rPr>
              <w:t>Sí</w:t>
            </w:r>
          </w:p>
        </w:tc>
        <w:tc>
          <w:tcPr>
            <w:tcW w:w="4944" w:type="dxa"/>
            <w:vAlign w:val="center"/>
          </w:tcPr>
          <w:p w14:paraId="139FB875" w14:textId="77777777" w:rsidR="003F2D82" w:rsidRPr="00C739C2" w:rsidRDefault="00F64585" w:rsidP="00C46F50">
            <w:pPr>
              <w:tabs>
                <w:tab w:val="left" w:pos="317"/>
              </w:tabs>
              <w:spacing w:after="120"/>
              <w:jc w:val="center"/>
              <w:rPr>
                <w:rFonts w:ascii="Palatino Linotype" w:eastAsia="Palatino Linotype" w:hAnsi="Palatino Linotype" w:cs="Palatino Linotype"/>
                <w:b/>
                <w:color w:val="000000" w:themeColor="text1"/>
              </w:rPr>
            </w:pPr>
            <w:r w:rsidRPr="00C739C2">
              <w:rPr>
                <w:rFonts w:ascii="Palatino Linotype" w:eastAsia="Palatino Linotype" w:hAnsi="Palatino Linotype" w:cs="Palatino Linotype"/>
                <w:b/>
                <w:noProof/>
                <w:color w:val="000000" w:themeColor="text1"/>
              </w:rPr>
              <w:t xml:space="preserve">Contiene las firmas electrónicas de los integrantes del comité de transparencia. </w:t>
            </w:r>
          </w:p>
        </w:tc>
      </w:tr>
    </w:tbl>
    <w:p w14:paraId="113D072C" w14:textId="77777777" w:rsidR="003F2D82" w:rsidRPr="00C739C2" w:rsidRDefault="003F2D82"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 </w:t>
      </w:r>
    </w:p>
    <w:p w14:paraId="6D48DE8D" w14:textId="77777777" w:rsidR="00955476" w:rsidRPr="00C739C2" w:rsidRDefault="00F64585"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Como se vislumbró en páginas previas, el </w:t>
      </w:r>
      <w:r w:rsidRPr="00C739C2">
        <w:rPr>
          <w:rFonts w:ascii="Palatino Linotype" w:eastAsia="Palatino Linotype" w:hAnsi="Palatino Linotype" w:cs="Palatino Linotype"/>
          <w:b/>
          <w:color w:val="000000" w:themeColor="text1"/>
        </w:rPr>
        <w:t>SUJETO OBLIGADO</w:t>
      </w:r>
      <w:r w:rsidRPr="00C739C2">
        <w:rPr>
          <w:rFonts w:ascii="Palatino Linotype" w:eastAsia="Palatino Linotype" w:hAnsi="Palatino Linotype" w:cs="Palatino Linotype"/>
          <w:color w:val="000000" w:themeColor="text1"/>
        </w:rPr>
        <w:t xml:space="preserve">, realizó la prueba de daño y precisó las razones por las cuales la apertura de la información generaría una afectación, sin embargo, no está debidamente fundado, esto es, no encuadro correctamente </w:t>
      </w:r>
      <w:r w:rsidRPr="00C739C2">
        <w:rPr>
          <w:rFonts w:ascii="Palatino Linotype" w:eastAsia="Palatino Linotype" w:hAnsi="Palatino Linotype" w:cs="Palatino Linotype"/>
          <w:color w:val="000000" w:themeColor="text1"/>
        </w:rPr>
        <w:lastRenderedPageBreak/>
        <w:t xml:space="preserve">la fracción de los artículos de la Ley General de Transparencia, pues se refirió un artículo diverso. </w:t>
      </w:r>
    </w:p>
    <w:p w14:paraId="1F8EB093" w14:textId="77777777" w:rsidR="00955476" w:rsidRPr="00C739C2" w:rsidRDefault="00955476"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18B9DD" w14:textId="77777777" w:rsidR="00955476" w:rsidRPr="00C739C2" w:rsidRDefault="00955476"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Para entender los alcances de la fundamentación y motivación, sirve de sustento la tesis visible en la página 450, Tomo XIV, Noviembre de 1994, del Apéndice del Semanario Judicial de la Federación 1917-2000, que literalmente dice: </w:t>
      </w:r>
    </w:p>
    <w:p w14:paraId="693C8EAA" w14:textId="77777777" w:rsidR="00955476" w:rsidRPr="00C739C2" w:rsidRDefault="00955476"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i/>
          <w:color w:val="000000" w:themeColor="text1"/>
        </w:rPr>
        <w:t>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33A028C"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p>
    <w:p w14:paraId="7380992F" w14:textId="77777777" w:rsidR="00955476" w:rsidRPr="00C739C2" w:rsidRDefault="00955476" w:rsidP="00C46F50">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Así, para considerar que se cumple con la formalidad destacada, la autoridad emisora de un acto de autoridad que incida en la esfera de derechos de un particular, </w:t>
      </w:r>
      <w:r w:rsidRPr="00C739C2">
        <w:rPr>
          <w:rFonts w:ascii="Palatino Linotype" w:eastAsia="Palatino Linotype" w:hAnsi="Palatino Linotype" w:cs="Palatino Linotype"/>
          <w:b/>
          <w:color w:val="000000" w:themeColor="text1"/>
        </w:rPr>
        <w:t>debe darle a conocer a este, en detalle y de manera completa</w:t>
      </w:r>
      <w:r w:rsidRPr="00C739C2">
        <w:rPr>
          <w:rFonts w:ascii="Palatino Linotype" w:eastAsia="Palatino Linotype" w:hAnsi="Palatino Linotype" w:cs="Palatino Linotype"/>
          <w:color w:val="000000" w:themeColor="text1"/>
        </w:rPr>
        <w:t>,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para acreditar el razonamiento del que se deduzca la relación de pertenencia lógica de los hechos al derecho invocado, que es la subsunción.</w:t>
      </w:r>
    </w:p>
    <w:p w14:paraId="2781A898" w14:textId="77777777" w:rsidR="00955476" w:rsidRPr="00C739C2" w:rsidRDefault="00955476" w:rsidP="00C46F50">
      <w:pPr>
        <w:pStyle w:val="Prrafodelista"/>
        <w:spacing w:line="360" w:lineRule="auto"/>
        <w:ind w:left="0"/>
        <w:jc w:val="both"/>
        <w:rPr>
          <w:rFonts w:ascii="Palatino Linotype" w:eastAsia="Palatino Linotype" w:hAnsi="Palatino Linotype" w:cs="Palatino Linotype"/>
          <w:color w:val="000000" w:themeColor="text1"/>
        </w:rPr>
      </w:pPr>
    </w:p>
    <w:p w14:paraId="342DA743" w14:textId="77777777" w:rsidR="00955476" w:rsidRPr="00C739C2" w:rsidRDefault="00955476" w:rsidP="00C46F50">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lastRenderedPageBreak/>
        <w:t xml:space="preserve">Tal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14:paraId="1A156F47" w14:textId="77777777" w:rsidR="008005AA" w:rsidRPr="00C739C2" w:rsidRDefault="00955476" w:rsidP="00C46F50">
      <w:pPr>
        <w:jc w:val="both"/>
        <w:rPr>
          <w:rFonts w:ascii="Palatino Linotype" w:eastAsia="Palatino Linotype" w:hAnsi="Palatino Linotype" w:cs="Palatino Linotype"/>
          <w:i/>
          <w:color w:val="000000" w:themeColor="text1"/>
        </w:rPr>
      </w:pPr>
      <w:r w:rsidRPr="00C739C2">
        <w:rPr>
          <w:rFonts w:ascii="Palatino Linotype" w:eastAsia="Palatino Linotype" w:hAnsi="Palatino Linotype" w:cs="Palatino Linotype"/>
          <w:b/>
          <w:i/>
          <w:color w:val="000000" w:themeColor="text1"/>
        </w:rPr>
        <w:t>FUNDAMENTACIÓN Y MOTIVACIÓN. EL ASPECTO FORMAL DE LA GARANTÍA Y SU FINALIDAD SE TRADUCEN EN EXPLICAR, JUSTIFICAR, POSIBILITAR LA DEFENSA Y COMUNICAR LA DECISIÓN.</w:t>
      </w:r>
      <w:r w:rsidRPr="00C739C2">
        <w:rPr>
          <w:rFonts w:ascii="Palatino Linotype" w:eastAsia="Palatino Linotype" w:hAnsi="Palatino Linotype" w:cs="Palatino Linotype"/>
          <w:i/>
          <w:color w:val="000000" w:themeColor="text1"/>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35ABC07" w14:textId="77777777" w:rsidR="008005AA" w:rsidRPr="00C739C2" w:rsidRDefault="008005AA" w:rsidP="00C46F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EC2C17" w14:textId="50962C5D" w:rsidR="00955476" w:rsidRPr="00C739C2" w:rsidRDefault="00955476" w:rsidP="00C46F5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C739C2">
        <w:rPr>
          <w:rFonts w:ascii="Palatino Linotype" w:eastAsia="Palatino Linotype" w:hAnsi="Palatino Linotype" w:cs="Palatino Linotype"/>
          <w:b/>
          <w:color w:val="000000" w:themeColor="text1"/>
        </w:rPr>
        <w:t>RECURRENTE</w:t>
      </w:r>
      <w:r w:rsidRPr="00C739C2">
        <w:rPr>
          <w:rFonts w:ascii="Palatino Linotype" w:eastAsia="Palatino Linotype" w:hAnsi="Palatino Linotype" w:cs="Palatino Linotype"/>
          <w:color w:val="000000" w:themeColor="text1"/>
        </w:rPr>
        <w:t xml:space="preserve"> dentro del recurso de revisión </w:t>
      </w:r>
      <w:r w:rsidRPr="00C739C2">
        <w:rPr>
          <w:rFonts w:ascii="Palatino Linotype" w:eastAsia="Palatino Linotype" w:hAnsi="Palatino Linotype" w:cs="Palatino Linotype"/>
          <w:b/>
          <w:color w:val="000000" w:themeColor="text1"/>
        </w:rPr>
        <w:t>02793/INFOEM/IP/RR/202</w:t>
      </w:r>
      <w:r w:rsidR="00C46F50" w:rsidRPr="00C739C2">
        <w:rPr>
          <w:rFonts w:ascii="Palatino Linotype" w:eastAsia="Palatino Linotype" w:hAnsi="Palatino Linotype" w:cs="Palatino Linotype"/>
          <w:b/>
          <w:color w:val="000000" w:themeColor="text1"/>
        </w:rPr>
        <w:t>5</w:t>
      </w:r>
      <w:r w:rsidRPr="00C739C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C739C2">
        <w:rPr>
          <w:rFonts w:ascii="Palatino Linotype" w:eastAsia="Palatino Linotype" w:hAnsi="Palatino Linotype" w:cs="Palatino Linotype"/>
          <w:b/>
          <w:color w:val="000000" w:themeColor="text1"/>
        </w:rPr>
        <w:t>MODIFICA</w:t>
      </w:r>
      <w:r w:rsidRPr="00C739C2">
        <w:rPr>
          <w:rFonts w:ascii="Palatino Linotype" w:eastAsia="Palatino Linotype" w:hAnsi="Palatino Linotype" w:cs="Palatino Linotype"/>
          <w:color w:val="000000" w:themeColor="text1"/>
        </w:rPr>
        <w:t xml:space="preserve"> la respuesta a la solicitud de información número </w:t>
      </w:r>
      <w:r w:rsidRPr="00C739C2">
        <w:rPr>
          <w:rFonts w:ascii="Palatino Linotype" w:eastAsia="Palatino Linotype" w:hAnsi="Palatino Linotype" w:cs="Palatino Linotype"/>
          <w:b/>
          <w:bCs/>
          <w:color w:val="000000" w:themeColor="text1"/>
        </w:rPr>
        <w:t>00136/PJUDICI/IP/2025</w:t>
      </w:r>
      <w:r w:rsidRPr="00C739C2">
        <w:rPr>
          <w:rFonts w:ascii="Palatino Linotype" w:eastAsia="Palatino Linotype" w:hAnsi="Palatino Linotype" w:cs="Palatino Linotype"/>
          <w:color w:val="000000" w:themeColor="text1"/>
        </w:rPr>
        <w:t xml:space="preserve"> y resulta procedente ORDENAR la entrega del Acuerdo emitido por el Comité de Transparencia en el que se clasifique como reservada la información requerida por el particular en la solicitud de información. </w:t>
      </w:r>
    </w:p>
    <w:p w14:paraId="1C7DB702" w14:textId="77777777" w:rsidR="008665CE" w:rsidRPr="00C739C2" w:rsidRDefault="008665CE" w:rsidP="00C46F5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color w:val="000000" w:themeColor="text1"/>
        </w:rPr>
        <w:lastRenderedPageBreak/>
        <w:t xml:space="preserve">Por lo anteriormente expuesto y fundado, este </w:t>
      </w:r>
      <w:r w:rsidRPr="00C739C2">
        <w:rPr>
          <w:rFonts w:ascii="Palatino Linotype" w:eastAsia="Palatino Linotype" w:hAnsi="Palatino Linotype" w:cs="Palatino Linotype"/>
          <w:b/>
          <w:color w:val="000000" w:themeColor="text1"/>
        </w:rPr>
        <w:t>ÓRGANO GARANTE</w:t>
      </w:r>
      <w:r w:rsidRPr="00C739C2">
        <w:rPr>
          <w:rFonts w:ascii="Palatino Linotype" w:eastAsia="Palatino Linotype" w:hAnsi="Palatino Linotype" w:cs="Palatino Linotype"/>
          <w:color w:val="000000" w:themeColor="text1"/>
        </w:rPr>
        <w:t xml:space="preserve"> emite los siguientes:</w:t>
      </w:r>
      <w:bookmarkStart w:id="9" w:name="_GoBack"/>
      <w:bookmarkEnd w:id="9"/>
    </w:p>
    <w:p w14:paraId="1DE2767C" w14:textId="77777777" w:rsidR="00955476" w:rsidRPr="00C739C2" w:rsidRDefault="00955476" w:rsidP="00C46F50">
      <w:pPr>
        <w:pStyle w:val="Prrafodelista"/>
        <w:ind w:left="0"/>
        <w:rPr>
          <w:rFonts w:ascii="Palatino Linotype" w:eastAsia="Palatino Linotype" w:hAnsi="Palatino Linotype" w:cs="Palatino Linotype"/>
          <w:color w:val="000000" w:themeColor="text1"/>
        </w:rPr>
      </w:pPr>
    </w:p>
    <w:p w14:paraId="42F40698" w14:textId="77777777" w:rsidR="008665CE" w:rsidRPr="00C739C2" w:rsidRDefault="008665CE" w:rsidP="00C46F50">
      <w:pPr>
        <w:keepNext/>
        <w:keepLines/>
        <w:spacing w:line="360" w:lineRule="auto"/>
        <w:jc w:val="center"/>
        <w:rPr>
          <w:rFonts w:ascii="Palatino Linotype" w:eastAsia="Palatino Linotype" w:hAnsi="Palatino Linotype" w:cs="Palatino Linotype"/>
          <w:b/>
          <w:color w:val="000000" w:themeColor="text1"/>
        </w:rPr>
      </w:pPr>
      <w:bookmarkStart w:id="10" w:name="_heading=h.hynon25z2va3" w:colFirst="0" w:colLast="0"/>
      <w:bookmarkEnd w:id="10"/>
      <w:r w:rsidRPr="00C739C2">
        <w:rPr>
          <w:rFonts w:ascii="Palatino Linotype" w:eastAsia="Palatino Linotype" w:hAnsi="Palatino Linotype" w:cs="Palatino Linotype"/>
          <w:b/>
          <w:color w:val="000000" w:themeColor="text1"/>
        </w:rPr>
        <w:t>R E S O L U T I V O S</w:t>
      </w:r>
    </w:p>
    <w:p w14:paraId="26ADC6AB" w14:textId="77777777" w:rsidR="008665CE" w:rsidRPr="00C739C2" w:rsidRDefault="008665CE" w:rsidP="00C46F50">
      <w:pPr>
        <w:keepNext/>
        <w:keepLines/>
        <w:spacing w:line="360" w:lineRule="auto"/>
        <w:jc w:val="center"/>
        <w:rPr>
          <w:rFonts w:ascii="Palatino Linotype" w:eastAsia="Palatino Linotype" w:hAnsi="Palatino Linotype" w:cs="Palatino Linotype"/>
          <w:b/>
          <w:color w:val="000000" w:themeColor="text1"/>
        </w:rPr>
      </w:pPr>
    </w:p>
    <w:p w14:paraId="73AB529A"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PRIMERO</w:t>
      </w:r>
      <w:r w:rsidRPr="00C739C2">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C739C2">
        <w:rPr>
          <w:rFonts w:ascii="Palatino Linotype" w:eastAsia="Palatino Linotype" w:hAnsi="Palatino Linotype" w:cs="Palatino Linotype"/>
          <w:b/>
          <w:color w:val="000000" w:themeColor="text1"/>
        </w:rPr>
        <w:t>02793/INFOEM/IP/RR/2025</w:t>
      </w:r>
      <w:r w:rsidRPr="00C739C2">
        <w:rPr>
          <w:rFonts w:ascii="Palatino Linotype" w:eastAsia="Palatino Linotype" w:hAnsi="Palatino Linotype" w:cs="Palatino Linotype"/>
          <w:color w:val="000000" w:themeColor="text1"/>
        </w:rPr>
        <w:t>,</w:t>
      </w:r>
      <w:r w:rsidRPr="00C739C2">
        <w:rPr>
          <w:rFonts w:ascii="Palatino Linotype" w:eastAsia="Palatino Linotype" w:hAnsi="Palatino Linotype" w:cs="Palatino Linotype"/>
          <w:b/>
          <w:color w:val="000000" w:themeColor="text1"/>
        </w:rPr>
        <w:t xml:space="preserve"> </w:t>
      </w:r>
      <w:r w:rsidRPr="00C739C2">
        <w:rPr>
          <w:rFonts w:ascii="Palatino Linotype" w:eastAsia="Palatino Linotype" w:hAnsi="Palatino Linotype" w:cs="Palatino Linotype"/>
          <w:color w:val="000000" w:themeColor="text1"/>
        </w:rPr>
        <w:t>en términos de los Considerandos</w:t>
      </w:r>
      <w:r w:rsidRPr="00C739C2">
        <w:rPr>
          <w:rFonts w:ascii="Palatino Linotype" w:eastAsia="Palatino Linotype" w:hAnsi="Palatino Linotype" w:cs="Palatino Linotype"/>
          <w:b/>
          <w:color w:val="000000" w:themeColor="text1"/>
        </w:rPr>
        <w:t xml:space="preserve"> Cuarto </w:t>
      </w:r>
      <w:r w:rsidRPr="00C739C2">
        <w:rPr>
          <w:rFonts w:ascii="Palatino Linotype" w:eastAsia="Palatino Linotype" w:hAnsi="Palatino Linotype" w:cs="Palatino Linotype"/>
          <w:color w:val="000000" w:themeColor="text1"/>
        </w:rPr>
        <w:t xml:space="preserve">de la presente resolución. </w:t>
      </w:r>
    </w:p>
    <w:p w14:paraId="0E8CDEE6"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p>
    <w:p w14:paraId="4D4FE842"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bookmarkStart w:id="11" w:name="_heading=h.3rdcrjn" w:colFirst="0" w:colLast="0"/>
      <w:bookmarkEnd w:id="11"/>
      <w:r w:rsidRPr="00C739C2">
        <w:rPr>
          <w:rFonts w:ascii="Palatino Linotype" w:eastAsia="Palatino Linotype" w:hAnsi="Palatino Linotype" w:cs="Palatino Linotype"/>
          <w:b/>
          <w:color w:val="000000" w:themeColor="text1"/>
        </w:rPr>
        <w:t xml:space="preserve">SEGUNDO. </w:t>
      </w:r>
      <w:r w:rsidRPr="00C739C2">
        <w:rPr>
          <w:rFonts w:ascii="Palatino Linotype" w:eastAsia="Palatino Linotype" w:hAnsi="Palatino Linotype" w:cs="Palatino Linotype"/>
          <w:color w:val="000000" w:themeColor="text1"/>
        </w:rPr>
        <w:t xml:space="preserve">Se </w:t>
      </w:r>
      <w:r w:rsidRPr="00C739C2">
        <w:rPr>
          <w:rFonts w:ascii="Palatino Linotype" w:eastAsia="Palatino Linotype" w:hAnsi="Palatino Linotype" w:cs="Palatino Linotype"/>
          <w:b/>
          <w:color w:val="000000" w:themeColor="text1"/>
        </w:rPr>
        <w:t xml:space="preserve">MODIFICA </w:t>
      </w:r>
      <w:r w:rsidRPr="00C739C2">
        <w:rPr>
          <w:rFonts w:ascii="Palatino Linotype" w:eastAsia="Palatino Linotype" w:hAnsi="Palatino Linotype" w:cs="Palatino Linotype"/>
          <w:color w:val="000000" w:themeColor="text1"/>
        </w:rPr>
        <w:t xml:space="preserve">la respuesta emitida por el </w:t>
      </w:r>
      <w:r w:rsidRPr="00C739C2">
        <w:rPr>
          <w:rFonts w:ascii="Palatino Linotype" w:eastAsia="Palatino Linotype" w:hAnsi="Palatino Linotype" w:cs="Palatino Linotype"/>
          <w:b/>
          <w:color w:val="000000" w:themeColor="text1"/>
        </w:rPr>
        <w:t xml:space="preserve">Poder Judicial,  </w:t>
      </w:r>
      <w:r w:rsidRPr="00C739C2">
        <w:rPr>
          <w:rFonts w:ascii="Palatino Linotype" w:eastAsia="Palatino Linotype" w:hAnsi="Palatino Linotype" w:cs="Palatino Linotype"/>
          <w:color w:val="000000" w:themeColor="text1"/>
        </w:rPr>
        <w:t xml:space="preserve">y se </w:t>
      </w:r>
      <w:r w:rsidRPr="00C739C2">
        <w:rPr>
          <w:rFonts w:ascii="Palatino Linotype" w:eastAsia="Palatino Linotype" w:hAnsi="Palatino Linotype" w:cs="Palatino Linotype"/>
          <w:b/>
          <w:color w:val="000000" w:themeColor="text1"/>
        </w:rPr>
        <w:t>ORDENA</w:t>
      </w:r>
      <w:r w:rsidRPr="00C739C2">
        <w:rPr>
          <w:rFonts w:ascii="Palatino Linotype" w:eastAsia="Palatino Linotype" w:hAnsi="Palatino Linotype" w:cs="Palatino Linotype"/>
          <w:color w:val="000000" w:themeColor="text1"/>
        </w:rPr>
        <w:t xml:space="preserve"> entregar vía Sistema de Acceso a la Información Mexiquense </w:t>
      </w:r>
      <w:r w:rsidRPr="00C739C2">
        <w:rPr>
          <w:rFonts w:ascii="Palatino Linotype" w:eastAsia="Palatino Linotype" w:hAnsi="Palatino Linotype" w:cs="Palatino Linotype"/>
          <w:b/>
          <w:color w:val="000000" w:themeColor="text1"/>
        </w:rPr>
        <w:t xml:space="preserve">(SAIMEX), </w:t>
      </w:r>
      <w:r w:rsidRPr="00C739C2">
        <w:rPr>
          <w:rFonts w:ascii="Palatino Linotype" w:eastAsia="Palatino Linotype" w:hAnsi="Palatino Linotype" w:cs="Palatino Linotype"/>
          <w:color w:val="000000" w:themeColor="text1"/>
        </w:rPr>
        <w:t>la siguiente información:</w:t>
      </w:r>
    </w:p>
    <w:p w14:paraId="0D8E097E" w14:textId="77777777" w:rsidR="00955476" w:rsidRPr="00C739C2" w:rsidRDefault="00955476" w:rsidP="00C46F50">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14:paraId="1D0ECE43" w14:textId="77777777" w:rsidR="00955476" w:rsidRPr="00C739C2" w:rsidRDefault="00955476" w:rsidP="00C46F50">
      <w:pPr>
        <w:numPr>
          <w:ilvl w:val="1"/>
          <w:numId w:val="5"/>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bookmarkStart w:id="12" w:name="_heading=h.30j0zll" w:colFirst="0" w:colLast="0"/>
      <w:bookmarkEnd w:id="12"/>
      <w:r w:rsidRPr="00C739C2">
        <w:rPr>
          <w:rFonts w:ascii="Palatino Linotype" w:eastAsia="Palatino Linotype" w:hAnsi="Palatino Linotype" w:cs="Palatino Linotype"/>
          <w:b/>
          <w:color w:val="000000" w:themeColor="text1"/>
        </w:rPr>
        <w:t xml:space="preserve">Acuerdo emitido por el comité de transparencia en el que se clasifique como reservada la información requerida en la solicitud de información </w:t>
      </w:r>
      <w:r w:rsidRPr="00C739C2">
        <w:rPr>
          <w:rFonts w:ascii="Palatino Linotype" w:eastAsia="Palatino Linotype" w:hAnsi="Palatino Linotype" w:cs="Palatino Linotype"/>
          <w:b/>
          <w:bCs/>
          <w:color w:val="000000" w:themeColor="text1"/>
        </w:rPr>
        <w:t>00136/PJUDICI/IP/2025.</w:t>
      </w:r>
    </w:p>
    <w:p w14:paraId="5C0BAF9D" w14:textId="77777777" w:rsidR="00955476" w:rsidRPr="00C739C2" w:rsidRDefault="00955476" w:rsidP="00C46F50">
      <w:pPr>
        <w:spacing w:line="360" w:lineRule="auto"/>
        <w:jc w:val="both"/>
        <w:rPr>
          <w:rFonts w:ascii="Palatino Linotype" w:eastAsia="Palatino Linotype" w:hAnsi="Palatino Linotype" w:cs="Palatino Linotype"/>
          <w:b/>
          <w:color w:val="000000" w:themeColor="text1"/>
        </w:rPr>
      </w:pPr>
    </w:p>
    <w:p w14:paraId="475CFA9E" w14:textId="77777777" w:rsidR="00955476" w:rsidRPr="00C739C2" w:rsidRDefault="00955476" w:rsidP="00C46F50">
      <w:pPr>
        <w:tabs>
          <w:tab w:val="left" w:pos="8080"/>
        </w:tabs>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 xml:space="preserve">TERCERO. Notifíquese </w:t>
      </w:r>
      <w:r w:rsidRPr="00C739C2">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739C2">
        <w:rPr>
          <w:rFonts w:ascii="Palatino Linotype" w:eastAsia="Palatino Linotype" w:hAnsi="Palatino Linotype" w:cs="Palatino Linotype"/>
          <w:b/>
          <w:color w:val="000000" w:themeColor="text1"/>
        </w:rPr>
        <w:t>dé cumplimiento a lo ordenado dentro del plazo de diez días hábiles</w:t>
      </w:r>
      <w:r w:rsidRPr="00C739C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C739C2">
        <w:rPr>
          <w:rFonts w:ascii="Palatino Linotype" w:eastAsia="Palatino Linotype" w:hAnsi="Palatino Linotype" w:cs="Palatino Linotype"/>
          <w:color w:val="000000" w:themeColor="text1"/>
        </w:rPr>
        <w:lastRenderedPageBreak/>
        <w:t>Ley de Transparencia y Acceso a la Información Pública del Estado de México y Municipios.</w:t>
      </w:r>
    </w:p>
    <w:p w14:paraId="55075E68" w14:textId="77777777" w:rsidR="00955476" w:rsidRPr="00C739C2" w:rsidRDefault="00955476" w:rsidP="00C46F50">
      <w:pPr>
        <w:tabs>
          <w:tab w:val="left" w:pos="8080"/>
        </w:tabs>
        <w:spacing w:line="360" w:lineRule="auto"/>
        <w:jc w:val="both"/>
        <w:rPr>
          <w:rFonts w:ascii="Palatino Linotype" w:eastAsia="Palatino Linotype" w:hAnsi="Palatino Linotype" w:cs="Palatino Linotype"/>
          <w:color w:val="000000" w:themeColor="text1"/>
        </w:rPr>
      </w:pPr>
    </w:p>
    <w:p w14:paraId="16BDA1E9" w14:textId="77777777" w:rsidR="00955476" w:rsidRPr="00C739C2" w:rsidRDefault="00955476" w:rsidP="00C46F50">
      <w:pPr>
        <w:shd w:val="clear" w:color="auto" w:fill="FFFFFF"/>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CUARTO. Notifíquese al RECURRENTE</w:t>
      </w:r>
      <w:r w:rsidRPr="00C739C2">
        <w:rPr>
          <w:rFonts w:ascii="Palatino Linotype" w:eastAsia="Palatino Linotype" w:hAnsi="Palatino Linotype" w:cs="Palatino Linotype"/>
          <w:color w:val="000000" w:themeColor="text1"/>
        </w:rPr>
        <w:t xml:space="preserve"> la presente resolución vía SAIMEX.</w:t>
      </w:r>
    </w:p>
    <w:p w14:paraId="03F9313A" w14:textId="77777777" w:rsidR="00955476" w:rsidRPr="00C739C2" w:rsidRDefault="00955476" w:rsidP="00C46F50">
      <w:pPr>
        <w:shd w:val="clear" w:color="auto" w:fill="FFFFFF"/>
        <w:spacing w:line="360" w:lineRule="auto"/>
        <w:jc w:val="both"/>
        <w:rPr>
          <w:rFonts w:ascii="Palatino Linotype" w:eastAsia="Palatino Linotype" w:hAnsi="Palatino Linotype" w:cs="Palatino Linotype"/>
          <w:b/>
          <w:color w:val="000000" w:themeColor="text1"/>
        </w:rPr>
      </w:pPr>
    </w:p>
    <w:p w14:paraId="09E23FC9"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QUINTO.</w:t>
      </w:r>
      <w:r w:rsidRPr="00C739C2">
        <w:rPr>
          <w:rFonts w:ascii="Palatino Linotype" w:eastAsia="Palatino Linotype" w:hAnsi="Palatino Linotype" w:cs="Palatino Linotype"/>
          <w:color w:val="000000" w:themeColor="text1"/>
        </w:rPr>
        <w:t xml:space="preserve"> Se hace del conocimiento del </w:t>
      </w:r>
      <w:r w:rsidRPr="00C739C2">
        <w:rPr>
          <w:rFonts w:ascii="Palatino Linotype" w:eastAsia="Palatino Linotype" w:hAnsi="Palatino Linotype" w:cs="Palatino Linotype"/>
          <w:b/>
          <w:color w:val="000000" w:themeColor="text1"/>
        </w:rPr>
        <w:t>RECURRENTE</w:t>
      </w:r>
      <w:r w:rsidRPr="00C739C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7B5C0F6"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p>
    <w:p w14:paraId="22B86706" w14:textId="77777777" w:rsidR="00955476" w:rsidRPr="00C739C2" w:rsidRDefault="00955476" w:rsidP="00C46F50">
      <w:pPr>
        <w:spacing w:line="360" w:lineRule="auto"/>
        <w:jc w:val="both"/>
        <w:rPr>
          <w:rFonts w:ascii="Palatino Linotype" w:eastAsia="Palatino Linotype" w:hAnsi="Palatino Linotype" w:cs="Palatino Linotype"/>
          <w:color w:val="000000" w:themeColor="text1"/>
        </w:rPr>
      </w:pPr>
      <w:r w:rsidRPr="00C739C2">
        <w:rPr>
          <w:rFonts w:ascii="Palatino Linotype" w:eastAsia="Palatino Linotype" w:hAnsi="Palatino Linotype" w:cs="Palatino Linotype"/>
          <w:b/>
          <w:color w:val="000000" w:themeColor="text1"/>
        </w:rPr>
        <w:t xml:space="preserve">SEXTO. </w:t>
      </w:r>
      <w:r w:rsidRPr="00C739C2">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5519DD" w14:textId="77777777" w:rsidR="008665CE" w:rsidRPr="00C739C2" w:rsidRDefault="008665CE" w:rsidP="00C46F50">
      <w:pPr>
        <w:shd w:val="clear" w:color="auto" w:fill="FFFFFF"/>
        <w:spacing w:line="360" w:lineRule="auto"/>
        <w:jc w:val="both"/>
        <w:rPr>
          <w:rFonts w:ascii="Palatino Linotype" w:eastAsia="Palatino Linotype" w:hAnsi="Palatino Linotype" w:cs="Palatino Linotype"/>
          <w:color w:val="000000" w:themeColor="text1"/>
        </w:rPr>
      </w:pPr>
    </w:p>
    <w:p w14:paraId="1851BE65" w14:textId="4C7A92BD" w:rsidR="00C46F50" w:rsidRPr="009B0452" w:rsidRDefault="0079699A" w:rsidP="00C46F50">
      <w:pPr>
        <w:spacing w:line="360" w:lineRule="auto"/>
        <w:ind w:right="49"/>
        <w:jc w:val="both"/>
        <w:rPr>
          <w:rFonts w:ascii="Palatino Linotype" w:eastAsia="Palatino Linotype" w:hAnsi="Palatino Linotype" w:cs="Palatino Linotype"/>
        </w:rPr>
      </w:pPr>
      <w:r w:rsidRPr="00C739C2">
        <w:rPr>
          <w:rFonts w:ascii="Palatino Linotype" w:eastAsia="Palatino Linotype" w:hAnsi="Palatino Linotype" w:cs="Palatino Linotype"/>
        </w:rPr>
        <w:t xml:space="preserve">ASÍ LO RESUELVE, POR MAYORÍA </w:t>
      </w:r>
      <w:r w:rsidR="00C46F50" w:rsidRPr="00C739C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Pr="00C739C2">
        <w:rPr>
          <w:rFonts w:ascii="Palatino Linotype" w:eastAsia="Palatino Linotype" w:hAnsi="Palatino Linotype" w:cs="Palatino Linotype"/>
        </w:rPr>
        <w:t xml:space="preserve"> EMITIENDO VOTO DISIDENTE </w:t>
      </w:r>
      <w:r w:rsidR="00C46F50" w:rsidRPr="00C739C2">
        <w:rPr>
          <w:rFonts w:ascii="Palatino Linotype" w:eastAsia="Palatino Linotype" w:hAnsi="Palatino Linotype" w:cs="Palatino Linotype"/>
        </w:rPr>
        <w:t>Y GUADALUPE RAMÍREZ PEÑA; EN LA VIGÉSIMA OCTAVA SESIÓN ORDINARIA, CELEBRADA EL TRECE (13) DE AGOSTO DE DOS MIL VEINTICINCO, ANTE EL SECRETARIO TÉCNICO DEL PLENO ALEXIS TAPIA RAMÍREZ.</w:t>
      </w:r>
    </w:p>
    <w:p w14:paraId="15344BD7" w14:textId="77777777" w:rsidR="008665CE" w:rsidRPr="00C46F50" w:rsidRDefault="008665CE" w:rsidP="00C46F50">
      <w:pPr>
        <w:spacing w:line="360" w:lineRule="auto"/>
        <w:jc w:val="both"/>
        <w:rPr>
          <w:rFonts w:ascii="Palatino Linotype" w:eastAsia="Palatino Linotype" w:hAnsi="Palatino Linotype" w:cs="Palatino Linotype"/>
          <w:color w:val="000000" w:themeColor="text1"/>
        </w:rPr>
      </w:pPr>
    </w:p>
    <w:p w14:paraId="124E3C44" w14:textId="77777777" w:rsidR="008665CE" w:rsidRPr="00C46F50" w:rsidRDefault="008665CE" w:rsidP="00C46F50">
      <w:pPr>
        <w:spacing w:line="360" w:lineRule="auto"/>
        <w:jc w:val="both"/>
        <w:rPr>
          <w:rFonts w:ascii="Palatino Linotype" w:eastAsia="Palatino Linotype" w:hAnsi="Palatino Linotype" w:cs="Palatino Linotype"/>
          <w:color w:val="000000" w:themeColor="text1"/>
        </w:rPr>
      </w:pPr>
    </w:p>
    <w:p w14:paraId="5E6AC947" w14:textId="77777777" w:rsidR="008665CE" w:rsidRPr="00C46F50" w:rsidRDefault="008665CE" w:rsidP="00C46F50">
      <w:pPr>
        <w:spacing w:line="360" w:lineRule="auto"/>
        <w:jc w:val="both"/>
        <w:rPr>
          <w:rFonts w:ascii="Palatino Linotype" w:eastAsia="Palatino Linotype" w:hAnsi="Palatino Linotype" w:cs="Palatino Linotype"/>
          <w:color w:val="000000" w:themeColor="text1"/>
        </w:rPr>
      </w:pPr>
    </w:p>
    <w:p w14:paraId="41B89B0F" w14:textId="77777777" w:rsidR="008665CE" w:rsidRPr="00C46F50" w:rsidRDefault="008665CE" w:rsidP="00C46F50">
      <w:pPr>
        <w:spacing w:line="360" w:lineRule="auto"/>
        <w:rPr>
          <w:rFonts w:ascii="Palatino Linotype" w:eastAsia="Palatino Linotype" w:hAnsi="Palatino Linotype" w:cs="Palatino Linotype"/>
          <w:color w:val="000000" w:themeColor="text1"/>
        </w:rPr>
      </w:pPr>
    </w:p>
    <w:p w14:paraId="6221685D" w14:textId="77777777" w:rsidR="008665CE" w:rsidRPr="00C46F50" w:rsidRDefault="008665CE" w:rsidP="00C46F50">
      <w:pPr>
        <w:spacing w:line="360" w:lineRule="auto"/>
        <w:rPr>
          <w:rFonts w:ascii="Palatino Linotype" w:eastAsia="Palatino Linotype" w:hAnsi="Palatino Linotype" w:cs="Palatino Linotype"/>
          <w:color w:val="000000" w:themeColor="text1"/>
        </w:rPr>
      </w:pPr>
    </w:p>
    <w:p w14:paraId="36AD906D" w14:textId="77777777" w:rsidR="008665CE" w:rsidRPr="00C46F50" w:rsidRDefault="008665CE" w:rsidP="00C46F50">
      <w:pPr>
        <w:spacing w:line="360" w:lineRule="auto"/>
        <w:rPr>
          <w:rFonts w:ascii="Palatino Linotype" w:eastAsia="Palatino Linotype" w:hAnsi="Palatino Linotype" w:cs="Palatino Linotype"/>
          <w:color w:val="000000" w:themeColor="text1"/>
        </w:rPr>
      </w:pPr>
    </w:p>
    <w:p w14:paraId="3B8A7ADE" w14:textId="77777777" w:rsidR="008665CE" w:rsidRPr="00C46F50" w:rsidRDefault="008665CE" w:rsidP="00C46F50">
      <w:pPr>
        <w:spacing w:line="360" w:lineRule="auto"/>
        <w:rPr>
          <w:rFonts w:ascii="Palatino Linotype" w:eastAsia="Palatino Linotype" w:hAnsi="Palatino Linotype" w:cs="Palatino Linotype"/>
          <w:color w:val="000000" w:themeColor="text1"/>
        </w:rPr>
      </w:pPr>
    </w:p>
    <w:p w14:paraId="4A98653F" w14:textId="77777777" w:rsidR="008665CE" w:rsidRPr="00C46F50" w:rsidRDefault="008665CE" w:rsidP="00C46F50">
      <w:pPr>
        <w:spacing w:line="360" w:lineRule="auto"/>
        <w:rPr>
          <w:rFonts w:ascii="Palatino Linotype" w:eastAsia="Palatino Linotype" w:hAnsi="Palatino Linotype" w:cs="Palatino Linotype"/>
          <w:color w:val="000000" w:themeColor="text1"/>
        </w:rPr>
      </w:pPr>
    </w:p>
    <w:p w14:paraId="5371107B" w14:textId="77777777" w:rsidR="008665CE" w:rsidRPr="00C46F50" w:rsidRDefault="008665CE" w:rsidP="00C46F50">
      <w:pPr>
        <w:spacing w:line="360" w:lineRule="auto"/>
        <w:rPr>
          <w:rFonts w:ascii="Palatino Linotype" w:hAnsi="Palatino Linotype"/>
          <w:color w:val="000000" w:themeColor="text1"/>
        </w:rPr>
      </w:pPr>
    </w:p>
    <w:p w14:paraId="33921C6C" w14:textId="77777777" w:rsidR="008665CE" w:rsidRPr="00C46F50" w:rsidRDefault="008665CE" w:rsidP="00C46F50">
      <w:pPr>
        <w:spacing w:line="360" w:lineRule="auto"/>
        <w:rPr>
          <w:rFonts w:ascii="Palatino Linotype" w:hAnsi="Palatino Linotype"/>
          <w:color w:val="000000" w:themeColor="text1"/>
        </w:rPr>
      </w:pPr>
    </w:p>
    <w:p w14:paraId="075917A1" w14:textId="77777777" w:rsidR="008665CE" w:rsidRPr="00C46F50" w:rsidRDefault="008665CE" w:rsidP="00C46F50">
      <w:pPr>
        <w:spacing w:line="360" w:lineRule="auto"/>
        <w:rPr>
          <w:rFonts w:ascii="Palatino Linotype" w:hAnsi="Palatino Linotype"/>
          <w:color w:val="000000" w:themeColor="text1"/>
        </w:rPr>
      </w:pPr>
    </w:p>
    <w:p w14:paraId="7FEC3E65" w14:textId="77777777" w:rsidR="008665CE" w:rsidRPr="00C46F50" w:rsidRDefault="008665CE" w:rsidP="00C46F50">
      <w:pPr>
        <w:spacing w:line="360" w:lineRule="auto"/>
        <w:rPr>
          <w:rFonts w:ascii="Palatino Linotype" w:hAnsi="Palatino Linotype"/>
          <w:color w:val="000000" w:themeColor="text1"/>
        </w:rPr>
      </w:pPr>
    </w:p>
    <w:p w14:paraId="2522B0C3" w14:textId="77777777" w:rsidR="008665CE" w:rsidRPr="00C46F50" w:rsidRDefault="008665CE" w:rsidP="00C46F50">
      <w:pPr>
        <w:spacing w:line="360" w:lineRule="auto"/>
        <w:rPr>
          <w:rFonts w:ascii="Palatino Linotype" w:hAnsi="Palatino Linotype"/>
          <w:color w:val="000000" w:themeColor="text1"/>
        </w:rPr>
      </w:pPr>
    </w:p>
    <w:p w14:paraId="3EE3FD49" w14:textId="77777777" w:rsidR="008665CE" w:rsidRPr="00C46F50" w:rsidRDefault="008665CE" w:rsidP="00C46F50">
      <w:pPr>
        <w:spacing w:line="360" w:lineRule="auto"/>
        <w:rPr>
          <w:rFonts w:ascii="Palatino Linotype" w:hAnsi="Palatino Linotype"/>
          <w:color w:val="000000" w:themeColor="text1"/>
        </w:rPr>
      </w:pPr>
    </w:p>
    <w:p w14:paraId="4B78A832" w14:textId="77777777" w:rsidR="008665CE" w:rsidRPr="00C46F50" w:rsidRDefault="008665CE" w:rsidP="00C46F50">
      <w:pPr>
        <w:spacing w:line="360" w:lineRule="auto"/>
        <w:rPr>
          <w:rFonts w:ascii="Palatino Linotype" w:hAnsi="Palatino Linotype"/>
          <w:color w:val="000000" w:themeColor="text1"/>
        </w:rPr>
      </w:pPr>
    </w:p>
    <w:p w14:paraId="6ED9555C" w14:textId="77777777" w:rsidR="008665CE" w:rsidRPr="00C46F50" w:rsidRDefault="008665CE" w:rsidP="00C46F50">
      <w:pPr>
        <w:spacing w:line="360" w:lineRule="auto"/>
        <w:rPr>
          <w:rFonts w:ascii="Palatino Linotype" w:hAnsi="Palatino Linotype"/>
          <w:color w:val="000000" w:themeColor="text1"/>
        </w:rPr>
      </w:pPr>
    </w:p>
    <w:p w14:paraId="22ACAA67" w14:textId="77777777" w:rsidR="008665CE" w:rsidRPr="00C46F50" w:rsidRDefault="008665CE" w:rsidP="00C46F50">
      <w:pPr>
        <w:spacing w:line="360" w:lineRule="auto"/>
        <w:rPr>
          <w:rFonts w:ascii="Palatino Linotype" w:hAnsi="Palatino Linotype"/>
          <w:color w:val="000000" w:themeColor="text1"/>
        </w:rPr>
      </w:pPr>
    </w:p>
    <w:p w14:paraId="5511EE2F" w14:textId="77777777" w:rsidR="008665CE" w:rsidRPr="00C46F50" w:rsidRDefault="008665CE" w:rsidP="00C46F50">
      <w:pPr>
        <w:rPr>
          <w:rFonts w:ascii="Palatino Linotype" w:hAnsi="Palatino Linotype"/>
          <w:color w:val="000000" w:themeColor="text1"/>
        </w:rPr>
      </w:pPr>
    </w:p>
    <w:p w14:paraId="2BEB66D4" w14:textId="77777777" w:rsidR="008665CE" w:rsidRPr="00C46F50" w:rsidRDefault="008665CE" w:rsidP="00C46F50">
      <w:pPr>
        <w:rPr>
          <w:rFonts w:ascii="Palatino Linotype" w:hAnsi="Palatino Linotype"/>
          <w:color w:val="000000" w:themeColor="text1"/>
        </w:rPr>
      </w:pPr>
    </w:p>
    <w:p w14:paraId="00D4A01F" w14:textId="77777777" w:rsidR="008665CE" w:rsidRPr="00C46F50" w:rsidRDefault="008665CE" w:rsidP="00C46F50">
      <w:pPr>
        <w:rPr>
          <w:rFonts w:ascii="Palatino Linotype" w:hAnsi="Palatino Linotype"/>
          <w:color w:val="000000" w:themeColor="text1"/>
        </w:rPr>
      </w:pPr>
    </w:p>
    <w:p w14:paraId="780F7536" w14:textId="77777777" w:rsidR="00235E5D" w:rsidRPr="00C46F50" w:rsidRDefault="00235E5D" w:rsidP="00C46F50">
      <w:pPr>
        <w:rPr>
          <w:rFonts w:ascii="Palatino Linotype" w:hAnsi="Palatino Linotype"/>
          <w:color w:val="000000" w:themeColor="text1"/>
        </w:rPr>
      </w:pPr>
    </w:p>
    <w:sectPr w:rsidR="00235E5D" w:rsidRPr="00C46F50" w:rsidSect="00532AA1">
      <w:headerReference w:type="even" r:id="rId17"/>
      <w:headerReference w:type="default" r:id="rId18"/>
      <w:footerReference w:type="default" r:id="rId19"/>
      <w:headerReference w:type="first" r:id="rId20"/>
      <w:footerReference w:type="first" r:id="rId21"/>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F48F1" w14:textId="77777777" w:rsidR="00B24851" w:rsidRDefault="00B24851" w:rsidP="008665CE">
      <w:r>
        <w:separator/>
      </w:r>
    </w:p>
  </w:endnote>
  <w:endnote w:type="continuationSeparator" w:id="0">
    <w:p w14:paraId="06430276" w14:textId="77777777" w:rsidR="00B24851" w:rsidRDefault="00B24851" w:rsidP="0086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F958" w14:textId="77777777" w:rsidR="00726FD2" w:rsidRDefault="00726F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4025">
      <w:rPr>
        <w:b/>
        <w:noProof/>
        <w:color w:val="000000"/>
      </w:rPr>
      <w:t>24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4025">
      <w:rPr>
        <w:b/>
        <w:noProof/>
        <w:color w:val="000000"/>
      </w:rPr>
      <w:t>26</w:t>
    </w:r>
    <w:r>
      <w:rPr>
        <w:b/>
        <w:color w:val="000000"/>
      </w:rPr>
      <w:fldChar w:fldCharType="end"/>
    </w:r>
  </w:p>
  <w:p w14:paraId="5CFE5F90" w14:textId="77777777" w:rsidR="00726FD2" w:rsidRDefault="00726F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9F60E" w14:textId="77777777" w:rsidR="00726FD2" w:rsidRDefault="00726F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402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4025">
      <w:rPr>
        <w:b/>
        <w:noProof/>
        <w:color w:val="000000"/>
      </w:rPr>
      <w:t>26</w:t>
    </w:r>
    <w:r>
      <w:rPr>
        <w:b/>
        <w:color w:val="000000"/>
      </w:rPr>
      <w:fldChar w:fldCharType="end"/>
    </w:r>
  </w:p>
  <w:p w14:paraId="68A14203" w14:textId="77777777" w:rsidR="00726FD2" w:rsidRDefault="00726F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AD6CC" w14:textId="77777777" w:rsidR="00B24851" w:rsidRDefault="00B24851" w:rsidP="008665CE">
      <w:r>
        <w:separator/>
      </w:r>
    </w:p>
  </w:footnote>
  <w:footnote w:type="continuationSeparator" w:id="0">
    <w:p w14:paraId="31B39D46" w14:textId="77777777" w:rsidR="00B24851" w:rsidRDefault="00B24851" w:rsidP="008665CE">
      <w:r>
        <w:continuationSeparator/>
      </w:r>
    </w:p>
  </w:footnote>
  <w:footnote w:id="1">
    <w:p w14:paraId="2F5420A8" w14:textId="77777777" w:rsidR="00726FD2" w:rsidRDefault="00726FD2" w:rsidP="008665C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49758826" w14:textId="77777777" w:rsidR="00726FD2" w:rsidRDefault="00726FD2" w:rsidP="008665C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3CF4FFB5" w14:textId="77777777" w:rsidR="00726FD2" w:rsidRDefault="00726FD2" w:rsidP="008665C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14:paraId="1E029DCB" w14:textId="77777777" w:rsidR="003F2D82" w:rsidRDefault="003F2D82" w:rsidP="003F2D8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FBFE" w14:textId="77777777" w:rsidR="00726FD2" w:rsidRDefault="00B24851">
    <w:pPr>
      <w:pBdr>
        <w:top w:val="nil"/>
        <w:left w:val="nil"/>
        <w:bottom w:val="nil"/>
        <w:right w:val="nil"/>
        <w:between w:val="nil"/>
      </w:pBdr>
      <w:tabs>
        <w:tab w:val="center" w:pos="4419"/>
        <w:tab w:val="right" w:pos="8838"/>
      </w:tabs>
      <w:rPr>
        <w:color w:val="000000"/>
      </w:rPr>
    </w:pPr>
    <w:r>
      <w:rPr>
        <w:color w:val="000000"/>
      </w:rPr>
      <w:pict w14:anchorId="27919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3544"/>
      <w:gridCol w:w="6946"/>
    </w:tblGrid>
    <w:tr w:rsidR="00726FD2" w14:paraId="3762FEA0" w14:textId="77777777" w:rsidTr="00532AA1">
      <w:trPr>
        <w:trHeight w:val="1435"/>
      </w:trPr>
      <w:tc>
        <w:tcPr>
          <w:tcW w:w="3544" w:type="dxa"/>
          <w:shd w:val="clear" w:color="auto" w:fill="auto"/>
        </w:tcPr>
        <w:p w14:paraId="613BF139" w14:textId="77777777" w:rsidR="00726FD2" w:rsidRDefault="00726FD2">
          <w:pPr>
            <w:tabs>
              <w:tab w:val="right" w:pos="4273"/>
            </w:tabs>
            <w:rPr>
              <w:rFonts w:ascii="Garamond" w:eastAsia="Garamond" w:hAnsi="Garamond" w:cs="Garamond"/>
              <w:sz w:val="16"/>
              <w:szCs w:val="16"/>
            </w:rPr>
          </w:pPr>
        </w:p>
      </w:tc>
      <w:tc>
        <w:tcPr>
          <w:tcW w:w="6946" w:type="dxa"/>
          <w:shd w:val="clear" w:color="auto" w:fill="auto"/>
        </w:tcPr>
        <w:tbl>
          <w:tblPr>
            <w:tblW w:w="6940" w:type="dxa"/>
            <w:tblInd w:w="40" w:type="dxa"/>
            <w:tblLayout w:type="fixed"/>
            <w:tblLook w:val="0400" w:firstRow="0" w:lastRow="0" w:firstColumn="0" w:lastColumn="0" w:noHBand="0" w:noVBand="1"/>
          </w:tblPr>
          <w:tblGrid>
            <w:gridCol w:w="2829"/>
            <w:gridCol w:w="4111"/>
          </w:tblGrid>
          <w:tr w:rsidR="00726FD2" w14:paraId="352E542A" w14:textId="77777777" w:rsidTr="00C46F50">
            <w:trPr>
              <w:trHeight w:val="150"/>
            </w:trPr>
            <w:tc>
              <w:tcPr>
                <w:tcW w:w="2829" w:type="dxa"/>
                <w:shd w:val="clear" w:color="auto" w:fill="auto"/>
              </w:tcPr>
              <w:p w14:paraId="07AAEECD" w14:textId="77777777" w:rsidR="00726FD2" w:rsidRPr="00C46F50" w:rsidRDefault="00726FD2" w:rsidP="00C46F50">
                <w:pPr>
                  <w:tabs>
                    <w:tab w:val="right" w:pos="8838"/>
                  </w:tabs>
                  <w:ind w:right="-105"/>
                  <w:rPr>
                    <w:rFonts w:ascii="Palatino Linotype" w:eastAsia="Palatino Linotype" w:hAnsi="Palatino Linotype" w:cs="Palatino Linotype"/>
                    <w:b/>
                  </w:rPr>
                </w:pPr>
                <w:r w:rsidRPr="00C46F50">
                  <w:rPr>
                    <w:rFonts w:ascii="Palatino Linotype" w:eastAsia="Palatino Linotype" w:hAnsi="Palatino Linotype" w:cs="Palatino Linotype"/>
                    <w:b/>
                  </w:rPr>
                  <w:t>Recurso de Revisión:</w:t>
                </w:r>
              </w:p>
            </w:tc>
            <w:tc>
              <w:tcPr>
                <w:tcW w:w="4111" w:type="dxa"/>
                <w:shd w:val="clear" w:color="auto" w:fill="auto"/>
              </w:tcPr>
              <w:p w14:paraId="4397E4B9" w14:textId="77777777" w:rsidR="00726FD2" w:rsidRPr="00C46F50" w:rsidRDefault="00726FD2" w:rsidP="00C46F50">
                <w:pPr>
                  <w:tabs>
                    <w:tab w:val="right" w:pos="8838"/>
                  </w:tabs>
                  <w:ind w:left="-108" w:right="-102"/>
                  <w:jc w:val="both"/>
                  <w:rPr>
                    <w:rFonts w:ascii="Palatino Linotype" w:eastAsia="Palatino Linotype" w:hAnsi="Palatino Linotype" w:cs="Palatino Linotype"/>
                  </w:rPr>
                </w:pPr>
                <w:r w:rsidRPr="00C46F50">
                  <w:rPr>
                    <w:rFonts w:ascii="Palatino Linotype" w:eastAsia="Palatino Linotype" w:hAnsi="Palatino Linotype" w:cs="Palatino Linotype"/>
                  </w:rPr>
                  <w:t>02793/INFOEM/IP/RR/2025</w:t>
                </w:r>
              </w:p>
            </w:tc>
          </w:tr>
          <w:tr w:rsidR="00726FD2" w14:paraId="605BABBC" w14:textId="77777777" w:rsidTr="00C46F50">
            <w:trPr>
              <w:trHeight w:val="295"/>
            </w:trPr>
            <w:tc>
              <w:tcPr>
                <w:tcW w:w="2829" w:type="dxa"/>
                <w:shd w:val="clear" w:color="auto" w:fill="auto"/>
              </w:tcPr>
              <w:p w14:paraId="4D5FA99F" w14:textId="77777777" w:rsidR="00726FD2" w:rsidRPr="00C46F50" w:rsidRDefault="00726FD2" w:rsidP="00C46F50">
                <w:pPr>
                  <w:tabs>
                    <w:tab w:val="right" w:pos="8838"/>
                  </w:tabs>
                  <w:ind w:right="-105"/>
                  <w:rPr>
                    <w:rFonts w:ascii="Palatino Linotype" w:eastAsia="Palatino Linotype" w:hAnsi="Palatino Linotype" w:cs="Palatino Linotype"/>
                    <w:b/>
                  </w:rPr>
                </w:pPr>
                <w:r w:rsidRPr="00C46F50">
                  <w:rPr>
                    <w:rFonts w:ascii="Palatino Linotype" w:eastAsia="Palatino Linotype" w:hAnsi="Palatino Linotype" w:cs="Palatino Linotype"/>
                    <w:b/>
                  </w:rPr>
                  <w:t>Sujeto Obligado:</w:t>
                </w:r>
              </w:p>
            </w:tc>
            <w:tc>
              <w:tcPr>
                <w:tcW w:w="4111" w:type="dxa"/>
                <w:shd w:val="clear" w:color="auto" w:fill="auto"/>
              </w:tcPr>
              <w:p w14:paraId="69FB14D9" w14:textId="77777777" w:rsidR="00726FD2" w:rsidRPr="00C46F50" w:rsidRDefault="00726FD2" w:rsidP="00C46F50">
                <w:pPr>
                  <w:tabs>
                    <w:tab w:val="left" w:pos="2834"/>
                    <w:tab w:val="right" w:pos="8838"/>
                  </w:tabs>
                  <w:ind w:left="-108" w:right="-102"/>
                  <w:jc w:val="both"/>
                  <w:rPr>
                    <w:rFonts w:ascii="Palatino Linotype" w:eastAsia="Palatino Linotype" w:hAnsi="Palatino Linotype" w:cs="Palatino Linotype"/>
                  </w:rPr>
                </w:pPr>
                <w:r w:rsidRPr="00C46F50">
                  <w:rPr>
                    <w:rFonts w:ascii="Palatino Linotype" w:eastAsia="Palatino Linotype" w:hAnsi="Palatino Linotype" w:cs="Palatino Linotype"/>
                  </w:rPr>
                  <w:t>Poder Judicial</w:t>
                </w:r>
              </w:p>
            </w:tc>
          </w:tr>
          <w:tr w:rsidR="00726FD2" w14:paraId="171D1CD9" w14:textId="77777777" w:rsidTr="00C46F50">
            <w:trPr>
              <w:trHeight w:val="295"/>
            </w:trPr>
            <w:tc>
              <w:tcPr>
                <w:tcW w:w="2829" w:type="dxa"/>
                <w:shd w:val="clear" w:color="auto" w:fill="auto"/>
              </w:tcPr>
              <w:p w14:paraId="37D84282" w14:textId="77777777" w:rsidR="00726FD2" w:rsidRPr="00C46F50" w:rsidRDefault="00726FD2" w:rsidP="00C46F50">
                <w:pPr>
                  <w:tabs>
                    <w:tab w:val="right" w:pos="8838"/>
                  </w:tabs>
                  <w:ind w:right="-105"/>
                  <w:rPr>
                    <w:rFonts w:ascii="Palatino Linotype" w:eastAsia="Palatino Linotype" w:hAnsi="Palatino Linotype" w:cs="Palatino Linotype"/>
                    <w:b/>
                  </w:rPr>
                </w:pPr>
                <w:r w:rsidRPr="00C46F50">
                  <w:rPr>
                    <w:rFonts w:ascii="Palatino Linotype" w:eastAsia="Palatino Linotype" w:hAnsi="Palatino Linotype" w:cs="Palatino Linotype"/>
                    <w:b/>
                  </w:rPr>
                  <w:t>Comisionada ponente:</w:t>
                </w:r>
              </w:p>
            </w:tc>
            <w:tc>
              <w:tcPr>
                <w:tcW w:w="4111" w:type="dxa"/>
                <w:shd w:val="clear" w:color="auto" w:fill="auto"/>
              </w:tcPr>
              <w:p w14:paraId="7E7C4EB0" w14:textId="77777777" w:rsidR="00726FD2" w:rsidRPr="00C46F50" w:rsidRDefault="00726FD2" w:rsidP="00C46F50">
                <w:pPr>
                  <w:tabs>
                    <w:tab w:val="right" w:pos="8838"/>
                  </w:tabs>
                  <w:ind w:left="-108" w:right="171"/>
                  <w:jc w:val="both"/>
                  <w:rPr>
                    <w:rFonts w:ascii="Palatino Linotype" w:eastAsia="Palatino Linotype" w:hAnsi="Palatino Linotype" w:cs="Palatino Linotype"/>
                  </w:rPr>
                </w:pPr>
                <w:r w:rsidRPr="00C46F50">
                  <w:rPr>
                    <w:rFonts w:ascii="Palatino Linotype" w:eastAsia="Palatino Linotype" w:hAnsi="Palatino Linotype" w:cs="Palatino Linotype"/>
                  </w:rPr>
                  <w:t>María del Rosario Mejía Ayala</w:t>
                </w:r>
              </w:p>
              <w:p w14:paraId="01E3B180" w14:textId="77777777" w:rsidR="00726FD2" w:rsidRPr="00C46F50" w:rsidRDefault="00726FD2" w:rsidP="00C46F50">
                <w:pPr>
                  <w:tabs>
                    <w:tab w:val="right" w:pos="8838"/>
                  </w:tabs>
                  <w:ind w:left="-108" w:right="171"/>
                  <w:jc w:val="both"/>
                  <w:rPr>
                    <w:rFonts w:ascii="Palatino Linotype" w:eastAsia="Palatino Linotype" w:hAnsi="Palatino Linotype" w:cs="Palatino Linotype"/>
                  </w:rPr>
                </w:pPr>
              </w:p>
            </w:tc>
          </w:tr>
        </w:tbl>
        <w:p w14:paraId="52E85DCA" w14:textId="77777777" w:rsidR="00726FD2" w:rsidRDefault="00726FD2">
          <w:pPr>
            <w:tabs>
              <w:tab w:val="right" w:pos="8838"/>
            </w:tabs>
            <w:ind w:left="-28"/>
            <w:jc w:val="both"/>
            <w:rPr>
              <w:rFonts w:ascii="Arial" w:eastAsia="Arial" w:hAnsi="Arial" w:cs="Arial"/>
              <w:b/>
              <w:sz w:val="22"/>
              <w:szCs w:val="22"/>
            </w:rPr>
          </w:pPr>
        </w:p>
      </w:tc>
    </w:tr>
  </w:tbl>
  <w:p w14:paraId="6BCF1DB5" w14:textId="77777777" w:rsidR="00726FD2" w:rsidRDefault="00B2485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8AF5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58.6pt;margin-top:-120.5pt;width:589.8pt;height:768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3402"/>
      <w:gridCol w:w="6804"/>
    </w:tblGrid>
    <w:tr w:rsidR="00726FD2" w14:paraId="472AB529" w14:textId="77777777" w:rsidTr="00532AA1">
      <w:trPr>
        <w:trHeight w:val="1435"/>
      </w:trPr>
      <w:tc>
        <w:tcPr>
          <w:tcW w:w="3402" w:type="dxa"/>
          <w:shd w:val="clear" w:color="auto" w:fill="auto"/>
        </w:tcPr>
        <w:p w14:paraId="5385C917" w14:textId="77777777" w:rsidR="00726FD2" w:rsidRDefault="00726FD2">
          <w:pPr>
            <w:tabs>
              <w:tab w:val="right" w:pos="4273"/>
            </w:tabs>
            <w:rPr>
              <w:rFonts w:ascii="Garamond" w:eastAsia="Garamond" w:hAnsi="Garamond" w:cs="Garamond"/>
              <w:sz w:val="22"/>
              <w:szCs w:val="22"/>
            </w:rPr>
          </w:pPr>
        </w:p>
      </w:tc>
      <w:tc>
        <w:tcPr>
          <w:tcW w:w="6804" w:type="dxa"/>
          <w:shd w:val="clear" w:color="auto" w:fill="auto"/>
        </w:tcPr>
        <w:tbl>
          <w:tblPr>
            <w:tblW w:w="6905" w:type="dxa"/>
            <w:tblInd w:w="40" w:type="dxa"/>
            <w:tblLayout w:type="fixed"/>
            <w:tblLook w:val="0400" w:firstRow="0" w:lastRow="0" w:firstColumn="0" w:lastColumn="0" w:noHBand="0" w:noVBand="1"/>
          </w:tblPr>
          <w:tblGrid>
            <w:gridCol w:w="2687"/>
            <w:gridCol w:w="4218"/>
          </w:tblGrid>
          <w:tr w:rsidR="00726FD2" w14:paraId="4DE9C874" w14:textId="77777777" w:rsidTr="00C46F50">
            <w:trPr>
              <w:trHeight w:val="144"/>
            </w:trPr>
            <w:tc>
              <w:tcPr>
                <w:tcW w:w="2687" w:type="dxa"/>
                <w:shd w:val="clear" w:color="auto" w:fill="auto"/>
              </w:tcPr>
              <w:p w14:paraId="2B3662A8" w14:textId="77777777" w:rsidR="00726FD2" w:rsidRPr="00C46F50" w:rsidRDefault="00726FD2" w:rsidP="00C46F50">
                <w:pPr>
                  <w:tabs>
                    <w:tab w:val="right" w:pos="8838"/>
                  </w:tabs>
                  <w:ind w:left="-264" w:right="-105" w:firstLine="195"/>
                  <w:rPr>
                    <w:rFonts w:ascii="Palatino Linotype" w:eastAsia="Palatino Linotype" w:hAnsi="Palatino Linotype" w:cs="Palatino Linotype"/>
                    <w:b/>
                  </w:rPr>
                </w:pPr>
                <w:r w:rsidRPr="00C46F50">
                  <w:rPr>
                    <w:rFonts w:ascii="Palatino Linotype" w:eastAsia="Palatino Linotype" w:hAnsi="Palatino Linotype" w:cs="Palatino Linotype"/>
                    <w:b/>
                  </w:rPr>
                  <w:t>Recurso de Revisión:</w:t>
                </w:r>
              </w:p>
            </w:tc>
            <w:tc>
              <w:tcPr>
                <w:tcW w:w="4218" w:type="dxa"/>
                <w:shd w:val="clear" w:color="auto" w:fill="auto"/>
              </w:tcPr>
              <w:p w14:paraId="60739A0D" w14:textId="77777777" w:rsidR="00726FD2" w:rsidRPr="00C46F50" w:rsidRDefault="00726FD2" w:rsidP="00C46F50">
                <w:pPr>
                  <w:tabs>
                    <w:tab w:val="right" w:pos="8838"/>
                  </w:tabs>
                  <w:ind w:left="-74" w:right="-105"/>
                  <w:jc w:val="both"/>
                  <w:rPr>
                    <w:rFonts w:ascii="Palatino Linotype" w:eastAsia="Palatino Linotype" w:hAnsi="Palatino Linotype" w:cs="Palatino Linotype"/>
                  </w:rPr>
                </w:pPr>
                <w:r w:rsidRPr="00C46F50">
                  <w:rPr>
                    <w:rFonts w:ascii="Palatino Linotype" w:eastAsia="Palatino Linotype" w:hAnsi="Palatino Linotype" w:cs="Palatino Linotype"/>
                  </w:rPr>
                  <w:t>02793/INFOEM/IP/RR/2025</w:t>
                </w:r>
              </w:p>
            </w:tc>
          </w:tr>
          <w:tr w:rsidR="00726FD2" w14:paraId="7CA7CF2D" w14:textId="77777777" w:rsidTr="00C46F50">
            <w:trPr>
              <w:trHeight w:val="144"/>
            </w:trPr>
            <w:tc>
              <w:tcPr>
                <w:tcW w:w="2687" w:type="dxa"/>
                <w:shd w:val="clear" w:color="auto" w:fill="auto"/>
              </w:tcPr>
              <w:p w14:paraId="1CBBDAEA" w14:textId="77777777" w:rsidR="00726FD2" w:rsidRPr="00C46F50" w:rsidRDefault="00726FD2" w:rsidP="00C46F50">
                <w:pPr>
                  <w:tabs>
                    <w:tab w:val="right" w:pos="8838"/>
                  </w:tabs>
                  <w:ind w:left="-74" w:right="-105"/>
                  <w:rPr>
                    <w:rFonts w:ascii="Palatino Linotype" w:eastAsia="Palatino Linotype" w:hAnsi="Palatino Linotype" w:cs="Palatino Linotype"/>
                    <w:b/>
                  </w:rPr>
                </w:pPr>
                <w:r w:rsidRPr="00C46F50">
                  <w:rPr>
                    <w:rFonts w:ascii="Palatino Linotype" w:eastAsia="Palatino Linotype" w:hAnsi="Palatino Linotype" w:cs="Palatino Linotype"/>
                    <w:b/>
                  </w:rPr>
                  <w:t>Recurrente:</w:t>
                </w:r>
              </w:p>
            </w:tc>
            <w:tc>
              <w:tcPr>
                <w:tcW w:w="4218" w:type="dxa"/>
                <w:shd w:val="clear" w:color="auto" w:fill="auto"/>
              </w:tcPr>
              <w:p w14:paraId="6DCA1580" w14:textId="41892218" w:rsidR="00726FD2" w:rsidRPr="00C46F50" w:rsidRDefault="001A4025" w:rsidP="00C46F50">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726FD2" w14:paraId="6A019891" w14:textId="77777777" w:rsidTr="00C46F50">
            <w:trPr>
              <w:trHeight w:val="283"/>
            </w:trPr>
            <w:tc>
              <w:tcPr>
                <w:tcW w:w="2687" w:type="dxa"/>
                <w:shd w:val="clear" w:color="auto" w:fill="auto"/>
              </w:tcPr>
              <w:p w14:paraId="4CC3DEF8" w14:textId="77777777" w:rsidR="00726FD2" w:rsidRPr="00C46F50" w:rsidRDefault="00726FD2" w:rsidP="00C46F50">
                <w:pPr>
                  <w:tabs>
                    <w:tab w:val="right" w:pos="8838"/>
                  </w:tabs>
                  <w:ind w:left="-74" w:right="-105"/>
                  <w:rPr>
                    <w:rFonts w:ascii="Palatino Linotype" w:eastAsia="Palatino Linotype" w:hAnsi="Palatino Linotype" w:cs="Palatino Linotype"/>
                    <w:b/>
                  </w:rPr>
                </w:pPr>
                <w:r w:rsidRPr="00C46F50">
                  <w:rPr>
                    <w:rFonts w:ascii="Palatino Linotype" w:eastAsia="Palatino Linotype" w:hAnsi="Palatino Linotype" w:cs="Palatino Linotype"/>
                    <w:b/>
                  </w:rPr>
                  <w:t>Sujeto Obligado:</w:t>
                </w:r>
              </w:p>
            </w:tc>
            <w:tc>
              <w:tcPr>
                <w:tcW w:w="4218" w:type="dxa"/>
                <w:shd w:val="clear" w:color="auto" w:fill="auto"/>
              </w:tcPr>
              <w:p w14:paraId="114DA00C" w14:textId="77777777" w:rsidR="00726FD2" w:rsidRPr="00C46F50" w:rsidRDefault="00726FD2" w:rsidP="00C46F50">
                <w:pPr>
                  <w:tabs>
                    <w:tab w:val="left" w:pos="2834"/>
                    <w:tab w:val="right" w:pos="8838"/>
                  </w:tabs>
                  <w:ind w:left="-74" w:right="-105"/>
                  <w:jc w:val="both"/>
                  <w:rPr>
                    <w:rFonts w:ascii="Palatino Linotype" w:eastAsia="Palatino Linotype" w:hAnsi="Palatino Linotype" w:cs="Palatino Linotype"/>
                  </w:rPr>
                </w:pPr>
                <w:r w:rsidRPr="00C46F50">
                  <w:rPr>
                    <w:rFonts w:ascii="Palatino Linotype" w:eastAsia="Palatino Linotype" w:hAnsi="Palatino Linotype" w:cs="Palatino Linotype"/>
                  </w:rPr>
                  <w:t>Poder Judicial</w:t>
                </w:r>
              </w:p>
            </w:tc>
          </w:tr>
          <w:tr w:rsidR="00726FD2" w14:paraId="45C54B9E" w14:textId="77777777" w:rsidTr="00C46F50">
            <w:trPr>
              <w:trHeight w:val="283"/>
            </w:trPr>
            <w:tc>
              <w:tcPr>
                <w:tcW w:w="2687" w:type="dxa"/>
                <w:shd w:val="clear" w:color="auto" w:fill="auto"/>
              </w:tcPr>
              <w:p w14:paraId="5A46D2F5" w14:textId="77777777" w:rsidR="00726FD2" w:rsidRPr="00C46F50" w:rsidRDefault="00726FD2" w:rsidP="00C46F50">
                <w:pPr>
                  <w:tabs>
                    <w:tab w:val="right" w:pos="8838"/>
                  </w:tabs>
                  <w:ind w:left="-74" w:right="-105"/>
                  <w:rPr>
                    <w:rFonts w:ascii="Palatino Linotype" w:eastAsia="Palatino Linotype" w:hAnsi="Palatino Linotype" w:cs="Palatino Linotype"/>
                    <w:b/>
                  </w:rPr>
                </w:pPr>
                <w:r w:rsidRPr="00C46F50">
                  <w:rPr>
                    <w:rFonts w:ascii="Palatino Linotype" w:eastAsia="Palatino Linotype" w:hAnsi="Palatino Linotype" w:cs="Palatino Linotype"/>
                    <w:b/>
                  </w:rPr>
                  <w:t>Comisionada ponente:</w:t>
                </w:r>
              </w:p>
            </w:tc>
            <w:tc>
              <w:tcPr>
                <w:tcW w:w="4218" w:type="dxa"/>
                <w:shd w:val="clear" w:color="auto" w:fill="auto"/>
              </w:tcPr>
              <w:p w14:paraId="6A17EA80" w14:textId="77777777" w:rsidR="00726FD2" w:rsidRPr="00C46F50" w:rsidRDefault="00726FD2" w:rsidP="00C46F50">
                <w:pPr>
                  <w:tabs>
                    <w:tab w:val="right" w:pos="8838"/>
                  </w:tabs>
                  <w:ind w:left="-74" w:right="-105"/>
                  <w:jc w:val="both"/>
                  <w:rPr>
                    <w:rFonts w:ascii="Palatino Linotype" w:eastAsia="Palatino Linotype" w:hAnsi="Palatino Linotype" w:cs="Palatino Linotype"/>
                  </w:rPr>
                </w:pPr>
                <w:r w:rsidRPr="00C46F50">
                  <w:rPr>
                    <w:rFonts w:ascii="Palatino Linotype" w:eastAsia="Palatino Linotype" w:hAnsi="Palatino Linotype" w:cs="Palatino Linotype"/>
                  </w:rPr>
                  <w:t>María del Rosario Mejía Ayala</w:t>
                </w:r>
              </w:p>
              <w:p w14:paraId="328C271D" w14:textId="77777777" w:rsidR="00726FD2" w:rsidRPr="00C46F50" w:rsidRDefault="00726FD2" w:rsidP="00C46F50">
                <w:pPr>
                  <w:tabs>
                    <w:tab w:val="right" w:pos="8838"/>
                  </w:tabs>
                  <w:ind w:left="-74" w:right="-105"/>
                  <w:jc w:val="both"/>
                  <w:rPr>
                    <w:rFonts w:ascii="Palatino Linotype" w:eastAsia="Palatino Linotype" w:hAnsi="Palatino Linotype" w:cs="Palatino Linotype"/>
                  </w:rPr>
                </w:pPr>
              </w:p>
            </w:tc>
          </w:tr>
        </w:tbl>
        <w:p w14:paraId="3CF2BC33" w14:textId="77777777" w:rsidR="00726FD2" w:rsidRDefault="00726FD2">
          <w:pPr>
            <w:tabs>
              <w:tab w:val="right" w:pos="8838"/>
            </w:tabs>
            <w:ind w:left="-28"/>
            <w:jc w:val="both"/>
            <w:rPr>
              <w:rFonts w:ascii="Arial" w:eastAsia="Arial" w:hAnsi="Arial" w:cs="Arial"/>
              <w:b/>
              <w:sz w:val="22"/>
              <w:szCs w:val="22"/>
            </w:rPr>
          </w:pPr>
        </w:p>
      </w:tc>
    </w:tr>
  </w:tbl>
  <w:p w14:paraId="4C74CE6B" w14:textId="77777777" w:rsidR="00726FD2" w:rsidRDefault="00B2485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18B9E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1pt;margin-top:-117.6pt;width:589.8pt;height:768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E01"/>
    <w:multiLevelType w:val="multilevel"/>
    <w:tmpl w:val="A08E1A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CD04D9"/>
    <w:multiLevelType w:val="hybridMultilevel"/>
    <w:tmpl w:val="46A8E85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 w15:restartNumberingAfterBreak="0">
    <w:nsid w:val="08A420C8"/>
    <w:multiLevelType w:val="hybridMultilevel"/>
    <w:tmpl w:val="71740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0B066D"/>
    <w:multiLevelType w:val="multilevel"/>
    <w:tmpl w:val="76F0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3F04D2"/>
    <w:multiLevelType w:val="multilevel"/>
    <w:tmpl w:val="1A78F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8F2811"/>
    <w:multiLevelType w:val="hybridMultilevel"/>
    <w:tmpl w:val="81D2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B8739A"/>
    <w:multiLevelType w:val="multilevel"/>
    <w:tmpl w:val="69BCC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C70396"/>
    <w:multiLevelType w:val="hybridMultilevel"/>
    <w:tmpl w:val="C9820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04DB3"/>
    <w:multiLevelType w:val="hybridMultilevel"/>
    <w:tmpl w:val="2D381860"/>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CC37CE"/>
    <w:multiLevelType w:val="hybridMultilevel"/>
    <w:tmpl w:val="D7EE659C"/>
    <w:lvl w:ilvl="0" w:tplc="B2A27A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8C906EB"/>
    <w:multiLevelType w:val="multilevel"/>
    <w:tmpl w:val="437C39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4A551B"/>
    <w:multiLevelType w:val="multilevel"/>
    <w:tmpl w:val="9B628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4B67A7"/>
    <w:multiLevelType w:val="multilevel"/>
    <w:tmpl w:val="66240D40"/>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9"/>
  </w:num>
  <w:num w:numId="5">
    <w:abstractNumId w:val="13"/>
  </w:num>
  <w:num w:numId="6">
    <w:abstractNumId w:val="5"/>
  </w:num>
  <w:num w:numId="7">
    <w:abstractNumId w:val="7"/>
  </w:num>
  <w:num w:numId="8">
    <w:abstractNumId w:val="14"/>
  </w:num>
  <w:num w:numId="9">
    <w:abstractNumId w:val="10"/>
  </w:num>
  <w:num w:numId="10">
    <w:abstractNumId w:val="8"/>
  </w:num>
  <w:num w:numId="11">
    <w:abstractNumId w:val="1"/>
  </w:num>
  <w:num w:numId="12">
    <w:abstractNumId w:val="3"/>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CE"/>
    <w:rsid w:val="00072F7B"/>
    <w:rsid w:val="00083495"/>
    <w:rsid w:val="000C125C"/>
    <w:rsid w:val="001A4025"/>
    <w:rsid w:val="00235E5D"/>
    <w:rsid w:val="00310376"/>
    <w:rsid w:val="0033476C"/>
    <w:rsid w:val="003945D9"/>
    <w:rsid w:val="003F2D82"/>
    <w:rsid w:val="00485437"/>
    <w:rsid w:val="004B3413"/>
    <w:rsid w:val="005024C7"/>
    <w:rsid w:val="00532AA1"/>
    <w:rsid w:val="00544637"/>
    <w:rsid w:val="005A2BFA"/>
    <w:rsid w:val="006018E1"/>
    <w:rsid w:val="00614EE8"/>
    <w:rsid w:val="006C40D6"/>
    <w:rsid w:val="00726FD2"/>
    <w:rsid w:val="00744B28"/>
    <w:rsid w:val="0079699A"/>
    <w:rsid w:val="008005AA"/>
    <w:rsid w:val="008665CE"/>
    <w:rsid w:val="00880CBD"/>
    <w:rsid w:val="009040FD"/>
    <w:rsid w:val="00955476"/>
    <w:rsid w:val="00A36AAE"/>
    <w:rsid w:val="00B24851"/>
    <w:rsid w:val="00BB1DD0"/>
    <w:rsid w:val="00BE7573"/>
    <w:rsid w:val="00C46F50"/>
    <w:rsid w:val="00C739C2"/>
    <w:rsid w:val="00CE72A5"/>
    <w:rsid w:val="00DC34A4"/>
    <w:rsid w:val="00F645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E0DD0"/>
  <w15:chartTrackingRefBased/>
  <w15:docId w15:val="{2F75C0FF-F732-40D6-899D-4DAB6945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5C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8665CE"/>
    <w:pPr>
      <w:keepNext/>
      <w:keepLines/>
      <w:spacing w:before="240"/>
      <w:outlineLvl w:val="0"/>
    </w:pPr>
    <w:rPr>
      <w:rFonts w:ascii="Calibri" w:eastAsia="Calibri" w:hAnsi="Calibri" w:cs="Calibri"/>
      <w:color w:val="2E75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65CE"/>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65C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665C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665CE"/>
    <w:pPr>
      <w:tabs>
        <w:tab w:val="center" w:pos="4419"/>
        <w:tab w:val="right" w:pos="8838"/>
      </w:tabs>
    </w:pPr>
  </w:style>
  <w:style w:type="character" w:customStyle="1" w:styleId="PiedepginaCar">
    <w:name w:val="Pie de página Car"/>
    <w:basedOn w:val="Fuentedeprrafopredeter"/>
    <w:link w:val="Piedepgina"/>
    <w:uiPriority w:val="99"/>
    <w:rsid w:val="008665CE"/>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66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7774.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3415.pag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aimex.org.mx/saimex/solicitud/downloadAttach/239341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jedomex.gob.mx/transparencia/8_actas_comite"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3280&amp;fecha=15/04/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F200-97AB-44C7-956F-241990E7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26</Pages>
  <Words>6142</Words>
  <Characters>33784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2025-08-14T21:59:00Z</cp:lastPrinted>
  <dcterms:created xsi:type="dcterms:W3CDTF">2025-08-05T18:42:00Z</dcterms:created>
  <dcterms:modified xsi:type="dcterms:W3CDTF">2025-08-20T23:12:00Z</dcterms:modified>
</cp:coreProperties>
</file>