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80F5" w14:textId="7B567206"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450AE" w:rsidRPr="00C66CAA">
        <w:rPr>
          <w:rFonts w:ascii="Palatino Linotype" w:eastAsia="Palatino Linotype" w:hAnsi="Palatino Linotype" w:cs="Palatino Linotype"/>
          <w:b/>
        </w:rPr>
        <w:t xml:space="preserve">veintisiete </w:t>
      </w:r>
      <w:r w:rsidR="0077183B" w:rsidRPr="00C66CAA">
        <w:rPr>
          <w:rFonts w:ascii="Palatino Linotype" w:eastAsia="Palatino Linotype" w:hAnsi="Palatino Linotype" w:cs="Palatino Linotype"/>
          <w:b/>
        </w:rPr>
        <w:t>de agosto</w:t>
      </w:r>
      <w:r w:rsidRPr="00C66CAA">
        <w:rPr>
          <w:rFonts w:ascii="Palatino Linotype" w:eastAsia="Palatino Linotype" w:hAnsi="Palatino Linotype" w:cs="Palatino Linotype"/>
          <w:b/>
        </w:rPr>
        <w:t xml:space="preserve"> de dos mil veinticinco</w:t>
      </w:r>
      <w:r w:rsidRPr="00C66CAA">
        <w:rPr>
          <w:rFonts w:ascii="Palatino Linotype" w:eastAsia="Palatino Linotype" w:hAnsi="Palatino Linotype" w:cs="Palatino Linotype"/>
        </w:rPr>
        <w:t xml:space="preserve">. </w:t>
      </w:r>
    </w:p>
    <w:p w14:paraId="79F93927" w14:textId="7C2E1AD8" w:rsidR="00E82C95" w:rsidRPr="00C66CAA" w:rsidRDefault="000C0903">
      <w:pPr>
        <w:spacing w:before="240" w:after="240" w:line="360" w:lineRule="auto"/>
        <w:jc w:val="both"/>
        <w:rPr>
          <w:rFonts w:ascii="Palatino Linotype" w:eastAsia="Palatino Linotype" w:hAnsi="Palatino Linotype" w:cs="Palatino Linotype"/>
          <w:sz w:val="20"/>
          <w:szCs w:val="20"/>
        </w:rPr>
      </w:pPr>
      <w:r w:rsidRPr="00C66CAA">
        <w:rPr>
          <w:rFonts w:ascii="Palatino Linotype" w:eastAsia="Palatino Linotype" w:hAnsi="Palatino Linotype" w:cs="Palatino Linotype"/>
          <w:b/>
        </w:rPr>
        <w:t>Visto</w:t>
      </w:r>
      <w:r w:rsidRPr="00C66CAA">
        <w:rPr>
          <w:rFonts w:ascii="Palatino Linotype" w:eastAsia="Palatino Linotype" w:hAnsi="Palatino Linotype" w:cs="Palatino Linotype"/>
        </w:rPr>
        <w:t xml:space="preserve"> el expediente formado con motivo del recurso de revisión </w:t>
      </w:r>
      <w:r w:rsidR="0077183B" w:rsidRPr="00C66CAA">
        <w:rPr>
          <w:rFonts w:ascii="Palatino Linotype" w:eastAsia="Palatino Linotype" w:hAnsi="Palatino Linotype" w:cs="Palatino Linotype"/>
          <w:b/>
        </w:rPr>
        <w:t>05074/INFOEM/IP/RR/2025</w:t>
      </w:r>
      <w:r w:rsidRPr="00C66CAA">
        <w:rPr>
          <w:rFonts w:ascii="Palatino Linotype" w:eastAsia="Palatino Linotype" w:hAnsi="Palatino Linotype" w:cs="Palatino Linotype"/>
        </w:rPr>
        <w:t>, interpuesto por</w:t>
      </w:r>
      <w:r w:rsidRPr="00C66CAA">
        <w:rPr>
          <w:rFonts w:ascii="Palatino Linotype" w:eastAsia="Palatino Linotype" w:hAnsi="Palatino Linotype" w:cs="Palatino Linotype"/>
          <w:b/>
        </w:rPr>
        <w:t xml:space="preserve"> </w:t>
      </w:r>
      <w:r w:rsidR="00B76628" w:rsidRPr="00C66CAA">
        <w:rPr>
          <w:rFonts w:ascii="Palatino Linotype" w:eastAsia="Palatino Linotype" w:hAnsi="Palatino Linotype" w:cs="Palatino Linotype"/>
          <w:b/>
        </w:rPr>
        <w:t>un particular de manera anónima</w:t>
      </w:r>
      <w:r w:rsidRPr="00C66CAA">
        <w:rPr>
          <w:rFonts w:ascii="Palatino Linotype" w:eastAsia="Palatino Linotype" w:hAnsi="Palatino Linotype" w:cs="Palatino Linotype"/>
          <w:b/>
        </w:rPr>
        <w:t>,</w:t>
      </w:r>
      <w:r w:rsidRPr="00C66CAA">
        <w:rPr>
          <w:rFonts w:ascii="Palatino Linotype" w:eastAsia="Palatino Linotype" w:hAnsi="Palatino Linotype" w:cs="Palatino Linotype"/>
        </w:rPr>
        <w:t xml:space="preserve"> en lo sucesivo</w:t>
      </w:r>
      <w:r w:rsidRPr="00C66CAA">
        <w:rPr>
          <w:rFonts w:ascii="Palatino Linotype" w:eastAsia="Palatino Linotype" w:hAnsi="Palatino Linotype" w:cs="Palatino Linotype"/>
          <w:b/>
        </w:rPr>
        <w:t xml:space="preserve"> 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xml:space="preserve"> en contra de la respuesta a su solicitud por parte del </w:t>
      </w:r>
      <w:r w:rsidR="00B76628" w:rsidRPr="00C66CAA">
        <w:rPr>
          <w:rFonts w:ascii="Palatino Linotype" w:eastAsia="Palatino Linotype" w:hAnsi="Palatino Linotype" w:cs="Palatino Linotype"/>
          <w:b/>
        </w:rPr>
        <w:t xml:space="preserve">Ayuntamiento de </w:t>
      </w:r>
      <w:r w:rsidR="0077183B" w:rsidRPr="00C66CAA">
        <w:rPr>
          <w:rFonts w:ascii="Palatino Linotype" w:eastAsia="Palatino Linotype" w:hAnsi="Palatino Linotype" w:cs="Palatino Linotype"/>
          <w:b/>
        </w:rPr>
        <w:t>Zinacantepec</w:t>
      </w:r>
      <w:r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rPr>
        <w:t xml:space="preserve">en lo sucesivo el </w:t>
      </w:r>
      <w:r w:rsidRPr="00C66CAA">
        <w:rPr>
          <w:rFonts w:ascii="Palatino Linotype" w:eastAsia="Palatino Linotype" w:hAnsi="Palatino Linotype" w:cs="Palatino Linotype"/>
          <w:b/>
        </w:rPr>
        <w:t xml:space="preserve">Sujeto Obligado, </w:t>
      </w:r>
      <w:r w:rsidRPr="00C66CAA">
        <w:rPr>
          <w:rFonts w:ascii="Palatino Linotype" w:eastAsia="Palatino Linotype" w:hAnsi="Palatino Linotype" w:cs="Palatino Linotype"/>
        </w:rPr>
        <w:t xml:space="preserve">se procede a dictar la presente resolución con base en los siguientes: </w:t>
      </w:r>
    </w:p>
    <w:p w14:paraId="69127AA3" w14:textId="77777777" w:rsidR="00E82C95" w:rsidRPr="00C66CAA" w:rsidRDefault="000C0903">
      <w:pPr>
        <w:spacing w:before="240" w:after="240" w:line="360" w:lineRule="auto"/>
        <w:jc w:val="center"/>
        <w:rPr>
          <w:rFonts w:ascii="Palatino Linotype" w:eastAsia="Palatino Linotype" w:hAnsi="Palatino Linotype" w:cs="Palatino Linotype"/>
          <w:b/>
        </w:rPr>
      </w:pPr>
      <w:r w:rsidRPr="00C66CAA">
        <w:rPr>
          <w:rFonts w:ascii="Palatino Linotype" w:eastAsia="Palatino Linotype" w:hAnsi="Palatino Linotype" w:cs="Palatino Linotype"/>
          <w:b/>
        </w:rPr>
        <w:t>I. A N T E C E D E N T E S</w:t>
      </w:r>
    </w:p>
    <w:p w14:paraId="04F7A798" w14:textId="624181D1" w:rsidR="00E82C95" w:rsidRPr="00C66CAA" w:rsidRDefault="000C0903">
      <w:pPr>
        <w:spacing w:before="240" w:after="240" w:line="360" w:lineRule="auto"/>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1. Solicitud de acceso a la información. </w:t>
      </w:r>
      <w:r w:rsidRPr="00C66CAA">
        <w:rPr>
          <w:rFonts w:ascii="Palatino Linotype" w:eastAsia="Palatino Linotype" w:hAnsi="Palatino Linotype" w:cs="Palatino Linotype"/>
        </w:rPr>
        <w:t xml:space="preserve">El </w:t>
      </w:r>
      <w:r w:rsidR="0077183B" w:rsidRPr="00C66CAA">
        <w:rPr>
          <w:rFonts w:ascii="Palatino Linotype" w:eastAsia="Palatino Linotype" w:hAnsi="Palatino Linotype" w:cs="Palatino Linotype"/>
          <w:b/>
        </w:rPr>
        <w:t>ocho</w:t>
      </w:r>
      <w:r w:rsidR="00BC3439" w:rsidRPr="00C66CAA">
        <w:rPr>
          <w:rFonts w:ascii="Palatino Linotype" w:eastAsia="Palatino Linotype" w:hAnsi="Palatino Linotype" w:cs="Palatino Linotype"/>
          <w:b/>
        </w:rPr>
        <w:t xml:space="preserve"> de </w:t>
      </w:r>
      <w:r w:rsidR="0077183B" w:rsidRPr="00C66CAA">
        <w:rPr>
          <w:rFonts w:ascii="Palatino Linotype" w:eastAsia="Palatino Linotype" w:hAnsi="Palatino Linotype" w:cs="Palatino Linotype"/>
          <w:b/>
        </w:rPr>
        <w:t>abril</w:t>
      </w:r>
      <w:r w:rsidRPr="00C66CAA">
        <w:rPr>
          <w:rFonts w:ascii="Palatino Linotype" w:eastAsia="Palatino Linotype" w:hAnsi="Palatino Linotype" w:cs="Palatino Linotype"/>
          <w:b/>
        </w:rPr>
        <w:t xml:space="preserve"> de dos mil veinticinco</w:t>
      </w:r>
      <w:r w:rsidRPr="00C66CAA">
        <w:rPr>
          <w:rFonts w:ascii="Palatino Linotype" w:eastAsia="Palatino Linotype" w:hAnsi="Palatino Linotype" w:cs="Palatino Linotype"/>
        </w:rPr>
        <w:t xml:space="preserve">, a través del Sistema de Acceso a la Información Mexiquense, en lo subsecuente el </w:t>
      </w:r>
      <w:r w:rsidRPr="00C66CAA">
        <w:rPr>
          <w:rFonts w:ascii="Palatino Linotype" w:eastAsia="Palatino Linotype" w:hAnsi="Palatino Linotype" w:cs="Palatino Linotype"/>
          <w:b/>
        </w:rPr>
        <w:t>SAIMEX,</w:t>
      </w:r>
      <w:r w:rsidRPr="00C66CAA">
        <w:rPr>
          <w:rFonts w:ascii="Palatino Linotype" w:eastAsia="Palatino Linotype" w:hAnsi="Palatino Linotype" w:cs="Palatino Linotype"/>
        </w:rPr>
        <w:t xml:space="preserve"> ante 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xml:space="preserve">, la solicitud de acceso a la información pública, a la que se le asignó el número </w:t>
      </w:r>
      <w:r w:rsidR="0077183B" w:rsidRPr="00C66CAA">
        <w:rPr>
          <w:rFonts w:ascii="Palatino Linotype" w:eastAsia="Palatino Linotype" w:hAnsi="Palatino Linotype" w:cs="Palatino Linotype"/>
          <w:b/>
        </w:rPr>
        <w:t>00252/ZINACANT/IP/2025</w:t>
      </w:r>
      <w:r w:rsidRPr="00C66CAA">
        <w:rPr>
          <w:rFonts w:ascii="Palatino Linotype" w:eastAsia="Palatino Linotype" w:hAnsi="Palatino Linotype" w:cs="Palatino Linotype"/>
        </w:rPr>
        <w:t xml:space="preserve">, mediante la cual requirió la información siguiente: </w:t>
      </w:r>
    </w:p>
    <w:p w14:paraId="2BE526AC" w14:textId="7ACAF900" w:rsidR="00E82C95" w:rsidRPr="00C66CAA" w:rsidRDefault="000C0903">
      <w:pPr>
        <w:spacing w:before="240" w:after="240"/>
        <w:ind w:left="567" w:right="902"/>
        <w:jc w:val="both"/>
        <w:rPr>
          <w:rFonts w:ascii="Palatino Linotype" w:eastAsia="Palatino Linotype" w:hAnsi="Palatino Linotype" w:cs="Palatino Linotype"/>
          <w:i/>
        </w:rPr>
      </w:pPr>
      <w:bookmarkStart w:id="0" w:name="_heading=h.gjdgxs" w:colFirst="0" w:colLast="0"/>
      <w:bookmarkEnd w:id="0"/>
      <w:r w:rsidRPr="00C66CAA">
        <w:rPr>
          <w:rFonts w:ascii="Palatino Linotype" w:eastAsia="Palatino Linotype" w:hAnsi="Palatino Linotype" w:cs="Palatino Linotype"/>
          <w:i/>
        </w:rPr>
        <w:t xml:space="preserve"> “</w:t>
      </w:r>
      <w:r w:rsidR="0077183B" w:rsidRPr="00C66CAA">
        <w:rPr>
          <w:rFonts w:ascii="Palatino Linotype" w:eastAsia="Palatino Linotype" w:hAnsi="Palatino Linotype" w:cs="Palatino Linotype"/>
          <w:b/>
          <w:bCs/>
          <w:i/>
        </w:rPr>
        <w:t>Planes de contingencia</w:t>
      </w:r>
      <w:r w:rsidR="0077183B" w:rsidRPr="00C66CAA">
        <w:rPr>
          <w:rFonts w:ascii="Palatino Linotype" w:eastAsia="Palatino Linotype" w:hAnsi="Palatino Linotype" w:cs="Palatino Linotype"/>
          <w:i/>
        </w:rPr>
        <w:t xml:space="preserve"> y protocolos de actuación del Ayuntamiento ante posibles amenazas cibernéticas que comprometan la seguridad de la información y sistemas municipales.</w:t>
      </w:r>
      <w:r w:rsidRPr="00C66CAA">
        <w:rPr>
          <w:rFonts w:ascii="Palatino Linotype" w:eastAsia="Palatino Linotype" w:hAnsi="Palatino Linotype" w:cs="Palatino Linotype"/>
          <w:i/>
        </w:rPr>
        <w:t xml:space="preserve">” (Sic) </w:t>
      </w:r>
    </w:p>
    <w:p w14:paraId="11094DA8" w14:textId="77777777" w:rsidR="00E82C95" w:rsidRPr="00C66CAA" w:rsidRDefault="000C0903">
      <w:pPr>
        <w:spacing w:before="240" w:after="240" w:line="360" w:lineRule="auto"/>
        <w:ind w:right="49"/>
        <w:rPr>
          <w:rFonts w:ascii="Palatino Linotype" w:eastAsia="Palatino Linotype" w:hAnsi="Palatino Linotype" w:cs="Palatino Linotype"/>
          <w:b/>
        </w:rPr>
      </w:pPr>
      <w:r w:rsidRPr="00C66CAA">
        <w:rPr>
          <w:rFonts w:ascii="Palatino Linotype" w:eastAsia="Palatino Linotype" w:hAnsi="Palatino Linotype" w:cs="Palatino Linotype"/>
          <w:b/>
        </w:rPr>
        <w:t>Modalidad de Entrega:</w:t>
      </w:r>
      <w:r w:rsidRPr="00C66CAA">
        <w:rPr>
          <w:rFonts w:ascii="Palatino Linotype" w:eastAsia="Palatino Linotype" w:hAnsi="Palatino Linotype" w:cs="Palatino Linotype"/>
        </w:rPr>
        <w:t xml:space="preserve"> a través </w:t>
      </w:r>
      <w:r w:rsidRPr="00C66CAA">
        <w:rPr>
          <w:rFonts w:ascii="Palatino Linotype" w:eastAsia="Palatino Linotype" w:hAnsi="Palatino Linotype" w:cs="Palatino Linotype"/>
          <w:b/>
        </w:rPr>
        <w:t>del SAIMEX.</w:t>
      </w:r>
    </w:p>
    <w:p w14:paraId="2CF4F036" w14:textId="1978A5D1" w:rsidR="00E82C95" w:rsidRPr="00C66CAA" w:rsidRDefault="000C0903">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C66CAA">
        <w:rPr>
          <w:rFonts w:ascii="Palatino Linotype" w:eastAsia="Palatino Linotype" w:hAnsi="Palatino Linotype" w:cs="Palatino Linotype"/>
          <w:b/>
        </w:rPr>
        <w:t xml:space="preserve">2. Respuesta. </w:t>
      </w:r>
      <w:r w:rsidRPr="00C66CAA">
        <w:rPr>
          <w:rFonts w:ascii="Palatino Linotype" w:eastAsia="Palatino Linotype" w:hAnsi="Palatino Linotype" w:cs="Palatino Linotype"/>
        </w:rPr>
        <w:t xml:space="preserve">El </w:t>
      </w:r>
      <w:r w:rsidR="0077183B" w:rsidRPr="00C66CAA">
        <w:rPr>
          <w:rFonts w:ascii="Palatino Linotype" w:eastAsia="Palatino Linotype" w:hAnsi="Palatino Linotype" w:cs="Palatino Linotype"/>
          <w:b/>
        </w:rPr>
        <w:t xml:space="preserve">seis </w:t>
      </w:r>
      <w:r w:rsidR="00BC3439" w:rsidRPr="00C66CAA">
        <w:rPr>
          <w:rFonts w:ascii="Palatino Linotype" w:eastAsia="Palatino Linotype" w:hAnsi="Palatino Linotype" w:cs="Palatino Linotype"/>
          <w:b/>
        </w:rPr>
        <w:t xml:space="preserve">de </w:t>
      </w:r>
      <w:r w:rsidR="0077183B" w:rsidRPr="00C66CAA">
        <w:rPr>
          <w:rFonts w:ascii="Palatino Linotype" w:eastAsia="Palatino Linotype" w:hAnsi="Palatino Linotype" w:cs="Palatino Linotype"/>
          <w:b/>
        </w:rPr>
        <w:t>may</w:t>
      </w:r>
      <w:r w:rsidR="00B76628" w:rsidRPr="00C66CAA">
        <w:rPr>
          <w:rFonts w:ascii="Palatino Linotype" w:eastAsia="Palatino Linotype" w:hAnsi="Palatino Linotype" w:cs="Palatino Linotype"/>
          <w:b/>
        </w:rPr>
        <w:t>o</w:t>
      </w:r>
      <w:r w:rsidRPr="00C66CAA">
        <w:rPr>
          <w:rFonts w:ascii="Palatino Linotype" w:eastAsia="Palatino Linotype" w:hAnsi="Palatino Linotype" w:cs="Palatino Linotype"/>
          <w:b/>
        </w:rPr>
        <w:t xml:space="preserve"> de dos mil veinticinco</w:t>
      </w:r>
      <w:r w:rsidRPr="00C66CAA">
        <w:rPr>
          <w:rFonts w:ascii="Palatino Linotype" w:eastAsia="Palatino Linotype" w:hAnsi="Palatino Linotype" w:cs="Palatino Linotype"/>
        </w:rPr>
        <w:t xml:space="preserve">, el </w:t>
      </w:r>
      <w:r w:rsidRPr="00C66CAA">
        <w:rPr>
          <w:rFonts w:ascii="Palatino Linotype" w:eastAsia="Palatino Linotype" w:hAnsi="Palatino Linotype" w:cs="Palatino Linotype"/>
          <w:b/>
        </w:rPr>
        <w:t xml:space="preserve">Sujeto Obligado </w:t>
      </w:r>
      <w:r w:rsidRPr="00C66CAA">
        <w:rPr>
          <w:rFonts w:ascii="Palatino Linotype" w:eastAsia="Palatino Linotype" w:hAnsi="Palatino Linotype" w:cs="Palatino Linotype"/>
        </w:rPr>
        <w:t xml:space="preserve">notificó la respuesta a la solicitud de acceso a la información a través de SAIMEX, sustancialmente en los términos siguientes:   </w:t>
      </w:r>
    </w:p>
    <w:p w14:paraId="6D3CF100" w14:textId="77777777" w:rsidR="00D91329" w:rsidRPr="00C66CAA" w:rsidRDefault="000C0903" w:rsidP="00D91329">
      <w:pPr>
        <w:spacing w:before="240" w:after="240"/>
        <w:ind w:left="567" w:right="902"/>
        <w:jc w:val="both"/>
        <w:rPr>
          <w:rFonts w:ascii="Palatino Linotype" w:eastAsia="Palatino Linotype" w:hAnsi="Palatino Linotype" w:cs="Palatino Linotype"/>
          <w:i/>
        </w:rPr>
      </w:pPr>
      <w:r w:rsidRPr="00C66CAA">
        <w:rPr>
          <w:rFonts w:ascii="Palatino Linotype" w:eastAsia="Palatino Linotype" w:hAnsi="Palatino Linotype" w:cs="Palatino Linotype"/>
          <w:i/>
        </w:rPr>
        <w:lastRenderedPageBreak/>
        <w:t>“</w:t>
      </w:r>
      <w:r w:rsidR="00D91329" w:rsidRPr="00C66CA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F69033" w14:textId="77777777" w:rsidR="00D91329" w:rsidRPr="00C66CAA" w:rsidRDefault="00D91329" w:rsidP="00D91329">
      <w:pPr>
        <w:spacing w:before="240" w:after="240"/>
        <w:ind w:left="567" w:right="902"/>
        <w:jc w:val="both"/>
        <w:rPr>
          <w:rFonts w:ascii="Palatino Linotype" w:eastAsia="Palatino Linotype" w:hAnsi="Palatino Linotype" w:cs="Palatino Linotype"/>
          <w:i/>
        </w:rPr>
      </w:pPr>
      <w:r w:rsidRPr="00C66CAA">
        <w:rPr>
          <w:rFonts w:ascii="Palatino Linotype" w:eastAsia="Palatino Linotype" w:hAnsi="Palatino Linotype" w:cs="Palatino Linotype"/>
          <w:i/>
        </w:rPr>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6F06D076" w14:textId="77777777" w:rsidR="00D91329" w:rsidRPr="00C66CAA" w:rsidRDefault="00D91329" w:rsidP="00D91329">
      <w:pPr>
        <w:spacing w:before="240" w:after="240"/>
        <w:ind w:left="567" w:right="902"/>
        <w:jc w:val="both"/>
        <w:rPr>
          <w:rFonts w:ascii="Palatino Linotype" w:eastAsia="Palatino Linotype" w:hAnsi="Palatino Linotype" w:cs="Palatino Linotype"/>
          <w:i/>
        </w:rPr>
      </w:pPr>
      <w:r w:rsidRPr="00C66CAA">
        <w:rPr>
          <w:rFonts w:ascii="Palatino Linotype" w:eastAsia="Palatino Linotype" w:hAnsi="Palatino Linotype" w:cs="Palatino Linotype"/>
          <w:i/>
        </w:rPr>
        <w:t>ATENTAMENTE</w:t>
      </w:r>
    </w:p>
    <w:p w14:paraId="515C18A3" w14:textId="73783A32" w:rsidR="00E82C95" w:rsidRPr="00C66CAA" w:rsidRDefault="00D91329" w:rsidP="00D91329">
      <w:pPr>
        <w:spacing w:before="240" w:after="240"/>
        <w:ind w:left="567" w:right="902"/>
        <w:jc w:val="both"/>
        <w:rPr>
          <w:rFonts w:ascii="Palatino Linotype" w:eastAsia="Palatino Linotype" w:hAnsi="Palatino Linotype" w:cs="Palatino Linotype"/>
          <w:i/>
        </w:rPr>
      </w:pPr>
      <w:r w:rsidRPr="00C66CAA">
        <w:rPr>
          <w:rFonts w:ascii="Palatino Linotype" w:eastAsia="Palatino Linotype" w:hAnsi="Palatino Linotype" w:cs="Palatino Linotype"/>
          <w:i/>
        </w:rPr>
        <w:t>BRENDA SELENE HERNANDEZ LOPEZ</w:t>
      </w:r>
      <w:r w:rsidR="000C0903" w:rsidRPr="00C66CAA">
        <w:rPr>
          <w:rFonts w:ascii="Palatino Linotype" w:eastAsia="Palatino Linotype" w:hAnsi="Palatino Linotype" w:cs="Palatino Linotype"/>
          <w:i/>
        </w:rPr>
        <w:t>” (Sic)</w:t>
      </w:r>
    </w:p>
    <w:p w14:paraId="5529FB02" w14:textId="3C4AFEFD" w:rsidR="00E82C95" w:rsidRPr="00C66CAA" w:rsidRDefault="000C0903">
      <w:pPr>
        <w:spacing w:before="240" w:after="240"/>
        <w:ind w:left="567" w:right="902"/>
        <w:jc w:val="both"/>
        <w:rPr>
          <w:rFonts w:ascii="Palatino Linotype" w:eastAsia="Palatino Linotype" w:hAnsi="Palatino Linotype" w:cs="Palatino Linotype"/>
          <w:b/>
        </w:rPr>
      </w:pPr>
      <w:r w:rsidRPr="00C66CAA">
        <w:rPr>
          <w:rFonts w:ascii="Palatino Linotype" w:eastAsia="Palatino Linotype" w:hAnsi="Palatino Linotype" w:cs="Palatino Linotype"/>
          <w:b/>
        </w:rPr>
        <w:t>Archivos adjuntos:</w:t>
      </w:r>
    </w:p>
    <w:p w14:paraId="609EFCFD" w14:textId="37330E51" w:rsidR="00A31D8E" w:rsidRPr="00C66CAA" w:rsidRDefault="00D91329" w:rsidP="00A31D8E">
      <w:pPr>
        <w:spacing w:before="240" w:after="240" w:line="276" w:lineRule="auto"/>
        <w:ind w:left="567" w:right="902"/>
        <w:jc w:val="both"/>
        <w:rPr>
          <w:rFonts w:ascii="Palatino Linotype" w:eastAsia="Palatino Linotype" w:hAnsi="Palatino Linotype" w:cs="Palatino Linotype"/>
        </w:rPr>
      </w:pPr>
      <w:r w:rsidRPr="00C66CAA">
        <w:rPr>
          <w:rFonts w:ascii="Palatino Linotype" w:eastAsia="Palatino Linotype" w:hAnsi="Palatino Linotype" w:cs="Palatino Linotype"/>
          <w:b/>
          <w:i/>
        </w:rPr>
        <w:t xml:space="preserve">“solicitud de información 00252-2025.pdf”:  </w:t>
      </w:r>
      <w:r w:rsidRPr="00C66CAA">
        <w:rPr>
          <w:rFonts w:ascii="Palatino Linotype" w:eastAsia="Palatino Linotype" w:hAnsi="Palatino Linotype" w:cs="Palatino Linotype"/>
        </w:rPr>
        <w:t xml:space="preserve">Oficio ZIN/UIPPE/075/2025, suscrito por el titular de la Unidad de Información, Programación, Planeación y Evaluación, por el cual refiere que </w:t>
      </w:r>
      <w:r w:rsidRPr="00C66CAA">
        <w:rPr>
          <w:rFonts w:ascii="Palatino Linotype" w:eastAsia="Palatino Linotype" w:hAnsi="Palatino Linotype" w:cs="Palatino Linotype"/>
          <w:b/>
        </w:rPr>
        <w:t>lo que se realiza es el respaldo de base de datos de manera semanal; lo anterior con fundamento en el artículo 12 párrafo segundo de la Ley de Transparencia y Acceso a la Información Pública del Estado de México y Municipios</w:t>
      </w:r>
      <w:r w:rsidRPr="00C66CAA">
        <w:rPr>
          <w:rFonts w:ascii="Palatino Linotype" w:eastAsia="Palatino Linotype" w:hAnsi="Palatino Linotype" w:cs="Palatino Linotype"/>
        </w:rPr>
        <w:t>.</w:t>
      </w:r>
    </w:p>
    <w:p w14:paraId="53CE507B" w14:textId="30606A28" w:rsidR="00D91329" w:rsidRPr="00C66CAA" w:rsidRDefault="00D91329" w:rsidP="003D1D44">
      <w:pPr>
        <w:spacing w:before="240" w:after="240" w:line="360" w:lineRule="auto"/>
        <w:ind w:left="567" w:right="902"/>
        <w:jc w:val="both"/>
        <w:rPr>
          <w:rFonts w:ascii="Palatino Linotype" w:eastAsia="Palatino Linotype" w:hAnsi="Palatino Linotype" w:cs="Palatino Linotype"/>
        </w:rPr>
      </w:pPr>
      <w:r w:rsidRPr="00C66CAA">
        <w:rPr>
          <w:rFonts w:ascii="Palatino Linotype" w:eastAsia="Palatino Linotype" w:hAnsi="Palatino Linotype" w:cs="Palatino Linotype"/>
          <w:b/>
          <w:i/>
        </w:rPr>
        <w:lastRenderedPageBreak/>
        <w:t>“RESPUESTA SOLICITUD 252.pdf”:</w:t>
      </w:r>
      <w:r w:rsidR="00A31D8E" w:rsidRPr="00C66CAA">
        <w:rPr>
          <w:rFonts w:ascii="Palatino Linotype" w:eastAsia="Palatino Linotype" w:hAnsi="Palatino Linotype" w:cs="Palatino Linotype"/>
          <w:b/>
          <w:i/>
        </w:rPr>
        <w:t xml:space="preserve"> </w:t>
      </w:r>
      <w:r w:rsidR="00A31D8E" w:rsidRPr="00C66CAA">
        <w:rPr>
          <w:rFonts w:ascii="Palatino Linotype" w:eastAsia="Palatino Linotype" w:hAnsi="Palatino Linotype" w:cs="Palatino Linotype"/>
        </w:rPr>
        <w:t>Documento que se compone de una foja y medularmente contiene el oficio por el que se notifica la respuesta al solicitante, por parte de la persona titular de la Unidad de Transparencia.</w:t>
      </w:r>
    </w:p>
    <w:p w14:paraId="704A3A65" w14:textId="3D6F0DC4" w:rsidR="00E82C95" w:rsidRPr="00C66CAA" w:rsidRDefault="000C0903">
      <w:pPr>
        <w:spacing w:before="240" w:after="240" w:line="360" w:lineRule="auto"/>
        <w:ind w:right="49"/>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3. Interposición del recurso de revisión. </w:t>
      </w:r>
      <w:r w:rsidRPr="00C66CAA">
        <w:rPr>
          <w:rFonts w:ascii="Palatino Linotype" w:eastAsia="Palatino Linotype" w:hAnsi="Palatino Linotype" w:cs="Palatino Linotype"/>
        </w:rPr>
        <w:t xml:space="preserve">Inconforme con los términos de la respuesta emitida por parte del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el</w:t>
      </w:r>
      <w:r w:rsidRPr="00C66CAA">
        <w:rPr>
          <w:rFonts w:ascii="Palatino Linotype" w:eastAsia="Palatino Linotype" w:hAnsi="Palatino Linotype" w:cs="Palatino Linotype"/>
          <w:b/>
        </w:rPr>
        <w:t xml:space="preserve"> </w:t>
      </w:r>
      <w:r w:rsidR="00A31D8E" w:rsidRPr="00C66CAA">
        <w:rPr>
          <w:rFonts w:ascii="Palatino Linotype" w:eastAsia="Palatino Linotype" w:hAnsi="Palatino Linotype" w:cs="Palatino Linotype"/>
          <w:b/>
        </w:rPr>
        <w:t>seis de mayo</w:t>
      </w:r>
      <w:r w:rsidRPr="00C66CAA">
        <w:rPr>
          <w:rFonts w:ascii="Palatino Linotype" w:eastAsia="Palatino Linotype" w:hAnsi="Palatino Linotype" w:cs="Palatino Linotype"/>
          <w:b/>
        </w:rPr>
        <w:t xml:space="preserve"> de dos mil veinticinco,</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xml:space="preserve"> interpuso el recurso de revisión a través de </w:t>
      </w:r>
      <w:r w:rsidRPr="00C66CAA">
        <w:rPr>
          <w:rFonts w:ascii="Palatino Linotype" w:eastAsia="Palatino Linotype" w:hAnsi="Palatino Linotype" w:cs="Palatino Linotype"/>
          <w:b/>
        </w:rPr>
        <w:t xml:space="preserve">SAIMEX, </w:t>
      </w:r>
      <w:r w:rsidRPr="00C66CAA">
        <w:rPr>
          <w:rFonts w:ascii="Palatino Linotype" w:eastAsia="Palatino Linotype" w:hAnsi="Palatino Linotype" w:cs="Palatino Linotype"/>
        </w:rPr>
        <w:t>en donde se manifestó de la siguiente manera:</w:t>
      </w:r>
    </w:p>
    <w:p w14:paraId="6AAF2202" w14:textId="38CAB675" w:rsidR="00E82C95" w:rsidRPr="00C66CAA" w:rsidRDefault="000C0903">
      <w:pPr>
        <w:tabs>
          <w:tab w:val="left" w:pos="2745"/>
        </w:tabs>
        <w:spacing w:before="240" w:after="240"/>
        <w:ind w:left="567" w:right="900"/>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a) Acto impugnado: </w:t>
      </w:r>
      <w:r w:rsidRPr="00C66CAA">
        <w:rPr>
          <w:rFonts w:ascii="Palatino Linotype" w:eastAsia="Palatino Linotype" w:hAnsi="Palatino Linotype" w:cs="Palatino Linotype"/>
          <w:i/>
        </w:rPr>
        <w:t>“</w:t>
      </w:r>
      <w:r w:rsidR="00A31D8E" w:rsidRPr="00C66CAA">
        <w:rPr>
          <w:rFonts w:ascii="Palatino Linotype" w:eastAsia="Palatino Linotype" w:hAnsi="Palatino Linotype" w:cs="Palatino Linotype"/>
          <w:i/>
        </w:rPr>
        <w:t>NO ENTREGA INFORMACION</w:t>
      </w:r>
      <w:r w:rsidRPr="00C66CAA">
        <w:rPr>
          <w:rFonts w:ascii="Palatino Linotype" w:eastAsia="Palatino Linotype" w:hAnsi="Palatino Linotype" w:cs="Palatino Linotype"/>
          <w:i/>
        </w:rPr>
        <w:t>” (Sic)</w:t>
      </w:r>
    </w:p>
    <w:p w14:paraId="5BB8A787" w14:textId="3052C210" w:rsidR="00E82C95" w:rsidRPr="00C66CAA" w:rsidRDefault="000C0903">
      <w:pPr>
        <w:spacing w:line="276" w:lineRule="auto"/>
        <w:ind w:left="567" w:right="900"/>
        <w:jc w:val="both"/>
        <w:rPr>
          <w:rFonts w:ascii="Palatino Linotype" w:eastAsia="Palatino Linotype" w:hAnsi="Palatino Linotype" w:cs="Palatino Linotype"/>
          <w:i/>
        </w:rPr>
      </w:pPr>
      <w:bookmarkStart w:id="2" w:name="_heading=h.30j0zll" w:colFirst="0" w:colLast="0"/>
      <w:bookmarkEnd w:id="2"/>
      <w:r w:rsidRPr="00C66CAA">
        <w:rPr>
          <w:rFonts w:ascii="Palatino Linotype" w:eastAsia="Palatino Linotype" w:hAnsi="Palatino Linotype" w:cs="Palatino Linotype"/>
          <w:b/>
        </w:rPr>
        <w:t>b) Razones o motivos de inconformidad</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i/>
        </w:rPr>
        <w:t>“</w:t>
      </w:r>
      <w:r w:rsidR="00A31D8E" w:rsidRPr="00C66CAA">
        <w:rPr>
          <w:rFonts w:ascii="Palatino Linotype" w:eastAsia="Palatino Linotype" w:hAnsi="Palatino Linotype" w:cs="Palatino Linotype"/>
          <w:i/>
        </w:rPr>
        <w:t>NO ENTREGA INFORMACION</w:t>
      </w:r>
      <w:r w:rsidRPr="00C66CAA">
        <w:rPr>
          <w:rFonts w:ascii="Palatino Linotype" w:eastAsia="Palatino Linotype" w:hAnsi="Palatino Linotype" w:cs="Palatino Linotype"/>
          <w:i/>
        </w:rPr>
        <w:t>” (Sic)</w:t>
      </w:r>
    </w:p>
    <w:p w14:paraId="55FFC919" w14:textId="77777777" w:rsidR="00E82C95" w:rsidRPr="00C66CAA" w:rsidRDefault="000C0903">
      <w:pPr>
        <w:spacing w:before="240" w:after="240" w:line="360" w:lineRule="auto"/>
        <w:ind w:right="51"/>
        <w:jc w:val="both"/>
        <w:rPr>
          <w:rFonts w:ascii="Palatino Linotype" w:eastAsia="Palatino Linotype" w:hAnsi="Palatino Linotype" w:cs="Palatino Linotype"/>
        </w:rPr>
      </w:pPr>
      <w:r w:rsidRPr="00C66CAA">
        <w:rPr>
          <w:rFonts w:ascii="Palatino Linotype" w:eastAsia="Palatino Linotype" w:hAnsi="Palatino Linotype" w:cs="Palatino Linotype"/>
          <w:b/>
        </w:rPr>
        <w:t xml:space="preserve">4. Turno. </w:t>
      </w:r>
      <w:r w:rsidRPr="00C66CA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C66CAA">
        <w:rPr>
          <w:rFonts w:ascii="Palatino Linotype" w:eastAsia="Palatino Linotype" w:hAnsi="Palatino Linotype" w:cs="Palatino Linotype"/>
          <w:b/>
        </w:rPr>
        <w:t xml:space="preserve">Comisionada Guadalupe Ramírez Peña, </w:t>
      </w:r>
      <w:r w:rsidRPr="00C66CAA">
        <w:rPr>
          <w:rFonts w:ascii="Palatino Linotype" w:eastAsia="Palatino Linotype" w:hAnsi="Palatino Linotype" w:cs="Palatino Linotype"/>
        </w:rPr>
        <w:t xml:space="preserve">a efecto de que analizara sobre su admisión o su </w:t>
      </w:r>
      <w:proofErr w:type="spellStart"/>
      <w:r w:rsidRPr="00C66CAA">
        <w:rPr>
          <w:rFonts w:ascii="Palatino Linotype" w:eastAsia="Palatino Linotype" w:hAnsi="Palatino Linotype" w:cs="Palatino Linotype"/>
        </w:rPr>
        <w:t>desechamiento</w:t>
      </w:r>
      <w:proofErr w:type="spellEnd"/>
      <w:r w:rsidRPr="00C66CAA">
        <w:rPr>
          <w:rFonts w:ascii="Palatino Linotype" w:eastAsia="Palatino Linotype" w:hAnsi="Palatino Linotype" w:cs="Palatino Linotype"/>
        </w:rPr>
        <w:t>.</w:t>
      </w:r>
    </w:p>
    <w:p w14:paraId="50D2A2DE" w14:textId="2F8CEDB7"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b/>
        </w:rPr>
        <w:t>5. Admisión del Recurso de revisión.</w:t>
      </w:r>
      <w:r w:rsidRPr="00C66CAA">
        <w:rPr>
          <w:rFonts w:ascii="Palatino Linotype" w:eastAsia="Palatino Linotype" w:hAnsi="Palatino Linotype" w:cs="Palatino Linotype"/>
        </w:rPr>
        <w:t xml:space="preserve"> El </w:t>
      </w:r>
      <w:r w:rsidR="00A31D8E" w:rsidRPr="00C66CAA">
        <w:rPr>
          <w:rFonts w:ascii="Palatino Linotype" w:eastAsia="Palatino Linotype" w:hAnsi="Palatino Linotype" w:cs="Palatino Linotype"/>
          <w:b/>
        </w:rPr>
        <w:t>nueve</w:t>
      </w:r>
      <w:r w:rsidR="003569B6"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b/>
        </w:rPr>
        <w:t xml:space="preserve">de </w:t>
      </w:r>
      <w:r w:rsidR="00A31D8E" w:rsidRPr="00C66CAA">
        <w:rPr>
          <w:rFonts w:ascii="Palatino Linotype" w:eastAsia="Palatino Linotype" w:hAnsi="Palatino Linotype" w:cs="Palatino Linotype"/>
          <w:b/>
        </w:rPr>
        <w:t>mayo</w:t>
      </w:r>
      <w:r w:rsidR="003569B6"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b/>
        </w:rPr>
        <w:t xml:space="preserve">de dos mil veinticinco, </w:t>
      </w:r>
      <w:r w:rsidRPr="00C66CA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w:t>
      </w:r>
      <w:r w:rsidRPr="00C66CAA">
        <w:rPr>
          <w:rFonts w:ascii="Palatino Linotype" w:eastAsia="Palatino Linotype" w:hAnsi="Palatino Linotype" w:cs="Palatino Linotype"/>
          <w:b/>
        </w:rPr>
        <w:t>la parte Recurrente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rPr>
        <w:lastRenderedPageBreak/>
        <w:t xml:space="preserve">manifestaran lo que a su derecho resultara conveniente, ofrecieran pruebas, formularan alegatos y el </w:t>
      </w:r>
      <w:r w:rsidRPr="00C66CAA">
        <w:rPr>
          <w:rFonts w:ascii="Palatino Linotype" w:eastAsia="Palatino Linotype" w:hAnsi="Palatino Linotype" w:cs="Palatino Linotype"/>
          <w:b/>
        </w:rPr>
        <w:t xml:space="preserve">Sujeto Obligado </w:t>
      </w:r>
      <w:r w:rsidRPr="00C66CAA">
        <w:rPr>
          <w:rFonts w:ascii="Palatino Linotype" w:eastAsia="Palatino Linotype" w:hAnsi="Palatino Linotype" w:cs="Palatino Linotype"/>
        </w:rPr>
        <w:t>presentara su informe justificado.</w:t>
      </w:r>
    </w:p>
    <w:p w14:paraId="0B2C6EEE" w14:textId="313B1971" w:rsidR="0073765D" w:rsidRPr="00C66CAA" w:rsidRDefault="000C0903" w:rsidP="003E533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bookmarkStart w:id="3" w:name="_heading=h.2s8eyo1" w:colFirst="0" w:colLast="0"/>
      <w:bookmarkEnd w:id="3"/>
      <w:r w:rsidRPr="00C66CAA">
        <w:rPr>
          <w:rFonts w:ascii="Palatino Linotype" w:eastAsia="Palatino Linotype" w:hAnsi="Palatino Linotype" w:cs="Palatino Linotype"/>
          <w:b/>
        </w:rPr>
        <w:t>6. Manifestaciones e Informe Justificado</w:t>
      </w:r>
      <w:r w:rsidRPr="00C66CAA">
        <w:rPr>
          <w:rFonts w:ascii="Palatino Linotype" w:eastAsia="Palatino Linotype" w:hAnsi="Palatino Linotype" w:cs="Palatino Linotype"/>
        </w:rPr>
        <w:t xml:space="preserve">. De las constancias que integran el expediente en que se actúa se advierte </w:t>
      </w:r>
      <w:r w:rsidR="0073765D" w:rsidRPr="00C66CAA">
        <w:rPr>
          <w:rFonts w:ascii="Palatino Linotype" w:eastAsia="Palatino Linotype" w:hAnsi="Palatino Linotype" w:cs="Palatino Linotype"/>
        </w:rPr>
        <w:t>que,</w:t>
      </w:r>
      <w:r w:rsidRPr="00C66CAA">
        <w:rPr>
          <w:rFonts w:ascii="Palatino Linotype" w:eastAsia="Palatino Linotype" w:hAnsi="Palatino Linotype" w:cs="Palatino Linotype"/>
        </w:rPr>
        <w:t xml:space="preserve"> durante el periodo de manifestaciones e informe justificado, </w:t>
      </w:r>
      <w:r w:rsidR="0073765D" w:rsidRPr="00C66CAA">
        <w:rPr>
          <w:rFonts w:ascii="Palatino Linotype" w:eastAsia="Palatino Linotype" w:hAnsi="Palatino Linotype" w:cs="Palatino Linotype"/>
        </w:rPr>
        <w:t xml:space="preserve">el </w:t>
      </w:r>
      <w:r w:rsidR="0073765D" w:rsidRPr="00C66CAA">
        <w:rPr>
          <w:rFonts w:ascii="Palatino Linotype" w:eastAsia="Palatino Linotype" w:hAnsi="Palatino Linotype" w:cs="Palatino Linotype"/>
          <w:b/>
        </w:rPr>
        <w:t>veintiuno de mayo del dos mil veinticinco</w:t>
      </w:r>
      <w:r w:rsidR="0073765D" w:rsidRPr="00C66CAA">
        <w:rPr>
          <w:rFonts w:ascii="Palatino Linotype" w:eastAsia="Palatino Linotype" w:hAnsi="Palatino Linotype" w:cs="Palatino Linotype"/>
        </w:rPr>
        <w:t xml:space="preserve">, el </w:t>
      </w:r>
      <w:r w:rsidR="0073765D" w:rsidRPr="00C66CAA">
        <w:rPr>
          <w:rFonts w:ascii="Palatino Linotype" w:eastAsia="Palatino Linotype" w:hAnsi="Palatino Linotype" w:cs="Palatino Linotype"/>
          <w:b/>
        </w:rPr>
        <w:t>Sujeto Obligado</w:t>
      </w:r>
      <w:r w:rsidR="0073765D" w:rsidRPr="00C66CAA">
        <w:rPr>
          <w:rFonts w:ascii="Palatino Linotype" w:eastAsia="Palatino Linotype" w:hAnsi="Palatino Linotype" w:cs="Palatino Linotype"/>
        </w:rPr>
        <w:t xml:space="preserve"> adjuntó el archivo electrónico “</w:t>
      </w:r>
      <w:r w:rsidR="0073765D" w:rsidRPr="00C66CAA">
        <w:rPr>
          <w:rFonts w:ascii="Palatino Linotype" w:eastAsia="Palatino Linotype" w:hAnsi="Palatino Linotype" w:cs="Palatino Linotype"/>
          <w:b/>
          <w:i/>
        </w:rPr>
        <w:t xml:space="preserve">SOL 252 UIPPE.pdf”, </w:t>
      </w:r>
      <w:r w:rsidR="0073765D" w:rsidRPr="00C66CAA">
        <w:rPr>
          <w:rFonts w:ascii="Palatino Linotype" w:eastAsia="Palatino Linotype" w:hAnsi="Palatino Linotype" w:cs="Palatino Linotype"/>
        </w:rPr>
        <w:t>el cual contiene el oficio ZIN/UIPPE/128/2025</w:t>
      </w:r>
      <w:r w:rsidR="0073765D" w:rsidRPr="00C66CAA">
        <w:t xml:space="preserve">, </w:t>
      </w:r>
      <w:r w:rsidR="0073765D" w:rsidRPr="00C66CAA">
        <w:rPr>
          <w:rFonts w:ascii="Palatino Linotype" w:hAnsi="Palatino Linotype"/>
        </w:rPr>
        <w:t xml:space="preserve">suscrito </w:t>
      </w:r>
      <w:r w:rsidR="0073765D" w:rsidRPr="00C66CAA">
        <w:rPr>
          <w:rFonts w:ascii="Palatino Linotype" w:eastAsia="Palatino Linotype" w:hAnsi="Palatino Linotype" w:cs="Palatino Linotype"/>
        </w:rPr>
        <w:t>por el titular de la Unidad de Información, Programación, Planeación y Evaluación</w:t>
      </w:r>
      <w:r w:rsidR="00D751F9" w:rsidRPr="00C66CAA">
        <w:rPr>
          <w:rFonts w:ascii="Palatino Linotype" w:eastAsia="Palatino Linotype" w:hAnsi="Palatino Linotype" w:cs="Palatino Linotype"/>
        </w:rPr>
        <w:t>, en el que refiere medularmente que derivado de una búsqueda minuciosa y exhaustiva en los archivos físicos y digitales de la Unidad, no se localizó información documental y/o referente alguno que proporcionar a su solicitud; lo anterior con fundamento en lo establecido en los artículos 12,19 y 24 de la Ley de Transparencia y Acceso a la Información Pública de</w:t>
      </w:r>
      <w:r w:rsidR="003D1D44" w:rsidRPr="00C66CAA">
        <w:rPr>
          <w:rFonts w:ascii="Palatino Linotype" w:eastAsia="Palatino Linotype" w:hAnsi="Palatino Linotype" w:cs="Palatino Linotype"/>
        </w:rPr>
        <w:t>l Estado de México y Municipios.</w:t>
      </w:r>
    </w:p>
    <w:p w14:paraId="25943384" w14:textId="3E91D095" w:rsidR="00E82C95" w:rsidRPr="00C66CAA" w:rsidRDefault="00D751F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Cabe señalar que por cuanto hace a </w:t>
      </w:r>
      <w:r w:rsidRPr="00C66CAA">
        <w:rPr>
          <w:rFonts w:ascii="Palatino Linotype" w:eastAsia="Palatino Linotype" w:hAnsi="Palatino Linotype" w:cs="Palatino Linotype"/>
          <w:b/>
        </w:rPr>
        <w:t>la parte Recurrente</w:t>
      </w:r>
      <w:r w:rsidRPr="00C66CAA">
        <w:rPr>
          <w:rFonts w:ascii="Palatino Linotype" w:eastAsia="Palatino Linotype" w:hAnsi="Palatino Linotype" w:cs="Palatino Linotype"/>
        </w:rPr>
        <w:t xml:space="preserve">, </w:t>
      </w:r>
      <w:r w:rsidR="004C78D7" w:rsidRPr="00C66CAA">
        <w:rPr>
          <w:rFonts w:ascii="Palatino Linotype" w:eastAsia="Palatino Linotype" w:hAnsi="Palatino Linotype" w:cs="Palatino Linotype"/>
        </w:rPr>
        <w:t xml:space="preserve">se tiene constancia que fue omisa en </w:t>
      </w:r>
      <w:r w:rsidR="008A0DB3" w:rsidRPr="00C66CAA">
        <w:rPr>
          <w:rFonts w:ascii="Palatino Linotype" w:eastAsia="Palatino Linotype" w:hAnsi="Palatino Linotype" w:cs="Palatino Linotype"/>
        </w:rPr>
        <w:t xml:space="preserve">pronunciarse al respecto, por </w:t>
      </w:r>
      <w:r w:rsidR="000C0903" w:rsidRPr="00C66CAA">
        <w:rPr>
          <w:rFonts w:ascii="Palatino Linotype" w:eastAsia="Palatino Linotype" w:hAnsi="Palatino Linotype" w:cs="Palatino Linotype"/>
        </w:rPr>
        <w:t>lo que se tiene por precluido su derecho para tal efecto.</w:t>
      </w:r>
      <w:r w:rsidR="000C0903" w:rsidRPr="00C66CAA">
        <w:rPr>
          <w:rFonts w:ascii="Palatino Linotype" w:eastAsia="Palatino Linotype" w:hAnsi="Palatino Linotype" w:cs="Palatino Linotype"/>
          <w:b/>
        </w:rPr>
        <w:t xml:space="preserve"> </w:t>
      </w:r>
    </w:p>
    <w:p w14:paraId="418908F3" w14:textId="33F68297" w:rsidR="003569B6" w:rsidRPr="00C66CAA" w:rsidRDefault="000C0903" w:rsidP="003569B6">
      <w:pPr>
        <w:spacing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b/>
        </w:rPr>
        <w:t xml:space="preserve">7. Ampliación del término para resolver. </w:t>
      </w:r>
      <w:r w:rsidR="003569B6" w:rsidRPr="00C66CAA">
        <w:rPr>
          <w:rFonts w:ascii="Palatino Linotype" w:eastAsia="Palatino Linotype" w:hAnsi="Palatino Linotype" w:cs="Palatino Linotype"/>
        </w:rPr>
        <w:t>El</w:t>
      </w:r>
      <w:r w:rsidR="00B577E7" w:rsidRPr="00C66CAA">
        <w:rPr>
          <w:rFonts w:ascii="Palatino Linotype" w:eastAsia="Palatino Linotype" w:hAnsi="Palatino Linotype" w:cs="Palatino Linotype"/>
          <w:b/>
        </w:rPr>
        <w:t xml:space="preserve"> veintiuno </w:t>
      </w:r>
      <w:r w:rsidR="004C78D7" w:rsidRPr="00C66CAA">
        <w:rPr>
          <w:rFonts w:ascii="Palatino Linotype" w:eastAsia="Palatino Linotype" w:hAnsi="Palatino Linotype" w:cs="Palatino Linotype"/>
          <w:b/>
        </w:rPr>
        <w:t>de agosto</w:t>
      </w:r>
      <w:r w:rsidR="003569B6" w:rsidRPr="00C66CAA">
        <w:rPr>
          <w:rFonts w:ascii="Palatino Linotype" w:eastAsia="Palatino Linotype" w:hAnsi="Palatino Linotype" w:cs="Palatino Linotype"/>
          <w:b/>
        </w:rPr>
        <w:t xml:space="preserve"> de dos mil veinticinco, </w:t>
      </w:r>
      <w:r w:rsidR="003569B6" w:rsidRPr="00C66CAA">
        <w:rPr>
          <w:rFonts w:ascii="Palatino Linotype" w:eastAsia="Palatino Linotype" w:hAnsi="Palatino Linotype" w:cs="Palatino Linotype"/>
        </w:rPr>
        <w:t>se notificó a las partes, el acuerdo que amplía el término para resolver el recurso de revisión en términos del artículo 181 párrafo tercero de la Ley de Transparencia y Acceso a la Información Pública del Estado de México y Municipios.</w:t>
      </w:r>
    </w:p>
    <w:p w14:paraId="6132A7BA" w14:textId="3F3B8510"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w:t>
      </w:r>
      <w:r w:rsidRPr="00C66CAA">
        <w:rPr>
          <w:rFonts w:ascii="Palatino Linotype" w:eastAsia="Palatino Linotype" w:hAnsi="Palatino Linotype" w:cs="Palatino Linotype"/>
        </w:rPr>
        <w:lastRenderedPageBreak/>
        <w:t xml:space="preserve">recibidos, circunstancia atípica que ha rebasado las capacidades técnicas y humanas del personal encargado de la proyección de las resoluciones </w:t>
      </w:r>
      <w:r w:rsidR="003D1D44" w:rsidRPr="00C66CAA">
        <w:rPr>
          <w:rFonts w:ascii="Palatino Linotype" w:eastAsia="Palatino Linotype" w:hAnsi="Palatino Linotype" w:cs="Palatino Linotype"/>
        </w:rPr>
        <w:t>a dichos medios de impugnación.</w:t>
      </w:r>
    </w:p>
    <w:p w14:paraId="5692BD9B" w14:textId="3F3F1A30"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w:t>
      </w:r>
      <w:r w:rsidR="003D1D44" w:rsidRPr="00C66CAA">
        <w:rPr>
          <w:rFonts w:ascii="Palatino Linotype" w:eastAsia="Palatino Linotype" w:hAnsi="Palatino Linotype" w:cs="Palatino Linotype"/>
        </w:rPr>
        <w:t>nálogos, como el que nos ocupa.</w:t>
      </w:r>
    </w:p>
    <w:p w14:paraId="2366B22B" w14:textId="5543B34F"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w:t>
      </w:r>
      <w:r w:rsidR="003D1D44" w:rsidRPr="00C66CAA">
        <w:rPr>
          <w:rFonts w:ascii="Palatino Linotype" w:eastAsia="Palatino Linotype" w:hAnsi="Palatino Linotype" w:cs="Palatino Linotype"/>
        </w:rPr>
        <w:t>esto es, en un plazo razonable.</w:t>
      </w:r>
    </w:p>
    <w:p w14:paraId="35CDEA86" w14:textId="77777777"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B3794D" w14:textId="6C0C3520" w:rsidR="003569B6" w:rsidRPr="00C66CAA" w:rsidRDefault="003569B6" w:rsidP="003569B6">
      <w:pPr>
        <w:spacing w:line="360" w:lineRule="auto"/>
        <w:jc w:val="both"/>
        <w:rPr>
          <w:rFonts w:ascii="Palatino Linotype" w:eastAsia="Palatino Linotype" w:hAnsi="Palatino Linotype" w:cs="Palatino Linotype"/>
          <w:strike/>
        </w:rPr>
      </w:pPr>
      <w:r w:rsidRPr="00C66CA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D415A2A" w14:textId="77777777" w:rsidR="003569B6" w:rsidRPr="00C66CAA" w:rsidRDefault="003569B6" w:rsidP="003569B6">
      <w:pPr>
        <w:numPr>
          <w:ilvl w:val="0"/>
          <w:numId w:val="4"/>
        </w:numPr>
        <w:spacing w:line="360" w:lineRule="auto"/>
        <w:ind w:left="567" w:right="709" w:hanging="283"/>
        <w:jc w:val="both"/>
        <w:rPr>
          <w:rFonts w:ascii="Palatino Linotype" w:eastAsia="Palatino Linotype" w:hAnsi="Palatino Linotype" w:cs="Palatino Linotype"/>
        </w:rPr>
      </w:pPr>
      <w:r w:rsidRPr="00C66CAA">
        <w:rPr>
          <w:rFonts w:ascii="Palatino Linotype" w:eastAsia="Palatino Linotype" w:hAnsi="Palatino Linotype" w:cs="Palatino Linotype"/>
          <w:b/>
        </w:rPr>
        <w:lastRenderedPageBreak/>
        <w:t>Complejidad del Asunto:</w:t>
      </w:r>
      <w:r w:rsidRPr="00C66CAA">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F2CB2E7" w14:textId="77777777" w:rsidR="003569B6" w:rsidRPr="00C66CAA" w:rsidRDefault="003569B6" w:rsidP="003569B6">
      <w:pPr>
        <w:numPr>
          <w:ilvl w:val="0"/>
          <w:numId w:val="4"/>
        </w:numPr>
        <w:spacing w:line="360" w:lineRule="auto"/>
        <w:ind w:left="567" w:right="709" w:hanging="283"/>
        <w:jc w:val="both"/>
        <w:rPr>
          <w:rFonts w:ascii="Palatino Linotype" w:eastAsia="Palatino Linotype" w:hAnsi="Palatino Linotype" w:cs="Palatino Linotype"/>
        </w:rPr>
      </w:pPr>
      <w:r w:rsidRPr="00C66CAA">
        <w:rPr>
          <w:rFonts w:ascii="Palatino Linotype" w:eastAsia="Palatino Linotype" w:hAnsi="Palatino Linotype" w:cs="Palatino Linotype"/>
          <w:b/>
        </w:rPr>
        <w:t>Actividad Procesal del interesado</w:t>
      </w:r>
      <w:r w:rsidRPr="00C66CAA">
        <w:rPr>
          <w:rFonts w:ascii="Palatino Linotype" w:eastAsia="Palatino Linotype" w:hAnsi="Palatino Linotype" w:cs="Palatino Linotype"/>
        </w:rPr>
        <w:t>. Acciones u omisiones del interesado.</w:t>
      </w:r>
    </w:p>
    <w:p w14:paraId="20D84A38" w14:textId="77777777" w:rsidR="003569B6" w:rsidRPr="00C66CAA" w:rsidRDefault="003569B6" w:rsidP="003569B6">
      <w:pPr>
        <w:numPr>
          <w:ilvl w:val="0"/>
          <w:numId w:val="4"/>
        </w:numPr>
        <w:spacing w:line="360" w:lineRule="auto"/>
        <w:ind w:left="567" w:right="709" w:hanging="283"/>
        <w:jc w:val="both"/>
        <w:rPr>
          <w:rFonts w:ascii="Palatino Linotype" w:eastAsia="Palatino Linotype" w:hAnsi="Palatino Linotype" w:cs="Palatino Linotype"/>
        </w:rPr>
      </w:pPr>
      <w:r w:rsidRPr="00C66CAA">
        <w:rPr>
          <w:rFonts w:ascii="Palatino Linotype" w:eastAsia="Palatino Linotype" w:hAnsi="Palatino Linotype" w:cs="Palatino Linotype"/>
          <w:b/>
        </w:rPr>
        <w:t>Conducta de la Autoridad:</w:t>
      </w:r>
      <w:r w:rsidRPr="00C66CAA">
        <w:rPr>
          <w:rFonts w:ascii="Palatino Linotype" w:eastAsia="Palatino Linotype" w:hAnsi="Palatino Linotype" w:cs="Palatino Linotype"/>
        </w:rPr>
        <w:t xml:space="preserve"> Las Acciones u omisiones realizadas en el procedimiento. Así como si la autoridad actuó con la debida diligencia.</w:t>
      </w:r>
    </w:p>
    <w:p w14:paraId="24A41B64" w14:textId="77777777" w:rsidR="003569B6" w:rsidRPr="00C66CAA" w:rsidRDefault="003569B6" w:rsidP="003569B6">
      <w:pPr>
        <w:spacing w:line="360" w:lineRule="auto"/>
        <w:ind w:left="567" w:right="709" w:hanging="283"/>
        <w:jc w:val="both"/>
        <w:rPr>
          <w:rFonts w:ascii="Palatino Linotype" w:eastAsia="Palatino Linotype" w:hAnsi="Palatino Linotype" w:cs="Palatino Linotype"/>
        </w:rPr>
      </w:pPr>
      <w:r w:rsidRPr="00C66CAA">
        <w:rPr>
          <w:rFonts w:ascii="Palatino Linotype" w:eastAsia="Palatino Linotype" w:hAnsi="Palatino Linotype" w:cs="Palatino Linotype"/>
          <w:b/>
        </w:rPr>
        <w:t>d) La afectación generada en la situación jurídica de la persona involucrada en el proceso:</w:t>
      </w:r>
      <w:r w:rsidRPr="00C66CAA">
        <w:rPr>
          <w:rFonts w:ascii="Palatino Linotype" w:eastAsia="Palatino Linotype" w:hAnsi="Palatino Linotype" w:cs="Palatino Linotype"/>
        </w:rPr>
        <w:t xml:space="preserve"> Violación a sus derechos humanos.</w:t>
      </w:r>
    </w:p>
    <w:p w14:paraId="22EB0BC7" w14:textId="350D7713"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6FA673" w14:textId="30CF005F" w:rsidR="003569B6" w:rsidRPr="00C66CAA" w:rsidRDefault="003569B6" w:rsidP="003569B6">
      <w:pPr>
        <w:spacing w:line="360" w:lineRule="auto"/>
        <w:jc w:val="both"/>
        <w:rPr>
          <w:rFonts w:ascii="Palatino Linotype" w:eastAsia="Palatino Linotype" w:hAnsi="Palatino Linotype" w:cs="Palatino Linotype"/>
          <w:b/>
        </w:rPr>
      </w:pPr>
      <w:r w:rsidRPr="00C66CA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66CA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66CAA">
        <w:rPr>
          <w:rFonts w:ascii="Palatino Linotype" w:eastAsia="Palatino Linotype" w:hAnsi="Palatino Linotype" w:cs="Palatino Linotype"/>
        </w:rPr>
        <w:t>, visible en la Gaceta del Seminario Judicial de la Federación con el registro digital 205635.</w:t>
      </w:r>
    </w:p>
    <w:p w14:paraId="06518A82" w14:textId="77777777" w:rsidR="003569B6" w:rsidRPr="00C66CAA" w:rsidRDefault="003569B6" w:rsidP="003569B6">
      <w:pPr>
        <w:spacing w:line="360" w:lineRule="auto"/>
        <w:jc w:val="both"/>
        <w:rPr>
          <w:rFonts w:ascii="Palatino Linotype" w:eastAsia="Palatino Linotype" w:hAnsi="Palatino Linotype" w:cs="Palatino Linotype"/>
        </w:rPr>
      </w:pPr>
    </w:p>
    <w:p w14:paraId="013B531B" w14:textId="77777777"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150AB5" w14:textId="6A95B670"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3BF81ED" w14:textId="29239E86" w:rsidR="003569B6" w:rsidRPr="00C66CAA" w:rsidRDefault="003569B6" w:rsidP="003569B6">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i/>
        </w:rPr>
        <w:t>“PLAZO RAZONABLE PARA RESOLVER. DIMENSIÓN Y EFECTOS DE ESTE CONCEPTO CUANDO SE ADUCE EXCESIVA CARGA DE TRABAJO.”</w:t>
      </w:r>
      <w:r w:rsidRPr="00C66CAA">
        <w:rPr>
          <w:rFonts w:ascii="Palatino Linotype" w:eastAsia="Palatino Linotype" w:hAnsi="Palatino Linotype" w:cs="Palatino Linotype"/>
        </w:rPr>
        <w:t xml:space="preserve"> consultable en el Seminario Judicial de la Federación y su gaceta, c</w:t>
      </w:r>
      <w:r w:rsidR="003D1D44" w:rsidRPr="00C66CAA">
        <w:rPr>
          <w:rFonts w:ascii="Palatino Linotype" w:eastAsia="Palatino Linotype" w:hAnsi="Palatino Linotype" w:cs="Palatino Linotype"/>
        </w:rPr>
        <w:t>on el registro digital 2002351.</w:t>
      </w:r>
    </w:p>
    <w:p w14:paraId="6CD8EC34" w14:textId="77777777" w:rsidR="003D1D44" w:rsidRPr="00C66CAA" w:rsidRDefault="003569B6" w:rsidP="006E7124">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i/>
        </w:rPr>
        <w:t>“PLAZO RAZONABLE PARA RESOLVER. CONCEPTO Y ELEMENTOS QUE LO INTEGRAN A LA LUZ DEL DERECHO INTERNACIONAL DE LOS DERECHOS HUMANOS.”</w:t>
      </w:r>
      <w:r w:rsidRPr="00C66CAA">
        <w:rPr>
          <w:rFonts w:ascii="Palatino Linotype" w:eastAsia="Palatino Linotype" w:hAnsi="Palatino Linotype" w:cs="Palatino Linotype"/>
        </w:rPr>
        <w:t>, visible en el Seminario Judicial de la Federación y su gaceta, con el registro digital 2002350.</w:t>
      </w:r>
    </w:p>
    <w:p w14:paraId="1D9C036A" w14:textId="02E96BC4" w:rsidR="008A0DB3" w:rsidRPr="00C66CAA" w:rsidRDefault="003569B6" w:rsidP="006E7124">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14:paraId="053BBA2D" w14:textId="6054054C" w:rsidR="00E82C95" w:rsidRPr="00C66CAA" w:rsidRDefault="000C0903">
      <w:pPr>
        <w:spacing w:after="240" w:line="360" w:lineRule="auto"/>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8. Cierre de instrucción. </w:t>
      </w:r>
      <w:r w:rsidRPr="00C66CA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9450AE" w:rsidRPr="00C66CAA">
        <w:rPr>
          <w:rFonts w:ascii="Palatino Linotype" w:eastAsia="Palatino Linotype" w:hAnsi="Palatino Linotype" w:cs="Palatino Linotype"/>
          <w:b/>
        </w:rPr>
        <w:t xml:space="preserve">veintiséis </w:t>
      </w:r>
      <w:r w:rsidRPr="00C66CAA">
        <w:rPr>
          <w:rFonts w:ascii="Palatino Linotype" w:eastAsia="Palatino Linotype" w:hAnsi="Palatino Linotype" w:cs="Palatino Linotype"/>
          <w:b/>
        </w:rPr>
        <w:t xml:space="preserve">de </w:t>
      </w:r>
      <w:r w:rsidR="004C78D7" w:rsidRPr="00C66CAA">
        <w:rPr>
          <w:rFonts w:ascii="Palatino Linotype" w:eastAsia="Palatino Linotype" w:hAnsi="Palatino Linotype" w:cs="Palatino Linotype"/>
          <w:b/>
        </w:rPr>
        <w:t>agost</w:t>
      </w:r>
      <w:r w:rsidR="003569B6" w:rsidRPr="00C66CAA">
        <w:rPr>
          <w:rFonts w:ascii="Palatino Linotype" w:eastAsia="Palatino Linotype" w:hAnsi="Palatino Linotype" w:cs="Palatino Linotype"/>
          <w:b/>
        </w:rPr>
        <w:t>o</w:t>
      </w:r>
      <w:r w:rsidRPr="00C66CAA">
        <w:rPr>
          <w:rFonts w:ascii="Palatino Linotype" w:eastAsia="Palatino Linotype" w:hAnsi="Palatino Linotype" w:cs="Palatino Linotype"/>
          <w:b/>
        </w:rPr>
        <w:t xml:space="preserve"> de dos mil veinticinco,</w:t>
      </w:r>
      <w:r w:rsidRPr="00C66CAA">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188A1554" w14:textId="55233AEE" w:rsidR="00B76628"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4CD2377D" w14:textId="77777777" w:rsidR="00E82C95" w:rsidRPr="00C66CAA" w:rsidRDefault="000C0903">
      <w:pPr>
        <w:widowControl w:val="0"/>
        <w:spacing w:before="240" w:after="240" w:line="360" w:lineRule="auto"/>
        <w:jc w:val="center"/>
        <w:rPr>
          <w:rFonts w:ascii="Palatino Linotype" w:eastAsia="Palatino Linotype" w:hAnsi="Palatino Linotype" w:cs="Palatino Linotype"/>
          <w:b/>
        </w:rPr>
      </w:pPr>
      <w:r w:rsidRPr="00C66CAA">
        <w:rPr>
          <w:rFonts w:ascii="Palatino Linotype" w:eastAsia="Palatino Linotype" w:hAnsi="Palatino Linotype" w:cs="Palatino Linotype"/>
          <w:b/>
        </w:rPr>
        <w:t>II. C O N S I D E R A N D O S</w:t>
      </w:r>
    </w:p>
    <w:p w14:paraId="37A7A036" w14:textId="6A758090"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b/>
        </w:rPr>
        <w:t>Primero. Competencia.</w:t>
      </w:r>
      <w:r w:rsidRPr="00C66CA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C66CAA">
        <w:rPr>
          <w:rFonts w:ascii="Palatino Linotype" w:eastAsia="Palatino Linotype" w:hAnsi="Palatino Linotype" w:cs="Palatino Linotype"/>
          <w:b/>
        </w:rPr>
        <w:t>la parte Recurrente</w:t>
      </w:r>
      <w:r w:rsidRPr="00C66CAA">
        <w:rPr>
          <w:rFonts w:ascii="Palatino Linotype" w:eastAsia="Palatino Linotype" w:hAnsi="Palatino Linotype" w:cs="Palatino Linotype"/>
        </w:rPr>
        <w:t>, conforme a lo dispuesto en los artículos 6, apartado A de la Constitución Política de los Estados Unidos Mexican</w:t>
      </w:r>
      <w:r w:rsidR="003C17D7" w:rsidRPr="00C66CAA">
        <w:rPr>
          <w:rFonts w:ascii="Palatino Linotype" w:eastAsia="Palatino Linotype" w:hAnsi="Palatino Linotype" w:cs="Palatino Linotype"/>
        </w:rPr>
        <w:t>os; 5 párrafos trigésimo noveno, cuadragésimo</w:t>
      </w:r>
      <w:r w:rsidRPr="00C66CAA">
        <w:rPr>
          <w:rFonts w:ascii="Palatino Linotype" w:eastAsia="Palatino Linotype" w:hAnsi="Palatino Linotype" w:cs="Palatino Linotype"/>
        </w:rPr>
        <w:t xml:space="preserve"> y </w:t>
      </w:r>
      <w:r w:rsidR="003C17D7" w:rsidRPr="00C66CAA">
        <w:rPr>
          <w:rFonts w:ascii="Palatino Linotype" w:eastAsia="Palatino Linotype" w:hAnsi="Palatino Linotype" w:cs="Palatino Linotype"/>
        </w:rPr>
        <w:t>cuadragésimo primero</w:t>
      </w:r>
      <w:r w:rsidRPr="00C66CAA">
        <w:rPr>
          <w:rFonts w:ascii="Palatino Linotype" w:eastAsia="Palatino Linotype" w:hAnsi="Palatino Linotype" w:cs="Palatino Linotype"/>
        </w:rPr>
        <w:t xml:space="preserve"> fracciones IV y V de la Constitución Política del Estado Libre y Soberano de México; 2, fracción II; 29, 36 fracciones I y II; 176, 178, 181, 185, fracción I, 186 y 188 de la Ley Transparencia y Acceso a la Información Pública del Estado de México y Municipios; 9, </w:t>
      </w:r>
      <w:r w:rsidRPr="00C66CAA">
        <w:rPr>
          <w:rFonts w:ascii="Palatino Linotype" w:eastAsia="Palatino Linotype" w:hAnsi="Palatino Linotype" w:cs="Palatino Linotype"/>
        </w:rPr>
        <w:lastRenderedPageBreak/>
        <w:t>fracciones I y XXIII y 11 del Reglamento Interior del Instituto de Transparencia, Acceso a la Información Pública y Protección de Datos Personales del Estado de México y Municipios.</w:t>
      </w:r>
    </w:p>
    <w:p w14:paraId="34B9FD60" w14:textId="77777777" w:rsidR="00E82C95" w:rsidRPr="00C66CAA" w:rsidRDefault="000C0903">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C66CAA">
        <w:rPr>
          <w:rFonts w:ascii="Palatino Linotype" w:eastAsia="Palatino Linotype" w:hAnsi="Palatino Linotype" w:cs="Palatino Linotype"/>
          <w:b/>
        </w:rPr>
        <w:t>Segundo. Oportunidad y Procedibilidad del Recurso de Revisión</w:t>
      </w:r>
      <w:r w:rsidRPr="00C66CA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E3A29D5" w14:textId="01860854"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66CAA">
        <w:rPr>
          <w:rFonts w:ascii="Palatino Linotype" w:eastAsia="Palatino Linotype" w:hAnsi="Palatino Linotype" w:cs="Palatino Linotype"/>
          <w:b/>
        </w:rPr>
        <w:t xml:space="preserve">Sujeto Obligado </w:t>
      </w:r>
      <w:r w:rsidRPr="00C66CAA">
        <w:rPr>
          <w:rFonts w:ascii="Palatino Linotype" w:eastAsia="Palatino Linotype" w:hAnsi="Palatino Linotype" w:cs="Palatino Linotype"/>
        </w:rPr>
        <w:t xml:space="preserve">otorgó respuesta a la solicitud de información el </w:t>
      </w:r>
      <w:r w:rsidR="004C78D7" w:rsidRPr="00C66CAA">
        <w:rPr>
          <w:rFonts w:ascii="Palatino Linotype" w:eastAsia="Palatino Linotype" w:hAnsi="Palatino Linotype" w:cs="Palatino Linotype"/>
          <w:b/>
        </w:rPr>
        <w:t>seis</w:t>
      </w:r>
      <w:r w:rsidRPr="00C66CAA">
        <w:rPr>
          <w:rFonts w:ascii="Palatino Linotype" w:eastAsia="Palatino Linotype" w:hAnsi="Palatino Linotype" w:cs="Palatino Linotype"/>
          <w:b/>
        </w:rPr>
        <w:t xml:space="preserve"> de </w:t>
      </w:r>
      <w:r w:rsidR="004C78D7" w:rsidRPr="00C66CAA">
        <w:rPr>
          <w:rFonts w:ascii="Palatino Linotype" w:eastAsia="Palatino Linotype" w:hAnsi="Palatino Linotype" w:cs="Palatino Linotype"/>
          <w:b/>
        </w:rPr>
        <w:t>may</w:t>
      </w:r>
      <w:r w:rsidR="009E5E53" w:rsidRPr="00C66CAA">
        <w:rPr>
          <w:rFonts w:ascii="Palatino Linotype" w:eastAsia="Palatino Linotype" w:hAnsi="Palatino Linotype" w:cs="Palatino Linotype"/>
          <w:b/>
        </w:rPr>
        <w:t>o</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 xml:space="preserve">de dos mil veinticinco, </w:t>
      </w:r>
      <w:r w:rsidRPr="00C66CAA">
        <w:rPr>
          <w:rFonts w:ascii="Palatino Linotype" w:eastAsia="Palatino Linotype" w:hAnsi="Palatino Linotype" w:cs="Palatino Linotype"/>
        </w:rPr>
        <w:t xml:space="preserve">mientras que el recurso de revisión interpuesto por </w:t>
      </w:r>
      <w:r w:rsidRPr="00C66CAA">
        <w:rPr>
          <w:rFonts w:ascii="Palatino Linotype" w:eastAsia="Palatino Linotype" w:hAnsi="Palatino Linotype" w:cs="Palatino Linotype"/>
          <w:b/>
        </w:rPr>
        <w:t>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xml:space="preserve">, se tuvo por presentado el día </w:t>
      </w:r>
      <w:r w:rsidR="004C78D7" w:rsidRPr="00C66CAA">
        <w:rPr>
          <w:rFonts w:ascii="Palatino Linotype" w:eastAsia="Palatino Linotype" w:hAnsi="Palatino Linotype" w:cs="Palatino Linotype"/>
          <w:b/>
        </w:rPr>
        <w:t>seis</w:t>
      </w:r>
      <w:r w:rsidRPr="00C66CAA">
        <w:rPr>
          <w:rFonts w:ascii="Palatino Linotype" w:eastAsia="Palatino Linotype" w:hAnsi="Palatino Linotype" w:cs="Palatino Linotype"/>
          <w:b/>
        </w:rPr>
        <w:t xml:space="preserve"> de </w:t>
      </w:r>
      <w:r w:rsidR="004C78D7" w:rsidRPr="00C66CAA">
        <w:rPr>
          <w:rFonts w:ascii="Palatino Linotype" w:eastAsia="Palatino Linotype" w:hAnsi="Palatino Linotype" w:cs="Palatino Linotype"/>
          <w:b/>
        </w:rPr>
        <w:t>mayo</w:t>
      </w:r>
      <w:r w:rsidR="00931BDB"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b/>
        </w:rPr>
        <w:t xml:space="preserve">de dos mil veinticinco, </w:t>
      </w:r>
      <w:r w:rsidRPr="00C66CAA">
        <w:rPr>
          <w:rFonts w:ascii="Palatino Linotype" w:eastAsia="Palatino Linotype" w:hAnsi="Palatino Linotype" w:cs="Palatino Linotype"/>
        </w:rPr>
        <w:t xml:space="preserve">esto es, el </w:t>
      </w:r>
      <w:r w:rsidR="004C78D7" w:rsidRPr="00C66CAA">
        <w:rPr>
          <w:rFonts w:ascii="Palatino Linotype" w:eastAsia="Palatino Linotype" w:hAnsi="Palatino Linotype" w:cs="Palatino Linotype"/>
          <w:b/>
        </w:rPr>
        <w:t>mismo</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día hábil en el que tuvo conocimiento de la respuesta impugnada.</w:t>
      </w:r>
      <w:r w:rsidRPr="00C66CAA">
        <w:rPr>
          <w:rFonts w:ascii="Palatino Linotype" w:eastAsia="Palatino Linotype" w:hAnsi="Palatino Linotype" w:cs="Palatino Linotype"/>
        </w:rPr>
        <w:t xml:space="preserve"> </w:t>
      </w:r>
    </w:p>
    <w:p w14:paraId="0FC63A8B" w14:textId="77777777" w:rsidR="004C78D7" w:rsidRPr="00C66CAA" w:rsidRDefault="004C78D7" w:rsidP="004C78D7">
      <w:pPr>
        <w:spacing w:before="240" w:after="240" w:line="360" w:lineRule="auto"/>
        <w:jc w:val="both"/>
        <w:rPr>
          <w:rFonts w:ascii="Palatino Linotype" w:hAnsi="Palatino Linotype"/>
        </w:rPr>
      </w:pPr>
      <w:r w:rsidRPr="00C66CAA">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42C0A224" w14:textId="77777777" w:rsidR="004C78D7" w:rsidRPr="00C66CAA" w:rsidRDefault="004C78D7" w:rsidP="004C78D7">
      <w:pPr>
        <w:spacing w:before="120" w:after="120"/>
        <w:ind w:left="851" w:right="902"/>
        <w:jc w:val="both"/>
        <w:rPr>
          <w:rFonts w:ascii="Palatino Linotype" w:hAnsi="Palatino Linotype"/>
          <w:i/>
        </w:rPr>
      </w:pPr>
      <w:r w:rsidRPr="00C66CAA">
        <w:rPr>
          <w:rFonts w:ascii="Palatino Linotype" w:hAnsi="Palatino Linotype"/>
          <w:b/>
          <w:i/>
        </w:rPr>
        <w:lastRenderedPageBreak/>
        <w:t>“RECURSO DE RECLAMACIÓN. SU INTERPOSICIÓN NO ES EXTEMPORÁNEA SI SE REALIZA ANTES DE QUE INICIE EL PLAZO PARA HACERLO</w:t>
      </w:r>
      <w:r w:rsidRPr="00C66CAA">
        <w:rPr>
          <w:rFonts w:ascii="Palatino Linotype" w:hAnsi="Palatino Linotype"/>
          <w:i/>
        </w:rPr>
        <w:t>.</w:t>
      </w:r>
    </w:p>
    <w:p w14:paraId="73190908" w14:textId="77777777" w:rsidR="004C78D7" w:rsidRPr="00C66CAA" w:rsidRDefault="004C78D7" w:rsidP="004C78D7">
      <w:pPr>
        <w:spacing w:before="120" w:after="120"/>
        <w:ind w:left="851" w:right="902"/>
        <w:jc w:val="both"/>
        <w:rPr>
          <w:rFonts w:ascii="Palatino Linotype" w:hAnsi="Palatino Linotype"/>
          <w:i/>
        </w:rPr>
      </w:pPr>
      <w:r w:rsidRPr="00C66CAA">
        <w:rPr>
          <w:rFonts w:ascii="Palatino Linotype" w:hAnsi="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863C809" w14:textId="02273704" w:rsidR="00E82C95" w:rsidRPr="00C66CAA" w:rsidRDefault="000C0903">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C66CAA">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4C332FE" w14:textId="5D538974" w:rsidR="009E5E53" w:rsidRPr="00C66CAA" w:rsidRDefault="009E5E53" w:rsidP="009E5E53">
      <w:pPr>
        <w:spacing w:before="240" w:after="240" w:line="360" w:lineRule="auto"/>
        <w:ind w:right="40"/>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Asimismo por cuanto hace a la procedibilidad del recurso de revisión, es de suma importancia señalar que </w:t>
      </w:r>
      <w:r w:rsidRPr="00C66CAA">
        <w:rPr>
          <w:rFonts w:ascii="Palatino Linotype" w:eastAsia="Palatino Linotype" w:hAnsi="Palatino Linotype" w:cs="Palatino Linotype"/>
          <w:b/>
        </w:rPr>
        <w:t>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u w:val="single"/>
        </w:rPr>
        <w:t>no proporcionó nombre o seudónimo</w:t>
      </w:r>
      <w:r w:rsidRPr="00C66CAA">
        <w:rPr>
          <w:rFonts w:ascii="Palatino Linotype" w:eastAsia="Palatino Linotype" w:hAnsi="Palatino Linotype" w:cs="Palatino Linotype"/>
        </w:rPr>
        <w:t xml:space="preserve"> con el que desea que se le identifique</w:t>
      </w:r>
      <w:r w:rsidRPr="00C66CAA">
        <w:rPr>
          <w:rFonts w:ascii="Palatino Linotype" w:eastAsia="Palatino Linotype" w:hAnsi="Palatino Linotype" w:cs="Palatino Linotype"/>
          <w:b/>
        </w:rPr>
        <w:t>,</w:t>
      </w:r>
      <w:r w:rsidRPr="00C66CAA">
        <w:rPr>
          <w:rFonts w:ascii="Palatino Linotype" w:eastAsia="Palatino Linotype" w:hAnsi="Palatino Linotype" w:cs="Palatino Linotype"/>
        </w:rPr>
        <w:t xml:space="preserve"> como se advierte en el detalle de seguimiento del SAIMEX, no obstante,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C050092" w14:textId="2743D723" w:rsidR="009E5E53" w:rsidRPr="00C66CAA" w:rsidRDefault="009E5E53" w:rsidP="009E5E53">
      <w:pPr>
        <w:spacing w:before="240" w:after="240" w:line="276" w:lineRule="auto"/>
        <w:ind w:left="860" w:right="900"/>
        <w:jc w:val="both"/>
        <w:rPr>
          <w:rFonts w:ascii="Palatino Linotype" w:eastAsia="Palatino Linotype" w:hAnsi="Palatino Linotype" w:cs="Palatino Linotype"/>
        </w:rPr>
      </w:pPr>
      <w:r w:rsidRPr="00C66CAA">
        <w:rPr>
          <w:rFonts w:ascii="Palatino Linotype" w:eastAsia="Palatino Linotype" w:hAnsi="Palatino Linotype" w:cs="Palatino Linotype"/>
          <w:i/>
        </w:rPr>
        <w:lastRenderedPageBreak/>
        <w:t>"</w:t>
      </w:r>
      <w:r w:rsidRPr="00C66CAA">
        <w:rPr>
          <w:rFonts w:ascii="Palatino Linotype" w:eastAsia="Palatino Linotype" w:hAnsi="Palatino Linotype" w:cs="Palatino Linotype"/>
          <w:b/>
          <w:i/>
        </w:rPr>
        <w:t xml:space="preserve">Las solicitudes </w:t>
      </w:r>
      <w:r w:rsidRPr="00C66CAA">
        <w:rPr>
          <w:rFonts w:ascii="Palatino Linotype" w:eastAsia="Palatino Linotype" w:hAnsi="Palatino Linotype" w:cs="Palatino Linotype"/>
          <w:i/>
        </w:rPr>
        <w:t xml:space="preserve">anónimas, con </w:t>
      </w:r>
      <w:r w:rsidRPr="00C66CAA">
        <w:rPr>
          <w:rFonts w:ascii="Palatino Linotype" w:eastAsia="Palatino Linotype" w:hAnsi="Palatino Linotype" w:cs="Palatino Linotype"/>
          <w:b/>
          <w:i/>
        </w:rPr>
        <w:t>nombre incompleto o seudónimo</w:t>
      </w:r>
      <w:r w:rsidRPr="00C66CAA">
        <w:rPr>
          <w:rFonts w:ascii="Palatino Linotype" w:eastAsia="Palatino Linotype" w:hAnsi="Palatino Linotype" w:cs="Palatino Linotype"/>
          <w:i/>
        </w:rPr>
        <w:t xml:space="preserve"> </w:t>
      </w:r>
      <w:r w:rsidRPr="00C66CAA">
        <w:rPr>
          <w:rFonts w:ascii="Palatino Linotype" w:eastAsia="Palatino Linotype" w:hAnsi="Palatino Linotype" w:cs="Palatino Linotype"/>
          <w:b/>
          <w:i/>
        </w:rPr>
        <w:t>serán procedentes para su trámite por parte del sujeto obligado ante quien se presente</w:t>
      </w:r>
      <w:r w:rsidRPr="00C66CAA">
        <w:rPr>
          <w:rFonts w:ascii="Palatino Linotype" w:eastAsia="Palatino Linotype" w:hAnsi="Palatino Linotype" w:cs="Palatino Linotype"/>
          <w:i/>
        </w:rPr>
        <w:t>. No podrá requerirse información adicional con motivo del nombre proporcionado por el solicitante."(Énfasis añadido)</w:t>
      </w:r>
    </w:p>
    <w:p w14:paraId="26FE048C" w14:textId="123FCED8"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Finalmente, se advierte que resulta procedente la interposición del recurso, según lo manifestado por </w:t>
      </w:r>
      <w:r w:rsidRPr="00C66CAA">
        <w:rPr>
          <w:rFonts w:ascii="Palatino Linotype" w:eastAsia="Palatino Linotype" w:hAnsi="Palatino Linotype" w:cs="Palatino Linotype"/>
          <w:b/>
        </w:rPr>
        <w:t>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xml:space="preserve"> en sus motivos de inconformidad, de acuerdo </w:t>
      </w:r>
      <w:r w:rsidR="004C78D7" w:rsidRPr="00C66CAA">
        <w:rPr>
          <w:rFonts w:ascii="Palatino Linotype" w:eastAsia="Palatino Linotype" w:hAnsi="Palatino Linotype" w:cs="Palatino Linotype"/>
        </w:rPr>
        <w:t xml:space="preserve">al artículo 179, fracción </w:t>
      </w:r>
      <w:r w:rsidR="008A0DB3" w:rsidRPr="00C66CAA">
        <w:rPr>
          <w:rFonts w:ascii="Palatino Linotype" w:eastAsia="Palatino Linotype" w:hAnsi="Palatino Linotype" w:cs="Palatino Linotype"/>
        </w:rPr>
        <w:t>I</w:t>
      </w:r>
      <w:r w:rsidR="006E7124"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rPr>
        <w:t>del ordenamiento legal citado, que a la letra dice: </w:t>
      </w:r>
    </w:p>
    <w:p w14:paraId="7A012B53" w14:textId="77777777" w:rsidR="00E82C95" w:rsidRPr="00C66CAA" w:rsidRDefault="000C0903">
      <w:pPr>
        <w:spacing w:before="120" w:after="120"/>
        <w:ind w:left="567" w:right="902"/>
        <w:jc w:val="both"/>
        <w:rPr>
          <w:rFonts w:ascii="Palatino Linotype" w:eastAsia="Palatino Linotype" w:hAnsi="Palatino Linotype" w:cs="Palatino Linotype"/>
          <w:i/>
        </w:rPr>
      </w:pPr>
      <w:r w:rsidRPr="00C66CAA">
        <w:rPr>
          <w:rFonts w:ascii="Palatino Linotype" w:eastAsia="Palatino Linotype" w:hAnsi="Palatino Linotype" w:cs="Palatino Linotype"/>
          <w:i/>
        </w:rPr>
        <w:t>“</w:t>
      </w:r>
      <w:r w:rsidRPr="00C66CAA">
        <w:rPr>
          <w:rFonts w:ascii="Palatino Linotype" w:eastAsia="Palatino Linotype" w:hAnsi="Palatino Linotype" w:cs="Palatino Linotype"/>
          <w:b/>
          <w:i/>
        </w:rPr>
        <w:t>Artículo 179.</w:t>
      </w:r>
      <w:r w:rsidRPr="00C66CA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43DA36D" w14:textId="4622596D" w:rsidR="00E82C95" w:rsidRPr="00C66CAA" w:rsidRDefault="004C78D7">
      <w:pPr>
        <w:spacing w:before="120" w:after="120"/>
        <w:ind w:left="567"/>
        <w:rPr>
          <w:rFonts w:ascii="Palatino Linotype" w:eastAsia="Palatino Linotype" w:hAnsi="Palatino Linotype" w:cs="Palatino Linotype"/>
          <w:b/>
          <w:i/>
        </w:rPr>
      </w:pPr>
      <w:r w:rsidRPr="00C66CAA">
        <w:rPr>
          <w:rFonts w:ascii="Palatino Linotype" w:eastAsia="Palatino Linotype" w:hAnsi="Palatino Linotype" w:cs="Palatino Linotype"/>
          <w:b/>
          <w:i/>
        </w:rPr>
        <w:t>I. La negativa a la información solicitada</w:t>
      </w:r>
      <w:r w:rsidR="006E7124" w:rsidRPr="00C66CAA">
        <w:rPr>
          <w:rFonts w:ascii="Palatino Linotype" w:eastAsia="Palatino Linotype" w:hAnsi="Palatino Linotype" w:cs="Palatino Linotype"/>
          <w:b/>
          <w:i/>
        </w:rPr>
        <w:t>;</w:t>
      </w:r>
      <w:r w:rsidR="000C0903" w:rsidRPr="00C66CAA">
        <w:rPr>
          <w:rFonts w:ascii="Palatino Linotype" w:eastAsia="Palatino Linotype" w:hAnsi="Palatino Linotype" w:cs="Palatino Linotype"/>
          <w:b/>
          <w:i/>
        </w:rPr>
        <w:t xml:space="preserve">” </w:t>
      </w:r>
      <w:r w:rsidR="000C0903" w:rsidRPr="00C66CAA">
        <w:rPr>
          <w:rFonts w:ascii="Palatino Linotype" w:eastAsia="Palatino Linotype" w:hAnsi="Palatino Linotype" w:cs="Palatino Linotype"/>
          <w:i/>
        </w:rPr>
        <w:t>(Énfasis añadido)</w:t>
      </w:r>
    </w:p>
    <w:p w14:paraId="7BB36F5A" w14:textId="7E240E3F" w:rsidR="00E82C95" w:rsidRPr="00C66CAA" w:rsidRDefault="000C0903">
      <w:pPr>
        <w:spacing w:before="240" w:after="240" w:line="360" w:lineRule="auto"/>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Tercero. Materia de la revisión. </w:t>
      </w:r>
      <w:r w:rsidRPr="00C66CA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66CAA">
        <w:rPr>
          <w:rFonts w:ascii="Palatino Linotype" w:eastAsia="Palatino Linotype" w:hAnsi="Palatino Linotype" w:cs="Palatino Linotype"/>
          <w:b/>
        </w:rPr>
        <w:t>verificar si la respuesta</w:t>
      </w:r>
      <w:r w:rsidR="004C78D7" w:rsidRPr="00C66CAA">
        <w:rPr>
          <w:rFonts w:ascii="Palatino Linotype" w:eastAsia="Palatino Linotype" w:hAnsi="Palatino Linotype" w:cs="Palatino Linotype"/>
          <w:b/>
        </w:rPr>
        <w:t xml:space="preserve"> e informe justificados</w:t>
      </w:r>
      <w:r w:rsidRPr="00C66CAA">
        <w:rPr>
          <w:rFonts w:ascii="Palatino Linotype" w:eastAsia="Palatino Linotype" w:hAnsi="Palatino Linotype" w:cs="Palatino Linotype"/>
          <w:b/>
        </w:rPr>
        <w:t xml:space="preserve"> </w:t>
      </w:r>
      <w:r w:rsidR="004C78D7" w:rsidRPr="00C66CAA">
        <w:rPr>
          <w:rFonts w:ascii="Palatino Linotype" w:eastAsia="Palatino Linotype" w:hAnsi="Palatino Linotype" w:cs="Palatino Linotype"/>
          <w:b/>
        </w:rPr>
        <w:t>otorgados</w:t>
      </w:r>
      <w:r w:rsidR="006E7124" w:rsidRPr="00C66CAA">
        <w:rPr>
          <w:rFonts w:ascii="Palatino Linotype" w:eastAsia="Palatino Linotype" w:hAnsi="Palatino Linotype" w:cs="Palatino Linotype"/>
          <w:b/>
        </w:rPr>
        <w:t xml:space="preserve"> por el Sujeto Obligado</w:t>
      </w:r>
      <w:r w:rsidR="004C78D7" w:rsidRPr="00C66CAA">
        <w:rPr>
          <w:rFonts w:ascii="Palatino Linotype" w:eastAsia="Palatino Linotype" w:hAnsi="Palatino Linotype" w:cs="Palatino Linotype"/>
          <w:b/>
        </w:rPr>
        <w:t xml:space="preserve"> son adecuados</w:t>
      </w:r>
      <w:r w:rsidR="006E7124" w:rsidRPr="00C66CAA">
        <w:rPr>
          <w:rFonts w:ascii="Palatino Linotype" w:eastAsia="Palatino Linotype" w:hAnsi="Palatino Linotype" w:cs="Palatino Linotype"/>
          <w:b/>
        </w:rPr>
        <w:t xml:space="preserve"> y suficiente</w:t>
      </w:r>
      <w:r w:rsidR="004C78D7" w:rsidRPr="00C66CAA">
        <w:rPr>
          <w:rFonts w:ascii="Palatino Linotype" w:eastAsia="Palatino Linotype" w:hAnsi="Palatino Linotype" w:cs="Palatino Linotype"/>
          <w:b/>
        </w:rPr>
        <w:t>s</w:t>
      </w:r>
      <w:r w:rsidRPr="00C66CAA">
        <w:rPr>
          <w:rFonts w:ascii="Palatino Linotype" w:eastAsia="Palatino Linotype" w:hAnsi="Palatino Linotype" w:cs="Palatino Linotype"/>
          <w:b/>
        </w:rPr>
        <w:t xml:space="preserve"> para satisfacer el derecho de acceso a la información pública </w:t>
      </w:r>
      <w:r w:rsidRPr="00C66CAA">
        <w:rPr>
          <w:rFonts w:ascii="Palatino Linotype" w:eastAsia="Palatino Linotype" w:hAnsi="Palatino Linotype" w:cs="Palatino Linotype"/>
        </w:rPr>
        <w:t xml:space="preserve">de </w:t>
      </w:r>
      <w:r w:rsidRPr="00C66CAA">
        <w:rPr>
          <w:rFonts w:ascii="Palatino Linotype" w:eastAsia="Palatino Linotype" w:hAnsi="Palatino Linotype" w:cs="Palatino Linotype"/>
          <w:b/>
        </w:rPr>
        <w:t>la parte</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Recurrente</w:t>
      </w:r>
      <w:r w:rsidRPr="00C66CAA">
        <w:rPr>
          <w:rFonts w:ascii="Palatino Linotype" w:eastAsia="Palatino Linotype" w:hAnsi="Palatino Linotype" w:cs="Palatino Linotype"/>
        </w:rPr>
        <w:t>, o en su defecto, en caso de ser procedente, ordenar la entrega de información.</w:t>
      </w:r>
    </w:p>
    <w:p w14:paraId="2DC3B91F" w14:textId="77777777" w:rsidR="00E82C95" w:rsidRPr="00C66CAA" w:rsidRDefault="000C0903">
      <w:pPr>
        <w:pBdr>
          <w:top w:val="nil"/>
          <w:left w:val="nil"/>
          <w:bottom w:val="nil"/>
          <w:right w:val="nil"/>
          <w:between w:val="nil"/>
        </w:pBdr>
        <w:spacing w:before="240" w:after="240" w:line="360" w:lineRule="auto"/>
        <w:jc w:val="both"/>
      </w:pPr>
      <w:bookmarkStart w:id="6" w:name="_heading=h.2et92p0" w:colFirst="0" w:colLast="0"/>
      <w:bookmarkEnd w:id="6"/>
      <w:r w:rsidRPr="00C66CAA">
        <w:rPr>
          <w:rFonts w:ascii="Palatino Linotype" w:eastAsia="Palatino Linotype" w:hAnsi="Palatino Linotype" w:cs="Palatino Linotype"/>
          <w:b/>
        </w:rPr>
        <w:t>Cuarto. Estudio del asunto</w:t>
      </w:r>
      <w:r w:rsidR="008A0DB3" w:rsidRPr="00C66CAA">
        <w:rPr>
          <w:rFonts w:ascii="Palatino Linotype" w:eastAsia="Palatino Linotype" w:hAnsi="Palatino Linotype" w:cs="Palatino Linotype"/>
          <w:b/>
        </w:rPr>
        <w:t>.</w:t>
      </w:r>
      <w:r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rPr>
        <w:t xml:space="preserve">Antes de entrar al análisis de los pronunciamientos del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C66CAA">
        <w:rPr>
          <w:rFonts w:ascii="Palatino Linotype" w:eastAsia="Palatino Linotype" w:hAnsi="Palatino Linotype" w:cs="Palatino Linotype"/>
        </w:rPr>
        <w:lastRenderedPageBreak/>
        <w:t>lo prevén los arábigos 1 párrafos primero, segundo y tercero y 6 apartado A fracciones I, II, III, IV, V, VI y VII que a la letra señalan:</w:t>
      </w:r>
    </w:p>
    <w:p w14:paraId="48A1A39E" w14:textId="77777777" w:rsidR="00E82C95" w:rsidRPr="00C66CAA" w:rsidRDefault="000C0903">
      <w:pPr>
        <w:pBdr>
          <w:top w:val="nil"/>
          <w:left w:val="nil"/>
          <w:bottom w:val="nil"/>
          <w:right w:val="nil"/>
          <w:between w:val="nil"/>
        </w:pBdr>
        <w:spacing w:before="240" w:after="240"/>
        <w:ind w:left="851" w:right="850"/>
        <w:jc w:val="both"/>
      </w:pPr>
      <w:r w:rsidRPr="00C66CA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66CA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C0EB791" w14:textId="77777777" w:rsidR="00E82C95" w:rsidRPr="00C66CAA" w:rsidRDefault="000C0903">
      <w:pPr>
        <w:pBdr>
          <w:top w:val="nil"/>
          <w:left w:val="nil"/>
          <w:bottom w:val="nil"/>
          <w:right w:val="nil"/>
          <w:between w:val="nil"/>
        </w:pBdr>
        <w:spacing w:before="240" w:after="240"/>
        <w:ind w:left="851" w:right="850"/>
        <w:jc w:val="both"/>
      </w:pPr>
      <w:r w:rsidRPr="00C66CA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BA52757" w14:textId="77777777" w:rsidR="00E82C95" w:rsidRPr="00C66CAA" w:rsidRDefault="000C0903">
      <w:pPr>
        <w:pBdr>
          <w:top w:val="nil"/>
          <w:left w:val="nil"/>
          <w:bottom w:val="nil"/>
          <w:right w:val="nil"/>
          <w:between w:val="nil"/>
        </w:pBdr>
        <w:spacing w:before="240" w:after="240"/>
        <w:ind w:left="851" w:right="850"/>
        <w:jc w:val="both"/>
      </w:pPr>
      <w:r w:rsidRPr="00C66CA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66CA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69E32392" w14:textId="77777777" w:rsidR="00E82C95" w:rsidRPr="00C66CAA" w:rsidRDefault="000C0903">
      <w:pPr>
        <w:pBdr>
          <w:top w:val="nil"/>
          <w:left w:val="nil"/>
          <w:bottom w:val="nil"/>
          <w:right w:val="nil"/>
          <w:between w:val="nil"/>
        </w:pBdr>
        <w:spacing w:before="240" w:after="240"/>
        <w:ind w:left="851" w:right="850"/>
        <w:jc w:val="both"/>
      </w:pPr>
      <w:r w:rsidRPr="00C66CAA">
        <w:rPr>
          <w:rFonts w:ascii="Palatino Linotype" w:eastAsia="Palatino Linotype" w:hAnsi="Palatino Linotype" w:cs="Palatino Linotype"/>
          <w:i/>
        </w:rPr>
        <w:t>[…]</w:t>
      </w:r>
    </w:p>
    <w:p w14:paraId="49D8989E" w14:textId="77777777" w:rsidR="00E82C95" w:rsidRPr="00C66CAA" w:rsidRDefault="000C0903">
      <w:pPr>
        <w:pBdr>
          <w:top w:val="nil"/>
          <w:left w:val="nil"/>
          <w:bottom w:val="nil"/>
          <w:right w:val="nil"/>
          <w:between w:val="nil"/>
        </w:pBdr>
        <w:spacing w:before="240" w:after="240"/>
        <w:ind w:left="851" w:right="901"/>
        <w:jc w:val="both"/>
      </w:pPr>
      <w:r w:rsidRPr="00C66CAA">
        <w:rPr>
          <w:rFonts w:ascii="Palatino Linotype" w:eastAsia="Palatino Linotype" w:hAnsi="Palatino Linotype" w:cs="Palatino Linotype"/>
          <w:b/>
          <w:i/>
        </w:rPr>
        <w:t>“Artículo 6o.</w:t>
      </w:r>
    </w:p>
    <w:p w14:paraId="1563B38D" w14:textId="77777777" w:rsidR="00E82C95" w:rsidRPr="00C66CAA" w:rsidRDefault="000C0903">
      <w:pPr>
        <w:pBdr>
          <w:top w:val="nil"/>
          <w:left w:val="nil"/>
          <w:bottom w:val="nil"/>
          <w:right w:val="nil"/>
          <w:between w:val="nil"/>
        </w:pBdr>
        <w:spacing w:before="240" w:after="240"/>
        <w:ind w:left="851" w:right="901"/>
        <w:jc w:val="both"/>
      </w:pPr>
      <w:r w:rsidRPr="00C66CAA">
        <w:rPr>
          <w:rFonts w:ascii="Palatino Linotype" w:eastAsia="Palatino Linotype" w:hAnsi="Palatino Linotype" w:cs="Palatino Linotype"/>
          <w:i/>
        </w:rPr>
        <w:t>[...]</w:t>
      </w:r>
    </w:p>
    <w:p w14:paraId="2CEBED02" w14:textId="77777777" w:rsidR="00E82C95" w:rsidRPr="00C66CAA" w:rsidRDefault="000C0903">
      <w:pPr>
        <w:pBdr>
          <w:top w:val="nil"/>
          <w:left w:val="nil"/>
          <w:bottom w:val="nil"/>
          <w:right w:val="nil"/>
          <w:between w:val="nil"/>
        </w:pBdr>
        <w:spacing w:before="240" w:after="240"/>
        <w:ind w:left="851" w:right="851"/>
        <w:jc w:val="both"/>
        <w:rPr>
          <w:rFonts w:ascii="Palatino Linotype" w:eastAsia="Palatino Linotype" w:hAnsi="Palatino Linotype" w:cs="Palatino Linotype"/>
          <w:i/>
        </w:rPr>
      </w:pPr>
      <w:r w:rsidRPr="00C66CAA">
        <w:rPr>
          <w:rFonts w:ascii="Palatino Linotype" w:eastAsia="Palatino Linotype" w:hAnsi="Palatino Linotype" w:cs="Palatino Linotype"/>
          <w:b/>
          <w:i/>
        </w:rPr>
        <w:t xml:space="preserve">A. Para el ejercicio del derecho de acceso a la información, la Federación y </w:t>
      </w:r>
      <w:r w:rsidRPr="00C66CAA">
        <w:rPr>
          <w:rFonts w:ascii="Palatino Linotype" w:eastAsia="Palatino Linotype" w:hAnsi="Palatino Linotype" w:cs="Palatino Linotype"/>
          <w:b/>
          <w:i/>
          <w:u w:val="single"/>
        </w:rPr>
        <w:t>las entidades federativas</w:t>
      </w:r>
      <w:r w:rsidRPr="00C66CAA">
        <w:rPr>
          <w:rFonts w:ascii="Palatino Linotype" w:eastAsia="Palatino Linotype" w:hAnsi="Palatino Linotype" w:cs="Palatino Linotype"/>
          <w:b/>
          <w:i/>
        </w:rPr>
        <w:t>,</w:t>
      </w:r>
      <w:r w:rsidRPr="00C66CAA">
        <w:rPr>
          <w:rFonts w:ascii="Palatino Linotype" w:eastAsia="Palatino Linotype" w:hAnsi="Palatino Linotype" w:cs="Palatino Linotype"/>
          <w:i/>
        </w:rPr>
        <w:t xml:space="preserve"> en el ámbito de sus respectivas competencias, se regirán por los siguientes principios y bases:</w:t>
      </w:r>
    </w:p>
    <w:p w14:paraId="71F035D2" w14:textId="77777777" w:rsidR="00E82C95" w:rsidRPr="00C66CAA" w:rsidRDefault="000C0903">
      <w:pPr>
        <w:pBdr>
          <w:top w:val="nil"/>
          <w:left w:val="nil"/>
          <w:bottom w:val="nil"/>
          <w:right w:val="nil"/>
          <w:between w:val="nil"/>
        </w:pBdr>
        <w:spacing w:before="240" w:after="240"/>
        <w:ind w:left="851" w:right="851"/>
        <w:jc w:val="both"/>
        <w:rPr>
          <w:rFonts w:ascii="Palatino Linotype" w:eastAsia="Palatino Linotype" w:hAnsi="Palatino Linotype" w:cs="Palatino Linotype"/>
          <w:i/>
        </w:rPr>
      </w:pPr>
      <w:r w:rsidRPr="00C66CAA">
        <w:rPr>
          <w:rFonts w:ascii="Palatino Linotype" w:eastAsia="Palatino Linotype" w:hAnsi="Palatino Linotype" w:cs="Palatino Linotype"/>
          <w:i/>
        </w:rPr>
        <w:lastRenderedPageBreak/>
        <w:t> </w:t>
      </w:r>
      <w:r w:rsidRPr="00C66CAA">
        <w:rPr>
          <w:rFonts w:ascii="Palatino Linotype" w:eastAsia="Palatino Linotype" w:hAnsi="Palatino Linotype" w:cs="Palatino Linotype"/>
          <w:b/>
          <w:i/>
        </w:rPr>
        <w:t xml:space="preserve">I. </w:t>
      </w:r>
      <w:r w:rsidRPr="00C66CAA">
        <w:rPr>
          <w:rFonts w:ascii="Palatino Linotype" w:eastAsia="Palatino Linotype" w:hAnsi="Palatino Linotype" w:cs="Palatino Linotype"/>
          <w:b/>
          <w:i/>
          <w:u w:val="single"/>
        </w:rPr>
        <w:t>Toda la información en posesión de cualquier autoridad, entidad, órgano y organismo de los Poderes</w:t>
      </w:r>
      <w:r w:rsidRPr="00C66CAA">
        <w:rPr>
          <w:rFonts w:ascii="Palatino Linotype" w:eastAsia="Palatino Linotype" w:hAnsi="Palatino Linotype" w:cs="Palatino Linotype"/>
          <w:i/>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66CAA">
        <w:rPr>
          <w:rFonts w:ascii="Palatino Linotype" w:eastAsia="Palatino Linotype" w:hAnsi="Palatino Linotype" w:cs="Palatino Linotype"/>
          <w:b/>
          <w:i/>
        </w:rPr>
        <w:t>es pública y sólo podrá ser reservada temporalmente por razones de interés público y seguridad nacional,</w:t>
      </w:r>
      <w:r w:rsidRPr="00C66CA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74DC029" w14:textId="77777777" w:rsidR="00E82C95" w:rsidRPr="00C66CAA" w:rsidRDefault="000C0903">
      <w:pPr>
        <w:pBdr>
          <w:top w:val="nil"/>
          <w:left w:val="nil"/>
          <w:bottom w:val="nil"/>
          <w:right w:val="nil"/>
          <w:between w:val="nil"/>
        </w:pBdr>
        <w:spacing w:before="240" w:after="240"/>
        <w:ind w:left="851" w:right="851"/>
        <w:jc w:val="both"/>
        <w:rPr>
          <w:rFonts w:ascii="Palatino Linotype" w:eastAsia="Palatino Linotype" w:hAnsi="Palatino Linotype" w:cs="Palatino Linotype"/>
          <w:b/>
          <w:i/>
        </w:rPr>
      </w:pPr>
      <w:r w:rsidRPr="00C66CAA">
        <w:rPr>
          <w:rFonts w:ascii="Palatino Linotype" w:eastAsia="Palatino Linotype" w:hAnsi="Palatino Linotype" w:cs="Palatino Linotype"/>
          <w:b/>
          <w:i/>
        </w:rPr>
        <w:t>II. La información que se refiere a la vida privada y los datos personales será protegida en los términos y con las excepciones que fijen las leyes. Para tal efecto, los sujetos obligados contarán con las facultades suficientes para su atención.</w:t>
      </w:r>
    </w:p>
    <w:p w14:paraId="6CD1BCEF" w14:textId="77777777" w:rsidR="00E82C95" w:rsidRPr="00C66CAA" w:rsidRDefault="000C0903">
      <w:pPr>
        <w:pBdr>
          <w:top w:val="nil"/>
          <w:left w:val="nil"/>
          <w:bottom w:val="nil"/>
          <w:right w:val="nil"/>
          <w:between w:val="nil"/>
        </w:pBdr>
        <w:spacing w:before="240" w:after="240"/>
        <w:ind w:left="851" w:right="851"/>
        <w:jc w:val="both"/>
        <w:rPr>
          <w:rFonts w:ascii="Palatino Linotype" w:eastAsia="Palatino Linotype" w:hAnsi="Palatino Linotype" w:cs="Palatino Linotype"/>
          <w:i/>
        </w:rPr>
      </w:pPr>
      <w:r w:rsidRPr="00C66CAA">
        <w:rPr>
          <w:rFonts w:ascii="Palatino Linotype" w:eastAsia="Palatino Linotype" w:hAnsi="Palatino Linotype" w:cs="Palatino Linotype"/>
          <w:i/>
        </w:rPr>
        <w:t> </w:t>
      </w:r>
      <w:r w:rsidRPr="00C66CAA">
        <w:rPr>
          <w:rFonts w:ascii="Palatino Linotype" w:eastAsia="Palatino Linotype" w:hAnsi="Palatino Linotype" w:cs="Palatino Linotype"/>
          <w:b/>
          <w:i/>
        </w:rPr>
        <w:t xml:space="preserve">III. </w:t>
      </w:r>
      <w:r w:rsidRPr="00C66CA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66CAA">
        <w:rPr>
          <w:rFonts w:ascii="Palatino Linotype" w:eastAsia="Palatino Linotype" w:hAnsi="Palatino Linotype" w:cs="Palatino Linotype"/>
          <w:i/>
        </w:rPr>
        <w:t xml:space="preserve"> a sus datos personales o a la rectificación de éstos.</w:t>
      </w:r>
    </w:p>
    <w:p w14:paraId="454A0713" w14:textId="77777777" w:rsidR="00E82C95" w:rsidRPr="00C66CAA" w:rsidRDefault="000C0903">
      <w:pPr>
        <w:pBdr>
          <w:top w:val="nil"/>
          <w:left w:val="nil"/>
          <w:bottom w:val="nil"/>
          <w:right w:val="nil"/>
          <w:between w:val="nil"/>
        </w:pBdr>
        <w:spacing w:before="240" w:after="240"/>
        <w:ind w:left="851" w:right="851"/>
        <w:jc w:val="both"/>
      </w:pPr>
      <w:r w:rsidRPr="00C66CAA">
        <w:rPr>
          <w:rFonts w:ascii="Palatino Linotype" w:eastAsia="Palatino Linotype" w:hAnsi="Palatino Linotype" w:cs="Palatino Linotype"/>
          <w:b/>
          <w:i/>
        </w:rPr>
        <w:t>…</w:t>
      </w:r>
    </w:p>
    <w:p w14:paraId="43FE2D42" w14:textId="77777777" w:rsidR="00E82C95" w:rsidRPr="00C66CAA" w:rsidRDefault="000C0903">
      <w:pPr>
        <w:pBdr>
          <w:top w:val="nil"/>
          <w:left w:val="nil"/>
          <w:bottom w:val="nil"/>
          <w:right w:val="nil"/>
          <w:between w:val="nil"/>
        </w:pBdr>
        <w:spacing w:before="240" w:after="240"/>
        <w:ind w:left="851" w:right="851"/>
        <w:jc w:val="both"/>
        <w:rPr>
          <w:rFonts w:ascii="Palatino Linotype" w:eastAsia="Palatino Linotype" w:hAnsi="Palatino Linotype" w:cs="Palatino Linotype"/>
          <w:i/>
        </w:rPr>
      </w:pPr>
      <w:r w:rsidRPr="00C66CAA">
        <w:rPr>
          <w:rFonts w:ascii="Palatino Linotype" w:eastAsia="Palatino Linotype" w:hAnsi="Palatino Linotype" w:cs="Palatino Linotype"/>
          <w:b/>
          <w:i/>
        </w:rPr>
        <w:t>IV.</w:t>
      </w:r>
      <w:r w:rsidRPr="00C66CAA">
        <w:rPr>
          <w:rFonts w:ascii="Palatino Linotype" w:eastAsia="Palatino Linotype" w:hAnsi="Palatino Linotype" w:cs="Palatino Linotype"/>
          <w:i/>
        </w:rPr>
        <w:t xml:space="preserve"> Se establecerán mecanismos de acceso a la información pública y procedimientos de revisión expeditos que se sustanciarán ante las instancias competentes en los términos que fija esta Constitución y las leyes.</w:t>
      </w:r>
    </w:p>
    <w:p w14:paraId="091B1027" w14:textId="77777777" w:rsidR="00E82C95" w:rsidRPr="00C66CAA" w:rsidRDefault="000C0903">
      <w:pPr>
        <w:pBdr>
          <w:top w:val="nil"/>
          <w:left w:val="nil"/>
          <w:bottom w:val="nil"/>
          <w:right w:val="nil"/>
          <w:between w:val="nil"/>
        </w:pBdr>
        <w:spacing w:before="240" w:after="240"/>
        <w:ind w:left="851" w:right="851"/>
        <w:jc w:val="both"/>
      </w:pPr>
      <w:r w:rsidRPr="00C66CAA">
        <w:rPr>
          <w:rFonts w:ascii="Palatino Linotype" w:eastAsia="Palatino Linotype" w:hAnsi="Palatino Linotype" w:cs="Palatino Linotype"/>
          <w:b/>
          <w:i/>
        </w:rPr>
        <w:t xml:space="preserve">V. </w:t>
      </w:r>
      <w:r w:rsidRPr="00C66CA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E474D1B" w14:textId="77777777" w:rsidR="00E82C95" w:rsidRPr="00C66CAA" w:rsidRDefault="000C0903">
      <w:pPr>
        <w:pBdr>
          <w:top w:val="nil"/>
          <w:left w:val="nil"/>
          <w:bottom w:val="nil"/>
          <w:right w:val="nil"/>
          <w:between w:val="nil"/>
        </w:pBdr>
        <w:spacing w:before="240" w:after="240"/>
        <w:ind w:left="851" w:right="851"/>
        <w:jc w:val="both"/>
      </w:pPr>
      <w:r w:rsidRPr="00C66CAA">
        <w:rPr>
          <w:rFonts w:ascii="Palatino Linotype" w:eastAsia="Palatino Linotype" w:hAnsi="Palatino Linotype" w:cs="Palatino Linotype"/>
          <w:i/>
        </w:rPr>
        <w:lastRenderedPageBreak/>
        <w:t> </w:t>
      </w:r>
      <w:r w:rsidRPr="00C66CAA">
        <w:rPr>
          <w:rFonts w:ascii="Palatino Linotype" w:eastAsia="Palatino Linotype" w:hAnsi="Palatino Linotype" w:cs="Palatino Linotype"/>
          <w:b/>
          <w:i/>
        </w:rPr>
        <w:t xml:space="preserve">VI. </w:t>
      </w:r>
      <w:r w:rsidRPr="00C66CA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065F3B4" w14:textId="77777777" w:rsidR="00E82C95" w:rsidRPr="00C66CAA" w:rsidRDefault="000C0903">
      <w:pPr>
        <w:pBdr>
          <w:top w:val="nil"/>
          <w:left w:val="nil"/>
          <w:bottom w:val="nil"/>
          <w:right w:val="nil"/>
          <w:between w:val="nil"/>
        </w:pBdr>
        <w:spacing w:before="240" w:after="240"/>
        <w:ind w:left="851" w:right="851"/>
        <w:jc w:val="both"/>
      </w:pPr>
      <w:r w:rsidRPr="00C66CAA">
        <w:rPr>
          <w:rFonts w:ascii="Palatino Linotype" w:eastAsia="Palatino Linotype" w:hAnsi="Palatino Linotype" w:cs="Palatino Linotype"/>
          <w:i/>
        </w:rPr>
        <w:t> </w:t>
      </w:r>
      <w:r w:rsidRPr="00C66CAA">
        <w:rPr>
          <w:rFonts w:ascii="Palatino Linotype" w:eastAsia="Palatino Linotype" w:hAnsi="Palatino Linotype" w:cs="Palatino Linotype"/>
          <w:b/>
          <w:i/>
        </w:rPr>
        <w:t xml:space="preserve">VII. </w:t>
      </w:r>
      <w:r w:rsidRPr="00C66CAA">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224313A3" w14:textId="77777777" w:rsidR="00E82C95" w:rsidRPr="00C66CAA" w:rsidRDefault="000C0903">
      <w:pPr>
        <w:pBdr>
          <w:top w:val="nil"/>
          <w:left w:val="nil"/>
          <w:bottom w:val="nil"/>
          <w:right w:val="nil"/>
          <w:between w:val="nil"/>
        </w:pBdr>
        <w:spacing w:before="240" w:after="240" w:line="360" w:lineRule="auto"/>
        <w:jc w:val="both"/>
      </w:pPr>
      <w:r w:rsidRPr="00C66CA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255267D" w14:textId="77777777" w:rsidR="00E82C95" w:rsidRPr="00C66CAA" w:rsidRDefault="000C0903">
      <w:pPr>
        <w:pBdr>
          <w:top w:val="nil"/>
          <w:left w:val="nil"/>
          <w:bottom w:val="nil"/>
          <w:right w:val="nil"/>
          <w:between w:val="nil"/>
        </w:pBdr>
        <w:spacing w:before="240" w:after="240"/>
        <w:ind w:left="709" w:right="760"/>
        <w:jc w:val="both"/>
      </w:pPr>
      <w:r w:rsidRPr="00C66CAA">
        <w:rPr>
          <w:rFonts w:ascii="Palatino Linotype" w:eastAsia="Palatino Linotype" w:hAnsi="Palatino Linotype" w:cs="Palatino Linotype"/>
          <w:i/>
        </w:rPr>
        <w:t>“</w:t>
      </w:r>
      <w:r w:rsidRPr="00C66CAA">
        <w:rPr>
          <w:rFonts w:ascii="Palatino Linotype" w:eastAsia="Palatino Linotype" w:hAnsi="Palatino Linotype" w:cs="Palatino Linotype"/>
          <w:b/>
          <w:i/>
        </w:rPr>
        <w:t>Artículo 4</w:t>
      </w:r>
      <w:r w:rsidRPr="00C66CAA">
        <w:rPr>
          <w:rFonts w:ascii="Palatino Linotype" w:eastAsia="Palatino Linotype" w:hAnsi="Palatino Linotype" w:cs="Palatino Linotype"/>
          <w:i/>
        </w:rPr>
        <w:t>. El derecho humano de acceso a la información pública es la prerrogativa de las personas para buscar, difundir, investigar, recabar, recibir y solicitar información pública, sin necesidad de acreditar personalidad ni interés jurídico. </w:t>
      </w:r>
    </w:p>
    <w:p w14:paraId="17B24DD3" w14:textId="77777777" w:rsidR="00E82C95" w:rsidRPr="00C66CAA" w:rsidRDefault="000C0903">
      <w:pPr>
        <w:pBdr>
          <w:top w:val="nil"/>
          <w:left w:val="nil"/>
          <w:bottom w:val="nil"/>
          <w:right w:val="nil"/>
          <w:between w:val="nil"/>
        </w:pBdr>
        <w:spacing w:before="240" w:after="240"/>
        <w:ind w:left="709" w:right="760"/>
        <w:jc w:val="both"/>
      </w:pPr>
      <w:r w:rsidRPr="00C66CAA">
        <w:rPr>
          <w:rFonts w:ascii="Palatino Linotype" w:eastAsia="Palatino Linotype" w:hAnsi="Palatino Linotype" w:cs="Palatino Linotype"/>
          <w:b/>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C66CAA">
        <w:rPr>
          <w:rFonts w:ascii="Palatino Linotype" w:eastAsia="Palatino Linotype" w:hAnsi="Palatino Linotype" w:cs="Palatino Linotype"/>
          <w:b/>
          <w:i/>
        </w:rPr>
        <w:lastRenderedPageBreak/>
        <w:t>público, en los términos de las causas legítimas y estrictamente necesarias previstas por esta Ley.</w:t>
      </w:r>
    </w:p>
    <w:p w14:paraId="2E6044EA" w14:textId="77777777" w:rsidR="00E82C95" w:rsidRPr="00C66CAA" w:rsidRDefault="000C0903">
      <w:pPr>
        <w:pBdr>
          <w:top w:val="nil"/>
          <w:left w:val="nil"/>
          <w:bottom w:val="nil"/>
          <w:right w:val="nil"/>
          <w:between w:val="nil"/>
        </w:pBdr>
        <w:spacing w:before="240" w:after="240"/>
        <w:ind w:left="709" w:right="760"/>
        <w:jc w:val="both"/>
      </w:pPr>
      <w:r w:rsidRPr="00C66CAA">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14:paraId="3E408466" w14:textId="77777777" w:rsidR="00E82C95" w:rsidRPr="00C66CAA" w:rsidRDefault="000C0903">
      <w:pPr>
        <w:pBdr>
          <w:top w:val="nil"/>
          <w:left w:val="nil"/>
          <w:bottom w:val="nil"/>
          <w:right w:val="nil"/>
          <w:between w:val="nil"/>
        </w:pBdr>
        <w:spacing w:before="240" w:after="240" w:line="360" w:lineRule="auto"/>
        <w:jc w:val="both"/>
      </w:pPr>
      <w:r w:rsidRPr="00C66CAA">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C240A28" w14:textId="77777777" w:rsidR="00E82C95" w:rsidRPr="00C66CAA" w:rsidRDefault="000C0903">
      <w:pPr>
        <w:pBdr>
          <w:top w:val="nil"/>
          <w:left w:val="nil"/>
          <w:bottom w:val="nil"/>
          <w:right w:val="nil"/>
          <w:between w:val="nil"/>
        </w:pBdr>
        <w:spacing w:before="240" w:after="240"/>
        <w:ind w:left="567" w:right="758"/>
        <w:jc w:val="both"/>
      </w:pPr>
      <w:r w:rsidRPr="00C66CAA">
        <w:rPr>
          <w:rFonts w:ascii="Palatino Linotype" w:eastAsia="Palatino Linotype" w:hAnsi="Palatino Linotype" w:cs="Palatino Linotype"/>
          <w:i/>
        </w:rPr>
        <w:t>“</w:t>
      </w:r>
      <w:r w:rsidRPr="00C66CAA">
        <w:rPr>
          <w:rFonts w:ascii="Palatino Linotype" w:eastAsia="Palatino Linotype" w:hAnsi="Palatino Linotype" w:cs="Palatino Linotype"/>
          <w:b/>
          <w:i/>
        </w:rPr>
        <w:t>Artículo 12</w:t>
      </w:r>
      <w:r w:rsidRPr="00C66CAA">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 </w:t>
      </w:r>
    </w:p>
    <w:p w14:paraId="1DA676DA" w14:textId="77777777" w:rsidR="00E82C95" w:rsidRPr="00C66CAA" w:rsidRDefault="000C0903">
      <w:pPr>
        <w:pBdr>
          <w:top w:val="nil"/>
          <w:left w:val="nil"/>
          <w:bottom w:val="nil"/>
          <w:right w:val="nil"/>
          <w:between w:val="nil"/>
        </w:pBdr>
        <w:spacing w:before="240" w:after="240"/>
        <w:ind w:left="567" w:right="758"/>
        <w:jc w:val="both"/>
      </w:pPr>
      <w:r w:rsidRPr="00C66CAA">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2A4644" w14:textId="77777777" w:rsidR="00E82C95" w:rsidRPr="00C66CAA" w:rsidRDefault="000C0903">
      <w:pPr>
        <w:pBdr>
          <w:top w:val="nil"/>
          <w:left w:val="nil"/>
          <w:bottom w:val="nil"/>
          <w:right w:val="nil"/>
          <w:between w:val="nil"/>
        </w:pBdr>
        <w:spacing w:before="240" w:after="240" w:line="360" w:lineRule="auto"/>
        <w:jc w:val="both"/>
      </w:pPr>
      <w:r w:rsidRPr="00C66CAA">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C66CAA">
        <w:rPr>
          <w:rFonts w:ascii="Palatino Linotype" w:eastAsia="Palatino Linotype" w:hAnsi="Palatino Linotype" w:cs="Palatino Linotype"/>
          <w:i/>
        </w:rPr>
        <w:t>ad hoc</w:t>
      </w:r>
      <w:r w:rsidRPr="00C66CAA">
        <w:rPr>
          <w:rFonts w:ascii="Palatino Linotype" w:eastAsia="Palatino Linotype" w:hAnsi="Palatino Linotype" w:cs="Palatino Linotype"/>
        </w:rPr>
        <w:t xml:space="preserve">, para satisfacer el derecho de acceso a la información pública, como así lo establece el criterio </w:t>
      </w:r>
      <w:r w:rsidRPr="00C66CAA">
        <w:rPr>
          <w:rFonts w:ascii="Palatino Linotype" w:eastAsia="Palatino Linotype" w:hAnsi="Palatino Linotype" w:cs="Palatino Linotype"/>
        </w:rPr>
        <w:lastRenderedPageBreak/>
        <w:t>orientador  03/17 emitido por el entonces Instituto Nacional de Transparencia, Acceso a la Información Pública y Protección de Datos Personales, el cual señala lo siguiente:</w:t>
      </w:r>
    </w:p>
    <w:p w14:paraId="6ED6539A" w14:textId="77777777" w:rsidR="00E82C95" w:rsidRPr="00C66CAA" w:rsidRDefault="000C0903">
      <w:pPr>
        <w:pBdr>
          <w:top w:val="nil"/>
          <w:left w:val="nil"/>
          <w:bottom w:val="nil"/>
          <w:right w:val="nil"/>
          <w:between w:val="nil"/>
        </w:pBdr>
        <w:spacing w:before="240" w:after="240"/>
        <w:ind w:left="567" w:right="900"/>
        <w:jc w:val="both"/>
      </w:pPr>
      <w:r w:rsidRPr="00C66CAA">
        <w:rPr>
          <w:rFonts w:ascii="Palatino Linotype" w:eastAsia="Palatino Linotype" w:hAnsi="Palatino Linotype" w:cs="Palatino Linotype"/>
          <w:b/>
          <w:i/>
        </w:rPr>
        <w:t>03/17</w:t>
      </w:r>
    </w:p>
    <w:p w14:paraId="2F521DED" w14:textId="77777777" w:rsidR="00E82C95" w:rsidRPr="00C66CAA" w:rsidRDefault="000C0903">
      <w:pPr>
        <w:pBdr>
          <w:top w:val="nil"/>
          <w:left w:val="nil"/>
          <w:bottom w:val="nil"/>
          <w:right w:val="nil"/>
          <w:between w:val="nil"/>
        </w:pBdr>
        <w:spacing w:before="240" w:after="240"/>
        <w:ind w:left="567" w:right="900"/>
        <w:jc w:val="both"/>
      </w:pPr>
      <w:r w:rsidRPr="00C66CAA">
        <w:rPr>
          <w:rFonts w:ascii="Palatino Linotype" w:eastAsia="Palatino Linotype" w:hAnsi="Palatino Linotype" w:cs="Palatino Linotype"/>
          <w:b/>
          <w:i/>
        </w:rPr>
        <w:t>“NO EXISTE OBLIGACIÓN DE ELABORAR DOCUMENTOS AD HOC PARA ATENDER LAS SOLICITUDES DE ACCESO A LA INFORMACIÓN.</w:t>
      </w:r>
    </w:p>
    <w:p w14:paraId="7C52E4FC" w14:textId="77777777" w:rsidR="00E82C95" w:rsidRPr="00C66CAA" w:rsidRDefault="000C0903">
      <w:pPr>
        <w:pBdr>
          <w:top w:val="nil"/>
          <w:left w:val="nil"/>
          <w:bottom w:val="nil"/>
          <w:right w:val="nil"/>
          <w:between w:val="nil"/>
        </w:pBdr>
        <w:spacing w:before="240" w:after="240"/>
        <w:ind w:left="567" w:right="900"/>
        <w:jc w:val="both"/>
      </w:pPr>
      <w:r w:rsidRPr="00C66CAA">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3279A3A" w14:textId="77777777" w:rsidR="00E82C95" w:rsidRPr="00C66CAA" w:rsidRDefault="000C0903">
      <w:pPr>
        <w:pBdr>
          <w:top w:val="nil"/>
          <w:left w:val="nil"/>
          <w:bottom w:val="nil"/>
          <w:right w:val="nil"/>
          <w:between w:val="nil"/>
        </w:pBdr>
        <w:spacing w:before="240" w:after="240" w:line="360" w:lineRule="auto"/>
        <w:jc w:val="both"/>
      </w:pPr>
      <w:r w:rsidRPr="00C66CAA">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1544E27" w14:textId="77777777" w:rsidR="00E82C95" w:rsidRPr="00C66CAA" w:rsidRDefault="000C0903">
      <w:pPr>
        <w:pBdr>
          <w:top w:val="nil"/>
          <w:left w:val="nil"/>
          <w:bottom w:val="nil"/>
          <w:right w:val="nil"/>
          <w:between w:val="nil"/>
        </w:pBdr>
        <w:spacing w:before="240" w:after="240" w:line="360" w:lineRule="auto"/>
        <w:ind w:right="49"/>
        <w:jc w:val="both"/>
      </w:pPr>
      <w:r w:rsidRPr="00C66CAA">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C66CAA">
        <w:rPr>
          <w:rFonts w:ascii="Palatino Linotype" w:eastAsia="Palatino Linotype" w:hAnsi="Palatino Linotype" w:cs="Palatino Linotype"/>
        </w:rPr>
        <w:lastRenderedPageBreak/>
        <w:t>cada Sujeto Obligado; como así se establece en la Ley de Transparencia y Acceso a la Información Pública del Estado de México y Municipios.</w:t>
      </w:r>
    </w:p>
    <w:p w14:paraId="4A471904" w14:textId="77777777" w:rsidR="00E82C95" w:rsidRPr="00C66CAA" w:rsidRDefault="000C090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4978931"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i/>
        </w:rPr>
        <w:t>“</w:t>
      </w:r>
      <w:r w:rsidRPr="00C66CAA">
        <w:rPr>
          <w:rFonts w:ascii="Palatino Linotype" w:eastAsia="Palatino Linotype" w:hAnsi="Palatino Linotype" w:cs="Palatino Linotype"/>
          <w:b/>
          <w:i/>
        </w:rPr>
        <w:t xml:space="preserve">Artículo 3. </w:t>
      </w:r>
      <w:r w:rsidRPr="00C66CAA">
        <w:rPr>
          <w:rFonts w:ascii="Palatino Linotype" w:eastAsia="Palatino Linotype" w:hAnsi="Palatino Linotype" w:cs="Palatino Linotype"/>
          <w:i/>
        </w:rPr>
        <w:t>Para los efectos de la presente Ley se entenderá por:</w:t>
      </w:r>
    </w:p>
    <w:p w14:paraId="6476F55D"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i/>
        </w:rPr>
        <w:t>…</w:t>
      </w:r>
    </w:p>
    <w:p w14:paraId="42AFE573"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b/>
          <w:i/>
        </w:rPr>
        <w:t>XI. Documento:</w:t>
      </w:r>
      <w:r w:rsidRPr="00C66CAA">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C66CAA">
        <w:rPr>
          <w:rFonts w:ascii="Palatino Linotype" w:eastAsia="Palatino Linotype" w:hAnsi="Palatino Linotype" w:cs="Palatino Linotype"/>
          <w:b/>
          <w:i/>
        </w:rPr>
        <w:t>…</w:t>
      </w:r>
      <w:r w:rsidRPr="00C66CAA">
        <w:rPr>
          <w:rFonts w:ascii="Palatino Linotype" w:eastAsia="Palatino Linotype" w:hAnsi="Palatino Linotype" w:cs="Palatino Linotype"/>
          <w:i/>
        </w:rPr>
        <w:t>”</w:t>
      </w:r>
    </w:p>
    <w:p w14:paraId="71023F7F" w14:textId="77777777" w:rsidR="00E82C95" w:rsidRPr="00C66CAA" w:rsidRDefault="000C0903">
      <w:pPr>
        <w:pBdr>
          <w:top w:val="nil"/>
          <w:left w:val="nil"/>
          <w:bottom w:val="nil"/>
          <w:right w:val="nil"/>
          <w:between w:val="nil"/>
        </w:pBdr>
        <w:spacing w:before="240" w:after="240" w:line="360" w:lineRule="auto"/>
        <w:jc w:val="both"/>
      </w:pPr>
      <w:r w:rsidRPr="00C66CAA">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C66CAA">
        <w:rPr>
          <w:rFonts w:ascii="Palatino Linotype" w:eastAsia="Palatino Linotype" w:hAnsi="Palatino Linotype" w:cs="Palatino Linotype"/>
        </w:rPr>
        <w:lastRenderedPageBreak/>
        <w:t>del Estado Libre y Soberano de México “Gaceta del Gobierno”, el diecinueve de octubre de dos mil once, cuyo rubro y texto refieren lo siguiente:</w:t>
      </w:r>
    </w:p>
    <w:p w14:paraId="7E4AD95A"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b/>
        </w:rPr>
        <w:t>“</w:t>
      </w:r>
      <w:r w:rsidRPr="00C66CAA">
        <w:rPr>
          <w:rFonts w:ascii="Palatino Linotype" w:eastAsia="Palatino Linotype" w:hAnsi="Palatino Linotype" w:cs="Palatino Linotype"/>
          <w:b/>
          <w:i/>
        </w:rPr>
        <w:t>CRITERIO 0002-11</w:t>
      </w:r>
    </w:p>
    <w:p w14:paraId="18815965"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66CA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4F295F" w14:textId="77777777" w:rsidR="00E82C95" w:rsidRPr="00C66CAA" w:rsidRDefault="000C0903">
      <w:pPr>
        <w:pBdr>
          <w:top w:val="nil"/>
          <w:left w:val="nil"/>
          <w:bottom w:val="nil"/>
          <w:right w:val="nil"/>
          <w:between w:val="nil"/>
        </w:pBdr>
        <w:spacing w:before="240" w:after="240"/>
        <w:ind w:left="567" w:right="567"/>
        <w:jc w:val="both"/>
      </w:pPr>
      <w:r w:rsidRPr="00C66CAA">
        <w:rPr>
          <w:rFonts w:ascii="Palatino Linotype" w:eastAsia="Palatino Linotype" w:hAnsi="Palatino Linotype" w:cs="Palatino Linotype"/>
          <w:i/>
        </w:rPr>
        <w:t>En consecuencia el acceso a la información se refiere a que se cumplan cualquiera de los siguientes tres supuestos:</w:t>
      </w:r>
    </w:p>
    <w:p w14:paraId="38F2E566" w14:textId="77777777" w:rsidR="00E82C95" w:rsidRPr="00C66CAA" w:rsidRDefault="000C0903">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rPr>
      </w:pPr>
      <w:r w:rsidRPr="00C66CAA">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14:paraId="59574342" w14:textId="77777777" w:rsidR="00E82C95" w:rsidRPr="00C66CAA" w:rsidRDefault="000C0903">
      <w:pPr>
        <w:numPr>
          <w:ilvl w:val="0"/>
          <w:numId w:val="1"/>
        </w:numPr>
        <w:pBdr>
          <w:top w:val="nil"/>
          <w:left w:val="nil"/>
          <w:bottom w:val="nil"/>
          <w:right w:val="nil"/>
          <w:between w:val="nil"/>
        </w:pBdr>
        <w:spacing w:before="240" w:after="240"/>
        <w:ind w:left="567" w:right="567"/>
        <w:jc w:val="both"/>
        <w:rPr>
          <w:rFonts w:ascii="Palatino Linotype" w:eastAsia="Palatino Linotype" w:hAnsi="Palatino Linotype" w:cs="Palatino Linotype"/>
          <w:i/>
        </w:rPr>
      </w:pPr>
      <w:r w:rsidRPr="00C66CAA">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03BC2694" w14:textId="77777777" w:rsidR="00E82C95" w:rsidRPr="00C66CAA" w:rsidRDefault="000C0903">
      <w:pPr>
        <w:pBdr>
          <w:top w:val="nil"/>
          <w:left w:val="nil"/>
          <w:bottom w:val="nil"/>
          <w:right w:val="nil"/>
          <w:between w:val="nil"/>
        </w:pBdr>
        <w:spacing w:before="240" w:after="240"/>
        <w:ind w:left="567" w:right="567" w:hanging="284"/>
        <w:jc w:val="both"/>
      </w:pPr>
      <w:r w:rsidRPr="00C66CAA">
        <w:rPr>
          <w:rFonts w:ascii="Palatino Linotype" w:eastAsia="Palatino Linotype" w:hAnsi="Palatino Linotype" w:cs="Palatino Linotype"/>
          <w:i/>
        </w:rPr>
        <w:t xml:space="preserve">3. </w:t>
      </w:r>
      <w:r w:rsidRPr="00C66CAA">
        <w:rPr>
          <w:rFonts w:ascii="Palatino Linotype" w:eastAsia="Palatino Linotype" w:hAnsi="Palatino Linotype" w:cs="Palatino Linotype"/>
          <w:b/>
          <w:i/>
        </w:rPr>
        <w:t xml:space="preserve">Que se trate de información registrada en cualquier soporte documental, que en ejercicio de las atribuciones conferidas, se encuentre en posesión de los Sujetos Obligados.” </w:t>
      </w:r>
      <w:r w:rsidRPr="00C66CAA">
        <w:rPr>
          <w:rFonts w:ascii="Palatino Linotype" w:eastAsia="Palatino Linotype" w:hAnsi="Palatino Linotype" w:cs="Palatino Linotype"/>
          <w:i/>
        </w:rPr>
        <w:t>(Énfasis añadido)</w:t>
      </w:r>
    </w:p>
    <w:p w14:paraId="6420A8F2" w14:textId="77777777" w:rsidR="00E82C95" w:rsidRPr="00C66CAA" w:rsidRDefault="000C090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De ahí que 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w:t>
      </w:r>
      <w:r w:rsidRPr="00C66CAA">
        <w:rPr>
          <w:rFonts w:ascii="Palatino Linotype" w:eastAsia="Palatino Linotype" w:hAnsi="Palatino Linotype" w:cs="Palatino Linotype"/>
        </w:rPr>
        <w:lastRenderedPageBreak/>
        <w:t>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53FE3A0F" w14:textId="0053EEB5" w:rsidR="00E82C95" w:rsidRPr="00C66CAA" w:rsidRDefault="000C090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Ahora bien, para profundizar en el estudio del presente asunto, es conveniente recordar que de un análisis a la solicitud de información, se advierte que la parte solicitante requirió al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le proporcionara lo siguiente:</w:t>
      </w:r>
    </w:p>
    <w:p w14:paraId="2EF94A35" w14:textId="5D7D6C28" w:rsidR="004C78D7" w:rsidRPr="00C66CAA" w:rsidRDefault="00082A60" w:rsidP="005B581F">
      <w:pPr>
        <w:pStyle w:val="Prrafodelista"/>
        <w:numPr>
          <w:ilvl w:val="0"/>
          <w:numId w:val="12"/>
        </w:numPr>
        <w:pBdr>
          <w:top w:val="nil"/>
          <w:left w:val="nil"/>
          <w:bottom w:val="nil"/>
          <w:right w:val="nil"/>
          <w:between w:val="nil"/>
        </w:pBdr>
        <w:spacing w:before="240" w:after="240" w:line="360" w:lineRule="auto"/>
        <w:ind w:right="900"/>
        <w:jc w:val="both"/>
        <w:rPr>
          <w:rFonts w:ascii="Palatino Linotype" w:eastAsia="Palatino Linotype" w:hAnsi="Palatino Linotype" w:cs="Palatino Linotype"/>
          <w:b/>
        </w:rPr>
      </w:pPr>
      <w:r w:rsidRPr="00C66CAA">
        <w:rPr>
          <w:rFonts w:ascii="Palatino Linotype" w:eastAsia="Palatino Linotype" w:hAnsi="Palatino Linotype" w:cs="Palatino Linotype"/>
          <w:b/>
        </w:rPr>
        <w:t xml:space="preserve">Planes de contingencia y </w:t>
      </w:r>
      <w:r w:rsidR="004C78D7" w:rsidRPr="00C66CAA">
        <w:rPr>
          <w:rFonts w:ascii="Palatino Linotype" w:eastAsia="Palatino Linotype" w:hAnsi="Palatino Linotype" w:cs="Palatino Linotype"/>
          <w:b/>
        </w:rPr>
        <w:t>protocolos de actuación del Ayuntamiento ante posibles amenazas cibernéticas que comprometan la seguridad de la información y sistemas municipales.</w:t>
      </w:r>
    </w:p>
    <w:p w14:paraId="5DB2B4F7" w14:textId="70E9DC76" w:rsidR="004C78D7" w:rsidRPr="00C66CAA" w:rsidRDefault="006135DA" w:rsidP="006135DA">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t>En respuesta a este requerimiento</w:t>
      </w:r>
      <w:r w:rsidR="000C0903" w:rsidRPr="00C66CAA">
        <w:rPr>
          <w:rFonts w:ascii="Palatino Linotype" w:eastAsia="Palatino Linotype" w:hAnsi="Palatino Linotype" w:cs="Palatino Linotype"/>
        </w:rPr>
        <w:t xml:space="preserve"> de información, el</w:t>
      </w:r>
      <w:r w:rsidR="000C0903" w:rsidRPr="00C66CAA">
        <w:rPr>
          <w:rFonts w:ascii="Palatino Linotype" w:eastAsia="Palatino Linotype" w:hAnsi="Palatino Linotype" w:cs="Palatino Linotype"/>
          <w:b/>
        </w:rPr>
        <w:t xml:space="preserve"> Sujeto Obligado </w:t>
      </w:r>
      <w:r w:rsidRPr="00C66CAA">
        <w:rPr>
          <w:rFonts w:ascii="Palatino Linotype" w:eastAsia="Palatino Linotype" w:hAnsi="Palatino Linotype" w:cs="Palatino Linotype"/>
        </w:rPr>
        <w:t>se pronunció por conducto del</w:t>
      </w:r>
      <w:r w:rsidR="006E7124" w:rsidRPr="00C66CAA">
        <w:rPr>
          <w:rFonts w:ascii="Palatino Linotype" w:eastAsia="Palatino Linotype" w:hAnsi="Palatino Linotype" w:cs="Palatino Linotype"/>
        </w:rPr>
        <w:t xml:space="preserve"> </w:t>
      </w:r>
      <w:r w:rsidR="00160F82" w:rsidRPr="00C66CAA">
        <w:rPr>
          <w:rFonts w:ascii="Palatino Linotype" w:eastAsia="Palatino Linotype" w:hAnsi="Palatino Linotype" w:cs="Palatino Linotype"/>
        </w:rPr>
        <w:t xml:space="preserve">titular de </w:t>
      </w:r>
      <w:r w:rsidR="00160F82" w:rsidRPr="00C66CAA">
        <w:rPr>
          <w:rFonts w:ascii="Palatino Linotype" w:eastAsia="Palatino Linotype" w:hAnsi="Palatino Linotype" w:cs="Palatino Linotype"/>
          <w:b/>
          <w:u w:val="single"/>
        </w:rPr>
        <w:t>la Unidad de Información, Programación, Planeación y Evaluación, por el cual refiere que lo que se realiza es el respaldo de base de datos de manera semanal</w:t>
      </w:r>
      <w:r w:rsidR="00160F82" w:rsidRPr="00C66CAA">
        <w:rPr>
          <w:rFonts w:ascii="Palatino Linotype" w:eastAsia="Palatino Linotype" w:hAnsi="Palatino Linotype" w:cs="Palatino Linotype"/>
        </w:rPr>
        <w:t>; lo anterior con fundamento en el artículo 12 párrafo segundo de la Ley de Transparencia y Acceso a la Información Pública del Estado de México y Municipios.</w:t>
      </w:r>
    </w:p>
    <w:p w14:paraId="373525C4" w14:textId="77777777" w:rsidR="00B70519" w:rsidRPr="00C66CAA" w:rsidRDefault="000C0903" w:rsidP="00B7051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En esta tesitura, una vez conocida la respuesta emitida por 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la parte Recurrente</w:t>
      </w:r>
      <w:r w:rsidRPr="00C66CAA">
        <w:rPr>
          <w:rFonts w:ascii="Palatino Linotype" w:eastAsia="Palatino Linotype" w:hAnsi="Palatino Linotype" w:cs="Palatino Linotype"/>
        </w:rPr>
        <w:t xml:space="preserve">, al no estar conforme con los términos de la misma, interpuso el recurso de revisión que nos ocupa, inconformándose medularmente por la </w:t>
      </w:r>
      <w:r w:rsidR="00160F82" w:rsidRPr="00C66CAA">
        <w:rPr>
          <w:rFonts w:ascii="Palatino Linotype" w:eastAsia="Palatino Linotype" w:hAnsi="Palatino Linotype" w:cs="Palatino Linotype"/>
        </w:rPr>
        <w:t>negativa a entregar la información solicitada.</w:t>
      </w:r>
    </w:p>
    <w:p w14:paraId="28E5C544" w14:textId="06BA6158" w:rsidR="006E7124" w:rsidRPr="00C66CAA" w:rsidRDefault="000C0903" w:rsidP="00B70519">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lastRenderedPageBreak/>
        <w:t xml:space="preserve">Así las cosas, durante la etapa de manifestaciones e informe justificado, se tiene que </w:t>
      </w:r>
      <w:r w:rsidR="00160F82" w:rsidRPr="00C66CAA">
        <w:rPr>
          <w:rFonts w:ascii="Palatino Linotype" w:eastAsia="Palatino Linotype" w:hAnsi="Palatino Linotype" w:cs="Palatino Linotype"/>
        </w:rPr>
        <w:t xml:space="preserve">el Titular de la Unidad de Información, Programación, Planeación y Evaluación, en el que refiere medularmente que derivado de una búsqueda minuciosa y exhaustiva en los archivos físicos y digitales de la Unidad, </w:t>
      </w:r>
      <w:r w:rsidR="00160F82" w:rsidRPr="00C66CAA">
        <w:rPr>
          <w:rFonts w:ascii="Palatino Linotype" w:eastAsia="Palatino Linotype" w:hAnsi="Palatino Linotype" w:cs="Palatino Linotype"/>
          <w:b/>
          <w:u w:val="single"/>
        </w:rPr>
        <w:t>no se localizó información documental y/o referente alguno que proporcionar a su solicitud;</w:t>
      </w:r>
      <w:r w:rsidR="00160F82" w:rsidRPr="00C66CAA">
        <w:rPr>
          <w:rFonts w:ascii="Palatino Linotype" w:eastAsia="Palatino Linotype" w:hAnsi="Palatino Linotype" w:cs="Palatino Linotype"/>
        </w:rPr>
        <w:t xml:space="preserve"> lo anterior con fundamento en lo establecido en los artículos 12,19 y 24 de la Ley de Transparencia y Acceso a la Información Pública del Estado de México y Municipios, mientras que la parte Recurrente</w:t>
      </w:r>
      <w:r w:rsidR="006135DA" w:rsidRPr="00C66CAA">
        <w:rPr>
          <w:rFonts w:ascii="Palatino Linotype" w:eastAsia="Palatino Linotype" w:hAnsi="Palatino Linotype" w:cs="Palatino Linotype"/>
        </w:rPr>
        <w:t xml:space="preserve"> </w:t>
      </w:r>
      <w:r w:rsidR="004529EB" w:rsidRPr="00C66CAA">
        <w:rPr>
          <w:rFonts w:ascii="Palatino Linotype" w:eastAsia="Palatino Linotype" w:hAnsi="Palatino Linotype" w:cs="Palatino Linotype"/>
        </w:rPr>
        <w:t>fue omisa en pronunciarse en esta etapa</w:t>
      </w:r>
      <w:r w:rsidRPr="00C66CAA">
        <w:rPr>
          <w:rFonts w:ascii="Palatino Linotype" w:eastAsia="Palatino Linotype" w:hAnsi="Palatino Linotype" w:cs="Palatino Linotype"/>
        </w:rPr>
        <w:t>, por lo que se tiene por precluido su derecho para tal efecto y se procede en este acto a emitir la resolución que corresponda conforme a derecho.</w:t>
      </w:r>
    </w:p>
    <w:p w14:paraId="2B26000F" w14:textId="40E70C47" w:rsidR="00B76459" w:rsidRPr="00C66CAA" w:rsidRDefault="000C0903" w:rsidP="00160F8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Acotado lo anterior, debemos recordar </w:t>
      </w:r>
      <w:r w:rsidR="00160F82" w:rsidRPr="00C66CAA">
        <w:rPr>
          <w:rFonts w:ascii="Palatino Linotype" w:eastAsia="Palatino Linotype" w:hAnsi="Palatino Linotype" w:cs="Palatino Linotype"/>
        </w:rPr>
        <w:t>que,</w:t>
      </w:r>
      <w:r w:rsidRPr="00C66CAA">
        <w:rPr>
          <w:rFonts w:ascii="Palatino Linotype" w:eastAsia="Palatino Linotype" w:hAnsi="Palatino Linotype" w:cs="Palatino Linotype"/>
        </w:rPr>
        <w:t xml:space="preserve"> en el </w:t>
      </w:r>
      <w:r w:rsidR="000E08CB" w:rsidRPr="00C66CAA">
        <w:rPr>
          <w:rFonts w:ascii="Palatino Linotype" w:eastAsia="Palatino Linotype" w:hAnsi="Palatino Linotype" w:cs="Palatino Linotype"/>
        </w:rPr>
        <w:t>presente asunto, se pronunció</w:t>
      </w:r>
      <w:r w:rsidRPr="00C66CAA">
        <w:rPr>
          <w:rFonts w:ascii="Palatino Linotype" w:eastAsia="Palatino Linotype" w:hAnsi="Palatino Linotype" w:cs="Palatino Linotype"/>
        </w:rPr>
        <w:t xml:space="preserve"> la</w:t>
      </w:r>
      <w:r w:rsidR="006135DA" w:rsidRPr="00C66CAA">
        <w:rPr>
          <w:rFonts w:ascii="Palatino Linotype" w:eastAsia="Palatino Linotype" w:hAnsi="Palatino Linotype" w:cs="Palatino Linotype"/>
        </w:rPr>
        <w:t xml:space="preserve"> persona titular de la </w:t>
      </w:r>
      <w:r w:rsidR="00160F82" w:rsidRPr="00C66CAA">
        <w:rPr>
          <w:rFonts w:ascii="Palatino Linotype" w:eastAsia="Palatino Linotype" w:hAnsi="Palatino Linotype" w:cs="Palatino Linotype"/>
          <w:b/>
          <w:u w:val="single"/>
        </w:rPr>
        <w:t>Unidad de Información, Programación, Planeación y Evaluación</w:t>
      </w:r>
      <w:r w:rsidR="00CE0394" w:rsidRPr="00C66CAA">
        <w:rPr>
          <w:rFonts w:ascii="Palatino Linotype" w:eastAsia="Palatino Linotype" w:hAnsi="Palatino Linotype" w:cs="Palatino Linotype"/>
        </w:rPr>
        <w:t xml:space="preserve">; en tal sentido, resulta importante traer a colación lo establecido por </w:t>
      </w:r>
      <w:r w:rsidR="00160F82" w:rsidRPr="00C66CAA">
        <w:rPr>
          <w:rFonts w:ascii="Palatino Linotype" w:eastAsia="Palatino Linotype" w:hAnsi="Palatino Linotype" w:cs="Palatino Linotype"/>
        </w:rPr>
        <w:t>el Reglamento Orgánico Municipal de Zinacantepec</w:t>
      </w:r>
      <w:r w:rsidR="00B76459" w:rsidRPr="00C66CAA">
        <w:rPr>
          <w:rFonts w:ascii="Palatino Linotype" w:eastAsia="Palatino Linotype" w:hAnsi="Palatino Linotype" w:cs="Palatino Linotype"/>
        </w:rPr>
        <w:t>, el cual dispone lo siguiente sobre el área en análisis:</w:t>
      </w:r>
    </w:p>
    <w:p w14:paraId="78D894CB" w14:textId="2DFED495" w:rsidR="00B76459" w:rsidRPr="00C66CAA" w:rsidRDefault="00B76459" w:rsidP="00B70519">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b/>
          <w:i/>
          <w:u w:val="single"/>
        </w:rPr>
      </w:pPr>
      <w:r w:rsidRPr="00C66CAA">
        <w:rPr>
          <w:rFonts w:ascii="Palatino Linotype" w:eastAsia="Palatino Linotype" w:hAnsi="Palatino Linotype" w:cs="Palatino Linotype"/>
          <w:i/>
        </w:rPr>
        <w:t xml:space="preserve">“Artículo 29. La Unidad de Información, Planeación, Programación y Evaluación es la Unidad Administrativa encargada del cumplimiento de las etapas del proceso de planeación para el desarrollo en el ámbito de su competencia, así como </w:t>
      </w:r>
      <w:r w:rsidRPr="00C66CAA">
        <w:rPr>
          <w:rFonts w:ascii="Palatino Linotype" w:eastAsia="Palatino Linotype" w:hAnsi="Palatino Linotype" w:cs="Palatino Linotype"/>
          <w:b/>
          <w:i/>
          <w:u w:val="single"/>
        </w:rPr>
        <w:t>proponer y coordinar políticas de innovación gubernamental e implementación de las Tecnologías de la Información y Comunicación (</w:t>
      </w:r>
      <w:proofErr w:type="spellStart"/>
      <w:r w:rsidRPr="00C66CAA">
        <w:rPr>
          <w:rFonts w:ascii="Palatino Linotype" w:eastAsia="Palatino Linotype" w:hAnsi="Palatino Linotype" w:cs="Palatino Linotype"/>
          <w:b/>
          <w:i/>
          <w:u w:val="single"/>
        </w:rPr>
        <w:t>TIC´s</w:t>
      </w:r>
      <w:proofErr w:type="spellEnd"/>
      <w:r w:rsidRPr="00C66CAA">
        <w:rPr>
          <w:rFonts w:ascii="Palatino Linotype" w:eastAsia="Palatino Linotype" w:hAnsi="Palatino Linotype" w:cs="Palatino Linotype"/>
          <w:b/>
          <w:i/>
          <w:u w:val="single"/>
        </w:rPr>
        <w:t>).</w:t>
      </w:r>
    </w:p>
    <w:p w14:paraId="605B3D61" w14:textId="7C551BF4" w:rsidR="00B76459" w:rsidRPr="00C66CAA" w:rsidRDefault="00B76459" w:rsidP="00B76459">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rPr>
      </w:pPr>
      <w:r w:rsidRPr="00C66CAA">
        <w:rPr>
          <w:rFonts w:ascii="Palatino Linotype" w:eastAsia="Palatino Linotype" w:hAnsi="Palatino Linotype" w:cs="Palatino Linotype"/>
          <w:i/>
        </w:rPr>
        <w:t>Artículo 30. Además de las previstas en las disposiciones normativas y administrativas en la materia, la Unidad de Información, Planeación, Programación y Evaluación tiene las siguientes funciones y atribuciones:</w:t>
      </w:r>
    </w:p>
    <w:p w14:paraId="681E5BF2" w14:textId="1D9D3AF6" w:rsidR="00B76459" w:rsidRPr="00C66CAA" w:rsidRDefault="00B76459" w:rsidP="00B76459">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rPr>
      </w:pPr>
      <w:r w:rsidRPr="00C66CAA">
        <w:rPr>
          <w:rFonts w:ascii="Palatino Linotype" w:eastAsia="Palatino Linotype" w:hAnsi="Palatino Linotype" w:cs="Palatino Linotype"/>
          <w:i/>
        </w:rPr>
        <w:t>…</w:t>
      </w:r>
    </w:p>
    <w:p w14:paraId="305D93E3" w14:textId="3E22AED6" w:rsidR="00B76459" w:rsidRPr="00C66CAA" w:rsidRDefault="00B76459" w:rsidP="00B70519">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b/>
          <w:i/>
          <w:u w:val="single"/>
        </w:rPr>
      </w:pPr>
      <w:r w:rsidRPr="00C66CAA">
        <w:rPr>
          <w:rFonts w:ascii="Palatino Linotype" w:eastAsia="Palatino Linotype" w:hAnsi="Palatino Linotype" w:cs="Palatino Linotype"/>
          <w:b/>
          <w:i/>
          <w:u w:val="single"/>
        </w:rPr>
        <w:lastRenderedPageBreak/>
        <w:t>XIII. Proponer la implementación de sistemas de informática que regulen la comunicación y servicios de la Administración Pública Municipal;</w:t>
      </w:r>
      <w:r w:rsidR="005B581F" w:rsidRPr="00C66CAA">
        <w:rPr>
          <w:rFonts w:ascii="Palatino Linotype" w:eastAsia="Palatino Linotype" w:hAnsi="Palatino Linotype" w:cs="Palatino Linotype"/>
          <w:b/>
          <w:i/>
          <w:u w:val="single"/>
        </w:rPr>
        <w:t>”</w:t>
      </w:r>
    </w:p>
    <w:p w14:paraId="7385E236" w14:textId="570494D0" w:rsidR="009450AE" w:rsidRPr="00C66CAA" w:rsidRDefault="005B581F" w:rsidP="00082A60">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Del precepto previamente insertado, se advierte </w:t>
      </w:r>
      <w:r w:rsidR="008726E8" w:rsidRPr="00C66CAA">
        <w:rPr>
          <w:rFonts w:ascii="Palatino Linotype" w:eastAsia="Palatino Linotype" w:hAnsi="Palatino Linotype" w:cs="Palatino Linotype"/>
        </w:rPr>
        <w:t>que,</w:t>
      </w:r>
      <w:r w:rsidRPr="00C66CAA">
        <w:rPr>
          <w:rFonts w:ascii="Palatino Linotype" w:eastAsia="Palatino Linotype" w:hAnsi="Palatino Linotype" w:cs="Palatino Linotype"/>
        </w:rPr>
        <w:t xml:space="preserve"> la Unidad de Información, Programación, Planeación y Evaluación, se encarga de la implementación de sistemas de informática que regulen la comunicación y servicios de la administración pública municipal, </w:t>
      </w:r>
      <w:r w:rsidR="009450AE" w:rsidRPr="00C66CAA">
        <w:rPr>
          <w:rFonts w:ascii="Palatino Linotype" w:eastAsia="Palatino Linotype" w:hAnsi="Palatino Linotype" w:cs="Palatino Linotype"/>
        </w:rPr>
        <w:t>así como proponer y coordinar políticas de innovación gubernamental e implementación de las Tecnologías de la Información y Comunicación (</w:t>
      </w:r>
      <w:proofErr w:type="spellStart"/>
      <w:r w:rsidR="009450AE" w:rsidRPr="00C66CAA">
        <w:rPr>
          <w:rFonts w:ascii="Palatino Linotype" w:eastAsia="Palatino Linotype" w:hAnsi="Palatino Linotype" w:cs="Palatino Linotype"/>
        </w:rPr>
        <w:t>TIC´s</w:t>
      </w:r>
      <w:proofErr w:type="spellEnd"/>
      <w:r w:rsidR="009450AE" w:rsidRPr="00C66CAA">
        <w:rPr>
          <w:rFonts w:ascii="Palatino Linotype" w:eastAsia="Palatino Linotype" w:hAnsi="Palatino Linotype" w:cs="Palatino Linotype"/>
        </w:rPr>
        <w:t>).</w:t>
      </w:r>
    </w:p>
    <w:p w14:paraId="03B61E48" w14:textId="7CB4570A" w:rsidR="00082A60" w:rsidRPr="00C66CAA" w:rsidRDefault="009450AE" w:rsidP="00082A60">
      <w:pPr>
        <w:spacing w:before="240" w:beforeAutospacing="0" w:after="240" w:line="360" w:lineRule="auto"/>
        <w:jc w:val="both"/>
        <w:rPr>
          <w:rFonts w:ascii="Palatino Linotype" w:eastAsia="Palatino Linotype" w:hAnsi="Palatino Linotype" w:cs="Palatino Linotype"/>
        </w:rPr>
      </w:pPr>
      <w:r w:rsidRPr="00C66CAA">
        <w:rPr>
          <w:rFonts w:ascii="Palatino Linotype" w:hAnsi="Palatino Linotype" w:cs="Times New Roman"/>
        </w:rPr>
        <w:t xml:space="preserve">Por consiguiente, respecto a </w:t>
      </w:r>
      <w:r w:rsidRPr="00C66CAA">
        <w:rPr>
          <w:rFonts w:ascii="Palatino Linotype" w:eastAsia="Palatino Linotype" w:hAnsi="Palatino Linotype" w:cs="Palatino Linotype"/>
        </w:rPr>
        <w:t xml:space="preserve">Unidad de Información, Programación, Planeación y Evaluación; se tiene por atendida la solicitud de información, más aún cuando, no se advierte alguna </w:t>
      </w:r>
      <w:r w:rsidR="008726E8" w:rsidRPr="00C66CAA">
        <w:rPr>
          <w:rFonts w:ascii="Palatino Linotype" w:eastAsia="Palatino Linotype" w:hAnsi="Palatino Linotype" w:cs="Palatino Linotype"/>
        </w:rPr>
        <w:t>facultad de implementar protocolos de actuación del Ayuntamiento ante posibles amenazas cibernéticas que comprometan la seguridad de la información</w:t>
      </w:r>
      <w:r w:rsidRPr="00C66CAA">
        <w:rPr>
          <w:rFonts w:ascii="Palatino Linotype" w:eastAsia="Palatino Linotype" w:hAnsi="Palatino Linotype" w:cs="Palatino Linotype"/>
        </w:rPr>
        <w:t xml:space="preserve">. </w:t>
      </w:r>
    </w:p>
    <w:p w14:paraId="11B2F1FC" w14:textId="66427305" w:rsidR="00FF226F" w:rsidRPr="00C66CAA" w:rsidRDefault="009450AE" w:rsidP="00082A60">
      <w:pPr>
        <w:spacing w:before="240" w:beforeAutospacing="0" w:after="240" w:line="360" w:lineRule="auto"/>
        <w:jc w:val="both"/>
        <w:rPr>
          <w:rFonts w:ascii="Palatino Linotype" w:hAnsi="Palatino Linotype"/>
        </w:rPr>
      </w:pPr>
      <w:r w:rsidRPr="00C66CAA">
        <w:rPr>
          <w:rFonts w:ascii="Palatino Linotype" w:eastAsia="Palatino Linotype" w:hAnsi="Palatino Linotype" w:cs="Palatino Linotype"/>
        </w:rPr>
        <w:t xml:space="preserve">No obstante, respecto a la </w:t>
      </w:r>
      <w:r w:rsidR="008726E8" w:rsidRPr="00C66CAA">
        <w:rPr>
          <w:rFonts w:ascii="Palatino Linotype" w:eastAsia="Palatino Linotype" w:hAnsi="Palatino Linotype" w:cs="Palatino Linotype"/>
        </w:rPr>
        <w:t xml:space="preserve">protección de la información y datos personales que pueden obrar en </w:t>
      </w:r>
      <w:r w:rsidR="002E737C" w:rsidRPr="00C66CAA">
        <w:rPr>
          <w:rFonts w:ascii="Palatino Linotype" w:eastAsia="Palatino Linotype" w:hAnsi="Palatino Linotype" w:cs="Palatino Linotype"/>
        </w:rPr>
        <w:t xml:space="preserve">poder de los sujetos obligados, </w:t>
      </w:r>
      <w:r w:rsidRPr="00C66CAA">
        <w:rPr>
          <w:rFonts w:ascii="Palatino Linotype" w:eastAsia="Palatino Linotype" w:hAnsi="Palatino Linotype" w:cs="Palatino Linotype"/>
        </w:rPr>
        <w:t xml:space="preserve">de manera concreta </w:t>
      </w:r>
      <w:r w:rsidR="00C0450B" w:rsidRPr="00C66CAA">
        <w:rPr>
          <w:rFonts w:ascii="Palatino Linotype" w:hAnsi="Palatino Linotype"/>
          <w:b/>
        </w:rPr>
        <w:t xml:space="preserve">respecto al </w:t>
      </w:r>
      <w:r w:rsidR="00C0450B" w:rsidRPr="00C66CAA">
        <w:rPr>
          <w:rFonts w:ascii="Palatino Linotype" w:hAnsi="Palatino Linotype"/>
          <w:b/>
          <w:u w:val="single"/>
        </w:rPr>
        <w:t>plan de contingencias</w:t>
      </w:r>
      <w:r w:rsidR="00C0450B" w:rsidRPr="00C66CAA">
        <w:rPr>
          <w:rFonts w:ascii="Palatino Linotype" w:hAnsi="Palatino Linotype"/>
          <w:b/>
        </w:rPr>
        <w:t xml:space="preserve">, tenemos </w:t>
      </w:r>
      <w:r w:rsidR="00082A60" w:rsidRPr="00C66CAA">
        <w:rPr>
          <w:rFonts w:ascii="Palatino Linotype" w:hAnsi="Palatino Linotype"/>
          <w:b/>
        </w:rPr>
        <w:t xml:space="preserve">que </w:t>
      </w:r>
      <w:r w:rsidR="00FF226F" w:rsidRPr="00C66CAA">
        <w:rPr>
          <w:rFonts w:ascii="Palatino Linotype" w:hAnsi="Palatino Linotype"/>
        </w:rPr>
        <w:t xml:space="preserve">la Ley de Protección de Datos Personales en Posesión de Sujetos Obligados del Estado de México y Municipios, señala en sus artículos 4, fracción XVIII, 43, 44, 45, 46, 47, 48, 49 y 50, </w:t>
      </w:r>
      <w:r w:rsidR="00082A60" w:rsidRPr="00C66CAA">
        <w:rPr>
          <w:rFonts w:ascii="Palatino Linotype" w:hAnsi="Palatino Linotype"/>
        </w:rPr>
        <w:t>establece lo siguiente</w:t>
      </w:r>
      <w:r w:rsidR="00FF226F" w:rsidRPr="00C66CAA">
        <w:rPr>
          <w:rFonts w:ascii="Palatino Linotype" w:hAnsi="Palatino Linotype"/>
        </w:rPr>
        <w:t>:</w:t>
      </w:r>
    </w:p>
    <w:p w14:paraId="4BD21C55" w14:textId="1E43689A" w:rsidR="00FF226F" w:rsidRPr="00C66CAA" w:rsidRDefault="00FF226F" w:rsidP="00082A60">
      <w:pPr>
        <w:tabs>
          <w:tab w:val="left" w:pos="1620"/>
        </w:tabs>
        <w:spacing w:line="360" w:lineRule="auto"/>
        <w:jc w:val="both"/>
        <w:rPr>
          <w:rFonts w:ascii="Palatino Linotype" w:hAnsi="Palatino Linotype"/>
          <w:i/>
        </w:rPr>
      </w:pPr>
      <w:r w:rsidRPr="00C66CAA">
        <w:rPr>
          <w:rFonts w:ascii="Palatino Linotype" w:hAnsi="Palatino Linotype"/>
        </w:rPr>
        <w:tab/>
      </w:r>
      <w:r w:rsidRPr="00C66CAA">
        <w:rPr>
          <w:rFonts w:ascii="Palatino Linotype" w:hAnsi="Palatino Linotype"/>
          <w:i/>
        </w:rPr>
        <w:t>“Artículo 4. Para los efectos de esta Ley se entenderá por</w:t>
      </w:r>
    </w:p>
    <w:p w14:paraId="5695C67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w:t>
      </w:r>
    </w:p>
    <w:p w14:paraId="4AEB980D" w14:textId="77777777" w:rsidR="00FF226F" w:rsidRPr="00C66CAA" w:rsidRDefault="00FF226F" w:rsidP="00FF226F">
      <w:pPr>
        <w:ind w:left="851" w:right="899"/>
        <w:jc w:val="both"/>
        <w:rPr>
          <w:rFonts w:ascii="Palatino Linotype" w:hAnsi="Palatino Linotype"/>
          <w:b/>
          <w:i/>
          <w:u w:val="single"/>
        </w:rPr>
      </w:pPr>
      <w:r w:rsidRPr="00C66CAA">
        <w:rPr>
          <w:rFonts w:ascii="Palatino Linotype" w:hAnsi="Palatino Linotype"/>
          <w:b/>
          <w:i/>
        </w:rPr>
        <w:t>XVIII. Documento de seguridad:</w:t>
      </w:r>
      <w:r w:rsidRPr="00C66CAA">
        <w:rPr>
          <w:rFonts w:ascii="Palatino Linotype" w:hAnsi="Palatino Linotype"/>
          <w:i/>
        </w:rPr>
        <w:t xml:space="preserve"> </w:t>
      </w:r>
      <w:r w:rsidRPr="00C66CAA">
        <w:rPr>
          <w:rFonts w:ascii="Palatino Linotype" w:hAnsi="Palatino Linotype"/>
          <w:b/>
          <w:i/>
          <w:u w:val="single"/>
        </w:rPr>
        <w:t xml:space="preserve">al instrumento que describe y da cuenta de manera general sobre las medidas de seguridad técnicas, físicas y administrativas adoptadas por el responsable para garantizar la </w:t>
      </w:r>
      <w:r w:rsidRPr="00C66CAA">
        <w:rPr>
          <w:rFonts w:ascii="Palatino Linotype" w:hAnsi="Palatino Linotype"/>
          <w:b/>
          <w:i/>
          <w:u w:val="single"/>
        </w:rPr>
        <w:lastRenderedPageBreak/>
        <w:t>confidencialidad, integridad y disponibilidad de la información contenida en los sistemas y bases de datos personales.</w:t>
      </w:r>
    </w:p>
    <w:p w14:paraId="4B34F5E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w:t>
      </w:r>
    </w:p>
    <w:p w14:paraId="49C97355"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Naturaleza de las medidas de seguridad y registro del nivel de seguridad </w:t>
      </w:r>
    </w:p>
    <w:p w14:paraId="505A5F5E"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Artículo 43</w:t>
      </w:r>
      <w:r w:rsidRPr="00C66CAA">
        <w:rPr>
          <w:rFonts w:ascii="Palatino Linotype" w:hAnsi="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36096AAC"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Por la naturaleza de la información, las medidas de seguridad que se adopten serán consideradas confidenciales y únicamente se comunicará al Instituto, para su registro, el nivel de seguridad aplicable. </w:t>
      </w:r>
    </w:p>
    <w:p w14:paraId="224E13F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85FB4A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14:paraId="7AA25C0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41B1984A"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El responsable o el encargado, designarán a una o un administrador, quien tendrá bajo su responsabilidad directa la base y sistema de datos personales. </w:t>
      </w:r>
    </w:p>
    <w:p w14:paraId="552C329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Tipos y Niveles de Seguridad </w:t>
      </w:r>
    </w:p>
    <w:p w14:paraId="1B9E81CF"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lastRenderedPageBreak/>
        <w:t>Artículo 44</w:t>
      </w:r>
      <w:r w:rsidRPr="00C66CAA">
        <w:rPr>
          <w:rFonts w:ascii="Palatino Linotype" w:hAnsi="Palatino Linotype"/>
          <w:i/>
        </w:rPr>
        <w:t xml:space="preserve">. El responsable adoptará las medidas de seguridad, conforme a lo siguiente: </w:t>
      </w:r>
    </w:p>
    <w:p w14:paraId="2AE6B4B2"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A. Tipos de seguridad: </w:t>
      </w:r>
    </w:p>
    <w:p w14:paraId="6FAEE9FA"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 Física: a la medida orientada a la protección de instalaciones, equipos, soportes, sistemas o bases de datos para la prevención de riesgos por caso fortuito o causas de fuerza mayor. </w:t>
      </w:r>
    </w:p>
    <w:p w14:paraId="2453097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 Lógica: a las medidas de seguridad administrativas y de protección que permiten la identificación y autenticación de las usuarias y los usuarios autorizados para el tratamiento de los datos personales de acuerdo con su función. </w:t>
      </w:r>
    </w:p>
    <w:p w14:paraId="209E040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14:paraId="690C4692"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IV. De cifrado: a la implementación de algoritmos, claves, contraseñas, así como dispositivos concretos de protección que garanticen la seguridad de la información. </w:t>
      </w:r>
    </w:p>
    <w:p w14:paraId="16FC2F5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14:paraId="63B0464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B. Niveles de seguridad: </w:t>
      </w:r>
    </w:p>
    <w:p w14:paraId="7C85552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 Básico: a las medidas generales de seguridad cuya aplicación es obligatoria para todos los sistemas y bases de datos personales. Dichas medidas corresponden a los siguientes aspectos: </w:t>
      </w:r>
    </w:p>
    <w:p w14:paraId="221FC16F"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lastRenderedPageBreak/>
        <w:t>a) Documento de seguridad.</w:t>
      </w:r>
    </w:p>
    <w:p w14:paraId="374C8F46"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 b) Funciones y obligaciones del personal que intervenga en el tratamiento de las bases o sistemas de datos personales. </w:t>
      </w:r>
    </w:p>
    <w:p w14:paraId="0F21430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c) Registro de incidencias. </w:t>
      </w:r>
    </w:p>
    <w:p w14:paraId="0A14374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d) Identificación y autenticación. </w:t>
      </w:r>
    </w:p>
    <w:p w14:paraId="4499AEA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 Control de acceso. </w:t>
      </w:r>
    </w:p>
    <w:p w14:paraId="56CE334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f) Gestión de soportes. </w:t>
      </w:r>
    </w:p>
    <w:p w14:paraId="3F92193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g) Copias de respaldo y recuperación. </w:t>
      </w:r>
    </w:p>
    <w:p w14:paraId="62DF08F5"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14:paraId="21678A0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Este nivel de seguridad, de manera adicional a las medidas calificadas como básicas, considera los aspectos siguientes: </w:t>
      </w:r>
    </w:p>
    <w:p w14:paraId="1C260A8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a) Responsable de seguridad. </w:t>
      </w:r>
    </w:p>
    <w:p w14:paraId="7A6E9F6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b) Auditoría. </w:t>
      </w:r>
    </w:p>
    <w:p w14:paraId="00E71642"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c) Control de acceso físico. </w:t>
      </w:r>
    </w:p>
    <w:p w14:paraId="3C4D869E"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d) Pruebas con datos reales. </w:t>
      </w:r>
    </w:p>
    <w:p w14:paraId="05322E6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III. Alto: a las medidas de seguridad aplicables a bases o sistemas de datos concernientes a la ideología, religión, creencias, afiliación política, origen racial o </w:t>
      </w:r>
      <w:r w:rsidRPr="00C66CAA">
        <w:rPr>
          <w:rFonts w:ascii="Palatino Linotype" w:hAnsi="Palatino Linotype"/>
          <w:i/>
        </w:rPr>
        <w:lastRenderedPageBreak/>
        <w:t xml:space="preserve">étnico, salud, biométricos, genéticos o vida sexual, así como los que contengan datos recabados para fines policiales, de seguridad pública, prevención, investigación y persecución de delitos. </w:t>
      </w:r>
    </w:p>
    <w:p w14:paraId="712BAE1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En estos casos, además de incorporar las medidas de nivel básico y medio, deberán completar las que se detallan a continuación: </w:t>
      </w:r>
    </w:p>
    <w:p w14:paraId="33C18AEF"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a) Distribución de soportes. </w:t>
      </w:r>
    </w:p>
    <w:p w14:paraId="22FBB4B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b) Registro de acceso. </w:t>
      </w:r>
    </w:p>
    <w:p w14:paraId="2D4F90D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c) Telecomunicaciones. </w:t>
      </w:r>
    </w:p>
    <w:p w14:paraId="60736356"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Los diferentes niveles de seguridad serán establecidos atendiendo a las características propias de la información. Elementos a considerar para la adopción de medidas de seguridad y su naturaleza </w:t>
      </w:r>
    </w:p>
    <w:p w14:paraId="45B6CA0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Artículo 45</w:t>
      </w:r>
      <w:r w:rsidRPr="00C66CAA">
        <w:rPr>
          <w:rFonts w:ascii="Palatino Linotype" w:hAnsi="Palatino Linotype"/>
          <w:i/>
        </w:rPr>
        <w:t xml:space="preserve">. Las medidas de seguridad adoptadas por el responsable considerarán: I. El riesgo inherente a los datos personales tratados. </w:t>
      </w:r>
    </w:p>
    <w:p w14:paraId="1071956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 La sensibilidad de los datos personales tratados. </w:t>
      </w:r>
    </w:p>
    <w:p w14:paraId="707DA45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III. El desarrollo tecnológico. </w:t>
      </w:r>
    </w:p>
    <w:p w14:paraId="1F15F36C"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IV. Las posibles consecuencias de una vulneración para las y los titulares. </w:t>
      </w:r>
    </w:p>
    <w:p w14:paraId="2828460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 Las transferencias de datos personales que se realicen. </w:t>
      </w:r>
    </w:p>
    <w:p w14:paraId="2C138BE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VI. El número de titulares. </w:t>
      </w:r>
    </w:p>
    <w:p w14:paraId="04EB0572"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VII. Las violaciones a la seguridad previas ocurridas en los sistemas de tratamiento. </w:t>
      </w:r>
    </w:p>
    <w:p w14:paraId="473CA8C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lastRenderedPageBreak/>
        <w:t>VIII. El riesgo por el valor potencial cuantitativo o cualitativo que pudieran tener los datos personales tratados para una tercera persona no autorizada para su posesión. Actividades interrelacionadas para establecer y mantener las medidas de seguridad.</w:t>
      </w:r>
    </w:p>
    <w:p w14:paraId="7D2497C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Artículo 46</w:t>
      </w:r>
      <w:r w:rsidRPr="00C66CAA">
        <w:rPr>
          <w:rFonts w:ascii="Palatino Linotype" w:hAnsi="Palatino Linotype"/>
          <w:i/>
        </w:rPr>
        <w:t xml:space="preserve">. Para establecer y mantener las medidas de seguridad para la protección de los datos personales, el responsable realizará, al menos, las actividades interrelacionadas siguientes: </w:t>
      </w:r>
    </w:p>
    <w:p w14:paraId="7FDF052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14:paraId="29D4B56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 Definir las funciones y obligaciones del personal involucrado en el tratamiento de datos personales. </w:t>
      </w:r>
    </w:p>
    <w:p w14:paraId="6040185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III. Elaborar un inventario de datos personales y de las bases y o sistemas de tratamiento. </w:t>
      </w:r>
    </w:p>
    <w:p w14:paraId="15F2BF5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14:paraId="1CA31824"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 Realizar un análisis de brecha, comparando las medidas de seguridad existentes contra las faltantes en la organización del responsable. </w:t>
      </w:r>
    </w:p>
    <w:p w14:paraId="37E1E50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VI. Elaborar un plan de trabajo para la implementación de las medidas de seguridad faltantes, así como las medidas para el cumplimiento cotidiano de las políticas de gestión y tratamiento de los datos personales. </w:t>
      </w:r>
    </w:p>
    <w:p w14:paraId="701B65F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VII. Monitorear y revisar de manera periódica las medidas de seguridad implementadas, así como las amenazas y vulnerabilidades a las que están sujetos los datos personales. </w:t>
      </w:r>
    </w:p>
    <w:p w14:paraId="66230E84"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lastRenderedPageBreak/>
        <w:t xml:space="preserve">VIII. Diseñar y aplicar diferentes niveles de capacitación del personal bajo su mando, dependiendo de sus roles y responsabilidades respecto del tratamiento de los datos personales. </w:t>
      </w:r>
    </w:p>
    <w:p w14:paraId="69F0C5E0"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Exigibilidad de Documentos y Registros derivados de un Sistema de Gestión de la Protección de Datos.</w:t>
      </w:r>
    </w:p>
    <w:p w14:paraId="54E4201B"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Artículo 47.</w:t>
      </w:r>
      <w:r w:rsidRPr="00C66CAA">
        <w:rPr>
          <w:rFonts w:ascii="Palatino Linotype" w:hAnsi="Palatino Linotype"/>
          <w:i/>
        </w:rPr>
        <w:t xml:space="preserve"> Las acciones relacionadas con las medidas de seguridad para el tratamiento de los datos personales serán documentadas y contenidas en un sistema de gestión. </w:t>
      </w:r>
    </w:p>
    <w:p w14:paraId="4EB07DB4"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14:paraId="63D350AF"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Obligatoriedad del Documento de Seguridad </w:t>
      </w:r>
    </w:p>
    <w:p w14:paraId="3CCB31CD"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p>
    <w:p w14:paraId="5A425259"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14:paraId="3D5E081C"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Contenido del Documento de Seguridad</w:t>
      </w:r>
      <w:r w:rsidRPr="00C66CAA">
        <w:rPr>
          <w:rFonts w:ascii="Palatino Linotype" w:hAnsi="Palatino Linotype"/>
          <w:i/>
        </w:rPr>
        <w:t xml:space="preserve"> </w:t>
      </w:r>
    </w:p>
    <w:p w14:paraId="5B69E39A"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lastRenderedPageBreak/>
        <w:t>Artículo 49. El documento de seguridad deberá contener como mínimo lo siguiente:</w:t>
      </w:r>
      <w:r w:rsidRPr="00C66CAA">
        <w:rPr>
          <w:rFonts w:ascii="Palatino Linotype" w:hAnsi="Palatino Linotype"/>
          <w:i/>
        </w:rPr>
        <w:t xml:space="preserve"> </w:t>
      </w:r>
    </w:p>
    <w:p w14:paraId="084D6516"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 Respecto de los sistemas de datos personales: </w:t>
      </w:r>
    </w:p>
    <w:p w14:paraId="1C2BC42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a) El nombre.</w:t>
      </w:r>
    </w:p>
    <w:p w14:paraId="5611BB4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 b) El nombre, cargo y adscripción del administrador de cada sistema y base de datos.</w:t>
      </w:r>
    </w:p>
    <w:p w14:paraId="01497C5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 c) Las funciones y obligaciones del responsable, encargado o encargados y todas las personas que traten datos personales. </w:t>
      </w:r>
    </w:p>
    <w:p w14:paraId="7B33D345"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d) El folio del registro del sistema y base de datos. </w:t>
      </w:r>
    </w:p>
    <w:p w14:paraId="0E3CEAB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e) El inventario o la especificación detallada del tipo de datos personales contenidos.</w:t>
      </w:r>
    </w:p>
    <w:p w14:paraId="52053C0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f) La estructura y descripción de los sistemas y bases de datos personales, lo cual consiste en precisar y describir el tipo de soporte, así como las características del lugar donde se resguardan. </w:t>
      </w:r>
    </w:p>
    <w:p w14:paraId="2DDCD8AC" w14:textId="77777777" w:rsidR="00FF226F" w:rsidRPr="00C66CAA" w:rsidRDefault="00FF226F" w:rsidP="00FF226F">
      <w:pPr>
        <w:ind w:left="851" w:right="899"/>
        <w:jc w:val="both"/>
        <w:rPr>
          <w:rFonts w:ascii="Palatino Linotype" w:hAnsi="Palatino Linotype"/>
          <w:b/>
          <w:i/>
          <w:u w:val="single"/>
        </w:rPr>
      </w:pPr>
      <w:r w:rsidRPr="00C66CAA">
        <w:rPr>
          <w:rFonts w:ascii="Palatino Linotype" w:hAnsi="Palatino Linotype"/>
          <w:b/>
          <w:i/>
          <w:u w:val="single"/>
        </w:rPr>
        <w:t xml:space="preserve">II. Respecto de las medidas de seguridad implementadas deberá incluir lo siguiente: </w:t>
      </w:r>
    </w:p>
    <w:p w14:paraId="0C710931"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a) Transferencia y remisiones. </w:t>
      </w:r>
    </w:p>
    <w:p w14:paraId="677A53F2"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b) Resguardo de soportes físicos y electrónicos. </w:t>
      </w:r>
    </w:p>
    <w:p w14:paraId="5AF35F20"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c) Bitácoras para accesos, operación cotidiana y violaciones a la seguridad de los datos personales. </w:t>
      </w:r>
    </w:p>
    <w:p w14:paraId="45954443"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d) El análisis de riesgos. </w:t>
      </w:r>
    </w:p>
    <w:p w14:paraId="0A689EED"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lastRenderedPageBreak/>
        <w:t xml:space="preserve">e) El análisis de brecha. </w:t>
      </w:r>
    </w:p>
    <w:p w14:paraId="6AA5A2BE"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f) Gestión de incidentes.</w:t>
      </w:r>
    </w:p>
    <w:p w14:paraId="6F613926"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 g) Acceso a las instalaciones.</w:t>
      </w:r>
    </w:p>
    <w:p w14:paraId="7FDA56BE"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h) Identificación y autenticación. </w:t>
      </w:r>
    </w:p>
    <w:p w14:paraId="763EC59C"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i) Procedimientos de respaldo y recuperación de datos</w:t>
      </w:r>
      <w:r w:rsidRPr="00C66CAA">
        <w:rPr>
          <w:rFonts w:ascii="Palatino Linotype" w:hAnsi="Palatino Linotype"/>
          <w:i/>
        </w:rPr>
        <w:t xml:space="preserve">. </w:t>
      </w:r>
    </w:p>
    <w:p w14:paraId="612FE4FC" w14:textId="77777777" w:rsidR="00FF226F" w:rsidRPr="00C66CAA" w:rsidRDefault="00FF226F" w:rsidP="00FF226F">
      <w:pPr>
        <w:ind w:left="851" w:right="899"/>
        <w:jc w:val="both"/>
        <w:rPr>
          <w:rFonts w:ascii="Palatino Linotype" w:hAnsi="Palatino Linotype"/>
          <w:b/>
          <w:i/>
          <w:u w:val="single"/>
        </w:rPr>
      </w:pPr>
      <w:r w:rsidRPr="00C66CAA">
        <w:rPr>
          <w:rFonts w:ascii="Palatino Linotype" w:hAnsi="Palatino Linotype"/>
          <w:b/>
          <w:i/>
          <w:u w:val="single"/>
        </w:rPr>
        <w:t xml:space="preserve">j) Plan de contingencia. </w:t>
      </w:r>
    </w:p>
    <w:p w14:paraId="0570865F"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k) Auditorías. </w:t>
      </w:r>
    </w:p>
    <w:p w14:paraId="48DF906D" w14:textId="77777777" w:rsidR="00FF226F" w:rsidRPr="00C66CAA" w:rsidRDefault="00FF226F" w:rsidP="00FF226F">
      <w:pPr>
        <w:ind w:left="851" w:right="899"/>
        <w:jc w:val="both"/>
        <w:rPr>
          <w:rFonts w:ascii="Palatino Linotype" w:hAnsi="Palatino Linotype"/>
          <w:b/>
          <w:i/>
        </w:rPr>
      </w:pPr>
      <w:r w:rsidRPr="00C66CAA">
        <w:rPr>
          <w:rFonts w:ascii="Palatino Linotype" w:hAnsi="Palatino Linotype"/>
          <w:b/>
          <w:i/>
        </w:rPr>
        <w:t xml:space="preserve">l) Supresión y borrado seguro de datos. </w:t>
      </w:r>
    </w:p>
    <w:p w14:paraId="43B47BFD"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m) El plan de trabajo</w:t>
      </w:r>
      <w:r w:rsidRPr="00C66CAA">
        <w:rPr>
          <w:rFonts w:ascii="Palatino Linotype" w:hAnsi="Palatino Linotype"/>
          <w:i/>
        </w:rPr>
        <w:t xml:space="preserve">. </w:t>
      </w:r>
    </w:p>
    <w:p w14:paraId="7E05834E"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b/>
          <w:i/>
        </w:rPr>
        <w:t>n) Los mecanismos de monitoreo y revisión de las medidas de seguridad</w:t>
      </w:r>
      <w:r w:rsidRPr="00C66CAA">
        <w:rPr>
          <w:rFonts w:ascii="Palatino Linotype" w:hAnsi="Palatino Linotype"/>
          <w:i/>
        </w:rPr>
        <w:t xml:space="preserve">. </w:t>
      </w:r>
    </w:p>
    <w:p w14:paraId="348B44D8"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o) El programa general de capacitación. Revisión y actualización del documento de seguridad.</w:t>
      </w:r>
    </w:p>
    <w:p w14:paraId="5DDCCF89"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 Artículo 50. El responsable revisará el documento de seguridad de manera periódica y actualizarlo cuando ocurran los eventos siguientes: </w:t>
      </w:r>
    </w:p>
    <w:p w14:paraId="7B129607"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 Se produzcan modificaciones sustanciales al tratamiento de datos personales que deriven en un cambio en el nivel de riesgo. </w:t>
      </w:r>
    </w:p>
    <w:p w14:paraId="131293E4"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 xml:space="preserve">II. Como resultado de un proceso de mejora continua, derivado del monitoreo y revisión del sistema de gestión. </w:t>
      </w:r>
    </w:p>
    <w:p w14:paraId="4AC0435B"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t>III. Como resultado de un proceso de mejora para mitigar el impacto de una vulneración a la seguridad ocurrida.</w:t>
      </w:r>
    </w:p>
    <w:p w14:paraId="4CE4D65F" w14:textId="77777777" w:rsidR="00FF226F" w:rsidRPr="00C66CAA" w:rsidRDefault="00FF226F" w:rsidP="00FF226F">
      <w:pPr>
        <w:ind w:left="851" w:right="899"/>
        <w:jc w:val="both"/>
        <w:rPr>
          <w:rFonts w:ascii="Palatino Linotype" w:hAnsi="Palatino Linotype"/>
          <w:i/>
        </w:rPr>
      </w:pPr>
      <w:r w:rsidRPr="00C66CAA">
        <w:rPr>
          <w:rFonts w:ascii="Palatino Linotype" w:hAnsi="Palatino Linotype"/>
          <w:i/>
        </w:rPr>
        <w:lastRenderedPageBreak/>
        <w:t xml:space="preserve"> IV. Implementación de acciones correctivas y preventivas ante una violación de la seguridad de los datos personales.”</w:t>
      </w:r>
    </w:p>
    <w:p w14:paraId="0200CBF6" w14:textId="77777777" w:rsidR="00FF226F" w:rsidRPr="00C66CAA" w:rsidRDefault="00FF226F" w:rsidP="00FF226F">
      <w:pPr>
        <w:ind w:left="851" w:right="899"/>
        <w:jc w:val="right"/>
        <w:rPr>
          <w:rFonts w:ascii="Palatino Linotype" w:hAnsi="Palatino Linotype"/>
          <w:i/>
        </w:rPr>
      </w:pPr>
      <w:r w:rsidRPr="00C66CAA">
        <w:rPr>
          <w:rFonts w:ascii="Palatino Linotype" w:hAnsi="Palatino Linotype"/>
          <w:i/>
        </w:rPr>
        <w:t>(Énfasis añadido)</w:t>
      </w:r>
    </w:p>
    <w:p w14:paraId="739D60D9" w14:textId="6B26056B" w:rsidR="00FF226F" w:rsidRPr="00C66CAA" w:rsidRDefault="00FF226F" w:rsidP="00FF226F">
      <w:pPr>
        <w:tabs>
          <w:tab w:val="left" w:pos="709"/>
        </w:tabs>
        <w:spacing w:line="360" w:lineRule="auto"/>
        <w:jc w:val="both"/>
        <w:rPr>
          <w:rFonts w:ascii="Palatino Linotype" w:hAnsi="Palatino Linotype"/>
        </w:rPr>
      </w:pPr>
      <w:r w:rsidRPr="00C66CAA">
        <w:rPr>
          <w:rFonts w:ascii="Palatino Linotype" w:hAnsi="Palatino Linotype"/>
        </w:rPr>
        <w:t>Preceptos legales en donde se establece, que el documento de seguridad es el instrumento en donde se establecen las medidas de seguridad adoptadas por el responsable del tratamiento de los datos personales, con la finalidad de avalar el secreto, probidad y</w:t>
      </w:r>
      <w:r w:rsidR="003875B6" w:rsidRPr="00C66CAA">
        <w:rPr>
          <w:rFonts w:ascii="Palatino Linotype" w:hAnsi="Palatino Linotype"/>
        </w:rPr>
        <w:t xml:space="preserve"> </w:t>
      </w:r>
      <w:r w:rsidRPr="00C66CAA">
        <w:rPr>
          <w:rFonts w:ascii="Palatino Linotype" w:hAnsi="Palatino Linotype"/>
        </w:rPr>
        <w:t xml:space="preserve">tratamiento de los datos personales contenida en los sistemas y base de datos creados por los Sujetos Obligados en el cumplimiento de sus obligaciones. </w:t>
      </w:r>
    </w:p>
    <w:p w14:paraId="52E2B1A6" w14:textId="7AB5A19D" w:rsidR="00FF226F" w:rsidRPr="00C66CAA" w:rsidRDefault="00FF226F" w:rsidP="003875B6">
      <w:pPr>
        <w:tabs>
          <w:tab w:val="left" w:pos="709"/>
        </w:tabs>
        <w:spacing w:line="360" w:lineRule="auto"/>
        <w:jc w:val="both"/>
        <w:rPr>
          <w:rFonts w:ascii="Palatino Linotype" w:hAnsi="Palatino Linotype"/>
        </w:rPr>
      </w:pPr>
      <w:r w:rsidRPr="00C66CAA">
        <w:rPr>
          <w:rFonts w:ascii="Palatino Linotype" w:hAnsi="Palatino Linotype"/>
        </w:rPr>
        <w:t xml:space="preserve"> Asimismo, conforme el artículo 48 de la Ley de Protección de Datos Personales Local, </w:t>
      </w:r>
      <w:r w:rsidRPr="00C66CAA">
        <w:rPr>
          <w:rFonts w:ascii="Palatino Linotype" w:hAnsi="Palatino Linotype"/>
          <w:b/>
          <w:u w:val="single"/>
        </w:rPr>
        <w:t>el documento de seguridad es de observancia obligatoria</w:t>
      </w:r>
      <w:r w:rsidRPr="00C66CAA">
        <w:rPr>
          <w:rFonts w:ascii="Palatino Linotype" w:hAnsi="Palatino Linotype"/>
        </w:rPr>
        <w:t xml:space="preserve"> para los responsables, encargados y demás personas que realizan algún tipo de tratamiento a los datos personales, </w:t>
      </w:r>
      <w:r w:rsidRPr="00C66CAA">
        <w:rPr>
          <w:rFonts w:ascii="Palatino Linotype" w:hAnsi="Palatino Linotype"/>
          <w:b/>
        </w:rPr>
        <w:t xml:space="preserve">y a elección del sujeto obligado, </w:t>
      </w:r>
      <w:r w:rsidR="00826FBB" w:rsidRPr="00C66CAA">
        <w:rPr>
          <w:rFonts w:ascii="Palatino Linotype" w:hAnsi="Palatino Linotype"/>
          <w:b/>
        </w:rPr>
        <w:t>e</w:t>
      </w:r>
      <w:r w:rsidRPr="00C66CAA">
        <w:rPr>
          <w:rFonts w:ascii="Palatino Linotype" w:hAnsi="Palatino Linotype"/>
          <w:b/>
        </w:rPr>
        <w:t xml:space="preserve">ste podrá ser único e incluir todos los sistemas y bases de datos personales que posea, </w:t>
      </w:r>
      <w:r w:rsidRPr="00C66CAA">
        <w:rPr>
          <w:rFonts w:ascii="Palatino Linotype" w:hAnsi="Palatino Linotype"/>
        </w:rPr>
        <w:t>por unidad administrativa en que se incluyan los sistemas y bases de datos personales en custodia, individualizado para cada sistema, o mixto.</w:t>
      </w:r>
    </w:p>
    <w:p w14:paraId="14F53B1C" w14:textId="332C951B" w:rsidR="00FF226F" w:rsidRPr="00C66CAA" w:rsidRDefault="00FF226F" w:rsidP="003875B6">
      <w:pPr>
        <w:spacing w:line="360" w:lineRule="auto"/>
        <w:ind w:right="49"/>
        <w:jc w:val="both"/>
        <w:rPr>
          <w:rFonts w:ascii="Palatino Linotype" w:hAnsi="Palatino Linotype"/>
        </w:rPr>
      </w:pPr>
      <w:r w:rsidRPr="00C66CAA">
        <w:rPr>
          <w:rFonts w:ascii="Palatino Linotype" w:hAnsi="Palatino Linotype"/>
        </w:rPr>
        <w:t xml:space="preserve"> De ahí que los Sujetos Obligados pueden tener un documento de seguridad único en el que se incluyan todos los sistemas y bases de datos que posean por unidad administrativa.</w:t>
      </w:r>
    </w:p>
    <w:p w14:paraId="3F48DF7F" w14:textId="42843513" w:rsidR="00FF226F" w:rsidRPr="00C66CAA" w:rsidRDefault="00FF226F" w:rsidP="001C02C5">
      <w:pPr>
        <w:spacing w:line="360" w:lineRule="auto"/>
        <w:ind w:right="-150"/>
        <w:jc w:val="both"/>
        <w:rPr>
          <w:rFonts w:ascii="Palatino Linotype" w:hAnsi="Palatino Linotype"/>
          <w:i/>
        </w:rPr>
      </w:pPr>
      <w:r w:rsidRPr="00C66CAA">
        <w:rPr>
          <w:rFonts w:ascii="Palatino Linotype" w:hAnsi="Palatino Linotype"/>
        </w:rPr>
        <w:t xml:space="preserve"> Por otra parte, la Ley de Protección de Datos Personales, referida, señala como obligatoriedad por parte de los Sujetos Obligados el de </w:t>
      </w:r>
      <w:r w:rsidRPr="00C66CAA">
        <w:rPr>
          <w:rFonts w:ascii="Palatino Linotype" w:hAnsi="Palatino Linotype"/>
          <w:b/>
          <w:u w:val="single"/>
        </w:rPr>
        <w:t>emitir y aprobar su documento de seguridad para el tratamiento de los datos personales que recabe en cumplimiento de sus funciones que se encuentren contenidos en sus sistemas o bases de datos</w:t>
      </w:r>
      <w:r w:rsidRPr="00C66CAA">
        <w:rPr>
          <w:rFonts w:ascii="Palatino Linotype" w:hAnsi="Palatino Linotype"/>
        </w:rPr>
        <w:t xml:space="preserve">; asimismo, dicho soporte </w:t>
      </w:r>
      <w:r w:rsidRPr="00C66CAA">
        <w:rPr>
          <w:rFonts w:ascii="Palatino Linotype" w:hAnsi="Palatino Linotype"/>
        </w:rPr>
        <w:lastRenderedPageBreak/>
        <w:t>documental, contendrá las medidas de seguridad aplicables a las bases</w:t>
      </w:r>
      <w:r w:rsidR="001C02C5" w:rsidRPr="00C66CAA">
        <w:rPr>
          <w:rFonts w:ascii="Palatino Linotype" w:hAnsi="Palatino Linotype"/>
        </w:rPr>
        <w:t xml:space="preserve"> y sistemas de datos personales.</w:t>
      </w:r>
    </w:p>
    <w:p w14:paraId="61BB0C59" w14:textId="560A79B0" w:rsidR="00FF226F" w:rsidRPr="00C66CAA" w:rsidRDefault="001C02C5" w:rsidP="003875B6">
      <w:pPr>
        <w:spacing w:line="360" w:lineRule="auto"/>
        <w:ind w:right="49"/>
        <w:jc w:val="both"/>
        <w:rPr>
          <w:rFonts w:ascii="Palatino Linotype" w:hAnsi="Palatino Linotype"/>
        </w:rPr>
      </w:pPr>
      <w:r w:rsidRPr="00C66CAA">
        <w:rPr>
          <w:rFonts w:ascii="Palatino Linotype" w:hAnsi="Palatino Linotype"/>
          <w:b/>
        </w:rPr>
        <w:t xml:space="preserve">Entre las </w:t>
      </w:r>
      <w:r w:rsidR="00FF226F" w:rsidRPr="00C66CAA">
        <w:rPr>
          <w:rFonts w:ascii="Palatino Linotype" w:hAnsi="Palatino Linotype"/>
          <w:b/>
        </w:rPr>
        <w:t>Medidas de Seguridad implementadas</w:t>
      </w:r>
      <w:r w:rsidR="00FF226F" w:rsidRPr="00C66CAA">
        <w:rPr>
          <w:rFonts w:ascii="Palatino Linotype" w:hAnsi="Palatino Linotype"/>
        </w:rPr>
        <w:t xml:space="preserve">, </w:t>
      </w:r>
      <w:r w:rsidRPr="00C66CAA">
        <w:rPr>
          <w:rFonts w:ascii="Palatino Linotype" w:hAnsi="Palatino Linotype"/>
        </w:rPr>
        <w:t>contenidas en el Documento de Seguridad se encuentra precisamente el</w:t>
      </w:r>
      <w:r w:rsidR="00FF226F" w:rsidRPr="00C66CAA">
        <w:rPr>
          <w:rFonts w:ascii="Palatino Linotype" w:hAnsi="Palatino Linotype"/>
        </w:rPr>
        <w:t xml:space="preserve"> </w:t>
      </w:r>
      <w:r w:rsidR="00FF226F" w:rsidRPr="00C66CAA">
        <w:rPr>
          <w:rFonts w:ascii="Palatino Linotype" w:hAnsi="Palatino Linotype"/>
          <w:b/>
        </w:rPr>
        <w:t>plan de contingencia</w:t>
      </w:r>
      <w:r w:rsidRPr="00C66CAA">
        <w:rPr>
          <w:rFonts w:ascii="Palatino Linotype" w:hAnsi="Palatino Linotype"/>
        </w:rPr>
        <w:t xml:space="preserve">, no obstante al formar parte de las medidas de seguridad, este es </w:t>
      </w:r>
      <w:r w:rsidR="00FF226F" w:rsidRPr="00C66CAA">
        <w:rPr>
          <w:rFonts w:ascii="Palatino Linotype" w:hAnsi="Palatino Linotype"/>
        </w:rPr>
        <w:t>susceptibles de clasificars</w:t>
      </w:r>
      <w:r w:rsidRPr="00C66CAA">
        <w:rPr>
          <w:rFonts w:ascii="Palatino Linotype" w:hAnsi="Palatino Linotype"/>
        </w:rPr>
        <w:t xml:space="preserve">e como información confidencial, toda vez que el </w:t>
      </w:r>
      <w:r w:rsidR="00FF226F" w:rsidRPr="00C66CAA">
        <w:rPr>
          <w:rFonts w:ascii="Palatino Linotype" w:hAnsi="Palatino Linotype"/>
          <w:b/>
        </w:rPr>
        <w:t>plan de contingencia</w:t>
      </w:r>
      <w:r w:rsidR="00FF226F" w:rsidRPr="00C66CAA">
        <w:rPr>
          <w:rFonts w:ascii="Palatino Linotype" w:hAnsi="Palatino Linotype"/>
        </w:rPr>
        <w:t xml:space="preserve">, se relaciona con una eventual “situación de emergencia”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14:paraId="5FD59A2E" w14:textId="77777777" w:rsidR="00FF226F" w:rsidRPr="00C66CAA" w:rsidRDefault="00FF226F" w:rsidP="00FF226F">
      <w:pPr>
        <w:ind w:left="567" w:right="902"/>
        <w:jc w:val="both"/>
        <w:rPr>
          <w:rFonts w:ascii="Palatino Linotype" w:hAnsi="Palatino Linotype"/>
          <w:i/>
        </w:rPr>
      </w:pPr>
      <w:r w:rsidRPr="00C66CAA">
        <w:rPr>
          <w:rFonts w:ascii="Palatino Linotype" w:hAnsi="Palatino Linotype"/>
          <w:i/>
        </w:rPr>
        <w:t>“</w:t>
      </w:r>
      <w:r w:rsidRPr="00C66CAA">
        <w:rPr>
          <w:rFonts w:ascii="Palatino Linotype" w:hAnsi="Palatino Linotype"/>
          <w:b/>
          <w:i/>
        </w:rPr>
        <w:t>Artículo 21.</w:t>
      </w:r>
      <w:r w:rsidRPr="00C66CAA">
        <w:rPr>
          <w:rFonts w:ascii="Palatino Linotype" w:hAnsi="Palatino Linotype"/>
          <w:i/>
        </w:rPr>
        <w:t xml:space="preserve"> El responsable no estará obligado a recabar el consentimiento de la o el titular para el tratamiento de sus datos personales en los casos siguientes:</w:t>
      </w:r>
    </w:p>
    <w:p w14:paraId="2088CD79" w14:textId="77777777" w:rsidR="00FF226F" w:rsidRPr="00C66CAA" w:rsidRDefault="00FF226F" w:rsidP="00FF226F">
      <w:pPr>
        <w:ind w:right="902"/>
        <w:jc w:val="both"/>
        <w:rPr>
          <w:rFonts w:ascii="Palatino Linotype" w:hAnsi="Palatino Linotype"/>
          <w:i/>
        </w:rPr>
      </w:pPr>
      <w:r w:rsidRPr="00C66CAA">
        <w:rPr>
          <w:rFonts w:ascii="Palatino Linotype" w:hAnsi="Palatino Linotype"/>
          <w:i/>
        </w:rPr>
        <w:t xml:space="preserve">           …</w:t>
      </w:r>
    </w:p>
    <w:p w14:paraId="0BDDEE61" w14:textId="482878FE" w:rsidR="00FF226F" w:rsidRPr="00C66CAA" w:rsidRDefault="00FF226F" w:rsidP="003875B6">
      <w:pPr>
        <w:ind w:left="567" w:right="902"/>
        <w:jc w:val="both"/>
        <w:rPr>
          <w:rFonts w:ascii="Palatino Linotype" w:hAnsi="Palatino Linotype"/>
          <w:i/>
        </w:rPr>
      </w:pPr>
      <w:r w:rsidRPr="00C66CAA">
        <w:rPr>
          <w:rFonts w:ascii="Palatino Linotype" w:hAnsi="Palatino Linotype"/>
          <w:b/>
          <w:i/>
        </w:rPr>
        <w:t>VI.</w:t>
      </w:r>
      <w:r w:rsidRPr="00C66CAA">
        <w:rPr>
          <w:rFonts w:ascii="Palatino Linotype" w:hAnsi="Palatino Linotype"/>
          <w:i/>
        </w:rPr>
        <w:t xml:space="preserve"> </w:t>
      </w:r>
      <w:r w:rsidRPr="00C66CAA">
        <w:rPr>
          <w:rFonts w:ascii="Palatino Linotype" w:hAnsi="Palatino Linotype"/>
          <w:b/>
          <w:i/>
        </w:rPr>
        <w:t>Exista una situación de emergencia</w:t>
      </w:r>
      <w:r w:rsidRPr="00C66CAA">
        <w:rPr>
          <w:rFonts w:ascii="Palatino Linotype" w:hAnsi="Palatino Linotype"/>
          <w:i/>
        </w:rPr>
        <w:t xml:space="preserve"> que pueda dañar a un individuo en su</w:t>
      </w:r>
      <w:r w:rsidR="00C433EB" w:rsidRPr="00C66CAA">
        <w:rPr>
          <w:rFonts w:ascii="Palatino Linotype" w:hAnsi="Palatino Linotype"/>
          <w:i/>
        </w:rPr>
        <w:t xml:space="preserve"> persona o en sus bienes.” </w:t>
      </w:r>
    </w:p>
    <w:p w14:paraId="35651656" w14:textId="77777777" w:rsidR="001C02C5" w:rsidRPr="00C66CAA" w:rsidRDefault="003875B6" w:rsidP="001C02C5">
      <w:pPr>
        <w:spacing w:line="360" w:lineRule="auto"/>
        <w:ind w:right="51"/>
        <w:jc w:val="both"/>
        <w:rPr>
          <w:rFonts w:ascii="Palatino Linotype" w:hAnsi="Palatino Linotype"/>
        </w:rPr>
      </w:pPr>
      <w:r w:rsidRPr="00C66CAA">
        <w:rPr>
          <w:rFonts w:ascii="Palatino Linotype" w:hAnsi="Palatino Linotype"/>
        </w:rPr>
        <w:t xml:space="preserve">Por consiguiente, </w:t>
      </w:r>
      <w:r w:rsidR="001C02C5" w:rsidRPr="00C66CAA">
        <w:rPr>
          <w:rFonts w:ascii="Palatino Linotype" w:hAnsi="Palatino Linotype"/>
        </w:rPr>
        <w:t xml:space="preserve">el plan de contingencia, al formar parte de las medidas de seguridad contenidas en el documento de seguridad, es que resulta aplicable lo dispuesto por el artículo </w:t>
      </w:r>
    </w:p>
    <w:p w14:paraId="16AC7047" w14:textId="77777777" w:rsidR="001C02C5" w:rsidRPr="00C66CAA" w:rsidRDefault="001C02C5" w:rsidP="001C02C5">
      <w:pPr>
        <w:ind w:left="851" w:right="899"/>
        <w:jc w:val="both"/>
        <w:rPr>
          <w:rFonts w:ascii="Palatino Linotype" w:hAnsi="Palatino Linotype"/>
          <w:i/>
        </w:rPr>
      </w:pPr>
      <w:r w:rsidRPr="00C66CAA">
        <w:rPr>
          <w:rFonts w:ascii="Palatino Linotype" w:hAnsi="Palatino Linotype"/>
          <w:b/>
          <w:i/>
        </w:rPr>
        <w:t>Artículo 43</w:t>
      </w:r>
      <w:r w:rsidRPr="00C66CAA">
        <w:rPr>
          <w:rFonts w:ascii="Palatino Linotype" w:hAnsi="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14:paraId="705C14FA" w14:textId="77777777" w:rsidR="001C02C5" w:rsidRPr="00C66CAA" w:rsidRDefault="001C02C5" w:rsidP="001C02C5">
      <w:pPr>
        <w:ind w:left="851" w:right="899"/>
        <w:jc w:val="both"/>
        <w:rPr>
          <w:rFonts w:ascii="Palatino Linotype" w:hAnsi="Palatino Linotype"/>
          <w:b/>
          <w:i/>
        </w:rPr>
      </w:pPr>
      <w:r w:rsidRPr="00C66CAA">
        <w:rPr>
          <w:rFonts w:ascii="Palatino Linotype" w:hAnsi="Palatino Linotype"/>
          <w:b/>
          <w:i/>
        </w:rPr>
        <w:lastRenderedPageBreak/>
        <w:t xml:space="preserve">Por la naturaleza de la información, las medidas de seguridad que se adopten serán consideradas confidenciales y únicamente se comunicará al Instituto, para su registro, el nivel de seguridad aplicable. </w:t>
      </w:r>
    </w:p>
    <w:p w14:paraId="1BB96872" w14:textId="1B0A09A9" w:rsidR="001C02C5" w:rsidRPr="00C66CAA" w:rsidRDefault="001C02C5" w:rsidP="001C02C5">
      <w:pPr>
        <w:spacing w:line="360" w:lineRule="auto"/>
        <w:ind w:right="51"/>
        <w:jc w:val="both"/>
        <w:rPr>
          <w:rFonts w:ascii="Palatino Linotype" w:hAnsi="Palatino Linotype"/>
        </w:rPr>
      </w:pPr>
      <w:r w:rsidRPr="00C66CAA">
        <w:rPr>
          <w:rFonts w:ascii="Palatino Linotype" w:hAnsi="Palatino Linotype"/>
        </w:rPr>
        <w:t>Lo anterior, relacionado a lo dispuesto por el artículo 143 de la Ley de Transparencia Local, que en su penúltimo párrafo de la misma Ley, refiere lo siguiente:</w:t>
      </w:r>
    </w:p>
    <w:p w14:paraId="32E896BC" w14:textId="77777777" w:rsidR="001C02C5" w:rsidRPr="00C66CAA" w:rsidRDefault="001C02C5" w:rsidP="001C02C5">
      <w:pPr>
        <w:tabs>
          <w:tab w:val="left" w:pos="851"/>
        </w:tabs>
        <w:ind w:left="851" w:right="902"/>
        <w:jc w:val="both"/>
        <w:rPr>
          <w:rFonts w:ascii="Palatino Linotype" w:hAnsi="Palatino Linotype"/>
          <w:i/>
        </w:rPr>
      </w:pPr>
      <w:r w:rsidRPr="00C66CAA">
        <w:rPr>
          <w:rFonts w:ascii="Palatino Linotype" w:hAnsi="Palatino Linotype"/>
          <w:i/>
        </w:rPr>
        <w:t>“</w:t>
      </w:r>
      <w:r w:rsidRPr="00C66CAA">
        <w:rPr>
          <w:rFonts w:ascii="Palatino Linotype" w:hAnsi="Palatino Linotype"/>
          <w:b/>
          <w:i/>
        </w:rPr>
        <w:t>Artículo 143.</w:t>
      </w:r>
      <w:r w:rsidRPr="00C66CAA">
        <w:rPr>
          <w:rFonts w:ascii="Palatino Linotype" w:hAnsi="Palatino Linotype"/>
          <w:i/>
        </w:rPr>
        <w:t xml:space="preserve"> …</w:t>
      </w:r>
    </w:p>
    <w:p w14:paraId="1FEB826A" w14:textId="77777777" w:rsidR="001C02C5" w:rsidRPr="00C66CAA" w:rsidRDefault="001C02C5" w:rsidP="001C02C5">
      <w:pPr>
        <w:tabs>
          <w:tab w:val="left" w:pos="851"/>
        </w:tabs>
        <w:ind w:left="851" w:right="902"/>
        <w:jc w:val="both"/>
        <w:rPr>
          <w:rFonts w:ascii="Palatino Linotype" w:hAnsi="Palatino Linotype"/>
          <w:i/>
        </w:rPr>
      </w:pPr>
      <w:r w:rsidRPr="00C66CAA">
        <w:rPr>
          <w:rFonts w:ascii="Palatino Linotype" w:hAnsi="Palatino Linotype"/>
          <w:i/>
        </w:rPr>
        <w:t>…</w:t>
      </w:r>
    </w:p>
    <w:p w14:paraId="28F6E75D" w14:textId="77777777" w:rsidR="001C02C5" w:rsidRPr="00C66CAA" w:rsidRDefault="001C02C5" w:rsidP="001C02C5">
      <w:pPr>
        <w:tabs>
          <w:tab w:val="left" w:pos="851"/>
        </w:tabs>
        <w:ind w:left="851" w:right="902"/>
        <w:jc w:val="both"/>
        <w:rPr>
          <w:rFonts w:ascii="Palatino Linotype" w:hAnsi="Palatino Linotype"/>
          <w:i/>
        </w:rPr>
      </w:pPr>
      <w:r w:rsidRPr="00C66CAA">
        <w:rPr>
          <w:rFonts w:ascii="Palatino Linotype" w:hAnsi="Palatino Linotype"/>
          <w:i/>
        </w:rPr>
        <w:t>La información confidencial no estará sujeta a temporalidad alguna y sólo podrán tener acceso a ella los titulares de la misma, sus representantes y los servidores públicos facultados para ello.”</w:t>
      </w:r>
    </w:p>
    <w:p w14:paraId="23169FDF" w14:textId="77777777" w:rsidR="001C02C5" w:rsidRPr="00C66CAA" w:rsidRDefault="001C02C5" w:rsidP="001C02C5">
      <w:pPr>
        <w:spacing w:line="360" w:lineRule="auto"/>
        <w:jc w:val="both"/>
        <w:rPr>
          <w:rFonts w:ascii="Palatino Linotype" w:hAnsi="Palatino Linotype"/>
        </w:rPr>
      </w:pPr>
      <w:r w:rsidRPr="00C66CAA">
        <w:rPr>
          <w:rFonts w:ascii="Palatino Linotype" w:hAnsi="Palatino Linotype"/>
        </w:rPr>
        <w:t xml:space="preserve">En concordancia con lo expuesto, el numeral Trigésimo Octavo, párrafo segundo de los “Lineamientos Generales en materia de Clasificación y Desclasificación de la información, así como para la elaboración de Versiones Públicas”, vigentes a la fecha de la solicitud, señala lo siguiente: </w:t>
      </w:r>
    </w:p>
    <w:p w14:paraId="35FFF39F" w14:textId="77777777" w:rsidR="001C02C5" w:rsidRPr="00C66CAA" w:rsidRDefault="001C02C5" w:rsidP="001C02C5">
      <w:pPr>
        <w:tabs>
          <w:tab w:val="left" w:pos="851"/>
        </w:tabs>
        <w:ind w:left="851" w:right="902"/>
        <w:jc w:val="both"/>
        <w:rPr>
          <w:rFonts w:ascii="Palatino Linotype" w:hAnsi="Palatino Linotype"/>
          <w:i/>
        </w:rPr>
      </w:pPr>
      <w:r w:rsidRPr="00C66CAA">
        <w:rPr>
          <w:rFonts w:ascii="Palatino Linotype" w:hAnsi="Palatino Linotype"/>
          <w:i/>
        </w:rPr>
        <w:t>“</w:t>
      </w:r>
      <w:r w:rsidRPr="00C66CAA">
        <w:rPr>
          <w:rFonts w:ascii="Palatino Linotype" w:hAnsi="Palatino Linotype"/>
          <w:b/>
          <w:i/>
        </w:rPr>
        <w:t>Trigésimo octavo.</w:t>
      </w:r>
      <w:r w:rsidRPr="00C66CAA">
        <w:rPr>
          <w:rFonts w:ascii="Palatino Linotype" w:hAnsi="Palatino Linotype"/>
          <w:i/>
        </w:rPr>
        <w:t xml:space="preserve"> …</w:t>
      </w:r>
    </w:p>
    <w:p w14:paraId="3731EAC9" w14:textId="77777777" w:rsidR="001C02C5" w:rsidRPr="00C66CAA" w:rsidRDefault="001C02C5" w:rsidP="001C02C5">
      <w:pPr>
        <w:tabs>
          <w:tab w:val="left" w:pos="851"/>
        </w:tabs>
        <w:ind w:left="851" w:right="902"/>
        <w:jc w:val="both"/>
        <w:rPr>
          <w:rFonts w:ascii="Palatino Linotype" w:hAnsi="Palatino Linotype"/>
          <w:i/>
        </w:rPr>
      </w:pPr>
      <w:r w:rsidRPr="00C66CAA">
        <w:rPr>
          <w:rFonts w:ascii="Palatino Linotype" w:hAnsi="Palatino Linotype"/>
          <w:i/>
        </w:rPr>
        <w:t>La información confidencial no estará sujeta a temporalidad alguna y sólo podrán tener acceso a ella los titulares de la misma,</w:t>
      </w:r>
      <w:r w:rsidRPr="00C66CAA">
        <w:t xml:space="preserve"> </w:t>
      </w:r>
      <w:r w:rsidRPr="00C66CAA">
        <w:rPr>
          <w:rFonts w:ascii="Palatino Linotype" w:hAnsi="Palatino Linotype"/>
          <w:i/>
        </w:rPr>
        <w:t xml:space="preserve">sus representantes y los integrantes de los sujetos obligados facultados para ello.” </w:t>
      </w:r>
    </w:p>
    <w:p w14:paraId="4048FF9F" w14:textId="45174B45" w:rsidR="00082A60" w:rsidRPr="00C66CAA" w:rsidRDefault="001C02C5" w:rsidP="001C02C5">
      <w:pPr>
        <w:spacing w:line="360" w:lineRule="auto"/>
        <w:jc w:val="both"/>
        <w:rPr>
          <w:rFonts w:ascii="Palatino Linotype" w:hAnsi="Palatino Linotype"/>
        </w:rPr>
      </w:pPr>
      <w:r w:rsidRPr="00C66CAA">
        <w:rPr>
          <w:rFonts w:ascii="Palatino Linotype" w:hAnsi="Palatino Linotype"/>
        </w:rPr>
        <w:t xml:space="preserve">Bajo lo previo, resulta importante precisar que el plan de contingencia, </w:t>
      </w:r>
      <w:r w:rsidR="00826FBB" w:rsidRPr="00C66CAA">
        <w:rPr>
          <w:rFonts w:ascii="Palatino Linotype" w:hAnsi="Palatino Linotype"/>
        </w:rPr>
        <w:t xml:space="preserve">contenido en el o los documentos de seguridad, </w:t>
      </w:r>
      <w:r w:rsidRPr="00C66CAA">
        <w:rPr>
          <w:rFonts w:ascii="Palatino Linotype" w:hAnsi="Palatino Linotype"/>
        </w:rPr>
        <w:t xml:space="preserve">al formar parte de las medidas de seguridad aplicables a las bases de datos personales por parte del responsable es considerado </w:t>
      </w:r>
      <w:r w:rsidRPr="00C66CAA">
        <w:rPr>
          <w:rFonts w:ascii="Palatino Linotype" w:hAnsi="Palatino Linotype"/>
          <w:b/>
        </w:rPr>
        <w:t xml:space="preserve">información de carácter confidencial </w:t>
      </w:r>
      <w:r w:rsidRPr="00C66CAA">
        <w:rPr>
          <w:rFonts w:ascii="Palatino Linotype" w:hAnsi="Palatino Linotype"/>
        </w:rPr>
        <w:t xml:space="preserve">por mandato expreso del artículo 43 de la Ley, por lo que para atender este </w:t>
      </w:r>
      <w:r w:rsidR="003875B6" w:rsidRPr="00C66CAA">
        <w:rPr>
          <w:rFonts w:ascii="Palatino Linotype" w:hAnsi="Palatino Linotype"/>
        </w:rPr>
        <w:lastRenderedPageBreak/>
        <w:t xml:space="preserve">punto, el </w:t>
      </w:r>
      <w:r w:rsidR="003875B6" w:rsidRPr="00C66CAA">
        <w:rPr>
          <w:rFonts w:ascii="Palatino Linotype" w:hAnsi="Palatino Linotype"/>
          <w:b/>
        </w:rPr>
        <w:t>Sujeto Obligado</w:t>
      </w:r>
      <w:r w:rsidR="003875B6" w:rsidRPr="00C66CAA">
        <w:rPr>
          <w:rFonts w:ascii="Palatino Linotype" w:hAnsi="Palatino Linotype"/>
        </w:rPr>
        <w:t xml:space="preserve"> deberá hacer entrega del acuerdo que clasifique en su tota</w:t>
      </w:r>
      <w:r w:rsidR="00082A60" w:rsidRPr="00C66CAA">
        <w:rPr>
          <w:rFonts w:ascii="Palatino Linotype" w:hAnsi="Palatino Linotype"/>
        </w:rPr>
        <w:t>lidad, el plan de contingencia</w:t>
      </w:r>
      <w:r w:rsidRPr="00C66CAA">
        <w:rPr>
          <w:rFonts w:ascii="Palatino Linotype" w:hAnsi="Palatino Linotype"/>
        </w:rPr>
        <w:t xml:space="preserve">, contenido en el documento de seguridad con el que cuente el sujeto obligado a la fecha de la solicitud. </w:t>
      </w:r>
    </w:p>
    <w:p w14:paraId="425CFDB0" w14:textId="77777777" w:rsidR="001C02C5" w:rsidRPr="00C66CAA" w:rsidRDefault="001C02C5" w:rsidP="001C02C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Establecido lo anterior, resulta necesario señalar que para atender lo relativo a la presente solicitud de información, el </w:t>
      </w:r>
      <w:r w:rsidRPr="00C66CAA">
        <w:rPr>
          <w:rFonts w:ascii="Palatino Linotype" w:eastAsia="Palatino Linotype" w:hAnsi="Palatino Linotype" w:cs="Palatino Linotype"/>
          <w:b/>
        </w:rPr>
        <w:t>Sujeto Obligado</w:t>
      </w:r>
      <w:r w:rsidRPr="00C66CAA">
        <w:rPr>
          <w:rFonts w:ascii="Palatino Linotype" w:eastAsia="Palatino Linotype" w:hAnsi="Palatino Linotype" w:cs="Palatino Linotype"/>
        </w:rPr>
        <w:t xml:space="preserve"> deberá turnar el requerimiento de información a la Unidad de Transparencia, lo anterior, en razón de que el citado Reglamento, contempla lo siguiente sobre las atribuciones para el área en comento:</w:t>
      </w:r>
    </w:p>
    <w:p w14:paraId="047D27CD" w14:textId="77777777" w:rsidR="001C02C5" w:rsidRPr="00C66CAA" w:rsidRDefault="001C02C5" w:rsidP="001C02C5">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rPr>
      </w:pPr>
      <w:r w:rsidRPr="00C66CAA">
        <w:rPr>
          <w:rFonts w:ascii="Palatino Linotype" w:eastAsia="Palatino Linotype" w:hAnsi="Palatino Linotype" w:cs="Palatino Linotype"/>
          <w:i/>
        </w:rPr>
        <w:t>“Artículo 34. La Unidad de Transparencia es la Unidad Administrativa encargada de tutelar y garantizar la transparencia y el ejercicio del derecho humano de acceso a la información pública, en los términos que se establezcan en la Ley General de Transparencia y Acceso a la Información Pública, la Ley de Transparencia y Acceso a la Información Pública del Estado de México y Municipios y demás normatividad aplicable.</w:t>
      </w:r>
    </w:p>
    <w:p w14:paraId="506C954D" w14:textId="77777777" w:rsidR="001C02C5" w:rsidRPr="00C66CAA" w:rsidRDefault="001C02C5" w:rsidP="001C02C5">
      <w:pPr>
        <w:pBdr>
          <w:top w:val="nil"/>
          <w:left w:val="nil"/>
          <w:bottom w:val="nil"/>
          <w:right w:val="nil"/>
          <w:between w:val="nil"/>
        </w:pBdr>
        <w:tabs>
          <w:tab w:val="left" w:pos="284"/>
        </w:tabs>
        <w:spacing w:line="276" w:lineRule="auto"/>
        <w:ind w:left="567" w:right="900"/>
        <w:jc w:val="both"/>
        <w:rPr>
          <w:rFonts w:ascii="Palatino Linotype" w:eastAsia="Palatino Linotype" w:hAnsi="Palatino Linotype" w:cs="Palatino Linotype"/>
          <w:i/>
        </w:rPr>
      </w:pPr>
      <w:r w:rsidRPr="00C66CAA">
        <w:rPr>
          <w:rFonts w:ascii="Palatino Linotype" w:eastAsia="Palatino Linotype" w:hAnsi="Palatino Linotype" w:cs="Palatino Linotype"/>
          <w:b/>
          <w:i/>
        </w:rPr>
        <w:t xml:space="preserve">Además, es la responsable de adoptar las medidas necesarias para garantizar la protección integral de los datos personales, en cualquier modalidad, de acuerdo con lo dispuesto por la Ley de Protección de Datos Personales en Posesión de Sujetos Obligados del Estado de México y Municipios.” </w:t>
      </w:r>
      <w:r w:rsidRPr="00C66CAA">
        <w:rPr>
          <w:rFonts w:ascii="Palatino Linotype" w:eastAsia="Palatino Linotype" w:hAnsi="Palatino Linotype" w:cs="Palatino Linotype"/>
          <w:i/>
        </w:rPr>
        <w:t>(Énfasis añadido)</w:t>
      </w:r>
    </w:p>
    <w:p w14:paraId="70A87CCB" w14:textId="77777777" w:rsidR="001C02C5" w:rsidRPr="00C66CAA" w:rsidRDefault="001C02C5" w:rsidP="001C02C5">
      <w:pPr>
        <w:spacing w:line="360" w:lineRule="auto"/>
        <w:jc w:val="both"/>
        <w:rPr>
          <w:rFonts w:ascii="Palatino Linotype" w:hAnsi="Palatino Linotype"/>
        </w:rPr>
      </w:pPr>
      <w:r w:rsidRPr="00C66CAA">
        <w:rPr>
          <w:rFonts w:ascii="Palatino Linotype" w:hAnsi="Palatino Linotype"/>
        </w:rPr>
        <w:t xml:space="preserve">De tal suerte que, con lo insertado con antelación, es dable afirmar que el </w:t>
      </w:r>
      <w:r w:rsidRPr="00C66CAA">
        <w:rPr>
          <w:rFonts w:ascii="Palatino Linotype" w:hAnsi="Palatino Linotype"/>
          <w:b/>
        </w:rPr>
        <w:t xml:space="preserve">Sujeto Obligado, </w:t>
      </w:r>
      <w:r w:rsidRPr="00C66CAA">
        <w:rPr>
          <w:rFonts w:ascii="Palatino Linotype" w:hAnsi="Palatino Linotype"/>
        </w:rPr>
        <w:t xml:space="preserve">a través de su unidad de transparencia debe garantizar la protección de los datos personales mediante la aplicación de medidas necesarias. </w:t>
      </w:r>
    </w:p>
    <w:p w14:paraId="0AC85F13" w14:textId="4BE8F77E" w:rsidR="001C02C5" w:rsidRPr="00C66CAA" w:rsidRDefault="001C02C5" w:rsidP="001C02C5">
      <w:pPr>
        <w:spacing w:line="360" w:lineRule="auto"/>
        <w:jc w:val="both"/>
        <w:rPr>
          <w:rFonts w:ascii="Palatino Linotype" w:hAnsi="Palatino Linotype"/>
        </w:rPr>
      </w:pPr>
      <w:r w:rsidRPr="00C66CAA">
        <w:rPr>
          <w:rFonts w:ascii="Palatino Linotype" w:hAnsi="Palatino Linotype"/>
        </w:rPr>
        <w:t xml:space="preserve">A mayor abundamiento de lo anterior, este Organismo Garante no quiere dejar de mencionar que el </w:t>
      </w:r>
      <w:r w:rsidRPr="00C66CAA">
        <w:rPr>
          <w:rFonts w:ascii="Palatino Linotype" w:hAnsi="Palatino Linotype"/>
          <w:b/>
        </w:rPr>
        <w:t>Sujeto Obligado</w:t>
      </w:r>
      <w:r w:rsidRPr="00C66CAA">
        <w:rPr>
          <w:rFonts w:ascii="Palatino Linotype" w:hAnsi="Palatino Linotype"/>
        </w:rPr>
        <w:t xml:space="preserve"> al llevar a cabo la prestación de trámites y servicios a </w:t>
      </w:r>
      <w:r w:rsidRPr="00C66CAA">
        <w:rPr>
          <w:rFonts w:ascii="Palatino Linotype" w:hAnsi="Palatino Linotype"/>
        </w:rPr>
        <w:lastRenderedPageBreak/>
        <w:t xml:space="preserve">ciudadanos, forzosamente deberá realizar diversos tratamientos de datos personales, por lo </w:t>
      </w:r>
      <w:r w:rsidR="00826FBB" w:rsidRPr="00C66CAA">
        <w:rPr>
          <w:rFonts w:ascii="Palatino Linotype" w:hAnsi="Palatino Linotype"/>
        </w:rPr>
        <w:t>que debe</w:t>
      </w:r>
      <w:r w:rsidRPr="00C66CAA">
        <w:rPr>
          <w:rFonts w:ascii="Palatino Linotype" w:hAnsi="Palatino Linotype"/>
        </w:rPr>
        <w:t xml:space="preserve"> contar con un documento de seguridad. </w:t>
      </w:r>
    </w:p>
    <w:p w14:paraId="00A9CE05" w14:textId="669D7F9B" w:rsidR="003C17D7" w:rsidRPr="00C66CAA" w:rsidRDefault="000C0903">
      <w:pPr>
        <w:spacing w:before="8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Así, con fundamento en lo prescrito en los</w:t>
      </w:r>
      <w:r w:rsidRPr="00C66CAA">
        <w:t xml:space="preserve"> </w:t>
      </w:r>
      <w:r w:rsidRPr="00C66CAA">
        <w:rPr>
          <w:rFonts w:ascii="Palatino Linotype" w:eastAsia="Palatino Linotype" w:hAnsi="Palatino Linotype" w:cs="Palatino Linotype"/>
        </w:rPr>
        <w:t xml:space="preserve">artículos 5 párrafos trigésimo </w:t>
      </w:r>
      <w:r w:rsidR="003C17D7" w:rsidRPr="00C66CAA">
        <w:rPr>
          <w:rFonts w:ascii="Palatino Linotype" w:eastAsia="Palatino Linotype" w:hAnsi="Palatino Linotype" w:cs="Palatino Linotype"/>
        </w:rPr>
        <w:t>noveno</w:t>
      </w:r>
      <w:r w:rsidRPr="00C66CAA">
        <w:rPr>
          <w:rFonts w:ascii="Palatino Linotype" w:eastAsia="Palatino Linotype" w:hAnsi="Palatino Linotype" w:cs="Palatino Linotype"/>
        </w:rPr>
        <w:t xml:space="preserve">, </w:t>
      </w:r>
      <w:r w:rsidR="003C17D7" w:rsidRPr="00C66CAA">
        <w:rPr>
          <w:rFonts w:ascii="Palatino Linotype" w:eastAsia="Palatino Linotype" w:hAnsi="Palatino Linotype" w:cs="Palatino Linotype"/>
        </w:rPr>
        <w:t>cuadragésimo y cuadragésimo primero</w:t>
      </w:r>
      <w:r w:rsidRPr="00C66CAA">
        <w:rPr>
          <w:rFonts w:ascii="Palatino Linotype" w:eastAsia="Palatino Linotype" w:hAnsi="Palatino Linotype" w:cs="Palatino Linotype"/>
        </w:rPr>
        <w:t>,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99901C2" w14:textId="77777777" w:rsidR="00E82C95" w:rsidRPr="00C66CAA" w:rsidRDefault="000C0903">
      <w:pPr>
        <w:spacing w:line="259" w:lineRule="auto"/>
        <w:ind w:left="-142" w:right="49"/>
        <w:jc w:val="center"/>
        <w:rPr>
          <w:rFonts w:ascii="Palatino Linotype" w:eastAsia="Palatino Linotype" w:hAnsi="Palatino Linotype" w:cs="Palatino Linotype"/>
          <w:b/>
        </w:rPr>
      </w:pPr>
      <w:r w:rsidRPr="00C66CAA">
        <w:rPr>
          <w:rFonts w:ascii="Palatino Linotype" w:eastAsia="Palatino Linotype" w:hAnsi="Palatino Linotype" w:cs="Palatino Linotype"/>
          <w:b/>
        </w:rPr>
        <w:t>R E S U E L V E:</w:t>
      </w:r>
    </w:p>
    <w:p w14:paraId="6DE525CC" w14:textId="4BED0245"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b/>
        </w:rPr>
        <w:t xml:space="preserve">Primero. </w:t>
      </w:r>
      <w:r w:rsidRPr="00C66CAA">
        <w:rPr>
          <w:rFonts w:ascii="Palatino Linotype" w:eastAsia="Palatino Linotype" w:hAnsi="Palatino Linotype" w:cs="Palatino Linotype"/>
        </w:rPr>
        <w:t xml:space="preserve">Resultan </w:t>
      </w:r>
      <w:r w:rsidRPr="00C66CAA">
        <w:rPr>
          <w:rFonts w:ascii="Palatino Linotype" w:eastAsia="Palatino Linotype" w:hAnsi="Palatino Linotype" w:cs="Palatino Linotype"/>
          <w:b/>
        </w:rPr>
        <w:t>fundadas</w:t>
      </w:r>
      <w:r w:rsidRPr="00C66CAA">
        <w:rPr>
          <w:rFonts w:ascii="Palatino Linotype" w:eastAsia="Palatino Linotype" w:hAnsi="Palatino Linotype" w:cs="Palatino Linotype"/>
        </w:rPr>
        <w:t xml:space="preserve"> las razones o motivos de inconformidad hechos valer por </w:t>
      </w:r>
      <w:r w:rsidRPr="00C66CAA">
        <w:rPr>
          <w:rFonts w:ascii="Palatino Linotype" w:eastAsia="Palatino Linotype" w:hAnsi="Palatino Linotype" w:cs="Palatino Linotype"/>
          <w:b/>
        </w:rPr>
        <w:t>la parte Recurrente</w:t>
      </w:r>
      <w:r w:rsidRPr="00C66CAA">
        <w:rPr>
          <w:rFonts w:ascii="Palatino Linotype" w:eastAsia="Palatino Linotype" w:hAnsi="Palatino Linotype" w:cs="Palatino Linotype"/>
        </w:rPr>
        <w:t xml:space="preserve"> en el recurso de revisión </w:t>
      </w:r>
      <w:r w:rsidR="003D1D44" w:rsidRPr="00C66CAA">
        <w:rPr>
          <w:rFonts w:ascii="Palatino Linotype" w:eastAsia="Palatino Linotype" w:hAnsi="Palatino Linotype" w:cs="Palatino Linotype"/>
          <w:b/>
        </w:rPr>
        <w:t>0507</w:t>
      </w:r>
      <w:r w:rsidR="00FB62DA" w:rsidRPr="00C66CAA">
        <w:rPr>
          <w:rFonts w:ascii="Palatino Linotype" w:eastAsia="Palatino Linotype" w:hAnsi="Palatino Linotype" w:cs="Palatino Linotype"/>
          <w:b/>
        </w:rPr>
        <w:t>4/INFOEM/IP/RR/2025</w:t>
      </w:r>
      <w:r w:rsidRPr="00C66CAA">
        <w:rPr>
          <w:rFonts w:ascii="Palatino Linotype" w:eastAsia="Palatino Linotype" w:hAnsi="Palatino Linotype" w:cs="Palatino Linotype"/>
        </w:rPr>
        <w:t xml:space="preserve">; por lo que, en términos del </w:t>
      </w:r>
      <w:r w:rsidRPr="00C66CAA">
        <w:rPr>
          <w:rFonts w:ascii="Palatino Linotype" w:eastAsia="Palatino Linotype" w:hAnsi="Palatino Linotype" w:cs="Palatino Linotype"/>
          <w:b/>
        </w:rPr>
        <w:t>Considerando</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 xml:space="preserve">Cuarto </w:t>
      </w:r>
      <w:r w:rsidRPr="00C66CAA">
        <w:rPr>
          <w:rFonts w:ascii="Palatino Linotype" w:eastAsia="Palatino Linotype" w:hAnsi="Palatino Linotype" w:cs="Palatino Linotype"/>
        </w:rPr>
        <w:t xml:space="preserve">de esta resolución, se </w:t>
      </w:r>
      <w:r w:rsidRPr="00C66CAA">
        <w:rPr>
          <w:rFonts w:ascii="Palatino Linotype" w:eastAsia="Palatino Linotype" w:hAnsi="Palatino Linotype" w:cs="Palatino Linotype"/>
          <w:b/>
        </w:rPr>
        <w:t xml:space="preserve">MODIFICA </w:t>
      </w:r>
      <w:r w:rsidRPr="00C66CAA">
        <w:rPr>
          <w:rFonts w:ascii="Palatino Linotype" w:eastAsia="Palatino Linotype" w:hAnsi="Palatino Linotype" w:cs="Palatino Linotype"/>
        </w:rPr>
        <w:t xml:space="preserve">la respuesta emitida por el </w:t>
      </w:r>
      <w:r w:rsidRPr="00C66CAA">
        <w:rPr>
          <w:rFonts w:ascii="Palatino Linotype" w:eastAsia="Palatino Linotype" w:hAnsi="Palatino Linotype" w:cs="Palatino Linotype"/>
          <w:b/>
        </w:rPr>
        <w:t xml:space="preserve">Sujeto Obligado. </w:t>
      </w:r>
    </w:p>
    <w:p w14:paraId="0AE7F767" w14:textId="5E17D0EE" w:rsidR="00E82C95" w:rsidRPr="00C66CAA" w:rsidRDefault="000C0903">
      <w:pPr>
        <w:spacing w:before="240" w:after="240" w:line="360" w:lineRule="auto"/>
        <w:ind w:right="49"/>
        <w:jc w:val="both"/>
        <w:rPr>
          <w:rFonts w:ascii="Palatino Linotype" w:eastAsia="Palatino Linotype" w:hAnsi="Palatino Linotype" w:cs="Palatino Linotype"/>
          <w:b/>
          <w:i/>
        </w:rPr>
      </w:pPr>
      <w:r w:rsidRPr="00C66CAA">
        <w:rPr>
          <w:rFonts w:ascii="Palatino Linotype" w:eastAsia="Palatino Linotype" w:hAnsi="Palatino Linotype" w:cs="Palatino Linotype"/>
          <w:b/>
        </w:rPr>
        <w:t xml:space="preserve">Segundo. </w:t>
      </w:r>
      <w:r w:rsidRPr="00C66CAA">
        <w:rPr>
          <w:rFonts w:ascii="Palatino Linotype" w:eastAsia="Palatino Linotype" w:hAnsi="Palatino Linotype" w:cs="Palatino Linotype"/>
        </w:rPr>
        <w:t xml:space="preserve">Se </w:t>
      </w:r>
      <w:r w:rsidRPr="00C66CAA">
        <w:rPr>
          <w:rFonts w:ascii="Palatino Linotype" w:eastAsia="Palatino Linotype" w:hAnsi="Palatino Linotype" w:cs="Palatino Linotype"/>
          <w:b/>
        </w:rPr>
        <w:t xml:space="preserve">Ordena </w:t>
      </w:r>
      <w:r w:rsidRPr="00C66CAA">
        <w:rPr>
          <w:rFonts w:ascii="Palatino Linotype" w:eastAsia="Palatino Linotype" w:hAnsi="Palatino Linotype" w:cs="Palatino Linotype"/>
        </w:rPr>
        <w:t xml:space="preserve">al </w:t>
      </w:r>
      <w:r w:rsidRPr="00C66CAA">
        <w:rPr>
          <w:rFonts w:ascii="Palatino Linotype" w:eastAsia="Palatino Linotype" w:hAnsi="Palatino Linotype" w:cs="Palatino Linotype"/>
          <w:b/>
        </w:rPr>
        <w:t>Sujeto Obligado</w:t>
      </w:r>
      <w:r w:rsidR="00031E20" w:rsidRPr="00C66CAA">
        <w:rPr>
          <w:rFonts w:ascii="Palatino Linotype" w:eastAsia="Palatino Linotype" w:hAnsi="Palatino Linotype" w:cs="Palatino Linotype"/>
        </w:rPr>
        <w:t xml:space="preserve"> haga entrega</w:t>
      </w:r>
      <w:r w:rsidRPr="00C66CAA">
        <w:rPr>
          <w:rFonts w:ascii="Palatino Linotype" w:eastAsia="Palatino Linotype" w:hAnsi="Palatino Linotype" w:cs="Palatino Linotype"/>
          <w:b/>
        </w:rPr>
        <w:t>,</w:t>
      </w:r>
      <w:r w:rsidRPr="00C66CAA">
        <w:rPr>
          <w:rFonts w:ascii="Palatino Linotype" w:eastAsia="Palatino Linotype" w:hAnsi="Palatino Linotype" w:cs="Palatino Linotype"/>
        </w:rPr>
        <w:t xml:space="preserve"> a</w:t>
      </w:r>
      <w:r w:rsidRPr="00C66CAA">
        <w:rPr>
          <w:rFonts w:ascii="Palatino Linotype" w:eastAsia="Palatino Linotype" w:hAnsi="Palatino Linotype" w:cs="Palatino Linotype"/>
          <w:b/>
        </w:rPr>
        <w:t xml:space="preserve"> la parte Recurrente,</w:t>
      </w:r>
      <w:r w:rsidRPr="00C66CAA">
        <w:rPr>
          <w:rFonts w:ascii="Palatino Linotype" w:eastAsia="Palatino Linotype" w:hAnsi="Palatino Linotype" w:cs="Palatino Linotype"/>
        </w:rPr>
        <w:t xml:space="preserve"> vía </w:t>
      </w:r>
      <w:r w:rsidRPr="00C66CAA">
        <w:rPr>
          <w:rFonts w:ascii="Palatino Linotype" w:eastAsia="Palatino Linotype" w:hAnsi="Palatino Linotype" w:cs="Palatino Linotype"/>
          <w:b/>
        </w:rPr>
        <w:t xml:space="preserve">SAIMEX, </w:t>
      </w:r>
      <w:r w:rsidRPr="00C66CAA">
        <w:rPr>
          <w:rFonts w:ascii="Palatino Linotype" w:eastAsia="Palatino Linotype" w:hAnsi="Palatino Linotype" w:cs="Palatino Linotype"/>
        </w:rPr>
        <w:t xml:space="preserve">en términos de los </w:t>
      </w:r>
      <w:r w:rsidRPr="00C66CAA">
        <w:rPr>
          <w:rFonts w:ascii="Palatino Linotype" w:eastAsia="Palatino Linotype" w:hAnsi="Palatino Linotype" w:cs="Palatino Linotype"/>
          <w:b/>
        </w:rPr>
        <w:t>Considerandos</w:t>
      </w:r>
      <w:r w:rsidRPr="00C66CAA">
        <w:rPr>
          <w:rFonts w:ascii="Palatino Linotype" w:eastAsia="Palatino Linotype" w:hAnsi="Palatino Linotype" w:cs="Palatino Linotype"/>
        </w:rPr>
        <w:t xml:space="preserve"> </w:t>
      </w:r>
      <w:r w:rsidRPr="00C66CAA">
        <w:rPr>
          <w:rFonts w:ascii="Palatino Linotype" w:eastAsia="Palatino Linotype" w:hAnsi="Palatino Linotype" w:cs="Palatino Linotype"/>
          <w:b/>
        </w:rPr>
        <w:t xml:space="preserve">Cuarto y Quinto, </w:t>
      </w:r>
      <w:r w:rsidR="003D1D44" w:rsidRPr="00C66CAA">
        <w:rPr>
          <w:rFonts w:ascii="Palatino Linotype" w:eastAsia="Palatino Linotype" w:hAnsi="Palatino Linotype" w:cs="Palatino Linotype"/>
          <w:b/>
        </w:rPr>
        <w:t xml:space="preserve">de </w:t>
      </w:r>
      <w:r w:rsidRPr="00C66CAA">
        <w:rPr>
          <w:rFonts w:ascii="Palatino Linotype" w:eastAsia="Palatino Linotype" w:hAnsi="Palatino Linotype" w:cs="Palatino Linotype"/>
        </w:rPr>
        <w:t>lo siguiente</w:t>
      </w:r>
      <w:r w:rsidRPr="00C66CAA">
        <w:rPr>
          <w:rFonts w:ascii="Palatino Linotype" w:eastAsia="Palatino Linotype" w:hAnsi="Palatino Linotype" w:cs="Palatino Linotype"/>
          <w:b/>
          <w:i/>
        </w:rPr>
        <w:t>:</w:t>
      </w:r>
    </w:p>
    <w:p w14:paraId="0B2E453B" w14:textId="72BA5DCC" w:rsidR="00FB62DA" w:rsidRPr="00C66CAA" w:rsidRDefault="003D1D44" w:rsidP="00AC6A8B">
      <w:pPr>
        <w:pStyle w:val="Prrafodelista"/>
        <w:numPr>
          <w:ilvl w:val="0"/>
          <w:numId w:val="11"/>
        </w:numPr>
        <w:ind w:right="900"/>
        <w:jc w:val="both"/>
        <w:rPr>
          <w:rFonts w:ascii="Palatino Linotype" w:eastAsia="Palatino Linotype" w:hAnsi="Palatino Linotype" w:cs="Palatino Linotype"/>
          <w:b/>
          <w:i/>
        </w:rPr>
      </w:pPr>
      <w:r w:rsidRPr="00C66CAA">
        <w:rPr>
          <w:rFonts w:ascii="Palatino Linotype" w:eastAsia="Palatino Linotype" w:hAnsi="Palatino Linotype" w:cs="Palatino Linotype"/>
          <w:b/>
          <w:i/>
        </w:rPr>
        <w:t xml:space="preserve">El Acuerdo emitido por el Comité de Transparencia, en donde de manera fundada y motivada, clasifique en su totalidad como confidencial, el plan de contingencia </w:t>
      </w:r>
      <w:r w:rsidR="00082A60" w:rsidRPr="00C66CAA">
        <w:rPr>
          <w:rFonts w:ascii="Palatino Linotype" w:eastAsia="Palatino Linotype" w:hAnsi="Palatino Linotype" w:cs="Palatino Linotype"/>
          <w:b/>
          <w:i/>
        </w:rPr>
        <w:t xml:space="preserve">contenido en el </w:t>
      </w:r>
      <w:r w:rsidR="001C02C5" w:rsidRPr="00C66CAA">
        <w:rPr>
          <w:rFonts w:ascii="Palatino Linotype" w:eastAsia="Palatino Linotype" w:hAnsi="Palatino Linotype" w:cs="Palatino Linotype"/>
          <w:b/>
          <w:i/>
        </w:rPr>
        <w:t xml:space="preserve">o los </w:t>
      </w:r>
      <w:r w:rsidR="00082A60" w:rsidRPr="00C66CAA">
        <w:rPr>
          <w:rFonts w:ascii="Palatino Linotype" w:eastAsia="Palatino Linotype" w:hAnsi="Palatino Linotype" w:cs="Palatino Linotype"/>
          <w:b/>
          <w:i/>
        </w:rPr>
        <w:t>documento</w:t>
      </w:r>
      <w:r w:rsidR="001C02C5" w:rsidRPr="00C66CAA">
        <w:rPr>
          <w:rFonts w:ascii="Palatino Linotype" w:eastAsia="Palatino Linotype" w:hAnsi="Palatino Linotype" w:cs="Palatino Linotype"/>
          <w:b/>
          <w:i/>
        </w:rPr>
        <w:t>s</w:t>
      </w:r>
      <w:r w:rsidR="00082A60" w:rsidRPr="00C66CAA">
        <w:rPr>
          <w:rFonts w:ascii="Palatino Linotype" w:eastAsia="Palatino Linotype" w:hAnsi="Palatino Linotype" w:cs="Palatino Linotype"/>
          <w:b/>
          <w:i/>
        </w:rPr>
        <w:t xml:space="preserve"> de seguridad </w:t>
      </w:r>
      <w:r w:rsidRPr="00C66CAA">
        <w:rPr>
          <w:rFonts w:ascii="Palatino Linotype" w:eastAsia="Palatino Linotype" w:hAnsi="Palatino Linotype" w:cs="Palatino Linotype"/>
          <w:b/>
          <w:i/>
        </w:rPr>
        <w:t xml:space="preserve">con </w:t>
      </w:r>
      <w:r w:rsidR="00826FBB" w:rsidRPr="00C66CAA">
        <w:rPr>
          <w:rFonts w:ascii="Palatino Linotype" w:eastAsia="Palatino Linotype" w:hAnsi="Palatino Linotype" w:cs="Palatino Linotype"/>
          <w:b/>
          <w:i/>
        </w:rPr>
        <w:t xml:space="preserve">los </w:t>
      </w:r>
      <w:r w:rsidRPr="00C66CAA">
        <w:rPr>
          <w:rFonts w:ascii="Palatino Linotype" w:eastAsia="Palatino Linotype" w:hAnsi="Palatino Linotype" w:cs="Palatino Linotype"/>
          <w:b/>
          <w:i/>
        </w:rPr>
        <w:t>que cuente</w:t>
      </w:r>
      <w:r w:rsidR="00082A60" w:rsidRPr="00C66CAA">
        <w:rPr>
          <w:rFonts w:ascii="Palatino Linotype" w:eastAsia="Palatino Linotype" w:hAnsi="Palatino Linotype" w:cs="Palatino Linotype"/>
          <w:b/>
          <w:i/>
        </w:rPr>
        <w:t xml:space="preserve"> el sujeto obligado </w:t>
      </w:r>
      <w:r w:rsidRPr="00C66CAA">
        <w:rPr>
          <w:rFonts w:ascii="Palatino Linotype" w:eastAsia="Palatino Linotype" w:hAnsi="Palatino Linotype" w:cs="Palatino Linotype"/>
          <w:b/>
          <w:i/>
        </w:rPr>
        <w:t xml:space="preserve">al </w:t>
      </w:r>
      <w:r w:rsidR="00AC6A8B" w:rsidRPr="00C66CAA">
        <w:rPr>
          <w:rFonts w:ascii="Palatino Linotype" w:eastAsia="Palatino Linotype" w:hAnsi="Palatino Linotype" w:cs="Palatino Linotype"/>
          <w:b/>
          <w:i/>
        </w:rPr>
        <w:t>ocho de abril del dos mil veinticinco</w:t>
      </w:r>
      <w:r w:rsidRPr="00C66CAA">
        <w:rPr>
          <w:rFonts w:ascii="Palatino Linotype" w:eastAsia="Palatino Linotype" w:hAnsi="Palatino Linotype" w:cs="Palatino Linotype"/>
          <w:b/>
          <w:i/>
        </w:rPr>
        <w:t>, de conformidad con los artículos 49, fracción II, 132, fracción II, 143, fracción I, y 149 de la Ley de Transparencia y Acceso a la Información Pública del Estado de México y Municipios.</w:t>
      </w:r>
    </w:p>
    <w:p w14:paraId="3DD5FBED" w14:textId="77777777" w:rsidR="00E82C95" w:rsidRPr="00C66CAA" w:rsidRDefault="000C0903">
      <w:pPr>
        <w:spacing w:before="240" w:after="240"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b/>
        </w:rPr>
        <w:lastRenderedPageBreak/>
        <w:t xml:space="preserve">Tercero.  Notifíquese vía SAIMEX, </w:t>
      </w:r>
      <w:r w:rsidRPr="00C66CA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52E7CFA" w14:textId="77777777" w:rsidR="00E82C95" w:rsidRPr="00C66CAA" w:rsidRDefault="000C0903">
      <w:pPr>
        <w:spacing w:before="240" w:after="240"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b/>
        </w:rPr>
        <w:t>Cuarto. Notifíquese, vía SAIMEX</w:t>
      </w:r>
      <w:r w:rsidRPr="00C66CAA">
        <w:rPr>
          <w:rFonts w:ascii="Palatino Linotype" w:eastAsia="Palatino Linotype" w:hAnsi="Palatino Linotype" w:cs="Palatino Linotype"/>
        </w:rPr>
        <w:t>, al Titular de la Unidad de Transparencia que</w:t>
      </w:r>
      <w:r w:rsidRPr="00C66CAA">
        <w:rPr>
          <w:rFonts w:ascii="Palatino Linotype" w:eastAsia="Palatino Linotype" w:hAnsi="Palatino Linotype" w:cs="Palatino Linotype"/>
          <w:b/>
        </w:rPr>
        <w:t xml:space="preserve"> </w:t>
      </w:r>
      <w:r w:rsidRPr="00C66CA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37D6067" w14:textId="77777777" w:rsidR="00E82C95" w:rsidRPr="00C66CAA" w:rsidRDefault="000C0903">
      <w:pPr>
        <w:spacing w:before="240" w:after="240" w:line="360" w:lineRule="auto"/>
        <w:ind w:right="49"/>
        <w:jc w:val="both"/>
        <w:rPr>
          <w:rFonts w:ascii="Palatino Linotype" w:eastAsia="Palatino Linotype" w:hAnsi="Palatino Linotype" w:cs="Palatino Linotype"/>
        </w:rPr>
      </w:pPr>
      <w:r w:rsidRPr="00C66CAA">
        <w:rPr>
          <w:rFonts w:ascii="Palatino Linotype" w:eastAsia="Palatino Linotype" w:hAnsi="Palatino Linotype" w:cs="Palatino Linotype"/>
          <w:b/>
        </w:rPr>
        <w:t xml:space="preserve">Quinto. Notifíquese vía SAIMEX, </w:t>
      </w:r>
      <w:r w:rsidRPr="00C66CAA">
        <w:rPr>
          <w:rFonts w:ascii="Palatino Linotype" w:eastAsia="Palatino Linotype" w:hAnsi="Palatino Linotype" w:cs="Palatino Linotype"/>
        </w:rPr>
        <w:t>a</w:t>
      </w:r>
      <w:r w:rsidRPr="00C66CAA">
        <w:rPr>
          <w:rFonts w:ascii="Palatino Linotype" w:eastAsia="Palatino Linotype" w:hAnsi="Palatino Linotype" w:cs="Palatino Linotype"/>
          <w:b/>
        </w:rPr>
        <w:t xml:space="preserve"> la parte Recurrente</w:t>
      </w:r>
      <w:r w:rsidRPr="00C66CAA">
        <w:rPr>
          <w:rFonts w:ascii="Palatino Linotype" w:eastAsia="Palatino Linotype" w:hAnsi="Palatino Linotype" w:cs="Palatino Linotype"/>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 </w:t>
      </w:r>
    </w:p>
    <w:p w14:paraId="28424CA6" w14:textId="44A576EF" w:rsidR="00E82C95" w:rsidRPr="004F14AB" w:rsidRDefault="000C0903">
      <w:pPr>
        <w:spacing w:line="360" w:lineRule="auto"/>
        <w:jc w:val="both"/>
        <w:rPr>
          <w:rFonts w:ascii="Palatino Linotype" w:eastAsia="Palatino Linotype" w:hAnsi="Palatino Linotype" w:cs="Palatino Linotype"/>
        </w:rPr>
      </w:pPr>
      <w:r w:rsidRPr="00C66CA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C66CAA">
        <w:rPr>
          <w:rFonts w:ascii="Palatino Linotype" w:eastAsia="Palatino Linotype" w:hAnsi="Palatino Linotype" w:cs="Palatino Linotype"/>
        </w:rPr>
        <w:lastRenderedPageBreak/>
        <w:t xml:space="preserve">AYALA, SHARON CRISTINA MORALES MARTÍNEZ, LUIS GUSTAVO PARRA NORIEGA Y GUADALUPE RAMÍREZ PEÑA; EN LA </w:t>
      </w:r>
      <w:r w:rsidR="001C02C5" w:rsidRPr="00C66CAA">
        <w:rPr>
          <w:rFonts w:ascii="Palatino Linotype" w:eastAsia="Palatino Linotype" w:hAnsi="Palatino Linotype" w:cs="Palatino Linotype"/>
        </w:rPr>
        <w:t xml:space="preserve">TRIGÉSIMA  </w:t>
      </w:r>
      <w:r w:rsidRPr="00C66CAA">
        <w:rPr>
          <w:rFonts w:ascii="Palatino Linotype" w:eastAsia="Palatino Linotype" w:hAnsi="Palatino Linotype" w:cs="Palatino Linotype"/>
        </w:rPr>
        <w:t>SESIÓN OR</w:t>
      </w:r>
      <w:r w:rsidR="00717AA4" w:rsidRPr="00C66CAA">
        <w:rPr>
          <w:rFonts w:ascii="Palatino Linotype" w:eastAsia="Palatino Linotype" w:hAnsi="Palatino Linotype" w:cs="Palatino Linotype"/>
        </w:rPr>
        <w:t xml:space="preserve">DINARIA, CELEBRADA EL </w:t>
      </w:r>
      <w:r w:rsidR="001C02C5" w:rsidRPr="00C66CAA">
        <w:rPr>
          <w:rFonts w:ascii="Palatino Linotype" w:eastAsia="Palatino Linotype" w:hAnsi="Palatino Linotype" w:cs="Palatino Linotype"/>
        </w:rPr>
        <w:t>VEINTISIETE DE AGOSTO</w:t>
      </w:r>
      <w:r w:rsidRPr="00C66CAA">
        <w:rPr>
          <w:rFonts w:ascii="Palatino Linotype" w:eastAsia="Palatino Linotype" w:hAnsi="Palatino Linotype" w:cs="Palatino Linotype"/>
        </w:rPr>
        <w:t xml:space="preserve"> DE DOS MIL VEINTICINCO, ANTE EL SECRETARIO TÉCNICO </w:t>
      </w:r>
      <w:r w:rsidR="00AC6A8B" w:rsidRPr="00C66CAA">
        <w:rPr>
          <w:rFonts w:ascii="Palatino Linotype" w:eastAsia="Palatino Linotype" w:hAnsi="Palatino Linotype" w:cs="Palatino Linotype"/>
        </w:rPr>
        <w:t>DEL PLENO ALEXIS TAPIA RAMÍREZ</w:t>
      </w:r>
      <w:bookmarkStart w:id="7" w:name="_heading=h.3rdcrjn" w:colFirst="0" w:colLast="0"/>
      <w:bookmarkStart w:id="8" w:name="_heading=h.1t3h5sf" w:colFirst="0" w:colLast="0"/>
      <w:bookmarkEnd w:id="7"/>
      <w:bookmarkEnd w:id="8"/>
      <w:r w:rsidR="00AC6A8B" w:rsidRPr="00C66CAA">
        <w:rPr>
          <w:rFonts w:ascii="Palatino Linotype" w:eastAsia="Palatino Linotype" w:hAnsi="Palatino Linotype" w:cs="Palatino Linotype"/>
        </w:rPr>
        <w:t>.</w:t>
      </w:r>
    </w:p>
    <w:p w14:paraId="128348F6" w14:textId="77777777" w:rsidR="00E82C95" w:rsidRPr="004F14AB" w:rsidRDefault="00E82C95">
      <w:pPr>
        <w:spacing w:line="360" w:lineRule="auto"/>
        <w:jc w:val="both"/>
        <w:rPr>
          <w:rFonts w:ascii="Palatino Linotype" w:eastAsia="Palatino Linotype" w:hAnsi="Palatino Linotype" w:cs="Palatino Linotype"/>
        </w:rPr>
      </w:pPr>
    </w:p>
    <w:p w14:paraId="5192B1E0" w14:textId="77777777" w:rsidR="00E82C95" w:rsidRPr="004F14AB" w:rsidRDefault="00E82C95">
      <w:pPr>
        <w:spacing w:line="360" w:lineRule="auto"/>
        <w:jc w:val="both"/>
        <w:rPr>
          <w:rFonts w:ascii="Palatino Linotype" w:eastAsia="Palatino Linotype" w:hAnsi="Palatino Linotype" w:cs="Palatino Linotype"/>
        </w:rPr>
      </w:pPr>
    </w:p>
    <w:p w14:paraId="03BEB42C" w14:textId="77777777" w:rsidR="00E82C95" w:rsidRPr="004F14AB" w:rsidRDefault="00E82C95">
      <w:pPr>
        <w:spacing w:line="360" w:lineRule="auto"/>
        <w:jc w:val="both"/>
        <w:rPr>
          <w:rFonts w:ascii="Palatino Linotype" w:eastAsia="Palatino Linotype" w:hAnsi="Palatino Linotype" w:cs="Palatino Linotype"/>
        </w:rPr>
      </w:pPr>
    </w:p>
    <w:p w14:paraId="4612AEA3" w14:textId="77777777" w:rsidR="00E82C95" w:rsidRPr="004F14AB" w:rsidRDefault="00E82C95">
      <w:pPr>
        <w:spacing w:line="360" w:lineRule="auto"/>
        <w:jc w:val="both"/>
        <w:rPr>
          <w:rFonts w:ascii="Palatino Linotype" w:eastAsia="Palatino Linotype" w:hAnsi="Palatino Linotype" w:cs="Palatino Linotype"/>
        </w:rPr>
      </w:pPr>
    </w:p>
    <w:p w14:paraId="55C274F6" w14:textId="77777777" w:rsidR="00E82C95" w:rsidRPr="004F14AB" w:rsidRDefault="00E82C95">
      <w:pPr>
        <w:spacing w:line="360" w:lineRule="auto"/>
        <w:jc w:val="both"/>
        <w:rPr>
          <w:rFonts w:ascii="Palatino Linotype" w:eastAsia="Palatino Linotype" w:hAnsi="Palatino Linotype" w:cs="Palatino Linotype"/>
        </w:rPr>
      </w:pPr>
    </w:p>
    <w:p w14:paraId="200DE1BA" w14:textId="77777777" w:rsidR="00E82C95" w:rsidRPr="004F14AB" w:rsidRDefault="00E82C95">
      <w:pPr>
        <w:spacing w:line="360" w:lineRule="auto"/>
        <w:jc w:val="both"/>
        <w:rPr>
          <w:rFonts w:ascii="Palatino Linotype" w:eastAsia="Palatino Linotype" w:hAnsi="Palatino Linotype" w:cs="Palatino Linotype"/>
        </w:rPr>
      </w:pPr>
    </w:p>
    <w:p w14:paraId="4F9966AC" w14:textId="77777777" w:rsidR="00E82C95" w:rsidRPr="004F14AB" w:rsidRDefault="00E82C95">
      <w:pPr>
        <w:spacing w:line="360" w:lineRule="auto"/>
        <w:jc w:val="both"/>
        <w:rPr>
          <w:rFonts w:ascii="Palatino Linotype" w:eastAsia="Palatino Linotype" w:hAnsi="Palatino Linotype" w:cs="Palatino Linotype"/>
        </w:rPr>
      </w:pPr>
    </w:p>
    <w:p w14:paraId="4B04C6F9" w14:textId="77777777" w:rsidR="00E82C95" w:rsidRPr="004F14AB" w:rsidRDefault="00E82C95">
      <w:pPr>
        <w:spacing w:line="360" w:lineRule="auto"/>
        <w:jc w:val="both"/>
        <w:rPr>
          <w:rFonts w:ascii="Palatino Linotype" w:eastAsia="Palatino Linotype" w:hAnsi="Palatino Linotype" w:cs="Palatino Linotype"/>
        </w:rPr>
      </w:pPr>
    </w:p>
    <w:p w14:paraId="29AC8568" w14:textId="77777777" w:rsidR="004F14AB" w:rsidRPr="004F14AB" w:rsidRDefault="004F14AB">
      <w:pPr>
        <w:spacing w:line="360" w:lineRule="auto"/>
        <w:jc w:val="both"/>
        <w:rPr>
          <w:rFonts w:ascii="Palatino Linotype" w:eastAsia="Palatino Linotype" w:hAnsi="Palatino Linotype" w:cs="Palatino Linotype"/>
        </w:rPr>
      </w:pPr>
    </w:p>
    <w:p w14:paraId="5A86B2AF" w14:textId="77777777" w:rsidR="004F14AB" w:rsidRPr="004F14AB" w:rsidRDefault="004F14AB">
      <w:pPr>
        <w:spacing w:line="360" w:lineRule="auto"/>
        <w:jc w:val="both"/>
        <w:rPr>
          <w:rFonts w:ascii="Palatino Linotype" w:eastAsia="Palatino Linotype" w:hAnsi="Palatino Linotype" w:cs="Palatino Linotype"/>
        </w:rPr>
      </w:pPr>
    </w:p>
    <w:p w14:paraId="7C81BD7C" w14:textId="77777777" w:rsidR="004F14AB" w:rsidRPr="004F14AB" w:rsidRDefault="004F14AB">
      <w:pPr>
        <w:spacing w:line="360" w:lineRule="auto"/>
        <w:jc w:val="both"/>
        <w:rPr>
          <w:rFonts w:ascii="Palatino Linotype" w:eastAsia="Palatino Linotype" w:hAnsi="Palatino Linotype" w:cs="Palatino Linotype"/>
        </w:rPr>
      </w:pPr>
    </w:p>
    <w:p w14:paraId="184F3D0E" w14:textId="77777777" w:rsidR="004F14AB" w:rsidRPr="004F14AB" w:rsidRDefault="004F14AB">
      <w:pPr>
        <w:spacing w:line="360" w:lineRule="auto"/>
        <w:jc w:val="both"/>
        <w:rPr>
          <w:rFonts w:ascii="Palatino Linotype" w:eastAsia="Palatino Linotype" w:hAnsi="Palatino Linotype" w:cs="Palatino Linotype"/>
        </w:rPr>
      </w:pPr>
    </w:p>
    <w:p w14:paraId="32E5F111" w14:textId="77777777" w:rsidR="004F14AB" w:rsidRPr="004F14AB" w:rsidRDefault="004F14AB">
      <w:pPr>
        <w:spacing w:line="360" w:lineRule="auto"/>
        <w:jc w:val="both"/>
        <w:rPr>
          <w:rFonts w:ascii="Palatino Linotype" w:eastAsia="Palatino Linotype" w:hAnsi="Palatino Linotype" w:cs="Palatino Linotype"/>
        </w:rPr>
      </w:pPr>
    </w:p>
    <w:p w14:paraId="3A5DEEBF" w14:textId="77777777" w:rsidR="004F14AB" w:rsidRPr="004F14AB" w:rsidRDefault="004F14AB">
      <w:pPr>
        <w:spacing w:line="360" w:lineRule="auto"/>
        <w:jc w:val="both"/>
        <w:rPr>
          <w:rFonts w:ascii="Palatino Linotype" w:eastAsia="Palatino Linotype" w:hAnsi="Palatino Linotype" w:cs="Palatino Linotype"/>
        </w:rPr>
      </w:pPr>
    </w:p>
    <w:p w14:paraId="409CD97F" w14:textId="77777777" w:rsidR="004F14AB" w:rsidRPr="004F14AB" w:rsidRDefault="004F14AB">
      <w:pPr>
        <w:spacing w:line="360" w:lineRule="auto"/>
        <w:jc w:val="both"/>
        <w:rPr>
          <w:rFonts w:ascii="Palatino Linotype" w:eastAsia="Palatino Linotype" w:hAnsi="Palatino Linotype" w:cs="Palatino Linotype"/>
        </w:rPr>
      </w:pPr>
    </w:p>
    <w:sectPr w:rsidR="004F14AB" w:rsidRPr="004F14AB">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27688" w14:textId="77777777" w:rsidR="007A20BB" w:rsidRDefault="007A20BB">
      <w:r>
        <w:separator/>
      </w:r>
    </w:p>
  </w:endnote>
  <w:endnote w:type="continuationSeparator" w:id="0">
    <w:p w14:paraId="386FE69E" w14:textId="77777777" w:rsidR="007A20BB" w:rsidRDefault="007A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1A32" w14:textId="38BE9773" w:rsidR="005B581F" w:rsidRDefault="005B58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6CAA">
      <w:rPr>
        <w:rFonts w:ascii="Palatino Linotype" w:eastAsia="Palatino Linotype" w:hAnsi="Palatino Linotype" w:cs="Palatino Linotype"/>
        <w:b/>
        <w:noProof/>
        <w:color w:val="000000"/>
        <w:sz w:val="20"/>
        <w:szCs w:val="20"/>
      </w:rPr>
      <w:t>35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6CA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32FA9614" w14:textId="77777777" w:rsidR="005B581F" w:rsidRDefault="005B581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FFD1" w14:textId="2A5BFC96" w:rsidR="005B581F" w:rsidRDefault="005B581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66CA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66CAA">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p>
  <w:p w14:paraId="0552CA6C" w14:textId="77777777" w:rsidR="005B581F" w:rsidRDefault="005B581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2CF1C" w14:textId="77777777" w:rsidR="007A20BB" w:rsidRDefault="007A20BB">
      <w:r>
        <w:separator/>
      </w:r>
    </w:p>
  </w:footnote>
  <w:footnote w:type="continuationSeparator" w:id="0">
    <w:p w14:paraId="740E78A1" w14:textId="77777777" w:rsidR="007A20BB" w:rsidRDefault="007A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FE72" w14:textId="77777777" w:rsidR="005B581F" w:rsidRDefault="005B581F">
    <w:pPr>
      <w:rPr>
        <w:rFonts w:ascii="Cambria" w:eastAsia="Cambria" w:hAnsi="Cambria" w:cs="Cambria"/>
        <w:color w:val="000000"/>
      </w:rPr>
    </w:pPr>
    <w:r>
      <w:rPr>
        <w:noProof/>
      </w:rPr>
      <w:drawing>
        <wp:anchor distT="0" distB="0" distL="0" distR="0" simplePos="0" relativeHeight="251658240" behindDoc="1" locked="0" layoutInCell="1" hidden="0" allowOverlap="1" wp14:anchorId="7E9639AA" wp14:editId="642F2D4F">
          <wp:simplePos x="0" y="0"/>
          <wp:positionH relativeFrom="column">
            <wp:posOffset>-1080109</wp:posOffset>
          </wp:positionH>
          <wp:positionV relativeFrom="paragraph">
            <wp:posOffset>-488284</wp:posOffset>
          </wp:positionV>
          <wp:extent cx="7809865" cy="10165715"/>
          <wp:effectExtent l="0" t="0" r="0" b="0"/>
          <wp:wrapNone/>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5"/>
      <w:tblW w:w="7087" w:type="dxa"/>
      <w:tblInd w:w="3261" w:type="dxa"/>
      <w:tblLayout w:type="fixed"/>
      <w:tblLook w:val="0400" w:firstRow="0" w:lastRow="0" w:firstColumn="0" w:lastColumn="0" w:noHBand="0" w:noVBand="1"/>
    </w:tblPr>
    <w:tblGrid>
      <w:gridCol w:w="2489"/>
      <w:gridCol w:w="4598"/>
    </w:tblGrid>
    <w:tr w:rsidR="005B581F" w14:paraId="4558C54C" w14:textId="77777777">
      <w:tc>
        <w:tcPr>
          <w:tcW w:w="2489" w:type="dxa"/>
          <w:shd w:val="clear" w:color="auto" w:fill="auto"/>
        </w:tcPr>
        <w:p w14:paraId="13F95939" w14:textId="77777777" w:rsidR="005B581F" w:rsidRDefault="005B581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598" w:type="dxa"/>
          <w:shd w:val="clear" w:color="auto" w:fill="auto"/>
          <w:vAlign w:val="center"/>
        </w:tcPr>
        <w:p w14:paraId="5FE09248" w14:textId="4A7D0384" w:rsidR="005B581F" w:rsidRDefault="005B581F">
          <w:pPr>
            <w:ind w:right="175"/>
            <w:jc w:val="both"/>
            <w:rPr>
              <w:rFonts w:ascii="Palatino Linotype" w:eastAsia="Palatino Linotype" w:hAnsi="Palatino Linotype" w:cs="Palatino Linotype"/>
              <w:b/>
            </w:rPr>
          </w:pPr>
          <w:r>
            <w:rPr>
              <w:rFonts w:ascii="Palatino Linotype" w:eastAsia="Palatino Linotype" w:hAnsi="Palatino Linotype" w:cs="Palatino Linotype"/>
              <w:b/>
            </w:rPr>
            <w:t>0507</w:t>
          </w:r>
          <w:r w:rsidRPr="00B76628">
            <w:rPr>
              <w:rFonts w:ascii="Palatino Linotype" w:eastAsia="Palatino Linotype" w:hAnsi="Palatino Linotype" w:cs="Palatino Linotype"/>
              <w:b/>
            </w:rPr>
            <w:t>4/INFOEM/IP/RR/2025</w:t>
          </w:r>
        </w:p>
      </w:tc>
    </w:tr>
    <w:tr w:rsidR="005B581F" w14:paraId="57BA48A4" w14:textId="77777777">
      <w:trPr>
        <w:trHeight w:val="228"/>
      </w:trPr>
      <w:tc>
        <w:tcPr>
          <w:tcW w:w="2489" w:type="dxa"/>
          <w:shd w:val="clear" w:color="auto" w:fill="auto"/>
          <w:vAlign w:val="center"/>
        </w:tcPr>
        <w:p w14:paraId="7995D916" w14:textId="77777777" w:rsidR="005B581F" w:rsidRDefault="005B581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98" w:type="dxa"/>
          <w:shd w:val="clear" w:color="auto" w:fill="auto"/>
          <w:vAlign w:val="center"/>
        </w:tcPr>
        <w:p w14:paraId="04B61117" w14:textId="59DB592F" w:rsidR="005B581F" w:rsidRDefault="005B581F" w:rsidP="00D91329">
          <w:pPr>
            <w:ind w:left="-45" w:right="1586"/>
            <w:jc w:val="both"/>
            <w:rPr>
              <w:rFonts w:ascii="Palatino Linotype" w:eastAsia="Palatino Linotype" w:hAnsi="Palatino Linotype" w:cs="Palatino Linotype"/>
              <w:b/>
            </w:rPr>
          </w:pPr>
          <w:r w:rsidRPr="00B76628">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Zinacantepec</w:t>
          </w:r>
        </w:p>
      </w:tc>
    </w:tr>
    <w:tr w:rsidR="005B581F" w14:paraId="1E8BA630" w14:textId="77777777">
      <w:tc>
        <w:tcPr>
          <w:tcW w:w="2489" w:type="dxa"/>
          <w:shd w:val="clear" w:color="auto" w:fill="auto"/>
          <w:vAlign w:val="center"/>
        </w:tcPr>
        <w:p w14:paraId="208198A4" w14:textId="77777777" w:rsidR="005B581F" w:rsidRDefault="005B581F">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98" w:type="dxa"/>
          <w:shd w:val="clear" w:color="auto" w:fill="auto"/>
          <w:vAlign w:val="center"/>
        </w:tcPr>
        <w:p w14:paraId="26C995FC" w14:textId="77777777" w:rsidR="005B581F" w:rsidRDefault="005B581F">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6E733768" w14:textId="77777777" w:rsidR="005B581F" w:rsidRDefault="005B581F">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2556F" w14:textId="474C095E" w:rsidR="005B581F" w:rsidRDefault="003D1D4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0EA27F7" wp14:editId="571EBF85">
          <wp:simplePos x="0" y="0"/>
          <wp:positionH relativeFrom="page">
            <wp:posOffset>134694</wp:posOffset>
          </wp:positionH>
          <wp:positionV relativeFrom="paragraph">
            <wp:posOffset>-392105</wp:posOffset>
          </wp:positionV>
          <wp:extent cx="7809865" cy="10165715"/>
          <wp:effectExtent l="0" t="0" r="635" b="6985"/>
          <wp:wrapNone/>
          <wp:docPr id="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6"/>
      <w:tblW w:w="6945" w:type="dxa"/>
      <w:tblInd w:w="3261" w:type="dxa"/>
      <w:tblLayout w:type="fixed"/>
      <w:tblLook w:val="0400" w:firstRow="0" w:lastRow="0" w:firstColumn="0" w:lastColumn="0" w:noHBand="0" w:noVBand="1"/>
    </w:tblPr>
    <w:tblGrid>
      <w:gridCol w:w="2551"/>
      <w:gridCol w:w="4394"/>
    </w:tblGrid>
    <w:tr w:rsidR="005B581F" w14:paraId="4140C404" w14:textId="77777777">
      <w:tc>
        <w:tcPr>
          <w:tcW w:w="2551" w:type="dxa"/>
          <w:shd w:val="clear" w:color="auto" w:fill="auto"/>
          <w:vAlign w:val="center"/>
        </w:tcPr>
        <w:p w14:paraId="63945166" w14:textId="77777777" w:rsidR="005B581F" w:rsidRDefault="005B581F" w:rsidP="003D1D44">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394" w:type="dxa"/>
          <w:shd w:val="clear" w:color="auto" w:fill="auto"/>
          <w:vAlign w:val="center"/>
        </w:tcPr>
        <w:p w14:paraId="4C039A3C" w14:textId="5475D3D2" w:rsidR="005B581F" w:rsidRDefault="005B581F" w:rsidP="003D1D44">
          <w:pPr>
            <w:tabs>
              <w:tab w:val="left" w:pos="3153"/>
            </w:tabs>
            <w:spacing w:line="240" w:lineRule="auto"/>
            <w:ind w:left="-45"/>
            <w:jc w:val="both"/>
            <w:rPr>
              <w:rFonts w:ascii="Palatino Linotype" w:eastAsia="Palatino Linotype" w:hAnsi="Palatino Linotype" w:cs="Palatino Linotype"/>
              <w:b/>
            </w:rPr>
          </w:pPr>
          <w:r>
            <w:rPr>
              <w:rFonts w:ascii="Palatino Linotype" w:eastAsia="Palatino Linotype" w:hAnsi="Palatino Linotype" w:cs="Palatino Linotype"/>
              <w:b/>
            </w:rPr>
            <w:t>0507</w:t>
          </w:r>
          <w:r w:rsidRPr="00B76628">
            <w:rPr>
              <w:rFonts w:ascii="Palatino Linotype" w:eastAsia="Palatino Linotype" w:hAnsi="Palatino Linotype" w:cs="Palatino Linotype"/>
              <w:b/>
            </w:rPr>
            <w:t>4/INFOEM/IP/RR/2025</w:t>
          </w:r>
        </w:p>
      </w:tc>
    </w:tr>
    <w:tr w:rsidR="005B581F" w14:paraId="17F604BB" w14:textId="77777777">
      <w:trPr>
        <w:trHeight w:val="265"/>
      </w:trPr>
      <w:tc>
        <w:tcPr>
          <w:tcW w:w="2551" w:type="dxa"/>
          <w:shd w:val="clear" w:color="auto" w:fill="auto"/>
          <w:vAlign w:val="center"/>
        </w:tcPr>
        <w:p w14:paraId="6CACAD95" w14:textId="77777777" w:rsidR="005B581F" w:rsidRDefault="005B581F" w:rsidP="003D1D44">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394" w:type="dxa"/>
          <w:shd w:val="clear" w:color="auto" w:fill="auto"/>
          <w:vAlign w:val="center"/>
        </w:tcPr>
        <w:p w14:paraId="378C2F0E" w14:textId="4DB45B7E" w:rsidR="005B581F" w:rsidRDefault="005B581F" w:rsidP="003D1D44">
          <w:pPr>
            <w:spacing w:line="240" w:lineRule="auto"/>
            <w:ind w:left="-45"/>
            <w:jc w:val="both"/>
            <w:rPr>
              <w:rFonts w:ascii="Palatino Linotype" w:eastAsia="Palatino Linotype" w:hAnsi="Palatino Linotype" w:cs="Palatino Linotype"/>
              <w:b/>
            </w:rPr>
          </w:pPr>
        </w:p>
      </w:tc>
    </w:tr>
    <w:tr w:rsidR="005B581F" w14:paraId="4C2E7DFC" w14:textId="77777777" w:rsidTr="003D1D44">
      <w:trPr>
        <w:trHeight w:val="87"/>
      </w:trPr>
      <w:tc>
        <w:tcPr>
          <w:tcW w:w="2551" w:type="dxa"/>
          <w:shd w:val="clear" w:color="auto" w:fill="auto"/>
          <w:vAlign w:val="center"/>
        </w:tcPr>
        <w:p w14:paraId="542028D6" w14:textId="77777777" w:rsidR="005B581F" w:rsidRDefault="005B581F" w:rsidP="003D1D44">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394" w:type="dxa"/>
          <w:shd w:val="clear" w:color="auto" w:fill="auto"/>
          <w:vAlign w:val="center"/>
        </w:tcPr>
        <w:p w14:paraId="70CB8EB4" w14:textId="46E3393A" w:rsidR="005B581F" w:rsidRDefault="005B581F" w:rsidP="003D1D44">
          <w:pPr>
            <w:spacing w:line="240" w:lineRule="auto"/>
            <w:ind w:left="-45" w:right="741"/>
            <w:jc w:val="both"/>
            <w:rPr>
              <w:rFonts w:ascii="Palatino Linotype" w:eastAsia="Palatino Linotype" w:hAnsi="Palatino Linotype" w:cs="Palatino Linotype"/>
              <w:b/>
            </w:rPr>
          </w:pPr>
          <w:r>
            <w:rPr>
              <w:rFonts w:ascii="Palatino Linotype" w:eastAsia="Palatino Linotype" w:hAnsi="Palatino Linotype" w:cs="Palatino Linotype"/>
              <w:b/>
            </w:rPr>
            <w:t>Ayuntamiento de Zinacantepec</w:t>
          </w:r>
        </w:p>
      </w:tc>
    </w:tr>
    <w:tr w:rsidR="005B581F" w14:paraId="267F29EC" w14:textId="77777777">
      <w:tc>
        <w:tcPr>
          <w:tcW w:w="2551" w:type="dxa"/>
          <w:shd w:val="clear" w:color="auto" w:fill="auto"/>
          <w:vAlign w:val="center"/>
        </w:tcPr>
        <w:p w14:paraId="2EA40A49" w14:textId="77777777" w:rsidR="005B581F" w:rsidRDefault="005B581F" w:rsidP="003D1D44">
          <w:pPr>
            <w:spacing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394" w:type="dxa"/>
          <w:shd w:val="clear" w:color="auto" w:fill="auto"/>
          <w:vAlign w:val="center"/>
        </w:tcPr>
        <w:p w14:paraId="662B4EE9" w14:textId="77777777" w:rsidR="005B581F" w:rsidRDefault="005B581F" w:rsidP="003D1D44">
          <w:pPr>
            <w:spacing w:line="240" w:lineRule="auto"/>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515B19B6" w14:textId="77777777" w:rsidR="005B581F" w:rsidRDefault="005B581F" w:rsidP="009450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41D1"/>
    <w:multiLevelType w:val="multilevel"/>
    <w:tmpl w:val="7AD4907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D41E43"/>
    <w:multiLevelType w:val="hybridMultilevel"/>
    <w:tmpl w:val="CF6E3B38"/>
    <w:lvl w:ilvl="0" w:tplc="610ED47C">
      <w:start w:val="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206071"/>
    <w:multiLevelType w:val="multilevel"/>
    <w:tmpl w:val="25B021C2"/>
    <w:lvl w:ilvl="0">
      <w:start w:val="1"/>
      <w:numFmt w:val="upperRoman"/>
      <w:lvlText w:val="%1."/>
      <w:lvlJc w:val="left"/>
      <w:pPr>
        <w:ind w:left="1080" w:hanging="720"/>
      </w:pPr>
      <w:rPr>
        <w:rFonts w:ascii="Times New Roman" w:hAnsi="Times New Roman" w:cs="Times New Roman" w:hint="default"/>
        <w:color w:val="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9F927A9"/>
    <w:multiLevelType w:val="multilevel"/>
    <w:tmpl w:val="889094F4"/>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30F32B1"/>
    <w:multiLevelType w:val="multilevel"/>
    <w:tmpl w:val="C074AFCE"/>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15:restartNumberingAfterBreak="0">
    <w:nsid w:val="2AE37C9F"/>
    <w:multiLevelType w:val="hybridMultilevel"/>
    <w:tmpl w:val="49606AE4"/>
    <w:lvl w:ilvl="0" w:tplc="610ED47C">
      <w:start w:val="8"/>
      <w:numFmt w:val="bullet"/>
      <w:lvlText w:val="-"/>
      <w:lvlJc w:val="left"/>
      <w:pPr>
        <w:ind w:left="927" w:hanging="360"/>
      </w:pPr>
      <w:rPr>
        <w:rFonts w:ascii="Palatino Linotype" w:eastAsia="Palatino Linotype" w:hAnsi="Palatino Linotype" w:cs="Palatino Linotype"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3194451C"/>
    <w:multiLevelType w:val="hybridMultilevel"/>
    <w:tmpl w:val="EE1E8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91E66BC"/>
    <w:multiLevelType w:val="hybridMultilevel"/>
    <w:tmpl w:val="1DC0CE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EA13F9"/>
    <w:multiLevelType w:val="hybridMultilevel"/>
    <w:tmpl w:val="DA1AA97C"/>
    <w:lvl w:ilvl="0" w:tplc="610ED47C">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A9E5CBE"/>
    <w:multiLevelType w:val="multilevel"/>
    <w:tmpl w:val="6D0A996C"/>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55B7123B"/>
    <w:multiLevelType w:val="multilevel"/>
    <w:tmpl w:val="0FD475AE"/>
    <w:lvl w:ilvl="0">
      <w:numFmt w:val="lowerLetter"/>
      <w:pStyle w:val="Listaconvietas3"/>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57AB71B7"/>
    <w:multiLevelType w:val="hybridMultilevel"/>
    <w:tmpl w:val="AB2AD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3D4575"/>
    <w:multiLevelType w:val="multilevel"/>
    <w:tmpl w:val="A8B475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3807A5A"/>
    <w:multiLevelType w:val="multilevel"/>
    <w:tmpl w:val="332EF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0"/>
  </w:num>
  <w:num w:numId="3">
    <w:abstractNumId w:val="13"/>
  </w:num>
  <w:num w:numId="4">
    <w:abstractNumId w:val="9"/>
  </w:num>
  <w:num w:numId="5">
    <w:abstractNumId w:val="5"/>
  </w:num>
  <w:num w:numId="6">
    <w:abstractNumId w:val="1"/>
  </w:num>
  <w:num w:numId="7">
    <w:abstractNumId w:val="6"/>
  </w:num>
  <w:num w:numId="8">
    <w:abstractNumId w:val="8"/>
  </w:num>
  <w:num w:numId="9">
    <w:abstractNumId w:val="10"/>
  </w:num>
  <w:num w:numId="10">
    <w:abstractNumId w:val="3"/>
  </w:num>
  <w:num w:numId="11">
    <w:abstractNumId w:val="7"/>
  </w:num>
  <w:num w:numId="12">
    <w:abstractNumId w:val="11"/>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C95"/>
    <w:rsid w:val="00031E20"/>
    <w:rsid w:val="00082A60"/>
    <w:rsid w:val="000C0903"/>
    <w:rsid w:val="000E08CB"/>
    <w:rsid w:val="00105B59"/>
    <w:rsid w:val="00155A4F"/>
    <w:rsid w:val="00160F82"/>
    <w:rsid w:val="001C02C5"/>
    <w:rsid w:val="0021138B"/>
    <w:rsid w:val="00260C66"/>
    <w:rsid w:val="002E737C"/>
    <w:rsid w:val="002F1EB9"/>
    <w:rsid w:val="0034073A"/>
    <w:rsid w:val="003569B6"/>
    <w:rsid w:val="003875B6"/>
    <w:rsid w:val="003C17D7"/>
    <w:rsid w:val="003C36C8"/>
    <w:rsid w:val="003D1D44"/>
    <w:rsid w:val="003E533A"/>
    <w:rsid w:val="003F7CFB"/>
    <w:rsid w:val="00404D6E"/>
    <w:rsid w:val="00411C47"/>
    <w:rsid w:val="004529EB"/>
    <w:rsid w:val="004A176A"/>
    <w:rsid w:val="004C78D7"/>
    <w:rsid w:val="004F14AB"/>
    <w:rsid w:val="0053570A"/>
    <w:rsid w:val="00572EF0"/>
    <w:rsid w:val="005B581F"/>
    <w:rsid w:val="005F248B"/>
    <w:rsid w:val="006135DA"/>
    <w:rsid w:val="006E7124"/>
    <w:rsid w:val="00717AA4"/>
    <w:rsid w:val="0073765D"/>
    <w:rsid w:val="0077183B"/>
    <w:rsid w:val="00782273"/>
    <w:rsid w:val="007A20BB"/>
    <w:rsid w:val="007B10B3"/>
    <w:rsid w:val="007C1B64"/>
    <w:rsid w:val="007D5F39"/>
    <w:rsid w:val="007E5A53"/>
    <w:rsid w:val="00826FBB"/>
    <w:rsid w:val="008726E8"/>
    <w:rsid w:val="008A0DB3"/>
    <w:rsid w:val="00904988"/>
    <w:rsid w:val="00931BDB"/>
    <w:rsid w:val="009450AE"/>
    <w:rsid w:val="00995EAD"/>
    <w:rsid w:val="009B760E"/>
    <w:rsid w:val="009E5E53"/>
    <w:rsid w:val="00A31451"/>
    <w:rsid w:val="00A31D8E"/>
    <w:rsid w:val="00A80635"/>
    <w:rsid w:val="00A9234D"/>
    <w:rsid w:val="00AC6A8B"/>
    <w:rsid w:val="00AE42E3"/>
    <w:rsid w:val="00AE46CB"/>
    <w:rsid w:val="00B577E7"/>
    <w:rsid w:val="00B57CAF"/>
    <w:rsid w:val="00B70519"/>
    <w:rsid w:val="00B76459"/>
    <w:rsid w:val="00B76628"/>
    <w:rsid w:val="00BB72F0"/>
    <w:rsid w:val="00BC3439"/>
    <w:rsid w:val="00BE3D4A"/>
    <w:rsid w:val="00C0450B"/>
    <w:rsid w:val="00C15737"/>
    <w:rsid w:val="00C433EB"/>
    <w:rsid w:val="00C45158"/>
    <w:rsid w:val="00C66CAA"/>
    <w:rsid w:val="00CE0394"/>
    <w:rsid w:val="00D66048"/>
    <w:rsid w:val="00D751F9"/>
    <w:rsid w:val="00D91329"/>
    <w:rsid w:val="00D97FB1"/>
    <w:rsid w:val="00E82C95"/>
    <w:rsid w:val="00F573EA"/>
    <w:rsid w:val="00FB62DA"/>
    <w:rsid w:val="00FF2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F8791F"/>
  <w15:docId w15:val="{7841D459-7835-4265-A270-145F29D0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B6"/>
    <w:pPr>
      <w:spacing w:before="100" w:beforeAutospacing="1" w:after="160" w:line="256" w:lineRule="auto"/>
    </w:pPr>
    <w:rPr>
      <w:rFonts w:ascii="Calibri" w:hAnsi="Calibri" w:cs="Calibri"/>
      <w:sz w:val="22"/>
      <w:szCs w:val="22"/>
    </w:rPr>
  </w:style>
  <w:style w:type="paragraph" w:styleId="Ttulo1">
    <w:name w:val="heading 1"/>
    <w:basedOn w:val="Normal"/>
    <w:next w:val="Normal"/>
    <w:pPr>
      <w:keepNext/>
      <w:keepLines/>
      <w:spacing w:before="240"/>
      <w:outlineLvl w:val="0"/>
    </w:pPr>
    <w:rPr>
      <w:rFonts w:eastAsia="Calibri"/>
      <w:color w:val="366091"/>
      <w:sz w:val="32"/>
      <w:szCs w:val="32"/>
      <w:lang w:val="es-ES"/>
    </w:rPr>
  </w:style>
  <w:style w:type="paragraph" w:styleId="Ttulo2">
    <w:name w:val="heading 2"/>
    <w:basedOn w:val="Normal"/>
    <w:next w:val="Normal"/>
    <w:pPr>
      <w:keepNext/>
      <w:keepLines/>
      <w:spacing w:before="40"/>
      <w:outlineLvl w:val="1"/>
    </w:pPr>
    <w:rPr>
      <w:rFonts w:eastAsia="Calibri"/>
      <w:color w:val="366091"/>
      <w:sz w:val="26"/>
      <w:szCs w:val="26"/>
      <w:lang w:val="es-ES"/>
    </w:rPr>
  </w:style>
  <w:style w:type="paragraph" w:styleId="Ttulo3">
    <w:name w:val="heading 3"/>
    <w:basedOn w:val="Normal"/>
    <w:next w:val="Normal"/>
    <w:pPr>
      <w:keepNext/>
      <w:spacing w:before="240" w:after="60"/>
      <w:ind w:left="2160" w:hanging="720"/>
      <w:outlineLvl w:val="2"/>
    </w:pPr>
    <w:rPr>
      <w:rFonts w:eastAsia="Calibri"/>
      <w:b/>
      <w:sz w:val="26"/>
      <w:szCs w:val="26"/>
      <w:lang w:val="es-ES"/>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pPr>
      <w:spacing w:before="240" w:after="60"/>
      <w:ind w:left="4320" w:hanging="720"/>
      <w:outlineLvl w:val="5"/>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basedOn w:val="Normal"/>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after="100" w:afterAutospacing="1"/>
    </w:pPr>
    <w:rPr>
      <w:lang w:val="es-ES"/>
    </w:r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9C2C49"/>
    <w:rPr>
      <w:color w:val="0000FF"/>
      <w:u w:val="single"/>
    </w:r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5"/>
    <w:tblPr>
      <w:tblStyleRowBandSize w:val="1"/>
      <w:tblStyleColBandSize w:val="1"/>
      <w:tblCellMar>
        <w:left w:w="115" w:type="dxa"/>
        <w:right w:w="115" w:type="dxa"/>
      </w:tblCellMar>
    </w:tblPr>
  </w:style>
  <w:style w:type="table" w:customStyle="1" w:styleId="a8">
    <w:basedOn w:val="TableNormal5"/>
    <w:tblPr>
      <w:tblStyleRowBandSize w:val="1"/>
      <w:tblStyleColBandSize w:val="1"/>
      <w:tblCellMar>
        <w:left w:w="115" w:type="dxa"/>
        <w:right w:w="115" w:type="dxa"/>
      </w:tblCellMar>
    </w:tblPr>
  </w:style>
  <w:style w:type="table" w:customStyle="1" w:styleId="a9">
    <w:basedOn w:val="TableNormal5"/>
    <w:tblPr>
      <w:tblStyleRowBandSize w:val="1"/>
      <w:tblStyleColBandSize w:val="1"/>
      <w:tblCellMar>
        <w:left w:w="115" w:type="dxa"/>
        <w:right w:w="115" w:type="dxa"/>
      </w:tblCellMar>
    </w:tblPr>
  </w:style>
  <w:style w:type="table" w:customStyle="1" w:styleId="aa">
    <w:basedOn w:val="TableNormal5"/>
    <w:tblPr>
      <w:tblStyleRowBandSize w:val="1"/>
      <w:tblStyleColBandSize w:val="1"/>
      <w:tblCellMar>
        <w:left w:w="115" w:type="dxa"/>
        <w:right w:w="115" w:type="dxa"/>
      </w:tblCellMar>
    </w:tbl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4"/>
    <w:tblPr>
      <w:tblStyleRowBandSize w:val="1"/>
      <w:tblStyleColBandSize w:val="1"/>
      <w:tblCellMar>
        <w:left w:w="115" w:type="dxa"/>
        <w:right w:w="115" w:type="dxa"/>
      </w:tblCellMar>
    </w:tbl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3"/>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411C47"/>
    <w:pPr>
      <w:numPr>
        <w:numId w:val="9"/>
      </w:numPr>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145117">
      <w:bodyDiv w:val="1"/>
      <w:marLeft w:val="0"/>
      <w:marRight w:val="0"/>
      <w:marTop w:val="0"/>
      <w:marBottom w:val="0"/>
      <w:divBdr>
        <w:top w:val="none" w:sz="0" w:space="0" w:color="auto"/>
        <w:left w:val="none" w:sz="0" w:space="0" w:color="auto"/>
        <w:bottom w:val="none" w:sz="0" w:space="0" w:color="auto"/>
        <w:right w:val="none" w:sz="0" w:space="0" w:color="auto"/>
      </w:divBdr>
    </w:div>
    <w:div w:id="1069889923">
      <w:bodyDiv w:val="1"/>
      <w:marLeft w:val="0"/>
      <w:marRight w:val="0"/>
      <w:marTop w:val="0"/>
      <w:marBottom w:val="0"/>
      <w:divBdr>
        <w:top w:val="none" w:sz="0" w:space="0" w:color="auto"/>
        <w:left w:val="none" w:sz="0" w:space="0" w:color="auto"/>
        <w:bottom w:val="none" w:sz="0" w:space="0" w:color="auto"/>
        <w:right w:val="none" w:sz="0" w:space="0" w:color="auto"/>
      </w:divBdr>
    </w:div>
    <w:div w:id="1922982781">
      <w:bodyDiv w:val="1"/>
      <w:marLeft w:val="0"/>
      <w:marRight w:val="0"/>
      <w:marTop w:val="0"/>
      <w:marBottom w:val="0"/>
      <w:divBdr>
        <w:top w:val="none" w:sz="0" w:space="0" w:color="auto"/>
        <w:left w:val="none" w:sz="0" w:space="0" w:color="auto"/>
        <w:bottom w:val="none" w:sz="0" w:space="0" w:color="auto"/>
        <w:right w:val="none" w:sz="0" w:space="0" w:color="auto"/>
      </w:divBdr>
    </w:div>
    <w:div w:id="2065911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MX47HMO1MuF4TF7J6tdKZr6tSA==">CgMxLjAyCWguMWZvYjl0ZTIIaC5namRneHMyCWguM2R5NnZrbTIJaC4zMGowemxsMgloLjJzOGV5bzEyCGgudHlqY3d0MgloLjN6bnlzaDcyCWguMmV0OTJwMDIOaC54bmZ5a3J1ajl3a2QyCWguM3JkY3JqbjIJaC4xdDNoNXNmOAByITFmMGVVbXM4YjFvclRBenhwRUtwWFM0RnhnREw3YnlrMQ==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8423</Words>
  <Characters>46331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2025-08-29T20:18:00Z</cp:lastPrinted>
  <dcterms:created xsi:type="dcterms:W3CDTF">2025-09-05T20:33:00Z</dcterms:created>
  <dcterms:modified xsi:type="dcterms:W3CDTF">2025-09-05T20:33:00Z</dcterms:modified>
</cp:coreProperties>
</file>