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B105"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B00E8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julio de dos mil veinticinco. </w:t>
      </w:r>
    </w:p>
    <w:p w14:paraId="1B36FFFC" w14:textId="77777777" w:rsidR="000E09EA" w:rsidRPr="00B00E88" w:rsidRDefault="00F00C13">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B00E88">
        <w:rPr>
          <w:rFonts w:ascii="Palatino Linotype" w:eastAsia="Palatino Linotype" w:hAnsi="Palatino Linotype" w:cs="Palatino Linotype"/>
          <w:b/>
        </w:rPr>
        <w:t>VISTO</w:t>
      </w:r>
      <w:r w:rsidRPr="00B00E88">
        <w:rPr>
          <w:rFonts w:ascii="Palatino Linotype" w:eastAsia="Palatino Linotype" w:hAnsi="Palatino Linotype" w:cs="Palatino Linotype"/>
        </w:rPr>
        <w:t xml:space="preserve"> el expediente formado con motivo del recurso de revisión </w:t>
      </w:r>
      <w:r w:rsidRPr="00B00E88">
        <w:rPr>
          <w:rFonts w:ascii="Palatino Linotype" w:eastAsia="Palatino Linotype" w:hAnsi="Palatino Linotype" w:cs="Palatino Linotype"/>
          <w:b/>
        </w:rPr>
        <w:t>04724/INFOEM/IP/RR/2025</w:t>
      </w:r>
      <w:r w:rsidRPr="00B00E88">
        <w:rPr>
          <w:rFonts w:ascii="Palatino Linotype" w:eastAsia="Palatino Linotype" w:hAnsi="Palatino Linotype" w:cs="Palatino Linotype"/>
        </w:rPr>
        <w:t>, interpuesto por</w:t>
      </w:r>
      <w:r w:rsidRPr="00B00E88">
        <w:rPr>
          <w:rFonts w:ascii="Palatino Linotype" w:eastAsia="Palatino Linotype" w:hAnsi="Palatino Linotype" w:cs="Palatino Linotype"/>
          <w:b/>
        </w:rPr>
        <w:t xml:space="preserve"> una persona que no proporcionó nombre o seudónimo,</w:t>
      </w:r>
      <w:r w:rsidRPr="00B00E88">
        <w:rPr>
          <w:rFonts w:ascii="Palatino Linotype" w:eastAsia="Palatino Linotype" w:hAnsi="Palatino Linotype" w:cs="Palatino Linotype"/>
        </w:rPr>
        <w:t xml:space="preserve"> en lo sucesivo</w:t>
      </w:r>
      <w:r w:rsidRPr="00B00E88">
        <w:rPr>
          <w:rFonts w:ascii="Palatino Linotype" w:eastAsia="Palatino Linotype" w:hAnsi="Palatino Linotype" w:cs="Palatino Linotype"/>
          <w:b/>
        </w:rPr>
        <w:t xml:space="preserve"> </w:t>
      </w:r>
      <w:r w:rsidRPr="00B00E88">
        <w:rPr>
          <w:rFonts w:ascii="Palatino Linotype" w:eastAsia="Palatino Linotype" w:hAnsi="Palatino Linotype" w:cs="Palatino Linotype"/>
        </w:rPr>
        <w:t xml:space="preserve">la parte </w:t>
      </w:r>
      <w:r w:rsidRPr="00B00E88">
        <w:rPr>
          <w:rFonts w:ascii="Palatino Linotype" w:eastAsia="Palatino Linotype" w:hAnsi="Palatino Linotype" w:cs="Palatino Linotype"/>
          <w:b/>
        </w:rPr>
        <w:t>Recurrente,</w:t>
      </w:r>
      <w:r w:rsidRPr="00B00E88">
        <w:rPr>
          <w:rFonts w:ascii="Palatino Linotype" w:eastAsia="Palatino Linotype" w:hAnsi="Palatino Linotype" w:cs="Palatino Linotype"/>
        </w:rPr>
        <w:t xml:space="preserve"> en contra de la respuesta a la solicitud de información con número de folio</w:t>
      </w:r>
      <w:r w:rsidRPr="00B00E88">
        <w:rPr>
          <w:rFonts w:ascii="Palatino Linotype" w:eastAsia="Palatino Linotype" w:hAnsi="Palatino Linotype" w:cs="Palatino Linotype"/>
          <w:b/>
        </w:rPr>
        <w:t xml:space="preserve"> 00132/ATIZARA/IP/2025, </w:t>
      </w:r>
      <w:r w:rsidRPr="00B00E88">
        <w:rPr>
          <w:rFonts w:ascii="Palatino Linotype" w:eastAsia="Palatino Linotype" w:hAnsi="Palatino Linotype" w:cs="Palatino Linotype"/>
        </w:rPr>
        <w:t xml:space="preserve">por parte del </w:t>
      </w:r>
      <w:r w:rsidRPr="00B00E88">
        <w:rPr>
          <w:rFonts w:ascii="Palatino Linotype" w:eastAsia="Palatino Linotype" w:hAnsi="Palatino Linotype" w:cs="Palatino Linotype"/>
          <w:b/>
        </w:rPr>
        <w:t xml:space="preserve">Ayuntamiento de Atizapán de Zaragoza, </w:t>
      </w:r>
      <w:r w:rsidRPr="00B00E88">
        <w:rPr>
          <w:rFonts w:ascii="Palatino Linotype" w:eastAsia="Palatino Linotype" w:hAnsi="Palatino Linotype" w:cs="Palatino Linotype"/>
        </w:rPr>
        <w:t xml:space="preserve">en lo sucesivo 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 xml:space="preserve">se procede a dictar la presente resolución con base en los siguientes: </w:t>
      </w:r>
    </w:p>
    <w:p w14:paraId="28072111" w14:textId="77777777" w:rsidR="000E09EA" w:rsidRPr="00B00E88" w:rsidRDefault="00F00C13">
      <w:pPr>
        <w:spacing w:before="240" w:after="240" w:line="360" w:lineRule="auto"/>
        <w:jc w:val="center"/>
        <w:rPr>
          <w:rFonts w:ascii="Palatino Linotype" w:eastAsia="Palatino Linotype" w:hAnsi="Palatino Linotype" w:cs="Palatino Linotype"/>
          <w:b/>
        </w:rPr>
      </w:pPr>
      <w:r w:rsidRPr="00B00E88">
        <w:rPr>
          <w:rFonts w:ascii="Palatino Linotype" w:eastAsia="Palatino Linotype" w:hAnsi="Palatino Linotype" w:cs="Palatino Linotype"/>
          <w:b/>
        </w:rPr>
        <w:t>I. A N T E C E D E N T E S</w:t>
      </w:r>
    </w:p>
    <w:p w14:paraId="348C5DB2"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B00E88">
        <w:rPr>
          <w:rFonts w:ascii="Palatino Linotype" w:eastAsia="Palatino Linotype" w:hAnsi="Palatino Linotype" w:cs="Palatino Linotype"/>
          <w:b/>
        </w:rPr>
        <w:t>1. Solicitud de acceso a la información.</w:t>
      </w:r>
      <w:r w:rsidRPr="00B00E88">
        <w:rPr>
          <w:rFonts w:ascii="Palatino Linotype" w:eastAsia="Palatino Linotype" w:hAnsi="Palatino Linotype" w:cs="Palatino Linotype"/>
        </w:rPr>
        <w:t xml:space="preserve"> El </w:t>
      </w:r>
      <w:r w:rsidRPr="00B00E88">
        <w:rPr>
          <w:rFonts w:ascii="Palatino Linotype" w:eastAsia="Palatino Linotype" w:hAnsi="Palatino Linotype" w:cs="Palatino Linotype"/>
          <w:b/>
        </w:rPr>
        <w:t>seis de marzo de dos mil veinticinco,</w:t>
      </w:r>
      <w:r w:rsidRPr="00B00E88">
        <w:rPr>
          <w:rFonts w:ascii="Palatino Linotype" w:eastAsia="Palatino Linotype" w:hAnsi="Palatino Linotype" w:cs="Palatino Linotype"/>
        </w:rPr>
        <w:t xml:space="preserve"> la parte </w:t>
      </w:r>
      <w:r w:rsidRPr="00B00E88">
        <w:rPr>
          <w:rFonts w:ascii="Palatino Linotype" w:eastAsia="Palatino Linotype" w:hAnsi="Palatino Linotype" w:cs="Palatino Linotype"/>
          <w:b/>
        </w:rPr>
        <w:t xml:space="preserve">Recurrente </w:t>
      </w:r>
      <w:r w:rsidRPr="00B00E88">
        <w:rPr>
          <w:rFonts w:ascii="Palatino Linotype" w:eastAsia="Palatino Linotype" w:hAnsi="Palatino Linotype" w:cs="Palatino Linotype"/>
        </w:rPr>
        <w:t xml:space="preserve">presentó la solicitud de acceso a la información pública ante 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a través del Sistema de Acceso a la Información Mexiquense, en lo subsecuente el </w:t>
      </w:r>
      <w:r w:rsidRPr="00B00E88">
        <w:rPr>
          <w:rFonts w:ascii="Palatino Linotype" w:eastAsia="Palatino Linotype" w:hAnsi="Palatino Linotype" w:cs="Palatino Linotype"/>
          <w:b/>
        </w:rPr>
        <w:t>SAIMEX,</w:t>
      </w:r>
      <w:r w:rsidRPr="00B00E88">
        <w:rPr>
          <w:rFonts w:ascii="Palatino Linotype" w:eastAsia="Palatino Linotype" w:hAnsi="Palatino Linotype" w:cs="Palatino Linotype"/>
        </w:rPr>
        <w:t xml:space="preserve"> mediante la cual requirió lo siguiente:</w:t>
      </w:r>
    </w:p>
    <w:p w14:paraId="07F34B50" w14:textId="77777777" w:rsidR="000E09EA" w:rsidRPr="00B00E88" w:rsidRDefault="00F00C13">
      <w:pPr>
        <w:spacing w:before="120" w:after="120"/>
        <w:ind w:left="851" w:right="902"/>
        <w:jc w:val="both"/>
        <w:rPr>
          <w:rFonts w:ascii="Palatino Linotype" w:eastAsia="Palatino Linotype" w:hAnsi="Palatino Linotype" w:cs="Palatino Linotype"/>
          <w:b/>
          <w:i/>
          <w:sz w:val="22"/>
          <w:szCs w:val="22"/>
        </w:rPr>
      </w:pPr>
      <w:r w:rsidRPr="00B00E88">
        <w:rPr>
          <w:rFonts w:ascii="Palatino Linotype" w:eastAsia="Palatino Linotype" w:hAnsi="Palatino Linotype" w:cs="Palatino Linotype"/>
          <w:i/>
          <w:sz w:val="22"/>
          <w:szCs w:val="22"/>
        </w:rPr>
        <w:t xml:space="preserve"> “SOLICITO SABER CUANTAS DENUNCIAS S HAN INTERPUESTO O CUANTOS CASOS DE MALTRATO A LA MUJER SE AN DADO EN EL MUNICIPIO</w:t>
      </w:r>
      <w:r w:rsidRPr="00B00E88">
        <w:rPr>
          <w:rFonts w:ascii="Palatino Linotype" w:eastAsia="Palatino Linotype" w:hAnsi="Palatino Linotype" w:cs="Palatino Linotype"/>
          <w:b/>
          <w:i/>
          <w:sz w:val="22"/>
          <w:szCs w:val="22"/>
        </w:rPr>
        <w:t>”</w:t>
      </w:r>
      <w:r w:rsidRPr="00B00E88">
        <w:rPr>
          <w:rFonts w:ascii="Palatino Linotype" w:eastAsia="Palatino Linotype" w:hAnsi="Palatino Linotype" w:cs="Palatino Linotype"/>
          <w:i/>
          <w:sz w:val="22"/>
          <w:szCs w:val="22"/>
        </w:rPr>
        <w:t xml:space="preserve"> (sic) </w:t>
      </w:r>
    </w:p>
    <w:p w14:paraId="1B9CE0C8"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B00E88">
        <w:rPr>
          <w:rFonts w:ascii="Palatino Linotype" w:eastAsia="Palatino Linotype" w:hAnsi="Palatino Linotype" w:cs="Palatino Linotype"/>
          <w:b/>
        </w:rPr>
        <w:t>Modalidad de Entrega:</w:t>
      </w:r>
      <w:r w:rsidRPr="00B00E88">
        <w:rPr>
          <w:rFonts w:ascii="Palatino Linotype" w:eastAsia="Palatino Linotype" w:hAnsi="Palatino Linotype" w:cs="Palatino Linotype"/>
        </w:rPr>
        <w:t xml:space="preserve"> a través del</w:t>
      </w:r>
      <w:r w:rsidRPr="00B00E88">
        <w:rPr>
          <w:rFonts w:ascii="Palatino Linotype" w:eastAsia="Palatino Linotype" w:hAnsi="Palatino Linotype" w:cs="Palatino Linotype"/>
          <w:b/>
        </w:rPr>
        <w:t xml:space="preserve"> SAIMEX.</w:t>
      </w:r>
    </w:p>
    <w:p w14:paraId="6C680C48"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b/>
        </w:rPr>
        <w:t xml:space="preserve">2. Respuesta. </w:t>
      </w:r>
      <w:r w:rsidRPr="00B00E88">
        <w:rPr>
          <w:rFonts w:ascii="Palatino Linotype" w:eastAsia="Palatino Linotype" w:hAnsi="Palatino Linotype" w:cs="Palatino Linotype"/>
        </w:rPr>
        <w:t xml:space="preserve">El </w:t>
      </w:r>
      <w:r w:rsidRPr="00B00E88">
        <w:rPr>
          <w:rFonts w:ascii="Palatino Linotype" w:eastAsia="Palatino Linotype" w:hAnsi="Palatino Linotype" w:cs="Palatino Linotype"/>
          <w:b/>
        </w:rPr>
        <w:t>veintisiete de marzo de dos mil veinticinco,</w:t>
      </w:r>
      <w:r w:rsidRPr="00B00E88">
        <w:rPr>
          <w:rFonts w:ascii="Palatino Linotype" w:eastAsia="Palatino Linotype" w:hAnsi="Palatino Linotype" w:cs="Palatino Linotype"/>
        </w:rPr>
        <w:t xml:space="preserve"> 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EAC05C3" w14:textId="77777777" w:rsidR="000E09EA" w:rsidRPr="00B00E88" w:rsidRDefault="00F00C13">
      <w:pPr>
        <w:spacing w:before="240" w:after="24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lastRenderedPageBreak/>
        <w:t>“…ANEXO AL PRESENTE LA RESPUESTA A LA SOLICITUD DE INFORMACIÓN CON FOLIO 00132/ATIZARA/IP/2025...” (sic)</w:t>
      </w:r>
    </w:p>
    <w:p w14:paraId="58660159" w14:textId="77777777" w:rsidR="000E09EA" w:rsidRPr="00B00E88" w:rsidRDefault="00F00C13">
      <w:pPr>
        <w:spacing w:before="240" w:after="240" w:line="360" w:lineRule="auto"/>
        <w:ind w:right="49"/>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adjuntó lo siguiente:</w:t>
      </w:r>
    </w:p>
    <w:p w14:paraId="5C4EA8BE" w14:textId="77777777" w:rsidR="000E09EA" w:rsidRPr="00B00E88" w:rsidRDefault="00F00C13">
      <w:pPr>
        <w:spacing w:before="240" w:after="240" w:line="360" w:lineRule="auto"/>
        <w:ind w:right="49"/>
        <w:jc w:val="both"/>
        <w:rPr>
          <w:rFonts w:ascii="Palatino Linotype" w:eastAsia="Palatino Linotype" w:hAnsi="Palatino Linotype" w:cs="Palatino Linotype"/>
        </w:rPr>
      </w:pPr>
      <w:r w:rsidRPr="00B00E88">
        <w:rPr>
          <w:rFonts w:ascii="Palatino Linotype" w:eastAsia="Palatino Linotype" w:hAnsi="Palatino Linotype" w:cs="Palatino Linotype"/>
        </w:rPr>
        <w:t>- Memorándum DIM/EA/019/2025, del veintiséis de marzo de dos mil veinticinco, mediante el cual el Encargado de Despacho de la Dirección de las Mujeres, proporcionó el número de denuncias y casos de maltrato a mujeres presentados en el transcurso del ejercicio 2025, en el ámbito de sus competencias derivado de la búsqueda exhaustiva y razonable en los archivos bajo su resguardo.</w:t>
      </w:r>
    </w:p>
    <w:p w14:paraId="50AC7310" w14:textId="77777777" w:rsidR="000E09EA" w:rsidRPr="00B00E88" w:rsidRDefault="00F00C13">
      <w:pPr>
        <w:spacing w:before="240" w:after="240" w:line="360" w:lineRule="auto"/>
        <w:ind w:right="49"/>
        <w:jc w:val="both"/>
        <w:rPr>
          <w:rFonts w:ascii="Palatino Linotype" w:eastAsia="Palatino Linotype" w:hAnsi="Palatino Linotype" w:cs="Palatino Linotype"/>
        </w:rPr>
      </w:pPr>
      <w:r w:rsidRPr="00B00E88">
        <w:rPr>
          <w:rFonts w:ascii="Palatino Linotype" w:eastAsia="Palatino Linotype" w:hAnsi="Palatino Linotype" w:cs="Palatino Linotype"/>
          <w:b/>
        </w:rPr>
        <w:t xml:space="preserve">3. Interposición del recurso de revisión. </w:t>
      </w:r>
      <w:r w:rsidRPr="00B00E88">
        <w:rPr>
          <w:rFonts w:ascii="Palatino Linotype" w:eastAsia="Palatino Linotype" w:hAnsi="Palatino Linotype" w:cs="Palatino Linotype"/>
        </w:rPr>
        <w:t xml:space="preserve">Inconforme con los términos de la respuesta emitida por parte del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el </w:t>
      </w:r>
      <w:r w:rsidRPr="00B00E88">
        <w:rPr>
          <w:rFonts w:ascii="Palatino Linotype" w:eastAsia="Palatino Linotype" w:hAnsi="Palatino Linotype" w:cs="Palatino Linotype"/>
          <w:b/>
        </w:rPr>
        <w:t>veinticuatro de abril de dos mil veinticinco,</w:t>
      </w:r>
      <w:r w:rsidRPr="00B00E88">
        <w:rPr>
          <w:rFonts w:ascii="Palatino Linotype" w:eastAsia="Palatino Linotype" w:hAnsi="Palatino Linotype" w:cs="Palatino Linotype"/>
        </w:rPr>
        <w:t xml:space="preserve"> la parte </w:t>
      </w:r>
      <w:r w:rsidRPr="00B00E88">
        <w:rPr>
          <w:rFonts w:ascii="Palatino Linotype" w:eastAsia="Palatino Linotype" w:hAnsi="Palatino Linotype" w:cs="Palatino Linotype"/>
          <w:b/>
        </w:rPr>
        <w:t>Recurrente</w:t>
      </w:r>
      <w:r w:rsidRPr="00B00E88">
        <w:rPr>
          <w:rFonts w:ascii="Palatino Linotype" w:eastAsia="Palatino Linotype" w:hAnsi="Palatino Linotype" w:cs="Palatino Linotype"/>
        </w:rPr>
        <w:t xml:space="preserve"> interpuso el recurso de revisión a través de </w:t>
      </w:r>
      <w:r w:rsidRPr="00B00E88">
        <w:rPr>
          <w:rFonts w:ascii="Palatino Linotype" w:eastAsia="Palatino Linotype" w:hAnsi="Palatino Linotype" w:cs="Palatino Linotype"/>
          <w:b/>
        </w:rPr>
        <w:t xml:space="preserve">SAIMEX, </w:t>
      </w:r>
      <w:r w:rsidRPr="00B00E88">
        <w:rPr>
          <w:rFonts w:ascii="Palatino Linotype" w:eastAsia="Palatino Linotype" w:hAnsi="Palatino Linotype" w:cs="Palatino Linotype"/>
        </w:rPr>
        <w:t>en donde se manifestó de la siguiente manera:</w:t>
      </w:r>
    </w:p>
    <w:p w14:paraId="02C71830" w14:textId="77777777" w:rsidR="000E09EA" w:rsidRPr="00B00E88" w:rsidRDefault="00F00C13">
      <w:pPr>
        <w:spacing w:before="240" w:after="240" w:line="360" w:lineRule="auto"/>
        <w:ind w:right="49"/>
        <w:jc w:val="both"/>
        <w:rPr>
          <w:rFonts w:ascii="Palatino Linotype" w:eastAsia="Palatino Linotype" w:hAnsi="Palatino Linotype" w:cs="Palatino Linotype"/>
          <w:b/>
        </w:rPr>
      </w:pPr>
      <w:r w:rsidRPr="00B00E88">
        <w:rPr>
          <w:rFonts w:ascii="Palatino Linotype" w:eastAsia="Palatino Linotype" w:hAnsi="Palatino Linotype" w:cs="Palatino Linotype"/>
          <w:b/>
        </w:rPr>
        <w:t xml:space="preserve">Acto impugnado: </w:t>
      </w:r>
    </w:p>
    <w:p w14:paraId="2AF7A814" w14:textId="77777777" w:rsidR="000E09EA" w:rsidRPr="00B00E88" w:rsidRDefault="00F00C13">
      <w:pPr>
        <w:tabs>
          <w:tab w:val="left" w:pos="2745"/>
        </w:tabs>
        <w:spacing w:before="240" w:after="240"/>
        <w:ind w:left="851"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“ME NIEGAN LA INFOMRACION” (sic)</w:t>
      </w:r>
    </w:p>
    <w:p w14:paraId="79F7DB69" w14:textId="77777777" w:rsidR="000E09EA" w:rsidRPr="00B00E88" w:rsidRDefault="00F00C13">
      <w:pPr>
        <w:spacing w:line="360" w:lineRule="auto"/>
        <w:jc w:val="both"/>
        <w:rPr>
          <w:rFonts w:ascii="Palatino Linotype" w:eastAsia="Palatino Linotype" w:hAnsi="Palatino Linotype" w:cs="Palatino Linotype"/>
        </w:rPr>
      </w:pPr>
      <w:bookmarkStart w:id="4" w:name="_heading=h.30j0zll" w:colFirst="0" w:colLast="0"/>
      <w:bookmarkEnd w:id="4"/>
      <w:r w:rsidRPr="00B00E88">
        <w:rPr>
          <w:rFonts w:ascii="Palatino Linotype" w:eastAsia="Palatino Linotype" w:hAnsi="Palatino Linotype" w:cs="Palatino Linotype"/>
          <w:b/>
        </w:rPr>
        <w:t>Y, Razones o motivos de inconformidad</w:t>
      </w:r>
      <w:r w:rsidRPr="00B00E88">
        <w:rPr>
          <w:rFonts w:ascii="Palatino Linotype" w:eastAsia="Palatino Linotype" w:hAnsi="Palatino Linotype" w:cs="Palatino Linotype"/>
        </w:rPr>
        <w:t>:</w:t>
      </w:r>
    </w:p>
    <w:p w14:paraId="34A93B50" w14:textId="77777777" w:rsidR="000E09EA" w:rsidRPr="00B00E88" w:rsidRDefault="00F00C13">
      <w:pPr>
        <w:tabs>
          <w:tab w:val="left" w:pos="2745"/>
        </w:tabs>
        <w:spacing w:before="240" w:after="240"/>
        <w:ind w:left="851"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“ME NIEGAN LA INFORMACION” (sic)</w:t>
      </w:r>
    </w:p>
    <w:p w14:paraId="5B5542C1" w14:textId="77777777" w:rsidR="000E09EA" w:rsidRPr="00B00E88" w:rsidRDefault="00F00C13">
      <w:pPr>
        <w:spacing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b/>
        </w:rPr>
        <w:t xml:space="preserve">4. Turno. </w:t>
      </w:r>
      <w:r w:rsidRPr="00B00E8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B00E88">
        <w:rPr>
          <w:rFonts w:ascii="Palatino Linotype" w:eastAsia="Palatino Linotype" w:hAnsi="Palatino Linotype" w:cs="Palatino Linotype"/>
        </w:rPr>
        <w:lastRenderedPageBreak/>
        <w:t xml:space="preserve">del Estado de México y Municipios, a la Comisionada </w:t>
      </w:r>
      <w:r w:rsidRPr="00B00E88">
        <w:rPr>
          <w:rFonts w:ascii="Palatino Linotype" w:eastAsia="Palatino Linotype" w:hAnsi="Palatino Linotype" w:cs="Palatino Linotype"/>
          <w:b/>
        </w:rPr>
        <w:t xml:space="preserve">Guadalupe Ramírez Peña, </w:t>
      </w:r>
      <w:r w:rsidRPr="00B00E88">
        <w:rPr>
          <w:rFonts w:ascii="Palatino Linotype" w:eastAsia="Palatino Linotype" w:hAnsi="Palatino Linotype" w:cs="Palatino Linotype"/>
        </w:rPr>
        <w:t xml:space="preserve">a efecto de que analizara sobre su admisión o su </w:t>
      </w:r>
      <w:proofErr w:type="spellStart"/>
      <w:r w:rsidRPr="00B00E88">
        <w:rPr>
          <w:rFonts w:ascii="Palatino Linotype" w:eastAsia="Palatino Linotype" w:hAnsi="Palatino Linotype" w:cs="Palatino Linotype"/>
        </w:rPr>
        <w:t>desechamiento</w:t>
      </w:r>
      <w:proofErr w:type="spellEnd"/>
      <w:r w:rsidRPr="00B00E88">
        <w:rPr>
          <w:rFonts w:ascii="Palatino Linotype" w:eastAsia="Palatino Linotype" w:hAnsi="Palatino Linotype" w:cs="Palatino Linotype"/>
        </w:rPr>
        <w:t>.</w:t>
      </w:r>
    </w:p>
    <w:p w14:paraId="70EEC605" w14:textId="77777777" w:rsidR="000E09EA" w:rsidRPr="00B00E88" w:rsidRDefault="00F00C13">
      <w:pPr>
        <w:spacing w:before="240" w:after="240" w:line="360" w:lineRule="auto"/>
        <w:jc w:val="both"/>
        <w:rPr>
          <w:rFonts w:ascii="Palatino Linotype" w:eastAsia="Palatino Linotype" w:hAnsi="Palatino Linotype" w:cs="Palatino Linotype"/>
          <w:b/>
        </w:rPr>
      </w:pPr>
      <w:r w:rsidRPr="00B00E88">
        <w:rPr>
          <w:rFonts w:ascii="Palatino Linotype" w:eastAsia="Palatino Linotype" w:hAnsi="Palatino Linotype" w:cs="Palatino Linotype"/>
          <w:b/>
        </w:rPr>
        <w:t>5. Admisión del Recurso de revisión.</w:t>
      </w:r>
      <w:r w:rsidRPr="00B00E88">
        <w:rPr>
          <w:rFonts w:ascii="Palatino Linotype" w:eastAsia="Palatino Linotype" w:hAnsi="Palatino Linotype" w:cs="Palatino Linotype"/>
        </w:rPr>
        <w:t xml:space="preserve"> El</w:t>
      </w:r>
      <w:r w:rsidRPr="00B00E88">
        <w:rPr>
          <w:rFonts w:ascii="Palatino Linotype" w:eastAsia="Palatino Linotype" w:hAnsi="Palatino Linotype" w:cs="Palatino Linotype"/>
          <w:b/>
        </w:rPr>
        <w:t xml:space="preserve"> veintinueve de abril de dos mil veinticinco, </w:t>
      </w:r>
      <w:r w:rsidRPr="00B00E8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presentara su informe justificado.</w:t>
      </w:r>
    </w:p>
    <w:p w14:paraId="132F9AD7"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B00E88">
        <w:rPr>
          <w:rFonts w:ascii="Palatino Linotype" w:eastAsia="Palatino Linotype" w:hAnsi="Palatino Linotype" w:cs="Palatino Linotype"/>
          <w:b/>
        </w:rPr>
        <w:t>6. Manifestaciones</w:t>
      </w:r>
      <w:r w:rsidRPr="00B00E88">
        <w:rPr>
          <w:rFonts w:ascii="Palatino Linotype" w:eastAsia="Palatino Linotype" w:hAnsi="Palatino Linotype" w:cs="Palatino Linotype"/>
        </w:rPr>
        <w:t xml:space="preserve">. El </w:t>
      </w:r>
      <w:r w:rsidRPr="00B00E88">
        <w:rPr>
          <w:rFonts w:ascii="Palatino Linotype" w:eastAsia="Palatino Linotype" w:hAnsi="Palatino Linotype" w:cs="Palatino Linotype"/>
          <w:b/>
        </w:rPr>
        <w:t>siete de mayo de dos mil veinticinco</w:t>
      </w:r>
      <w:r w:rsidRPr="00B00E88">
        <w:rPr>
          <w:rFonts w:ascii="Palatino Linotype" w:eastAsia="Palatino Linotype" w:hAnsi="Palatino Linotype" w:cs="Palatino Linotype"/>
        </w:rPr>
        <w:t xml:space="preserve">, 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remitió, a través del SAIMEX, lo siguiente:</w:t>
      </w:r>
    </w:p>
    <w:p w14:paraId="2453E8AC"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Memorándum DIM/EA/064/2025, del seis de mayo de dos mil veinticinco, mediante el cual el enlace Administrativo de la Dirección de las Mujeres ratificó en lo sustancial la respuesta proporcionada en primera instancia, manifestando que se proporcionaron los datos estadísticos de los archivos disponibles relacionados con el número de denuncias interpuestas y casos de maltrato registrados en el municipio.</w:t>
      </w:r>
    </w:p>
    <w:p w14:paraId="4211DBA9"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Oficio número PMA/UTI/2037/2025, del veinticinco de abril de dos mil veinticinco, mediante el cual la titular de la Unidad de Transparencia hizo del conocimiento de la persona servidora pública habilitada de la Dirección del Instituto de la Mujer, sobre la interposición del recurso de revisión, a fin de que fundamentara y motivara la causa por la que fue atendida la solicitud de información.</w:t>
      </w:r>
    </w:p>
    <w:p w14:paraId="4224BFAE"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Una vez analizada la información, se hizo del conocimiento de la persona solicitante a efecto de que manifestara lo que a su derecho estimara conveniente, siendo omisa en ejercer dicha prerrogativa.</w:t>
      </w:r>
    </w:p>
    <w:p w14:paraId="16DA5586"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b/>
        </w:rPr>
        <w:t xml:space="preserve">7. Cierre de instrucción. </w:t>
      </w:r>
      <w:r w:rsidRPr="00B00E88">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B00E88">
        <w:rPr>
          <w:rFonts w:ascii="Palatino Linotype" w:eastAsia="Palatino Linotype" w:hAnsi="Palatino Linotype" w:cs="Palatino Linotype"/>
          <w:b/>
        </w:rPr>
        <w:t>ocho de julio de dos mil veinticinco</w:t>
      </w:r>
      <w:r w:rsidRPr="00B00E8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10FAAF4" w14:textId="77777777" w:rsidR="000E09EA" w:rsidRPr="00B00E88" w:rsidRDefault="00F00C13">
      <w:pPr>
        <w:spacing w:before="240" w:after="240" w:line="360" w:lineRule="auto"/>
        <w:jc w:val="both"/>
        <w:rPr>
          <w:rFonts w:ascii="Palatino Linotype" w:eastAsia="Palatino Linotype" w:hAnsi="Palatino Linotype" w:cs="Palatino Linotype"/>
          <w:b/>
        </w:rPr>
      </w:pPr>
      <w:r w:rsidRPr="00B00E88">
        <w:rPr>
          <w:rFonts w:ascii="Palatino Linotype" w:eastAsia="Palatino Linotype" w:hAnsi="Palatino Linotype" w:cs="Palatino Linotype"/>
          <w:b/>
        </w:rPr>
        <w:t>8</w:t>
      </w:r>
      <w:r w:rsidRPr="00B00E88">
        <w:rPr>
          <w:rFonts w:ascii="Palatino Linotype" w:eastAsia="Palatino Linotype" w:hAnsi="Palatino Linotype" w:cs="Palatino Linotype"/>
        </w:rPr>
        <w:t xml:space="preserve">. </w:t>
      </w:r>
      <w:r w:rsidRPr="00B00E88">
        <w:rPr>
          <w:rFonts w:ascii="Palatino Linotype" w:eastAsia="Palatino Linotype" w:hAnsi="Palatino Linotype" w:cs="Palatino Linotype"/>
          <w:b/>
        </w:rPr>
        <w:t>Ampliación del término para resolver</w:t>
      </w:r>
      <w:r w:rsidRPr="00B00E88">
        <w:rPr>
          <w:rFonts w:ascii="Palatino Linotype" w:eastAsia="Palatino Linotype" w:hAnsi="Palatino Linotype" w:cs="Palatino Linotype"/>
        </w:rPr>
        <w:t xml:space="preserve">. El </w:t>
      </w:r>
      <w:r w:rsidRPr="00B00E88">
        <w:rPr>
          <w:rFonts w:ascii="Palatino Linotype" w:eastAsia="Palatino Linotype" w:hAnsi="Palatino Linotype" w:cs="Palatino Linotype"/>
          <w:b/>
        </w:rPr>
        <w:t>ocho de julio de dos mil veinticinco</w:t>
      </w:r>
      <w:r w:rsidRPr="00B00E8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11E3219"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E74D2A8"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B00E88">
        <w:rPr>
          <w:rFonts w:ascii="Palatino Linotype" w:eastAsia="Palatino Linotype" w:hAnsi="Palatino Linotype" w:cs="Palatino Linotype"/>
        </w:rPr>
        <w:lastRenderedPageBreak/>
        <w:t>órganos jurisdiccionales federales, aplicables también en procedimientos análogos, como el que nos ocupa.</w:t>
      </w:r>
    </w:p>
    <w:p w14:paraId="42C24E3F"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40B136"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3DB34CA" w14:textId="77777777" w:rsidR="000E09EA" w:rsidRPr="00B00E88" w:rsidRDefault="00F00C13">
      <w:pPr>
        <w:spacing w:before="240" w:after="240" w:line="360" w:lineRule="auto"/>
        <w:jc w:val="both"/>
        <w:rPr>
          <w:rFonts w:ascii="Palatino Linotype" w:eastAsia="Palatino Linotype" w:hAnsi="Palatino Linotype" w:cs="Palatino Linotype"/>
          <w:strike/>
        </w:rPr>
      </w:pPr>
      <w:r w:rsidRPr="00B00E8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B8510DD" w14:textId="77777777" w:rsidR="000E09EA" w:rsidRPr="00B00E88" w:rsidRDefault="00F00C1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AE49BD7" w14:textId="77777777" w:rsidR="000E09EA" w:rsidRPr="00B00E88" w:rsidRDefault="00F00C1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B00E88">
        <w:rPr>
          <w:rFonts w:ascii="Palatino Linotype" w:eastAsia="Palatino Linotype" w:hAnsi="Palatino Linotype" w:cs="Palatino Linotype"/>
        </w:rPr>
        <w:t>Actividad Procesal del interesado. Acciones u omisiones del interesado.</w:t>
      </w:r>
    </w:p>
    <w:p w14:paraId="0F3B71BB" w14:textId="77777777" w:rsidR="000E09EA" w:rsidRPr="00B00E88" w:rsidRDefault="00F00C13">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B00E88">
        <w:rPr>
          <w:rFonts w:ascii="Palatino Linotype" w:eastAsia="Palatino Linotype" w:hAnsi="Palatino Linotype" w:cs="Palatino Linotype"/>
        </w:rPr>
        <w:t>Conducta de la Autoridad: Las Acciones u omisiones realizadas en el procedimiento. Así como si la autoridad actuó con la debida diligencia.</w:t>
      </w:r>
    </w:p>
    <w:p w14:paraId="7686D89D" w14:textId="77777777" w:rsidR="000E09EA" w:rsidRPr="00B00E88" w:rsidRDefault="00F00C13">
      <w:pPr>
        <w:tabs>
          <w:tab w:val="left" w:pos="567"/>
        </w:tabs>
        <w:spacing w:before="240" w:after="240" w:line="360" w:lineRule="auto"/>
        <w:ind w:left="284"/>
        <w:jc w:val="both"/>
        <w:rPr>
          <w:rFonts w:ascii="Palatino Linotype" w:eastAsia="Palatino Linotype" w:hAnsi="Palatino Linotype" w:cs="Palatino Linotype"/>
        </w:rPr>
      </w:pPr>
      <w:r w:rsidRPr="00B00E88">
        <w:rPr>
          <w:rFonts w:ascii="Palatino Linotype" w:eastAsia="Palatino Linotype" w:hAnsi="Palatino Linotype" w:cs="Palatino Linotype"/>
        </w:rPr>
        <w:t>d) La afectación generada en la situación jurídica de la persona involucrada en el proceso: Violación a sus derechos humanos.</w:t>
      </w:r>
    </w:p>
    <w:p w14:paraId="2E30FC64"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4F5DD3" w14:textId="77777777" w:rsidR="000E09EA" w:rsidRPr="00B00E88" w:rsidRDefault="00F00C13">
      <w:pPr>
        <w:spacing w:before="240" w:after="240" w:line="360" w:lineRule="auto"/>
        <w:jc w:val="both"/>
        <w:rPr>
          <w:rFonts w:ascii="Palatino Linotype" w:eastAsia="Palatino Linotype" w:hAnsi="Palatino Linotype" w:cs="Palatino Linotype"/>
          <w:b/>
        </w:rPr>
      </w:pPr>
      <w:r w:rsidRPr="00B00E8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00E8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00E88">
        <w:rPr>
          <w:rFonts w:ascii="Palatino Linotype" w:eastAsia="Palatino Linotype" w:hAnsi="Palatino Linotype" w:cs="Palatino Linotype"/>
        </w:rPr>
        <w:t>, visible en la Gaceta del Seminario Judicial de la Federación con el registro digital 205635.</w:t>
      </w:r>
    </w:p>
    <w:p w14:paraId="07CF24CC"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C361FA"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29292AE" w14:textId="77777777" w:rsidR="000E09EA" w:rsidRPr="00B00E88" w:rsidRDefault="00F00C13">
      <w:pPr>
        <w:spacing w:before="120" w:after="120"/>
        <w:ind w:left="851" w:right="902"/>
        <w:jc w:val="both"/>
        <w:rPr>
          <w:rFonts w:ascii="Palatino Linotype" w:eastAsia="Palatino Linotype" w:hAnsi="Palatino Linotype" w:cs="Palatino Linotype"/>
          <w:sz w:val="22"/>
          <w:szCs w:val="22"/>
        </w:rPr>
      </w:pPr>
      <w:r w:rsidRPr="00B00E88">
        <w:rPr>
          <w:rFonts w:ascii="Palatino Linotype" w:eastAsia="Palatino Linotype" w:hAnsi="Palatino Linotype" w:cs="Palatino Linotype"/>
          <w:sz w:val="22"/>
          <w:szCs w:val="22"/>
        </w:rPr>
        <w:t xml:space="preserve"> </w:t>
      </w: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PLAZO RAZONABLE PARA RESOLVER. DIMENSIÓN Y EFECTOS DE ESTE CONCEPTO CUANDO SE ADUCE EXCESIVA CARGA DE TRABAJO</w:t>
      </w: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11F566" w14:textId="77777777" w:rsidR="000E09EA" w:rsidRPr="00B00E88" w:rsidRDefault="00F00C13">
      <w:pPr>
        <w:spacing w:before="120" w:after="120"/>
        <w:ind w:left="851" w:right="902"/>
        <w:jc w:val="both"/>
        <w:rPr>
          <w:rFonts w:ascii="Palatino Linotype" w:eastAsia="Palatino Linotype" w:hAnsi="Palatino Linotype" w:cs="Palatino Linotype"/>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sz w:val="22"/>
          <w:szCs w:val="22"/>
        </w:rPr>
        <w:t>, visible en el Seminario Judicial de la Federación y su gaceta, con el registro digital 2002350.</w:t>
      </w:r>
    </w:p>
    <w:p w14:paraId="3800423E"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CFA057C"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EB15265" w14:textId="77777777" w:rsidR="000E09EA" w:rsidRPr="00B00E88" w:rsidRDefault="00F00C13">
      <w:pPr>
        <w:widowControl w:val="0"/>
        <w:spacing w:before="240" w:after="240" w:line="360" w:lineRule="auto"/>
        <w:jc w:val="center"/>
        <w:rPr>
          <w:rFonts w:ascii="Palatino Linotype" w:eastAsia="Palatino Linotype" w:hAnsi="Palatino Linotype" w:cs="Palatino Linotype"/>
          <w:b/>
        </w:rPr>
      </w:pPr>
      <w:r w:rsidRPr="00B00E88">
        <w:rPr>
          <w:rFonts w:ascii="Palatino Linotype" w:eastAsia="Palatino Linotype" w:hAnsi="Palatino Linotype" w:cs="Palatino Linotype"/>
          <w:b/>
        </w:rPr>
        <w:t>II. C O N S I D E R A N D O S</w:t>
      </w:r>
    </w:p>
    <w:p w14:paraId="13B2B959"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b/>
        </w:rPr>
        <w:t>Primero. Competencia.</w:t>
      </w:r>
      <w:r w:rsidRPr="00B00E8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w:t>
      </w:r>
      <w:r w:rsidRPr="00B00E88">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A7D37D7"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B00E88">
        <w:rPr>
          <w:rFonts w:ascii="Palatino Linotype" w:eastAsia="Palatino Linotype" w:hAnsi="Palatino Linotype" w:cs="Palatino Linotype"/>
          <w:b/>
        </w:rPr>
        <w:t>Segundo. Oportunidad y Procedibilidad del Recurso de Revisión</w:t>
      </w:r>
      <w:r w:rsidRPr="00B00E8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0D408E6"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 xml:space="preserve">remitió la respuesta a la solicitud de información el día </w:t>
      </w:r>
      <w:r w:rsidRPr="00B00E88">
        <w:rPr>
          <w:rFonts w:ascii="Palatino Linotype" w:eastAsia="Palatino Linotype" w:hAnsi="Palatino Linotype" w:cs="Palatino Linotype"/>
          <w:b/>
        </w:rPr>
        <w:t xml:space="preserve">veintisiete de marzo de dos mil veinticinco, </w:t>
      </w:r>
      <w:r w:rsidRPr="00B00E88">
        <w:rPr>
          <w:rFonts w:ascii="Palatino Linotype" w:eastAsia="Palatino Linotype" w:hAnsi="Palatino Linotype" w:cs="Palatino Linotype"/>
        </w:rPr>
        <w:t xml:space="preserve">mientras que el recurso de revisión interpuesto por la parte </w:t>
      </w:r>
      <w:r w:rsidRPr="00B00E88">
        <w:rPr>
          <w:rFonts w:ascii="Palatino Linotype" w:eastAsia="Palatino Linotype" w:hAnsi="Palatino Linotype" w:cs="Palatino Linotype"/>
          <w:b/>
        </w:rPr>
        <w:t xml:space="preserve">Recurrente, </w:t>
      </w:r>
      <w:r w:rsidRPr="00B00E88">
        <w:rPr>
          <w:rFonts w:ascii="Palatino Linotype" w:eastAsia="Palatino Linotype" w:hAnsi="Palatino Linotype" w:cs="Palatino Linotype"/>
        </w:rPr>
        <w:t>se tuvo por presentado el día</w:t>
      </w:r>
      <w:r w:rsidRPr="00B00E88">
        <w:rPr>
          <w:rFonts w:ascii="Palatino Linotype" w:eastAsia="Palatino Linotype" w:hAnsi="Palatino Linotype" w:cs="Palatino Linotype"/>
          <w:b/>
        </w:rPr>
        <w:t xml:space="preserve"> veinticuatro abril de dos mil veinticinco, </w:t>
      </w:r>
      <w:r w:rsidRPr="00B00E88">
        <w:rPr>
          <w:rFonts w:ascii="Palatino Linotype" w:eastAsia="Palatino Linotype" w:hAnsi="Palatino Linotype" w:cs="Palatino Linotype"/>
        </w:rPr>
        <w:t>esto es, al décimo quinto día hábil posterior a aquel en el que tuvo conocimiento de la respuesta impugnada. En este sentido, se concluye que el presente recurso de revisión se encuentra dentro de los márgenes temporales previstos en las disposiciones legales referidas.</w:t>
      </w:r>
    </w:p>
    <w:p w14:paraId="21663892" w14:textId="77777777" w:rsidR="000E09EA" w:rsidRPr="00B00E88" w:rsidRDefault="00F00C13">
      <w:pPr>
        <w:spacing w:line="360" w:lineRule="auto"/>
        <w:jc w:val="both"/>
        <w:rPr>
          <w:rFonts w:ascii="Palatino Linotype" w:eastAsia="Palatino Linotype" w:hAnsi="Palatino Linotype" w:cs="Palatino Linotype"/>
        </w:rPr>
      </w:pPr>
      <w:bookmarkStart w:id="7" w:name="_heading=h.3znysh7" w:colFirst="0" w:colLast="0"/>
      <w:bookmarkEnd w:id="7"/>
      <w:r w:rsidRPr="00B00E88">
        <w:rPr>
          <w:rFonts w:ascii="Palatino Linotype" w:eastAsia="Palatino Linotype" w:hAnsi="Palatino Linotype" w:cs="Palatino Linotype"/>
        </w:rPr>
        <w:t>Además, por cuanto hace a la procedibilidad del recurso de revisión, es de suma importancia señalar que la parte</w:t>
      </w:r>
      <w:r w:rsidRPr="00B00E88">
        <w:rPr>
          <w:rFonts w:ascii="Palatino Linotype" w:eastAsia="Palatino Linotype" w:hAnsi="Palatino Linotype" w:cs="Palatino Linotype"/>
          <w:b/>
        </w:rPr>
        <w:t xml:space="preserve"> Recurrente</w:t>
      </w:r>
      <w:r w:rsidRPr="00B00E88">
        <w:rPr>
          <w:rFonts w:ascii="Palatino Linotype" w:eastAsia="Palatino Linotype" w:hAnsi="Palatino Linotype" w:cs="Palatino Linotype"/>
        </w:rPr>
        <w:t xml:space="preserve">, no señaló un </w:t>
      </w:r>
      <w:r w:rsidRPr="00B00E88">
        <w:rPr>
          <w:rFonts w:ascii="Palatino Linotype" w:eastAsia="Palatino Linotype" w:hAnsi="Palatino Linotype" w:cs="Palatino Linotype"/>
          <w:b/>
        </w:rPr>
        <w:t>nombre</w:t>
      </w:r>
      <w:r w:rsidRPr="00B00E88">
        <w:rPr>
          <w:rFonts w:ascii="Palatino Linotype" w:eastAsia="Palatino Linotype" w:hAnsi="Palatino Linotype" w:cs="Palatino Linotype"/>
        </w:rPr>
        <w:t xml:space="preserve"> con el cual desea </w:t>
      </w:r>
      <w:r w:rsidRPr="00B00E88">
        <w:rPr>
          <w:rFonts w:ascii="Palatino Linotype" w:eastAsia="Palatino Linotype" w:hAnsi="Palatino Linotype" w:cs="Palatino Linotype"/>
        </w:rPr>
        <w:lastRenderedPageBreak/>
        <w:t>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9950AC9"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Las solicitudes anónimas</w:t>
      </w:r>
      <w:r w:rsidRPr="00B00E88">
        <w:rPr>
          <w:rFonts w:ascii="Palatino Linotype" w:eastAsia="Palatino Linotype" w:hAnsi="Palatino Linotype" w:cs="Palatino Linotype"/>
          <w:i/>
          <w:sz w:val="22"/>
          <w:szCs w:val="22"/>
        </w:rPr>
        <w:t xml:space="preserve">, con nombre incompleto o </w:t>
      </w:r>
      <w:r w:rsidRPr="00B00E88">
        <w:rPr>
          <w:rFonts w:ascii="Palatino Linotype" w:eastAsia="Palatino Linotype" w:hAnsi="Palatino Linotype" w:cs="Palatino Linotype"/>
          <w:b/>
          <w:i/>
          <w:sz w:val="22"/>
          <w:szCs w:val="22"/>
        </w:rPr>
        <w:t>seudónimo</w:t>
      </w:r>
      <w:r w:rsidRPr="00B00E88">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5CBA161" w14:textId="77777777" w:rsidR="000E09EA" w:rsidRPr="00B00E88" w:rsidRDefault="00F00C13">
      <w:pPr>
        <w:spacing w:before="240" w:after="240" w:line="360" w:lineRule="auto"/>
        <w:jc w:val="both"/>
        <w:rPr>
          <w:rFonts w:ascii="Palatino Linotype" w:eastAsia="Palatino Linotype" w:hAnsi="Palatino Linotype" w:cs="Palatino Linotype"/>
          <w:b/>
        </w:rPr>
      </w:pPr>
      <w:r w:rsidRPr="00B00E88">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B00E88">
        <w:rPr>
          <w:rFonts w:ascii="Palatino Linotype" w:eastAsia="Palatino Linotype" w:hAnsi="Palatino Linotype" w:cs="Palatino Linotype"/>
          <w:b/>
        </w:rPr>
        <w:t xml:space="preserve"> SAIMEX.</w:t>
      </w:r>
    </w:p>
    <w:p w14:paraId="3FFAD058"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Finalmente, se advierte que resulta procedente la interposición del recurso, según lo manifestado por la parte </w:t>
      </w:r>
      <w:r w:rsidRPr="00B00E88">
        <w:rPr>
          <w:rFonts w:ascii="Palatino Linotype" w:eastAsia="Palatino Linotype" w:hAnsi="Palatino Linotype" w:cs="Palatino Linotype"/>
          <w:b/>
        </w:rPr>
        <w:t>Recurrente</w:t>
      </w:r>
      <w:r w:rsidRPr="00B00E88">
        <w:rPr>
          <w:rFonts w:ascii="Palatino Linotype" w:eastAsia="Palatino Linotype" w:hAnsi="Palatino Linotype" w:cs="Palatino Linotype"/>
        </w:rPr>
        <w:t xml:space="preserve"> en sus motivos de inconformidad, de acuerdo al artículo 179, fracción I del ordenamiento legal citado, que a la letra dice: </w:t>
      </w:r>
    </w:p>
    <w:p w14:paraId="14178C19" w14:textId="77777777" w:rsidR="000E09EA" w:rsidRPr="00B00E88" w:rsidRDefault="00F00C13">
      <w:pPr>
        <w:tabs>
          <w:tab w:val="left" w:pos="7938"/>
        </w:tabs>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Artículo 179.</w:t>
      </w:r>
      <w:r w:rsidRPr="00B00E8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6666389" w14:textId="77777777" w:rsidR="000E09EA" w:rsidRPr="00B00E88" w:rsidRDefault="00F00C13">
      <w:pPr>
        <w:tabs>
          <w:tab w:val="left" w:pos="7938"/>
        </w:tabs>
        <w:spacing w:before="120" w:after="120"/>
        <w:ind w:left="1134"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w:t>
      </w:r>
      <w:r w:rsidRPr="00B00E88">
        <w:rPr>
          <w:rFonts w:ascii="Palatino Linotype" w:eastAsia="Palatino Linotype" w:hAnsi="Palatino Linotype" w:cs="Palatino Linotype"/>
          <w:i/>
          <w:sz w:val="22"/>
          <w:szCs w:val="22"/>
        </w:rPr>
        <w:t xml:space="preserve"> La negativa a la información solicitada”</w:t>
      </w:r>
    </w:p>
    <w:p w14:paraId="0105716A" w14:textId="77777777" w:rsidR="000E09EA" w:rsidRPr="00B00E88" w:rsidRDefault="00F00C13">
      <w:pPr>
        <w:spacing w:before="240" w:after="240" w:line="360" w:lineRule="auto"/>
        <w:jc w:val="both"/>
        <w:rPr>
          <w:rFonts w:ascii="Palatino Linotype" w:eastAsia="Palatino Linotype" w:hAnsi="Palatino Linotype" w:cs="Palatino Linotype"/>
          <w:b/>
        </w:rPr>
      </w:pPr>
      <w:r w:rsidRPr="00B00E88">
        <w:rPr>
          <w:rFonts w:ascii="Palatino Linotype" w:eastAsia="Palatino Linotype" w:hAnsi="Palatino Linotype" w:cs="Palatino Linotype"/>
          <w:b/>
        </w:rPr>
        <w:t xml:space="preserve">Tercero. Materia de la revisión. </w:t>
      </w:r>
      <w:r w:rsidRPr="00B00E8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B00E88">
        <w:rPr>
          <w:rFonts w:ascii="Palatino Linotype" w:eastAsia="Palatino Linotype" w:hAnsi="Palatino Linotype" w:cs="Palatino Linotype"/>
          <w:b/>
        </w:rPr>
        <w:t xml:space="preserve">verificar si la información proporcionada por el Sujeto Obligado es adecuada y </w:t>
      </w:r>
      <w:r w:rsidRPr="00B00E88">
        <w:rPr>
          <w:rFonts w:ascii="Palatino Linotype" w:eastAsia="Palatino Linotype" w:hAnsi="Palatino Linotype" w:cs="Palatino Linotype"/>
          <w:b/>
        </w:rPr>
        <w:lastRenderedPageBreak/>
        <w:t xml:space="preserve">suficiente para satisfacer el derecho de acceso a la información pública </w:t>
      </w:r>
      <w:r w:rsidRPr="00B00E88">
        <w:rPr>
          <w:rFonts w:ascii="Palatino Linotype" w:eastAsia="Palatino Linotype" w:hAnsi="Palatino Linotype" w:cs="Palatino Linotype"/>
        </w:rPr>
        <w:t xml:space="preserve">de la parte </w:t>
      </w:r>
      <w:r w:rsidRPr="00B00E88">
        <w:rPr>
          <w:rFonts w:ascii="Palatino Linotype" w:eastAsia="Palatino Linotype" w:hAnsi="Palatino Linotype" w:cs="Palatino Linotype"/>
          <w:b/>
        </w:rPr>
        <w:t>Recurrente</w:t>
      </w:r>
      <w:r w:rsidRPr="00B00E88">
        <w:rPr>
          <w:rFonts w:ascii="Palatino Linotype" w:eastAsia="Palatino Linotype" w:hAnsi="Palatino Linotype" w:cs="Palatino Linotype"/>
        </w:rPr>
        <w:t>, o en su defecto, en caso de ser procedente, ordenar la entrega de información.</w:t>
      </w:r>
    </w:p>
    <w:p w14:paraId="48DC9F89"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B00E88">
        <w:rPr>
          <w:rFonts w:ascii="Palatino Linotype" w:eastAsia="Palatino Linotype" w:hAnsi="Palatino Linotype" w:cs="Palatino Linotype"/>
          <w:b/>
        </w:rPr>
        <w:t xml:space="preserve">Cuarto. Estudio del asunto. </w:t>
      </w:r>
      <w:r w:rsidRPr="00B00E88">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E1352B"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Artículo 4</w:t>
      </w:r>
      <w:r w:rsidRPr="00B00E8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4C1953B"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00E8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186AD69"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00E88">
        <w:rPr>
          <w:rFonts w:ascii="Palatino Linotype" w:eastAsia="Palatino Linotype" w:hAnsi="Palatino Linotype" w:cs="Palatino Linotype"/>
          <w:i/>
          <w:sz w:val="22"/>
          <w:szCs w:val="22"/>
        </w:rPr>
        <w:t>.”</w:t>
      </w:r>
    </w:p>
    <w:p w14:paraId="16B758BC"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D3D1A2"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“Artículo 12.-</w:t>
      </w:r>
      <w:r w:rsidRPr="00B00E8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31DE334"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00E88">
        <w:rPr>
          <w:rFonts w:ascii="Palatino Linotype" w:eastAsia="Palatino Linotype" w:hAnsi="Palatino Linotype" w:cs="Palatino Linotype"/>
          <w:i/>
          <w:sz w:val="22"/>
          <w:szCs w:val="22"/>
        </w:rPr>
        <w:t xml:space="preserve">. </w:t>
      </w:r>
      <w:r w:rsidRPr="00B00E8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CA23A4E" w14:textId="77777777" w:rsidR="000E09EA" w:rsidRPr="00B00E88" w:rsidRDefault="00F00C13">
      <w:pPr>
        <w:spacing w:before="240" w:after="240" w:line="360" w:lineRule="auto"/>
        <w:ind w:right="-93"/>
        <w:jc w:val="both"/>
        <w:rPr>
          <w:rFonts w:ascii="Palatino Linotype" w:eastAsia="Palatino Linotype" w:hAnsi="Palatino Linotype" w:cs="Palatino Linotype"/>
        </w:rPr>
      </w:pPr>
      <w:r w:rsidRPr="00B00E8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6A371D7" w14:textId="77777777" w:rsidR="000E09EA" w:rsidRPr="00B00E88" w:rsidRDefault="00F00C13">
      <w:pPr>
        <w:spacing w:before="240" w:after="240" w:line="360" w:lineRule="auto"/>
        <w:jc w:val="both"/>
        <w:rPr>
          <w:rFonts w:ascii="Palatino Linotype" w:eastAsia="Palatino Linotype" w:hAnsi="Palatino Linotype" w:cs="Palatino Linotype"/>
          <w:b/>
        </w:rPr>
      </w:pPr>
      <w:r w:rsidRPr="00B00E88">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w:t>
      </w:r>
      <w:r w:rsidRPr="00B00E88">
        <w:rPr>
          <w:rFonts w:ascii="Palatino Linotype" w:eastAsia="Palatino Linotype" w:hAnsi="Palatino Linotype" w:cs="Palatino Linotype"/>
        </w:rPr>
        <w:lastRenderedPageBreak/>
        <w:t xml:space="preserve">Información y Protección de Datos Personales, </w:t>
      </w:r>
      <w:proofErr w:type="gramStart"/>
      <w:r w:rsidRPr="00B00E88">
        <w:rPr>
          <w:rFonts w:ascii="Palatino Linotype" w:eastAsia="Palatino Linotype" w:hAnsi="Palatino Linotype" w:cs="Palatino Linotype"/>
        </w:rPr>
        <w:t>que</w:t>
      </w:r>
      <w:proofErr w:type="gramEnd"/>
      <w:r w:rsidRPr="00B00E88">
        <w:rPr>
          <w:rFonts w:ascii="Palatino Linotype" w:eastAsia="Palatino Linotype" w:hAnsi="Palatino Linotype" w:cs="Palatino Linotype"/>
        </w:rPr>
        <w:t xml:space="preserve"> por rubro y texto, dispone lo siguiente:</w:t>
      </w:r>
      <w:r w:rsidRPr="00B00E88">
        <w:rPr>
          <w:rFonts w:ascii="Palatino Linotype" w:eastAsia="Palatino Linotype" w:hAnsi="Palatino Linotype" w:cs="Palatino Linotype"/>
          <w:b/>
        </w:rPr>
        <w:t xml:space="preserve"> </w:t>
      </w:r>
    </w:p>
    <w:p w14:paraId="07532518"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 xml:space="preserve"> “</w:t>
      </w:r>
      <w:r w:rsidRPr="00B00E88">
        <w:rPr>
          <w:rFonts w:ascii="Palatino Linotype" w:eastAsia="Palatino Linotype" w:hAnsi="Palatino Linotype" w:cs="Palatino Linotype"/>
          <w:b/>
          <w:i/>
          <w:sz w:val="22"/>
          <w:szCs w:val="22"/>
        </w:rPr>
        <w:t>No existe obligación de elaborar documentos ad hoc para atender las solicitudes de acceso a la información.</w:t>
      </w:r>
      <w:r w:rsidRPr="00B00E8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BC2B0FC" w14:textId="77777777" w:rsidR="000E09EA" w:rsidRPr="00B00E88" w:rsidRDefault="00F00C13">
      <w:pPr>
        <w:spacing w:before="120" w:after="12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0C6DEB" w14:textId="77777777" w:rsidR="000E09EA" w:rsidRPr="00B00E88" w:rsidRDefault="00F00C13">
      <w:pPr>
        <w:spacing w:before="120" w:after="12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B00E88">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52E196F4"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 xml:space="preserve">Artículo 3. </w:t>
      </w:r>
      <w:r w:rsidRPr="00B00E88">
        <w:rPr>
          <w:rFonts w:ascii="Palatino Linotype" w:eastAsia="Palatino Linotype" w:hAnsi="Palatino Linotype" w:cs="Palatino Linotype"/>
          <w:i/>
          <w:sz w:val="22"/>
          <w:szCs w:val="22"/>
        </w:rPr>
        <w:t>Para los efectos de la presente Ley se entenderá por:</w:t>
      </w:r>
    </w:p>
    <w:p w14:paraId="3368EC87"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p>
    <w:p w14:paraId="5B46C15F"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XI. Documento:</w:t>
      </w:r>
      <w:r w:rsidRPr="00B00E88">
        <w:rPr>
          <w:rFonts w:ascii="Palatino Linotype" w:eastAsia="Palatino Linotype" w:hAnsi="Palatino Linotype" w:cs="Palatino Linotype"/>
          <w:i/>
          <w:sz w:val="22"/>
          <w:szCs w:val="22"/>
        </w:rPr>
        <w:t xml:space="preserve"> Los expedientes, reportes, estudios, actas</w:t>
      </w:r>
      <w:r w:rsidRPr="00B00E88">
        <w:rPr>
          <w:rFonts w:ascii="Palatino Linotype" w:eastAsia="Palatino Linotype" w:hAnsi="Palatino Linotype" w:cs="Palatino Linotype"/>
          <w:b/>
          <w:i/>
          <w:sz w:val="22"/>
          <w:szCs w:val="22"/>
        </w:rPr>
        <w:t>,</w:t>
      </w:r>
      <w:r w:rsidRPr="00B00E8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4753A8B"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53C8F3"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sz w:val="22"/>
          <w:szCs w:val="22"/>
        </w:rPr>
        <w:t>“</w:t>
      </w:r>
      <w:r w:rsidRPr="00B00E8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00E8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51060C"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 xml:space="preserve">En </w:t>
      </w:r>
      <w:proofErr w:type="gramStart"/>
      <w:r w:rsidRPr="00B00E88">
        <w:rPr>
          <w:rFonts w:ascii="Palatino Linotype" w:eastAsia="Palatino Linotype" w:hAnsi="Palatino Linotype" w:cs="Palatino Linotype"/>
          <w:i/>
          <w:sz w:val="22"/>
          <w:szCs w:val="22"/>
        </w:rPr>
        <w:t>consecuencia</w:t>
      </w:r>
      <w:proofErr w:type="gramEnd"/>
      <w:r w:rsidRPr="00B00E8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4619FD4"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00E88">
        <w:rPr>
          <w:rFonts w:ascii="Palatino Linotype" w:eastAsia="Palatino Linotype" w:hAnsi="Palatino Linotype" w:cs="Palatino Linotype"/>
          <w:i/>
          <w:sz w:val="22"/>
          <w:szCs w:val="22"/>
        </w:rPr>
        <w:t>que</w:t>
      </w:r>
      <w:proofErr w:type="gramEnd"/>
      <w:r w:rsidRPr="00B00E88">
        <w:rPr>
          <w:rFonts w:ascii="Palatino Linotype" w:eastAsia="Palatino Linotype" w:hAnsi="Palatino Linotype" w:cs="Palatino Linotype"/>
          <w:i/>
          <w:sz w:val="22"/>
          <w:szCs w:val="22"/>
        </w:rPr>
        <w:t xml:space="preserve"> en ejercicio de las atribuciones conferidas, sea generada por los Sujetos Obligados;</w:t>
      </w:r>
    </w:p>
    <w:p w14:paraId="303D3499"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lastRenderedPageBreak/>
        <w:t xml:space="preserve">2) Que se trate de información registrada en cualquier soporte documental, </w:t>
      </w:r>
      <w:proofErr w:type="gramStart"/>
      <w:r w:rsidRPr="00B00E88">
        <w:rPr>
          <w:rFonts w:ascii="Palatino Linotype" w:eastAsia="Palatino Linotype" w:hAnsi="Palatino Linotype" w:cs="Palatino Linotype"/>
          <w:i/>
          <w:sz w:val="22"/>
          <w:szCs w:val="22"/>
        </w:rPr>
        <w:t>que</w:t>
      </w:r>
      <w:proofErr w:type="gramEnd"/>
      <w:r w:rsidRPr="00B00E88">
        <w:rPr>
          <w:rFonts w:ascii="Palatino Linotype" w:eastAsia="Palatino Linotype" w:hAnsi="Palatino Linotype" w:cs="Palatino Linotype"/>
          <w:i/>
          <w:sz w:val="22"/>
          <w:szCs w:val="22"/>
        </w:rPr>
        <w:t xml:space="preserve"> en ejercicio de las atribuciones conferidas, sea administrada por los Sujetos Obligados, y</w:t>
      </w:r>
    </w:p>
    <w:p w14:paraId="3717AE58"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 xml:space="preserve">3) Que se trate de información registrada en cualquier soporte documental, </w:t>
      </w:r>
      <w:proofErr w:type="gramStart"/>
      <w:r w:rsidRPr="00B00E88">
        <w:rPr>
          <w:rFonts w:ascii="Palatino Linotype" w:eastAsia="Palatino Linotype" w:hAnsi="Palatino Linotype" w:cs="Palatino Linotype"/>
          <w:i/>
          <w:sz w:val="22"/>
          <w:szCs w:val="22"/>
        </w:rPr>
        <w:t>que</w:t>
      </w:r>
      <w:proofErr w:type="gramEnd"/>
      <w:r w:rsidRPr="00B00E88">
        <w:rPr>
          <w:rFonts w:ascii="Palatino Linotype" w:eastAsia="Palatino Linotype" w:hAnsi="Palatino Linotype" w:cs="Palatino Linotype"/>
          <w:i/>
          <w:sz w:val="22"/>
          <w:szCs w:val="22"/>
        </w:rPr>
        <w:t xml:space="preserve"> en ejercicio de las atribuciones conferidas, se encuentre en posesión de los Sujetos Obligados.”</w:t>
      </w:r>
    </w:p>
    <w:p w14:paraId="22883ADD"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470268"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2342C9E"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 xml:space="preserve">Ahora bien, del análisis de la solicitud de información, motivo del recurso de revisión que ahora se resuelve, se advierte que la parte </w:t>
      </w:r>
      <w:r w:rsidRPr="00B00E88">
        <w:rPr>
          <w:rFonts w:ascii="Palatino Linotype" w:eastAsia="Palatino Linotype" w:hAnsi="Palatino Linotype" w:cs="Palatino Linotype"/>
          <w:b/>
        </w:rPr>
        <w:t>Recurrente</w:t>
      </w:r>
      <w:r w:rsidRPr="00B00E88">
        <w:rPr>
          <w:rFonts w:ascii="Palatino Linotype" w:eastAsia="Palatino Linotype" w:hAnsi="Palatino Linotype" w:cs="Palatino Linotype"/>
        </w:rPr>
        <w:t xml:space="preserve"> requirió al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le proporcione, información consistente en lo siguiente:</w:t>
      </w:r>
    </w:p>
    <w:p w14:paraId="66A08542" w14:textId="77777777" w:rsidR="000E09EA" w:rsidRPr="00B00E88" w:rsidRDefault="00F00C13">
      <w:pPr>
        <w:spacing w:before="240" w:after="240" w:line="360" w:lineRule="auto"/>
        <w:ind w:left="284" w:right="51"/>
        <w:jc w:val="both"/>
        <w:rPr>
          <w:rFonts w:ascii="Palatino Linotype" w:eastAsia="Palatino Linotype" w:hAnsi="Palatino Linotype" w:cs="Palatino Linotype"/>
          <w:sz w:val="22"/>
          <w:szCs w:val="22"/>
        </w:rPr>
      </w:pPr>
      <w:r w:rsidRPr="00B00E88">
        <w:rPr>
          <w:rFonts w:ascii="Palatino Linotype" w:eastAsia="Palatino Linotype" w:hAnsi="Palatino Linotype" w:cs="Palatino Linotype"/>
        </w:rPr>
        <w:t>1. C</w:t>
      </w:r>
      <w:r w:rsidRPr="00B00E88">
        <w:rPr>
          <w:rFonts w:ascii="Palatino Linotype" w:eastAsia="Palatino Linotype" w:hAnsi="Palatino Linotype" w:cs="Palatino Linotype"/>
          <w:sz w:val="22"/>
          <w:szCs w:val="22"/>
        </w:rPr>
        <w:t>uántas denuncias se han interpuesto o cuántos casos de maltrato a la mujer se han dado en el municipio.</w:t>
      </w:r>
    </w:p>
    <w:p w14:paraId="37252957" w14:textId="77777777" w:rsidR="000E09EA" w:rsidRPr="00B00E88" w:rsidRDefault="00F00C13">
      <w:pPr>
        <w:spacing w:before="240" w:after="240" w:line="360" w:lineRule="auto"/>
        <w:ind w:right="49"/>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En respuesta, 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por conducto de la Dirección de las Mujeres, proporcionó, en el ámbito de sus competencias el número de denuncias y casos de maltrato a mujeres presentados en el transcurso del ejercicio 2025, derivado de la búsqueda exhaustiva y razonable en los archivos bajo su resguardo, como se ilustra a continuación:</w:t>
      </w:r>
    </w:p>
    <w:p w14:paraId="27AFCBD1" w14:textId="77777777" w:rsidR="000E09EA" w:rsidRPr="00B00E88" w:rsidRDefault="00F00C13">
      <w:pPr>
        <w:spacing w:before="240" w:after="240" w:line="360" w:lineRule="auto"/>
        <w:ind w:right="49"/>
        <w:jc w:val="center"/>
        <w:rPr>
          <w:rFonts w:ascii="Palatino Linotype" w:eastAsia="Palatino Linotype" w:hAnsi="Palatino Linotype" w:cs="Palatino Linotype"/>
        </w:rPr>
      </w:pPr>
      <w:r w:rsidRPr="00B00E88">
        <w:rPr>
          <w:rFonts w:ascii="Palatino Linotype" w:eastAsia="Palatino Linotype" w:hAnsi="Palatino Linotype" w:cs="Palatino Linotype"/>
          <w:noProof/>
        </w:rPr>
        <w:drawing>
          <wp:inline distT="0" distB="0" distL="0" distR="0" wp14:anchorId="0F523416" wp14:editId="5FA4EEB5">
            <wp:extent cx="2695951" cy="685896"/>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695951" cy="685896"/>
                    </a:xfrm>
                    <a:prstGeom prst="rect">
                      <a:avLst/>
                    </a:prstGeom>
                    <a:ln/>
                  </pic:spPr>
                </pic:pic>
              </a:graphicData>
            </a:graphic>
          </wp:inline>
        </w:drawing>
      </w:r>
    </w:p>
    <w:p w14:paraId="1E2AE945" w14:textId="77777777" w:rsidR="000E09EA" w:rsidRPr="00B00E88" w:rsidRDefault="00F00C13">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Al no estar conforme con los términos de la respuesta proporcionada por 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 xml:space="preserve">la persona solicitante interpuso el recurso de revisión que se resuelve, mediante el cual alegó, en lo medular, que le fue negada la información. </w:t>
      </w:r>
    </w:p>
    <w:p w14:paraId="6F43B575"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9" w:name="_heading=h.8gaipez7rs8q" w:colFirst="0" w:colLast="0"/>
      <w:bookmarkEnd w:id="9"/>
      <w:r w:rsidRPr="00B00E88">
        <w:rPr>
          <w:rFonts w:ascii="Palatino Linotype" w:eastAsia="Palatino Linotype" w:hAnsi="Palatino Linotype" w:cs="Palatino Linotype"/>
        </w:rPr>
        <w:t xml:space="preserve">Ahora bien, durante el periodo de manifestaciones 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por conducto de la Dirección de las Mujeres ratificó en lo sustancial la respuesta proporcionada en primera instancia, manifestando que se proporcionaron los datos estadísticos de los archivos disponibles relacionados con el número de denuncias interpuestas y casos de maltrato registrados en el municipio.</w:t>
      </w:r>
    </w:p>
    <w:p w14:paraId="13954EF4"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 xml:space="preserve">Mientras que la parte </w:t>
      </w:r>
      <w:r w:rsidRPr="00B00E88">
        <w:rPr>
          <w:rFonts w:ascii="Palatino Linotype" w:eastAsia="Palatino Linotype" w:hAnsi="Palatino Linotype" w:cs="Palatino Linotype"/>
          <w:b/>
        </w:rPr>
        <w:t xml:space="preserve">Recurrente, </w:t>
      </w:r>
      <w:r w:rsidRPr="00B00E88">
        <w:rPr>
          <w:rFonts w:ascii="Palatino Linotype" w:eastAsia="Palatino Linotype" w:hAnsi="Palatino Linotype" w:cs="Palatino Linotype"/>
        </w:rPr>
        <w:t xml:space="preserve">fue omisa en hacer valer manifestaciones o rendir alegatos que conforme a derecho resultaran procedentes, por lo </w:t>
      </w:r>
      <w:proofErr w:type="gramStart"/>
      <w:r w:rsidRPr="00B00E88">
        <w:rPr>
          <w:rFonts w:ascii="Palatino Linotype" w:eastAsia="Palatino Linotype" w:hAnsi="Palatino Linotype" w:cs="Palatino Linotype"/>
        </w:rPr>
        <w:t>tanto</w:t>
      </w:r>
      <w:proofErr w:type="gramEnd"/>
      <w:r w:rsidRPr="00B00E88">
        <w:rPr>
          <w:rFonts w:ascii="Palatino Linotype" w:eastAsia="Palatino Linotype" w:hAnsi="Palatino Linotype" w:cs="Palatino Linotype"/>
        </w:rPr>
        <w:t xml:space="preserve"> se tiene por precluido su derecho.</w:t>
      </w:r>
    </w:p>
    <w:p w14:paraId="6202AD72" w14:textId="77777777" w:rsidR="000E09EA" w:rsidRPr="00B00E88" w:rsidRDefault="00F00C13">
      <w:pPr>
        <w:spacing w:before="280" w:after="28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 xml:space="preserve">en contraposición con el motivo de inconformidad alegado por la parte </w:t>
      </w:r>
      <w:r w:rsidRPr="00B00E88">
        <w:rPr>
          <w:rFonts w:ascii="Palatino Linotype" w:eastAsia="Palatino Linotype" w:hAnsi="Palatino Linotype" w:cs="Palatino Linotype"/>
          <w:b/>
        </w:rPr>
        <w:t xml:space="preserve">Recurrente, </w:t>
      </w:r>
      <w:r w:rsidRPr="00B00E88">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1BC4E135" w14:textId="77777777" w:rsidR="000E09EA" w:rsidRPr="00B00E88" w:rsidRDefault="00F00C13">
      <w:pPr>
        <w:spacing w:before="240" w:after="240" w:line="360" w:lineRule="auto"/>
        <w:ind w:right="49"/>
        <w:jc w:val="both"/>
        <w:rPr>
          <w:rFonts w:ascii="Palatino Linotype" w:eastAsia="Palatino Linotype" w:hAnsi="Palatino Linotype" w:cs="Palatino Linotype"/>
        </w:rPr>
      </w:pPr>
      <w:r w:rsidRPr="00B00E88">
        <w:rPr>
          <w:rFonts w:ascii="Palatino Linotype" w:eastAsia="Palatino Linotype" w:hAnsi="Palatino Linotype" w:cs="Palatino Linotype"/>
        </w:rPr>
        <w:t>Por otro lado,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6B006C38"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A448281"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14F408B"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86BD861" w14:textId="77777777" w:rsidR="000E09EA" w:rsidRPr="00B00E88" w:rsidRDefault="00F00C13">
      <w:pPr>
        <w:spacing w:before="280" w:after="28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w:t>
      </w:r>
      <w:r w:rsidRPr="00B00E88">
        <w:rPr>
          <w:rFonts w:ascii="Palatino Linotype" w:eastAsia="Palatino Linotype" w:hAnsi="Palatino Linotype" w:cs="Palatino Linotype"/>
        </w:rPr>
        <w:lastRenderedPageBreak/>
        <w:t>Transparencia, turnó la solicitud de información a la Dirección de las Mujeres como la dependencia responsable para conocer de la información que es del interés de la persona solicitante.</w:t>
      </w:r>
    </w:p>
    <w:p w14:paraId="3C58F0CF" w14:textId="77777777" w:rsidR="000E09EA" w:rsidRPr="00B00E88" w:rsidRDefault="00F00C13">
      <w:pPr>
        <w:spacing w:before="240" w:after="240" w:line="360" w:lineRule="auto"/>
        <w:ind w:right="49"/>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Como sustento a lo anterior, es oportuno mencionar que de conformidad con el artículo 96 </w:t>
      </w:r>
      <w:proofErr w:type="spellStart"/>
      <w:r w:rsidRPr="00B00E88">
        <w:rPr>
          <w:rFonts w:ascii="Palatino Linotype" w:eastAsia="Palatino Linotype" w:hAnsi="Palatino Linotype" w:cs="Palatino Linotype"/>
        </w:rPr>
        <w:t>Quaterdecies</w:t>
      </w:r>
      <w:proofErr w:type="spellEnd"/>
      <w:r w:rsidRPr="00B00E88">
        <w:rPr>
          <w:rFonts w:ascii="Palatino Linotype" w:eastAsia="Palatino Linotype" w:hAnsi="Palatino Linotype" w:cs="Palatino Linotype"/>
        </w:rPr>
        <w:t xml:space="preserve"> de la Ley Orgánica Municipal del Estado de México, la Dirección de las Mujeres tiene las siguientes atribuciones, en su parte conducente</w:t>
      </w:r>
    </w:p>
    <w:p w14:paraId="3B1B05E6" w14:textId="77777777" w:rsidR="000E09EA" w:rsidRPr="00B00E88" w:rsidRDefault="00F00C13">
      <w:pPr>
        <w:spacing w:before="240" w:after="240" w:line="360" w:lineRule="auto"/>
        <w:ind w:left="142" w:right="49"/>
        <w:jc w:val="both"/>
        <w:rPr>
          <w:rFonts w:ascii="Palatino Linotype" w:eastAsia="Palatino Linotype" w:hAnsi="Palatino Linotype" w:cs="Palatino Linotype"/>
        </w:rPr>
      </w:pPr>
      <w:r w:rsidRPr="00B00E88">
        <w:rPr>
          <w:rFonts w:ascii="Palatino Linotype" w:eastAsia="Palatino Linotype" w:hAnsi="Palatino Linotype" w:cs="Palatino Linotype"/>
        </w:rPr>
        <w:t>- Proponer, coordinar y ejecutar las políticas públicas, programas y acciones que aseguren la igualdad y la no discriminación hacia las mujeres en sus distintas etapas de la vida, desde una perspectiva transversal e interseccional y con enfoque de derechos humanos;</w:t>
      </w:r>
    </w:p>
    <w:p w14:paraId="16BE1416" w14:textId="77777777" w:rsidR="000E09EA" w:rsidRPr="00B00E88" w:rsidRDefault="00F00C13">
      <w:pPr>
        <w:spacing w:before="240" w:after="240" w:line="360" w:lineRule="auto"/>
        <w:ind w:left="142" w:right="49"/>
        <w:jc w:val="both"/>
        <w:rPr>
          <w:rFonts w:ascii="Palatino Linotype" w:eastAsia="Palatino Linotype" w:hAnsi="Palatino Linotype" w:cs="Palatino Linotype"/>
        </w:rPr>
      </w:pPr>
      <w:r w:rsidRPr="00B00E88">
        <w:rPr>
          <w:rFonts w:ascii="Palatino Linotype" w:eastAsia="Palatino Linotype" w:hAnsi="Palatino Linotype" w:cs="Palatino Linotype"/>
        </w:rPr>
        <w:t>- Brindar orientación, atención de primer nivel, asesoramiento y acompañamiento multidisciplinarios y, en su caso, la canalización correspondiente de las niñas, adolescentes y mujeres, víctimas de violencia, que tengan acercamiento a la Dirección;</w:t>
      </w:r>
    </w:p>
    <w:p w14:paraId="15154711" w14:textId="77777777" w:rsidR="000E09EA" w:rsidRPr="00B00E88" w:rsidRDefault="00F00C13">
      <w:pPr>
        <w:spacing w:before="240" w:after="240" w:line="360" w:lineRule="auto"/>
        <w:ind w:left="142" w:right="49"/>
        <w:jc w:val="both"/>
        <w:rPr>
          <w:rFonts w:ascii="Palatino Linotype" w:eastAsia="Palatino Linotype" w:hAnsi="Palatino Linotype" w:cs="Palatino Linotype"/>
        </w:rPr>
      </w:pPr>
      <w:r w:rsidRPr="00B00E88">
        <w:rPr>
          <w:rFonts w:ascii="Palatino Linotype" w:eastAsia="Palatino Linotype" w:hAnsi="Palatino Linotype" w:cs="Palatino Linotype"/>
        </w:rPr>
        <w:t>- Fungir, a través de su titular, como coordinadora para el seguimiento, cumplimiento y evaluación de las acciones para mitigar las Declaratorias de Alerta de Violencia de Género contra las Mujeres;</w:t>
      </w:r>
    </w:p>
    <w:p w14:paraId="6C541E0E" w14:textId="77777777" w:rsidR="000E09EA" w:rsidRPr="00B00E88" w:rsidRDefault="00F00C13">
      <w:pPr>
        <w:spacing w:before="240" w:after="240" w:line="360" w:lineRule="auto"/>
        <w:ind w:left="142" w:right="49"/>
        <w:jc w:val="both"/>
        <w:rPr>
          <w:rFonts w:ascii="Palatino Linotype" w:eastAsia="Palatino Linotype" w:hAnsi="Palatino Linotype" w:cs="Palatino Linotype"/>
        </w:rPr>
      </w:pPr>
      <w:r w:rsidRPr="00B00E88">
        <w:rPr>
          <w:rFonts w:ascii="Palatino Linotype" w:eastAsia="Palatino Linotype" w:hAnsi="Palatino Linotype" w:cs="Palatino Linotype"/>
        </w:rPr>
        <w:t>- Promover y coordinar la profesionalización permanente del personal de la administración municipal en los temas de prevención, atención integral y erradicación de la violencia contra las niñas, adolescentes y mujeres, igualdad sustantiva o materias afines;</w:t>
      </w:r>
    </w:p>
    <w:p w14:paraId="7211F8D7" w14:textId="77777777" w:rsidR="000E09EA" w:rsidRPr="00B00E88" w:rsidRDefault="00F00C13">
      <w:pPr>
        <w:spacing w:before="240" w:after="240" w:line="360" w:lineRule="auto"/>
        <w:ind w:left="142" w:right="49"/>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 Proponer, coordinar y ejecutar las políticas públicas, programas y acciones que aseguren la igualdad y la no discriminación hacia las mujeres en sus distintas etapas de la vida, desde una perspectiva transversal e interseccional y con enfoque de derechos humanos;</w:t>
      </w:r>
    </w:p>
    <w:p w14:paraId="368456C1" w14:textId="77777777" w:rsidR="000E09EA" w:rsidRPr="00B00E88" w:rsidRDefault="00F00C13">
      <w:pPr>
        <w:spacing w:before="240" w:after="240" w:line="360" w:lineRule="auto"/>
        <w:ind w:left="142" w:right="49"/>
        <w:jc w:val="both"/>
        <w:rPr>
          <w:rFonts w:ascii="Palatino Linotype" w:eastAsia="Palatino Linotype" w:hAnsi="Palatino Linotype" w:cs="Palatino Linotype"/>
        </w:rPr>
      </w:pPr>
      <w:r w:rsidRPr="00B00E88">
        <w:rPr>
          <w:rFonts w:ascii="Palatino Linotype" w:eastAsia="Palatino Linotype" w:hAnsi="Palatino Linotype" w:cs="Palatino Linotype"/>
        </w:rPr>
        <w:t>- Brindar capacitación y asesoría, en materia de derechos humanos de las mujeres, igualdad, no discriminación, así como los tipos y las modalidades de la violencia contra las mujeres, en sus distintas etapas de la vida;</w:t>
      </w:r>
    </w:p>
    <w:p w14:paraId="0E00ED54"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Por su parte, el artículo 74 del Bando Municipal de Atizapán de Zaragoza dispone que la Dirección de las Mujeres será la encargada de realizar, planear, coordinar y dirigir acciones, programas y proyectos en materia de atención integral de las mujeres, fomentando la igualdad de género, buscando la prevención y erradicación de las violencias a las niñas, adolescentes y mujeres para el ejercicio pleno de sus derechos, a través de la transversalización de la perspectiva de género en la administración pública municipal. </w:t>
      </w:r>
    </w:p>
    <w:p w14:paraId="549D605E" w14:textId="77777777" w:rsidR="000E09EA" w:rsidRPr="00B00E88" w:rsidRDefault="00F00C13">
      <w:pPr>
        <w:tabs>
          <w:tab w:val="left" w:pos="3544"/>
        </w:tabs>
        <w:spacing w:before="240" w:after="240" w:line="360" w:lineRule="auto"/>
        <w:ind w:right="49"/>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Atento a lo anterior, se colige que si bien la Dirección de las Mujeres cuenta con atribuciones para conocer de la información solicitada por la parte </w:t>
      </w:r>
      <w:r w:rsidRPr="00B00E88">
        <w:rPr>
          <w:rFonts w:ascii="Palatino Linotype" w:eastAsia="Palatino Linotype" w:hAnsi="Palatino Linotype" w:cs="Palatino Linotype"/>
          <w:b/>
        </w:rPr>
        <w:t>Recurrente</w:t>
      </w:r>
      <w:r w:rsidRPr="00B00E88">
        <w:rPr>
          <w:rFonts w:ascii="Palatino Linotype" w:eastAsia="Palatino Linotype" w:hAnsi="Palatino Linotype" w:cs="Palatino Linotype"/>
        </w:rPr>
        <w:t xml:space="preserve">, la Unidad de Transparencia NO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w:t>
      </w:r>
      <w:r w:rsidRPr="00B00E88">
        <w:rPr>
          <w:rFonts w:ascii="Palatino Linotype" w:eastAsia="Palatino Linotype" w:hAnsi="Palatino Linotype" w:cs="Palatino Linotype"/>
        </w:rPr>
        <w:lastRenderedPageBreak/>
        <w:t>gratuidad del procedimiento, auxilio y orientación a las personas solicitantes con el fin de otorgar la protección más amplia de este derecho.</w:t>
      </w:r>
    </w:p>
    <w:p w14:paraId="3486E079" w14:textId="77777777" w:rsidR="000E09EA" w:rsidRPr="00B00E88" w:rsidRDefault="00F00C13">
      <w:pPr>
        <w:tabs>
          <w:tab w:val="left" w:pos="3544"/>
        </w:tabs>
        <w:spacing w:before="240" w:after="240" w:line="360" w:lineRule="auto"/>
        <w:ind w:right="49"/>
        <w:jc w:val="both"/>
        <w:rPr>
          <w:rFonts w:ascii="Palatino Linotype" w:eastAsia="Palatino Linotype" w:hAnsi="Palatino Linotype" w:cs="Palatino Linotype"/>
          <w:b/>
        </w:rPr>
      </w:pPr>
      <w:r w:rsidRPr="00B00E88">
        <w:rPr>
          <w:rFonts w:ascii="Palatino Linotype" w:eastAsia="Palatino Linotype" w:hAnsi="Palatino Linotype" w:cs="Palatino Linotype"/>
        </w:rPr>
        <w:t xml:space="preserve">Lo anterior se </w:t>
      </w:r>
      <w:proofErr w:type="gramStart"/>
      <w:r w:rsidRPr="00B00E88">
        <w:rPr>
          <w:rFonts w:ascii="Palatino Linotype" w:eastAsia="Palatino Linotype" w:hAnsi="Palatino Linotype" w:cs="Palatino Linotype"/>
        </w:rPr>
        <w:t>afirma  así</w:t>
      </w:r>
      <w:proofErr w:type="gramEnd"/>
      <w:r w:rsidRPr="00B00E88">
        <w:rPr>
          <w:rFonts w:ascii="Palatino Linotype" w:eastAsia="Palatino Linotype" w:hAnsi="Palatino Linotype" w:cs="Palatino Linotype"/>
        </w:rPr>
        <w:t xml:space="preserve"> en virtud de que la solicitud no fue turnada a todas las áreas que de acuerdo con sus competencias pudieran contar con información relacionada con la materia de la solicitud, como lo es la Dirección de Seguridad Pública y Seguridad Vial, de manera enunciativa más no limitativa, a través del Centro de Control, Comando, Comunicaciones y Cómputo (C4), tal y como se desprende de la misma página oficial del </w:t>
      </w:r>
      <w:r w:rsidRPr="00B00E88">
        <w:rPr>
          <w:rFonts w:ascii="Palatino Linotype" w:eastAsia="Palatino Linotype" w:hAnsi="Palatino Linotype" w:cs="Palatino Linotype"/>
          <w:b/>
        </w:rPr>
        <w:t>Sujeto Obligado:</w:t>
      </w:r>
    </w:p>
    <w:p w14:paraId="355E5222" w14:textId="77777777" w:rsidR="000E09EA" w:rsidRPr="00B00E88" w:rsidRDefault="00F00C13">
      <w:pPr>
        <w:tabs>
          <w:tab w:val="left" w:pos="3544"/>
        </w:tabs>
        <w:spacing w:before="240" w:after="240" w:line="360" w:lineRule="auto"/>
        <w:ind w:right="49"/>
        <w:jc w:val="both"/>
        <w:rPr>
          <w:rFonts w:ascii="Palatino Linotype" w:eastAsia="Palatino Linotype" w:hAnsi="Palatino Linotype" w:cs="Palatino Linotype"/>
          <w:b/>
        </w:rPr>
      </w:pPr>
      <w:r w:rsidRPr="00B00E88">
        <w:rPr>
          <w:rFonts w:ascii="Palatino Linotype" w:eastAsia="Palatino Linotype" w:hAnsi="Palatino Linotype" w:cs="Palatino Linotype"/>
          <w:noProof/>
        </w:rPr>
        <w:drawing>
          <wp:inline distT="0" distB="0" distL="0" distR="0" wp14:anchorId="556670DE" wp14:editId="5604C9B1">
            <wp:extent cx="5612130" cy="3086100"/>
            <wp:effectExtent l="0" t="0" r="0" b="0"/>
            <wp:docPr id="4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3086100"/>
                    </a:xfrm>
                    <a:prstGeom prst="rect">
                      <a:avLst/>
                    </a:prstGeom>
                    <a:ln/>
                  </pic:spPr>
                </pic:pic>
              </a:graphicData>
            </a:graphic>
          </wp:inline>
        </w:drawing>
      </w:r>
      <w:r w:rsidRPr="00B00E88">
        <w:rPr>
          <w:noProof/>
        </w:rPr>
        <mc:AlternateContent>
          <mc:Choice Requires="wpg">
            <w:drawing>
              <wp:anchor distT="0" distB="0" distL="114300" distR="114300" simplePos="0" relativeHeight="251658240" behindDoc="0" locked="0" layoutInCell="1" hidden="0" allowOverlap="1" wp14:anchorId="10BA6B5D" wp14:editId="5AB57D04">
                <wp:simplePos x="0" y="0"/>
                <wp:positionH relativeFrom="column">
                  <wp:posOffset>736600</wp:posOffset>
                </wp:positionH>
                <wp:positionV relativeFrom="paragraph">
                  <wp:posOffset>1638300</wp:posOffset>
                </wp:positionV>
                <wp:extent cx="1647825" cy="923925"/>
                <wp:effectExtent l="0" t="0" r="0" b="0"/>
                <wp:wrapNone/>
                <wp:docPr id="41" name="Rectángulo 41"/>
                <wp:cNvGraphicFramePr/>
                <a:graphic xmlns:a="http://schemas.openxmlformats.org/drawingml/2006/main">
                  <a:graphicData uri="http://schemas.microsoft.com/office/word/2010/wordprocessingShape">
                    <wps:wsp>
                      <wps:cNvSpPr/>
                      <wps:spPr>
                        <a:xfrm>
                          <a:off x="4560188" y="3356138"/>
                          <a:ext cx="1571625" cy="847725"/>
                        </a:xfrm>
                        <a:prstGeom prst="rect">
                          <a:avLst/>
                        </a:prstGeom>
                        <a:noFill/>
                        <a:ln w="76200" cap="flat" cmpd="sng">
                          <a:solidFill>
                            <a:schemeClr val="dk2"/>
                          </a:solidFill>
                          <a:prstDash val="solid"/>
                          <a:round/>
                          <a:headEnd type="none" w="sm" len="sm"/>
                          <a:tailEnd type="none" w="sm" len="sm"/>
                        </a:ln>
                      </wps:spPr>
                      <wps:txbx>
                        <w:txbxContent>
                          <w:p w14:paraId="1AB564B3" w14:textId="77777777" w:rsidR="000E09EA" w:rsidRDefault="000E09EA">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1638300</wp:posOffset>
                </wp:positionV>
                <wp:extent cx="1647825" cy="923925"/>
                <wp:effectExtent b="0" l="0" r="0" t="0"/>
                <wp:wrapNone/>
                <wp:docPr id="4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647825" cy="923925"/>
                        </a:xfrm>
                        <a:prstGeom prst="rect"/>
                        <a:ln/>
                      </pic:spPr>
                    </pic:pic>
                  </a:graphicData>
                </a:graphic>
              </wp:anchor>
            </w:drawing>
          </mc:Fallback>
        </mc:AlternateContent>
      </w:r>
    </w:p>
    <w:p w14:paraId="7E81A376"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Al respecto es de precisar que la Conmemoración del Día Naranja el día 25 de cada mes, es una iniciativa de la Organización de las Naciones Unidas, ONU, para </w:t>
      </w:r>
      <w:r w:rsidRPr="00B00E88">
        <w:rPr>
          <w:rFonts w:ascii="Palatino Linotype" w:eastAsia="Palatino Linotype" w:hAnsi="Palatino Linotype" w:cs="Palatino Linotype"/>
          <w:b/>
          <w:u w:val="single"/>
        </w:rPr>
        <w:t>generar conciencia y prevenir la violencia contra las mujeres y niñas</w:t>
      </w:r>
      <w:r w:rsidRPr="00B00E88">
        <w:rPr>
          <w:rFonts w:ascii="Palatino Linotype" w:eastAsia="Palatino Linotype" w:hAnsi="Palatino Linotype" w:cs="Palatino Linotype"/>
        </w:rPr>
        <w:t xml:space="preserve">, y como una política pública municipal para atender y erradicar las distintas modalidades de </w:t>
      </w:r>
      <w:r w:rsidRPr="00B00E88">
        <w:rPr>
          <w:rFonts w:ascii="Palatino Linotype" w:eastAsia="Palatino Linotype" w:hAnsi="Palatino Linotype" w:cs="Palatino Linotype"/>
        </w:rPr>
        <w:lastRenderedPageBreak/>
        <w:t>violencia en contra de las mujeres y niñas, el ayuntamiento brinda auxilio a través del Centro de Control, Comando, Comunicaciones y Cómputo (C4) y la Dirección de las Mujeres, como se vislumbra en la imagen anterior.</w:t>
      </w:r>
    </w:p>
    <w:p w14:paraId="4E68E026"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De igual forma, no obsta mencionar </w:t>
      </w:r>
      <w:proofErr w:type="gramStart"/>
      <w:r w:rsidRPr="00B00E88">
        <w:rPr>
          <w:rFonts w:ascii="Palatino Linotype" w:eastAsia="Palatino Linotype" w:hAnsi="Palatino Linotype" w:cs="Palatino Linotype"/>
        </w:rPr>
        <w:t>que</w:t>
      </w:r>
      <w:proofErr w:type="gramEnd"/>
      <w:r w:rsidRPr="00B00E88">
        <w:rPr>
          <w:rFonts w:ascii="Palatino Linotype" w:eastAsia="Palatino Linotype" w:hAnsi="Palatino Linotype" w:cs="Palatino Linotype"/>
        </w:rPr>
        <w:t xml:space="preserve"> de conformidad con el Reglamento Interno de la Dirección de Seguridad Pública y Tránsito Municipal vigente, la Dirección de Seguridad Pública se auxilia de la Subdirección de prevención del Delito, la cual cuenta con el Departamento de Prevención del Delito, la Unidad de Atención a Víctimas de Violencia Familiar y de Género, la Policía de Género, entre otras.</w:t>
      </w:r>
    </w:p>
    <w:p w14:paraId="286BFC6E"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El Departamento de Prevención del Delito, en términos del artículo 29 del Reglamento Interno de la Dirección de Seguridad Pública y Tránsito Municipal vigente es responsable de lo siguiente:</w:t>
      </w:r>
    </w:p>
    <w:p w14:paraId="51BFCDA5"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Dar atención a las víctimas de violencia familiar y de género;</w:t>
      </w:r>
    </w:p>
    <w:p w14:paraId="464109EF"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Dar asesoría jurídica a la víctima u ofendido que, de manera directa o indirecta, individual o colectiva, acudan a la Subdirección de Prevención del Delito, y según sea el caso en particular, proteger a la víctima a presentar su denuncia o querella ante la Autoridad competente;</w:t>
      </w:r>
    </w:p>
    <w:p w14:paraId="4826EB3E"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Realizar acciones que contribuyan a la protección de las personas que hubiesen resultado afectadas por la comisión de un delito, proporcionando servicios gratuitos;</w:t>
      </w:r>
    </w:p>
    <w:p w14:paraId="181B8610"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Detectar a víctimas de cualquier tipo de violencia y canalizar a la Unidad de Atención de Víctimas de Violencia Familiar y de Género para su atención;</w:t>
      </w:r>
    </w:p>
    <w:p w14:paraId="72F2D3CC"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Por otro lado, la Policía de Género, de conformidad con el artículo 33 del Reglamento Interno en consulta, tiene a su cargo las siguientes atribuciones en su parte conducente:</w:t>
      </w:r>
    </w:p>
    <w:p w14:paraId="68B43DF5"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 </w:t>
      </w:r>
      <w:r w:rsidRPr="00B00E88">
        <w:rPr>
          <w:rFonts w:ascii="Palatino Linotype" w:eastAsia="Palatino Linotype" w:hAnsi="Palatino Linotype" w:cs="Palatino Linotype"/>
          <w:b/>
        </w:rPr>
        <w:t>Identificar de manera oportuna los casos de violencia;</w:t>
      </w:r>
      <w:r w:rsidRPr="00B00E88">
        <w:rPr>
          <w:rFonts w:ascii="Palatino Linotype" w:eastAsia="Palatino Linotype" w:hAnsi="Palatino Linotype" w:cs="Palatino Linotype"/>
        </w:rPr>
        <w:t xml:space="preserve"> </w:t>
      </w:r>
    </w:p>
    <w:p w14:paraId="65B9BBCA"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 Implementar acciones a la protección y seguridad de la o las víctimas; </w:t>
      </w:r>
    </w:p>
    <w:p w14:paraId="216621C8"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Identificar las principales necesidades de la o las víctimas, situaciones o problemas asociados a su situación para brindar apoyo necesario e inmediato;</w:t>
      </w:r>
    </w:p>
    <w:p w14:paraId="662AB09F"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 Orientar y dar a conocer a la víctima alternativas institucionales o sociales que apoyen el enfrentamiento de su situación de violencia; </w:t>
      </w:r>
    </w:p>
    <w:p w14:paraId="0EC6C218"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 Evitar una segunda victimización al presentarles un trato y auxilio inmediato respetuoso y digno; y </w:t>
      </w:r>
    </w:p>
    <w:p w14:paraId="7A10CFA2" w14:textId="77777777" w:rsidR="000E09EA" w:rsidRPr="00B00E88" w:rsidRDefault="00F00C13">
      <w:pPr>
        <w:spacing w:before="240" w:after="240" w:line="360" w:lineRule="auto"/>
        <w:ind w:left="142" w:right="51"/>
        <w:jc w:val="both"/>
        <w:rPr>
          <w:rFonts w:ascii="Palatino Linotype" w:eastAsia="Palatino Linotype" w:hAnsi="Palatino Linotype" w:cs="Palatino Linotype"/>
        </w:rPr>
      </w:pPr>
      <w:r w:rsidRPr="00B00E88">
        <w:rPr>
          <w:rFonts w:ascii="Palatino Linotype" w:eastAsia="Palatino Linotype" w:hAnsi="Palatino Linotype" w:cs="Palatino Linotype"/>
        </w:rPr>
        <w:t>- Salvaguardar la integridad física emocional y sexual mediante acciones de seguimiento que prevengan actos futuros de violencia familiar y/o posibiliten una intervención inmediata.</w:t>
      </w:r>
    </w:p>
    <w:p w14:paraId="71FA6D8A"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Asimismo, es oportuno traer a colación lo establecido en el artículo 52 de la Ley de Acceso de las Mujeres a una Vida Libre de Violencia del Estado de México, donde se delimita la competencia de los municipios en materia de prevención, atención, sanción y erradicación de la violencia de género, mismo que en su parte conducente señala lo siguiente:</w:t>
      </w:r>
    </w:p>
    <w:p w14:paraId="2F49325B"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lastRenderedPageBreak/>
        <w:t>“Artículo 54.-</w:t>
      </w:r>
      <w:r w:rsidRPr="00B00E88">
        <w:rPr>
          <w:rFonts w:ascii="Palatino Linotype" w:eastAsia="Palatino Linotype" w:hAnsi="Palatino Linotype" w:cs="Palatino Linotype"/>
          <w:i/>
          <w:sz w:val="22"/>
          <w:szCs w:val="22"/>
        </w:rPr>
        <w:t xml:space="preserve"> Corresponde a los municipios, en materia de prevención, atención, sanción y erradicación de la violencia de género:</w:t>
      </w:r>
    </w:p>
    <w:p w14:paraId="261DA434"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w:t>
      </w:r>
      <w:r w:rsidRPr="00B00E88">
        <w:rPr>
          <w:rFonts w:ascii="Palatino Linotype" w:eastAsia="Palatino Linotype" w:hAnsi="Palatino Linotype" w:cs="Palatino Linotype"/>
          <w:i/>
          <w:sz w:val="22"/>
          <w:szCs w:val="22"/>
        </w:rPr>
        <w:t xml:space="preserve">. Coordinar medidas y acciones con el Gobierno Estatal en la integración y funcionamiento del Sistema Municipal, así como con el mecanismo. </w:t>
      </w:r>
    </w:p>
    <w:p w14:paraId="5A311BE2"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w:t>
      </w:r>
      <w:r w:rsidRPr="00B00E88">
        <w:rPr>
          <w:rFonts w:ascii="Palatino Linotype" w:eastAsia="Palatino Linotype" w:hAnsi="Palatino Linotype" w:cs="Palatino Linotype"/>
          <w:i/>
          <w:sz w:val="22"/>
          <w:szCs w:val="22"/>
        </w:rPr>
        <w:t>. Instrumentar y articular, en concordancia con la política Estatal, la política Municipal orientada a erradicar la violencia contra niñas, adolescentes y mujeres;</w:t>
      </w:r>
    </w:p>
    <w:p w14:paraId="29078166"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III.</w:t>
      </w:r>
      <w:r w:rsidRPr="00B00E88">
        <w:rPr>
          <w:rFonts w:ascii="Palatino Linotype" w:eastAsia="Palatino Linotype" w:hAnsi="Palatino Linotype" w:cs="Palatino Linotype"/>
          <w:i/>
          <w:sz w:val="22"/>
          <w:szCs w:val="22"/>
        </w:rPr>
        <w:t xml:space="preserve"> </w:t>
      </w:r>
      <w:r w:rsidRPr="00B00E88">
        <w:rPr>
          <w:rFonts w:ascii="Palatino Linotype" w:eastAsia="Palatino Linotype" w:hAnsi="Palatino Linotype" w:cs="Palatino Linotype"/>
          <w:b/>
          <w:i/>
          <w:sz w:val="22"/>
          <w:szCs w:val="22"/>
        </w:rPr>
        <w:t xml:space="preserve">Garantizar la formación, especialización y actualización constante de las personas que integran la </w:t>
      </w:r>
      <w:r w:rsidRPr="00B00E88">
        <w:rPr>
          <w:rFonts w:ascii="Palatino Linotype" w:eastAsia="Palatino Linotype" w:hAnsi="Palatino Linotype" w:cs="Palatino Linotype"/>
          <w:b/>
          <w:i/>
          <w:sz w:val="22"/>
          <w:szCs w:val="22"/>
          <w:u w:val="single"/>
        </w:rPr>
        <w:t>corporación policíaca</w:t>
      </w:r>
      <w:r w:rsidRPr="00B00E88">
        <w:rPr>
          <w:rFonts w:ascii="Palatino Linotype" w:eastAsia="Palatino Linotype" w:hAnsi="Palatino Linotype" w:cs="Palatino Linotype"/>
          <w:i/>
          <w:sz w:val="22"/>
          <w:szCs w:val="22"/>
        </w:rPr>
        <w:t xml:space="preserve"> para el cumplimiento eficiente de sus responsabilidades;</w:t>
      </w:r>
    </w:p>
    <w:p w14:paraId="1FFBE6CC"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IV.</w:t>
      </w:r>
      <w:r w:rsidRPr="00B00E88">
        <w:rPr>
          <w:rFonts w:ascii="Palatino Linotype" w:eastAsia="Palatino Linotype" w:hAnsi="Palatino Linotype" w:cs="Palatino Linotype"/>
          <w:i/>
          <w:sz w:val="22"/>
          <w:szCs w:val="22"/>
        </w:rPr>
        <w:t xml:space="preserve"> </w:t>
      </w:r>
      <w:r w:rsidRPr="00B00E88">
        <w:rPr>
          <w:rFonts w:ascii="Palatino Linotype" w:eastAsia="Palatino Linotype" w:hAnsi="Palatino Linotype" w:cs="Palatino Linotype"/>
          <w:b/>
          <w:i/>
          <w:sz w:val="22"/>
          <w:szCs w:val="22"/>
        </w:rPr>
        <w:t xml:space="preserve">Garantizar que la </w:t>
      </w:r>
      <w:r w:rsidRPr="00B00E88">
        <w:rPr>
          <w:rFonts w:ascii="Palatino Linotype" w:eastAsia="Palatino Linotype" w:hAnsi="Palatino Linotype" w:cs="Palatino Linotype"/>
          <w:b/>
          <w:i/>
          <w:sz w:val="22"/>
          <w:szCs w:val="22"/>
          <w:u w:val="single"/>
        </w:rPr>
        <w:t>corporación policiaca</w:t>
      </w:r>
      <w:r w:rsidRPr="00B00E88">
        <w:rPr>
          <w:rFonts w:ascii="Palatino Linotype" w:eastAsia="Palatino Linotype" w:hAnsi="Palatino Linotype" w:cs="Palatino Linotype"/>
          <w:b/>
          <w:i/>
          <w:sz w:val="22"/>
          <w:szCs w:val="22"/>
        </w:rPr>
        <w:t xml:space="preserve"> actúe con diligencia en la ejecución de las Órdenes de Protección de Emergencia y de Prevención, así como el estricto cumplimiento en la ejecución de los Protocolos de Actuación Policial</w:t>
      </w:r>
      <w:r w:rsidRPr="00B00E88">
        <w:rPr>
          <w:rFonts w:ascii="Palatino Linotype" w:eastAsia="Palatino Linotype" w:hAnsi="Palatino Linotype" w:cs="Palatino Linotype"/>
          <w:i/>
          <w:sz w:val="22"/>
          <w:szCs w:val="22"/>
        </w:rPr>
        <w:t>.</w:t>
      </w:r>
    </w:p>
    <w:p w14:paraId="1DD1D131"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p>
    <w:p w14:paraId="1552F74E"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X. Ter</w:t>
      </w:r>
      <w:r w:rsidRPr="00B00E88">
        <w:rPr>
          <w:rFonts w:ascii="Palatino Linotype" w:eastAsia="Palatino Linotype" w:hAnsi="Palatino Linotype" w:cs="Palatino Linotype"/>
          <w:i/>
          <w:sz w:val="22"/>
          <w:szCs w:val="22"/>
        </w:rPr>
        <w:t>.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p>
    <w:p w14:paraId="2AE62F26"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p>
    <w:p w14:paraId="5BAB870A"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XIV</w:t>
      </w:r>
      <w:r w:rsidRPr="00B00E88">
        <w:rPr>
          <w:rFonts w:ascii="Palatino Linotype" w:eastAsia="Palatino Linotype" w:hAnsi="Palatino Linotype" w:cs="Palatino Linotype"/>
          <w:i/>
          <w:sz w:val="22"/>
          <w:szCs w:val="22"/>
        </w:rPr>
        <w:t>. Conformar y garantizar la especialización y actualización constante de células de reacción inmediata, así como de células para la búsqueda y localización de niñas, adolescentes y mujeres desaparecidas dentro de su territorio de conformidad con los protocolos que al efecto se emitan.</w:t>
      </w:r>
    </w:p>
    <w:p w14:paraId="5E687A59"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XV</w:t>
      </w:r>
      <w:r w:rsidRPr="00B00E88">
        <w:rPr>
          <w:rFonts w:ascii="Palatino Linotype" w:eastAsia="Palatino Linotype" w:hAnsi="Palatino Linotype" w:cs="Palatino Linotype"/>
          <w:i/>
          <w:sz w:val="22"/>
          <w:szCs w:val="22"/>
        </w:rPr>
        <w:t xml:space="preserve">. Establecer programas de capacitación dirigidos a las y los servidores públicos municipales en materia de prevención, atención, sanción y erradicación de la violencia de género, así como en temas de igualdad, equidad y perspectiva de género. </w:t>
      </w:r>
    </w:p>
    <w:p w14:paraId="692AA1DD"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XVI.</w:t>
      </w:r>
      <w:r w:rsidRPr="00B00E88">
        <w:rPr>
          <w:rFonts w:ascii="Palatino Linotype" w:eastAsia="Palatino Linotype" w:hAnsi="Palatino Linotype" w:cs="Palatino Linotype"/>
          <w:i/>
          <w:sz w:val="22"/>
          <w:szCs w:val="22"/>
        </w:rPr>
        <w:t xml:space="preserve"> Crear, operar y mantener actualizada una página web de acceso público, donde se brinde información sobre los servicios que se ofrecen por parte del municipio en materia de violencia de género y atención a víctimas.</w:t>
      </w:r>
    </w:p>
    <w:p w14:paraId="23908CF4" w14:textId="77777777" w:rsidR="000E09EA" w:rsidRPr="00B00E88" w:rsidRDefault="00F00C13">
      <w:pPr>
        <w:spacing w:before="120" w:after="120"/>
        <w:ind w:left="1134" w:right="902"/>
        <w:jc w:val="both"/>
        <w:rPr>
          <w:rFonts w:ascii="Palatino Linotype" w:eastAsia="Palatino Linotype" w:hAnsi="Palatino Linotype" w:cs="Palatino Linotype"/>
          <w:b/>
          <w:i/>
          <w:sz w:val="22"/>
          <w:szCs w:val="22"/>
          <w:u w:val="single"/>
        </w:rPr>
      </w:pPr>
      <w:r w:rsidRPr="00B00E88">
        <w:rPr>
          <w:rFonts w:ascii="Palatino Linotype" w:eastAsia="Palatino Linotype" w:hAnsi="Palatino Linotype" w:cs="Palatino Linotype"/>
          <w:b/>
          <w:i/>
          <w:sz w:val="22"/>
          <w:szCs w:val="22"/>
        </w:rPr>
        <w:lastRenderedPageBreak/>
        <w:t>XVII.</w:t>
      </w:r>
      <w:r w:rsidRPr="00B00E88">
        <w:rPr>
          <w:rFonts w:ascii="Palatino Linotype" w:eastAsia="Palatino Linotype" w:hAnsi="Palatino Linotype" w:cs="Palatino Linotype"/>
          <w:i/>
          <w:sz w:val="22"/>
          <w:szCs w:val="22"/>
        </w:rPr>
        <w:t xml:space="preserve"> </w:t>
      </w:r>
      <w:r w:rsidRPr="00B00E88">
        <w:rPr>
          <w:rFonts w:ascii="Palatino Linotype" w:eastAsia="Palatino Linotype" w:hAnsi="Palatino Linotype" w:cs="Palatino Linotype"/>
          <w:b/>
          <w:i/>
          <w:sz w:val="22"/>
          <w:szCs w:val="22"/>
        </w:rPr>
        <w:t>Proporcionar a la Secretaría de Seguridad</w:t>
      </w:r>
      <w:r w:rsidRPr="00B00E88">
        <w:rPr>
          <w:rFonts w:ascii="Palatino Linotype" w:eastAsia="Palatino Linotype" w:hAnsi="Palatino Linotype" w:cs="Palatino Linotype"/>
          <w:i/>
          <w:sz w:val="22"/>
          <w:szCs w:val="22"/>
        </w:rPr>
        <w:t xml:space="preserve"> </w:t>
      </w:r>
      <w:r w:rsidRPr="00B00E88">
        <w:rPr>
          <w:rFonts w:ascii="Palatino Linotype" w:eastAsia="Palatino Linotype" w:hAnsi="Palatino Linotype" w:cs="Palatino Linotype"/>
          <w:b/>
          <w:i/>
          <w:sz w:val="22"/>
          <w:szCs w:val="22"/>
        </w:rPr>
        <w:t>información actualizada</w:t>
      </w:r>
      <w:r w:rsidRPr="00B00E88">
        <w:rPr>
          <w:rFonts w:ascii="Palatino Linotype" w:eastAsia="Palatino Linotype" w:hAnsi="Palatino Linotype" w:cs="Palatino Linotype"/>
          <w:i/>
          <w:sz w:val="22"/>
          <w:szCs w:val="22"/>
        </w:rPr>
        <w:t xml:space="preserve"> sobre las zonas delictivas consideradas como de alto riesgo y </w:t>
      </w:r>
      <w:r w:rsidRPr="00B00E88">
        <w:rPr>
          <w:rFonts w:ascii="Palatino Linotype" w:eastAsia="Palatino Linotype" w:hAnsi="Palatino Linotype" w:cs="Palatino Linotype"/>
          <w:b/>
          <w:i/>
          <w:sz w:val="22"/>
          <w:szCs w:val="22"/>
          <w:u w:val="single"/>
        </w:rPr>
        <w:t>datos verídicos en el llenado del Banco de Datos e Información del Estado de México sobre Casos de Violencia contra las Mujeres (BADAEMVIM).”</w:t>
      </w:r>
    </w:p>
    <w:p w14:paraId="7B7C352B" w14:textId="77777777" w:rsidR="000E09EA" w:rsidRPr="00B00E88" w:rsidRDefault="00F00C13">
      <w:pPr>
        <w:spacing w:before="240" w:after="240" w:line="360" w:lineRule="auto"/>
        <w:ind w:right="51"/>
        <w:jc w:val="both"/>
        <w:rPr>
          <w:rFonts w:ascii="Palatino Linotype" w:eastAsia="Palatino Linotype" w:hAnsi="Palatino Linotype" w:cs="Palatino Linotype"/>
          <w:b/>
        </w:rPr>
      </w:pPr>
      <w:r w:rsidRPr="00B00E88">
        <w:rPr>
          <w:rFonts w:ascii="Palatino Linotype" w:eastAsia="Palatino Linotype" w:hAnsi="Palatino Linotype" w:cs="Palatino Linotype"/>
        </w:rPr>
        <w:t xml:space="preserve">Como se advierte del precepto legal en cita, 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en materia de prevención, atención, sanción y erradicación de la violencia de género, se encuentra obligado a capacitar y especializar al personal que integra la corporación policiaca para el cumplimiento eficiente de sus responsabilidades, con la finalidad de que actúe con diligencia en la ejecución de las Órdenes de Protección de Emergencia y de Prevención, así como el estricto cumplimiento en la ejecución de los Protocolos de Actuación Policial, así como proporcionar a la Secretaría de Seguridad </w:t>
      </w:r>
      <w:r w:rsidRPr="00B00E88">
        <w:rPr>
          <w:rFonts w:ascii="Palatino Linotype" w:eastAsia="Palatino Linotype" w:hAnsi="Palatino Linotype" w:cs="Palatino Linotype"/>
          <w:b/>
        </w:rPr>
        <w:t xml:space="preserve">datos verídicos en el llenado del Banco de Datos e Información del Estado de México sobre </w:t>
      </w:r>
      <w:r w:rsidRPr="00B00E88">
        <w:rPr>
          <w:rFonts w:ascii="Palatino Linotype" w:eastAsia="Palatino Linotype" w:hAnsi="Palatino Linotype" w:cs="Palatino Linotype"/>
          <w:b/>
          <w:u w:val="single"/>
        </w:rPr>
        <w:t>Casos de Violencia contra las Mujeres</w:t>
      </w:r>
      <w:r w:rsidRPr="00B00E88">
        <w:rPr>
          <w:rFonts w:ascii="Palatino Linotype" w:eastAsia="Palatino Linotype" w:hAnsi="Palatino Linotype" w:cs="Palatino Linotype"/>
          <w:b/>
        </w:rPr>
        <w:t xml:space="preserve"> (BADAEMVIM).</w:t>
      </w:r>
    </w:p>
    <w:p w14:paraId="6710AC3A"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Ahora bien, en lo que respecta a la materia de la solicitud, no debe perderse de vista que la persona solicitante requirió saber cuántas denuncias se habían interpuesto o casos maltrato en contra de la mujer se habían presentado en el municipio, es decir, de la lectura del requerimiento de información se advierte que esta pretende acceder concretamente al número de denuncias interpuestas o casos de maltrato en contra de la mujer se habían presentado.</w:t>
      </w:r>
    </w:p>
    <w:p w14:paraId="05AC25C9"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En este tenor, recordemos que en atención a la solicitud la persona servidora pública habilitada competente Dirección de las Mujeres tuvo a bien proporcionar el número de </w:t>
      </w:r>
      <w:proofErr w:type="gramStart"/>
      <w:r w:rsidRPr="00B00E88">
        <w:rPr>
          <w:rFonts w:ascii="Palatino Linotype" w:eastAsia="Palatino Linotype" w:hAnsi="Palatino Linotype" w:cs="Palatino Linotype"/>
        </w:rPr>
        <w:t>denuncias</w:t>
      </w:r>
      <w:proofErr w:type="gramEnd"/>
      <w:r w:rsidRPr="00B00E88">
        <w:rPr>
          <w:rFonts w:ascii="Palatino Linotype" w:eastAsia="Palatino Linotype" w:hAnsi="Palatino Linotype" w:cs="Palatino Linotype"/>
        </w:rPr>
        <w:t xml:space="preserve"> así como el número de casos de maltrato en contra de mujeres se </w:t>
      </w:r>
      <w:r w:rsidRPr="00B00E88">
        <w:rPr>
          <w:rFonts w:ascii="Palatino Linotype" w:eastAsia="Palatino Linotype" w:hAnsi="Palatino Linotype" w:cs="Palatino Linotype"/>
        </w:rPr>
        <w:lastRenderedPageBreak/>
        <w:t xml:space="preserve">habían registrado en el transcurso del ejercicio 2025, </w:t>
      </w:r>
      <w:r w:rsidRPr="00B00E88">
        <w:rPr>
          <w:rFonts w:ascii="Palatino Linotype" w:eastAsia="Palatino Linotype" w:hAnsi="Palatino Linotype" w:cs="Palatino Linotype"/>
          <w:b/>
        </w:rPr>
        <w:t>en el ámbito de sus competencias.</w:t>
      </w:r>
    </w:p>
    <w:p w14:paraId="38323509" w14:textId="77777777" w:rsidR="000E09EA" w:rsidRPr="00B00E88" w:rsidRDefault="00F00C13">
      <w:pPr>
        <w:spacing w:before="280" w:after="28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Sin embargo, no pasa desapercibido que la persona solicitante omitió referir el periodo del cual requería la información, por lo que se estima que la información susceptible de entrega es aquella que se hubiera generado en el año inmediato anterior a la presentación de la solicitud, esto es, del </w:t>
      </w:r>
      <w:r w:rsidRPr="00B00E88">
        <w:rPr>
          <w:rFonts w:ascii="Palatino Linotype" w:eastAsia="Palatino Linotype" w:hAnsi="Palatino Linotype" w:cs="Palatino Linotype"/>
          <w:b/>
        </w:rPr>
        <w:t>seis de marzo de dos mil veinticuatro al seis de marzo de dos mil veinticinco</w:t>
      </w:r>
      <w:r w:rsidRPr="00B00E88">
        <w:rPr>
          <w:rFonts w:ascii="Palatino Linotype" w:eastAsia="Palatino Linotype" w:hAnsi="Palatino Linotype" w:cs="Palatino Linotype"/>
        </w:rPr>
        <w:t xml:space="preserve">, tomando en consideración el pronunciamiento emitido por el entonces Instituto Nacional de Transparencia Acceso a la Información y Protección de Datos Personales, INAI, a través del criterio orientador con clave de control SO/003/2019, el cual es del tenor literal siguiente: </w:t>
      </w:r>
    </w:p>
    <w:p w14:paraId="792969C4" w14:textId="77777777" w:rsidR="000E09EA" w:rsidRPr="00B00E88" w:rsidRDefault="00F00C13">
      <w:pPr>
        <w:pBdr>
          <w:top w:val="nil"/>
          <w:left w:val="nil"/>
          <w:bottom w:val="nil"/>
          <w:right w:val="nil"/>
          <w:between w:val="nil"/>
        </w:pBdr>
        <w:spacing w:before="120" w:after="120"/>
        <w:ind w:left="851" w:right="900"/>
        <w:jc w:val="both"/>
        <w:rPr>
          <w:rFonts w:ascii="Palatino Linotype" w:eastAsia="Palatino Linotype" w:hAnsi="Palatino Linotype" w:cs="Palatino Linotype"/>
          <w:i/>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Periodo de búsqueda de la información</w:t>
      </w:r>
      <w:r w:rsidRPr="00B00E88">
        <w:rPr>
          <w:rFonts w:ascii="Palatino Linotype" w:eastAsia="Palatino Linotype" w:hAnsi="Palatino Linotype" w:cs="Palatino Linotype"/>
          <w:i/>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B00E88">
        <w:rPr>
          <w:rFonts w:ascii="Palatino Linotype" w:eastAsia="Palatino Linotype" w:hAnsi="Palatino Linotype" w:cs="Palatino Linotype"/>
          <w:i/>
        </w:rPr>
        <w:t xml:space="preserve">  </w:t>
      </w:r>
    </w:p>
    <w:p w14:paraId="44CB79B1"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Con base en lo previo, se estima que la solicitud se encuentra parcialmente atendida, por lo que se refiere al ejercicio 2025, respecto de lo que concierte a la Dirección de las Mujeres.</w:t>
      </w:r>
    </w:p>
    <w:p w14:paraId="4D084DF2"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Como sustento a lo anterior, este Pleno considera necesario dejar claro que no está facultado para manifestarse sobre la veracidad de la información la persona servidora pública habilitada competente para conocer de la información solicitada, conforme lo prevé el artículo 36 de la Ley de Transparencia y Acceso a la Información Pública del Estado de México y Municipios.</w:t>
      </w:r>
    </w:p>
    <w:p w14:paraId="52A3242A"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 xml:space="preserve">No obstante, dado que no hubo pronunciamiento de la Dirección de las Mujeres respecto de la información generada del seis de marzo al treinta y uno de diciembre de dos mil veinticuatro así como de la Dirección de Seguridad Pública  Seguridad Vial respecto de la información generada del seis de marzo de dos mil veinticuatro al seis de marzo de dos mil veinticinco, por lo que se refiere a sus competencias, es que no puede tenerse por satisfecho el derecho de acceso a la información de la parte </w:t>
      </w:r>
      <w:r w:rsidRPr="00B00E88">
        <w:rPr>
          <w:rFonts w:ascii="Palatino Linotype" w:eastAsia="Palatino Linotype" w:hAnsi="Palatino Linotype" w:cs="Palatino Linotype"/>
          <w:b/>
        </w:rPr>
        <w:t xml:space="preserve">Recurrente, </w:t>
      </w:r>
      <w:r w:rsidRPr="00B00E88">
        <w:rPr>
          <w:rFonts w:ascii="Palatino Linotype" w:eastAsia="Palatino Linotype" w:hAnsi="Palatino Linotype" w:cs="Palatino Linotype"/>
        </w:rPr>
        <w:t>y por consiguiente se estima dable ordenar que previa búsqueda exhaustiva y razonable se haga entrega del soporte documental en el que conste la información estadística solicitada, en versión pública de ser procedente.</w:t>
      </w:r>
    </w:p>
    <w:p w14:paraId="57AF44A2" w14:textId="77777777" w:rsidR="000E09EA" w:rsidRPr="00B00E88" w:rsidRDefault="00F00C13">
      <w:pP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Sirve de apoyo a lo anterior, el Criterio orientador con clave de control SO/008/2023, emitido por el entonces Instituto Nacional de Transparencia y Acceso a la Información y Protección de Datos Personales, INAI, de rubro y texto siguientes:</w:t>
      </w:r>
    </w:p>
    <w:p w14:paraId="79E8F1D6" w14:textId="77777777" w:rsidR="000E09EA" w:rsidRPr="00B00E88" w:rsidRDefault="00F00C13">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 xml:space="preserve">Ejercicio del derecho de Acceso a la Información Pública. La información estadística es de naturaleza pública, independientemente de la materia con la que se encuentre vinculada. </w:t>
      </w:r>
      <w:r w:rsidRPr="00B00E88">
        <w:rPr>
          <w:rFonts w:ascii="Palatino Linotype" w:eastAsia="Palatino Linotype" w:hAnsi="Palatino Linotype" w:cs="Palatino Linotype"/>
          <w:i/>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B00E88">
        <w:rPr>
          <w:rFonts w:ascii="Palatino Linotype" w:eastAsia="Palatino Linotype" w:hAnsi="Palatino Linotype" w:cs="Palatino Linotype"/>
          <w:b/>
          <w:i/>
          <w:sz w:val="22"/>
          <w:szCs w:val="22"/>
        </w:rPr>
        <w:t>los sujetos obligados deberán poner a disposición del público, entre otra, la relativa a la que con base en la información estadística</w:t>
      </w:r>
      <w:r w:rsidRPr="00B00E88">
        <w:rPr>
          <w:rFonts w:ascii="Palatino Linotype" w:eastAsia="Palatino Linotype" w:hAnsi="Palatino Linotype" w:cs="Palatino Linotype"/>
          <w:i/>
          <w:sz w:val="22"/>
          <w:szCs w:val="22"/>
        </w:rPr>
        <w:t xml:space="preserve">, responda a las preguntas hechas con más frecuencia por el público, por lo que es posible afirmar que la información estadística es de naturaleza pública, </w:t>
      </w:r>
      <w:r w:rsidRPr="00B00E88">
        <w:rPr>
          <w:rFonts w:ascii="Palatino Linotype" w:eastAsia="Palatino Linotype" w:hAnsi="Palatino Linotype" w:cs="Palatino Linotype"/>
          <w:b/>
          <w:i/>
          <w:sz w:val="22"/>
          <w:szCs w:val="22"/>
        </w:rPr>
        <w:t>siempre y cuando los datos estadísticos no se encuentren individualizados o personalizados a casos o situaciones específicas,</w:t>
      </w:r>
      <w:r w:rsidRPr="00B00E88">
        <w:rPr>
          <w:rFonts w:ascii="Palatino Linotype" w:eastAsia="Palatino Linotype" w:hAnsi="Palatino Linotype" w:cs="Palatino Linotype"/>
          <w:i/>
          <w:sz w:val="22"/>
          <w:szCs w:val="22"/>
        </w:rPr>
        <w:t xml:space="preserve"> que pudieran llegar a justificar su clasificación.”</w:t>
      </w:r>
      <w:r w:rsidRPr="00B00E88">
        <w:rPr>
          <w:rFonts w:ascii="Palatino Linotype" w:eastAsia="Palatino Linotype" w:hAnsi="Palatino Linotype" w:cs="Palatino Linotype"/>
        </w:rPr>
        <w:tab/>
      </w:r>
    </w:p>
    <w:p w14:paraId="789289A9"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No obstante, para el caso de que no se llegara a localizar información adicional a la entregada,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28B82064" w14:textId="77777777" w:rsidR="000E09EA" w:rsidRPr="00B00E88" w:rsidRDefault="00F00C13">
      <w:pPr>
        <w:spacing w:before="120" w:after="120"/>
        <w:ind w:left="860"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Artículo 19</w:t>
      </w:r>
      <w:r w:rsidRPr="00B00E88">
        <w:rPr>
          <w:rFonts w:ascii="Palatino Linotype" w:eastAsia="Palatino Linotype" w:hAnsi="Palatino Linotype" w:cs="Palatino Linotype"/>
          <w:i/>
          <w:sz w:val="22"/>
          <w:szCs w:val="22"/>
        </w:rPr>
        <w:t>…</w:t>
      </w:r>
    </w:p>
    <w:p w14:paraId="3ABF69E1" w14:textId="77777777" w:rsidR="000E09EA" w:rsidRPr="00B00E88" w:rsidRDefault="00F00C13">
      <w:pPr>
        <w:spacing w:before="120" w:after="120"/>
        <w:ind w:left="860"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C4DB680" w14:textId="77777777" w:rsidR="000E09EA" w:rsidRPr="00B00E88" w:rsidRDefault="00F00C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De lo hasta aquí expuesto, se concluye que los motivos de inconformidad de la parte </w:t>
      </w:r>
      <w:r w:rsidRPr="00B00E88">
        <w:rPr>
          <w:rFonts w:ascii="Palatino Linotype" w:eastAsia="Palatino Linotype" w:hAnsi="Palatino Linotype" w:cs="Palatino Linotype"/>
          <w:b/>
        </w:rPr>
        <w:t xml:space="preserve">Recurrente </w:t>
      </w:r>
      <w:r w:rsidRPr="00B00E88">
        <w:rPr>
          <w:rFonts w:ascii="Palatino Linotype" w:eastAsia="Palatino Linotype" w:hAnsi="Palatino Linotype" w:cs="Palatino Linotype"/>
        </w:rPr>
        <w:t xml:space="preserve">devienen fundados, siendo procedente </w:t>
      </w:r>
      <w:r w:rsidRPr="00B00E88">
        <w:rPr>
          <w:rFonts w:ascii="Palatino Linotype" w:eastAsia="Palatino Linotype" w:hAnsi="Palatino Linotype" w:cs="Palatino Linotype"/>
          <w:i/>
        </w:rPr>
        <w:t xml:space="preserve">Modificar </w:t>
      </w:r>
      <w:r w:rsidRPr="00B00E88">
        <w:rPr>
          <w:rFonts w:ascii="Palatino Linotype" w:eastAsia="Palatino Linotype" w:hAnsi="Palatino Linotype" w:cs="Palatino Linotype"/>
        </w:rPr>
        <w:t xml:space="preserve">la respuesta proporcionada por el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C5F3D91"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b/>
        </w:rPr>
        <w:t>Quinto. Versión Pública.</w:t>
      </w:r>
      <w:r w:rsidRPr="00B00E88">
        <w:rPr>
          <w:rFonts w:ascii="Palatino Linotype" w:eastAsia="Palatino Linotype" w:hAnsi="Palatino Linotype" w:cs="Palatino Linotype"/>
          <w:sz w:val="28"/>
          <w:szCs w:val="28"/>
        </w:rPr>
        <w:t xml:space="preserve"> </w:t>
      </w:r>
      <w:r w:rsidRPr="00B00E88">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B00E88">
        <w:rPr>
          <w:rFonts w:ascii="Palatino Linotype" w:eastAsia="Palatino Linotype" w:hAnsi="Palatino Linotype" w:cs="Palatino Linotype"/>
          <w:b/>
        </w:rPr>
        <w:t>Recurrente</w:t>
      </w:r>
      <w:r w:rsidRPr="00B00E88">
        <w:rPr>
          <w:rFonts w:ascii="Palatino Linotype" w:eastAsia="Palatino Linotype" w:hAnsi="Palatino Linotype" w:cs="Palatino Linotype"/>
        </w:rPr>
        <w:t xml:space="preserve"> sin menoscabo al derecho a la protección de los datos personales de terceros.</w:t>
      </w:r>
    </w:p>
    <w:p w14:paraId="5CC9C12F"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Para efectos de la elaboración de la versión pública se deberá observar lo dispuesto por los artículos 3 fracciones IX, XX, XXI y XLV, 91, 132, 137 y 143, fracción I de la </w:t>
      </w:r>
      <w:r w:rsidRPr="00B00E88">
        <w:rPr>
          <w:rFonts w:ascii="Palatino Linotype" w:eastAsia="Palatino Linotype" w:hAnsi="Palatino Linotype" w:cs="Palatino Linotype"/>
        </w:rPr>
        <w:lastRenderedPageBreak/>
        <w:t>Ley de Transparencia y Acceso a la Información Pública del Estado de México y Municipios, que establecen:</w:t>
      </w:r>
    </w:p>
    <w:p w14:paraId="43051C4A"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Artículo 3</w:t>
      </w:r>
      <w:r w:rsidRPr="00B00E88">
        <w:rPr>
          <w:rFonts w:ascii="Palatino Linotype" w:eastAsia="Palatino Linotype" w:hAnsi="Palatino Linotype" w:cs="Palatino Linotype"/>
          <w:i/>
          <w:sz w:val="22"/>
          <w:szCs w:val="22"/>
        </w:rPr>
        <w:t>. Para los efectos de la presente Ley se entenderá por:</w:t>
      </w:r>
    </w:p>
    <w:p w14:paraId="361B1228"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p>
    <w:p w14:paraId="4794691D"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IX. Datos personales</w:t>
      </w:r>
      <w:r w:rsidRPr="00B00E88">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3915C8C"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XX. Información clasificada</w:t>
      </w:r>
      <w:r w:rsidRPr="00B00E88">
        <w:rPr>
          <w:rFonts w:ascii="Palatino Linotype" w:eastAsia="Palatino Linotype" w:hAnsi="Palatino Linotype" w:cs="Palatino Linotype"/>
          <w:i/>
          <w:sz w:val="22"/>
          <w:szCs w:val="22"/>
        </w:rPr>
        <w:t>: Aquella considerada por la presente Ley como reservada o confidencial;</w:t>
      </w:r>
    </w:p>
    <w:p w14:paraId="1A9826A0"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 xml:space="preserve">XXI. Información confidencial: </w:t>
      </w:r>
      <w:r w:rsidRPr="00B00E88">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0E91B4"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XLV. Versión pública:</w:t>
      </w:r>
      <w:r w:rsidRPr="00B00E88">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BF88E76"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p>
    <w:p w14:paraId="097E508A"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Artículo 91.</w:t>
      </w:r>
      <w:r w:rsidRPr="00B00E8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DE4616C"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Artículo 132.</w:t>
      </w:r>
      <w:r w:rsidRPr="00B00E88">
        <w:rPr>
          <w:rFonts w:ascii="Palatino Linotype" w:eastAsia="Palatino Linotype" w:hAnsi="Palatino Linotype" w:cs="Palatino Linotype"/>
          <w:i/>
          <w:sz w:val="22"/>
          <w:szCs w:val="22"/>
        </w:rPr>
        <w:t xml:space="preserve"> La clasificación de la información se llevará a cabo en el momento en que:</w:t>
      </w:r>
    </w:p>
    <w:p w14:paraId="4D7A5B47"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w:t>
      </w:r>
      <w:r w:rsidRPr="00B00E88">
        <w:rPr>
          <w:rFonts w:ascii="Palatino Linotype" w:eastAsia="Palatino Linotype" w:hAnsi="Palatino Linotype" w:cs="Palatino Linotype"/>
          <w:i/>
          <w:sz w:val="22"/>
          <w:szCs w:val="22"/>
        </w:rPr>
        <w:t>. Se reciba una solicitud de acceso a la información;</w:t>
      </w:r>
    </w:p>
    <w:p w14:paraId="6A0C93F9"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w:t>
      </w:r>
      <w:r w:rsidRPr="00B00E88">
        <w:rPr>
          <w:rFonts w:ascii="Palatino Linotype" w:eastAsia="Palatino Linotype" w:hAnsi="Palatino Linotype" w:cs="Palatino Linotype"/>
          <w:i/>
          <w:sz w:val="22"/>
          <w:szCs w:val="22"/>
        </w:rPr>
        <w:t xml:space="preserve"> Se determine mediante resolución de autoridad competente; o</w:t>
      </w:r>
    </w:p>
    <w:p w14:paraId="7F95A7D9"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III.</w:t>
      </w:r>
      <w:r w:rsidRPr="00B00E88">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B551B5B"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w:t>
      </w:r>
    </w:p>
    <w:p w14:paraId="7B073EB5"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Artículo 137.</w:t>
      </w:r>
      <w:r w:rsidRPr="00B00E8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FD9EFC" w14:textId="77777777" w:rsidR="000E09EA" w:rsidRPr="00B00E88" w:rsidRDefault="00F00C13">
      <w:pPr>
        <w:spacing w:before="120" w:after="120"/>
        <w:ind w:left="851" w:right="902"/>
        <w:jc w:val="both"/>
        <w:rPr>
          <w:rFonts w:ascii="Palatino Linotype" w:eastAsia="Palatino Linotype" w:hAnsi="Palatino Linotype" w:cs="Palatino Linotype"/>
          <w:b/>
          <w:i/>
          <w:sz w:val="22"/>
          <w:szCs w:val="22"/>
        </w:rPr>
      </w:pPr>
      <w:r w:rsidRPr="00B00E88">
        <w:rPr>
          <w:rFonts w:ascii="Palatino Linotype" w:eastAsia="Palatino Linotype" w:hAnsi="Palatino Linotype" w:cs="Palatino Linotype"/>
          <w:b/>
          <w:i/>
          <w:sz w:val="22"/>
          <w:szCs w:val="22"/>
        </w:rPr>
        <w:lastRenderedPageBreak/>
        <w:t>…</w:t>
      </w:r>
    </w:p>
    <w:p w14:paraId="1FC925DB"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Artículo 143</w:t>
      </w:r>
      <w:r w:rsidRPr="00B00E8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BE0327"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w:t>
      </w:r>
      <w:r w:rsidRPr="00B00E8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E8B924F"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78C1CF" w14:textId="77777777" w:rsidR="000E09EA" w:rsidRPr="00B00E88" w:rsidRDefault="00F00C13">
      <w:pPr>
        <w:spacing w:before="240" w:after="240" w:line="360" w:lineRule="auto"/>
        <w:ind w:right="50"/>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w:t>
      </w:r>
      <w:r w:rsidRPr="00B00E88">
        <w:rPr>
          <w:rFonts w:ascii="Palatino Linotype" w:eastAsia="Palatino Linotype" w:hAnsi="Palatino Linotype" w:cs="Palatino Linotype"/>
        </w:rPr>
        <w:lastRenderedPageBreak/>
        <w:t>acuerdo a los que señala la fracción XII del artículo 4 de la Ley de Protección de Datos Personales en posesión de Sujeto Obligados del Estado de México.</w:t>
      </w:r>
    </w:p>
    <w:p w14:paraId="42AFFC43"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46D7CEA" w14:textId="77777777" w:rsidR="000E09EA" w:rsidRPr="00B00E88" w:rsidRDefault="00F00C1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B00E88">
        <w:rPr>
          <w:rFonts w:ascii="Palatino Linotype" w:eastAsia="Palatino Linotype" w:hAnsi="Palatino Linotype" w:cs="Palatino Linotype"/>
        </w:rPr>
        <w:t xml:space="preserve">Respecto a las formalidades que deberá llevar el acuerdo de clasificación que deberá emitir 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275E1066"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 xml:space="preserve"> “Quincuagésimo. </w:t>
      </w:r>
      <w:r w:rsidRPr="00B00E88">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EA7E867" w14:textId="77777777" w:rsidR="000E09EA" w:rsidRPr="00B00E88" w:rsidRDefault="00F00C1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 xml:space="preserve">Quincuagésimo primero. </w:t>
      </w:r>
      <w:r w:rsidRPr="00B00E88">
        <w:rPr>
          <w:rFonts w:ascii="Palatino Linotype" w:eastAsia="Palatino Linotype" w:hAnsi="Palatino Linotype" w:cs="Palatino Linotype"/>
          <w:i/>
          <w:sz w:val="22"/>
          <w:szCs w:val="22"/>
        </w:rPr>
        <w:t xml:space="preserve">Toda acta del Comité de Transparencia deberá contener: </w:t>
      </w:r>
    </w:p>
    <w:p w14:paraId="6A8B9EF7"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lastRenderedPageBreak/>
        <w:t>I.</w:t>
      </w:r>
      <w:r w:rsidRPr="00B00E88">
        <w:rPr>
          <w:rFonts w:ascii="Palatino Linotype" w:eastAsia="Palatino Linotype" w:hAnsi="Palatino Linotype" w:cs="Palatino Linotype"/>
          <w:i/>
          <w:sz w:val="22"/>
          <w:szCs w:val="22"/>
        </w:rPr>
        <w:t xml:space="preserve"> El número de sesión y fecha; </w:t>
      </w:r>
    </w:p>
    <w:p w14:paraId="095E6AFC"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w:t>
      </w:r>
      <w:r w:rsidRPr="00B00E88">
        <w:rPr>
          <w:rFonts w:ascii="Palatino Linotype" w:eastAsia="Palatino Linotype" w:hAnsi="Palatino Linotype" w:cs="Palatino Linotype"/>
          <w:i/>
          <w:sz w:val="22"/>
          <w:szCs w:val="22"/>
        </w:rPr>
        <w:t xml:space="preserve">. El nombre del área que solicitó la clasificación de información; </w:t>
      </w:r>
    </w:p>
    <w:p w14:paraId="063B05B0"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III</w:t>
      </w:r>
      <w:r w:rsidRPr="00B00E88">
        <w:rPr>
          <w:rFonts w:ascii="Palatino Linotype" w:eastAsia="Palatino Linotype" w:hAnsi="Palatino Linotype" w:cs="Palatino Linotype"/>
          <w:i/>
          <w:sz w:val="22"/>
          <w:szCs w:val="22"/>
        </w:rPr>
        <w:t xml:space="preserve">. La fundamentación legal y motivación correspondiente; </w:t>
      </w:r>
    </w:p>
    <w:p w14:paraId="2155F6FF"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IV</w:t>
      </w:r>
      <w:r w:rsidRPr="00B00E88">
        <w:rPr>
          <w:rFonts w:ascii="Palatino Linotype" w:eastAsia="Palatino Linotype" w:hAnsi="Palatino Linotype" w:cs="Palatino Linotype"/>
          <w:i/>
          <w:sz w:val="22"/>
          <w:szCs w:val="22"/>
        </w:rPr>
        <w:t xml:space="preserve">. La resolución o resoluciones aprobadas; y </w:t>
      </w:r>
    </w:p>
    <w:p w14:paraId="79F1681B"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V</w:t>
      </w:r>
      <w:r w:rsidRPr="00B00E88">
        <w:rPr>
          <w:rFonts w:ascii="Palatino Linotype" w:eastAsia="Palatino Linotype" w:hAnsi="Palatino Linotype" w:cs="Palatino Linotype"/>
          <w:i/>
          <w:sz w:val="22"/>
          <w:szCs w:val="22"/>
        </w:rPr>
        <w:t xml:space="preserve">. La rúbrica o firma digital de cada integrante del Comité de Transparencia. </w:t>
      </w:r>
    </w:p>
    <w:p w14:paraId="3D33BAFC" w14:textId="77777777" w:rsidR="000E09EA" w:rsidRPr="00B00E88" w:rsidRDefault="00F00C1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4993409"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w:t>
      </w:r>
      <w:r w:rsidRPr="00B00E88">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46DF29F"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B00E88">
        <w:rPr>
          <w:rFonts w:ascii="Palatino Linotype" w:eastAsia="Palatino Linotype" w:hAnsi="Palatino Linotype" w:cs="Palatino Linotype"/>
          <w:b/>
          <w:i/>
          <w:sz w:val="22"/>
          <w:szCs w:val="22"/>
        </w:rPr>
        <w:t>II</w:t>
      </w:r>
      <w:r w:rsidRPr="00B00E88">
        <w:rPr>
          <w:rFonts w:ascii="Palatino Linotype" w:eastAsia="Palatino Linotype" w:hAnsi="Palatino Linotype" w:cs="Palatino Linotype"/>
          <w:i/>
          <w:sz w:val="22"/>
          <w:szCs w:val="22"/>
        </w:rPr>
        <w:t>. Descripción de las partes o secciones reservadas, en caso de clasificación parcial</w:t>
      </w:r>
      <w:r w:rsidRPr="00B00E88">
        <w:rPr>
          <w:rFonts w:ascii="Palatino Linotype" w:eastAsia="Palatino Linotype" w:hAnsi="Palatino Linotype" w:cs="Palatino Linotype"/>
          <w:b/>
          <w:i/>
          <w:sz w:val="22"/>
          <w:szCs w:val="22"/>
        </w:rPr>
        <w:t xml:space="preserve">; </w:t>
      </w:r>
    </w:p>
    <w:p w14:paraId="09017DD4"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III.</w:t>
      </w:r>
      <w:r w:rsidRPr="00B00E88">
        <w:rPr>
          <w:rFonts w:ascii="Palatino Linotype" w:eastAsia="Palatino Linotype" w:hAnsi="Palatino Linotype" w:cs="Palatino Linotype"/>
          <w:i/>
          <w:sz w:val="22"/>
          <w:szCs w:val="22"/>
        </w:rPr>
        <w:t xml:space="preserve"> El periodo por el que mantendrá su clasificación y fecha de expiración; y </w:t>
      </w:r>
    </w:p>
    <w:p w14:paraId="1944ED1C" w14:textId="77777777" w:rsidR="000E09EA" w:rsidRPr="00B00E88" w:rsidRDefault="00F00C1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IV.</w:t>
      </w:r>
      <w:r w:rsidRPr="00B00E88">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448FC67" w14:textId="77777777" w:rsidR="000E09EA" w:rsidRPr="00B00E88" w:rsidRDefault="00F00C1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F07BBDA" w14:textId="77777777" w:rsidR="000E09EA" w:rsidRPr="00B00E88" w:rsidRDefault="00F00C1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6BEA27D" w14:textId="77777777" w:rsidR="000E09EA" w:rsidRPr="00B00E88" w:rsidRDefault="00F00C13">
      <w:pPr>
        <w:spacing w:before="120" w:after="120"/>
        <w:ind w:left="851"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Quincuagésimo segundo</w:t>
      </w:r>
      <w:r w:rsidRPr="00B00E8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A6C7ED6" w14:textId="77777777" w:rsidR="000E09EA" w:rsidRPr="00B00E88" w:rsidRDefault="00F00C13">
      <w:pPr>
        <w:spacing w:before="120" w:after="120"/>
        <w:ind w:left="851"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 xml:space="preserve">En el caso </w:t>
      </w:r>
      <w:proofErr w:type="spellStart"/>
      <w:r w:rsidRPr="00B00E88">
        <w:rPr>
          <w:rFonts w:ascii="Palatino Linotype" w:eastAsia="Palatino Linotype" w:hAnsi="Palatino Linotype" w:cs="Palatino Linotype"/>
          <w:i/>
          <w:sz w:val="22"/>
          <w:szCs w:val="22"/>
        </w:rPr>
        <w:t>especifico</w:t>
      </w:r>
      <w:proofErr w:type="spellEnd"/>
      <w:r w:rsidRPr="00B00E88">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6F4AA105" w14:textId="77777777" w:rsidR="000E09EA" w:rsidRPr="00B00E88" w:rsidRDefault="00F00C13">
      <w:pPr>
        <w:spacing w:before="120" w:after="120"/>
        <w:ind w:left="1134"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w:t>
      </w:r>
      <w:r w:rsidRPr="00B00E88">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D102F62" w14:textId="77777777" w:rsidR="000E09EA" w:rsidRPr="00B00E88" w:rsidRDefault="00F00C13">
      <w:pPr>
        <w:spacing w:before="120" w:after="120"/>
        <w:ind w:left="1134"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lastRenderedPageBreak/>
        <w:t>II.</w:t>
      </w:r>
      <w:r w:rsidRPr="00B00E88">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0F6921B" w14:textId="77777777" w:rsidR="000E09EA" w:rsidRPr="00B00E88" w:rsidRDefault="00F00C13">
      <w:pPr>
        <w:spacing w:before="120" w:after="120"/>
        <w:ind w:left="1134"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III.</w:t>
      </w:r>
      <w:r w:rsidRPr="00B00E88">
        <w:rPr>
          <w:rFonts w:ascii="Palatino Linotype" w:eastAsia="Palatino Linotype" w:hAnsi="Palatino Linotype" w:cs="Palatino Linotype"/>
          <w:i/>
          <w:sz w:val="22"/>
          <w:szCs w:val="22"/>
        </w:rPr>
        <w:t xml:space="preserve"> Señalar las personas o instancias autorizadas a acceder a la información clasificada.</w:t>
      </w:r>
    </w:p>
    <w:p w14:paraId="5E4FBE91" w14:textId="77777777" w:rsidR="000E09EA" w:rsidRPr="00B00E88" w:rsidRDefault="00F00C13">
      <w:pPr>
        <w:spacing w:before="120" w:after="120"/>
        <w:ind w:left="851" w:right="900"/>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44EB9B0"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4B3655D3" w14:textId="77777777" w:rsidR="000E09EA" w:rsidRPr="00B00E88" w:rsidRDefault="00F00C13">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B00E88">
        <w:rPr>
          <w:rFonts w:ascii="Palatino Linotype" w:eastAsia="Palatino Linotype" w:hAnsi="Palatino Linotype" w:cs="Palatino Linotype"/>
          <w:i/>
          <w:sz w:val="22"/>
          <w:szCs w:val="22"/>
        </w:rPr>
        <w:t>“</w:t>
      </w:r>
      <w:r w:rsidRPr="00B00E88">
        <w:rPr>
          <w:rFonts w:ascii="Palatino Linotype" w:eastAsia="Palatino Linotype" w:hAnsi="Palatino Linotype" w:cs="Palatino Linotype"/>
          <w:b/>
          <w:i/>
          <w:sz w:val="22"/>
          <w:szCs w:val="22"/>
        </w:rPr>
        <w:t xml:space="preserve">Quincuagésimo cuarto. </w:t>
      </w:r>
      <w:r w:rsidRPr="00B00E88">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00E88">
        <w:rPr>
          <w:rFonts w:ascii="Palatino Linotype" w:eastAsia="Palatino Linotype" w:hAnsi="Palatino Linotype" w:cs="Palatino Linotype"/>
          <w:b/>
          <w:i/>
          <w:sz w:val="22"/>
          <w:szCs w:val="22"/>
        </w:rPr>
        <w:t xml:space="preserve"> </w:t>
      </w:r>
    </w:p>
    <w:p w14:paraId="7E876507"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 xml:space="preserve">Quincuagésimo quinto. </w:t>
      </w:r>
      <w:r w:rsidRPr="00B00E88">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B00E88">
        <w:rPr>
          <w:rFonts w:ascii="Palatino Linotype" w:eastAsia="Palatino Linotype" w:hAnsi="Palatino Linotype" w:cs="Palatino Linotype"/>
          <w:i/>
          <w:sz w:val="22"/>
          <w:szCs w:val="22"/>
        </w:rPr>
        <w:t>testado</w:t>
      </w:r>
      <w:proofErr w:type="spellEnd"/>
      <w:r w:rsidRPr="00B00E8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B3BB488" w14:textId="77777777" w:rsidR="000E09EA" w:rsidRPr="00B00E88" w:rsidRDefault="00F00C13">
      <w:pPr>
        <w:spacing w:before="120" w:after="120"/>
        <w:ind w:left="851" w:right="902"/>
        <w:jc w:val="both"/>
        <w:rPr>
          <w:rFonts w:ascii="Palatino Linotype" w:eastAsia="Palatino Linotype" w:hAnsi="Palatino Linotype" w:cs="Palatino Linotype"/>
          <w:b/>
          <w:i/>
          <w:sz w:val="22"/>
          <w:szCs w:val="22"/>
        </w:rPr>
      </w:pPr>
      <w:r w:rsidRPr="00B00E88">
        <w:rPr>
          <w:rFonts w:ascii="Palatino Linotype" w:eastAsia="Palatino Linotype" w:hAnsi="Palatino Linotype" w:cs="Palatino Linotype"/>
          <w:b/>
          <w:i/>
          <w:sz w:val="22"/>
          <w:szCs w:val="22"/>
        </w:rPr>
        <w:t>...</w:t>
      </w:r>
    </w:p>
    <w:p w14:paraId="2C8989F8"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Quincuagésimo séptimo</w:t>
      </w:r>
      <w:r w:rsidRPr="00B00E8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37EAA4A"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w:t>
      </w:r>
      <w:r w:rsidRPr="00B00E8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D579F65"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II.</w:t>
      </w:r>
      <w:r w:rsidRPr="00B00E88">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58A963F" w14:textId="77777777" w:rsidR="000E09EA" w:rsidRPr="00B00E88" w:rsidRDefault="00F00C13">
      <w:pPr>
        <w:spacing w:before="120" w:after="120"/>
        <w:ind w:left="1134"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lastRenderedPageBreak/>
        <w:t>III</w:t>
      </w:r>
      <w:r w:rsidRPr="00B00E8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0B2BD56"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4166CE7" w14:textId="77777777" w:rsidR="000E09EA" w:rsidRPr="00B00E88" w:rsidRDefault="00F00C13">
      <w:pPr>
        <w:spacing w:before="120" w:after="120"/>
        <w:ind w:left="851" w:right="902"/>
        <w:jc w:val="both"/>
        <w:rPr>
          <w:rFonts w:ascii="Palatino Linotype" w:eastAsia="Palatino Linotype" w:hAnsi="Palatino Linotype" w:cs="Palatino Linotype"/>
          <w:i/>
          <w:sz w:val="22"/>
          <w:szCs w:val="22"/>
        </w:rPr>
      </w:pPr>
      <w:r w:rsidRPr="00B00E88">
        <w:rPr>
          <w:rFonts w:ascii="Palatino Linotype" w:eastAsia="Palatino Linotype" w:hAnsi="Palatino Linotype" w:cs="Palatino Linotype"/>
          <w:b/>
          <w:i/>
          <w:sz w:val="22"/>
          <w:szCs w:val="22"/>
        </w:rPr>
        <w:t>Quincuagésimo octavo</w:t>
      </w:r>
      <w:r w:rsidRPr="00B00E88">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B5C99AF"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A809827" w14:textId="77777777" w:rsidR="000E09EA" w:rsidRPr="00B00E88" w:rsidRDefault="00F00C1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00E88">
        <w:rPr>
          <w:rFonts w:ascii="Palatino Linotype" w:eastAsia="Palatino Linotype" w:hAnsi="Palatino Linotype" w:cs="Palatino Linotype"/>
          <w:b/>
        </w:rPr>
        <w:t>III. R E S U E L V E</w:t>
      </w:r>
    </w:p>
    <w:p w14:paraId="6259F83E"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10" w:name="_heading=h.1t3h5sf" w:colFirst="0" w:colLast="0"/>
      <w:bookmarkEnd w:id="10"/>
      <w:r w:rsidRPr="00B00E88">
        <w:rPr>
          <w:rFonts w:ascii="Palatino Linotype" w:eastAsia="Palatino Linotype" w:hAnsi="Palatino Linotype" w:cs="Palatino Linotype"/>
          <w:b/>
        </w:rPr>
        <w:t xml:space="preserve">Primero. </w:t>
      </w:r>
      <w:r w:rsidRPr="00B00E88">
        <w:rPr>
          <w:rFonts w:ascii="Palatino Linotype" w:eastAsia="Palatino Linotype" w:hAnsi="Palatino Linotype" w:cs="Palatino Linotype"/>
        </w:rPr>
        <w:t>Resultan</w:t>
      </w:r>
      <w:r w:rsidRPr="00B00E88">
        <w:rPr>
          <w:rFonts w:ascii="Palatino Linotype" w:eastAsia="Palatino Linotype" w:hAnsi="Palatino Linotype" w:cs="Palatino Linotype"/>
          <w:b/>
        </w:rPr>
        <w:t xml:space="preserve"> fundadas</w:t>
      </w:r>
      <w:r w:rsidRPr="00B00E88">
        <w:rPr>
          <w:rFonts w:ascii="Palatino Linotype" w:eastAsia="Palatino Linotype" w:hAnsi="Palatino Linotype" w:cs="Palatino Linotype"/>
        </w:rPr>
        <w:t xml:space="preserve"> las razones o motivos de inconformidad hechos valer por la parte</w:t>
      </w:r>
      <w:r w:rsidRPr="00B00E88">
        <w:rPr>
          <w:rFonts w:ascii="Palatino Linotype" w:eastAsia="Palatino Linotype" w:hAnsi="Palatino Linotype" w:cs="Palatino Linotype"/>
          <w:b/>
        </w:rPr>
        <w:t xml:space="preserve"> Recurrente</w:t>
      </w:r>
      <w:r w:rsidRPr="00B00E88">
        <w:rPr>
          <w:rFonts w:ascii="Palatino Linotype" w:eastAsia="Palatino Linotype" w:hAnsi="Palatino Linotype" w:cs="Palatino Linotype"/>
        </w:rPr>
        <w:t xml:space="preserve"> en el recurso de revisión </w:t>
      </w:r>
      <w:r w:rsidRPr="00B00E88">
        <w:rPr>
          <w:rFonts w:ascii="Palatino Linotype" w:eastAsia="Palatino Linotype" w:hAnsi="Palatino Linotype" w:cs="Palatino Linotype"/>
          <w:b/>
        </w:rPr>
        <w:t>04724/INFOEM/IP/RR/2025</w:t>
      </w:r>
      <w:r w:rsidRPr="00B00E88">
        <w:rPr>
          <w:rFonts w:ascii="Palatino Linotype" w:eastAsia="Palatino Linotype" w:hAnsi="Palatino Linotype" w:cs="Palatino Linotype"/>
        </w:rPr>
        <w:t xml:space="preserve">; por lo que, en términos del </w:t>
      </w:r>
      <w:r w:rsidRPr="00B00E88">
        <w:rPr>
          <w:rFonts w:ascii="Palatino Linotype" w:eastAsia="Palatino Linotype" w:hAnsi="Palatino Linotype" w:cs="Palatino Linotype"/>
          <w:b/>
        </w:rPr>
        <w:t>Considerando</w:t>
      </w:r>
      <w:r w:rsidRPr="00B00E88">
        <w:rPr>
          <w:rFonts w:ascii="Palatino Linotype" w:eastAsia="Palatino Linotype" w:hAnsi="Palatino Linotype" w:cs="Palatino Linotype"/>
        </w:rPr>
        <w:t xml:space="preserve"> </w:t>
      </w:r>
      <w:r w:rsidRPr="00B00E88">
        <w:rPr>
          <w:rFonts w:ascii="Palatino Linotype" w:eastAsia="Palatino Linotype" w:hAnsi="Palatino Linotype" w:cs="Palatino Linotype"/>
          <w:b/>
        </w:rPr>
        <w:t xml:space="preserve">Cuarto </w:t>
      </w:r>
      <w:r w:rsidRPr="00B00E88">
        <w:rPr>
          <w:rFonts w:ascii="Palatino Linotype" w:eastAsia="Palatino Linotype" w:hAnsi="Palatino Linotype" w:cs="Palatino Linotype"/>
        </w:rPr>
        <w:t xml:space="preserve">de esta resolución, se </w:t>
      </w:r>
      <w:r w:rsidRPr="00B00E88">
        <w:rPr>
          <w:rFonts w:ascii="Palatino Linotype" w:eastAsia="Palatino Linotype" w:hAnsi="Palatino Linotype" w:cs="Palatino Linotype"/>
          <w:b/>
        </w:rPr>
        <w:t>Modifica</w:t>
      </w:r>
      <w:r w:rsidRPr="00B00E88">
        <w:rPr>
          <w:rFonts w:ascii="Palatino Linotype" w:eastAsia="Palatino Linotype" w:hAnsi="Palatino Linotype" w:cs="Palatino Linotype"/>
        </w:rPr>
        <w:t xml:space="preserve"> la respuesta emitida por el </w:t>
      </w:r>
      <w:r w:rsidRPr="00B00E88">
        <w:rPr>
          <w:rFonts w:ascii="Palatino Linotype" w:eastAsia="Palatino Linotype" w:hAnsi="Palatino Linotype" w:cs="Palatino Linotype"/>
          <w:b/>
        </w:rPr>
        <w:t xml:space="preserve">Sujeto Obligado. </w:t>
      </w:r>
    </w:p>
    <w:p w14:paraId="309547D4" w14:textId="77777777" w:rsidR="000E09EA" w:rsidRPr="00B00E88" w:rsidRDefault="00F00C13">
      <w:pPr>
        <w:spacing w:before="240" w:after="240" w:line="360" w:lineRule="auto"/>
        <w:ind w:right="49"/>
        <w:jc w:val="both"/>
        <w:rPr>
          <w:rFonts w:ascii="Palatino Linotype" w:eastAsia="Palatino Linotype" w:hAnsi="Palatino Linotype" w:cs="Palatino Linotype"/>
        </w:rPr>
      </w:pPr>
      <w:r w:rsidRPr="00B00E88">
        <w:rPr>
          <w:rFonts w:ascii="Palatino Linotype" w:eastAsia="Palatino Linotype" w:hAnsi="Palatino Linotype" w:cs="Palatino Linotype"/>
          <w:b/>
        </w:rPr>
        <w:t xml:space="preserve">Segundo. </w:t>
      </w:r>
      <w:r w:rsidRPr="00B00E88">
        <w:rPr>
          <w:rFonts w:ascii="Palatino Linotype" w:eastAsia="Palatino Linotype" w:hAnsi="Palatino Linotype" w:cs="Palatino Linotype"/>
        </w:rPr>
        <w:t xml:space="preserve">Se </w:t>
      </w:r>
      <w:r w:rsidRPr="00B00E88">
        <w:rPr>
          <w:rFonts w:ascii="Palatino Linotype" w:eastAsia="Palatino Linotype" w:hAnsi="Palatino Linotype" w:cs="Palatino Linotype"/>
          <w:b/>
        </w:rPr>
        <w:t xml:space="preserve">Ordena </w:t>
      </w:r>
      <w:r w:rsidRPr="00B00E88">
        <w:rPr>
          <w:rFonts w:ascii="Palatino Linotype" w:eastAsia="Palatino Linotype" w:hAnsi="Palatino Linotype" w:cs="Palatino Linotype"/>
        </w:rPr>
        <w:t xml:space="preserve">al </w:t>
      </w:r>
      <w:r w:rsidRPr="00B00E88">
        <w:rPr>
          <w:rFonts w:ascii="Palatino Linotype" w:eastAsia="Palatino Linotype" w:hAnsi="Palatino Linotype" w:cs="Palatino Linotype"/>
          <w:b/>
        </w:rPr>
        <w:t xml:space="preserve">Sujeto Obligado, </w:t>
      </w:r>
      <w:r w:rsidRPr="00B00E88">
        <w:rPr>
          <w:rFonts w:ascii="Palatino Linotype" w:eastAsia="Palatino Linotype" w:hAnsi="Palatino Linotype" w:cs="Palatino Linotype"/>
        </w:rPr>
        <w:t xml:space="preserve">en términos de los </w:t>
      </w:r>
      <w:r w:rsidRPr="00B00E88">
        <w:rPr>
          <w:rFonts w:ascii="Palatino Linotype" w:eastAsia="Palatino Linotype" w:hAnsi="Palatino Linotype" w:cs="Palatino Linotype"/>
          <w:b/>
        </w:rPr>
        <w:t>Considerandos</w:t>
      </w:r>
      <w:r w:rsidRPr="00B00E88">
        <w:rPr>
          <w:rFonts w:ascii="Palatino Linotype" w:eastAsia="Palatino Linotype" w:hAnsi="Palatino Linotype" w:cs="Palatino Linotype"/>
        </w:rPr>
        <w:t xml:space="preserve"> </w:t>
      </w:r>
      <w:r w:rsidRPr="00B00E88">
        <w:rPr>
          <w:rFonts w:ascii="Palatino Linotype" w:eastAsia="Palatino Linotype" w:hAnsi="Palatino Linotype" w:cs="Palatino Linotype"/>
          <w:b/>
        </w:rPr>
        <w:t xml:space="preserve">Cuarto </w:t>
      </w:r>
      <w:r w:rsidRPr="00B00E88">
        <w:rPr>
          <w:rFonts w:ascii="Palatino Linotype" w:eastAsia="Palatino Linotype" w:hAnsi="Palatino Linotype" w:cs="Palatino Linotype"/>
        </w:rPr>
        <w:t xml:space="preserve">y </w:t>
      </w:r>
      <w:r w:rsidRPr="00B00E88">
        <w:rPr>
          <w:rFonts w:ascii="Palatino Linotype" w:eastAsia="Palatino Linotype" w:hAnsi="Palatino Linotype" w:cs="Palatino Linotype"/>
          <w:b/>
        </w:rPr>
        <w:t xml:space="preserve">Quinto </w:t>
      </w:r>
      <w:r w:rsidRPr="00B00E88">
        <w:rPr>
          <w:rFonts w:ascii="Palatino Linotype" w:eastAsia="Palatino Linotype" w:hAnsi="Palatino Linotype" w:cs="Palatino Linotype"/>
        </w:rPr>
        <w:t xml:space="preserve">de esta resolución, haga entrega, vía </w:t>
      </w:r>
      <w:r w:rsidRPr="00B00E88">
        <w:rPr>
          <w:rFonts w:ascii="Palatino Linotype" w:eastAsia="Palatino Linotype" w:hAnsi="Palatino Linotype" w:cs="Palatino Linotype"/>
          <w:b/>
        </w:rPr>
        <w:t>SAIMEX</w:t>
      </w:r>
      <w:r w:rsidRPr="00B00E88">
        <w:rPr>
          <w:rFonts w:ascii="Palatino Linotype" w:eastAsia="Palatino Linotype" w:hAnsi="Palatino Linotype" w:cs="Palatino Linotype"/>
        </w:rPr>
        <w:t>, en versión pública de ser necesario, de lo siguiente:</w:t>
      </w:r>
    </w:p>
    <w:p w14:paraId="69F159AB" w14:textId="77777777" w:rsidR="000E09EA" w:rsidRPr="00B00E88" w:rsidRDefault="00F00C13">
      <w:pPr>
        <w:spacing w:before="240" w:after="240" w:line="360" w:lineRule="auto"/>
        <w:ind w:left="284" w:right="49"/>
        <w:jc w:val="both"/>
        <w:rPr>
          <w:rFonts w:ascii="Palatino Linotype" w:eastAsia="Palatino Linotype" w:hAnsi="Palatino Linotype" w:cs="Palatino Linotype"/>
        </w:rPr>
      </w:pPr>
      <w:bookmarkStart w:id="11" w:name="_heading=h.1fob9te" w:colFirst="0" w:colLast="0"/>
      <w:bookmarkEnd w:id="11"/>
      <w:r w:rsidRPr="00B00E88">
        <w:rPr>
          <w:rFonts w:ascii="Palatino Linotype" w:eastAsia="Palatino Linotype" w:hAnsi="Palatino Linotype" w:cs="Palatino Linotype"/>
        </w:rPr>
        <w:lastRenderedPageBreak/>
        <w:t>1. Número de denuncias o casos de maltrato en contra de la mujer que se recibieron en la Dirección de las Mujeres del seis de marzo al treinta y uno de diciembre de dos mil veinticuatro.</w:t>
      </w:r>
    </w:p>
    <w:p w14:paraId="6B09E42A" w14:textId="77777777" w:rsidR="000E09EA" w:rsidRPr="00B00E88" w:rsidRDefault="00F00C13">
      <w:pPr>
        <w:spacing w:before="240" w:after="240" w:line="360" w:lineRule="auto"/>
        <w:ind w:left="284" w:right="49"/>
        <w:jc w:val="both"/>
        <w:rPr>
          <w:rFonts w:ascii="Palatino Linotype" w:eastAsia="Palatino Linotype" w:hAnsi="Palatino Linotype" w:cs="Palatino Linotype"/>
        </w:rPr>
      </w:pPr>
      <w:r w:rsidRPr="00B00E88">
        <w:rPr>
          <w:rFonts w:ascii="Palatino Linotype" w:eastAsia="Palatino Linotype" w:hAnsi="Palatino Linotype" w:cs="Palatino Linotype"/>
        </w:rPr>
        <w:t>2. Número de denuncias o casos de maltrato en contra de la mujer que se recibieron en la Dirección de Seguridad Pública y Seguridad Vial, del seis de marzo de dos mil veinticuatro al seis de marzo de dos mil veinticinco.</w:t>
      </w:r>
    </w:p>
    <w:p w14:paraId="75830070" w14:textId="77777777" w:rsidR="000E09EA" w:rsidRPr="00B00E88" w:rsidRDefault="00F00C13">
      <w:pPr>
        <w:spacing w:before="120" w:after="120"/>
        <w:ind w:left="284"/>
        <w:jc w:val="both"/>
        <w:rPr>
          <w:rFonts w:ascii="Palatino Linotype" w:eastAsia="Palatino Linotype" w:hAnsi="Palatino Linotype" w:cs="Palatino Linotype"/>
          <w:i/>
          <w:sz w:val="20"/>
          <w:szCs w:val="20"/>
        </w:rPr>
      </w:pPr>
      <w:r w:rsidRPr="00B00E88">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3DB4B928" w14:textId="77777777" w:rsidR="000E09EA" w:rsidRPr="00B00E88" w:rsidRDefault="00F00C13">
      <w:pPr>
        <w:spacing w:before="240" w:after="240"/>
        <w:ind w:left="284" w:right="51"/>
        <w:jc w:val="both"/>
        <w:rPr>
          <w:rFonts w:ascii="Palatino Linotype" w:eastAsia="Palatino Linotype" w:hAnsi="Palatino Linotype" w:cs="Palatino Linotype"/>
          <w:i/>
          <w:sz w:val="20"/>
          <w:szCs w:val="20"/>
        </w:rPr>
      </w:pPr>
      <w:r w:rsidRPr="00B00E88">
        <w:rPr>
          <w:rFonts w:ascii="Palatino Linotype" w:eastAsia="Palatino Linotype" w:hAnsi="Palatino Linotype" w:cs="Palatino Linotype"/>
          <w:i/>
          <w:sz w:val="20"/>
          <w:szCs w:val="20"/>
        </w:rPr>
        <w:t xml:space="preserve">En el supuesto que la información ordenada no obre en los archivos del </w:t>
      </w:r>
      <w:r w:rsidRPr="00B00E88">
        <w:rPr>
          <w:rFonts w:ascii="Palatino Linotype" w:eastAsia="Palatino Linotype" w:hAnsi="Palatino Linotype" w:cs="Palatino Linotype"/>
          <w:b/>
          <w:i/>
          <w:sz w:val="20"/>
          <w:szCs w:val="20"/>
        </w:rPr>
        <w:t xml:space="preserve">Sujeto Obligado, </w:t>
      </w:r>
      <w:r w:rsidRPr="00B00E88">
        <w:rPr>
          <w:rFonts w:ascii="Palatino Linotype" w:eastAsia="Palatino Linotype" w:hAnsi="Palatino Linotype" w:cs="Palatino Linotype"/>
          <w:i/>
          <w:sz w:val="20"/>
          <w:szCs w:val="20"/>
        </w:rPr>
        <w:t xml:space="preserve">por no haberse generado, bastará con que así se haga del conocimiento de la parte </w:t>
      </w:r>
      <w:r w:rsidRPr="00B00E88">
        <w:rPr>
          <w:rFonts w:ascii="Palatino Linotype" w:eastAsia="Palatino Linotype" w:hAnsi="Palatino Linotype" w:cs="Palatino Linotype"/>
          <w:b/>
          <w:i/>
          <w:sz w:val="20"/>
          <w:szCs w:val="20"/>
        </w:rPr>
        <w:t>Recurrente</w:t>
      </w:r>
      <w:r w:rsidRPr="00B00E88">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592FFFBB" w14:textId="77777777" w:rsidR="000E09EA" w:rsidRPr="00B00E88" w:rsidRDefault="000E09EA">
      <w:pPr>
        <w:spacing w:before="120" w:after="120"/>
        <w:ind w:left="284"/>
        <w:jc w:val="both"/>
        <w:rPr>
          <w:rFonts w:ascii="Palatino Linotype" w:eastAsia="Palatino Linotype" w:hAnsi="Palatino Linotype" w:cs="Palatino Linotype"/>
          <w:i/>
          <w:sz w:val="20"/>
          <w:szCs w:val="20"/>
        </w:rPr>
      </w:pPr>
    </w:p>
    <w:p w14:paraId="21729EB9"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12" w:name="_heading=h.hnzxsch5gysz" w:colFirst="0" w:colLast="0"/>
      <w:bookmarkEnd w:id="12"/>
      <w:r w:rsidRPr="00B00E88">
        <w:rPr>
          <w:rFonts w:ascii="Palatino Linotype" w:eastAsia="Palatino Linotype" w:hAnsi="Palatino Linotype" w:cs="Palatino Linotype"/>
          <w:b/>
        </w:rPr>
        <w:t xml:space="preserve">Tercero. Notifíquese, </w:t>
      </w:r>
      <w:r w:rsidRPr="00B00E88">
        <w:rPr>
          <w:rFonts w:ascii="Palatino Linotype" w:eastAsia="Palatino Linotype" w:hAnsi="Palatino Linotype" w:cs="Palatino Linotype"/>
        </w:rPr>
        <w:t xml:space="preserve">vía </w:t>
      </w:r>
      <w:r w:rsidRPr="00B00E88">
        <w:rPr>
          <w:rFonts w:ascii="Palatino Linotype" w:eastAsia="Palatino Linotype" w:hAnsi="Palatino Linotype" w:cs="Palatino Linotype"/>
          <w:b/>
        </w:rPr>
        <w:t>SAIMEX</w:t>
      </w:r>
      <w:r w:rsidRPr="00B00E88">
        <w:rPr>
          <w:rFonts w:ascii="Palatino Linotype" w:eastAsia="Palatino Linotype" w:hAnsi="Palatino Linotype" w:cs="Palatino Linotype"/>
        </w:rPr>
        <w:t xml:space="preserve">, al Titular de la Unidad de Transparencia del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3FE75D" w14:textId="77777777" w:rsidR="000E09EA" w:rsidRPr="00B00E88" w:rsidRDefault="00F00C13">
      <w:pPr>
        <w:spacing w:before="240" w:after="240" w:line="360" w:lineRule="auto"/>
        <w:jc w:val="both"/>
        <w:rPr>
          <w:rFonts w:ascii="Palatino Linotype" w:eastAsia="Palatino Linotype" w:hAnsi="Palatino Linotype" w:cs="Palatino Linotype"/>
        </w:rPr>
      </w:pPr>
      <w:r w:rsidRPr="00B00E88">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B00E88">
        <w:rPr>
          <w:rFonts w:ascii="Palatino Linotype" w:eastAsia="Palatino Linotype" w:hAnsi="Palatino Linotype" w:cs="Palatino Linotype"/>
          <w:b/>
        </w:rPr>
        <w:t>Sujeto Obligado</w:t>
      </w:r>
      <w:r w:rsidRPr="00B00E88">
        <w:rPr>
          <w:rFonts w:ascii="Palatino Linotype" w:eastAsia="Palatino Linotype" w:hAnsi="Palatino Linotype" w:cs="Palatino Linotype"/>
        </w:rPr>
        <w:t xml:space="preserve"> de manera fundada y motivada, podrá solicitar una ampliación de plazo para el cumplimiento de la presente resolución.</w:t>
      </w:r>
    </w:p>
    <w:p w14:paraId="3F9BB18D" w14:textId="77777777" w:rsidR="000E09EA" w:rsidRPr="00B00E88" w:rsidRDefault="00F00C13">
      <w:pPr>
        <w:spacing w:before="240" w:after="240" w:line="360" w:lineRule="auto"/>
        <w:jc w:val="both"/>
        <w:rPr>
          <w:rFonts w:ascii="Palatino Linotype" w:eastAsia="Palatino Linotype" w:hAnsi="Palatino Linotype" w:cs="Palatino Linotype"/>
        </w:rPr>
      </w:pPr>
      <w:bookmarkStart w:id="13" w:name="_heading=h.ot3qq6vxa08f" w:colFirst="0" w:colLast="0"/>
      <w:bookmarkEnd w:id="13"/>
      <w:r w:rsidRPr="00B00E88">
        <w:rPr>
          <w:rFonts w:ascii="Palatino Linotype" w:eastAsia="Palatino Linotype" w:hAnsi="Palatino Linotype" w:cs="Palatino Linotype"/>
          <w:b/>
        </w:rPr>
        <w:t xml:space="preserve">Cuarto.  Notifíquese, </w:t>
      </w:r>
      <w:r w:rsidRPr="00B00E88">
        <w:rPr>
          <w:rFonts w:ascii="Palatino Linotype" w:eastAsia="Palatino Linotype" w:hAnsi="Palatino Linotype" w:cs="Palatino Linotype"/>
        </w:rPr>
        <w:t xml:space="preserve">vía </w:t>
      </w:r>
      <w:r w:rsidRPr="00B00E88">
        <w:rPr>
          <w:rFonts w:ascii="Palatino Linotype" w:eastAsia="Palatino Linotype" w:hAnsi="Palatino Linotype" w:cs="Palatino Linotype"/>
          <w:b/>
        </w:rPr>
        <w:t>SAIMEX</w:t>
      </w:r>
      <w:r w:rsidRPr="00B00E88">
        <w:rPr>
          <w:rFonts w:ascii="Palatino Linotype" w:eastAsia="Palatino Linotype" w:hAnsi="Palatino Linotype" w:cs="Palatino Linotype"/>
        </w:rPr>
        <w:t xml:space="preserve"> a la parte </w:t>
      </w:r>
      <w:r w:rsidRPr="00B00E88">
        <w:rPr>
          <w:rFonts w:ascii="Palatino Linotype" w:eastAsia="Palatino Linotype" w:hAnsi="Palatino Linotype" w:cs="Palatino Linotype"/>
          <w:b/>
        </w:rPr>
        <w:t>Recurrente</w:t>
      </w:r>
      <w:r w:rsidRPr="00B00E8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2F75519" w14:textId="77777777" w:rsidR="000E09EA" w:rsidRPr="00283559" w:rsidRDefault="00F00C13">
      <w:pPr>
        <w:tabs>
          <w:tab w:val="left" w:pos="8647"/>
        </w:tabs>
        <w:spacing w:before="240" w:after="240" w:line="360" w:lineRule="auto"/>
        <w:ind w:right="51"/>
        <w:jc w:val="both"/>
        <w:rPr>
          <w:rFonts w:ascii="Palatino Linotype" w:eastAsia="Palatino Linotype" w:hAnsi="Palatino Linotype" w:cs="Palatino Linotype"/>
        </w:rPr>
      </w:pPr>
      <w:bookmarkStart w:id="14" w:name="_heading=h.lnxbz9" w:colFirst="0" w:colLast="0"/>
      <w:bookmarkEnd w:id="14"/>
      <w:r w:rsidRPr="00B00E8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758888FB" w14:textId="77777777" w:rsidR="000E09EA" w:rsidRPr="00283559" w:rsidRDefault="000E09EA">
      <w:pPr>
        <w:spacing w:line="360" w:lineRule="auto"/>
        <w:jc w:val="both"/>
        <w:rPr>
          <w:rFonts w:ascii="Palatino Linotype" w:eastAsia="Palatino Linotype" w:hAnsi="Palatino Linotype" w:cs="Palatino Linotype"/>
        </w:rPr>
      </w:pPr>
    </w:p>
    <w:p w14:paraId="11FBEA6A" w14:textId="77777777" w:rsidR="000E09EA" w:rsidRPr="00283559" w:rsidRDefault="000E09EA">
      <w:pPr>
        <w:spacing w:line="360" w:lineRule="auto"/>
        <w:jc w:val="center"/>
        <w:rPr>
          <w:rFonts w:ascii="Palatino Linotype" w:eastAsia="Palatino Linotype" w:hAnsi="Palatino Linotype" w:cs="Palatino Linotype"/>
        </w:rPr>
      </w:pPr>
    </w:p>
    <w:p w14:paraId="085CA746" w14:textId="77777777" w:rsidR="000E09EA" w:rsidRPr="00283559" w:rsidRDefault="000E09EA">
      <w:pPr>
        <w:spacing w:line="360" w:lineRule="auto"/>
        <w:jc w:val="both"/>
        <w:rPr>
          <w:rFonts w:ascii="Palatino Linotype" w:eastAsia="Palatino Linotype" w:hAnsi="Palatino Linotype" w:cs="Palatino Linotype"/>
        </w:rPr>
      </w:pPr>
    </w:p>
    <w:p w14:paraId="6589D5D6" w14:textId="77777777" w:rsidR="000E09EA" w:rsidRPr="00283559" w:rsidRDefault="000E09EA">
      <w:pPr>
        <w:spacing w:line="360" w:lineRule="auto"/>
        <w:jc w:val="both"/>
        <w:rPr>
          <w:rFonts w:ascii="Palatino Linotype" w:eastAsia="Palatino Linotype" w:hAnsi="Palatino Linotype" w:cs="Palatino Linotype"/>
        </w:rPr>
      </w:pPr>
    </w:p>
    <w:p w14:paraId="73DD4F6D" w14:textId="77777777" w:rsidR="000E09EA" w:rsidRPr="00283559" w:rsidRDefault="000E09EA">
      <w:pPr>
        <w:spacing w:line="360" w:lineRule="auto"/>
        <w:jc w:val="both"/>
        <w:rPr>
          <w:rFonts w:ascii="Palatino Linotype" w:eastAsia="Palatino Linotype" w:hAnsi="Palatino Linotype" w:cs="Palatino Linotype"/>
        </w:rPr>
      </w:pPr>
    </w:p>
    <w:p w14:paraId="0C3CFCE4" w14:textId="77777777" w:rsidR="000E09EA" w:rsidRPr="00283559" w:rsidRDefault="000E09EA">
      <w:pPr>
        <w:spacing w:line="360" w:lineRule="auto"/>
        <w:jc w:val="both"/>
        <w:rPr>
          <w:rFonts w:ascii="Palatino Linotype" w:eastAsia="Palatino Linotype" w:hAnsi="Palatino Linotype" w:cs="Palatino Linotype"/>
        </w:rPr>
      </w:pPr>
    </w:p>
    <w:p w14:paraId="1ABE66B6" w14:textId="77777777" w:rsidR="000E09EA" w:rsidRPr="00283559" w:rsidRDefault="000E09EA">
      <w:pPr>
        <w:spacing w:line="360" w:lineRule="auto"/>
        <w:jc w:val="both"/>
        <w:rPr>
          <w:rFonts w:ascii="Palatino Linotype" w:eastAsia="Palatino Linotype" w:hAnsi="Palatino Linotype" w:cs="Palatino Linotype"/>
        </w:rPr>
      </w:pPr>
    </w:p>
    <w:p w14:paraId="15770A38" w14:textId="77777777" w:rsidR="000E09EA" w:rsidRPr="00283559" w:rsidRDefault="000E09EA">
      <w:pPr>
        <w:spacing w:line="360" w:lineRule="auto"/>
        <w:jc w:val="both"/>
        <w:rPr>
          <w:rFonts w:ascii="Palatino Linotype" w:eastAsia="Palatino Linotype" w:hAnsi="Palatino Linotype" w:cs="Palatino Linotype"/>
        </w:rPr>
      </w:pPr>
    </w:p>
    <w:p w14:paraId="12CFBF5E" w14:textId="77777777" w:rsidR="000E09EA" w:rsidRPr="00283559" w:rsidRDefault="000E09EA">
      <w:pPr>
        <w:spacing w:line="360" w:lineRule="auto"/>
        <w:jc w:val="both"/>
        <w:rPr>
          <w:rFonts w:ascii="Palatino Linotype" w:eastAsia="Palatino Linotype" w:hAnsi="Palatino Linotype" w:cs="Palatino Linotype"/>
        </w:rPr>
      </w:pPr>
    </w:p>
    <w:p w14:paraId="46ED3564" w14:textId="77777777" w:rsidR="000E09EA" w:rsidRPr="00283559" w:rsidRDefault="000E09EA">
      <w:pPr>
        <w:spacing w:line="360" w:lineRule="auto"/>
        <w:jc w:val="both"/>
        <w:rPr>
          <w:rFonts w:ascii="Palatino Linotype" w:eastAsia="Palatino Linotype" w:hAnsi="Palatino Linotype" w:cs="Palatino Linotype"/>
        </w:rPr>
      </w:pPr>
    </w:p>
    <w:p w14:paraId="152618AB" w14:textId="77777777" w:rsidR="000E09EA" w:rsidRPr="00283559" w:rsidRDefault="000E09EA">
      <w:pPr>
        <w:spacing w:line="360" w:lineRule="auto"/>
        <w:jc w:val="both"/>
        <w:rPr>
          <w:rFonts w:ascii="Palatino Linotype" w:eastAsia="Palatino Linotype" w:hAnsi="Palatino Linotype" w:cs="Palatino Linotype"/>
        </w:rPr>
      </w:pPr>
    </w:p>
    <w:p w14:paraId="718D1BB4" w14:textId="77777777" w:rsidR="000E09EA" w:rsidRPr="00283559" w:rsidRDefault="000E09EA">
      <w:pPr>
        <w:spacing w:line="360" w:lineRule="auto"/>
        <w:jc w:val="both"/>
        <w:rPr>
          <w:rFonts w:ascii="Palatino Linotype" w:eastAsia="Palatino Linotype" w:hAnsi="Palatino Linotype" w:cs="Palatino Linotype"/>
        </w:rPr>
      </w:pPr>
    </w:p>
    <w:p w14:paraId="4D6CC273" w14:textId="77777777" w:rsidR="000E09EA" w:rsidRPr="00283559" w:rsidRDefault="000E09EA">
      <w:pPr>
        <w:spacing w:line="360" w:lineRule="auto"/>
        <w:jc w:val="both"/>
        <w:rPr>
          <w:rFonts w:ascii="Palatino Linotype" w:eastAsia="Palatino Linotype" w:hAnsi="Palatino Linotype" w:cs="Palatino Linotype"/>
        </w:rPr>
      </w:pPr>
    </w:p>
    <w:p w14:paraId="606C8B92" w14:textId="77777777" w:rsidR="000E09EA" w:rsidRPr="00283559" w:rsidRDefault="000E09EA">
      <w:pPr>
        <w:spacing w:line="360" w:lineRule="auto"/>
        <w:jc w:val="both"/>
        <w:rPr>
          <w:rFonts w:ascii="Palatino Linotype" w:eastAsia="Palatino Linotype" w:hAnsi="Palatino Linotype" w:cs="Palatino Linotype"/>
        </w:rPr>
      </w:pPr>
    </w:p>
    <w:p w14:paraId="3F33390E" w14:textId="77777777" w:rsidR="000E09EA" w:rsidRPr="00283559" w:rsidRDefault="000E09EA">
      <w:pPr>
        <w:spacing w:line="360" w:lineRule="auto"/>
        <w:jc w:val="both"/>
        <w:rPr>
          <w:rFonts w:ascii="Palatino Linotype" w:eastAsia="Palatino Linotype" w:hAnsi="Palatino Linotype" w:cs="Palatino Linotype"/>
        </w:rPr>
      </w:pPr>
    </w:p>
    <w:p w14:paraId="2B209FD6" w14:textId="77777777" w:rsidR="000E09EA" w:rsidRPr="00283559" w:rsidRDefault="000E09EA">
      <w:pPr>
        <w:spacing w:line="360" w:lineRule="auto"/>
        <w:jc w:val="both"/>
        <w:rPr>
          <w:rFonts w:ascii="Palatino Linotype" w:eastAsia="Palatino Linotype" w:hAnsi="Palatino Linotype" w:cs="Palatino Linotype"/>
        </w:rPr>
      </w:pPr>
    </w:p>
    <w:p w14:paraId="1DA08EBD" w14:textId="77777777" w:rsidR="000E09EA" w:rsidRPr="00283559" w:rsidRDefault="000E09EA">
      <w:pPr>
        <w:spacing w:line="360" w:lineRule="auto"/>
        <w:jc w:val="both"/>
        <w:rPr>
          <w:rFonts w:ascii="Palatino Linotype" w:eastAsia="Palatino Linotype" w:hAnsi="Palatino Linotype" w:cs="Palatino Linotype"/>
        </w:rPr>
      </w:pPr>
    </w:p>
    <w:p w14:paraId="3390B2C4" w14:textId="77777777" w:rsidR="000E09EA" w:rsidRPr="00283559" w:rsidRDefault="000E09EA">
      <w:pPr>
        <w:spacing w:line="360" w:lineRule="auto"/>
        <w:jc w:val="both"/>
        <w:rPr>
          <w:rFonts w:ascii="Palatino Linotype" w:eastAsia="Palatino Linotype" w:hAnsi="Palatino Linotype" w:cs="Palatino Linotype"/>
        </w:rPr>
      </w:pPr>
    </w:p>
    <w:p w14:paraId="5126D554" w14:textId="77777777" w:rsidR="000E09EA" w:rsidRPr="00283559" w:rsidRDefault="000E09EA">
      <w:pPr>
        <w:spacing w:line="360" w:lineRule="auto"/>
        <w:jc w:val="both"/>
        <w:rPr>
          <w:rFonts w:ascii="Palatino Linotype" w:eastAsia="Palatino Linotype" w:hAnsi="Palatino Linotype" w:cs="Palatino Linotype"/>
        </w:rPr>
      </w:pPr>
    </w:p>
    <w:p w14:paraId="59D2E655" w14:textId="77777777" w:rsidR="000E09EA" w:rsidRPr="00283559" w:rsidRDefault="000E09EA">
      <w:pPr>
        <w:spacing w:line="360" w:lineRule="auto"/>
        <w:jc w:val="both"/>
        <w:rPr>
          <w:rFonts w:ascii="Palatino Linotype" w:eastAsia="Palatino Linotype" w:hAnsi="Palatino Linotype" w:cs="Palatino Linotype"/>
        </w:rPr>
      </w:pPr>
    </w:p>
    <w:p w14:paraId="0ADB3D86" w14:textId="77777777" w:rsidR="000E09EA" w:rsidRPr="00283559" w:rsidRDefault="000E09EA">
      <w:pPr>
        <w:spacing w:line="360" w:lineRule="auto"/>
        <w:jc w:val="both"/>
        <w:rPr>
          <w:rFonts w:ascii="Palatino Linotype" w:eastAsia="Palatino Linotype" w:hAnsi="Palatino Linotype" w:cs="Palatino Linotype"/>
        </w:rPr>
      </w:pPr>
    </w:p>
    <w:p w14:paraId="17D3EDB6" w14:textId="77777777" w:rsidR="000E09EA" w:rsidRPr="00283559" w:rsidRDefault="000E09EA">
      <w:pPr>
        <w:spacing w:line="360" w:lineRule="auto"/>
        <w:jc w:val="both"/>
        <w:rPr>
          <w:rFonts w:ascii="Palatino Linotype" w:eastAsia="Palatino Linotype" w:hAnsi="Palatino Linotype" w:cs="Palatino Linotype"/>
        </w:rPr>
      </w:pPr>
    </w:p>
    <w:p w14:paraId="38532327" w14:textId="77777777" w:rsidR="000E09EA" w:rsidRPr="00283559" w:rsidRDefault="000E09EA">
      <w:pPr>
        <w:spacing w:line="360" w:lineRule="auto"/>
        <w:jc w:val="both"/>
        <w:rPr>
          <w:rFonts w:ascii="Palatino Linotype" w:eastAsia="Palatino Linotype" w:hAnsi="Palatino Linotype" w:cs="Palatino Linotype"/>
        </w:rPr>
      </w:pPr>
    </w:p>
    <w:p w14:paraId="6878664F" w14:textId="77777777" w:rsidR="000E09EA" w:rsidRPr="00283559" w:rsidRDefault="000E09EA">
      <w:pPr>
        <w:spacing w:line="360" w:lineRule="auto"/>
        <w:jc w:val="both"/>
        <w:rPr>
          <w:rFonts w:ascii="Palatino Linotype" w:eastAsia="Palatino Linotype" w:hAnsi="Palatino Linotype" w:cs="Palatino Linotype"/>
        </w:rPr>
      </w:pPr>
    </w:p>
    <w:p w14:paraId="6DF9C80D" w14:textId="77777777" w:rsidR="000E09EA" w:rsidRPr="00283559" w:rsidRDefault="000E09EA">
      <w:pPr>
        <w:spacing w:line="360" w:lineRule="auto"/>
        <w:jc w:val="both"/>
        <w:rPr>
          <w:rFonts w:ascii="Palatino Linotype" w:eastAsia="Palatino Linotype" w:hAnsi="Palatino Linotype" w:cs="Palatino Linotype"/>
        </w:rPr>
      </w:pPr>
    </w:p>
    <w:p w14:paraId="227C9562" w14:textId="77777777" w:rsidR="000E09EA" w:rsidRPr="00283559" w:rsidRDefault="000E09EA">
      <w:pPr>
        <w:spacing w:line="360" w:lineRule="auto"/>
        <w:jc w:val="both"/>
        <w:rPr>
          <w:rFonts w:ascii="Palatino Linotype" w:eastAsia="Palatino Linotype" w:hAnsi="Palatino Linotype" w:cs="Palatino Linotype"/>
        </w:rPr>
      </w:pPr>
    </w:p>
    <w:p w14:paraId="207B916B" w14:textId="77777777" w:rsidR="000E09EA" w:rsidRPr="00283559" w:rsidRDefault="000E09EA">
      <w:pPr>
        <w:spacing w:line="360" w:lineRule="auto"/>
        <w:jc w:val="both"/>
        <w:rPr>
          <w:rFonts w:ascii="Palatino Linotype" w:eastAsia="Palatino Linotype" w:hAnsi="Palatino Linotype" w:cs="Palatino Linotype"/>
        </w:rPr>
      </w:pPr>
    </w:p>
    <w:p w14:paraId="3F866DEB" w14:textId="77777777" w:rsidR="000E09EA" w:rsidRPr="00283559" w:rsidRDefault="000E09EA">
      <w:pPr>
        <w:spacing w:line="360" w:lineRule="auto"/>
        <w:jc w:val="both"/>
        <w:rPr>
          <w:rFonts w:ascii="Palatino Linotype" w:eastAsia="Palatino Linotype" w:hAnsi="Palatino Linotype" w:cs="Palatino Linotype"/>
        </w:rPr>
      </w:pPr>
    </w:p>
    <w:p w14:paraId="2333A51E" w14:textId="77777777" w:rsidR="000E09EA" w:rsidRPr="00283559" w:rsidRDefault="000E09EA">
      <w:pPr>
        <w:spacing w:line="360" w:lineRule="auto"/>
        <w:jc w:val="both"/>
        <w:rPr>
          <w:rFonts w:ascii="Palatino Linotype" w:eastAsia="Palatino Linotype" w:hAnsi="Palatino Linotype" w:cs="Palatino Linotype"/>
        </w:rPr>
      </w:pPr>
    </w:p>
    <w:sectPr w:rsidR="000E09EA" w:rsidRPr="00283559">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DF79" w14:textId="77777777" w:rsidR="000061E3" w:rsidRDefault="000061E3">
      <w:r>
        <w:separator/>
      </w:r>
    </w:p>
  </w:endnote>
  <w:endnote w:type="continuationSeparator" w:id="0">
    <w:p w14:paraId="2ADE18A8" w14:textId="77777777" w:rsidR="000061E3" w:rsidRDefault="0000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F620" w14:textId="77777777" w:rsidR="000E09EA" w:rsidRDefault="00F00C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0E8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0E88">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49D0E0EC" w14:textId="77777777" w:rsidR="000E09EA" w:rsidRDefault="000E09E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1F88" w14:textId="77777777" w:rsidR="000E09EA" w:rsidRDefault="00F00C1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0E8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0E88">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08F486CA" w14:textId="77777777" w:rsidR="000E09EA" w:rsidRDefault="000E09E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DF10" w14:textId="77777777" w:rsidR="000061E3" w:rsidRDefault="000061E3">
      <w:r>
        <w:separator/>
      </w:r>
    </w:p>
  </w:footnote>
  <w:footnote w:type="continuationSeparator" w:id="0">
    <w:p w14:paraId="03D830CB" w14:textId="77777777" w:rsidR="000061E3" w:rsidRDefault="0000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6E24" w14:textId="77777777" w:rsidR="000E09EA" w:rsidRDefault="00F00C13">
    <w:pPr>
      <w:rPr>
        <w:rFonts w:ascii="Cambria" w:eastAsia="Cambria" w:hAnsi="Cambria" w:cs="Cambria"/>
        <w:color w:val="000000"/>
      </w:rPr>
    </w:pPr>
    <w:r>
      <w:rPr>
        <w:noProof/>
      </w:rPr>
      <w:drawing>
        <wp:anchor distT="0" distB="0" distL="0" distR="0" simplePos="0" relativeHeight="251658240" behindDoc="1" locked="0" layoutInCell="1" hidden="0" allowOverlap="1" wp14:anchorId="7F7DA1F1" wp14:editId="11BAA133">
          <wp:simplePos x="0" y="0"/>
          <wp:positionH relativeFrom="column">
            <wp:posOffset>-1080091</wp:posOffset>
          </wp:positionH>
          <wp:positionV relativeFrom="paragraph">
            <wp:posOffset>-488262</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0E09EA" w14:paraId="30A52FC6" w14:textId="77777777">
      <w:tc>
        <w:tcPr>
          <w:tcW w:w="2489" w:type="dxa"/>
          <w:shd w:val="clear" w:color="auto" w:fill="auto"/>
        </w:tcPr>
        <w:p w14:paraId="19CF11B4" w14:textId="77777777" w:rsidR="000E09EA" w:rsidRDefault="00F00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7E6E9D4" w14:textId="77777777" w:rsidR="000E09EA" w:rsidRDefault="00F00C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04724/INFOEM/IP/RR/2025</w:t>
          </w:r>
        </w:p>
      </w:tc>
    </w:tr>
    <w:tr w:rsidR="000E09EA" w14:paraId="2407B08A" w14:textId="77777777">
      <w:trPr>
        <w:trHeight w:val="228"/>
      </w:trPr>
      <w:tc>
        <w:tcPr>
          <w:tcW w:w="2489" w:type="dxa"/>
          <w:shd w:val="clear" w:color="auto" w:fill="auto"/>
          <w:vAlign w:val="center"/>
        </w:tcPr>
        <w:p w14:paraId="4C269CE4" w14:textId="77777777" w:rsidR="000E09EA" w:rsidRDefault="00F00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05DA821" w14:textId="77777777" w:rsidR="000E09EA" w:rsidRDefault="00F00C1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0E09EA" w14:paraId="204E5669" w14:textId="77777777">
      <w:tc>
        <w:tcPr>
          <w:tcW w:w="2489" w:type="dxa"/>
          <w:shd w:val="clear" w:color="auto" w:fill="auto"/>
          <w:vAlign w:val="center"/>
        </w:tcPr>
        <w:p w14:paraId="560C5A9A" w14:textId="77777777" w:rsidR="000E09EA" w:rsidRDefault="00F00C1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2FC9E36" w14:textId="77777777" w:rsidR="000E09EA" w:rsidRDefault="00F00C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55B6FC" w14:textId="77777777" w:rsidR="000E09EA" w:rsidRDefault="00F00C1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70B6" w14:textId="77777777" w:rsidR="000E09EA" w:rsidRDefault="00F00C1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FC6E4BD" wp14:editId="4C41FDE0">
          <wp:simplePos x="0" y="0"/>
          <wp:positionH relativeFrom="column">
            <wp:posOffset>-1080134</wp:posOffset>
          </wp:positionH>
          <wp:positionV relativeFrom="paragraph">
            <wp:posOffset>-369892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0E09EA" w14:paraId="6425F22C" w14:textId="77777777">
      <w:tc>
        <w:tcPr>
          <w:tcW w:w="2489" w:type="dxa"/>
          <w:shd w:val="clear" w:color="auto" w:fill="auto"/>
        </w:tcPr>
        <w:p w14:paraId="109FD774" w14:textId="77777777" w:rsidR="000E09EA" w:rsidRDefault="00F00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F192ED1" w14:textId="77777777" w:rsidR="000E09EA" w:rsidRDefault="00F00C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04724/INFOEM/IP/RR/2025</w:t>
          </w:r>
        </w:p>
      </w:tc>
    </w:tr>
    <w:tr w:rsidR="000E09EA" w14:paraId="7A2060D5" w14:textId="77777777">
      <w:tc>
        <w:tcPr>
          <w:tcW w:w="2489" w:type="dxa"/>
          <w:shd w:val="clear" w:color="auto" w:fill="auto"/>
        </w:tcPr>
        <w:p w14:paraId="1EC8718E" w14:textId="77777777" w:rsidR="000E09EA" w:rsidRDefault="00F00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AB919D3" w14:textId="77777777" w:rsidR="000E09EA" w:rsidRDefault="000E09EA">
          <w:pPr>
            <w:ind w:right="175"/>
            <w:jc w:val="both"/>
            <w:rPr>
              <w:rFonts w:ascii="Palatino Linotype" w:eastAsia="Palatino Linotype" w:hAnsi="Palatino Linotype" w:cs="Palatino Linotype"/>
              <w:b/>
              <w:color w:val="FF0000"/>
              <w:sz w:val="22"/>
              <w:szCs w:val="22"/>
              <w:highlight w:val="yellow"/>
            </w:rPr>
          </w:pPr>
        </w:p>
      </w:tc>
    </w:tr>
    <w:tr w:rsidR="000E09EA" w14:paraId="008F75F5" w14:textId="77777777">
      <w:trPr>
        <w:trHeight w:val="228"/>
      </w:trPr>
      <w:tc>
        <w:tcPr>
          <w:tcW w:w="2489" w:type="dxa"/>
          <w:shd w:val="clear" w:color="auto" w:fill="auto"/>
          <w:vAlign w:val="center"/>
        </w:tcPr>
        <w:p w14:paraId="472FB986" w14:textId="77777777" w:rsidR="000E09EA" w:rsidRDefault="00F00C1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CED241F" w14:textId="77777777" w:rsidR="000E09EA" w:rsidRDefault="00F00C1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0E09EA" w14:paraId="775F97BB" w14:textId="77777777">
      <w:tc>
        <w:tcPr>
          <w:tcW w:w="2489" w:type="dxa"/>
          <w:shd w:val="clear" w:color="auto" w:fill="auto"/>
          <w:vAlign w:val="center"/>
        </w:tcPr>
        <w:p w14:paraId="1AACF06D" w14:textId="77777777" w:rsidR="000E09EA" w:rsidRDefault="00F00C1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79056D1" w14:textId="77777777" w:rsidR="000E09EA" w:rsidRDefault="00F00C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4CD6A6" w14:textId="77777777" w:rsidR="000E09EA" w:rsidRDefault="000E0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75056"/>
    <w:multiLevelType w:val="multilevel"/>
    <w:tmpl w:val="653C179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EA"/>
    <w:rsid w:val="000061E3"/>
    <w:rsid w:val="000E09EA"/>
    <w:rsid w:val="00283559"/>
    <w:rsid w:val="00B00E88"/>
    <w:rsid w:val="00D02B19"/>
    <w:rsid w:val="00F00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45C7"/>
  <w15:docId w15:val="{ED526925-EF24-490A-92FC-D3524D59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LqFAlVWZ6sfMN7PcRZrJBTOug==">CgMxLjAyCWguM3JkY3JqbjIOaC5kYWozajJ4bzZxNjYyCGguZ2pkZ3hzMgloLjNkeTZ2a20yCWguMzBqMHpsbDIJaC4yczhleW8xMghoLnR5amN3dDIJaC4zem55c2g3MgloLjJldDkycDAyDmguOGdhaXBlejdyczhxMgloLjF0M2g1c2YyCWguMWZvYjl0ZTIOaC5obnp4c2NoNWd5c3oyDmgub3QzcXE2dnhhMDhmMghoLmxueGJ6OTgAciExUF85NTNGdHNnYVNmWGlvWnlCV3BfcUtDX01ULTVpY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8894</Words>
  <Characters>48918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2025-07-17T20:57:00Z</cp:lastPrinted>
  <dcterms:created xsi:type="dcterms:W3CDTF">2025-08-11T19:41:00Z</dcterms:created>
  <dcterms:modified xsi:type="dcterms:W3CDTF">2025-08-11T19:41:00Z</dcterms:modified>
</cp:coreProperties>
</file>