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D42F1B2" w:rsidR="007935E5" w:rsidRPr="00FC0A7F" w:rsidRDefault="007935E5" w:rsidP="00442CAA">
          <w:pPr>
            <w:pStyle w:val="TtulodeTDC"/>
            <w:spacing w:line="360" w:lineRule="auto"/>
            <w:rPr>
              <w:b w:val="0"/>
              <w:bCs/>
              <w:szCs w:val="22"/>
              <w:lang w:val="es-ES"/>
            </w:rPr>
          </w:pPr>
          <w:r w:rsidRPr="00FC0A7F">
            <w:rPr>
              <w:b w:val="0"/>
              <w:bCs/>
              <w:szCs w:val="22"/>
              <w:lang w:val="es-ES"/>
            </w:rPr>
            <w:t xml:space="preserve">RESOLUCIÓN DEL RECURSO DE REVISIÓN </w:t>
          </w:r>
          <w:r w:rsidR="00B13008">
            <w:rPr>
              <w:b w:val="0"/>
              <w:bCs/>
              <w:szCs w:val="22"/>
              <w:lang w:val="es-ES"/>
            </w:rPr>
            <w:t>09671</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18978A60"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66EDDBAE"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FC0A7F">
              <w:rPr>
                <w:rStyle w:val="Hipervnculo"/>
                <w:rFonts w:ascii="Palatino Linotype" w:hAnsi="Palatino Linotype"/>
                <w:noProof/>
                <w:sz w:val="22"/>
                <w:szCs w:val="22"/>
              </w:rPr>
              <w:t>I. Presentación de la solicitud de información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_Toc189571927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180FEE28" w14:textId="3E5F3D41"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FC0A7F">
              <w:rPr>
                <w:rStyle w:val="Hipervnculo"/>
                <w:rFonts w:ascii="Palatino Linotype" w:hAnsi="Palatino Linotype"/>
                <w:noProof/>
                <w:sz w:val="22"/>
                <w:szCs w:val="22"/>
              </w:rPr>
              <w:t>II. Respuesta del Sujeto Obligado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_Toc189571928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3</w:t>
            </w:r>
            <w:r w:rsidR="00D2369D" w:rsidRPr="00FC0A7F">
              <w:rPr>
                <w:rFonts w:ascii="Palatino Linotype" w:hAnsi="Palatino Linotype"/>
                <w:noProof/>
                <w:webHidden/>
                <w:sz w:val="22"/>
                <w:szCs w:val="22"/>
              </w:rPr>
              <w:fldChar w:fldCharType="end"/>
            </w:r>
          </w:hyperlink>
        </w:p>
        <w:p w14:paraId="3630399E" w14:textId="46084F52"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FC0A7F">
              <w:rPr>
                <w:rStyle w:val="Hipervnculo"/>
                <w:rFonts w:ascii="Palatino Linotype" w:hAnsi="Palatino Linotype"/>
                <w:noProof/>
                <w:sz w:val="22"/>
                <w:szCs w:val="22"/>
                <w:lang w:eastAsia="en-US"/>
              </w:rPr>
              <w:t>III. Interposición del Recurso de Revisión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_Toc189571929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3</w:t>
            </w:r>
            <w:r w:rsidR="00D2369D" w:rsidRPr="00FC0A7F">
              <w:rPr>
                <w:rFonts w:ascii="Palatino Linotype" w:hAnsi="Palatino Linotype"/>
                <w:noProof/>
                <w:webHidden/>
                <w:sz w:val="22"/>
                <w:szCs w:val="22"/>
              </w:rPr>
              <w:fldChar w:fldCharType="end"/>
            </w:r>
          </w:hyperlink>
        </w:p>
        <w:p w14:paraId="731F2801" w14:textId="04FF373D"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FC0A7F">
              <w:rPr>
                <w:rStyle w:val="Hipervnculo"/>
                <w:rFonts w:ascii="Palatino Linotype" w:hAnsi="Palatino Linotype"/>
                <w:noProof/>
                <w:sz w:val="22"/>
                <w:szCs w:val="22"/>
                <w:lang w:eastAsia="en-US"/>
              </w:rPr>
              <w:t>IV. Trámite del Recurso de Revisión ante el Instituto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_Toc189571930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4</w:t>
            </w:r>
            <w:r w:rsidR="00D2369D" w:rsidRPr="00FC0A7F">
              <w:rPr>
                <w:rFonts w:ascii="Palatino Linotype" w:hAnsi="Palatino Linotype"/>
                <w:noProof/>
                <w:webHidden/>
                <w:sz w:val="22"/>
                <w:szCs w:val="22"/>
              </w:rPr>
              <w:fldChar w:fldCharType="end"/>
            </w:r>
          </w:hyperlink>
        </w:p>
        <w:p w14:paraId="0D4EA4C1" w14:textId="759FA976" w:rsidR="00D2369D" w:rsidRPr="00FC0A7F" w:rsidRDefault="0021183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FC0A7F">
              <w:rPr>
                <w:rStyle w:val="Hipervnculo"/>
                <w:rFonts w:ascii="Palatino Linotype" w:hAnsi="Palatino Linotype"/>
                <w:noProof/>
                <w:sz w:val="22"/>
                <w:szCs w:val="22"/>
                <w:lang w:val="es-ES"/>
              </w:rPr>
              <w:t>C O N S I D E R A N D O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_Toc189571931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1D13334B" w14:textId="1EA5139F"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FC0A7F">
              <w:rPr>
                <w:rStyle w:val="Hipervnculo"/>
                <w:rFonts w:ascii="Palatino Linotype" w:eastAsia="Calibri" w:hAnsi="Palatino Linotype"/>
                <w:noProof/>
                <w:sz w:val="22"/>
                <w:szCs w:val="22"/>
                <w:lang w:val="es-ES" w:eastAsia="es-MX"/>
              </w:rPr>
              <w:t xml:space="preserve">PRIMERO. </w:t>
            </w:r>
            <w:r w:rsidR="00D2369D" w:rsidRPr="00FC0A7F">
              <w:rPr>
                <w:rStyle w:val="Hipervnculo"/>
                <w:rFonts w:ascii="Palatino Linotype" w:hAnsi="Palatino Linotype"/>
                <w:noProof/>
                <w:sz w:val="22"/>
                <w:szCs w:val="22"/>
                <w:lang w:val="es-ES"/>
              </w:rPr>
              <w:t>Competencia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_Toc189571932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04A37A0C" w14:textId="586CE66D"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FC0A7F">
              <w:rPr>
                <w:rStyle w:val="Hipervnculo"/>
                <w:rFonts w:ascii="Palatino Linotype" w:eastAsia="Calibri" w:hAnsi="Palatino Linotype"/>
                <w:noProof/>
                <w:sz w:val="22"/>
                <w:szCs w:val="22"/>
                <w:lang w:val="es-ES" w:eastAsia="es-MX"/>
              </w:rPr>
              <w:t xml:space="preserve">SEGUNDO. </w:t>
            </w:r>
            <w:r w:rsidR="00D2369D" w:rsidRPr="00FC0A7F">
              <w:rPr>
                <w:rStyle w:val="Hipervnculo"/>
                <w:rFonts w:ascii="Palatino Linotype" w:hAnsi="Palatino Linotype"/>
                <w:noProof/>
                <w:sz w:val="22"/>
                <w:szCs w:val="22"/>
                <w:lang w:val="es-ES"/>
              </w:rPr>
              <w:t>Causales de improcedencia y Sobreseimiento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_Toc189571933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0E8DE1E0" w14:textId="385F2DFA"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FC0A7F">
              <w:rPr>
                <w:rStyle w:val="Hipervnculo"/>
                <w:rFonts w:ascii="Palatino Linotype" w:hAnsi="Palatino Linotype"/>
                <w:noProof/>
                <w:sz w:val="22"/>
                <w:szCs w:val="22"/>
                <w:lang w:val="es-ES"/>
              </w:rPr>
              <w:t>TERCERO. Determinación de la Controversia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_Toc189571934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7</w:t>
            </w:r>
            <w:r w:rsidR="00D2369D" w:rsidRPr="00FC0A7F">
              <w:rPr>
                <w:rFonts w:ascii="Palatino Linotype" w:hAnsi="Palatino Linotype"/>
                <w:noProof/>
                <w:webHidden/>
                <w:sz w:val="22"/>
                <w:szCs w:val="22"/>
              </w:rPr>
              <w:fldChar w:fldCharType="end"/>
            </w:r>
          </w:hyperlink>
        </w:p>
        <w:p w14:paraId="741EF4BC" w14:textId="054693E8"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FC0A7F">
              <w:rPr>
                <w:rStyle w:val="Hipervnculo"/>
                <w:rFonts w:ascii="Palatino Linotype" w:hAnsi="Palatino Linotype"/>
                <w:noProof/>
                <w:sz w:val="22"/>
                <w:szCs w:val="22"/>
                <w:lang w:val="es-ES"/>
              </w:rPr>
              <w:t xml:space="preserve">CUARTO. </w:t>
            </w:r>
            <w:r w:rsidR="00D2369D" w:rsidRPr="00FC0A7F">
              <w:rPr>
                <w:rStyle w:val="Hipervnculo"/>
                <w:rFonts w:ascii="Palatino Linotype" w:hAnsi="Palatino Linotype"/>
                <w:noProof/>
                <w:sz w:val="22"/>
                <w:szCs w:val="22"/>
              </w:rPr>
              <w:t>Marco normativo aplicable en materia de transparencia y acceso a la información pública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_Toc189571935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8</w:t>
            </w:r>
            <w:r w:rsidR="00D2369D" w:rsidRPr="00FC0A7F">
              <w:rPr>
                <w:rFonts w:ascii="Palatino Linotype" w:hAnsi="Palatino Linotype"/>
                <w:noProof/>
                <w:webHidden/>
                <w:sz w:val="22"/>
                <w:szCs w:val="22"/>
              </w:rPr>
              <w:fldChar w:fldCharType="end"/>
            </w:r>
          </w:hyperlink>
        </w:p>
        <w:p w14:paraId="629FD07F" w14:textId="684DFF15"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FC0A7F">
              <w:rPr>
                <w:rStyle w:val="Hipervnculo"/>
                <w:rFonts w:ascii="Palatino Linotype" w:hAnsi="Palatino Linotype"/>
                <w:noProof/>
                <w:sz w:val="22"/>
                <w:szCs w:val="22"/>
                <w:lang w:val="es-ES"/>
              </w:rPr>
              <w:t>QUINTO. Estudio de Fondo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9</w:t>
            </w:r>
            <w:r w:rsidR="00D2369D" w:rsidRPr="00FC0A7F">
              <w:rPr>
                <w:rFonts w:ascii="Palatino Linotype" w:hAnsi="Palatino Linotype"/>
                <w:noProof/>
                <w:webHidden/>
                <w:sz w:val="22"/>
                <w:szCs w:val="22"/>
              </w:rPr>
              <w:fldChar w:fldCharType="end"/>
            </w:r>
          </w:hyperlink>
        </w:p>
        <w:p w14:paraId="280E9040" w14:textId="1E1EB0F6"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FC0A7F">
              <w:rPr>
                <w:rStyle w:val="Hipervnculo"/>
                <w:rFonts w:ascii="Palatino Linotype" w:hAnsi="Palatino Linotype"/>
                <w:noProof/>
                <w:sz w:val="22"/>
                <w:szCs w:val="22"/>
              </w:rPr>
              <w:t>SEXTO. Decisión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_Toc189571937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16</w:t>
            </w:r>
            <w:r w:rsidR="00D2369D" w:rsidRPr="00FC0A7F">
              <w:rPr>
                <w:rFonts w:ascii="Palatino Linotype" w:hAnsi="Palatino Linotype"/>
                <w:noProof/>
                <w:webHidden/>
                <w:sz w:val="22"/>
                <w:szCs w:val="22"/>
              </w:rPr>
              <w:fldChar w:fldCharType="end"/>
            </w:r>
          </w:hyperlink>
        </w:p>
        <w:p w14:paraId="51C0A13E" w14:textId="3D2D127E" w:rsidR="00D2369D" w:rsidRPr="00FC0A7F" w:rsidRDefault="0021183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FC0A7F">
              <w:rPr>
                <w:rStyle w:val="Hipervnculo"/>
                <w:rFonts w:ascii="Palatino Linotype" w:hAnsi="Palatino Linotype"/>
                <w:noProof/>
                <w:sz w:val="22"/>
                <w:szCs w:val="22"/>
              </w:rPr>
              <w:t>SÉPTIMO. Vista a la Secretaría</w:t>
            </w:r>
            <w:r w:rsidR="00D2369D" w:rsidRPr="00FC0A7F">
              <w:rPr>
                <w:rStyle w:val="Hipervnculo"/>
                <w:rFonts w:ascii="Palatino Linotype" w:hAnsi="Palatino Linotype"/>
                <w:noProof/>
                <w:sz w:val="22"/>
                <w:szCs w:val="22"/>
                <w:lang w:val="x-none"/>
              </w:rPr>
              <w:t xml:space="preserve"> Técnica del </w:t>
            </w:r>
            <w:r w:rsidR="00D2369D" w:rsidRPr="00FC0A7F">
              <w:rPr>
                <w:rStyle w:val="Hipervnculo"/>
                <w:rFonts w:ascii="Palatino Linotype" w:hAnsi="Palatino Linotype"/>
                <w:noProof/>
                <w:sz w:val="22"/>
                <w:szCs w:val="22"/>
              </w:rPr>
              <w:t>Pleno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_Toc189571938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17</w:t>
            </w:r>
            <w:r w:rsidR="00D2369D" w:rsidRPr="00FC0A7F">
              <w:rPr>
                <w:rFonts w:ascii="Palatino Linotype" w:hAnsi="Palatino Linotype"/>
                <w:noProof/>
                <w:webHidden/>
                <w:sz w:val="22"/>
                <w:szCs w:val="22"/>
              </w:rPr>
              <w:fldChar w:fldCharType="end"/>
            </w:r>
          </w:hyperlink>
        </w:p>
        <w:p w14:paraId="65F6B7FD" w14:textId="0DF8E8FB" w:rsidR="00D2369D" w:rsidRPr="00FC0A7F" w:rsidRDefault="0021183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FC0A7F">
              <w:rPr>
                <w:rStyle w:val="Hipervnculo"/>
                <w:rFonts w:ascii="Palatino Linotype" w:hAnsi="Palatino Linotype"/>
                <w:noProof/>
                <w:sz w:val="22"/>
                <w:szCs w:val="22"/>
              </w:rPr>
              <w:t>R E S U E L V E</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_Toc189571939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8058A4">
              <w:rPr>
                <w:rFonts w:ascii="Palatino Linotype" w:hAnsi="Palatino Linotype"/>
                <w:noProof/>
                <w:webHidden/>
                <w:sz w:val="22"/>
                <w:szCs w:val="22"/>
              </w:rPr>
              <w:t>19</w:t>
            </w:r>
            <w:r w:rsidR="00D2369D"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0E0198DA"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B13008">
        <w:rPr>
          <w:rFonts w:ascii="Palatino Linotype" w:hAnsi="Palatino Linotype" w:cs="Tahoma"/>
          <w:bCs/>
          <w:sz w:val="22"/>
          <w:szCs w:val="22"/>
        </w:rPr>
        <w:t>diez de septiembre</w:t>
      </w:r>
      <w:r w:rsidR="00881C2B" w:rsidRPr="00FC0A7F">
        <w:rPr>
          <w:rFonts w:ascii="Palatino Linotype" w:hAnsi="Palatino Linotype" w:cs="Tahoma"/>
          <w:bCs/>
          <w:sz w:val="22"/>
          <w:szCs w:val="22"/>
        </w:rPr>
        <w:t xml:space="preserve"> 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1D8B9424"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B13008" w:rsidRPr="00DD2DC2">
        <w:rPr>
          <w:rFonts w:ascii="Palatino Linotype" w:eastAsiaTheme="minorHAnsi" w:hAnsi="Palatino Linotype" w:cstheme="minorBidi"/>
          <w:b/>
          <w:color w:val="000000" w:themeColor="text1"/>
          <w:sz w:val="22"/>
          <w:szCs w:val="22"/>
          <w:lang w:eastAsia="en-US"/>
        </w:rPr>
        <w:t>09671</w:t>
      </w:r>
      <w:r w:rsidR="0032214E" w:rsidRPr="00DD2DC2">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5F2EB8">
        <w:rPr>
          <w:rFonts w:ascii="Palatino Linotype" w:eastAsiaTheme="minorHAnsi" w:hAnsi="Palatino Linotype" w:cstheme="minorBidi"/>
          <w:color w:val="000000" w:themeColor="text1"/>
          <w:sz w:val="22"/>
          <w:szCs w:val="22"/>
          <w:lang w:eastAsia="en-US"/>
        </w:rPr>
        <w:t xml:space="preserve"> por </w:t>
      </w:r>
      <w:r w:rsidR="00087F14">
        <w:rPr>
          <w:rFonts w:ascii="Palatino Linotype" w:eastAsiaTheme="minorHAnsi" w:hAnsi="Palatino Linotype" w:cstheme="minorBidi"/>
          <w:color w:val="000000" w:themeColor="text1"/>
          <w:sz w:val="22"/>
          <w:szCs w:val="22"/>
          <w:lang w:eastAsia="en-US"/>
        </w:rPr>
        <w:t>la persona</w:t>
      </w:r>
      <w:r w:rsidR="005F2EB8">
        <w:rPr>
          <w:rFonts w:ascii="Palatino Linotype" w:eastAsiaTheme="minorHAnsi" w:hAnsi="Palatino Linotype" w:cstheme="minorBidi"/>
          <w:color w:val="000000" w:themeColor="text1"/>
          <w:sz w:val="22"/>
          <w:szCs w:val="22"/>
          <w:lang w:eastAsia="en-US"/>
        </w:rPr>
        <w:t xml:space="preserve"> </w:t>
      </w:r>
      <w:r w:rsidRPr="00FC0A7F">
        <w:rPr>
          <w:rFonts w:ascii="Palatino Linotype" w:eastAsiaTheme="minorHAnsi" w:hAnsi="Palatino Linotype" w:cs="Tahoma"/>
          <w:color w:val="0D0D0D" w:themeColor="text1" w:themeTint="F2"/>
          <w:sz w:val="22"/>
          <w:szCs w:val="22"/>
          <w:lang w:eastAsia="en-US"/>
        </w:rPr>
        <w:t>Recurrente o Particular</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bookmarkStart w:id="0" w:name="_GoBack"/>
      <w:r w:rsidR="00B13008" w:rsidRPr="00DD2DC2">
        <w:rPr>
          <w:rFonts w:ascii="Palatino Linotype" w:eastAsia="Calibri" w:hAnsi="Palatino Linotype" w:cs="Tahoma"/>
          <w:b/>
          <w:bCs/>
          <w:sz w:val="22"/>
          <w:szCs w:val="22"/>
          <w:lang w:eastAsia="en-US"/>
        </w:rPr>
        <w:t>Sistema Municipal Para el Desarrollo Integral de la Familia de Cuautitlán Izcalli</w:t>
      </w:r>
      <w:r w:rsidRPr="00DD2DC2">
        <w:rPr>
          <w:rFonts w:ascii="Palatino Linotype" w:eastAsiaTheme="minorHAnsi" w:hAnsi="Palatino Linotype" w:cstheme="minorBidi"/>
          <w:b/>
          <w:color w:val="000000" w:themeColor="text1"/>
          <w:sz w:val="22"/>
          <w:szCs w:val="22"/>
          <w:lang w:eastAsia="en-US"/>
        </w:rPr>
        <w:t>,</w:t>
      </w:r>
      <w:bookmarkEnd w:id="0"/>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B13008">
        <w:rPr>
          <w:rFonts w:ascii="Palatino Linotype" w:eastAsiaTheme="minorHAnsi" w:hAnsi="Palatino Linotype" w:cstheme="minorBidi"/>
          <w:color w:val="000000" w:themeColor="text1"/>
          <w:sz w:val="22"/>
          <w:szCs w:val="22"/>
          <w:lang w:eastAsia="en-US"/>
        </w:rPr>
        <w:t>00076</w:t>
      </w:r>
      <w:r w:rsidR="006C3EAD">
        <w:rPr>
          <w:rFonts w:ascii="Palatino Linotype" w:eastAsiaTheme="minorHAnsi" w:hAnsi="Palatino Linotype" w:cstheme="minorBidi"/>
          <w:color w:val="000000" w:themeColor="text1"/>
          <w:sz w:val="22"/>
          <w:szCs w:val="22"/>
          <w:lang w:eastAsia="en-US"/>
        </w:rPr>
        <w:t>/</w:t>
      </w:r>
      <w:r w:rsidR="00B13008">
        <w:rPr>
          <w:rFonts w:ascii="Palatino Linotype" w:eastAsiaTheme="minorHAnsi" w:hAnsi="Palatino Linotype" w:cstheme="minorBidi"/>
          <w:color w:val="000000" w:themeColor="text1"/>
          <w:sz w:val="22"/>
          <w:szCs w:val="22"/>
          <w:lang w:eastAsia="en-US"/>
        </w:rPr>
        <w:t>DIFCUAUTIZ</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1" w:name="_Toc189571926"/>
      <w:r w:rsidRPr="00FC0A7F">
        <w:t>A N T E C E D E N T E S</w:t>
      </w:r>
      <w:bookmarkEnd w:id="1"/>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2" w:name="_Toc189571927"/>
      <w:r w:rsidRPr="00FC0A7F">
        <w:t>I. Presentación de la solicitud de información</w:t>
      </w:r>
      <w:bookmarkEnd w:id="2"/>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08C76E3B"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B13008">
        <w:rPr>
          <w:rFonts w:ascii="Palatino Linotype" w:eastAsiaTheme="minorHAnsi" w:hAnsi="Palatino Linotype" w:cs="Tahoma"/>
          <w:color w:val="000000" w:themeColor="text1"/>
          <w:sz w:val="22"/>
          <w:szCs w:val="22"/>
          <w:lang w:eastAsia="en-US"/>
        </w:rPr>
        <w:t>dos de julio</w:t>
      </w:r>
      <w:r w:rsidR="006C3EAD">
        <w:rPr>
          <w:rFonts w:ascii="Palatino Linotype" w:eastAsiaTheme="minorHAnsi" w:hAnsi="Palatino Linotype" w:cs="Tahoma"/>
          <w:color w:val="000000" w:themeColor="text1"/>
          <w:sz w:val="22"/>
          <w:szCs w:val="22"/>
          <w:lang w:eastAsia="en-US"/>
        </w:rPr>
        <w:t xml:space="preserve"> de dos mil veinticinco,</w:t>
      </w:r>
      <w:r w:rsidR="00253EAE" w:rsidRPr="00FC0A7F">
        <w:rPr>
          <w:rFonts w:ascii="Palatino Linotype" w:hAnsi="Palatino Linotype" w:cs="Tahoma"/>
          <w:sz w:val="22"/>
          <w:szCs w:val="22"/>
        </w:rPr>
        <w:t xml:space="preserve"> el Particular presentó solicitud de acceso a la información pública, a través del Sistema de Acceso a la Información Mexiquense (SAIMEX), 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253EAE" w:rsidRPr="00FC0A7F">
        <w:rPr>
          <w:rFonts w:ascii="Palatino Linotype" w:hAnsi="Palatino Linotype"/>
          <w:bCs/>
          <w:sz w:val="22"/>
          <w:szCs w:val="22"/>
        </w:rPr>
        <w:t>,</w:t>
      </w:r>
      <w:r w:rsidR="00253EAE" w:rsidRPr="00FC0A7F">
        <w:rPr>
          <w:rFonts w:ascii="Palatino Linotype" w:hAnsi="Palatino Linotype" w:cs="Tahoma"/>
          <w:bCs/>
          <w:sz w:val="22"/>
          <w:szCs w:val="22"/>
        </w:rPr>
        <w:t xml:space="preserve"> 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372368C1" w14:textId="778CED8E" w:rsidR="00253EAE" w:rsidRPr="00FC0A7F" w:rsidRDefault="00B13008" w:rsidP="00442CAA">
      <w:pPr>
        <w:tabs>
          <w:tab w:val="left" w:pos="4667"/>
        </w:tabs>
        <w:spacing w:line="360" w:lineRule="auto"/>
        <w:ind w:left="567" w:right="567"/>
        <w:jc w:val="both"/>
        <w:rPr>
          <w:rFonts w:ascii="Palatino Linotype" w:hAnsi="Palatino Linotype" w:cs="Tahoma"/>
          <w:bCs/>
          <w:i/>
        </w:rPr>
      </w:pPr>
      <w:r w:rsidRPr="00B13008">
        <w:rPr>
          <w:rFonts w:ascii="Palatino Linotype" w:hAnsi="Palatino Linotype"/>
          <w:i/>
          <w:color w:val="000000"/>
        </w:rPr>
        <w:t>SOLICITO EN VERSIÓN PÚBLICA LOS RECIBOS DE NOMINA DE LA PRIMERA Y SEGUNDA QUINCENA DEL MES DE JUNIO DE 2025 DE TODO EL PERSONAL ADSCRITO A LA UNIDAD DE A</w:t>
      </w:r>
      <w:r>
        <w:rPr>
          <w:rFonts w:ascii="Palatino Linotype" w:hAnsi="Palatino Linotype"/>
          <w:i/>
          <w:color w:val="000000"/>
        </w:rPr>
        <w:t>TENCIÓN DE LOS ADULTOS MAYORES</w:t>
      </w:r>
      <w:proofErr w:type="gramStart"/>
      <w:r>
        <w:rPr>
          <w:rFonts w:ascii="Palatino Linotype" w:hAnsi="Palatino Linotype"/>
          <w:i/>
          <w:color w:val="000000"/>
        </w:rPr>
        <w:t>.</w:t>
      </w:r>
      <w:r w:rsidR="006C3EAD" w:rsidRPr="006C3EAD">
        <w:rPr>
          <w:rFonts w:ascii="Palatino Linotype" w:hAnsi="Palatino Linotype"/>
          <w:i/>
          <w:color w:val="000000"/>
        </w:rPr>
        <w:t>.</w:t>
      </w:r>
      <w:r w:rsidR="00253EAE" w:rsidRPr="00FC0A7F">
        <w:rPr>
          <w:rFonts w:ascii="Palatino Linotype" w:hAnsi="Palatino Linotype" w:cs="Tahoma"/>
          <w:bCs/>
          <w:i/>
        </w:rPr>
        <w:t>”</w:t>
      </w:r>
      <w:proofErr w:type="gramEnd"/>
      <w:r w:rsidR="00253EAE" w:rsidRPr="00FC0A7F">
        <w:rPr>
          <w:rFonts w:ascii="Palatino Linotype" w:hAnsi="Palatino Linotype" w:cs="Tahoma"/>
          <w:bCs/>
          <w:i/>
        </w:rPr>
        <w:t xml:space="preserve"> (Sic.)</w:t>
      </w:r>
    </w:p>
    <w:p w14:paraId="1DBA1A78" w14:textId="77777777" w:rsidR="00A90989" w:rsidRPr="00FC0A7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3" w:name="_Toc189571928"/>
      <w:r w:rsidRPr="00FC0A7F">
        <w:lastRenderedPageBreak/>
        <w:t>I</w:t>
      </w:r>
      <w:r w:rsidR="004805C1" w:rsidRPr="00FC0A7F">
        <w:t>I</w:t>
      </w:r>
      <w:r w:rsidRPr="00FC0A7F">
        <w:t>. Respuesta del Sujeto Obligado</w:t>
      </w:r>
      <w:bookmarkEnd w:id="3"/>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4BC91EB3"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B13008" w:rsidRPr="00B13008">
        <w:rPr>
          <w:rFonts w:ascii="Palatino Linotype" w:eastAsia="Calibri" w:hAnsi="Palatino Linotype" w:cs="Tahoma"/>
          <w:b/>
          <w:bCs/>
          <w:sz w:val="22"/>
          <w:szCs w:val="22"/>
          <w:lang w:eastAsia="en-US"/>
        </w:rPr>
        <w:t>Sistema Municipal Para el Desarrollo Integral de la Familia de Cuautitlán Izcalli</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4" w:name="_Toc189571929"/>
      <w:r w:rsidRPr="00FC0A7F">
        <w:rPr>
          <w:lang w:eastAsia="en-US"/>
        </w:rPr>
        <w:t>I</w:t>
      </w:r>
      <w:r w:rsidR="00D2369D" w:rsidRPr="00FC0A7F">
        <w:rPr>
          <w:lang w:eastAsia="en-US"/>
        </w:rPr>
        <w:t>II</w:t>
      </w:r>
      <w:r w:rsidRPr="00FC0A7F">
        <w:rPr>
          <w:lang w:eastAsia="en-US"/>
        </w:rPr>
        <w:t>. Interposición del Recurso de Revisión</w:t>
      </w:r>
      <w:bookmarkEnd w:id="4"/>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00A2E2A4"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B13008">
        <w:rPr>
          <w:rFonts w:ascii="Palatino Linotype" w:hAnsi="Palatino Linotype" w:cs="Tahoma"/>
          <w:bCs/>
          <w:iCs/>
          <w:color w:val="000000" w:themeColor="text1"/>
          <w:sz w:val="22"/>
          <w:szCs w:val="22"/>
        </w:rPr>
        <w:t>dieciocho de agosto</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5E5B742C" w:rsidR="00F469B3" w:rsidRPr="00FC0A7F" w:rsidRDefault="00B13008" w:rsidP="00442CAA">
      <w:pPr>
        <w:spacing w:line="360" w:lineRule="auto"/>
        <w:ind w:left="567" w:right="567"/>
        <w:jc w:val="both"/>
        <w:rPr>
          <w:rFonts w:ascii="Palatino Linotype" w:eastAsiaTheme="minorHAnsi" w:hAnsi="Palatino Linotype" w:cstheme="minorBidi"/>
          <w:i/>
          <w:color w:val="000000" w:themeColor="text1"/>
          <w:lang w:eastAsia="en-US"/>
        </w:rPr>
      </w:pPr>
      <w:r w:rsidRPr="00B13008">
        <w:rPr>
          <w:rFonts w:ascii="Palatino Linotype" w:hAnsi="Palatino Linotype"/>
          <w:i/>
          <w:color w:val="000000"/>
        </w:rPr>
        <w:t>SIN RESPUESTA</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(Sic.)</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44F3D106" w:rsidR="009861C5" w:rsidRPr="00FC0A7F" w:rsidRDefault="00B13008" w:rsidP="00442CAA">
      <w:pPr>
        <w:spacing w:line="360" w:lineRule="auto"/>
        <w:ind w:left="567" w:right="567"/>
        <w:jc w:val="both"/>
        <w:rPr>
          <w:rFonts w:ascii="Palatino Linotype" w:eastAsiaTheme="minorHAnsi" w:hAnsi="Palatino Linotype" w:cstheme="minorBidi"/>
          <w:i/>
          <w:color w:val="000000" w:themeColor="text1"/>
          <w:lang w:eastAsia="en-US"/>
        </w:rPr>
      </w:pPr>
      <w:r w:rsidRPr="00B13008">
        <w:rPr>
          <w:rFonts w:ascii="Palatino Linotype" w:hAnsi="Palatino Linotype"/>
          <w:i/>
          <w:color w:val="000000"/>
        </w:rPr>
        <w:t xml:space="preserve">NO ME DIERON RESPUESTA VIOLENTANDO MI DERECHO AL ACCESO A LA INFORMACIÓN </w:t>
      </w:r>
      <w:proofErr w:type="gramStart"/>
      <w:r w:rsidRPr="00B13008">
        <w:rPr>
          <w:rFonts w:ascii="Palatino Linotype" w:hAnsi="Palatino Linotype"/>
          <w:i/>
          <w:color w:val="000000"/>
        </w:rPr>
        <w:t>PÚBLICA ,</w:t>
      </w:r>
      <w:proofErr w:type="gramEnd"/>
      <w:r w:rsidRPr="00B13008">
        <w:rPr>
          <w:rFonts w:ascii="Palatino Linotype" w:hAnsi="Palatino Linotype"/>
          <w:i/>
          <w:color w:val="000000"/>
        </w:rPr>
        <w:t xml:space="preserve"> PODÍAN ENVIARLO EN VERSIÓN PÚBLICA</w:t>
      </w:r>
      <w:r w:rsidR="009861C5" w:rsidRPr="00FC0A7F">
        <w:rPr>
          <w:rFonts w:ascii="Palatino Linotype" w:eastAsiaTheme="minorHAnsi" w:hAnsi="Palatino Linotype" w:cstheme="minorBidi"/>
          <w:i/>
          <w:color w:val="000000" w:themeColor="text1"/>
          <w:lang w:eastAsia="en-US"/>
        </w:rPr>
        <w:t>” (Sic.)</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5" w:name="_Toc189571930"/>
      <w:r w:rsidRPr="00FC0A7F">
        <w:rPr>
          <w:lang w:eastAsia="en-US"/>
        </w:rPr>
        <w:lastRenderedPageBreak/>
        <w:t>I</w:t>
      </w:r>
      <w:r w:rsidR="00F469B3" w:rsidRPr="00FC0A7F">
        <w:rPr>
          <w:lang w:eastAsia="en-US"/>
        </w:rPr>
        <w:t>V. Trámite del Recurso de Revisión ante el Instituto</w:t>
      </w:r>
      <w:bookmarkEnd w:id="5"/>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555FCC2"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087F14">
        <w:rPr>
          <w:rFonts w:ascii="Palatino Linotype" w:hAnsi="Palatino Linotype" w:cs="Tahoma"/>
          <w:bCs/>
          <w:iCs/>
          <w:color w:val="000000" w:themeColor="text1"/>
          <w:sz w:val="22"/>
          <w:szCs w:val="22"/>
        </w:rPr>
        <w:t>dieciocho de agosto</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B13008">
        <w:rPr>
          <w:rFonts w:ascii="Palatino Linotype" w:eastAsia="Batang" w:hAnsi="Palatino Linotype" w:cs="Tahoma"/>
          <w:b/>
          <w:bCs/>
          <w:color w:val="000000" w:themeColor="text1"/>
          <w:sz w:val="22"/>
          <w:szCs w:val="22"/>
        </w:rPr>
        <w:t>09671</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5D322BFA"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B13008">
        <w:rPr>
          <w:rFonts w:ascii="Palatino Linotype" w:hAnsi="Palatino Linotype" w:cs="Tahoma"/>
          <w:bCs/>
          <w:iCs/>
          <w:color w:val="000000" w:themeColor="text1"/>
          <w:sz w:val="22"/>
          <w:szCs w:val="22"/>
        </w:rPr>
        <w:t>veintiuno de agosto</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6EC990"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087F14">
        <w:rPr>
          <w:rFonts w:ascii="Palatino Linotype" w:hAnsi="Palatino Linotype" w:cs="Tahoma"/>
          <w:b/>
          <w:sz w:val="22"/>
          <w:szCs w:val="22"/>
          <w:lang w:val="es-ES_tradnl"/>
        </w:rPr>
        <w:t xml:space="preserve"> o Informe Justificado</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087F14">
        <w:rPr>
          <w:rFonts w:ascii="Palatino Linotype" w:hAnsi="Palatino Linotype" w:cs="Tahoma"/>
          <w:iCs/>
          <w:sz w:val="22"/>
          <w:szCs w:val="22"/>
          <w:lang w:val="es-ES"/>
        </w:rPr>
        <w:t xml:space="preserve"> o alegatos</w:t>
      </w:r>
      <w:r w:rsidR="006C3EAD">
        <w:rPr>
          <w:rFonts w:ascii="Palatino Linotype" w:hAnsi="Palatino Linotype" w:cs="Tahoma"/>
          <w:iCs/>
          <w:sz w:val="22"/>
          <w:szCs w:val="22"/>
          <w:lang w:val="es-ES"/>
        </w:rPr>
        <w:t>.</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4A51C067"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B13008">
        <w:rPr>
          <w:rFonts w:ascii="Palatino Linotype" w:hAnsi="Palatino Linotype"/>
          <w:sz w:val="22"/>
          <w:szCs w:val="22"/>
        </w:rPr>
        <w:t>cuatro de septiembre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C0A7F"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FC0A7F" w:rsidRDefault="004F3A02" w:rsidP="00442CAA">
      <w:pPr>
        <w:pStyle w:val="Ttulo1"/>
        <w:rPr>
          <w:lang w:val="es-ES"/>
        </w:rPr>
      </w:pPr>
      <w:bookmarkStart w:id="6" w:name="_Toc189571931"/>
      <w:r w:rsidRPr="00FC0A7F">
        <w:rPr>
          <w:lang w:val="es-ES"/>
        </w:rPr>
        <w:t>C O N S I D E R A N D O S</w:t>
      </w:r>
      <w:bookmarkEnd w:id="6"/>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7" w:name="_Toc189571932"/>
      <w:r w:rsidRPr="00FC0A7F">
        <w:rPr>
          <w:rFonts w:eastAsia="Calibri"/>
          <w:color w:val="000000"/>
          <w:lang w:val="es-ES" w:eastAsia="es-MX"/>
        </w:rPr>
        <w:t xml:space="preserve">PRIMERO. </w:t>
      </w:r>
      <w:r w:rsidRPr="00FC0A7F">
        <w:rPr>
          <w:lang w:val="es-ES"/>
        </w:rPr>
        <w:t>Competencia</w:t>
      </w:r>
      <w:bookmarkEnd w:id="7"/>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04787C" w:rsidRDefault="0004787C" w:rsidP="0004787C">
      <w:pPr>
        <w:spacing w:line="360" w:lineRule="auto"/>
        <w:contextualSpacing/>
        <w:jc w:val="both"/>
        <w:rPr>
          <w:rFonts w:ascii="Palatino Linotype" w:hAnsi="Palatino Linotype" w:cs="Tahoma"/>
          <w:bCs/>
          <w:sz w:val="22"/>
        </w:rPr>
      </w:pPr>
      <w:bookmarkStart w:id="8" w:name="_Hlk63334754"/>
      <w:r w:rsidRPr="0004787C">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5F2EB8">
        <w:rPr>
          <w:rFonts w:ascii="Palatino Linotype" w:hAnsi="Palatino Linotype" w:cs="Tahoma"/>
          <w:bCs/>
          <w:sz w:val="22"/>
        </w:rPr>
        <w:t>trigésimo noveno, cuadragésimo y cuadragésimo primero</w:t>
      </w:r>
      <w:r w:rsidRPr="0004787C">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4787C">
        <w:rPr>
          <w:rFonts w:ascii="Palatino Linotype" w:hAnsi="Palatino Linotype"/>
          <w:bCs/>
          <w:sz w:val="22"/>
        </w:rPr>
        <w:t xml:space="preserve"> 7°, </w:t>
      </w:r>
      <w:r w:rsidRPr="0004787C">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8"/>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9"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9"/>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lastRenderedPageBreak/>
        <w:t>Causales de improcedencia</w:t>
      </w:r>
    </w:p>
    <w:p w14:paraId="338B625B" w14:textId="77777777" w:rsidR="00087F14" w:rsidRPr="00B13008" w:rsidRDefault="00087F14"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10" w:name="_Toc189571934"/>
      <w:r w:rsidRPr="00FC0A7F">
        <w:rPr>
          <w:lang w:val="es-ES"/>
        </w:rPr>
        <w:t>TERCERO. Determinación de la Controversia</w:t>
      </w:r>
      <w:bookmarkEnd w:id="10"/>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01A283FC"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B13008" w:rsidRPr="00B13008">
        <w:rPr>
          <w:rFonts w:ascii="Palatino Linotype" w:eastAsia="Calibri" w:hAnsi="Palatino Linotype" w:cs="Tahoma"/>
          <w:color w:val="000000"/>
          <w:sz w:val="22"/>
          <w:szCs w:val="22"/>
          <w:lang w:val="es-ES" w:eastAsia="es-MX"/>
        </w:rPr>
        <w:t>Sistema Municipal Para el Desarrollo Integral de la Familia de Cuautitlán Izcalli</w:t>
      </w:r>
      <w:r w:rsidR="006C3EAD">
        <w:rPr>
          <w:rFonts w:ascii="Palatino Linotype" w:eastAsia="Calibri" w:hAnsi="Palatino Linotype" w:cs="Tahoma"/>
          <w:color w:val="000000"/>
          <w:sz w:val="22"/>
          <w:szCs w:val="22"/>
          <w:lang w:val="es-ES" w:eastAsia="es-MX"/>
        </w:rPr>
        <w:t xml:space="preserve">, conocer si las personas referidas en la solicitud de información laboran en el Ayuntamiento y, de ser el caso, su </w:t>
      </w:r>
      <w:r w:rsidR="006C3EAD">
        <w:rPr>
          <w:rFonts w:ascii="Palatino Linotype" w:hAnsi="Palatino Linotype" w:cs="Tahoma"/>
          <w:bCs/>
          <w:iCs/>
          <w:sz w:val="22"/>
          <w:szCs w:val="22"/>
          <w:lang w:val="es-ES"/>
        </w:rPr>
        <w:t xml:space="preserve">área de adscripción. </w:t>
      </w:r>
    </w:p>
    <w:p w14:paraId="56228336" w14:textId="6DA6213B"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lastRenderedPageBreak/>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justamente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recursal;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1" w:name="_Toc189571935"/>
      <w:r w:rsidRPr="00FC0A7F">
        <w:rPr>
          <w:lang w:val="es-ES"/>
        </w:rPr>
        <w:t xml:space="preserve">CUARTO. </w:t>
      </w:r>
      <w:r w:rsidRPr="00FC0A7F">
        <w:t>Marco normativo aplicable en materia de transparencia y acceso a la información pública</w:t>
      </w:r>
      <w:bookmarkEnd w:id="11"/>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2" w:name="_Toc189571936"/>
      <w:r w:rsidRPr="00FC0A7F">
        <w:rPr>
          <w:lang w:val="es-ES"/>
        </w:rPr>
        <w:t>QUINTO. Estudio de Fondo</w:t>
      </w:r>
      <w:bookmarkEnd w:id="12"/>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FC0A7F">
        <w:rPr>
          <w:rFonts w:ascii="Palatino Linotype" w:hAnsi="Palatino Linotype" w:cs="Tahoma"/>
          <w:iCs/>
          <w:sz w:val="22"/>
          <w:szCs w:val="22"/>
        </w:rPr>
        <w:lastRenderedPageBreak/>
        <w:t>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78648568" w:rsidR="005A1E4C"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xml:space="preserve">, no había registrado respuesta al requerimiento de acceso a la información, el cual se presentó, el </w:t>
      </w:r>
      <w:r w:rsidR="00B13008">
        <w:rPr>
          <w:rFonts w:ascii="Palatino Linotype" w:hAnsi="Palatino Linotype" w:cs="Tahoma"/>
          <w:iCs/>
          <w:sz w:val="22"/>
          <w:szCs w:val="22"/>
        </w:rPr>
        <w:t>dos de julio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5BD1C0D9"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B13008">
        <w:rPr>
          <w:rFonts w:ascii="Palatino Linotype" w:hAnsi="Palatino Linotype" w:cs="Tahoma"/>
          <w:iCs/>
          <w:sz w:val="22"/>
          <w:szCs w:val="22"/>
        </w:rPr>
        <w:t>tres de julio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4401AB">
        <w:rPr>
          <w:rFonts w:ascii="Palatino Linotype" w:hAnsi="Palatino Linotype" w:cs="Tahoma"/>
          <w:iCs/>
          <w:sz w:val="22"/>
          <w:szCs w:val="22"/>
        </w:rPr>
        <w:t xml:space="preserve">siete de </w:t>
      </w:r>
      <w:r w:rsidR="00B13008">
        <w:rPr>
          <w:rFonts w:ascii="Palatino Linotype" w:hAnsi="Palatino Linotype" w:cs="Tahoma"/>
          <w:iCs/>
          <w:sz w:val="22"/>
          <w:szCs w:val="22"/>
        </w:rPr>
        <w:t>agosto</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B13008">
        <w:rPr>
          <w:rFonts w:ascii="Palatino Linotype" w:hAnsi="Palatino Linotype" w:cs="Tahoma"/>
          <w:iCs/>
          <w:sz w:val="22"/>
          <w:szCs w:val="22"/>
        </w:rPr>
        <w:t>doce, trece, diecinueve, veinte de julio y dos y tres de agosto, d</w:t>
      </w:r>
      <w:r w:rsidR="00F90CB9" w:rsidRPr="00FC0A7F">
        <w:rPr>
          <w:rFonts w:ascii="Palatino Linotype" w:hAnsi="Palatino Linotype" w:cs="Tahoma"/>
          <w:iCs/>
          <w:sz w:val="22"/>
          <w:szCs w:val="22"/>
        </w:rPr>
        <w:t>e dos mil veinticinco</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w:t>
      </w:r>
      <w:r w:rsidRPr="00FC0A7F">
        <w:rPr>
          <w:rFonts w:ascii="Palatino Linotype" w:hAnsi="Palatino Linotype" w:cs="Tahoma"/>
          <w:iCs/>
          <w:sz w:val="22"/>
          <w:szCs w:val="22"/>
        </w:rPr>
        <w:lastRenderedPageBreak/>
        <w:t xml:space="preserve">del Estado de México y Municipios y </w:t>
      </w:r>
      <w:bookmarkStart w:id="13"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3"/>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117AE8F2">
            <wp:extent cx="3123910" cy="1235034"/>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8438" cy="124077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6656E796" w14:textId="645960E3" w:rsidR="006C3EAD" w:rsidRPr="00B13008" w:rsidRDefault="004401AB" w:rsidP="00B13008">
      <w:pPr>
        <w:spacing w:line="360" w:lineRule="auto"/>
        <w:jc w:val="both"/>
        <w:rPr>
          <w:rFonts w:ascii="Palatino Linotype" w:hAnsi="Palatino Linotype"/>
          <w:color w:val="0D0D0D"/>
          <w:sz w:val="22"/>
          <w:szCs w:val="22"/>
        </w:rPr>
      </w:pPr>
      <w:r w:rsidRPr="00B13008">
        <w:rPr>
          <w:rFonts w:ascii="Palatino Linotype" w:hAnsi="Palatino Linotype"/>
          <w:color w:val="0D0D0D"/>
          <w:sz w:val="22"/>
          <w:szCs w:val="22"/>
        </w:rPr>
        <w:lastRenderedPageBreak/>
        <w:t>Derivado de lo anterior, como se observa el Particular qu</w:t>
      </w:r>
      <w:r w:rsidR="00B13008" w:rsidRPr="00B13008">
        <w:rPr>
          <w:rFonts w:ascii="Palatino Linotype" w:hAnsi="Palatino Linotype"/>
          <w:color w:val="0D0D0D"/>
          <w:sz w:val="22"/>
          <w:szCs w:val="22"/>
        </w:rPr>
        <w:t xml:space="preserve">iere conocer los recibos de nómina de la primera y segunda quincena del mes de junio de dos mil veinticinco, del personal adscrito a la unidad de atención de adultos mayores. </w:t>
      </w:r>
    </w:p>
    <w:p w14:paraId="669DE886" w14:textId="77777777" w:rsidR="00B13008" w:rsidRPr="00B13008" w:rsidRDefault="00B13008" w:rsidP="00B13008">
      <w:pPr>
        <w:spacing w:line="360" w:lineRule="auto"/>
        <w:jc w:val="both"/>
        <w:rPr>
          <w:rFonts w:ascii="Palatino Linotype" w:hAnsi="Palatino Linotype"/>
          <w:color w:val="0D0D0D"/>
          <w:sz w:val="22"/>
          <w:szCs w:val="22"/>
        </w:rPr>
      </w:pPr>
    </w:p>
    <w:p w14:paraId="18D0B0EE" w14:textId="29503FAB" w:rsidR="00B13008" w:rsidRPr="00B13008" w:rsidRDefault="00B13008" w:rsidP="00B13008">
      <w:pPr>
        <w:spacing w:line="360" w:lineRule="auto"/>
        <w:ind w:right="-28"/>
        <w:jc w:val="both"/>
        <w:rPr>
          <w:rFonts w:ascii="Palatino Linotype" w:hAnsi="Palatino Linotype"/>
          <w:sz w:val="22"/>
          <w:szCs w:val="22"/>
        </w:rPr>
      </w:pPr>
      <w:r>
        <w:rPr>
          <w:rFonts w:ascii="Palatino Linotype" w:hAnsi="Palatino Linotype"/>
          <w:sz w:val="22"/>
          <w:szCs w:val="22"/>
        </w:rPr>
        <w:t>Por lo que</w:t>
      </w:r>
      <w:r w:rsidRPr="00B13008">
        <w:rPr>
          <w:rFonts w:ascii="Palatino Linotype" w:hAnsi="Palatino Linotype"/>
          <w:sz w:val="22"/>
          <w:szCs w:val="22"/>
        </w:rPr>
        <w:t>,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19205342" w14:textId="77777777" w:rsidR="00B13008" w:rsidRPr="00B13008" w:rsidRDefault="00B13008" w:rsidP="00B13008">
      <w:pPr>
        <w:spacing w:line="360" w:lineRule="auto"/>
        <w:ind w:right="-28"/>
        <w:jc w:val="both"/>
        <w:rPr>
          <w:rFonts w:ascii="Palatino Linotype" w:hAnsi="Palatino Linotype"/>
          <w:sz w:val="22"/>
          <w:szCs w:val="22"/>
        </w:rPr>
      </w:pPr>
    </w:p>
    <w:p w14:paraId="0826D8AE" w14:textId="77777777" w:rsidR="00B13008" w:rsidRPr="00B13008" w:rsidRDefault="00B13008" w:rsidP="00B13008">
      <w:pPr>
        <w:spacing w:line="360" w:lineRule="auto"/>
        <w:ind w:right="-28"/>
        <w:jc w:val="both"/>
        <w:rPr>
          <w:rFonts w:ascii="Palatino Linotype" w:hAnsi="Palatino Linotype"/>
          <w:sz w:val="22"/>
          <w:szCs w:val="22"/>
        </w:rPr>
      </w:pPr>
      <w:r w:rsidRPr="00B13008">
        <w:rPr>
          <w:rFonts w:ascii="Palatino Linotype" w:hAnsi="Palatino Linotype"/>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5534C8C" w14:textId="77777777" w:rsidR="00B13008" w:rsidRPr="00B13008" w:rsidRDefault="00B13008" w:rsidP="00B13008">
      <w:pPr>
        <w:spacing w:line="360" w:lineRule="auto"/>
        <w:ind w:right="-28"/>
        <w:jc w:val="both"/>
        <w:rPr>
          <w:rFonts w:ascii="Palatino Linotype" w:hAnsi="Palatino Linotype"/>
          <w:sz w:val="22"/>
          <w:szCs w:val="22"/>
        </w:rPr>
      </w:pPr>
    </w:p>
    <w:p w14:paraId="77AC7FAE" w14:textId="77777777" w:rsidR="00B13008" w:rsidRPr="00B13008" w:rsidRDefault="00B13008" w:rsidP="00B13008">
      <w:pPr>
        <w:tabs>
          <w:tab w:val="left" w:pos="4962"/>
        </w:tabs>
        <w:spacing w:line="360" w:lineRule="auto"/>
        <w:jc w:val="both"/>
        <w:rPr>
          <w:rFonts w:ascii="Palatino Linotype" w:hAnsi="Palatino Linotype"/>
          <w:sz w:val="22"/>
          <w:szCs w:val="22"/>
        </w:rPr>
      </w:pPr>
      <w:r w:rsidRPr="00B13008">
        <w:rPr>
          <w:rFonts w:ascii="Palatino Linotype" w:hAnsi="Palatino Linotype"/>
          <w:sz w:val="22"/>
          <w:szCs w:val="22"/>
        </w:rPr>
        <w:t>De la misma manera, el Manual para la Planeación, Programación y presupuesto de egresos Municipal para el ejercicio fiscal dos mil veinticinco, refiere que las remuneraciones consisten en la percepción de un trabajador o atribución monetaria que se da en pago por su servicio o actividad.</w:t>
      </w:r>
    </w:p>
    <w:p w14:paraId="2FAB3AD6" w14:textId="77777777" w:rsidR="00B13008" w:rsidRPr="00B13008" w:rsidRDefault="00B13008" w:rsidP="00B13008">
      <w:pPr>
        <w:tabs>
          <w:tab w:val="left" w:pos="4962"/>
        </w:tabs>
        <w:spacing w:line="360" w:lineRule="auto"/>
        <w:jc w:val="both"/>
        <w:rPr>
          <w:rFonts w:ascii="Palatino Linotype" w:hAnsi="Palatino Linotype"/>
          <w:sz w:val="22"/>
          <w:szCs w:val="22"/>
        </w:rPr>
      </w:pPr>
    </w:p>
    <w:p w14:paraId="56FCEAB3" w14:textId="77777777" w:rsidR="00B13008" w:rsidRPr="00B13008" w:rsidRDefault="00B13008" w:rsidP="00B13008">
      <w:pPr>
        <w:tabs>
          <w:tab w:val="left" w:pos="4962"/>
        </w:tabs>
        <w:spacing w:line="360" w:lineRule="auto"/>
        <w:jc w:val="both"/>
        <w:rPr>
          <w:rFonts w:ascii="Palatino Linotype" w:hAnsi="Palatino Linotype"/>
          <w:sz w:val="22"/>
          <w:szCs w:val="22"/>
        </w:rPr>
      </w:pPr>
      <w:r w:rsidRPr="00B13008">
        <w:rPr>
          <w:rFonts w:ascii="Palatino Linotype" w:hAnsi="Palatino Linotype"/>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C4AF64" w14:textId="77777777" w:rsidR="00B13008" w:rsidRPr="00B13008" w:rsidRDefault="00B13008" w:rsidP="00B13008">
      <w:pPr>
        <w:tabs>
          <w:tab w:val="left" w:pos="4962"/>
        </w:tabs>
        <w:spacing w:line="360" w:lineRule="auto"/>
        <w:jc w:val="both"/>
        <w:rPr>
          <w:rFonts w:ascii="Palatino Linotype" w:hAnsi="Palatino Linotype"/>
          <w:sz w:val="22"/>
          <w:szCs w:val="22"/>
        </w:rPr>
      </w:pPr>
    </w:p>
    <w:p w14:paraId="77896B69" w14:textId="77777777" w:rsidR="00B13008" w:rsidRPr="00B13008" w:rsidRDefault="00B13008" w:rsidP="00B13008">
      <w:pPr>
        <w:tabs>
          <w:tab w:val="left" w:pos="4962"/>
        </w:tabs>
        <w:spacing w:line="360" w:lineRule="auto"/>
        <w:jc w:val="both"/>
        <w:rPr>
          <w:rFonts w:ascii="Palatino Linotype" w:hAnsi="Palatino Linotype"/>
          <w:sz w:val="22"/>
          <w:szCs w:val="22"/>
        </w:rPr>
      </w:pPr>
      <w:r w:rsidRPr="00B13008">
        <w:rPr>
          <w:rFonts w:ascii="Palatino Linotype" w:hAnsi="Palatino Linotype"/>
          <w:sz w:val="22"/>
          <w:szCs w:val="22"/>
        </w:rPr>
        <w:lastRenderedPageBreak/>
        <w:t>Además, respecto al documento requerido, el Glosario localizado en la página de Transparencia Presupuestaria de la Secretaría de Hacienda y Crédito Público (</w:t>
      </w:r>
      <w:hyperlink r:id="rId9">
        <w:r w:rsidRPr="00B13008">
          <w:rPr>
            <w:rFonts w:ascii="Palatino Linotype" w:hAnsi="Palatino Linotype"/>
            <w:color w:val="0000FF"/>
            <w:sz w:val="22"/>
            <w:szCs w:val="22"/>
            <w:u w:val="single"/>
          </w:rPr>
          <w:t>http://www.transparenciapresupuestaria.gob.mx/es/PTP/Glosario</w:t>
        </w:r>
      </w:hyperlink>
      <w:r w:rsidRPr="00B13008">
        <w:rPr>
          <w:rFonts w:ascii="Palatino Linotype" w:hAnsi="Palatino Linotype"/>
          <w:sz w:val="22"/>
          <w:szCs w:val="22"/>
        </w:rPr>
        <w:t xml:space="preserve">), establece que la </w:t>
      </w:r>
      <w:r w:rsidRPr="00B13008">
        <w:rPr>
          <w:rFonts w:ascii="Palatino Linotype" w:hAnsi="Palatino Linotype"/>
          <w:b/>
          <w:sz w:val="22"/>
          <w:szCs w:val="22"/>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DEAA469" w14:textId="77777777" w:rsidR="00B13008" w:rsidRPr="00B13008" w:rsidRDefault="00B13008" w:rsidP="00B13008">
      <w:pPr>
        <w:tabs>
          <w:tab w:val="left" w:pos="4962"/>
        </w:tabs>
        <w:spacing w:line="360" w:lineRule="auto"/>
        <w:jc w:val="both"/>
        <w:rPr>
          <w:rFonts w:ascii="Palatino Linotype" w:hAnsi="Palatino Linotype"/>
          <w:sz w:val="22"/>
          <w:szCs w:val="22"/>
        </w:rPr>
      </w:pPr>
    </w:p>
    <w:p w14:paraId="5DB2475B" w14:textId="77777777" w:rsidR="00B13008" w:rsidRPr="00B13008" w:rsidRDefault="00B13008" w:rsidP="00B13008">
      <w:pPr>
        <w:tabs>
          <w:tab w:val="left" w:pos="4962"/>
        </w:tabs>
        <w:spacing w:line="360" w:lineRule="auto"/>
        <w:jc w:val="both"/>
        <w:rPr>
          <w:rFonts w:ascii="Palatino Linotype" w:hAnsi="Palatino Linotype"/>
          <w:sz w:val="22"/>
          <w:szCs w:val="22"/>
        </w:rPr>
      </w:pPr>
      <w:r w:rsidRPr="00B13008">
        <w:rPr>
          <w:rFonts w:ascii="Palatino Linotype" w:hAnsi="Palatino Linotype"/>
          <w:sz w:val="22"/>
          <w:szCs w:val="22"/>
        </w:rPr>
        <w:t>De la misma manera, el Glosario de términos más usuales en la Administración Pública Federal, emitido por la Secretaría de Hacienda y Crédito Público (</w:t>
      </w:r>
      <w:hyperlink r:id="rId10">
        <w:r w:rsidRPr="00B13008">
          <w:rPr>
            <w:rFonts w:ascii="Palatino Linotype" w:hAnsi="Palatino Linotype"/>
            <w:color w:val="0000FF"/>
            <w:sz w:val="22"/>
            <w:szCs w:val="22"/>
            <w:u w:val="single"/>
          </w:rPr>
          <w:t>http://www.apartados.hacienda.gob.mx/contabilidad/documentos/informe_cuenta/1998/cuenta_pública/Glosario/n.htm</w:t>
        </w:r>
      </w:hyperlink>
      <w:r w:rsidRPr="00B13008">
        <w:rPr>
          <w:rFonts w:ascii="Palatino Linotype" w:hAnsi="Palatino Linotype"/>
          <w:sz w:val="22"/>
          <w:szCs w:val="22"/>
        </w:rPr>
        <w:t>), establece que la nómina es un listado general de los trabajadores de una institución, en el cual se asientan las percepciones brutas, deducciones y alcance neto de las mismas. Conforme a lo anterior, se puede advertir que la nómina se puede referir a lo siguiente:</w:t>
      </w:r>
    </w:p>
    <w:p w14:paraId="1B68479A" w14:textId="77777777" w:rsidR="00B13008" w:rsidRPr="00B13008" w:rsidRDefault="00B13008" w:rsidP="00B13008">
      <w:pPr>
        <w:tabs>
          <w:tab w:val="left" w:pos="4962"/>
        </w:tabs>
        <w:spacing w:line="360" w:lineRule="auto"/>
        <w:jc w:val="both"/>
        <w:rPr>
          <w:rFonts w:ascii="Palatino Linotype" w:hAnsi="Palatino Linotype"/>
          <w:sz w:val="22"/>
          <w:szCs w:val="22"/>
        </w:rPr>
      </w:pPr>
    </w:p>
    <w:p w14:paraId="0A8F94BF" w14:textId="77777777" w:rsidR="00B13008" w:rsidRDefault="00B13008" w:rsidP="00B13008">
      <w:pPr>
        <w:numPr>
          <w:ilvl w:val="0"/>
          <w:numId w:val="8"/>
        </w:numPr>
        <w:pBdr>
          <w:top w:val="nil"/>
          <w:left w:val="nil"/>
          <w:bottom w:val="nil"/>
          <w:right w:val="nil"/>
          <w:between w:val="nil"/>
        </w:pBdr>
        <w:tabs>
          <w:tab w:val="left" w:pos="4962"/>
        </w:tabs>
        <w:spacing w:line="360" w:lineRule="auto"/>
        <w:ind w:left="709"/>
        <w:jc w:val="both"/>
        <w:rPr>
          <w:rFonts w:ascii="Palatino Linotype" w:hAnsi="Palatino Linotype"/>
          <w:color w:val="000000"/>
          <w:sz w:val="22"/>
          <w:szCs w:val="22"/>
        </w:rPr>
      </w:pPr>
      <w:r w:rsidRPr="00B13008">
        <w:rPr>
          <w:rFonts w:ascii="Palatino Linotype" w:hAnsi="Palatino Linotype"/>
          <w:color w:val="000000"/>
          <w:sz w:val="22"/>
          <w:szCs w:val="22"/>
        </w:rPr>
        <w:t>Relación de trabajadores con las percepciones monetarias de cada uno. </w:t>
      </w:r>
    </w:p>
    <w:p w14:paraId="7D861CFD" w14:textId="77777777" w:rsidR="00087F14" w:rsidRPr="00B13008" w:rsidRDefault="00087F14" w:rsidP="00087F14">
      <w:pPr>
        <w:pBdr>
          <w:top w:val="nil"/>
          <w:left w:val="nil"/>
          <w:bottom w:val="nil"/>
          <w:right w:val="nil"/>
          <w:between w:val="nil"/>
        </w:pBdr>
        <w:tabs>
          <w:tab w:val="left" w:pos="4962"/>
        </w:tabs>
        <w:spacing w:line="360" w:lineRule="auto"/>
        <w:ind w:left="709"/>
        <w:jc w:val="both"/>
        <w:rPr>
          <w:rFonts w:ascii="Palatino Linotype" w:hAnsi="Palatino Linotype"/>
          <w:color w:val="000000"/>
          <w:sz w:val="22"/>
          <w:szCs w:val="22"/>
        </w:rPr>
      </w:pPr>
    </w:p>
    <w:p w14:paraId="414A26E6" w14:textId="77777777" w:rsidR="00B13008" w:rsidRDefault="00B13008" w:rsidP="00B13008">
      <w:pPr>
        <w:numPr>
          <w:ilvl w:val="0"/>
          <w:numId w:val="8"/>
        </w:numPr>
        <w:pBdr>
          <w:top w:val="nil"/>
          <w:left w:val="nil"/>
          <w:bottom w:val="nil"/>
          <w:right w:val="nil"/>
          <w:between w:val="nil"/>
        </w:pBdr>
        <w:tabs>
          <w:tab w:val="left" w:pos="4962"/>
        </w:tabs>
        <w:spacing w:line="360" w:lineRule="auto"/>
        <w:ind w:left="709"/>
        <w:jc w:val="both"/>
        <w:rPr>
          <w:rFonts w:ascii="Palatino Linotype" w:hAnsi="Palatino Linotype"/>
          <w:b/>
          <w:color w:val="000000"/>
          <w:sz w:val="22"/>
          <w:szCs w:val="22"/>
          <w:u w:val="single"/>
        </w:rPr>
      </w:pPr>
      <w:r w:rsidRPr="00B13008">
        <w:rPr>
          <w:rFonts w:ascii="Palatino Linotype" w:hAnsi="Palatino Linotype"/>
          <w:b/>
          <w:color w:val="000000"/>
          <w:sz w:val="22"/>
          <w:szCs w:val="22"/>
          <w:u w:val="single"/>
        </w:rPr>
        <w:t>Recibo individual que contiene las prestaciones y deducciones de un trabajador.</w:t>
      </w:r>
    </w:p>
    <w:p w14:paraId="6ADBE9D7" w14:textId="77777777" w:rsidR="00087F14" w:rsidRDefault="00087F14" w:rsidP="00087F14">
      <w:pPr>
        <w:pStyle w:val="Prrafodelista"/>
        <w:spacing w:line="360" w:lineRule="auto"/>
        <w:rPr>
          <w:rFonts w:ascii="Palatino Linotype" w:hAnsi="Palatino Linotype"/>
          <w:b/>
          <w:color w:val="000000"/>
          <w:szCs w:val="22"/>
          <w:u w:val="single"/>
        </w:rPr>
      </w:pPr>
    </w:p>
    <w:p w14:paraId="54C31248" w14:textId="77777777" w:rsidR="00B13008" w:rsidRPr="00B13008" w:rsidRDefault="00B13008" w:rsidP="00B13008">
      <w:pPr>
        <w:numPr>
          <w:ilvl w:val="0"/>
          <w:numId w:val="8"/>
        </w:numPr>
        <w:pBdr>
          <w:top w:val="nil"/>
          <w:left w:val="nil"/>
          <w:bottom w:val="nil"/>
          <w:right w:val="nil"/>
          <w:between w:val="nil"/>
        </w:pBdr>
        <w:tabs>
          <w:tab w:val="left" w:pos="4962"/>
        </w:tabs>
        <w:spacing w:line="360" w:lineRule="auto"/>
        <w:ind w:left="709"/>
        <w:jc w:val="both"/>
        <w:rPr>
          <w:rFonts w:ascii="Palatino Linotype" w:hAnsi="Palatino Linotype"/>
          <w:color w:val="000000"/>
          <w:sz w:val="22"/>
          <w:szCs w:val="22"/>
        </w:rPr>
      </w:pPr>
      <w:r w:rsidRPr="00B13008">
        <w:rPr>
          <w:rFonts w:ascii="Palatino Linotype" w:hAnsi="Palatino Linotype"/>
          <w:color w:val="000000"/>
          <w:sz w:val="22"/>
          <w:szCs w:val="22"/>
        </w:rPr>
        <w:t>Listado general de los servidores públicos de una institución o dependencia, en el cual se asientan las percepciones brutas, deducciones y alcance neto de las mismas.</w:t>
      </w:r>
    </w:p>
    <w:p w14:paraId="5AA12DFE" w14:textId="77777777" w:rsidR="00B13008" w:rsidRPr="00B13008" w:rsidRDefault="00B13008" w:rsidP="00B13008">
      <w:pPr>
        <w:tabs>
          <w:tab w:val="left" w:pos="4962"/>
        </w:tabs>
        <w:spacing w:line="360" w:lineRule="auto"/>
        <w:jc w:val="both"/>
        <w:rPr>
          <w:rFonts w:ascii="Palatino Linotype" w:hAnsi="Palatino Linotype"/>
          <w:sz w:val="22"/>
          <w:szCs w:val="22"/>
        </w:rPr>
      </w:pPr>
    </w:p>
    <w:p w14:paraId="2460056F" w14:textId="06A74C54" w:rsidR="006C3EAD" w:rsidRDefault="00B13008" w:rsidP="00B13008">
      <w:pPr>
        <w:tabs>
          <w:tab w:val="left" w:pos="4962"/>
        </w:tabs>
        <w:spacing w:line="360" w:lineRule="auto"/>
        <w:jc w:val="both"/>
        <w:rPr>
          <w:rFonts w:ascii="Palatino Linotype" w:hAnsi="Palatino Linotype"/>
          <w:sz w:val="22"/>
          <w:szCs w:val="22"/>
        </w:rPr>
      </w:pPr>
      <w:r w:rsidRPr="00B13008">
        <w:rPr>
          <w:rFonts w:ascii="Palatino Linotype" w:hAnsi="Palatino Linotype"/>
          <w:sz w:val="22"/>
          <w:szCs w:val="22"/>
        </w:rPr>
        <w:t xml:space="preserve">En ese orden de ideas, los Lineamientos para la integración y presentación de los Informes Trimestrales Estatales y Municipales del Ejercicio Fiscal 2025, establecen que el Sujeto Obligado deberá entregar al Órgano Superior de Fiscalización, la Conciliación de Nómina (1 </w:t>
      </w:r>
      <w:r w:rsidRPr="00B13008">
        <w:rPr>
          <w:rFonts w:ascii="Palatino Linotype" w:hAnsi="Palatino Linotype"/>
          <w:sz w:val="22"/>
          <w:szCs w:val="22"/>
        </w:rPr>
        <w:lastRenderedPageBreak/>
        <w:t>y 2), en donde se encuentran los comprobantes fiscales digitales, por concepto de pago de nómina.</w:t>
      </w:r>
    </w:p>
    <w:p w14:paraId="0DFDC7D7" w14:textId="77777777" w:rsidR="00087F14" w:rsidRPr="00B13008" w:rsidRDefault="00087F14" w:rsidP="00B13008">
      <w:pPr>
        <w:tabs>
          <w:tab w:val="left" w:pos="4962"/>
        </w:tabs>
        <w:spacing w:line="360" w:lineRule="auto"/>
        <w:jc w:val="both"/>
        <w:rPr>
          <w:rFonts w:ascii="Palatino Linotype" w:hAnsi="Palatino Linotype"/>
          <w:sz w:val="22"/>
          <w:szCs w:val="22"/>
        </w:rPr>
      </w:pPr>
    </w:p>
    <w:p w14:paraId="126E05AB" w14:textId="77777777" w:rsidR="001C6B9A" w:rsidRPr="00FC0A7F" w:rsidRDefault="001C6B9A" w:rsidP="00442CAA">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4"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5" w:name="_Toc189571937"/>
      <w:r w:rsidRPr="00FC0A7F">
        <w:t>SEXTO. Decisión</w:t>
      </w:r>
      <w:bookmarkEnd w:id="15"/>
    </w:p>
    <w:p w14:paraId="43614774" w14:textId="77777777" w:rsidR="001C6B9A" w:rsidRDefault="001C6B9A" w:rsidP="00442CAA">
      <w:pPr>
        <w:spacing w:line="360" w:lineRule="auto"/>
        <w:jc w:val="both"/>
        <w:rPr>
          <w:rFonts w:ascii="Palatino Linotype" w:hAnsi="Palatino Linotype" w:cs="Tahoma"/>
          <w:sz w:val="22"/>
          <w:szCs w:val="22"/>
        </w:rPr>
      </w:pPr>
    </w:p>
    <w:p w14:paraId="695B8A7B" w14:textId="77777777" w:rsidR="00087F14" w:rsidRDefault="00087F14" w:rsidP="00442CAA">
      <w:pPr>
        <w:spacing w:line="360" w:lineRule="auto"/>
        <w:jc w:val="both"/>
        <w:rPr>
          <w:rFonts w:ascii="Palatino Linotype" w:hAnsi="Palatino Linotype" w:cs="Tahoma"/>
          <w:sz w:val="22"/>
          <w:szCs w:val="22"/>
        </w:rPr>
      </w:pPr>
    </w:p>
    <w:p w14:paraId="2BCD6F18" w14:textId="77777777" w:rsidR="00087F14" w:rsidRPr="00FC0A7F" w:rsidRDefault="00087F14" w:rsidP="00442CAA">
      <w:pPr>
        <w:spacing w:line="360" w:lineRule="auto"/>
        <w:jc w:val="both"/>
        <w:rPr>
          <w:rFonts w:ascii="Palatino Linotype" w:hAnsi="Palatino Linotype" w:cs="Tahoma"/>
          <w:sz w:val="22"/>
          <w:szCs w:val="22"/>
        </w:rPr>
      </w:pPr>
    </w:p>
    <w:p w14:paraId="1F7F2430" w14:textId="47AAEA11"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B13008">
        <w:rPr>
          <w:rFonts w:ascii="Palatino Linotype" w:eastAsiaTheme="minorHAnsi" w:hAnsi="Palatino Linotype" w:cstheme="minorBidi"/>
          <w:color w:val="000000" w:themeColor="text1"/>
          <w:sz w:val="22"/>
          <w:szCs w:val="22"/>
          <w:lang w:eastAsia="en-US"/>
        </w:rPr>
        <w:t>00076</w:t>
      </w:r>
      <w:r w:rsidR="000B7778" w:rsidRPr="000B7778">
        <w:rPr>
          <w:rFonts w:ascii="Palatino Linotype" w:eastAsiaTheme="minorHAnsi" w:hAnsi="Palatino Linotype" w:cstheme="minorBidi"/>
          <w:color w:val="000000" w:themeColor="text1"/>
          <w:sz w:val="22"/>
          <w:szCs w:val="22"/>
          <w:lang w:eastAsia="en-US"/>
        </w:rPr>
        <w:t>/</w:t>
      </w:r>
      <w:r w:rsidR="00B13008">
        <w:rPr>
          <w:rFonts w:ascii="Palatino Linotype" w:eastAsiaTheme="minorHAnsi" w:hAnsi="Palatino Linotype" w:cstheme="minorBidi"/>
          <w:color w:val="000000" w:themeColor="text1"/>
          <w:sz w:val="22"/>
          <w:szCs w:val="22"/>
          <w:lang w:eastAsia="en-US"/>
        </w:rPr>
        <w:t>DIFCUAUTIZ</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77B935D5" w14:textId="77777777" w:rsidR="00087F14" w:rsidRPr="00B13008" w:rsidRDefault="00087F14"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6" w:name="_Toc189571938"/>
      <w:r w:rsidRPr="00FC0A7F">
        <w:t>SÉPTIMO. Vista a la Secretaría</w:t>
      </w:r>
      <w:r w:rsidRPr="00FC0A7F">
        <w:rPr>
          <w:lang w:val="x-none"/>
        </w:rPr>
        <w:t xml:space="preserve"> Técnica del </w:t>
      </w:r>
      <w:r w:rsidRPr="00FC0A7F">
        <w:t>Pleno</w:t>
      </w:r>
      <w:bookmarkEnd w:id="16"/>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777BA378"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B13008" w:rsidRPr="00B13008">
        <w:rPr>
          <w:rFonts w:ascii="Palatino Linotype" w:eastAsia="Calibri" w:hAnsi="Palatino Linotype" w:cs="Tahoma"/>
          <w:sz w:val="22"/>
          <w:szCs w:val="22"/>
          <w:lang w:eastAsia="en-US"/>
        </w:rPr>
        <w:t>Sistema Municipal Para el Desarrollo Integral de la Familia de Cuautitlán Izcalli</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Default="00895942" w:rsidP="00442CAA">
      <w:pPr>
        <w:spacing w:line="360" w:lineRule="auto"/>
        <w:ind w:right="-93"/>
        <w:jc w:val="both"/>
        <w:rPr>
          <w:rFonts w:ascii="Palatino Linotype" w:eastAsia="Calibri" w:hAnsi="Palatino Linotype" w:cs="Tahoma"/>
          <w:bCs/>
          <w:sz w:val="22"/>
          <w:szCs w:val="22"/>
          <w:lang w:eastAsia="en-US"/>
        </w:rPr>
      </w:pPr>
    </w:p>
    <w:p w14:paraId="41832DE8" w14:textId="77777777" w:rsidR="00087F14" w:rsidRPr="00FC0A7F" w:rsidRDefault="00087F14"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44AA22FE" w14:textId="6EE5F02A" w:rsidR="00F57883" w:rsidRPr="00FC0A7F"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 xml:space="preserve">Finalmente, se le informa que la labor de este Instituto de Transparencia, Acceso a la Información Pública y Protección de Datos Personales del Estado de México y Municipios, es </w:t>
      </w:r>
      <w:r w:rsidRPr="00FC0A7F">
        <w:rPr>
          <w:rFonts w:ascii="Palatino Linotype" w:eastAsia="Calibri" w:hAnsi="Palatino Linotype"/>
          <w:color w:val="000000"/>
          <w:sz w:val="22"/>
          <w:szCs w:val="22"/>
          <w:lang w:eastAsia="en-US"/>
        </w:rPr>
        <w:lastRenderedPageBreak/>
        <w:t>apoyar a la población a acceder a la información pública y garantizar la protección de los datos personales.</w:t>
      </w:r>
    </w:p>
    <w:p w14:paraId="3738A79E" w14:textId="77777777" w:rsidR="003A796B" w:rsidRPr="00FC0A7F"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7" w:name="_Toc189571939"/>
      <w:r w:rsidRPr="00FC0A7F">
        <w:t>R E S U E L V E</w:t>
      </w:r>
      <w:bookmarkEnd w:id="17"/>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25C544DE"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B13008">
        <w:rPr>
          <w:rFonts w:ascii="Palatino Linotype" w:hAnsi="Palatino Linotype" w:cs="Tahoma"/>
          <w:bCs/>
          <w:iCs/>
          <w:sz w:val="22"/>
          <w:szCs w:val="22"/>
        </w:rPr>
        <w:t>09671</w:t>
      </w:r>
      <w:r w:rsidR="00D22BC6" w:rsidRPr="00FC0A7F">
        <w:rPr>
          <w:rFonts w:ascii="Palatino Linotype" w:hAnsi="Palatino Linotype" w:cs="Tahoma"/>
          <w:bCs/>
          <w:iCs/>
          <w:sz w:val="22"/>
          <w:szCs w:val="22"/>
        </w:rPr>
        <w:t>/INFOEM/IP/RR/2025</w:t>
      </w:r>
      <w:r w:rsidRPr="00FC0A7F">
        <w:rPr>
          <w:rFonts w:ascii="Palatino Linotype" w:hAnsi="Palatino Linotype" w:cs="Tahoma"/>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6DD7668E"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B13008">
        <w:rPr>
          <w:rFonts w:ascii="Palatino Linotype" w:eastAsiaTheme="minorHAnsi" w:hAnsi="Palatino Linotype" w:cstheme="minorBidi"/>
          <w:color w:val="000000" w:themeColor="text1"/>
          <w:sz w:val="22"/>
          <w:szCs w:val="22"/>
          <w:lang w:eastAsia="en-US"/>
        </w:rPr>
        <w:t>00076</w:t>
      </w:r>
      <w:r w:rsidR="00B13008" w:rsidRPr="000B7778">
        <w:rPr>
          <w:rFonts w:ascii="Palatino Linotype" w:eastAsiaTheme="minorHAnsi" w:hAnsi="Palatino Linotype" w:cstheme="minorBidi"/>
          <w:color w:val="000000" w:themeColor="text1"/>
          <w:sz w:val="22"/>
          <w:szCs w:val="22"/>
          <w:lang w:eastAsia="en-US"/>
        </w:rPr>
        <w:t>/</w:t>
      </w:r>
      <w:r w:rsidR="00B13008">
        <w:rPr>
          <w:rFonts w:ascii="Palatino Linotype" w:eastAsiaTheme="minorHAnsi" w:hAnsi="Palatino Linotype" w:cstheme="minorBidi"/>
          <w:color w:val="000000" w:themeColor="text1"/>
          <w:sz w:val="22"/>
          <w:szCs w:val="22"/>
          <w:lang w:eastAsia="en-US"/>
        </w:rPr>
        <w:t>DIFCUAUTIZ</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63F3D9B5"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FC0A7F">
        <w:rPr>
          <w:rFonts w:ascii="Palatino Linotype" w:hAnsi="Palatino Linotype" w:cs="Tahoma"/>
          <w:bCs/>
          <w:iCs/>
          <w:sz w:val="22"/>
          <w:szCs w:val="22"/>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FC0A7F" w:rsidRDefault="00FF7C33"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541AE506"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B13008">
        <w:rPr>
          <w:rFonts w:ascii="Palatino Linotype" w:hAnsi="Palatino Linotype" w:cs="Tahoma"/>
          <w:bCs/>
          <w:iCs/>
          <w:sz w:val="22"/>
          <w:szCs w:val="22"/>
        </w:rPr>
        <w:t>TRIGÉSIMA SEGUNDA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B13008">
        <w:rPr>
          <w:rFonts w:ascii="Palatino Linotype" w:hAnsi="Palatino Linotype" w:cs="Tahoma"/>
          <w:bCs/>
          <w:iCs/>
          <w:sz w:val="22"/>
          <w:szCs w:val="22"/>
        </w:rPr>
        <w:t>DIEZ DE SEPTIEMBRE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324E8" w14:textId="77777777" w:rsidR="0021183D" w:rsidRDefault="0021183D" w:rsidP="00B31222">
      <w:r>
        <w:separator/>
      </w:r>
    </w:p>
  </w:endnote>
  <w:endnote w:type="continuationSeparator" w:id="0">
    <w:p w14:paraId="5AC11AAB" w14:textId="77777777" w:rsidR="0021183D" w:rsidRDefault="0021183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F2EB8" w:rsidRPr="00C13895" w:rsidRDefault="005F2EB8">
            <w:pPr>
              <w:pStyle w:val="Piedepgina"/>
              <w:jc w:val="right"/>
              <w:rPr>
                <w:sz w:val="26"/>
                <w:szCs w:val="26"/>
              </w:rPr>
            </w:pPr>
          </w:p>
          <w:p w14:paraId="4EA60772"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58A4">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58A4">
              <w:rPr>
                <w:b/>
                <w:bCs/>
                <w:noProof/>
              </w:rPr>
              <w:t>21</w:t>
            </w:r>
            <w:r>
              <w:rPr>
                <w:b/>
                <w:bCs/>
                <w:sz w:val="24"/>
                <w:szCs w:val="24"/>
              </w:rPr>
              <w:fldChar w:fldCharType="end"/>
            </w:r>
          </w:p>
        </w:sdtContent>
      </w:sdt>
    </w:sdtContent>
  </w:sdt>
  <w:p w14:paraId="52786F2A" w14:textId="77777777" w:rsidR="005F2EB8" w:rsidRDefault="005F2E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F2EB8" w:rsidRDefault="005F2EB8">
            <w:pPr>
              <w:pStyle w:val="Piedepgina"/>
              <w:jc w:val="right"/>
            </w:pPr>
          </w:p>
          <w:p w14:paraId="2D2F5338"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58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58A4">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78D0B" w14:textId="77777777" w:rsidR="0021183D" w:rsidRDefault="0021183D" w:rsidP="00B31222">
      <w:r>
        <w:separator/>
      </w:r>
    </w:p>
  </w:footnote>
  <w:footnote w:type="continuationSeparator" w:id="0">
    <w:p w14:paraId="7ED6FA86" w14:textId="77777777" w:rsidR="0021183D" w:rsidRDefault="0021183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5F2EB8" w:rsidRPr="005C106F" w14:paraId="50E888ED" w14:textId="77777777" w:rsidTr="00895942">
      <w:trPr>
        <w:trHeight w:val="1412"/>
      </w:trPr>
      <w:tc>
        <w:tcPr>
          <w:tcW w:w="8222" w:type="dxa"/>
          <w:shd w:val="clear" w:color="auto" w:fill="auto"/>
        </w:tcPr>
        <w:tbl>
          <w:tblPr>
            <w:tblStyle w:val="Tablaconcuadrcula"/>
            <w:tblW w:w="6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8"/>
            <w:gridCol w:w="3969"/>
          </w:tblGrid>
          <w:tr w:rsidR="005F2EB8" w14:paraId="401FF1E4" w14:textId="77777777" w:rsidTr="00087F14">
            <w:trPr>
              <w:trHeight w:val="144"/>
            </w:trPr>
            <w:tc>
              <w:tcPr>
                <w:tcW w:w="2448" w:type="dxa"/>
              </w:tcPr>
              <w:p w14:paraId="2FAA5A5D" w14:textId="71E8EA3B"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969" w:type="dxa"/>
              </w:tcPr>
              <w:p w14:paraId="35595BB5" w14:textId="6030FB42" w:rsidR="005F2EB8" w:rsidRPr="009C44AA" w:rsidRDefault="00B13008"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09671</w:t>
                </w:r>
                <w:r w:rsidR="005F2EB8" w:rsidRPr="0032214E">
                  <w:rPr>
                    <w:rFonts w:ascii="Palatino Linotype" w:eastAsia="Calibri" w:hAnsi="Palatino Linotype" w:cs="Tahoma"/>
                    <w:sz w:val="22"/>
                    <w:szCs w:val="22"/>
                    <w:lang w:eastAsia="en-US"/>
                  </w:rPr>
                  <w:t>/INFOEM/IP/RR/2025</w:t>
                </w:r>
              </w:p>
            </w:tc>
          </w:tr>
          <w:tr w:rsidR="005F2EB8" w14:paraId="6B793921" w14:textId="77777777" w:rsidTr="00087F14">
            <w:trPr>
              <w:trHeight w:val="144"/>
            </w:trPr>
            <w:tc>
              <w:tcPr>
                <w:tcW w:w="2448" w:type="dxa"/>
              </w:tcPr>
              <w:p w14:paraId="248F8814"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969" w:type="dxa"/>
              </w:tcPr>
              <w:p w14:paraId="31642F59" w14:textId="55980BFF" w:rsidR="005F2EB8" w:rsidRPr="009C44AA" w:rsidRDefault="00B13008"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13008">
                  <w:rPr>
                    <w:rFonts w:ascii="Palatino Linotype" w:eastAsia="Calibri" w:hAnsi="Palatino Linotype" w:cs="Tahoma"/>
                    <w:bCs/>
                    <w:sz w:val="22"/>
                    <w:szCs w:val="22"/>
                    <w:lang w:val="es-MX" w:eastAsia="en-US"/>
                  </w:rPr>
                  <w:t>Sistema Municipal Para el Desarrollo Integral de la Familia de Cuautitlán Izcalli</w:t>
                </w:r>
              </w:p>
            </w:tc>
          </w:tr>
          <w:tr w:rsidR="005F2EB8" w14:paraId="5F57F04A" w14:textId="77777777" w:rsidTr="00087F14">
            <w:trPr>
              <w:trHeight w:val="138"/>
            </w:trPr>
            <w:tc>
              <w:tcPr>
                <w:tcW w:w="2448" w:type="dxa"/>
              </w:tcPr>
              <w:p w14:paraId="249191FD"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969" w:type="dxa"/>
              </w:tcPr>
              <w:p w14:paraId="7F9A5911" w14:textId="6669DDD6"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03D9BF59" w14:textId="4D62241B" w:rsidR="005F2EB8" w:rsidRDefault="0021183D"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1.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5F2EB8" w:rsidRDefault="0021183D">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47FE01F0" w14:textId="77777777" w:rsidTr="00AC613F">
      <w:trPr>
        <w:trHeight w:val="466"/>
      </w:trPr>
      <w:tc>
        <w:tcPr>
          <w:tcW w:w="3402" w:type="dxa"/>
          <w:vAlign w:val="bottom"/>
        </w:tcPr>
        <w:p w14:paraId="797F08E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617C1370" w:rsidR="005F2EB8" w:rsidRPr="00A404EA" w:rsidRDefault="00B13008"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8" w:name="_Hlk191465363"/>
          <w:r>
            <w:rPr>
              <w:rFonts w:ascii="Palatino Linotype" w:eastAsia="Calibri" w:hAnsi="Palatino Linotype" w:cs="Tahoma"/>
              <w:sz w:val="22"/>
              <w:szCs w:val="22"/>
              <w:lang w:eastAsia="en-US"/>
            </w:rPr>
            <w:t>09671</w:t>
          </w:r>
          <w:r w:rsidR="005F2EB8" w:rsidRPr="0032214E">
            <w:rPr>
              <w:rFonts w:ascii="Palatino Linotype" w:eastAsia="Calibri" w:hAnsi="Palatino Linotype" w:cs="Tahoma"/>
              <w:sz w:val="22"/>
              <w:szCs w:val="22"/>
              <w:lang w:eastAsia="en-US"/>
            </w:rPr>
            <w:t>/INFOEM/IP/RR/2025</w:t>
          </w:r>
          <w:bookmarkEnd w:id="18"/>
        </w:p>
      </w:tc>
    </w:tr>
    <w:tr w:rsidR="005F2EB8" w:rsidRPr="00264223" w14:paraId="3B115A83" w14:textId="77777777" w:rsidTr="00AC613F">
      <w:trPr>
        <w:trHeight w:val="119"/>
      </w:trPr>
      <w:tc>
        <w:tcPr>
          <w:tcW w:w="3402" w:type="dxa"/>
        </w:tcPr>
        <w:p w14:paraId="769D227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C6463FD" w:rsidR="005F2EB8" w:rsidRPr="00474ED7" w:rsidRDefault="005F2EB8"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5F2EB8" w:rsidRPr="00264223" w14:paraId="111B16D3" w14:textId="77777777" w:rsidTr="00AC613F">
      <w:trPr>
        <w:trHeight w:val="234"/>
      </w:trPr>
      <w:tc>
        <w:tcPr>
          <w:tcW w:w="3402" w:type="dxa"/>
        </w:tcPr>
        <w:p w14:paraId="23CA2497" w14:textId="2D869CFF"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F4AB431" w:rsidR="005F2EB8" w:rsidRPr="00E07AF1" w:rsidRDefault="00B13008" w:rsidP="00B13008">
          <w:pPr>
            <w:tabs>
              <w:tab w:val="right" w:pos="8838"/>
            </w:tabs>
            <w:spacing w:line="276" w:lineRule="auto"/>
            <w:ind w:right="884"/>
            <w:jc w:val="both"/>
            <w:rPr>
              <w:rFonts w:ascii="Palatino Linotype" w:eastAsia="Calibri" w:hAnsi="Palatino Linotype" w:cs="Tahoma"/>
              <w:sz w:val="22"/>
              <w:szCs w:val="22"/>
              <w:lang w:eastAsia="en-US"/>
            </w:rPr>
          </w:pPr>
          <w:r w:rsidRPr="00B13008">
            <w:rPr>
              <w:rFonts w:ascii="Palatino Linotype" w:eastAsia="Calibri" w:hAnsi="Palatino Linotype" w:cs="Tahoma"/>
              <w:sz w:val="22"/>
              <w:szCs w:val="22"/>
              <w:lang w:eastAsia="en-US"/>
            </w:rPr>
            <w:t>Sistema Municipal Para el Desarrollo Integral de la Familia de Cuautitlán Izcalli</w:t>
          </w:r>
        </w:p>
      </w:tc>
    </w:tr>
    <w:tr w:rsidR="005F2EB8" w:rsidRPr="00264223" w14:paraId="69512480" w14:textId="77777777" w:rsidTr="00AC613F">
      <w:trPr>
        <w:trHeight w:val="234"/>
      </w:trPr>
      <w:tc>
        <w:tcPr>
          <w:tcW w:w="3402" w:type="dxa"/>
        </w:tcPr>
        <w:p w14:paraId="574761F6"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F2EB8" w:rsidRPr="00E67009" w:rsidRDefault="005F2EB8"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14"/>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183D"/>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4642"/>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1A2"/>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58A4"/>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3F5"/>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3711D"/>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2D80"/>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2DC2"/>
    <w:rsid w:val="00DD5192"/>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rtados.hacienda.gob.mx/contabilidad/documentos/informe_cuenta/1998/cuenta_p%C3%BA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F11C9-0858-4EF3-805E-DF001C0C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4833</Words>
  <Characters>26587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2025-09-11T17:16:00Z</cp:lastPrinted>
  <dcterms:created xsi:type="dcterms:W3CDTF">2025-09-11T17:16:00Z</dcterms:created>
  <dcterms:modified xsi:type="dcterms:W3CDTF">2025-09-11T17:16:00Z</dcterms:modified>
</cp:coreProperties>
</file>