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8C3" w:rsidRPr="00C50BBE" w:rsidRDefault="0059651D" w:rsidP="006C23FC">
      <w:pPr>
        <w:tabs>
          <w:tab w:val="left" w:pos="567"/>
        </w:tabs>
        <w:spacing w:line="360" w:lineRule="auto"/>
        <w:jc w:val="both"/>
        <w:rPr>
          <w:rFonts w:ascii="Palatino Linotype" w:eastAsia="Palatino Linotype" w:hAnsi="Palatino Linotype" w:cs="Palatino Linotype"/>
          <w:color w:val="000000" w:themeColor="text1"/>
          <w:sz w:val="24"/>
          <w:szCs w:val="24"/>
        </w:rPr>
      </w:pPr>
      <w:bookmarkStart w:id="0" w:name="_GoBack"/>
      <w:bookmarkEnd w:id="0"/>
      <w:r w:rsidRPr="00C50BBE">
        <w:rPr>
          <w:rFonts w:ascii="Palatino Linotype" w:eastAsia="Palatino Linotype" w:hAnsi="Palatino Linotype" w:cs="Palatino Linotype"/>
          <w:color w:val="000000" w:themeColor="text1"/>
          <w:sz w:val="24"/>
          <w:szCs w:val="24"/>
        </w:rPr>
        <w:t xml:space="preserve">Resolución del Pleno del Instituto de Transparencia, Acceso a la Información Pública y Protección de Datos Personales del Estado de México y Municipios, con domicilio en Metepec, Estado de México; </w:t>
      </w:r>
      <w:r w:rsidRPr="00C50BBE">
        <w:rPr>
          <w:rFonts w:ascii="Palatino Linotype" w:eastAsia="Palatino Linotype" w:hAnsi="Palatino Linotype" w:cs="Palatino Linotype"/>
          <w:b/>
          <w:color w:val="000000" w:themeColor="text1"/>
          <w:sz w:val="24"/>
          <w:szCs w:val="24"/>
        </w:rPr>
        <w:t xml:space="preserve">de fecha veintisiete </w:t>
      </w:r>
      <w:r w:rsidR="006C23FC" w:rsidRPr="00C50BBE">
        <w:rPr>
          <w:rFonts w:ascii="Palatino Linotype" w:eastAsia="Palatino Linotype" w:hAnsi="Palatino Linotype" w:cs="Palatino Linotype"/>
          <w:b/>
          <w:color w:val="000000" w:themeColor="text1"/>
          <w:sz w:val="24"/>
          <w:szCs w:val="24"/>
        </w:rPr>
        <w:t xml:space="preserve">(27) </w:t>
      </w:r>
      <w:r w:rsidRPr="00C50BBE">
        <w:rPr>
          <w:rFonts w:ascii="Palatino Linotype" w:eastAsia="Palatino Linotype" w:hAnsi="Palatino Linotype" w:cs="Palatino Linotype"/>
          <w:b/>
          <w:color w:val="000000" w:themeColor="text1"/>
          <w:sz w:val="24"/>
          <w:szCs w:val="24"/>
        </w:rPr>
        <w:t>de agosto de dos mil veinticinco.</w:t>
      </w:r>
    </w:p>
    <w:p w:rsidR="008B18C3" w:rsidRPr="00C50BBE" w:rsidRDefault="008B18C3" w:rsidP="006C23FC">
      <w:pPr>
        <w:tabs>
          <w:tab w:val="left" w:pos="567"/>
        </w:tabs>
        <w:spacing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b/>
          <w:color w:val="000000" w:themeColor="text1"/>
          <w:sz w:val="24"/>
          <w:szCs w:val="24"/>
        </w:rPr>
        <w:t>VISTOS</w:t>
      </w:r>
      <w:r w:rsidRPr="00C50BBE">
        <w:rPr>
          <w:rFonts w:ascii="Palatino Linotype" w:eastAsia="Palatino Linotype" w:hAnsi="Palatino Linotype" w:cs="Palatino Linotype"/>
          <w:color w:val="000000" w:themeColor="text1"/>
          <w:sz w:val="24"/>
          <w:szCs w:val="24"/>
        </w:rPr>
        <w:t xml:space="preserve"> los expedientes electrónicos formado</w:t>
      </w:r>
      <w:r w:rsidR="006C23FC" w:rsidRPr="00C50BBE">
        <w:rPr>
          <w:rFonts w:ascii="Palatino Linotype" w:eastAsia="Palatino Linotype" w:hAnsi="Palatino Linotype" w:cs="Palatino Linotype"/>
          <w:color w:val="000000" w:themeColor="text1"/>
          <w:sz w:val="24"/>
          <w:szCs w:val="24"/>
        </w:rPr>
        <w:t>s</w:t>
      </w:r>
      <w:r w:rsidRPr="00C50BBE">
        <w:rPr>
          <w:rFonts w:ascii="Palatino Linotype" w:eastAsia="Palatino Linotype" w:hAnsi="Palatino Linotype" w:cs="Palatino Linotype"/>
          <w:color w:val="000000" w:themeColor="text1"/>
          <w:sz w:val="24"/>
          <w:szCs w:val="24"/>
        </w:rPr>
        <w:t xml:space="preserve"> con motivo de los recursos de revisión </w:t>
      </w:r>
      <w:r w:rsidRPr="00C50BBE">
        <w:rPr>
          <w:rFonts w:ascii="Palatino Linotype" w:eastAsia="Palatino Linotype" w:hAnsi="Palatino Linotype" w:cs="Palatino Linotype"/>
          <w:b/>
          <w:color w:val="000000" w:themeColor="text1"/>
          <w:sz w:val="24"/>
          <w:szCs w:val="24"/>
        </w:rPr>
        <w:t>06013/INFOEM/IP/RR/2025</w:t>
      </w:r>
      <w:r w:rsidRPr="00C50BBE">
        <w:rPr>
          <w:rFonts w:ascii="Palatino Linotype" w:eastAsia="Palatino Linotype" w:hAnsi="Palatino Linotype" w:cs="Palatino Linotype"/>
          <w:color w:val="000000" w:themeColor="text1"/>
          <w:sz w:val="24"/>
          <w:szCs w:val="24"/>
        </w:rPr>
        <w:t xml:space="preserve">, </w:t>
      </w:r>
      <w:r w:rsidRPr="00C50BBE">
        <w:rPr>
          <w:rFonts w:ascii="Palatino Linotype" w:eastAsia="Palatino Linotype" w:hAnsi="Palatino Linotype" w:cs="Palatino Linotype"/>
          <w:b/>
          <w:color w:val="000000" w:themeColor="text1"/>
          <w:sz w:val="24"/>
          <w:szCs w:val="24"/>
        </w:rPr>
        <w:t>06014/INFOEM/IP/RR/2025, 06015/INFOEM/IP/RR/2025, 06016/INFOEM/IP/R</w:t>
      </w:r>
      <w:r w:rsidR="006C23FC" w:rsidRPr="00C50BBE">
        <w:rPr>
          <w:rFonts w:ascii="Palatino Linotype" w:eastAsia="Palatino Linotype" w:hAnsi="Palatino Linotype" w:cs="Palatino Linotype"/>
          <w:b/>
          <w:color w:val="000000" w:themeColor="text1"/>
          <w:sz w:val="24"/>
          <w:szCs w:val="24"/>
        </w:rPr>
        <w:t>R/2025, 06017/INFOEM/IP/RR/2025</w:t>
      </w:r>
      <w:r w:rsidRPr="00C50BBE">
        <w:rPr>
          <w:rFonts w:ascii="Palatino Linotype" w:eastAsia="Palatino Linotype" w:hAnsi="Palatino Linotype" w:cs="Palatino Linotype"/>
          <w:b/>
          <w:color w:val="000000" w:themeColor="text1"/>
          <w:sz w:val="24"/>
          <w:szCs w:val="24"/>
        </w:rPr>
        <w:t xml:space="preserve">, </w:t>
      </w:r>
      <w:r w:rsidRPr="00C50BBE">
        <w:rPr>
          <w:rFonts w:ascii="Palatino Linotype" w:eastAsia="Palatino Linotype" w:hAnsi="Palatino Linotype" w:cs="Palatino Linotype"/>
          <w:color w:val="000000" w:themeColor="text1"/>
          <w:sz w:val="24"/>
          <w:szCs w:val="24"/>
        </w:rPr>
        <w:t>promovido</w:t>
      </w:r>
      <w:r w:rsidR="006C23FC" w:rsidRPr="00C50BBE">
        <w:rPr>
          <w:rFonts w:ascii="Palatino Linotype" w:eastAsia="Palatino Linotype" w:hAnsi="Palatino Linotype" w:cs="Palatino Linotype"/>
          <w:color w:val="000000" w:themeColor="text1"/>
          <w:sz w:val="24"/>
          <w:szCs w:val="24"/>
        </w:rPr>
        <w:t>s</w:t>
      </w:r>
      <w:r w:rsidRPr="00C50BBE">
        <w:rPr>
          <w:rFonts w:ascii="Palatino Linotype" w:eastAsia="Palatino Linotype" w:hAnsi="Palatino Linotype" w:cs="Palatino Linotype"/>
          <w:color w:val="000000" w:themeColor="text1"/>
          <w:sz w:val="24"/>
          <w:szCs w:val="24"/>
        </w:rPr>
        <w:t xml:space="preserve"> por </w:t>
      </w:r>
      <w:r w:rsidRPr="00C50BBE">
        <w:rPr>
          <w:rFonts w:ascii="Palatino Linotype" w:eastAsia="Palatino Linotype" w:hAnsi="Palatino Linotype" w:cs="Palatino Linotype"/>
          <w:b/>
          <w:color w:val="000000" w:themeColor="text1"/>
          <w:sz w:val="24"/>
          <w:szCs w:val="24"/>
        </w:rPr>
        <w:t> </w:t>
      </w:r>
      <w:r w:rsidR="006C23FC" w:rsidRPr="00C50BBE">
        <w:rPr>
          <w:rFonts w:ascii="Palatino Linotype" w:eastAsia="Palatino Linotype" w:hAnsi="Palatino Linotype" w:cs="Palatino Linotype"/>
          <w:b/>
          <w:color w:val="000000" w:themeColor="text1"/>
          <w:sz w:val="24"/>
          <w:szCs w:val="24"/>
        </w:rPr>
        <w:t>una persona que no proporciono i</w:t>
      </w:r>
      <w:r w:rsidRPr="00C50BBE">
        <w:rPr>
          <w:rFonts w:ascii="Palatino Linotype" w:eastAsia="Palatino Linotype" w:hAnsi="Palatino Linotype" w:cs="Palatino Linotype"/>
          <w:b/>
          <w:color w:val="000000" w:themeColor="text1"/>
          <w:sz w:val="24"/>
          <w:szCs w:val="24"/>
        </w:rPr>
        <w:t>nformación</w:t>
      </w:r>
      <w:r w:rsidRPr="00C50BBE">
        <w:rPr>
          <w:rFonts w:ascii="Palatino Linotype" w:eastAsia="Palatino Linotype" w:hAnsi="Palatino Linotype" w:cs="Palatino Linotype"/>
          <w:color w:val="000000" w:themeColor="text1"/>
          <w:sz w:val="24"/>
          <w:szCs w:val="24"/>
        </w:rPr>
        <w:t xml:space="preserve">, a quien en lo sucesivo se le identificará como </w:t>
      </w:r>
      <w:r w:rsidRPr="00C50BBE">
        <w:rPr>
          <w:rFonts w:ascii="Palatino Linotype" w:eastAsia="Palatino Linotype" w:hAnsi="Palatino Linotype" w:cs="Palatino Linotype"/>
          <w:b/>
          <w:color w:val="000000" w:themeColor="text1"/>
          <w:sz w:val="24"/>
          <w:szCs w:val="24"/>
        </w:rPr>
        <w:t>EL RECURRENTE</w:t>
      </w:r>
      <w:r w:rsidRPr="00C50BBE">
        <w:rPr>
          <w:rFonts w:ascii="Palatino Linotype" w:eastAsia="Palatino Linotype" w:hAnsi="Palatino Linotype" w:cs="Palatino Linotype"/>
          <w:color w:val="000000" w:themeColor="text1"/>
          <w:sz w:val="24"/>
          <w:szCs w:val="24"/>
        </w:rPr>
        <w:t>, en contra de la</w:t>
      </w:r>
      <w:r w:rsidR="006C23FC" w:rsidRPr="00C50BBE">
        <w:rPr>
          <w:rFonts w:ascii="Palatino Linotype" w:eastAsia="Palatino Linotype" w:hAnsi="Palatino Linotype" w:cs="Palatino Linotype"/>
          <w:color w:val="000000" w:themeColor="text1"/>
          <w:sz w:val="24"/>
          <w:szCs w:val="24"/>
        </w:rPr>
        <w:t>s</w:t>
      </w:r>
      <w:r w:rsidRPr="00C50BBE">
        <w:rPr>
          <w:rFonts w:ascii="Palatino Linotype" w:eastAsia="Palatino Linotype" w:hAnsi="Palatino Linotype" w:cs="Palatino Linotype"/>
          <w:color w:val="000000" w:themeColor="text1"/>
          <w:sz w:val="24"/>
          <w:szCs w:val="24"/>
        </w:rPr>
        <w:t xml:space="preserve"> respuesta</w:t>
      </w:r>
      <w:r w:rsidR="006C23FC" w:rsidRPr="00C50BBE">
        <w:rPr>
          <w:rFonts w:ascii="Palatino Linotype" w:eastAsia="Palatino Linotype" w:hAnsi="Palatino Linotype" w:cs="Palatino Linotype"/>
          <w:color w:val="000000" w:themeColor="text1"/>
          <w:sz w:val="24"/>
          <w:szCs w:val="24"/>
        </w:rPr>
        <w:t xml:space="preserve"> </w:t>
      </w:r>
      <w:r w:rsidRPr="00C50BBE">
        <w:rPr>
          <w:rFonts w:ascii="Palatino Linotype" w:eastAsia="Palatino Linotype" w:hAnsi="Palatino Linotype" w:cs="Palatino Linotype"/>
          <w:color w:val="000000" w:themeColor="text1"/>
          <w:sz w:val="24"/>
          <w:szCs w:val="24"/>
        </w:rPr>
        <w:t xml:space="preserve"> del </w:t>
      </w:r>
      <w:r w:rsidRPr="00C50BBE">
        <w:rPr>
          <w:rFonts w:ascii="Palatino Linotype" w:eastAsia="Palatino Linotype" w:hAnsi="Palatino Linotype" w:cs="Palatino Linotype"/>
          <w:b/>
          <w:color w:val="000000" w:themeColor="text1"/>
          <w:sz w:val="24"/>
          <w:szCs w:val="24"/>
        </w:rPr>
        <w:t xml:space="preserve">Ayuntamiento de Chiautla, </w:t>
      </w:r>
      <w:r w:rsidRPr="00C50BBE">
        <w:rPr>
          <w:rFonts w:ascii="Palatino Linotype" w:eastAsia="Palatino Linotype" w:hAnsi="Palatino Linotype" w:cs="Palatino Linotype"/>
          <w:color w:val="000000" w:themeColor="text1"/>
          <w:sz w:val="24"/>
          <w:szCs w:val="24"/>
        </w:rPr>
        <w:t>en adelante el</w:t>
      </w:r>
      <w:r w:rsidRPr="00C50BBE">
        <w:rPr>
          <w:rFonts w:ascii="Palatino Linotype" w:eastAsia="Palatino Linotype" w:hAnsi="Palatino Linotype" w:cs="Palatino Linotype"/>
          <w:b/>
          <w:color w:val="000000" w:themeColor="text1"/>
          <w:sz w:val="24"/>
          <w:szCs w:val="24"/>
        </w:rPr>
        <w:t xml:space="preserve"> SUJETO OBLIGADO</w:t>
      </w:r>
      <w:r w:rsidRPr="00C50BBE">
        <w:rPr>
          <w:rFonts w:ascii="Palatino Linotype" w:eastAsia="Palatino Linotype" w:hAnsi="Palatino Linotype" w:cs="Palatino Linotype"/>
          <w:color w:val="000000" w:themeColor="text1"/>
          <w:sz w:val="24"/>
          <w:szCs w:val="24"/>
        </w:rPr>
        <w:t>, se procede a dictar la presente resolución, con base en los siguientes:</w:t>
      </w:r>
    </w:p>
    <w:p w:rsidR="008B18C3" w:rsidRPr="00C50BBE" w:rsidRDefault="008B18C3" w:rsidP="006C23FC">
      <w:pPr>
        <w:spacing w:line="360" w:lineRule="auto"/>
        <w:jc w:val="both"/>
        <w:rPr>
          <w:rFonts w:ascii="Palatino Linotype" w:eastAsia="Palatino Linotype" w:hAnsi="Palatino Linotype" w:cs="Palatino Linotype"/>
          <w:color w:val="000000" w:themeColor="text1"/>
          <w:sz w:val="24"/>
          <w:szCs w:val="24"/>
        </w:rPr>
      </w:pPr>
    </w:p>
    <w:p w:rsidR="008B18C3" w:rsidRDefault="0059651D" w:rsidP="006C23FC">
      <w:pPr>
        <w:pStyle w:val="Ttulo1"/>
        <w:tabs>
          <w:tab w:val="left" w:pos="567"/>
        </w:tabs>
        <w:spacing w:before="0" w:line="360" w:lineRule="auto"/>
        <w:jc w:val="center"/>
        <w:rPr>
          <w:rFonts w:ascii="Palatino Linotype" w:eastAsia="Palatino Linotype" w:hAnsi="Palatino Linotype" w:cs="Palatino Linotype"/>
          <w:b/>
          <w:color w:val="000000" w:themeColor="text1"/>
          <w:sz w:val="24"/>
          <w:szCs w:val="24"/>
        </w:rPr>
      </w:pPr>
      <w:r w:rsidRPr="00C50BBE">
        <w:rPr>
          <w:rFonts w:ascii="Palatino Linotype" w:eastAsia="Palatino Linotype" w:hAnsi="Palatino Linotype" w:cs="Palatino Linotype"/>
          <w:b/>
          <w:color w:val="000000" w:themeColor="text1"/>
          <w:sz w:val="24"/>
          <w:szCs w:val="24"/>
        </w:rPr>
        <w:t>A N T E C E D E N T E S</w:t>
      </w:r>
    </w:p>
    <w:p w:rsidR="00B647F1" w:rsidRPr="00B647F1" w:rsidRDefault="00B647F1" w:rsidP="00B647F1"/>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El </w:t>
      </w:r>
      <w:r w:rsidRPr="00C50BBE">
        <w:rPr>
          <w:rFonts w:ascii="Palatino Linotype" w:eastAsia="Palatino Linotype" w:hAnsi="Palatino Linotype" w:cs="Palatino Linotype"/>
          <w:b/>
          <w:color w:val="000000" w:themeColor="text1"/>
          <w:sz w:val="24"/>
          <w:szCs w:val="24"/>
        </w:rPr>
        <w:t xml:space="preserve">nueve de mayo de dos mil veinticinco, </w:t>
      </w:r>
      <w:r w:rsidRPr="00C50BBE">
        <w:rPr>
          <w:rFonts w:ascii="Palatino Linotype" w:eastAsia="Palatino Linotype" w:hAnsi="Palatino Linotype" w:cs="Palatino Linotype"/>
          <w:color w:val="000000" w:themeColor="text1"/>
          <w:sz w:val="24"/>
          <w:szCs w:val="24"/>
        </w:rPr>
        <w:t xml:space="preserve">se presentaron ante el </w:t>
      </w:r>
      <w:r w:rsidRPr="00C50BBE">
        <w:rPr>
          <w:rFonts w:ascii="Palatino Linotype" w:eastAsia="Palatino Linotype" w:hAnsi="Palatino Linotype" w:cs="Palatino Linotype"/>
          <w:b/>
          <w:color w:val="000000" w:themeColor="text1"/>
          <w:sz w:val="24"/>
          <w:szCs w:val="24"/>
        </w:rPr>
        <w:t>SUJETO OBLIGADO</w:t>
      </w:r>
      <w:r w:rsidRPr="00C50BBE">
        <w:rPr>
          <w:rFonts w:ascii="Palatino Linotype" w:eastAsia="Palatino Linotype" w:hAnsi="Palatino Linotype" w:cs="Palatino Linotype"/>
          <w:color w:val="000000" w:themeColor="text1"/>
          <w:sz w:val="24"/>
          <w:szCs w:val="24"/>
        </w:rPr>
        <w:t xml:space="preserve"> vía SAIMEX, las solicitudes de información públicas siguientes:</w:t>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tbl>
      <w:tblPr>
        <w:tblStyle w:val="a2"/>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2"/>
        <w:gridCol w:w="6654"/>
      </w:tblGrid>
      <w:tr w:rsidR="006C23FC" w:rsidRPr="00C50BBE" w:rsidTr="00B647F1">
        <w:tc>
          <w:tcPr>
            <w:tcW w:w="9776" w:type="dxa"/>
            <w:gridSpan w:val="2"/>
            <w:shd w:val="clear" w:color="auto" w:fill="E7E6E6"/>
            <w:vAlign w:val="center"/>
          </w:tcPr>
          <w:p w:rsidR="008B18C3" w:rsidRPr="00C50BBE" w:rsidRDefault="0059651D" w:rsidP="006C23FC">
            <w:pPr>
              <w:spacing w:line="360" w:lineRule="auto"/>
              <w:jc w:val="center"/>
              <w:rPr>
                <w:rFonts w:ascii="Palatino Linotype" w:eastAsia="Palatino Linotype" w:hAnsi="Palatino Linotype" w:cs="Palatino Linotype"/>
                <w:b/>
                <w:color w:val="000000" w:themeColor="text1"/>
                <w:sz w:val="24"/>
                <w:szCs w:val="24"/>
              </w:rPr>
            </w:pPr>
            <w:r w:rsidRPr="00C50BBE">
              <w:rPr>
                <w:rFonts w:ascii="Palatino Linotype" w:eastAsia="Palatino Linotype" w:hAnsi="Palatino Linotype" w:cs="Palatino Linotype"/>
                <w:b/>
                <w:color w:val="000000" w:themeColor="text1"/>
                <w:sz w:val="24"/>
                <w:szCs w:val="24"/>
              </w:rPr>
              <w:t>SOLICITUDES</w:t>
            </w:r>
          </w:p>
        </w:tc>
      </w:tr>
      <w:tr w:rsidR="006C23FC" w:rsidRPr="00C50BBE" w:rsidTr="00B647F1">
        <w:tc>
          <w:tcPr>
            <w:tcW w:w="3122" w:type="dxa"/>
            <w:vAlign w:val="center"/>
          </w:tcPr>
          <w:p w:rsidR="008B18C3" w:rsidRPr="00C50BBE" w:rsidRDefault="0059651D" w:rsidP="006C23FC">
            <w:pPr>
              <w:spacing w:line="360" w:lineRule="auto"/>
              <w:jc w:val="center"/>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b/>
                <w:color w:val="000000" w:themeColor="text1"/>
                <w:sz w:val="24"/>
                <w:szCs w:val="24"/>
              </w:rPr>
              <w:t>00052/CHIAUTLA/IP/2025</w:t>
            </w:r>
          </w:p>
        </w:tc>
        <w:tc>
          <w:tcPr>
            <w:tcW w:w="6654" w:type="dxa"/>
            <w:vAlign w:val="center"/>
          </w:tcPr>
          <w:p w:rsidR="008B18C3" w:rsidRPr="00C50BBE" w:rsidRDefault="0059651D" w:rsidP="006C23FC">
            <w:pPr>
              <w:spacing w:line="276" w:lineRule="auto"/>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“Solicito la siguiente información - TODAS LAS Pólizas de pago realizadas por el municipio y el DIF municipal en diciembre de 2024 y en el primer trimestre del año 2025; asi como el formato 4 y 5. denominado Conciliación de Nómina del cuarto Informe Trimestral Municipal Ejercicio Fiscal 2024 y del primer Informe Trimestral Municipal Ejercicio Fiscal 2025”</w:t>
            </w:r>
          </w:p>
          <w:p w:rsidR="008B18C3" w:rsidRPr="00C50BBE" w:rsidRDefault="008B18C3" w:rsidP="006C23FC">
            <w:pPr>
              <w:spacing w:line="276" w:lineRule="auto"/>
              <w:jc w:val="both"/>
              <w:rPr>
                <w:rFonts w:ascii="Palatino Linotype" w:eastAsia="Palatino Linotype" w:hAnsi="Palatino Linotype" w:cs="Palatino Linotype"/>
                <w:i/>
                <w:color w:val="000000" w:themeColor="text1"/>
                <w:sz w:val="24"/>
                <w:szCs w:val="24"/>
              </w:rPr>
            </w:pPr>
          </w:p>
        </w:tc>
      </w:tr>
      <w:tr w:rsidR="006C23FC" w:rsidRPr="00C50BBE" w:rsidTr="00B647F1">
        <w:tc>
          <w:tcPr>
            <w:tcW w:w="3122" w:type="dxa"/>
            <w:vAlign w:val="center"/>
          </w:tcPr>
          <w:p w:rsidR="008B18C3" w:rsidRPr="00C50BBE" w:rsidRDefault="0059651D" w:rsidP="006C23FC">
            <w:pPr>
              <w:spacing w:line="360" w:lineRule="auto"/>
              <w:jc w:val="center"/>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b/>
                <w:color w:val="000000" w:themeColor="text1"/>
                <w:sz w:val="24"/>
                <w:szCs w:val="24"/>
              </w:rPr>
              <w:lastRenderedPageBreak/>
              <w:t>00053/CHIAUTLA/IP/2025</w:t>
            </w:r>
          </w:p>
        </w:tc>
        <w:tc>
          <w:tcPr>
            <w:tcW w:w="6654" w:type="dxa"/>
            <w:vAlign w:val="center"/>
          </w:tcPr>
          <w:p w:rsidR="008B18C3" w:rsidRPr="00C50BBE" w:rsidRDefault="008B18C3" w:rsidP="006C23FC">
            <w:pPr>
              <w:spacing w:line="276" w:lineRule="auto"/>
              <w:jc w:val="both"/>
              <w:rPr>
                <w:rFonts w:ascii="Palatino Linotype" w:eastAsia="Palatino Linotype" w:hAnsi="Palatino Linotype" w:cs="Palatino Linotype"/>
                <w:i/>
                <w:color w:val="000000" w:themeColor="text1"/>
                <w:sz w:val="24"/>
                <w:szCs w:val="24"/>
              </w:rPr>
            </w:pPr>
          </w:p>
          <w:p w:rsidR="008B18C3" w:rsidRPr="00C50BBE" w:rsidRDefault="0059651D" w:rsidP="006C23FC">
            <w:pPr>
              <w:spacing w:line="276" w:lineRule="auto"/>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“Solicito la siguiente información - TODAS LAS Pólizas de pago realizadas por el municipio y el DIF municipal en diciembre de 2024 y en el primer trimestre del año 2025; asi como el formato 4 y 5. denominado Conciliación de Nómina del cuarto Informe Trimestral Municipal Ejercicio Fiscal 2024 y del primer Informe Trimestral Municipal Ejercicio Fiscal 2025”</w:t>
            </w:r>
          </w:p>
          <w:p w:rsidR="008B18C3" w:rsidRPr="00C50BBE" w:rsidRDefault="008B18C3" w:rsidP="006C23FC">
            <w:pPr>
              <w:spacing w:line="276" w:lineRule="auto"/>
              <w:jc w:val="both"/>
              <w:rPr>
                <w:rFonts w:ascii="Palatino Linotype" w:eastAsia="Palatino Linotype" w:hAnsi="Palatino Linotype" w:cs="Palatino Linotype"/>
                <w:i/>
                <w:color w:val="000000" w:themeColor="text1"/>
                <w:sz w:val="24"/>
                <w:szCs w:val="24"/>
              </w:rPr>
            </w:pPr>
          </w:p>
        </w:tc>
      </w:tr>
      <w:tr w:rsidR="006C23FC" w:rsidRPr="00C50BBE" w:rsidTr="00B647F1">
        <w:tc>
          <w:tcPr>
            <w:tcW w:w="3122" w:type="dxa"/>
            <w:vAlign w:val="center"/>
          </w:tcPr>
          <w:p w:rsidR="008B18C3" w:rsidRPr="00C50BBE" w:rsidRDefault="0059651D" w:rsidP="006C23FC">
            <w:pPr>
              <w:spacing w:line="360" w:lineRule="auto"/>
              <w:jc w:val="center"/>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b/>
                <w:color w:val="000000" w:themeColor="text1"/>
                <w:sz w:val="24"/>
                <w:szCs w:val="24"/>
              </w:rPr>
              <w:t>00054/CHIAUTLA/IP/2025</w:t>
            </w:r>
          </w:p>
        </w:tc>
        <w:tc>
          <w:tcPr>
            <w:tcW w:w="6654" w:type="dxa"/>
            <w:vAlign w:val="center"/>
          </w:tcPr>
          <w:p w:rsidR="008B18C3" w:rsidRPr="00C50BBE" w:rsidRDefault="008B18C3" w:rsidP="006C23FC">
            <w:pPr>
              <w:spacing w:line="276" w:lineRule="auto"/>
              <w:jc w:val="both"/>
              <w:rPr>
                <w:rFonts w:ascii="Palatino Linotype" w:eastAsia="Palatino Linotype" w:hAnsi="Palatino Linotype" w:cs="Palatino Linotype"/>
                <w:i/>
                <w:color w:val="000000" w:themeColor="text1"/>
                <w:sz w:val="24"/>
                <w:szCs w:val="24"/>
              </w:rPr>
            </w:pPr>
          </w:p>
          <w:p w:rsidR="008B18C3" w:rsidRPr="00C50BBE" w:rsidRDefault="0059651D" w:rsidP="006C23FC">
            <w:pPr>
              <w:spacing w:line="276" w:lineRule="auto"/>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“Solicito la siguiente información - TODAS LAS Pólizas de pago realizadas por el municipio y el DIF municipal en diciembre de 2024 y en el primer trimestre del año 2025; asi como el formato 4 y 5. denominado Conciliación de Nómina del cuarto Informe Trimestral Municipal Ejercicio Fiscal 2024 y del primer Informe Trimestral Municipal Ejercicio Fiscal 2025”</w:t>
            </w:r>
          </w:p>
          <w:p w:rsidR="008B18C3" w:rsidRPr="00C50BBE" w:rsidRDefault="008B18C3" w:rsidP="006C23FC">
            <w:pPr>
              <w:spacing w:line="276" w:lineRule="auto"/>
              <w:jc w:val="both"/>
              <w:rPr>
                <w:rFonts w:ascii="Palatino Linotype" w:eastAsia="Palatino Linotype" w:hAnsi="Palatino Linotype" w:cs="Palatino Linotype"/>
                <w:i/>
                <w:color w:val="000000" w:themeColor="text1"/>
                <w:sz w:val="24"/>
                <w:szCs w:val="24"/>
              </w:rPr>
            </w:pPr>
          </w:p>
        </w:tc>
      </w:tr>
      <w:tr w:rsidR="006C23FC" w:rsidRPr="00C50BBE" w:rsidTr="00B647F1">
        <w:tc>
          <w:tcPr>
            <w:tcW w:w="3122" w:type="dxa"/>
            <w:vAlign w:val="center"/>
          </w:tcPr>
          <w:p w:rsidR="008B18C3" w:rsidRPr="00C50BBE" w:rsidRDefault="0059651D" w:rsidP="006C23FC">
            <w:pPr>
              <w:spacing w:line="360" w:lineRule="auto"/>
              <w:jc w:val="center"/>
              <w:rPr>
                <w:rFonts w:ascii="Palatino Linotype" w:eastAsia="Palatino Linotype" w:hAnsi="Palatino Linotype" w:cs="Palatino Linotype"/>
                <w:b/>
                <w:color w:val="000000" w:themeColor="text1"/>
                <w:sz w:val="24"/>
                <w:szCs w:val="24"/>
              </w:rPr>
            </w:pPr>
            <w:r w:rsidRPr="00C50BBE">
              <w:rPr>
                <w:rFonts w:ascii="Palatino Linotype" w:eastAsia="Palatino Linotype" w:hAnsi="Palatino Linotype" w:cs="Palatino Linotype"/>
                <w:b/>
                <w:color w:val="000000" w:themeColor="text1"/>
                <w:sz w:val="24"/>
                <w:szCs w:val="24"/>
              </w:rPr>
              <w:t>00055/CHIAUTLA/IP/2025</w:t>
            </w:r>
          </w:p>
        </w:tc>
        <w:tc>
          <w:tcPr>
            <w:tcW w:w="6654" w:type="dxa"/>
            <w:vAlign w:val="center"/>
          </w:tcPr>
          <w:p w:rsidR="008B18C3" w:rsidRPr="00C50BBE" w:rsidRDefault="008B18C3" w:rsidP="006C23FC">
            <w:pPr>
              <w:spacing w:line="276" w:lineRule="auto"/>
              <w:jc w:val="both"/>
              <w:rPr>
                <w:rFonts w:ascii="Palatino Linotype" w:eastAsia="Palatino Linotype" w:hAnsi="Palatino Linotype" w:cs="Palatino Linotype"/>
                <w:i/>
                <w:color w:val="000000" w:themeColor="text1"/>
                <w:sz w:val="24"/>
                <w:szCs w:val="24"/>
              </w:rPr>
            </w:pPr>
          </w:p>
          <w:p w:rsidR="008B18C3" w:rsidRPr="00C50BBE" w:rsidRDefault="0059651D" w:rsidP="006C23FC">
            <w:pPr>
              <w:spacing w:line="276" w:lineRule="auto"/>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“Solicito la siguiente información - TODAS LAS Pólizas de pago realizadas por el municipio y el DIF municipal en diciembre de 2024 y en el primer trimestre del año 2025; asi como el formato 4 y 5. denominado Conciliación de Nómina del cuarto Informe Trimestral Municipal Ejercicio Fiscal 2024 y del primer Informe Trimestral Municipal Ejercicio Fiscal 2025”</w:t>
            </w:r>
          </w:p>
          <w:p w:rsidR="008B18C3" w:rsidRPr="00C50BBE" w:rsidRDefault="008B18C3" w:rsidP="006C23FC">
            <w:pPr>
              <w:spacing w:line="276" w:lineRule="auto"/>
              <w:jc w:val="both"/>
              <w:rPr>
                <w:rFonts w:ascii="Palatino Linotype" w:eastAsia="Palatino Linotype" w:hAnsi="Palatino Linotype" w:cs="Palatino Linotype"/>
                <w:i/>
                <w:color w:val="000000" w:themeColor="text1"/>
                <w:sz w:val="24"/>
                <w:szCs w:val="24"/>
              </w:rPr>
            </w:pPr>
          </w:p>
        </w:tc>
      </w:tr>
      <w:tr w:rsidR="006C23FC" w:rsidRPr="00C50BBE" w:rsidTr="00B647F1">
        <w:tc>
          <w:tcPr>
            <w:tcW w:w="3122" w:type="dxa"/>
            <w:vAlign w:val="center"/>
          </w:tcPr>
          <w:p w:rsidR="008B18C3" w:rsidRPr="00C50BBE" w:rsidRDefault="0059651D" w:rsidP="006C23FC">
            <w:pPr>
              <w:spacing w:line="360" w:lineRule="auto"/>
              <w:jc w:val="center"/>
              <w:rPr>
                <w:rFonts w:ascii="Palatino Linotype" w:eastAsia="Palatino Linotype" w:hAnsi="Palatino Linotype" w:cs="Palatino Linotype"/>
                <w:b/>
                <w:color w:val="000000" w:themeColor="text1"/>
                <w:sz w:val="24"/>
                <w:szCs w:val="24"/>
              </w:rPr>
            </w:pPr>
            <w:r w:rsidRPr="00C50BBE">
              <w:rPr>
                <w:rFonts w:ascii="Palatino Linotype" w:eastAsia="Palatino Linotype" w:hAnsi="Palatino Linotype" w:cs="Palatino Linotype"/>
                <w:b/>
                <w:color w:val="000000" w:themeColor="text1"/>
                <w:sz w:val="24"/>
                <w:szCs w:val="24"/>
              </w:rPr>
              <w:t>00056/CHIAUTLA/IP/2025</w:t>
            </w:r>
          </w:p>
        </w:tc>
        <w:tc>
          <w:tcPr>
            <w:tcW w:w="6654" w:type="dxa"/>
            <w:vAlign w:val="center"/>
          </w:tcPr>
          <w:p w:rsidR="008B18C3" w:rsidRPr="00C50BBE" w:rsidRDefault="008B18C3" w:rsidP="006C23FC">
            <w:pPr>
              <w:spacing w:line="276" w:lineRule="auto"/>
              <w:jc w:val="both"/>
              <w:rPr>
                <w:rFonts w:ascii="Palatino Linotype" w:eastAsia="Palatino Linotype" w:hAnsi="Palatino Linotype" w:cs="Palatino Linotype"/>
                <w:i/>
                <w:color w:val="000000" w:themeColor="text1"/>
                <w:sz w:val="24"/>
                <w:szCs w:val="24"/>
              </w:rPr>
            </w:pPr>
          </w:p>
          <w:p w:rsidR="008B18C3" w:rsidRPr="00C50BBE" w:rsidRDefault="0059651D" w:rsidP="006C23FC">
            <w:pPr>
              <w:spacing w:line="276" w:lineRule="auto"/>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“Solicito la siguiente información - TODAS LAS Pólizas de pago realizadas por el municipio y el DIF municipal en diciembre de 2024 y en el primer trimestre del año 2025; asi como el formato 4 y 5. denominado Conciliación de Nómina del cuarto Informe Trimestral Municipal Ejercicio Fiscal 2024 y del primer Informe Trimestral Municipal Ejercicio Fiscal 2025”</w:t>
            </w:r>
          </w:p>
        </w:tc>
      </w:tr>
    </w:tbl>
    <w:p w:rsidR="008B18C3" w:rsidRPr="00C50BBE" w:rsidRDefault="0059651D" w:rsidP="00B647F1">
      <w:pPr>
        <w:numPr>
          <w:ilvl w:val="0"/>
          <w:numId w:val="2"/>
        </w:numPr>
        <w:pBdr>
          <w:top w:val="nil"/>
          <w:left w:val="nil"/>
          <w:bottom w:val="nil"/>
          <w:right w:val="nil"/>
          <w:between w:val="nil"/>
        </w:pBdr>
        <w:spacing w:after="0" w:line="240" w:lineRule="auto"/>
        <w:ind w:left="0" w:firstLine="0"/>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lastRenderedPageBreak/>
        <w:t xml:space="preserve">Se eligió como modalidad de entrega de la información: A través del </w:t>
      </w:r>
      <w:r w:rsidRPr="00C50BBE">
        <w:rPr>
          <w:rFonts w:ascii="Palatino Linotype" w:eastAsia="Palatino Linotype" w:hAnsi="Palatino Linotype" w:cs="Palatino Linotype"/>
          <w:b/>
          <w:color w:val="000000" w:themeColor="text1"/>
          <w:sz w:val="24"/>
          <w:szCs w:val="24"/>
        </w:rPr>
        <w:t>SAIMEX.</w:t>
      </w:r>
    </w:p>
    <w:p w:rsidR="008B18C3" w:rsidRPr="00C50BBE" w:rsidRDefault="008B18C3" w:rsidP="006C23FC">
      <w:pPr>
        <w:pBdr>
          <w:top w:val="nil"/>
          <w:left w:val="nil"/>
          <w:bottom w:val="nil"/>
          <w:right w:val="nil"/>
          <w:between w:val="nil"/>
        </w:pBdr>
        <w:spacing w:after="0" w:line="240" w:lineRule="auto"/>
        <w:jc w:val="both"/>
        <w:rPr>
          <w:rFonts w:ascii="Palatino Linotype" w:eastAsia="Palatino Linotype" w:hAnsi="Palatino Linotype" w:cs="Palatino Linotype"/>
          <w:color w:val="000000" w:themeColor="text1"/>
          <w:sz w:val="24"/>
          <w:szCs w:val="24"/>
        </w:rPr>
      </w:pPr>
    </w:p>
    <w:p w:rsidR="008B18C3" w:rsidRDefault="008B18C3" w:rsidP="006C23FC">
      <w:pPr>
        <w:pBdr>
          <w:top w:val="nil"/>
          <w:left w:val="nil"/>
          <w:bottom w:val="nil"/>
          <w:right w:val="nil"/>
          <w:between w:val="nil"/>
        </w:pBdr>
        <w:spacing w:after="0" w:line="24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hAnsi="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El </w:t>
      </w:r>
      <w:r w:rsidRPr="00C50BBE">
        <w:rPr>
          <w:rFonts w:ascii="Palatino Linotype" w:eastAsia="Palatino Linotype" w:hAnsi="Palatino Linotype" w:cs="Palatino Linotype"/>
          <w:b/>
          <w:color w:val="000000" w:themeColor="text1"/>
          <w:sz w:val="24"/>
          <w:szCs w:val="24"/>
        </w:rPr>
        <w:t xml:space="preserve">veintitrés de mayo de dos mil veinticinco, el SUJETO OBLIGADO, </w:t>
      </w:r>
      <w:r w:rsidRPr="00C50BBE">
        <w:rPr>
          <w:rFonts w:ascii="Palatino Linotype" w:eastAsia="Palatino Linotype" w:hAnsi="Palatino Linotype" w:cs="Palatino Linotype"/>
          <w:color w:val="000000" w:themeColor="text1"/>
          <w:sz w:val="24"/>
          <w:szCs w:val="24"/>
        </w:rPr>
        <w:t>dio respuesta a través de los siguientes archivos:</w:t>
      </w:r>
    </w:p>
    <w:p w:rsidR="008B18C3" w:rsidRPr="00C50BBE" w:rsidRDefault="008B18C3" w:rsidP="006C23FC">
      <w:pPr>
        <w:pBdr>
          <w:top w:val="nil"/>
          <w:left w:val="nil"/>
          <w:bottom w:val="nil"/>
          <w:right w:val="nil"/>
          <w:between w:val="nil"/>
        </w:pBdr>
        <w:spacing w:after="0" w:line="360" w:lineRule="auto"/>
        <w:jc w:val="both"/>
        <w:rPr>
          <w:rFonts w:ascii="Palatino Linotype" w:hAnsi="Palatino Linotype"/>
          <w:color w:val="000000" w:themeColor="text1"/>
          <w:sz w:val="24"/>
          <w:szCs w:val="24"/>
        </w:rPr>
      </w:pPr>
    </w:p>
    <w:tbl>
      <w:tblPr>
        <w:tblStyle w:val="a3"/>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6379"/>
      </w:tblGrid>
      <w:tr w:rsidR="006C23FC" w:rsidRPr="00C50BBE" w:rsidTr="00B647F1">
        <w:tc>
          <w:tcPr>
            <w:tcW w:w="3539" w:type="dxa"/>
            <w:shd w:val="clear" w:color="auto" w:fill="E7E6E6"/>
            <w:vAlign w:val="center"/>
          </w:tcPr>
          <w:p w:rsidR="008B18C3" w:rsidRPr="00C50BBE" w:rsidRDefault="0059651D" w:rsidP="006C23FC">
            <w:pPr>
              <w:tabs>
                <w:tab w:val="left" w:pos="1586"/>
              </w:tabs>
              <w:spacing w:line="276" w:lineRule="auto"/>
              <w:jc w:val="center"/>
              <w:rPr>
                <w:rFonts w:ascii="Palatino Linotype" w:eastAsia="Palatino Linotype" w:hAnsi="Palatino Linotype" w:cs="Palatino Linotype"/>
                <w:b/>
                <w:color w:val="000000" w:themeColor="text1"/>
                <w:sz w:val="24"/>
                <w:szCs w:val="24"/>
              </w:rPr>
            </w:pPr>
            <w:r w:rsidRPr="00C50BBE">
              <w:rPr>
                <w:rFonts w:ascii="Palatino Linotype" w:eastAsia="Palatino Linotype" w:hAnsi="Palatino Linotype" w:cs="Palatino Linotype"/>
                <w:b/>
                <w:color w:val="000000" w:themeColor="text1"/>
                <w:sz w:val="24"/>
                <w:szCs w:val="24"/>
              </w:rPr>
              <w:t>No. solicitud</w:t>
            </w:r>
          </w:p>
        </w:tc>
        <w:tc>
          <w:tcPr>
            <w:tcW w:w="6379" w:type="dxa"/>
            <w:shd w:val="clear" w:color="auto" w:fill="E7E6E6"/>
            <w:vAlign w:val="center"/>
          </w:tcPr>
          <w:p w:rsidR="008B18C3" w:rsidRPr="00C50BBE" w:rsidRDefault="0059651D" w:rsidP="006C23FC">
            <w:pPr>
              <w:spacing w:line="276" w:lineRule="auto"/>
              <w:jc w:val="center"/>
              <w:rPr>
                <w:rFonts w:ascii="Palatino Linotype" w:eastAsia="Palatino Linotype" w:hAnsi="Palatino Linotype" w:cs="Palatino Linotype"/>
                <w:b/>
                <w:color w:val="000000" w:themeColor="text1"/>
                <w:sz w:val="24"/>
                <w:szCs w:val="24"/>
              </w:rPr>
            </w:pPr>
            <w:r w:rsidRPr="00C50BBE">
              <w:rPr>
                <w:rFonts w:ascii="Palatino Linotype" w:eastAsia="Palatino Linotype" w:hAnsi="Palatino Linotype" w:cs="Palatino Linotype"/>
                <w:b/>
                <w:color w:val="000000" w:themeColor="text1"/>
                <w:sz w:val="24"/>
                <w:szCs w:val="24"/>
              </w:rPr>
              <w:t>Respuesta</w:t>
            </w:r>
          </w:p>
        </w:tc>
      </w:tr>
      <w:tr w:rsidR="006C23FC" w:rsidRPr="00C50BBE" w:rsidTr="00B647F1">
        <w:tc>
          <w:tcPr>
            <w:tcW w:w="3539" w:type="dxa"/>
            <w:vAlign w:val="center"/>
          </w:tcPr>
          <w:p w:rsidR="008B18C3" w:rsidRPr="00C50BBE" w:rsidRDefault="0059651D" w:rsidP="006C23FC">
            <w:pPr>
              <w:spacing w:line="276" w:lineRule="auto"/>
              <w:rPr>
                <w:rFonts w:ascii="Palatino Linotype" w:eastAsia="Palatino Linotype" w:hAnsi="Palatino Linotype" w:cs="Palatino Linotype"/>
                <w:b/>
                <w:color w:val="000000" w:themeColor="text1"/>
                <w:sz w:val="24"/>
                <w:szCs w:val="24"/>
              </w:rPr>
            </w:pPr>
            <w:r w:rsidRPr="00C50BBE">
              <w:rPr>
                <w:rFonts w:ascii="Palatino Linotype" w:eastAsia="Palatino Linotype" w:hAnsi="Palatino Linotype" w:cs="Palatino Linotype"/>
                <w:b/>
                <w:color w:val="000000" w:themeColor="text1"/>
                <w:sz w:val="24"/>
                <w:szCs w:val="24"/>
              </w:rPr>
              <w:t>00052/CHIAUTLA/IP/2025</w:t>
            </w:r>
          </w:p>
        </w:tc>
        <w:tc>
          <w:tcPr>
            <w:tcW w:w="6379" w:type="dxa"/>
            <w:vAlign w:val="center"/>
          </w:tcPr>
          <w:p w:rsidR="008B18C3" w:rsidRPr="00C50BBE" w:rsidRDefault="008B18C3" w:rsidP="006C23FC">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D1177C"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hyperlink r:id="rId8">
              <w:r w:rsidR="0059651D" w:rsidRPr="00C50BBE">
                <w:rPr>
                  <w:rFonts w:ascii="Palatino Linotype" w:eastAsia="Palatino Linotype" w:hAnsi="Palatino Linotype" w:cs="Palatino Linotype"/>
                  <w:b/>
                  <w:i/>
                  <w:color w:val="000000" w:themeColor="text1"/>
                  <w:sz w:val="24"/>
                  <w:szCs w:val="24"/>
                  <w:u w:val="single"/>
                </w:rPr>
                <w:t>pólizas egresos febrero 2025.pdf</w:t>
              </w:r>
            </w:hyperlink>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Póliza de egresos del mes de febrero de dos mil veinticinco, remitido de manera íntegra. </w:t>
            </w:r>
          </w:p>
          <w:p w:rsidR="008B18C3" w:rsidRPr="00C50BBE" w:rsidRDefault="008B18C3" w:rsidP="006C23FC">
            <w:pPr>
              <w:spacing w:line="276" w:lineRule="auto"/>
              <w:jc w:val="both"/>
              <w:rPr>
                <w:rFonts w:ascii="Palatino Linotype" w:eastAsia="Palatino Linotype" w:hAnsi="Palatino Linotype" w:cs="Palatino Linotype"/>
                <w:color w:val="000000" w:themeColor="text1"/>
                <w:sz w:val="24"/>
                <w:szCs w:val="24"/>
              </w:rPr>
            </w:pPr>
          </w:p>
          <w:p w:rsidR="008B18C3" w:rsidRPr="00C50BBE" w:rsidRDefault="00D1177C"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hyperlink r:id="rId9">
              <w:r w:rsidR="0059651D" w:rsidRPr="00C50BBE">
                <w:rPr>
                  <w:rFonts w:ascii="Palatino Linotype" w:eastAsia="Palatino Linotype" w:hAnsi="Palatino Linotype" w:cs="Palatino Linotype"/>
                  <w:b/>
                  <w:i/>
                  <w:color w:val="000000" w:themeColor="text1"/>
                  <w:sz w:val="24"/>
                  <w:szCs w:val="24"/>
                  <w:u w:val="single"/>
                </w:rPr>
                <w:t>póliza egresos diciembre 2024.pdf</w:t>
              </w:r>
            </w:hyperlink>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diciembre de dos mil veinticuatro, remitido de manera íntegra.</w:t>
            </w:r>
          </w:p>
          <w:p w:rsidR="008B18C3" w:rsidRPr="00C50BBE" w:rsidRDefault="008B18C3" w:rsidP="006C23FC">
            <w:pPr>
              <w:spacing w:line="276" w:lineRule="auto"/>
              <w:jc w:val="both"/>
              <w:rPr>
                <w:rFonts w:ascii="Palatino Linotype" w:eastAsia="Palatino Linotype" w:hAnsi="Palatino Linotype" w:cs="Palatino Linotype"/>
                <w:color w:val="000000" w:themeColor="text1"/>
                <w:sz w:val="24"/>
                <w:szCs w:val="24"/>
              </w:rPr>
            </w:pPr>
          </w:p>
          <w:p w:rsidR="008B18C3" w:rsidRPr="00C50BBE" w:rsidRDefault="00D1177C"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hyperlink r:id="rId10">
              <w:r w:rsidR="0059651D" w:rsidRPr="00C50BBE">
                <w:rPr>
                  <w:rFonts w:ascii="Palatino Linotype" w:eastAsia="Palatino Linotype" w:hAnsi="Palatino Linotype" w:cs="Palatino Linotype"/>
                  <w:b/>
                  <w:i/>
                  <w:color w:val="000000" w:themeColor="text1"/>
                  <w:sz w:val="24"/>
                  <w:szCs w:val="24"/>
                  <w:u w:val="single"/>
                </w:rPr>
                <w:t>pólizas egresos marzo 2025.pdf</w:t>
              </w:r>
            </w:hyperlink>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Póliza de egresos del mes de marzo de dos mil veinticinco, remitido de manera íntegra. </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D1177C"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hyperlink r:id="rId11">
              <w:r w:rsidR="0059651D" w:rsidRPr="00C50BBE">
                <w:rPr>
                  <w:rFonts w:ascii="Palatino Linotype" w:eastAsia="Palatino Linotype" w:hAnsi="Palatino Linotype" w:cs="Palatino Linotype"/>
                  <w:b/>
                  <w:i/>
                  <w:color w:val="000000" w:themeColor="text1"/>
                  <w:sz w:val="24"/>
                  <w:szCs w:val="24"/>
                  <w:u w:val="single"/>
                </w:rPr>
                <w:t>DIF (8).pdf</w:t>
              </w:r>
            </w:hyperlink>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Oficio de catorce marzo de dos mil veinticinco, firmado por la Directora del DIF de Chiautla, por el que informó que se anexan las pólizas solicitadas, excepto las del mes de enero ya que no hubo egresos realizados en dicho mes por ser inicio de nueva Administración Pública. </w:t>
            </w:r>
          </w:p>
          <w:p w:rsidR="008B18C3" w:rsidRPr="00C50BBE" w:rsidRDefault="008B18C3" w:rsidP="006C23FC">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D1177C"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hyperlink r:id="rId12">
              <w:r w:rsidR="0059651D" w:rsidRPr="00C50BBE">
                <w:rPr>
                  <w:rFonts w:ascii="Palatino Linotype" w:eastAsia="Palatino Linotype" w:hAnsi="Palatino Linotype" w:cs="Palatino Linotype"/>
                  <w:b/>
                  <w:i/>
                  <w:color w:val="000000" w:themeColor="text1"/>
                  <w:sz w:val="24"/>
                  <w:szCs w:val="24"/>
                  <w:u w:val="single"/>
                </w:rPr>
                <w:t>Conciliacion Nomina 1er inf. trim. 2025 (2).pdf</w:t>
              </w:r>
            </w:hyperlink>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lastRenderedPageBreak/>
              <w:t xml:space="preserve">Archivo del que se desprende una relación donde se observa número consecutivo, número de quincena, número de empleado, RFC (testado), CURP (testado) Número de seguridad social (testado) y apellido paterno. </w:t>
            </w:r>
          </w:p>
          <w:p w:rsidR="008B18C3" w:rsidRPr="00C50BBE" w:rsidRDefault="008B18C3" w:rsidP="006C23FC">
            <w:pPr>
              <w:spacing w:line="276" w:lineRule="auto"/>
              <w:jc w:val="both"/>
              <w:rPr>
                <w:rFonts w:ascii="Palatino Linotype" w:eastAsia="Palatino Linotype" w:hAnsi="Palatino Linotype" w:cs="Palatino Linotype"/>
                <w:color w:val="000000" w:themeColor="text1"/>
                <w:sz w:val="24"/>
                <w:szCs w:val="24"/>
              </w:rPr>
            </w:pPr>
          </w:p>
          <w:p w:rsidR="008B18C3" w:rsidRPr="00C50BBE" w:rsidRDefault="00D1177C"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hyperlink r:id="rId13">
              <w:r w:rsidR="0059651D" w:rsidRPr="00C50BBE">
                <w:rPr>
                  <w:rFonts w:ascii="Palatino Linotype" w:eastAsia="Palatino Linotype" w:hAnsi="Palatino Linotype" w:cs="Palatino Linotype"/>
                  <w:b/>
                  <w:i/>
                  <w:color w:val="000000" w:themeColor="text1"/>
                  <w:sz w:val="24"/>
                  <w:szCs w:val="24"/>
                  <w:u w:val="single"/>
                </w:rPr>
                <w:t>Conciliacion Nomina 4to inf. trim. 2024 (2).pdf</w:t>
              </w:r>
            </w:hyperlink>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Archivo del que se desprende una relación donde se observa número consecutivo, número de quincena número de empleado (algunos testados), RFC (testado), CURP (testado) Número de seguridad social (testado) y apellido paterno (algunos testados) </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D1177C"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hyperlink r:id="rId14">
              <w:r w:rsidR="0059651D" w:rsidRPr="00C50BBE">
                <w:rPr>
                  <w:rFonts w:ascii="Palatino Linotype" w:eastAsia="Palatino Linotype" w:hAnsi="Palatino Linotype" w:cs="Palatino Linotype"/>
                  <w:b/>
                  <w:i/>
                  <w:color w:val="000000" w:themeColor="text1"/>
                  <w:sz w:val="24"/>
                  <w:szCs w:val="24"/>
                  <w:u w:val="single"/>
                </w:rPr>
                <w:t>polizas de egresos febrero 2025-1.pdf</w:t>
              </w:r>
            </w:hyperlink>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febrero de dos mil veinticinco, parte del concepto “</w:t>
            </w:r>
            <w:r w:rsidRPr="00C50BBE">
              <w:rPr>
                <w:rFonts w:ascii="Palatino Linotype" w:eastAsia="Palatino Linotype" w:hAnsi="Palatino Linotype" w:cs="Palatino Linotype"/>
                <w:i/>
                <w:color w:val="000000" w:themeColor="text1"/>
                <w:sz w:val="24"/>
                <w:szCs w:val="24"/>
              </w:rPr>
              <w:t xml:space="preserve">Falta de puntualidad o inasistencia injustificadas…”, </w:t>
            </w:r>
            <w:r w:rsidRPr="00C50BBE">
              <w:rPr>
                <w:rFonts w:ascii="Palatino Linotype" w:eastAsia="Palatino Linotype" w:hAnsi="Palatino Linotype" w:cs="Palatino Linotype"/>
                <w:color w:val="000000" w:themeColor="text1"/>
                <w:sz w:val="24"/>
                <w:szCs w:val="24"/>
              </w:rPr>
              <w:t>testado, conceptos testados de los cuales no se puede establecer a que concepto corresponde, sin embargo se insertan a continuación:</w:t>
            </w:r>
          </w:p>
          <w:p w:rsidR="008B18C3" w:rsidRPr="00C50BBE" w:rsidRDefault="008B18C3" w:rsidP="006C23FC">
            <w:pPr>
              <w:spacing w:line="276"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noProof/>
                <w:color w:val="000000" w:themeColor="text1"/>
                <w:sz w:val="24"/>
                <w:szCs w:val="24"/>
              </w:rPr>
              <w:drawing>
                <wp:inline distT="0" distB="0" distL="0" distR="0">
                  <wp:extent cx="3873260" cy="276045"/>
                  <wp:effectExtent l="0" t="0" r="0" b="0"/>
                  <wp:docPr id="8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5"/>
                          <a:srcRect/>
                          <a:stretch>
                            <a:fillRect/>
                          </a:stretch>
                        </pic:blipFill>
                        <pic:spPr>
                          <a:xfrm>
                            <a:off x="0" y="0"/>
                            <a:ext cx="3973426" cy="283184"/>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noProof/>
                <w:color w:val="000000" w:themeColor="text1"/>
                <w:sz w:val="24"/>
                <w:szCs w:val="24"/>
              </w:rPr>
              <w:drawing>
                <wp:inline distT="0" distB="0" distL="0" distR="0">
                  <wp:extent cx="3899139" cy="163902"/>
                  <wp:effectExtent l="0" t="0" r="6350" b="7620"/>
                  <wp:docPr id="8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3927984" cy="165115"/>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noProof/>
                <w:color w:val="000000" w:themeColor="text1"/>
                <w:sz w:val="24"/>
                <w:szCs w:val="24"/>
              </w:rPr>
              <w:drawing>
                <wp:inline distT="0" distB="0" distL="0" distR="0">
                  <wp:extent cx="4183380" cy="190500"/>
                  <wp:effectExtent l="0" t="0" r="0" b="0"/>
                  <wp:docPr id="8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7"/>
                          <a:srcRect/>
                          <a:stretch>
                            <a:fillRect/>
                          </a:stretch>
                        </pic:blipFill>
                        <pic:spPr>
                          <a:xfrm>
                            <a:off x="0" y="0"/>
                            <a:ext cx="4183380" cy="190500"/>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noProof/>
                <w:color w:val="000000" w:themeColor="text1"/>
                <w:sz w:val="24"/>
                <w:szCs w:val="24"/>
              </w:rPr>
              <w:drawing>
                <wp:inline distT="0" distB="0" distL="0" distR="0">
                  <wp:extent cx="3968150" cy="293298"/>
                  <wp:effectExtent l="0" t="0" r="0" b="0"/>
                  <wp:docPr id="8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
                          <a:srcRect/>
                          <a:stretch>
                            <a:fillRect/>
                          </a:stretch>
                        </pic:blipFill>
                        <pic:spPr>
                          <a:xfrm>
                            <a:off x="0" y="0"/>
                            <a:ext cx="4121855" cy="304659"/>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noProof/>
                <w:color w:val="000000" w:themeColor="text1"/>
                <w:sz w:val="24"/>
                <w:szCs w:val="24"/>
              </w:rPr>
              <w:drawing>
                <wp:inline distT="0" distB="0" distL="0" distR="0">
                  <wp:extent cx="3907766" cy="630555"/>
                  <wp:effectExtent l="0" t="0" r="0" b="0"/>
                  <wp:docPr id="8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9"/>
                          <a:srcRect/>
                          <a:stretch>
                            <a:fillRect/>
                          </a:stretch>
                        </pic:blipFill>
                        <pic:spPr>
                          <a:xfrm>
                            <a:off x="0" y="0"/>
                            <a:ext cx="3915762" cy="631845"/>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noProof/>
                <w:color w:val="000000" w:themeColor="text1"/>
                <w:sz w:val="24"/>
                <w:szCs w:val="24"/>
              </w:rPr>
              <w:drawing>
                <wp:inline distT="0" distB="0" distL="0" distR="0">
                  <wp:extent cx="3881886" cy="966158"/>
                  <wp:effectExtent l="0" t="0" r="4445" b="5715"/>
                  <wp:docPr id="9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0"/>
                          <a:srcRect/>
                          <a:stretch>
                            <a:fillRect/>
                          </a:stretch>
                        </pic:blipFill>
                        <pic:spPr>
                          <a:xfrm>
                            <a:off x="0" y="0"/>
                            <a:ext cx="3896640" cy="969830"/>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noProof/>
                <w:color w:val="000000" w:themeColor="text1"/>
                <w:sz w:val="24"/>
                <w:szCs w:val="24"/>
              </w:rPr>
              <w:lastRenderedPageBreak/>
              <w:drawing>
                <wp:inline distT="0" distB="0" distL="0" distR="0">
                  <wp:extent cx="3873260" cy="543464"/>
                  <wp:effectExtent l="0" t="0" r="0" b="9525"/>
                  <wp:docPr id="8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
                          <a:srcRect/>
                          <a:stretch>
                            <a:fillRect/>
                          </a:stretch>
                        </pic:blipFill>
                        <pic:spPr>
                          <a:xfrm>
                            <a:off x="0" y="0"/>
                            <a:ext cx="3907083" cy="548210"/>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noProof/>
                <w:color w:val="000000" w:themeColor="text1"/>
                <w:sz w:val="24"/>
                <w:szCs w:val="24"/>
              </w:rPr>
              <w:drawing>
                <wp:inline distT="0" distB="0" distL="0" distR="0">
                  <wp:extent cx="3907766" cy="543464"/>
                  <wp:effectExtent l="0" t="0" r="0" b="9525"/>
                  <wp:docPr id="9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2"/>
                          <a:srcRect/>
                          <a:stretch>
                            <a:fillRect/>
                          </a:stretch>
                        </pic:blipFill>
                        <pic:spPr>
                          <a:xfrm>
                            <a:off x="0" y="0"/>
                            <a:ext cx="3928949" cy="546410"/>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noProof/>
                <w:color w:val="000000" w:themeColor="text1"/>
                <w:sz w:val="24"/>
                <w:szCs w:val="24"/>
              </w:rPr>
              <w:drawing>
                <wp:inline distT="0" distB="0" distL="0" distR="0">
                  <wp:extent cx="3890513" cy="612475"/>
                  <wp:effectExtent l="0" t="0" r="0" b="0"/>
                  <wp:docPr id="9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a:srcRect/>
                          <a:stretch>
                            <a:fillRect/>
                          </a:stretch>
                        </pic:blipFill>
                        <pic:spPr>
                          <a:xfrm>
                            <a:off x="0" y="0"/>
                            <a:ext cx="3913508" cy="616095"/>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noProof/>
                <w:color w:val="000000" w:themeColor="text1"/>
                <w:sz w:val="24"/>
                <w:szCs w:val="24"/>
              </w:rPr>
              <w:drawing>
                <wp:inline distT="0" distB="0" distL="0" distR="0">
                  <wp:extent cx="3907155" cy="629729"/>
                  <wp:effectExtent l="0" t="0" r="0" b="0"/>
                  <wp:docPr id="9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4"/>
                          <a:srcRect/>
                          <a:stretch>
                            <a:fillRect/>
                          </a:stretch>
                        </pic:blipFill>
                        <pic:spPr>
                          <a:xfrm>
                            <a:off x="0" y="0"/>
                            <a:ext cx="3924956" cy="632598"/>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noProof/>
                <w:color w:val="000000" w:themeColor="text1"/>
                <w:sz w:val="24"/>
                <w:szCs w:val="24"/>
              </w:rPr>
              <w:drawing>
                <wp:inline distT="0" distB="0" distL="0" distR="0">
                  <wp:extent cx="3916392" cy="646982"/>
                  <wp:effectExtent l="0" t="0" r="0" b="1270"/>
                  <wp:docPr id="9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5"/>
                          <a:srcRect/>
                          <a:stretch>
                            <a:fillRect/>
                          </a:stretch>
                        </pic:blipFill>
                        <pic:spPr>
                          <a:xfrm>
                            <a:off x="0" y="0"/>
                            <a:ext cx="3957396" cy="653756"/>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noProof/>
                <w:color w:val="000000" w:themeColor="text1"/>
                <w:sz w:val="24"/>
                <w:szCs w:val="24"/>
              </w:rPr>
              <w:drawing>
                <wp:inline distT="0" distB="0" distL="0" distR="0">
                  <wp:extent cx="3856007" cy="681487"/>
                  <wp:effectExtent l="0" t="0" r="0" b="4445"/>
                  <wp:docPr id="9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6"/>
                          <a:srcRect/>
                          <a:stretch>
                            <a:fillRect/>
                          </a:stretch>
                        </pic:blipFill>
                        <pic:spPr>
                          <a:xfrm>
                            <a:off x="0" y="0"/>
                            <a:ext cx="3869629" cy="683894"/>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noProof/>
                <w:color w:val="000000" w:themeColor="text1"/>
                <w:sz w:val="24"/>
                <w:szCs w:val="24"/>
              </w:rPr>
              <w:drawing>
                <wp:inline distT="0" distB="0" distL="0" distR="0">
                  <wp:extent cx="3907155" cy="638354"/>
                  <wp:effectExtent l="0" t="0" r="0" b="9525"/>
                  <wp:docPr id="9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7"/>
                          <a:srcRect/>
                          <a:stretch>
                            <a:fillRect/>
                          </a:stretch>
                        </pic:blipFill>
                        <pic:spPr>
                          <a:xfrm>
                            <a:off x="0" y="0"/>
                            <a:ext cx="3922981" cy="640940"/>
                          </a:xfrm>
                          <a:prstGeom prst="rect">
                            <a:avLst/>
                          </a:prstGeom>
                          <a:ln/>
                        </pic:spPr>
                      </pic:pic>
                    </a:graphicData>
                  </a:graphic>
                </wp:inline>
              </w:drawing>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D1177C"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hyperlink r:id="rId28">
              <w:r w:rsidR="0059651D" w:rsidRPr="00C50BBE">
                <w:rPr>
                  <w:rFonts w:ascii="Palatino Linotype" w:eastAsia="Palatino Linotype" w:hAnsi="Palatino Linotype" w:cs="Palatino Linotype"/>
                  <w:b/>
                  <w:i/>
                  <w:color w:val="000000" w:themeColor="text1"/>
                  <w:sz w:val="24"/>
                  <w:szCs w:val="24"/>
                  <w:u w:val="single"/>
                </w:rPr>
                <w:t>polizas de egresos marzo 2025-1.pdf</w:t>
              </w:r>
            </w:hyperlink>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marzo de dos mil veinticinco, con la siguiente información testada:</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noProof/>
                <w:color w:val="000000" w:themeColor="text1"/>
                <w:sz w:val="24"/>
                <w:szCs w:val="24"/>
              </w:rPr>
              <w:drawing>
                <wp:inline distT="0" distB="0" distL="0" distR="0">
                  <wp:extent cx="3907155" cy="69011"/>
                  <wp:effectExtent l="0" t="0" r="0" b="7620"/>
                  <wp:docPr id="9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9"/>
                          <a:srcRect/>
                          <a:stretch>
                            <a:fillRect/>
                          </a:stretch>
                        </pic:blipFill>
                        <pic:spPr>
                          <a:xfrm>
                            <a:off x="0" y="0"/>
                            <a:ext cx="4323280" cy="76361"/>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noProof/>
                <w:color w:val="000000" w:themeColor="text1"/>
                <w:sz w:val="24"/>
                <w:szCs w:val="24"/>
              </w:rPr>
              <w:drawing>
                <wp:inline distT="0" distB="0" distL="0" distR="0">
                  <wp:extent cx="3890010" cy="120770"/>
                  <wp:effectExtent l="0" t="0" r="0" b="0"/>
                  <wp:docPr id="9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0"/>
                          <a:srcRect/>
                          <a:stretch>
                            <a:fillRect/>
                          </a:stretch>
                        </pic:blipFill>
                        <pic:spPr>
                          <a:xfrm>
                            <a:off x="0" y="0"/>
                            <a:ext cx="3906292" cy="121276"/>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noProof/>
                <w:color w:val="000000" w:themeColor="text1"/>
                <w:sz w:val="24"/>
                <w:szCs w:val="24"/>
              </w:rPr>
              <w:drawing>
                <wp:inline distT="0" distB="0" distL="0" distR="0">
                  <wp:extent cx="3916045" cy="293298"/>
                  <wp:effectExtent l="0" t="0" r="0" b="0"/>
                  <wp:docPr id="9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1"/>
                          <a:srcRect/>
                          <a:stretch>
                            <a:fillRect/>
                          </a:stretch>
                        </pic:blipFill>
                        <pic:spPr>
                          <a:xfrm>
                            <a:off x="0" y="0"/>
                            <a:ext cx="3969809" cy="297325"/>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noProof/>
                <w:color w:val="000000" w:themeColor="text1"/>
                <w:sz w:val="24"/>
                <w:szCs w:val="24"/>
              </w:rPr>
              <w:drawing>
                <wp:inline distT="0" distB="0" distL="0" distR="0">
                  <wp:extent cx="3890010" cy="293298"/>
                  <wp:effectExtent l="0" t="0" r="0" b="0"/>
                  <wp:docPr id="10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2"/>
                          <a:srcRect/>
                          <a:stretch>
                            <a:fillRect/>
                          </a:stretch>
                        </pic:blipFill>
                        <pic:spPr>
                          <a:xfrm>
                            <a:off x="0" y="0"/>
                            <a:ext cx="3960692" cy="298627"/>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noProof/>
                <w:color w:val="000000" w:themeColor="text1"/>
                <w:sz w:val="24"/>
                <w:szCs w:val="24"/>
              </w:rPr>
              <w:drawing>
                <wp:inline distT="0" distB="0" distL="0" distR="0">
                  <wp:extent cx="3907155" cy="215660"/>
                  <wp:effectExtent l="0" t="0" r="0" b="0"/>
                  <wp:docPr id="10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3"/>
                          <a:srcRect/>
                          <a:stretch>
                            <a:fillRect/>
                          </a:stretch>
                        </pic:blipFill>
                        <pic:spPr>
                          <a:xfrm>
                            <a:off x="0" y="0"/>
                            <a:ext cx="3987090" cy="220072"/>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noProof/>
                <w:color w:val="000000" w:themeColor="text1"/>
                <w:sz w:val="24"/>
                <w:szCs w:val="24"/>
              </w:rPr>
              <w:drawing>
                <wp:inline distT="0" distB="0" distL="0" distR="0">
                  <wp:extent cx="3890010" cy="336430"/>
                  <wp:effectExtent l="0" t="0" r="0" b="6985"/>
                  <wp:docPr id="10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4"/>
                          <a:srcRect/>
                          <a:stretch>
                            <a:fillRect/>
                          </a:stretch>
                        </pic:blipFill>
                        <pic:spPr>
                          <a:xfrm>
                            <a:off x="0" y="0"/>
                            <a:ext cx="3980441" cy="344251"/>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noProof/>
                <w:color w:val="000000" w:themeColor="text1"/>
                <w:sz w:val="24"/>
                <w:szCs w:val="24"/>
              </w:rPr>
              <w:lastRenderedPageBreak/>
              <w:drawing>
                <wp:inline distT="0" distB="0" distL="0" distR="0">
                  <wp:extent cx="3881886" cy="543560"/>
                  <wp:effectExtent l="0" t="0" r="4445" b="8890"/>
                  <wp:docPr id="10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5"/>
                          <a:srcRect/>
                          <a:stretch>
                            <a:fillRect/>
                          </a:stretch>
                        </pic:blipFill>
                        <pic:spPr>
                          <a:xfrm>
                            <a:off x="0" y="0"/>
                            <a:ext cx="3883393" cy="543771"/>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noProof/>
                <w:color w:val="000000" w:themeColor="text1"/>
                <w:sz w:val="24"/>
                <w:szCs w:val="24"/>
              </w:rPr>
              <w:drawing>
                <wp:inline distT="0" distB="0" distL="0" distR="0">
                  <wp:extent cx="3899139" cy="568325"/>
                  <wp:effectExtent l="0" t="0" r="6350" b="3175"/>
                  <wp:docPr id="7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a:srcRect/>
                          <a:stretch>
                            <a:fillRect/>
                          </a:stretch>
                        </pic:blipFill>
                        <pic:spPr>
                          <a:xfrm>
                            <a:off x="0" y="0"/>
                            <a:ext cx="3908394" cy="569674"/>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noProof/>
                <w:color w:val="000000" w:themeColor="text1"/>
                <w:sz w:val="24"/>
                <w:szCs w:val="24"/>
              </w:rPr>
              <w:drawing>
                <wp:inline distT="0" distB="0" distL="0" distR="0">
                  <wp:extent cx="3881755" cy="667385"/>
                  <wp:effectExtent l="0" t="0" r="4445" b="0"/>
                  <wp:docPr id="7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7"/>
                          <a:srcRect/>
                          <a:stretch>
                            <a:fillRect/>
                          </a:stretch>
                        </pic:blipFill>
                        <pic:spPr>
                          <a:xfrm>
                            <a:off x="0" y="0"/>
                            <a:ext cx="3883535" cy="667691"/>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noProof/>
                <w:color w:val="000000" w:themeColor="text1"/>
                <w:sz w:val="24"/>
                <w:szCs w:val="24"/>
              </w:rPr>
              <w:drawing>
                <wp:inline distT="0" distB="0" distL="0" distR="0">
                  <wp:extent cx="3907766" cy="760730"/>
                  <wp:effectExtent l="0" t="0" r="0" b="1270"/>
                  <wp:docPr id="7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8"/>
                          <a:srcRect/>
                          <a:stretch>
                            <a:fillRect/>
                          </a:stretch>
                        </pic:blipFill>
                        <pic:spPr>
                          <a:xfrm>
                            <a:off x="0" y="0"/>
                            <a:ext cx="3910054" cy="761175"/>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noProof/>
                <w:color w:val="000000" w:themeColor="text1"/>
                <w:sz w:val="24"/>
                <w:szCs w:val="24"/>
              </w:rPr>
              <w:drawing>
                <wp:inline distT="0" distB="0" distL="0" distR="0">
                  <wp:extent cx="3881755" cy="642620"/>
                  <wp:effectExtent l="0" t="0" r="4445" b="5080"/>
                  <wp:docPr id="7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9"/>
                          <a:srcRect/>
                          <a:stretch>
                            <a:fillRect/>
                          </a:stretch>
                        </pic:blipFill>
                        <pic:spPr>
                          <a:xfrm>
                            <a:off x="0" y="0"/>
                            <a:ext cx="3883672" cy="642937"/>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noProof/>
                <w:color w:val="000000" w:themeColor="text1"/>
                <w:sz w:val="24"/>
                <w:szCs w:val="24"/>
              </w:rPr>
              <w:drawing>
                <wp:inline distT="0" distB="0" distL="0" distR="0">
                  <wp:extent cx="3881755" cy="504190"/>
                  <wp:effectExtent l="0" t="0" r="4445" b="0"/>
                  <wp:docPr id="7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0"/>
                          <a:srcRect/>
                          <a:stretch>
                            <a:fillRect/>
                          </a:stretch>
                        </pic:blipFill>
                        <pic:spPr>
                          <a:xfrm>
                            <a:off x="0" y="0"/>
                            <a:ext cx="3883527" cy="504420"/>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noProof/>
                <w:color w:val="000000" w:themeColor="text1"/>
                <w:sz w:val="24"/>
                <w:szCs w:val="24"/>
              </w:rPr>
              <w:drawing>
                <wp:inline distT="0" distB="0" distL="0" distR="0">
                  <wp:extent cx="3881755" cy="465455"/>
                  <wp:effectExtent l="0" t="0" r="4445" b="0"/>
                  <wp:docPr id="7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1"/>
                          <a:srcRect/>
                          <a:stretch>
                            <a:fillRect/>
                          </a:stretch>
                        </pic:blipFill>
                        <pic:spPr>
                          <a:xfrm>
                            <a:off x="0" y="0"/>
                            <a:ext cx="3884052" cy="465730"/>
                          </a:xfrm>
                          <a:prstGeom prst="rect">
                            <a:avLst/>
                          </a:prstGeom>
                          <a:ln/>
                        </pic:spPr>
                      </pic:pic>
                    </a:graphicData>
                  </a:graphic>
                </wp:inline>
              </w:drawing>
            </w:r>
          </w:p>
          <w:p w:rsidR="008B18C3" w:rsidRPr="00C50BBE" w:rsidRDefault="008B18C3" w:rsidP="006C23FC">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D1177C"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hyperlink r:id="rId42">
              <w:r w:rsidR="0059651D" w:rsidRPr="00C50BBE">
                <w:rPr>
                  <w:rFonts w:ascii="Palatino Linotype" w:eastAsia="Palatino Linotype" w:hAnsi="Palatino Linotype" w:cs="Palatino Linotype"/>
                  <w:b/>
                  <w:i/>
                  <w:color w:val="000000" w:themeColor="text1"/>
                  <w:sz w:val="24"/>
                  <w:szCs w:val="24"/>
                  <w:u w:val="single"/>
                </w:rPr>
                <w:t>polizas de egresos enero 2025-1.pdf</w:t>
              </w:r>
            </w:hyperlink>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marzo de dos mil veinticinco, con la siguiente información testada:</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noProof/>
                <w:color w:val="000000" w:themeColor="text1"/>
                <w:sz w:val="24"/>
                <w:szCs w:val="24"/>
              </w:rPr>
              <w:drawing>
                <wp:inline distT="0" distB="0" distL="0" distR="0">
                  <wp:extent cx="3892458" cy="232686"/>
                  <wp:effectExtent l="0" t="0" r="0" b="0"/>
                  <wp:docPr id="8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3"/>
                          <a:srcRect/>
                          <a:stretch>
                            <a:fillRect/>
                          </a:stretch>
                        </pic:blipFill>
                        <pic:spPr>
                          <a:xfrm>
                            <a:off x="0" y="0"/>
                            <a:ext cx="4085063" cy="244200"/>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noProof/>
                <w:color w:val="000000" w:themeColor="text1"/>
                <w:sz w:val="24"/>
                <w:szCs w:val="24"/>
              </w:rPr>
              <w:drawing>
                <wp:inline distT="0" distB="0" distL="0" distR="0">
                  <wp:extent cx="3898900" cy="459105"/>
                  <wp:effectExtent l="0" t="0" r="6350" b="0"/>
                  <wp:docPr id="8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4"/>
                          <a:srcRect/>
                          <a:stretch>
                            <a:fillRect/>
                          </a:stretch>
                        </pic:blipFill>
                        <pic:spPr>
                          <a:xfrm>
                            <a:off x="0" y="0"/>
                            <a:ext cx="3901550" cy="459417"/>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u w:val="single"/>
              </w:rPr>
            </w:pPr>
            <w:r w:rsidRPr="00C50BBE">
              <w:rPr>
                <w:rFonts w:ascii="Palatino Linotype" w:eastAsia="Palatino Linotype" w:hAnsi="Palatino Linotype" w:cs="Palatino Linotype"/>
                <w:noProof/>
                <w:color w:val="000000" w:themeColor="text1"/>
                <w:sz w:val="24"/>
                <w:szCs w:val="24"/>
              </w:rPr>
              <w:drawing>
                <wp:inline distT="0" distB="0" distL="0" distR="0">
                  <wp:extent cx="3891915" cy="217805"/>
                  <wp:effectExtent l="0" t="0" r="0" b="0"/>
                  <wp:docPr id="8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5"/>
                          <a:srcRect/>
                          <a:stretch>
                            <a:fillRect/>
                          </a:stretch>
                        </pic:blipFill>
                        <pic:spPr>
                          <a:xfrm>
                            <a:off x="0" y="0"/>
                            <a:ext cx="3893117" cy="217872"/>
                          </a:xfrm>
                          <a:prstGeom prst="rect">
                            <a:avLst/>
                          </a:prstGeom>
                          <a:ln/>
                        </pic:spPr>
                      </pic:pic>
                    </a:graphicData>
                  </a:graphic>
                </wp:inline>
              </w:drawing>
            </w:r>
          </w:p>
          <w:p w:rsidR="008B18C3" w:rsidRPr="00C50BBE" w:rsidRDefault="008B18C3" w:rsidP="006C23FC">
            <w:pPr>
              <w:spacing w:line="276"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noProof/>
                <w:color w:val="000000" w:themeColor="text1"/>
                <w:sz w:val="24"/>
                <w:szCs w:val="24"/>
              </w:rPr>
              <w:drawing>
                <wp:inline distT="0" distB="0" distL="0" distR="0">
                  <wp:extent cx="3881755" cy="372745"/>
                  <wp:effectExtent l="0" t="0" r="4445" b="8255"/>
                  <wp:docPr id="8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6"/>
                          <a:srcRect/>
                          <a:stretch>
                            <a:fillRect/>
                          </a:stretch>
                        </pic:blipFill>
                        <pic:spPr>
                          <a:xfrm>
                            <a:off x="0" y="0"/>
                            <a:ext cx="3885507" cy="373105"/>
                          </a:xfrm>
                          <a:prstGeom prst="rect">
                            <a:avLst/>
                          </a:prstGeom>
                          <a:ln/>
                        </pic:spPr>
                      </pic:pic>
                    </a:graphicData>
                  </a:graphic>
                </wp:inline>
              </w:drawing>
            </w:r>
          </w:p>
          <w:p w:rsidR="008B18C3" w:rsidRPr="00C50BBE" w:rsidRDefault="008B18C3" w:rsidP="006C23FC">
            <w:pPr>
              <w:spacing w:line="276"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noProof/>
                <w:color w:val="000000" w:themeColor="text1"/>
                <w:sz w:val="24"/>
                <w:szCs w:val="24"/>
              </w:rPr>
              <w:lastRenderedPageBreak/>
              <w:drawing>
                <wp:inline distT="0" distB="0" distL="0" distR="0">
                  <wp:extent cx="3856007" cy="397510"/>
                  <wp:effectExtent l="0" t="0" r="0" b="2540"/>
                  <wp:docPr id="6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7"/>
                          <a:srcRect/>
                          <a:stretch>
                            <a:fillRect/>
                          </a:stretch>
                        </pic:blipFill>
                        <pic:spPr>
                          <a:xfrm>
                            <a:off x="0" y="0"/>
                            <a:ext cx="3861221" cy="398048"/>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noProof/>
                <w:color w:val="000000" w:themeColor="text1"/>
                <w:sz w:val="24"/>
                <w:szCs w:val="24"/>
              </w:rPr>
              <w:drawing>
                <wp:inline distT="0" distB="0" distL="0" distR="0">
                  <wp:extent cx="3916392" cy="532765"/>
                  <wp:effectExtent l="0" t="0" r="8255" b="635"/>
                  <wp:docPr id="6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a:srcRect/>
                          <a:stretch>
                            <a:fillRect/>
                          </a:stretch>
                        </pic:blipFill>
                        <pic:spPr>
                          <a:xfrm>
                            <a:off x="0" y="0"/>
                            <a:ext cx="3921796" cy="533500"/>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noProof/>
                <w:color w:val="000000" w:themeColor="text1"/>
                <w:sz w:val="24"/>
                <w:szCs w:val="24"/>
              </w:rPr>
              <w:drawing>
                <wp:inline distT="0" distB="0" distL="0" distR="0">
                  <wp:extent cx="3855720" cy="552450"/>
                  <wp:effectExtent l="0" t="0" r="0" b="0"/>
                  <wp:docPr id="6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a:srcRect/>
                          <a:stretch>
                            <a:fillRect/>
                          </a:stretch>
                        </pic:blipFill>
                        <pic:spPr>
                          <a:xfrm>
                            <a:off x="0" y="0"/>
                            <a:ext cx="3860738" cy="553169"/>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noProof/>
                <w:color w:val="000000" w:themeColor="text1"/>
                <w:sz w:val="24"/>
                <w:szCs w:val="24"/>
              </w:rPr>
              <w:drawing>
                <wp:inline distT="0" distB="0" distL="0" distR="0">
                  <wp:extent cx="3838754" cy="405130"/>
                  <wp:effectExtent l="0" t="0" r="9525" b="0"/>
                  <wp:docPr id="6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0"/>
                          <a:srcRect/>
                          <a:stretch>
                            <a:fillRect/>
                          </a:stretch>
                        </pic:blipFill>
                        <pic:spPr>
                          <a:xfrm>
                            <a:off x="0" y="0"/>
                            <a:ext cx="3843873" cy="405670"/>
                          </a:xfrm>
                          <a:prstGeom prst="rect">
                            <a:avLst/>
                          </a:prstGeom>
                          <a:ln/>
                        </pic:spPr>
                      </pic:pic>
                    </a:graphicData>
                  </a:graphic>
                </wp:inline>
              </w:drawing>
            </w:r>
          </w:p>
          <w:p w:rsidR="008B18C3" w:rsidRPr="00C50BBE" w:rsidRDefault="008B18C3" w:rsidP="006C23FC">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D1177C"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hyperlink r:id="rId51">
              <w:r w:rsidR="0059651D" w:rsidRPr="00C50BBE">
                <w:rPr>
                  <w:rFonts w:ascii="Palatino Linotype" w:eastAsia="Palatino Linotype" w:hAnsi="Palatino Linotype" w:cs="Palatino Linotype"/>
                  <w:b/>
                  <w:i/>
                  <w:color w:val="000000" w:themeColor="text1"/>
                  <w:sz w:val="24"/>
                  <w:szCs w:val="24"/>
                  <w:u w:val="single"/>
                </w:rPr>
                <w:t xml:space="preserve">polizas de </w:t>
              </w:r>
            </w:hyperlink>
            <w:hyperlink r:id="rId52">
              <w:r w:rsidR="0059651D" w:rsidRPr="00C50BBE">
                <w:rPr>
                  <w:rFonts w:ascii="Palatino Linotype" w:eastAsia="Palatino Linotype" w:hAnsi="Palatino Linotype" w:cs="Palatino Linotype"/>
                  <w:b/>
                  <w:i/>
                  <w:color w:val="000000" w:themeColor="text1"/>
                  <w:sz w:val="24"/>
                  <w:szCs w:val="24"/>
                  <w:u w:val="single"/>
                </w:rPr>
                <w:t>egresos diciembre</w:t>
              </w:r>
            </w:hyperlink>
            <w:hyperlink r:id="rId53">
              <w:r w:rsidR="0059651D" w:rsidRPr="00C50BBE">
                <w:rPr>
                  <w:rFonts w:ascii="Palatino Linotype" w:eastAsia="Palatino Linotype" w:hAnsi="Palatino Linotype" w:cs="Palatino Linotype"/>
                  <w:b/>
                  <w:i/>
                  <w:color w:val="000000" w:themeColor="text1"/>
                  <w:sz w:val="24"/>
                  <w:szCs w:val="24"/>
                  <w:u w:val="single"/>
                </w:rPr>
                <w:t xml:space="preserve"> 2024-1.pdf</w:t>
              </w:r>
            </w:hyperlink>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diciembre de dos mil veinticinco.</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noProof/>
                <w:color w:val="000000" w:themeColor="text1"/>
                <w:sz w:val="24"/>
                <w:szCs w:val="24"/>
              </w:rPr>
              <w:drawing>
                <wp:inline distT="0" distB="0" distL="0" distR="0">
                  <wp:extent cx="3855720" cy="878205"/>
                  <wp:effectExtent l="0" t="0" r="0" b="0"/>
                  <wp:docPr id="7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4"/>
                          <a:srcRect/>
                          <a:stretch>
                            <a:fillRect/>
                          </a:stretch>
                        </pic:blipFill>
                        <pic:spPr>
                          <a:xfrm>
                            <a:off x="0" y="0"/>
                            <a:ext cx="3859364" cy="879035"/>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noProof/>
                <w:color w:val="000000" w:themeColor="text1"/>
                <w:sz w:val="24"/>
                <w:szCs w:val="24"/>
              </w:rPr>
              <w:drawing>
                <wp:inline distT="0" distB="0" distL="0" distR="0">
                  <wp:extent cx="3916045" cy="792480"/>
                  <wp:effectExtent l="0" t="0" r="8255" b="7620"/>
                  <wp:docPr id="7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5"/>
                          <a:srcRect/>
                          <a:stretch>
                            <a:fillRect/>
                          </a:stretch>
                        </pic:blipFill>
                        <pic:spPr>
                          <a:xfrm>
                            <a:off x="0" y="0"/>
                            <a:ext cx="3922411" cy="793768"/>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noProof/>
                <w:color w:val="000000" w:themeColor="text1"/>
                <w:sz w:val="24"/>
                <w:szCs w:val="24"/>
              </w:rPr>
              <w:drawing>
                <wp:inline distT="0" distB="0" distL="0" distR="0">
                  <wp:extent cx="3899139" cy="843915"/>
                  <wp:effectExtent l="0" t="0" r="6350" b="0"/>
                  <wp:docPr id="7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6"/>
                          <a:srcRect/>
                          <a:stretch>
                            <a:fillRect/>
                          </a:stretch>
                        </pic:blipFill>
                        <pic:spPr>
                          <a:xfrm>
                            <a:off x="0" y="0"/>
                            <a:ext cx="3901970" cy="844528"/>
                          </a:xfrm>
                          <a:prstGeom prst="rect">
                            <a:avLst/>
                          </a:prstGeom>
                          <a:ln/>
                        </pic:spPr>
                      </pic:pic>
                    </a:graphicData>
                  </a:graphic>
                </wp:inline>
              </w:drawing>
            </w:r>
          </w:p>
          <w:p w:rsidR="008B18C3" w:rsidRPr="00C50BBE" w:rsidRDefault="0059651D" w:rsidP="006C23FC">
            <w:pPr>
              <w:spacing w:line="276"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noProof/>
                <w:color w:val="000000" w:themeColor="text1"/>
                <w:sz w:val="24"/>
                <w:szCs w:val="24"/>
              </w:rPr>
              <w:drawing>
                <wp:inline distT="0" distB="0" distL="0" distR="0">
                  <wp:extent cx="3881886" cy="1068705"/>
                  <wp:effectExtent l="0" t="0" r="4445" b="0"/>
                  <wp:docPr id="7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7"/>
                          <a:srcRect/>
                          <a:stretch>
                            <a:fillRect/>
                          </a:stretch>
                        </pic:blipFill>
                        <pic:spPr>
                          <a:xfrm>
                            <a:off x="0" y="0"/>
                            <a:ext cx="3884996" cy="1069561"/>
                          </a:xfrm>
                          <a:prstGeom prst="rect">
                            <a:avLst/>
                          </a:prstGeom>
                          <a:ln/>
                        </pic:spPr>
                      </pic:pic>
                    </a:graphicData>
                  </a:graphic>
                </wp:inline>
              </w:drawing>
            </w:r>
          </w:p>
          <w:p w:rsidR="008B18C3" w:rsidRPr="00C50BBE" w:rsidRDefault="00D1177C"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hyperlink r:id="rId58">
              <w:r w:rsidR="0059651D" w:rsidRPr="00C50BBE">
                <w:rPr>
                  <w:rFonts w:ascii="Palatino Linotype" w:eastAsia="Palatino Linotype" w:hAnsi="Palatino Linotype" w:cs="Palatino Linotype"/>
                  <w:b/>
                  <w:i/>
                  <w:color w:val="000000" w:themeColor="text1"/>
                  <w:sz w:val="24"/>
                  <w:szCs w:val="24"/>
                  <w:u w:val="single"/>
                </w:rPr>
                <w:t>52.pdf</w:t>
              </w:r>
            </w:hyperlink>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Oficio de veinte de mayo de dos mil veinticinco, firmado por el Titular de la Unidad de Transparencia, por el que </w:t>
            </w:r>
            <w:r w:rsidRPr="00C50BBE">
              <w:rPr>
                <w:rFonts w:ascii="Palatino Linotype" w:eastAsia="Palatino Linotype" w:hAnsi="Palatino Linotype" w:cs="Palatino Linotype"/>
                <w:color w:val="000000" w:themeColor="text1"/>
                <w:sz w:val="24"/>
                <w:szCs w:val="24"/>
              </w:rPr>
              <w:lastRenderedPageBreak/>
              <w:t xml:space="preserve">informa que hace entrega de la información proporcionada conforme obra en los archivos de ese Sujeto Obligado. </w:t>
            </w:r>
          </w:p>
        </w:tc>
      </w:tr>
      <w:tr w:rsidR="006C23FC" w:rsidRPr="00C50BBE" w:rsidTr="00B647F1">
        <w:tc>
          <w:tcPr>
            <w:tcW w:w="3539" w:type="dxa"/>
            <w:vAlign w:val="center"/>
          </w:tcPr>
          <w:p w:rsidR="008B18C3" w:rsidRPr="00C50BBE" w:rsidRDefault="0059651D" w:rsidP="006C23FC">
            <w:pPr>
              <w:spacing w:line="276" w:lineRule="auto"/>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b/>
                <w:color w:val="000000" w:themeColor="text1"/>
                <w:sz w:val="24"/>
                <w:szCs w:val="24"/>
              </w:rPr>
              <w:lastRenderedPageBreak/>
              <w:t>00053/CHIAUTLA/IP/2025</w:t>
            </w:r>
          </w:p>
        </w:tc>
        <w:tc>
          <w:tcPr>
            <w:tcW w:w="6379" w:type="dxa"/>
            <w:vAlign w:val="center"/>
          </w:tcPr>
          <w:p w:rsidR="008B18C3" w:rsidRPr="00C50BBE" w:rsidRDefault="008B18C3" w:rsidP="006C23FC">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póliza egresos diciembre 2024.pdf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Póliza de egresos del mes de diciembre de dos mil veinticuatro. </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pólizas egresos febrero 2025.pdf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Póliza de egresos del mes de febrero de dos mil veinticuatro. </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pólizas egresos marzo 2025.pdf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Póliza de egresos del mes de marzo de dos mil veinticinco. </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DIF (8).pdf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Oficio de catorce mayo de dos mil veinticinco, firmado por la Directora del DIF de Chiautla, por el que informó que se anexan las pólizas solicitadas, excepto las del mes de enero ya que no hubo egresos realizados en dicho mes por ser inicio de nueva Administración Pública. </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Conciliación Nomina 4to inf. trim. 2024 (2).pdf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Archivo del que se desprende una relación donde se observa número consecutivo, número de quincena número de empleado (algunos testados), RFC (testado), CURP (testado) Número de seguridad social (testado) y apellido paterno (algunos testados) </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polizas de egresosdiciembre 2024-1.pdf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diciembre de dos mil veinticuatro.</w:t>
            </w:r>
          </w:p>
          <w:p w:rsidR="008B18C3" w:rsidRPr="00C50BBE" w:rsidRDefault="008B18C3" w:rsidP="006C23FC">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polizas de egresos febrero 2025-1.pdf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febrero de dos mil veinticinco.</w:t>
            </w:r>
          </w:p>
          <w:p w:rsidR="008B18C3" w:rsidRPr="00C50BBE" w:rsidRDefault="008B18C3" w:rsidP="006C23FC">
            <w:pPr>
              <w:spacing w:line="276"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Conciliación Nomina 1er inf. trim. 2025 (2).pdf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Archivo del que se desprende una relación donde se observa número consecutivo, número de quincena número de empleado (algunos testados), RFC (testado), CURP (testado) Número de seguridad social (testado) y apellido paterno (algunos testados) </w:t>
            </w:r>
          </w:p>
          <w:p w:rsidR="008B18C3" w:rsidRPr="00C50BBE" w:rsidRDefault="008B18C3" w:rsidP="006C23FC">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polizas de egresos marzo 2025-1.pdf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marzo de dos mil veinticinco.</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polizas de egresos enero 2025-1.pdf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enero de dos mil veinticinco.</w:t>
            </w:r>
          </w:p>
          <w:p w:rsidR="008B18C3" w:rsidRPr="00C50BBE" w:rsidRDefault="008B18C3" w:rsidP="006C23FC">
            <w:pPr>
              <w:spacing w:line="276"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b/>
                <w:i/>
                <w:color w:val="000000" w:themeColor="text1"/>
                <w:sz w:val="24"/>
                <w:szCs w:val="24"/>
              </w:rPr>
              <w:t>53.pdf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Oficio de veinte de mayo de dos mil veinticinco, firmado por el Titular de la Unidad de Transparencia, por el que informa que hace entrega de la información proporcionada conforme obra en los archivos de ese Sujeto Obligado.</w:t>
            </w:r>
          </w:p>
          <w:p w:rsidR="008B18C3" w:rsidRPr="00C50BBE" w:rsidRDefault="008B18C3" w:rsidP="006C23FC">
            <w:pPr>
              <w:spacing w:line="276" w:lineRule="auto"/>
              <w:jc w:val="both"/>
              <w:rPr>
                <w:rFonts w:ascii="Palatino Linotype" w:eastAsia="Palatino Linotype" w:hAnsi="Palatino Linotype" w:cs="Palatino Linotype"/>
                <w:color w:val="000000" w:themeColor="text1"/>
                <w:sz w:val="24"/>
                <w:szCs w:val="24"/>
              </w:rPr>
            </w:pPr>
          </w:p>
        </w:tc>
      </w:tr>
      <w:tr w:rsidR="006C23FC" w:rsidRPr="00C50BBE" w:rsidTr="00B647F1">
        <w:tc>
          <w:tcPr>
            <w:tcW w:w="3539" w:type="dxa"/>
            <w:vAlign w:val="center"/>
          </w:tcPr>
          <w:p w:rsidR="008B18C3" w:rsidRPr="00C50BBE" w:rsidRDefault="0059651D" w:rsidP="006C23FC">
            <w:pPr>
              <w:spacing w:line="276" w:lineRule="auto"/>
              <w:rPr>
                <w:rFonts w:ascii="Palatino Linotype" w:eastAsia="Palatino Linotype" w:hAnsi="Palatino Linotype" w:cs="Palatino Linotype"/>
                <w:b/>
                <w:color w:val="000000" w:themeColor="text1"/>
                <w:sz w:val="24"/>
                <w:szCs w:val="24"/>
              </w:rPr>
            </w:pPr>
            <w:r w:rsidRPr="00C50BBE">
              <w:rPr>
                <w:rFonts w:ascii="Palatino Linotype" w:eastAsia="Palatino Linotype" w:hAnsi="Palatino Linotype" w:cs="Palatino Linotype"/>
                <w:b/>
                <w:color w:val="000000" w:themeColor="text1"/>
                <w:sz w:val="24"/>
                <w:szCs w:val="24"/>
              </w:rPr>
              <w:lastRenderedPageBreak/>
              <w:t>00054/CHIAUTLA/IP/2025</w:t>
            </w:r>
          </w:p>
        </w:tc>
        <w:tc>
          <w:tcPr>
            <w:tcW w:w="6379" w:type="dxa"/>
            <w:vAlign w:val="center"/>
          </w:tcPr>
          <w:p w:rsidR="008B18C3" w:rsidRPr="00C50BBE" w:rsidRDefault="008B18C3" w:rsidP="006C23FC">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pólizas egresos febrero 2025.pdf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febrero de dos mil veinticinco.</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pólizas egresos marzo 2025.pdf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marzo de dos mil veinticinco.</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póliza egresos diciembre 2024.pdf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lastRenderedPageBreak/>
              <w:t xml:space="preserve">Póliza de egresos del mes de diciembre de dos mil veinticuatro. </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DIF (8).pdf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Oficio de catorce de mayo de dos mil veinticinco, firmado por la Directora del DIF de Chiautla, por el que informó que se anexan las pólizas solicitadas, excepto las del mes de enero ya que no hubo egresos realizados en dicho mes por ser inicio de nueva Administración Pública. </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DIF (8).pdf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Oficio de catorce de mayo de dos mil veinticinco, firmado por la Directora del DIF de Chiautla, por el que informó que se anexan las pólizas solicitadas, excepto las del mes de enero ya que no hubo egresos realizados en dicho mes por ser inicio de nueva Administración Pública. </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polizas de egresos marzo 2025-1.pdf</w:t>
            </w:r>
          </w:p>
          <w:p w:rsidR="008B18C3" w:rsidRPr="00C50BBE" w:rsidRDefault="008B18C3" w:rsidP="006C23FC">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Póliza de egresos del mes de marzo de dos mil veinticinco. </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polizas de egresosdiciembre 2024-1.pdf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diciembre de dos mil veinticuatro.</w:t>
            </w:r>
          </w:p>
          <w:p w:rsidR="008B18C3" w:rsidRPr="00C50BBE" w:rsidRDefault="008B18C3" w:rsidP="006C23FC">
            <w:pPr>
              <w:spacing w:line="276"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Conciliacion Nomina 1er inf. trim. 2025 (2).pdf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Archivo del que se desprende una relación donde se observa número consecutivo, número de quincena número de empleado (algunos testados), RFC (testado), CURP (testado) Número de seguridad social (testado) y apellido paterno (algunos testados) </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Conciliacion Nomina 4to inf. trim. 2024 (2).pdf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Archivo del que se desprende una relación donde se observa número consecutivo, número de quincena número de empleado (algunos testados), RFC (testado), CURP (testado) Número de seguridad social (testado) y apellido paterno (algunos testados) </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polizas de egresos enero 2025-1.pdf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enero de dos mil veinticinco.</w:t>
            </w:r>
          </w:p>
          <w:p w:rsidR="008B18C3" w:rsidRPr="00C50BBE" w:rsidRDefault="008B18C3" w:rsidP="006C23FC">
            <w:pPr>
              <w:spacing w:line="276"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polizas de egresos febrero 2025-1.pdf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febrero de dos mil veinticinco.</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b/>
                <w:i/>
                <w:color w:val="000000" w:themeColor="text1"/>
                <w:sz w:val="24"/>
                <w:szCs w:val="24"/>
              </w:rPr>
              <w:t>54.pdf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Oficio de veinte de mayo de dos mil veinticinco, firmado por el Titular de la Unidad de Transparencia, por el que informa que hace entrega de la información proporcionada conforme obra en los archivos de ese Sujeto Obligado.</w:t>
            </w:r>
          </w:p>
          <w:p w:rsidR="008B18C3" w:rsidRPr="00C50BBE" w:rsidRDefault="008B18C3" w:rsidP="006C23FC">
            <w:pPr>
              <w:spacing w:line="276" w:lineRule="auto"/>
              <w:jc w:val="both"/>
              <w:rPr>
                <w:rFonts w:ascii="Palatino Linotype" w:eastAsia="Palatino Linotype" w:hAnsi="Palatino Linotype" w:cs="Palatino Linotype"/>
                <w:color w:val="000000" w:themeColor="text1"/>
                <w:sz w:val="24"/>
                <w:szCs w:val="24"/>
              </w:rPr>
            </w:pPr>
          </w:p>
        </w:tc>
      </w:tr>
      <w:tr w:rsidR="006C23FC" w:rsidRPr="00C50BBE" w:rsidTr="00B647F1">
        <w:tc>
          <w:tcPr>
            <w:tcW w:w="3539" w:type="dxa"/>
            <w:vAlign w:val="center"/>
          </w:tcPr>
          <w:p w:rsidR="008B18C3" w:rsidRPr="00C50BBE" w:rsidRDefault="0059651D" w:rsidP="006C23FC">
            <w:pPr>
              <w:spacing w:line="276" w:lineRule="auto"/>
              <w:rPr>
                <w:rFonts w:ascii="Palatino Linotype" w:eastAsia="Palatino Linotype" w:hAnsi="Palatino Linotype" w:cs="Palatino Linotype"/>
                <w:b/>
                <w:color w:val="000000" w:themeColor="text1"/>
                <w:sz w:val="24"/>
                <w:szCs w:val="24"/>
              </w:rPr>
            </w:pPr>
            <w:r w:rsidRPr="00C50BBE">
              <w:rPr>
                <w:rFonts w:ascii="Palatino Linotype" w:eastAsia="Palatino Linotype" w:hAnsi="Palatino Linotype" w:cs="Palatino Linotype"/>
                <w:b/>
                <w:color w:val="000000" w:themeColor="text1"/>
                <w:sz w:val="24"/>
                <w:szCs w:val="24"/>
              </w:rPr>
              <w:lastRenderedPageBreak/>
              <w:t>00055/CHIAUTLA/IP/2025</w:t>
            </w:r>
          </w:p>
        </w:tc>
        <w:tc>
          <w:tcPr>
            <w:tcW w:w="6379" w:type="dxa"/>
            <w:vAlign w:val="center"/>
          </w:tcPr>
          <w:p w:rsidR="008B18C3" w:rsidRPr="00C50BBE" w:rsidRDefault="008B18C3" w:rsidP="006C23FC">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pólizas egresos febrero 2025.pdf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febrero de dos mil veinticinco.</w:t>
            </w:r>
          </w:p>
          <w:p w:rsidR="008B18C3" w:rsidRPr="00C50BBE" w:rsidRDefault="008B18C3" w:rsidP="006C23FC">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pólizas egresos marzo 2025.pdf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marzo de dos mil veinticinco.</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póliza egresos diciembre 2024.pdf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febrero de dos mil veinticuatro.</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lastRenderedPageBreak/>
              <w:t>DIF (8).pdf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Oficio de catorce de mayo de dos mil veinticinco, firmado por la Directora del DIF de Chiautla, por el que informó que se anexan las pólizas solicitadas, excepto las del mes de enero ya que no hubo egresos realizados en dicho mes por ser inicio de nueva Administración Pública. </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polizas de egresos marzo 2025-1.pdf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marzo de dos mil veinticinco.</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polizas de egresos febrero 2025-1.pdf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febrero de dos mil veinticinco.</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polizas de egresosdiciembre 2024-1.pdf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diciembre de dos mil veinticuatro.</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Conciliacion Nomina 1er inf. trim. 2025 (2).pdf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Archivo del que se desprende una relación donde se observa número consecutivo, número de quincena número de empleado (algunos testados), RFC (testado), CURP (testado) Número de seguridad social (testado) y apellido paterno (algunos testados) </w:t>
            </w:r>
          </w:p>
          <w:p w:rsidR="008B18C3" w:rsidRPr="00C50BBE" w:rsidRDefault="008B18C3" w:rsidP="006C23FC">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polizas de egresos enero 2025-1.pdf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enero de dos mil veinticinco.</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Conciliacion Nomina 4to inf. trim. 2024 (2).pdf</w:t>
            </w:r>
          </w:p>
          <w:p w:rsidR="008B18C3" w:rsidRPr="00C50BBE" w:rsidRDefault="0059651D" w:rsidP="006C23FC">
            <w:pPr>
              <w:spacing w:line="276" w:lineRule="auto"/>
              <w:jc w:val="both"/>
              <w:rPr>
                <w:rFonts w:ascii="Palatino Linotype" w:hAnsi="Palatino Linotype"/>
                <w:color w:val="000000" w:themeColor="text1"/>
                <w:sz w:val="24"/>
                <w:szCs w:val="24"/>
                <w:u w:val="single"/>
              </w:rPr>
            </w:pPr>
            <w:r w:rsidRPr="00C50BBE">
              <w:rPr>
                <w:rFonts w:ascii="Palatino Linotype" w:eastAsia="Palatino Linotype" w:hAnsi="Palatino Linotype" w:cs="Palatino Linotype"/>
                <w:color w:val="000000" w:themeColor="text1"/>
                <w:sz w:val="24"/>
                <w:szCs w:val="24"/>
              </w:rPr>
              <w:t xml:space="preserve">Archivo del que se desprende una relación donde se observa número consecutivo, número de quincena número de empleado (algunos testados), RFC (testado), </w:t>
            </w:r>
            <w:r w:rsidRPr="00C50BBE">
              <w:rPr>
                <w:rFonts w:ascii="Palatino Linotype" w:eastAsia="Palatino Linotype" w:hAnsi="Palatino Linotype" w:cs="Palatino Linotype"/>
                <w:color w:val="000000" w:themeColor="text1"/>
                <w:sz w:val="24"/>
                <w:szCs w:val="24"/>
              </w:rPr>
              <w:lastRenderedPageBreak/>
              <w:t xml:space="preserve">CURP (testado) Número de seguridad social (testado) y apellido paterno (algunos testados) </w:t>
            </w:r>
          </w:p>
          <w:p w:rsidR="008B18C3" w:rsidRPr="00C50BBE" w:rsidRDefault="008B18C3" w:rsidP="006C23FC">
            <w:pPr>
              <w:spacing w:line="276"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b/>
                <w:i/>
                <w:color w:val="000000" w:themeColor="text1"/>
                <w:sz w:val="24"/>
                <w:szCs w:val="24"/>
              </w:rPr>
              <w:t>55.pdf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Oficio de veinte de mayo de dos mil veinticinco, firmado por el Titular de la Unidad de Transparencia, por el que informa que hace entrega de la información proporcionada conforme obra en los archivos de ese Sujeto Obligado.</w:t>
            </w:r>
          </w:p>
          <w:p w:rsidR="008B18C3" w:rsidRPr="00C50BBE" w:rsidRDefault="008B18C3" w:rsidP="006C23FC">
            <w:pPr>
              <w:spacing w:line="276" w:lineRule="auto"/>
              <w:jc w:val="both"/>
              <w:rPr>
                <w:rFonts w:ascii="Palatino Linotype" w:eastAsia="Palatino Linotype" w:hAnsi="Palatino Linotype" w:cs="Palatino Linotype"/>
                <w:color w:val="000000" w:themeColor="text1"/>
                <w:sz w:val="24"/>
                <w:szCs w:val="24"/>
              </w:rPr>
            </w:pPr>
          </w:p>
        </w:tc>
      </w:tr>
      <w:tr w:rsidR="006C23FC" w:rsidRPr="00C50BBE" w:rsidTr="00B647F1">
        <w:tc>
          <w:tcPr>
            <w:tcW w:w="3539" w:type="dxa"/>
            <w:vAlign w:val="center"/>
          </w:tcPr>
          <w:p w:rsidR="008B18C3" w:rsidRPr="00C50BBE" w:rsidRDefault="0059651D" w:rsidP="006C23FC">
            <w:pPr>
              <w:spacing w:line="276" w:lineRule="auto"/>
              <w:rPr>
                <w:rFonts w:ascii="Palatino Linotype" w:eastAsia="Palatino Linotype" w:hAnsi="Palatino Linotype" w:cs="Palatino Linotype"/>
                <w:b/>
                <w:color w:val="000000" w:themeColor="text1"/>
                <w:sz w:val="24"/>
                <w:szCs w:val="24"/>
              </w:rPr>
            </w:pPr>
            <w:r w:rsidRPr="00C50BBE">
              <w:rPr>
                <w:rFonts w:ascii="Palatino Linotype" w:eastAsia="Palatino Linotype" w:hAnsi="Palatino Linotype" w:cs="Palatino Linotype"/>
                <w:b/>
                <w:color w:val="000000" w:themeColor="text1"/>
                <w:sz w:val="24"/>
                <w:szCs w:val="24"/>
              </w:rPr>
              <w:lastRenderedPageBreak/>
              <w:t>00055/CHIAUTLA/IP/2025</w:t>
            </w:r>
          </w:p>
        </w:tc>
        <w:tc>
          <w:tcPr>
            <w:tcW w:w="6379" w:type="dxa"/>
            <w:vAlign w:val="center"/>
          </w:tcPr>
          <w:p w:rsidR="008B18C3" w:rsidRPr="00C50BBE" w:rsidRDefault="008B18C3" w:rsidP="006C23FC">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póliza egresos diciembre 2024.pdf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diciembre de dos mil veinticuatro.</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pólizas egresos marzo 2025.pdf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marzo de dos mil veinticinco.</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pólizas egresos febrero 2025.pdf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febrero de dos mil veinticinco.</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DIF (8).pdf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Oficio de catorce de mayo de dos mil veinticinco, firmado por la Directora del DIF de Chiautla, por el que informó que se anexan las pólizas solicitadas, excepto las del mes de enero ya que no hubo egresos realizados en dicho mes por ser inicio de nueva Administración Pública. </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polizas de egresosdiciembre 2024-1.pdf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diciembre de dos mil veinticuatro.</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lastRenderedPageBreak/>
              <w:t>polizas de egresos enero 2025-1.pdf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enero de dos mil veinticinco.</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polizas de egresos febrero 2025-1.pdf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febrero de dos mil veinticinco.</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Conciliacion Nomina 4to inf. trim. 2024 (2).pdf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Archivo del que se desprende una relación donde se observa número consecutivo, número de quincena número de empleado (algunos testados), RFC (testado), CURP (testado) Número de seguridad social (testado) y apellido paterno (algunos testados) </w:t>
            </w:r>
          </w:p>
          <w:p w:rsidR="008B18C3" w:rsidRPr="00C50BBE" w:rsidRDefault="008B18C3" w:rsidP="006C23FC">
            <w:pPr>
              <w:rPr>
                <w:rFonts w:ascii="Palatino Linotype" w:eastAsia="Palatino Linotype" w:hAnsi="Palatino Linotype" w:cs="Palatino Linotype"/>
                <w:b/>
                <w:i/>
                <w:color w:val="000000" w:themeColor="text1"/>
                <w:sz w:val="24"/>
                <w:szCs w:val="24"/>
              </w:rPr>
            </w:pPr>
          </w:p>
          <w:p w:rsidR="008B18C3" w:rsidRPr="00C50BBE" w:rsidRDefault="008B18C3" w:rsidP="006C23FC">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Conciliacion Nomina 1er inf. trim. 2025 (2).pdf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Archivo del que se desprende una relación donde se observa número consecutivo, número de quincena número de empleado (algunos testados), RFC (testado), CURP (testado) Número de seguridad social (testado) y apellido paterno (algunos testados) </w:t>
            </w:r>
          </w:p>
          <w:p w:rsidR="008B18C3" w:rsidRPr="00C50BBE" w:rsidRDefault="008B18C3" w:rsidP="006C23FC">
            <w:pP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polizas de egresos marzo 2025-1.pdf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Póliza de egresos del mes de marzo de dos mil veinticinco.</w:t>
            </w:r>
          </w:p>
          <w:p w:rsidR="008B18C3" w:rsidRPr="00C50BBE" w:rsidRDefault="008B18C3" w:rsidP="006C23FC">
            <w:pPr>
              <w:rPr>
                <w:rFonts w:ascii="Palatino Linotype" w:eastAsia="Palatino Linotype" w:hAnsi="Palatino Linotype" w:cs="Palatino Linotype"/>
                <w:b/>
                <w:i/>
                <w:color w:val="000000" w:themeColor="text1"/>
                <w:sz w:val="24"/>
                <w:szCs w:val="24"/>
              </w:rPr>
            </w:pPr>
          </w:p>
          <w:p w:rsidR="008B18C3" w:rsidRPr="00C50BBE" w:rsidRDefault="008B18C3" w:rsidP="006C23FC">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3"/>
              </w:numPr>
              <w:pBdr>
                <w:top w:val="nil"/>
                <w:left w:val="nil"/>
                <w:bottom w:val="nil"/>
                <w:right w:val="nil"/>
                <w:between w:val="nil"/>
              </w:pBdr>
              <w:spacing w:line="276" w:lineRule="auto"/>
              <w:ind w:left="0"/>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b/>
                <w:i/>
                <w:color w:val="000000" w:themeColor="text1"/>
                <w:sz w:val="24"/>
                <w:szCs w:val="24"/>
              </w:rPr>
              <w:t>56.pdf</w:t>
            </w:r>
          </w:p>
          <w:p w:rsidR="008B18C3" w:rsidRPr="00C50BBE" w:rsidRDefault="0059651D" w:rsidP="006C23FC">
            <w:pPr>
              <w:spacing w:line="276"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Oficio de veinte de mayo de dos mil veinticinco, firmado por el Titular de la Unidad de Transparencia, por el que informa que hace entrega de la información proporcionada conforme obra en los archivos de ese Sujeto Obligado.</w:t>
            </w:r>
          </w:p>
          <w:p w:rsidR="008B18C3" w:rsidRPr="00C50BBE" w:rsidRDefault="008B18C3" w:rsidP="006C23FC">
            <w:pPr>
              <w:spacing w:line="276" w:lineRule="auto"/>
              <w:jc w:val="both"/>
              <w:rPr>
                <w:rFonts w:ascii="Palatino Linotype" w:eastAsia="Palatino Linotype" w:hAnsi="Palatino Linotype" w:cs="Palatino Linotype"/>
                <w:color w:val="000000" w:themeColor="text1"/>
                <w:sz w:val="24"/>
                <w:szCs w:val="24"/>
              </w:rPr>
            </w:pPr>
          </w:p>
        </w:tc>
      </w:tr>
    </w:tbl>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lastRenderedPageBreak/>
        <w:t xml:space="preserve">Se hace de conocimiento, que el </w:t>
      </w:r>
      <w:r w:rsidRPr="00C50BBE">
        <w:rPr>
          <w:rFonts w:ascii="Palatino Linotype" w:eastAsia="Palatino Linotype" w:hAnsi="Palatino Linotype" w:cs="Palatino Linotype"/>
          <w:b/>
          <w:color w:val="000000" w:themeColor="text1"/>
          <w:sz w:val="24"/>
          <w:szCs w:val="24"/>
        </w:rPr>
        <w:t xml:space="preserve">SUJETO OBLIGADO, </w:t>
      </w:r>
      <w:r w:rsidRPr="00C50BBE">
        <w:rPr>
          <w:rFonts w:ascii="Palatino Linotype" w:eastAsia="Palatino Linotype" w:hAnsi="Palatino Linotype" w:cs="Palatino Linotype"/>
          <w:color w:val="000000" w:themeColor="text1"/>
          <w:sz w:val="24"/>
          <w:szCs w:val="24"/>
        </w:rPr>
        <w:t xml:space="preserve">hizo entrega de la misma información en todos los recursos que nos ocupan, por lo que a efecto de obviar repeticiones, únicamente se insertan capturas en el primer recuadro. </w:t>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Inconforme con lo anterior, el </w:t>
      </w:r>
      <w:r w:rsidRPr="00C50BBE">
        <w:rPr>
          <w:rFonts w:ascii="Palatino Linotype" w:eastAsia="Palatino Linotype" w:hAnsi="Palatino Linotype" w:cs="Palatino Linotype"/>
          <w:b/>
          <w:color w:val="000000" w:themeColor="text1"/>
          <w:sz w:val="24"/>
          <w:szCs w:val="24"/>
        </w:rPr>
        <w:t>PARTICULAR</w:t>
      </w:r>
      <w:r w:rsidRPr="00C50BBE">
        <w:rPr>
          <w:rFonts w:ascii="Palatino Linotype" w:eastAsia="Palatino Linotype" w:hAnsi="Palatino Linotype" w:cs="Palatino Linotype"/>
          <w:color w:val="000000" w:themeColor="text1"/>
          <w:sz w:val="24"/>
          <w:szCs w:val="24"/>
        </w:rPr>
        <w:t xml:space="preserve"> en fecha </w:t>
      </w:r>
      <w:r w:rsidRPr="00C50BBE">
        <w:rPr>
          <w:rFonts w:ascii="Palatino Linotype" w:eastAsia="Palatino Linotype" w:hAnsi="Palatino Linotype" w:cs="Palatino Linotype"/>
          <w:b/>
          <w:color w:val="000000" w:themeColor="text1"/>
          <w:sz w:val="24"/>
          <w:szCs w:val="24"/>
        </w:rPr>
        <w:t xml:space="preserve">veintisiete de mayo veinticinco, </w:t>
      </w:r>
      <w:r w:rsidRPr="00C50BBE">
        <w:rPr>
          <w:rFonts w:ascii="Palatino Linotype" w:eastAsia="Palatino Linotype" w:hAnsi="Palatino Linotype" w:cs="Palatino Linotype"/>
          <w:color w:val="000000" w:themeColor="text1"/>
          <w:sz w:val="24"/>
          <w:szCs w:val="24"/>
        </w:rPr>
        <w:t xml:space="preserve">interpuso los recursos de revisión en contra de la respuestas, manifestando las siguientes razones o motivos de inconformidad en los cinco recursos que integran el presente: </w:t>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B647F1">
      <w:pPr>
        <w:numPr>
          <w:ilvl w:val="0"/>
          <w:numId w:val="3"/>
        </w:numPr>
        <w:pBdr>
          <w:top w:val="nil"/>
          <w:left w:val="nil"/>
          <w:bottom w:val="nil"/>
          <w:right w:val="nil"/>
          <w:between w:val="nil"/>
        </w:pBdr>
        <w:spacing w:after="0" w:line="240" w:lineRule="auto"/>
        <w:ind w:left="0" w:firstLine="0"/>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b/>
          <w:color w:val="000000" w:themeColor="text1"/>
          <w:sz w:val="24"/>
          <w:szCs w:val="24"/>
        </w:rPr>
        <w:t>Acto impugnado</w:t>
      </w:r>
      <w:r w:rsidRPr="00C50BBE">
        <w:rPr>
          <w:rFonts w:ascii="Palatino Linotype" w:eastAsia="Palatino Linotype" w:hAnsi="Palatino Linotype" w:cs="Palatino Linotype"/>
          <w:color w:val="000000" w:themeColor="text1"/>
          <w:sz w:val="24"/>
          <w:szCs w:val="24"/>
        </w:rPr>
        <w:t xml:space="preserve">: </w:t>
      </w:r>
      <w:r w:rsidRPr="00C50BBE">
        <w:rPr>
          <w:rFonts w:ascii="Palatino Linotype" w:eastAsia="Palatino Linotype" w:hAnsi="Palatino Linotype" w:cs="Palatino Linotype"/>
          <w:i/>
          <w:color w:val="000000" w:themeColor="text1"/>
          <w:sz w:val="24"/>
          <w:szCs w:val="24"/>
        </w:rPr>
        <w:t>“el sujeto obligado testa nombres y sueldos de personas que percibieron recursos el titular de transparencia no anexa la información que remite la Directora del Dif testan información que no debería ser testada entrega en mala calidad la información y no se distingue parece que el Tesorero oculta el dato de personas que recibieron recursos y no trabajaron (Aviadores)” (sic)</w:t>
      </w:r>
    </w:p>
    <w:p w:rsidR="008B18C3" w:rsidRPr="00C50BBE" w:rsidRDefault="008B18C3" w:rsidP="00B647F1">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sz w:val="24"/>
          <w:szCs w:val="24"/>
        </w:rPr>
      </w:pPr>
    </w:p>
    <w:p w:rsidR="008B18C3" w:rsidRPr="00C50BBE" w:rsidRDefault="0059651D" w:rsidP="00B647F1">
      <w:pPr>
        <w:numPr>
          <w:ilvl w:val="0"/>
          <w:numId w:val="3"/>
        </w:numPr>
        <w:pBdr>
          <w:top w:val="nil"/>
          <w:left w:val="nil"/>
          <w:bottom w:val="nil"/>
          <w:right w:val="nil"/>
          <w:between w:val="nil"/>
        </w:pBdr>
        <w:spacing w:after="0" w:line="240" w:lineRule="auto"/>
        <w:ind w:left="0" w:firstLine="0"/>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b/>
          <w:color w:val="000000" w:themeColor="text1"/>
          <w:sz w:val="24"/>
          <w:szCs w:val="24"/>
        </w:rPr>
        <w:t xml:space="preserve">Razones o Motivos de inconformidad: </w:t>
      </w:r>
      <w:r w:rsidRPr="00C50BBE">
        <w:rPr>
          <w:rFonts w:ascii="Palatino Linotype" w:eastAsia="Palatino Linotype" w:hAnsi="Palatino Linotype" w:cs="Palatino Linotype"/>
          <w:i/>
          <w:color w:val="000000" w:themeColor="text1"/>
          <w:sz w:val="24"/>
          <w:szCs w:val="24"/>
        </w:rPr>
        <w:t>“el sujeto obligado testa nombres y sueldos de personas que percibieron recursos el titular de transparencia no anexa la información que remite la Directora del Dif testan información que no debería ser testada entrega en mala calidad la información y no se distingue parece que el Tesorero oculta el dato de personas que recibieron recursos y no trabajaron (Aviadores)” (sic)</w:t>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La Comisionada Ponente con fundamento en lo dispuesto por el artículo 185 fracción II de la ley de la materia, a través de los acuerdos de admisión notificados el </w:t>
      </w:r>
      <w:r w:rsidRPr="00C50BBE">
        <w:rPr>
          <w:rFonts w:ascii="Palatino Linotype" w:eastAsia="Palatino Linotype" w:hAnsi="Palatino Linotype" w:cs="Palatino Linotype"/>
          <w:b/>
          <w:color w:val="000000" w:themeColor="text1"/>
          <w:sz w:val="24"/>
          <w:szCs w:val="24"/>
        </w:rPr>
        <w:t>treinta de mayo</w:t>
      </w:r>
      <w:r w:rsidRPr="00C50BBE">
        <w:rPr>
          <w:rFonts w:ascii="Palatino Linotype" w:eastAsia="Palatino Linotype" w:hAnsi="Palatino Linotype" w:cs="Palatino Linotype"/>
          <w:color w:val="000000" w:themeColor="text1"/>
          <w:sz w:val="24"/>
          <w:szCs w:val="24"/>
        </w:rPr>
        <w:t xml:space="preserve">, </w:t>
      </w:r>
      <w:r w:rsidRPr="00C50BBE">
        <w:rPr>
          <w:rFonts w:ascii="Palatino Linotype" w:eastAsia="Palatino Linotype" w:hAnsi="Palatino Linotype" w:cs="Palatino Linotype"/>
          <w:b/>
          <w:color w:val="000000" w:themeColor="text1"/>
          <w:sz w:val="24"/>
          <w:szCs w:val="24"/>
        </w:rPr>
        <w:t xml:space="preserve">dos y tres de junio de dos mil veinticinco, </w:t>
      </w:r>
      <w:r w:rsidRPr="00C50BBE">
        <w:rPr>
          <w:rFonts w:ascii="Palatino Linotype" w:eastAsia="Palatino Linotype" w:hAnsi="Palatino Linotype" w:cs="Palatino Linotype"/>
          <w:color w:val="000000" w:themeColor="text1"/>
          <w:sz w:val="24"/>
          <w:szCs w:val="24"/>
        </w:rPr>
        <w:t xml:space="preserve">puso a disposición de las partes el expediente electrónico vía </w:t>
      </w:r>
      <w:r w:rsidRPr="00C50BBE">
        <w:rPr>
          <w:rFonts w:ascii="Palatino Linotype" w:eastAsia="Palatino Linotype" w:hAnsi="Palatino Linotype" w:cs="Palatino Linotype"/>
          <w:b/>
          <w:color w:val="000000" w:themeColor="text1"/>
          <w:sz w:val="24"/>
          <w:szCs w:val="24"/>
        </w:rPr>
        <w:t xml:space="preserve">SAIMEX </w:t>
      </w:r>
      <w:r w:rsidRPr="00C50BBE">
        <w:rPr>
          <w:rFonts w:ascii="Palatino Linotype" w:eastAsia="Palatino Linotype" w:hAnsi="Palatino Linotype" w:cs="Palatino Linotype"/>
          <w:color w:val="000000" w:themeColor="text1"/>
          <w:sz w:val="24"/>
          <w:szCs w:val="24"/>
        </w:rPr>
        <w:t xml:space="preserve">a efecto de que en un plazo máximo de siete días manifestara lo que a su derecho conviniera, ofreciera pruebas y alegatos según corresponda a los casos concretos, y el </w:t>
      </w:r>
      <w:r w:rsidRPr="00C50BBE">
        <w:rPr>
          <w:rFonts w:ascii="Palatino Linotype" w:eastAsia="Palatino Linotype" w:hAnsi="Palatino Linotype" w:cs="Palatino Linotype"/>
          <w:b/>
          <w:color w:val="000000" w:themeColor="text1"/>
          <w:sz w:val="24"/>
          <w:szCs w:val="24"/>
        </w:rPr>
        <w:t>SUJETO OBLIGADO</w:t>
      </w:r>
      <w:r w:rsidRPr="00C50BBE">
        <w:rPr>
          <w:rFonts w:ascii="Palatino Linotype" w:eastAsia="Palatino Linotype" w:hAnsi="Palatino Linotype" w:cs="Palatino Linotype"/>
          <w:color w:val="000000" w:themeColor="text1"/>
          <w:sz w:val="24"/>
          <w:szCs w:val="24"/>
        </w:rPr>
        <w:t xml:space="preserve"> presentará el Informe Justificado procedente.</w:t>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lastRenderedPageBreak/>
        <w:t xml:space="preserve">El </w:t>
      </w:r>
      <w:r w:rsidRPr="00C50BBE">
        <w:rPr>
          <w:rFonts w:ascii="Palatino Linotype" w:eastAsia="Palatino Linotype" w:hAnsi="Palatino Linotype" w:cs="Palatino Linotype"/>
          <w:b/>
          <w:color w:val="000000" w:themeColor="text1"/>
          <w:sz w:val="24"/>
          <w:szCs w:val="24"/>
        </w:rPr>
        <w:t xml:space="preserve">SUJETO OBLIGADO </w:t>
      </w:r>
      <w:r w:rsidRPr="00C50BBE">
        <w:rPr>
          <w:rFonts w:ascii="Palatino Linotype" w:eastAsia="Palatino Linotype" w:hAnsi="Palatino Linotype" w:cs="Palatino Linotype"/>
          <w:color w:val="000000" w:themeColor="text1"/>
          <w:sz w:val="24"/>
          <w:szCs w:val="24"/>
        </w:rPr>
        <w:t xml:space="preserve">y el </w:t>
      </w:r>
      <w:r w:rsidRPr="00C50BBE">
        <w:rPr>
          <w:rFonts w:ascii="Palatino Linotype" w:eastAsia="Palatino Linotype" w:hAnsi="Palatino Linotype" w:cs="Palatino Linotype"/>
          <w:b/>
          <w:color w:val="000000" w:themeColor="text1"/>
          <w:sz w:val="24"/>
          <w:szCs w:val="24"/>
        </w:rPr>
        <w:t xml:space="preserve">PARTICULAR, </w:t>
      </w:r>
      <w:r w:rsidRPr="00C50BBE">
        <w:rPr>
          <w:rFonts w:ascii="Palatino Linotype" w:eastAsia="Palatino Linotype" w:hAnsi="Palatino Linotype" w:cs="Palatino Linotype"/>
          <w:color w:val="000000" w:themeColor="text1"/>
          <w:sz w:val="24"/>
          <w:szCs w:val="24"/>
        </w:rPr>
        <w:t>fueron omisos en realizar manifestaciones conforme a su derecho conviniera y asistiera.</w:t>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El </w:t>
      </w:r>
      <w:r w:rsidRPr="00C50BBE">
        <w:rPr>
          <w:rFonts w:ascii="Palatino Linotype" w:eastAsia="Palatino Linotype" w:hAnsi="Palatino Linotype" w:cs="Palatino Linotype"/>
          <w:b/>
          <w:color w:val="000000" w:themeColor="text1"/>
          <w:sz w:val="24"/>
          <w:szCs w:val="24"/>
        </w:rPr>
        <w:t xml:space="preserve">veinte de agosto de dos mil veinticinco, </w:t>
      </w:r>
      <w:r w:rsidRPr="00C50BBE">
        <w:rPr>
          <w:rFonts w:ascii="Palatino Linotype" w:eastAsia="Palatino Linotype" w:hAnsi="Palatino Linotype" w:cs="Palatino Linotype"/>
          <w:color w:val="000000" w:themeColor="text1"/>
          <w:sz w:val="24"/>
          <w:szCs w:val="24"/>
        </w:rPr>
        <w:t>se notificó el acuerdo por el que se amplió el plazo para emitir resolución dentro de los recursos que nos ocupan.</w:t>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Se registraron los recursos de revisión bajo el número de expediente al rubro indicados, no obstante,  con fundamento en lo dispuesto por el artículo 185 fracción I de la Ley de Transparencia y Acceso a la Información Pública del Estado de México y Municipios, el Pleno de este Órgano Autónomo, en la 2a Sesión Ordinaria de cuatro de junio de dos mil veinticinco, se ordenó la acumulación de los recursos de revisión</w:t>
      </w:r>
      <w:r w:rsidRPr="00C50BBE">
        <w:rPr>
          <w:rFonts w:ascii="Palatino Linotype" w:eastAsia="Palatino Linotype" w:hAnsi="Palatino Linotype" w:cs="Palatino Linotype"/>
          <w:b/>
          <w:color w:val="000000" w:themeColor="text1"/>
          <w:sz w:val="24"/>
          <w:szCs w:val="24"/>
        </w:rPr>
        <w:t xml:space="preserve">; </w:t>
      </w:r>
      <w:r w:rsidRPr="00C50BBE">
        <w:rPr>
          <w:rFonts w:ascii="Palatino Linotype" w:eastAsia="Palatino Linotype" w:hAnsi="Palatino Linotype" w:cs="Palatino Linotype"/>
          <w:color w:val="000000" w:themeColor="text1"/>
          <w:sz w:val="24"/>
          <w:szCs w:val="24"/>
        </w:rPr>
        <w:t xml:space="preserve">a efecto de que ésta Ponencia formulara y presentara el proyecto de resolución correspondiente de conformidad con el numeral </w:t>
      </w:r>
      <w:r w:rsidRPr="00C50BBE">
        <w:rPr>
          <w:rFonts w:ascii="Palatino Linotype" w:eastAsia="Palatino Linotype" w:hAnsi="Palatino Linotype" w:cs="Palatino Linotype"/>
          <w:b/>
          <w:color w:val="000000" w:themeColor="text1"/>
          <w:sz w:val="24"/>
          <w:szCs w:val="24"/>
        </w:rPr>
        <w:t xml:space="preserve">ONCE </w:t>
      </w:r>
      <w:r w:rsidRPr="00C50BBE">
        <w:rPr>
          <w:rFonts w:ascii="Palatino Linotype" w:eastAsia="Palatino Linotype" w:hAnsi="Palatino Linotype" w:cs="Palatino Linotype"/>
          <w:color w:val="000000" w:themeColor="text1"/>
          <w:sz w:val="24"/>
          <w:szCs w:val="24"/>
        </w:rPr>
        <w:t>incisos b) y c) de los Lineamientos para la Recepción, Trámite y Resolución de las Solicitudes de Acceso a la Información Pública, así como de los Recursos de Revisión que deberán observar los Sujetos Obligados por la Ley de Transparencia Estatal , que señala:</w:t>
      </w:r>
    </w:p>
    <w:p w:rsidR="008B18C3" w:rsidRPr="00C50BBE" w:rsidRDefault="0059651D" w:rsidP="006C23FC">
      <w:pPr>
        <w:spacing w:line="360" w:lineRule="auto"/>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b/>
          <w:i/>
          <w:color w:val="000000" w:themeColor="text1"/>
          <w:sz w:val="24"/>
          <w:szCs w:val="24"/>
        </w:rPr>
        <w:t>ONCE.</w:t>
      </w:r>
      <w:r w:rsidRPr="00C50BBE">
        <w:rPr>
          <w:rFonts w:ascii="Palatino Linotype" w:eastAsia="Palatino Linotype" w:hAnsi="Palatino Linotype" w:cs="Palatino Linotype"/>
          <w:i/>
          <w:color w:val="000000" w:themeColor="text1"/>
          <w:sz w:val="24"/>
          <w:szCs w:val="24"/>
        </w:rPr>
        <w:t xml:space="preserve"> El Instituto, para mejor resolver y evitar la emisión de resoluciones contradictorias, podrá acordar la acumulación de los expedientes de recursos de revisión, de oficio o a petición de parte cuando:</w:t>
      </w:r>
    </w:p>
    <w:p w:rsidR="008B18C3" w:rsidRPr="00C50BBE" w:rsidRDefault="0059651D" w:rsidP="006C23FC">
      <w:pPr>
        <w:spacing w:line="360" w:lineRule="auto"/>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w:t>
      </w:r>
    </w:p>
    <w:p w:rsidR="008B18C3" w:rsidRPr="00C50BBE" w:rsidRDefault="0059651D" w:rsidP="006C23FC">
      <w:pPr>
        <w:spacing w:line="360" w:lineRule="auto"/>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b) Las partes o los actos impugnados sean iguales</w:t>
      </w:r>
    </w:p>
    <w:p w:rsidR="008B18C3" w:rsidRPr="00C50BBE" w:rsidRDefault="0059651D" w:rsidP="006C23FC">
      <w:pPr>
        <w:spacing w:line="360" w:lineRule="auto"/>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 xml:space="preserve">c) Cuando se trate del mismo solicitante, el mismo </w:t>
      </w:r>
      <w:r w:rsidRPr="00C50BBE">
        <w:rPr>
          <w:rFonts w:ascii="Palatino Linotype" w:eastAsia="Palatino Linotype" w:hAnsi="Palatino Linotype" w:cs="Palatino Linotype"/>
          <w:b/>
          <w:i/>
          <w:color w:val="000000" w:themeColor="text1"/>
          <w:sz w:val="24"/>
          <w:szCs w:val="24"/>
        </w:rPr>
        <w:t>SUJETO OBLIGADO</w:t>
      </w:r>
      <w:r w:rsidRPr="00C50BBE">
        <w:rPr>
          <w:rFonts w:ascii="Palatino Linotype" w:eastAsia="Palatino Linotype" w:hAnsi="Palatino Linotype" w:cs="Palatino Linotype"/>
          <w:i/>
          <w:color w:val="000000" w:themeColor="text1"/>
          <w:sz w:val="24"/>
          <w:szCs w:val="24"/>
        </w:rPr>
        <w:t>, aunque se trate de solicitudes diversas;</w:t>
      </w:r>
    </w:p>
    <w:p w:rsidR="008B18C3" w:rsidRPr="00C50BBE" w:rsidRDefault="0059651D" w:rsidP="006C23FC">
      <w:pPr>
        <w:spacing w:line="360" w:lineRule="auto"/>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w:t>
      </w:r>
    </w:p>
    <w:p w:rsidR="008B18C3" w:rsidRPr="00C50BBE" w:rsidRDefault="0059651D" w:rsidP="006C23FC">
      <w:pPr>
        <w:numPr>
          <w:ilvl w:val="0"/>
          <w:numId w:val="1"/>
        </w:numP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lastRenderedPageBreak/>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8B18C3" w:rsidRPr="00C50BBE" w:rsidRDefault="0059651D" w:rsidP="006C23FC">
      <w:pPr>
        <w:spacing w:line="276" w:lineRule="auto"/>
        <w:jc w:val="center"/>
        <w:rPr>
          <w:rFonts w:ascii="Palatino Linotype" w:eastAsia="Palatino Linotype" w:hAnsi="Palatino Linotype" w:cs="Palatino Linotype"/>
          <w:b/>
          <w:color w:val="000000" w:themeColor="text1"/>
          <w:sz w:val="24"/>
          <w:szCs w:val="24"/>
        </w:rPr>
      </w:pPr>
      <w:r w:rsidRPr="00C50BBE">
        <w:rPr>
          <w:rFonts w:ascii="Palatino Linotype" w:eastAsia="Palatino Linotype" w:hAnsi="Palatino Linotype" w:cs="Palatino Linotype"/>
          <w:b/>
          <w:color w:val="000000" w:themeColor="text1"/>
          <w:sz w:val="24"/>
          <w:szCs w:val="24"/>
        </w:rPr>
        <w:t>Código de Procedimientos Administrativos del Estado de México.</w:t>
      </w:r>
    </w:p>
    <w:p w:rsidR="008B18C3" w:rsidRPr="00C50BBE" w:rsidRDefault="008B18C3" w:rsidP="006C23FC">
      <w:pPr>
        <w:spacing w:line="276" w:lineRule="auto"/>
        <w:jc w:val="both"/>
        <w:rPr>
          <w:rFonts w:ascii="Palatino Linotype" w:eastAsia="Palatino Linotype" w:hAnsi="Palatino Linotype" w:cs="Palatino Linotype"/>
          <w:i/>
          <w:color w:val="000000" w:themeColor="text1"/>
          <w:sz w:val="24"/>
          <w:szCs w:val="24"/>
        </w:rPr>
      </w:pPr>
    </w:p>
    <w:p w:rsidR="008B18C3" w:rsidRPr="00C50BBE" w:rsidRDefault="0059651D" w:rsidP="006C23FC">
      <w:pPr>
        <w:spacing w:line="276" w:lineRule="auto"/>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w:t>
      </w:r>
      <w:r w:rsidRPr="00C50BBE">
        <w:rPr>
          <w:rFonts w:ascii="Palatino Linotype" w:eastAsia="Palatino Linotype" w:hAnsi="Palatino Linotype" w:cs="Palatino Linotype"/>
          <w:b/>
          <w:i/>
          <w:color w:val="000000" w:themeColor="text1"/>
          <w:sz w:val="24"/>
          <w:szCs w:val="24"/>
        </w:rPr>
        <w:t>Artículo 18.-</w:t>
      </w:r>
      <w:r w:rsidRPr="00C50BBE">
        <w:rPr>
          <w:rFonts w:ascii="Palatino Linotype" w:eastAsia="Palatino Linotype" w:hAnsi="Palatino Linotype" w:cs="Palatino Linotype"/>
          <w:i/>
          <w:color w:val="000000" w:themeColor="text1"/>
          <w:sz w:val="24"/>
          <w:szCs w:val="24"/>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8B18C3" w:rsidRPr="00C50BBE" w:rsidRDefault="008B18C3" w:rsidP="006C23FC">
      <w:pPr>
        <w:spacing w:line="276" w:lineRule="auto"/>
        <w:jc w:val="both"/>
        <w:rPr>
          <w:rFonts w:ascii="Palatino Linotype" w:eastAsia="Palatino Linotype" w:hAnsi="Palatino Linotype" w:cs="Palatino Linotype"/>
          <w:i/>
          <w:color w:val="000000" w:themeColor="text1"/>
          <w:sz w:val="24"/>
          <w:szCs w:val="24"/>
        </w:rPr>
      </w:pPr>
    </w:p>
    <w:p w:rsidR="008B18C3" w:rsidRPr="00C50BBE" w:rsidRDefault="0059651D" w:rsidP="006C23FC">
      <w:pPr>
        <w:spacing w:line="276" w:lineRule="auto"/>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Ley de Transparencia y Acceso a la Información Pública del Estado de México y Municipios</w:t>
      </w:r>
    </w:p>
    <w:p w:rsidR="008B18C3" w:rsidRPr="00C50BBE" w:rsidRDefault="0059651D" w:rsidP="006C23FC">
      <w:pPr>
        <w:spacing w:line="276" w:lineRule="auto"/>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“Artículo 195. En la tramitación del recurso de revisión se aplicarán supletoriamente las disposiciones contenidas en el Código de Procedimientos Administrativos del Estado de México.”</w:t>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rPr>
      </w:pPr>
    </w:p>
    <w:p w:rsidR="008B18C3" w:rsidRPr="00B647F1"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Finalmente, mediante acuerdo de </w:t>
      </w:r>
      <w:r w:rsidRPr="00C50BBE">
        <w:rPr>
          <w:rFonts w:ascii="Palatino Linotype" w:eastAsia="Palatino Linotype" w:hAnsi="Palatino Linotype" w:cs="Palatino Linotype"/>
          <w:b/>
          <w:color w:val="000000" w:themeColor="text1"/>
          <w:sz w:val="24"/>
          <w:szCs w:val="24"/>
        </w:rPr>
        <w:t>veinte de agosto de dos mil veinticinco</w:t>
      </w:r>
      <w:r w:rsidRPr="00C50BBE">
        <w:rPr>
          <w:rFonts w:ascii="Palatino Linotype" w:eastAsia="Palatino Linotype" w:hAnsi="Palatino Linotype" w:cs="Palatino Linotype"/>
          <w:color w:val="000000" w:themeColor="text1"/>
          <w:sz w:val="24"/>
          <w:szCs w:val="24"/>
        </w:rPr>
        <w:t>, se  decretó el cierre de instrucción, por lo que no habiendo más que hacer constar, y</w:t>
      </w:r>
      <w:r w:rsidR="00B647F1">
        <w:rPr>
          <w:rFonts w:ascii="Palatino Linotype" w:eastAsia="Palatino Linotype" w:hAnsi="Palatino Linotype" w:cs="Palatino Linotype"/>
          <w:color w:val="000000" w:themeColor="text1"/>
          <w:sz w:val="24"/>
          <w:szCs w:val="24"/>
        </w:rPr>
        <w:t xml:space="preserve"> --------------------------</w:t>
      </w:r>
    </w:p>
    <w:p w:rsidR="00B647F1" w:rsidRDefault="00B647F1" w:rsidP="00B647F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B647F1" w:rsidRDefault="00B647F1" w:rsidP="00B647F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B647F1" w:rsidRPr="00C50BBE" w:rsidRDefault="00B647F1" w:rsidP="00B647F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rPr>
      </w:pPr>
    </w:p>
    <w:p w:rsidR="008B18C3" w:rsidRPr="00C50BBE" w:rsidRDefault="008B18C3" w:rsidP="006C23FC">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sz w:val="24"/>
          <w:szCs w:val="24"/>
        </w:rPr>
      </w:pPr>
    </w:p>
    <w:p w:rsidR="008B18C3" w:rsidRPr="00C50BBE" w:rsidRDefault="0059651D" w:rsidP="006C23FC">
      <w:pPr>
        <w:pStyle w:val="Ttulo1"/>
        <w:tabs>
          <w:tab w:val="left" w:pos="567"/>
        </w:tabs>
        <w:spacing w:before="0" w:line="360" w:lineRule="auto"/>
        <w:jc w:val="center"/>
        <w:rPr>
          <w:rFonts w:ascii="Palatino Linotype" w:eastAsia="Palatino Linotype" w:hAnsi="Palatino Linotype" w:cs="Palatino Linotype"/>
          <w:b/>
          <w:color w:val="000000" w:themeColor="text1"/>
          <w:sz w:val="24"/>
          <w:szCs w:val="24"/>
        </w:rPr>
      </w:pPr>
      <w:bookmarkStart w:id="1" w:name="_heading=h.tyjcwt" w:colFirst="0" w:colLast="0"/>
      <w:bookmarkEnd w:id="1"/>
      <w:r w:rsidRPr="00C50BBE">
        <w:rPr>
          <w:rFonts w:ascii="Palatino Linotype" w:eastAsia="Palatino Linotype" w:hAnsi="Palatino Linotype" w:cs="Palatino Linotype"/>
          <w:b/>
          <w:color w:val="000000" w:themeColor="text1"/>
          <w:sz w:val="24"/>
          <w:szCs w:val="24"/>
        </w:rPr>
        <w:lastRenderedPageBreak/>
        <w:t>C O N S I D E R A N D O</w:t>
      </w:r>
    </w:p>
    <w:p w:rsidR="008B18C3" w:rsidRPr="00C50BBE" w:rsidRDefault="008B18C3" w:rsidP="006C23FC">
      <w:pPr>
        <w:rPr>
          <w:rFonts w:ascii="Palatino Linotype" w:eastAsia="Palatino Linotype" w:hAnsi="Palatino Linotype" w:cs="Palatino Linotype"/>
          <w:color w:val="000000" w:themeColor="text1"/>
          <w:sz w:val="24"/>
          <w:szCs w:val="24"/>
        </w:rPr>
      </w:pPr>
    </w:p>
    <w:p w:rsidR="008B18C3" w:rsidRPr="00C50BBE" w:rsidRDefault="0059651D" w:rsidP="006C23FC">
      <w:pPr>
        <w:pStyle w:val="Ttulo1"/>
        <w:tabs>
          <w:tab w:val="left" w:pos="567"/>
        </w:tabs>
        <w:spacing w:before="0" w:line="360" w:lineRule="auto"/>
        <w:rPr>
          <w:rFonts w:ascii="Palatino Linotype" w:eastAsia="Palatino Linotype" w:hAnsi="Palatino Linotype" w:cs="Palatino Linotype"/>
          <w:b/>
          <w:color w:val="000000" w:themeColor="text1"/>
          <w:sz w:val="24"/>
          <w:szCs w:val="24"/>
        </w:rPr>
      </w:pPr>
      <w:bookmarkStart w:id="2" w:name="_heading=h.3dy6vkm" w:colFirst="0" w:colLast="0"/>
      <w:bookmarkEnd w:id="2"/>
      <w:r w:rsidRPr="00C50BBE">
        <w:rPr>
          <w:rFonts w:ascii="Palatino Linotype" w:eastAsia="Palatino Linotype" w:hAnsi="Palatino Linotype" w:cs="Palatino Linotype"/>
          <w:b/>
          <w:color w:val="000000" w:themeColor="text1"/>
          <w:sz w:val="24"/>
          <w:szCs w:val="24"/>
        </w:rPr>
        <w:t>PRIMERO. De la competencia</w:t>
      </w: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pStyle w:val="Ttulo1"/>
        <w:tabs>
          <w:tab w:val="left" w:pos="567"/>
        </w:tabs>
        <w:spacing w:before="0" w:line="360" w:lineRule="auto"/>
        <w:rPr>
          <w:rFonts w:ascii="Palatino Linotype" w:eastAsia="Palatino Linotype" w:hAnsi="Palatino Linotype" w:cs="Palatino Linotype"/>
          <w:b/>
          <w:color w:val="000000" w:themeColor="text1"/>
          <w:sz w:val="24"/>
          <w:szCs w:val="24"/>
        </w:rPr>
      </w:pPr>
      <w:bookmarkStart w:id="3" w:name="_heading=h.1t3h5sf" w:colFirst="0" w:colLast="0"/>
      <w:bookmarkEnd w:id="3"/>
      <w:r w:rsidRPr="00C50BBE">
        <w:rPr>
          <w:rFonts w:ascii="Palatino Linotype" w:eastAsia="Palatino Linotype" w:hAnsi="Palatino Linotype" w:cs="Palatino Linotype"/>
          <w:b/>
          <w:color w:val="000000" w:themeColor="text1"/>
          <w:sz w:val="24"/>
          <w:szCs w:val="24"/>
        </w:rPr>
        <w:t>SEGUNDO. De la oportunidad y procedencia.</w:t>
      </w: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 El medio de impugnación fue presentado a través del </w:t>
      </w:r>
      <w:r w:rsidRPr="00C50BBE">
        <w:rPr>
          <w:rFonts w:ascii="Palatino Linotype" w:eastAsia="Palatino Linotype" w:hAnsi="Palatino Linotype" w:cs="Palatino Linotype"/>
          <w:b/>
          <w:color w:val="000000" w:themeColor="text1"/>
          <w:sz w:val="24"/>
          <w:szCs w:val="24"/>
        </w:rPr>
        <w:t>SAIMEX,</w:t>
      </w:r>
      <w:r w:rsidRPr="00C50BBE">
        <w:rPr>
          <w:rFonts w:ascii="Palatino Linotype" w:eastAsia="Palatino Linotype" w:hAnsi="Palatino Linotype" w:cs="Palatino Linotype"/>
          <w:color w:val="000000" w:themeColor="text1"/>
          <w:sz w:val="24"/>
          <w:szCs w:val="24"/>
        </w:rPr>
        <w:t xml:space="preserve"> en el formato previamente aprobado para tal efecto y dentro del plazo legal de quince días hábiles otorgados; para el caso en particular es de señalar que el </w:t>
      </w:r>
      <w:r w:rsidRPr="00C50BBE">
        <w:rPr>
          <w:rFonts w:ascii="Palatino Linotype" w:eastAsia="Palatino Linotype" w:hAnsi="Palatino Linotype" w:cs="Palatino Linotype"/>
          <w:b/>
          <w:color w:val="000000" w:themeColor="text1"/>
          <w:sz w:val="24"/>
          <w:szCs w:val="24"/>
        </w:rPr>
        <w:t>SUJETO OBLIGADO</w:t>
      </w:r>
      <w:r w:rsidRPr="00C50BBE">
        <w:rPr>
          <w:rFonts w:ascii="Palatino Linotype" w:eastAsia="Palatino Linotype" w:hAnsi="Palatino Linotype" w:cs="Palatino Linotype"/>
          <w:color w:val="000000" w:themeColor="text1"/>
          <w:sz w:val="24"/>
          <w:szCs w:val="24"/>
        </w:rPr>
        <w:t xml:space="preserve"> dio respuesta a las solicitudes de información, el </w:t>
      </w:r>
      <w:r w:rsidRPr="00C50BBE">
        <w:rPr>
          <w:rFonts w:ascii="Palatino Linotype" w:eastAsia="Palatino Linotype" w:hAnsi="Palatino Linotype" w:cs="Palatino Linotype"/>
          <w:b/>
          <w:color w:val="000000" w:themeColor="text1"/>
          <w:sz w:val="24"/>
          <w:szCs w:val="24"/>
        </w:rPr>
        <w:t>veintitrés de mayo de dos mil veinticinco</w:t>
      </w:r>
      <w:r w:rsidRPr="00C50BBE">
        <w:rPr>
          <w:rFonts w:ascii="Palatino Linotype" w:eastAsia="Palatino Linotype" w:hAnsi="Palatino Linotype" w:cs="Palatino Linotype"/>
          <w:color w:val="000000" w:themeColor="text1"/>
          <w:sz w:val="24"/>
          <w:szCs w:val="24"/>
        </w:rPr>
        <w:t xml:space="preserve">, de tal forma que el plazo para interponer el recurso de revisión transcurrió del </w:t>
      </w:r>
      <w:r w:rsidRPr="00C50BBE">
        <w:rPr>
          <w:rFonts w:ascii="Palatino Linotype" w:eastAsia="Palatino Linotype" w:hAnsi="Palatino Linotype" w:cs="Palatino Linotype"/>
          <w:b/>
          <w:color w:val="000000" w:themeColor="text1"/>
          <w:sz w:val="24"/>
          <w:szCs w:val="24"/>
        </w:rPr>
        <w:t>veintiséis de mayo al trece de junio de dos mil veinticinco</w:t>
      </w:r>
      <w:r w:rsidRPr="00C50BBE">
        <w:rPr>
          <w:rFonts w:ascii="Palatino Linotype" w:eastAsia="Palatino Linotype" w:hAnsi="Palatino Linotype" w:cs="Palatino Linotype"/>
          <w:color w:val="000000" w:themeColor="text1"/>
          <w:sz w:val="24"/>
          <w:szCs w:val="24"/>
        </w:rPr>
        <w:t xml:space="preserve">; en consecuencia, el ahora </w:t>
      </w:r>
      <w:r w:rsidRPr="00C50BBE">
        <w:rPr>
          <w:rFonts w:ascii="Palatino Linotype" w:eastAsia="Palatino Linotype" w:hAnsi="Palatino Linotype" w:cs="Palatino Linotype"/>
          <w:b/>
          <w:color w:val="000000" w:themeColor="text1"/>
          <w:sz w:val="24"/>
          <w:szCs w:val="24"/>
        </w:rPr>
        <w:t>RECURRENTE</w:t>
      </w:r>
      <w:r w:rsidRPr="00C50BBE">
        <w:rPr>
          <w:rFonts w:ascii="Palatino Linotype" w:eastAsia="Palatino Linotype" w:hAnsi="Palatino Linotype" w:cs="Palatino Linotype"/>
          <w:color w:val="000000" w:themeColor="text1"/>
          <w:sz w:val="24"/>
          <w:szCs w:val="24"/>
        </w:rPr>
        <w:t xml:space="preserve"> presentó su inconformidad el </w:t>
      </w:r>
      <w:r w:rsidRPr="00C50BBE">
        <w:rPr>
          <w:rFonts w:ascii="Palatino Linotype" w:eastAsia="Palatino Linotype" w:hAnsi="Palatino Linotype" w:cs="Palatino Linotype"/>
          <w:b/>
          <w:color w:val="000000" w:themeColor="text1"/>
          <w:sz w:val="24"/>
          <w:szCs w:val="24"/>
        </w:rPr>
        <w:t>veintisiete de mayo de dos mil veinticinco</w:t>
      </w:r>
      <w:r w:rsidRPr="00C50BBE">
        <w:rPr>
          <w:rFonts w:ascii="Palatino Linotype" w:eastAsia="Palatino Linotype" w:hAnsi="Palatino Linotype" w:cs="Palatino Linotype"/>
          <w:color w:val="000000" w:themeColor="text1"/>
          <w:sz w:val="24"/>
          <w:szCs w:val="24"/>
        </w:rPr>
        <w:t>; por lo que se estima que la inconformidad se presentó dentro del lapso legalmente establecido para tal efecto.</w:t>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keepNext/>
        <w:keepLines/>
        <w:spacing w:after="0" w:line="360" w:lineRule="auto"/>
        <w:rPr>
          <w:rFonts w:ascii="Palatino Linotype" w:eastAsia="Palatino Linotype" w:hAnsi="Palatino Linotype" w:cs="Palatino Linotype"/>
          <w:b/>
          <w:color w:val="000000" w:themeColor="text1"/>
          <w:sz w:val="24"/>
          <w:szCs w:val="24"/>
        </w:rPr>
      </w:pPr>
      <w:r w:rsidRPr="00C50BBE">
        <w:rPr>
          <w:rFonts w:ascii="Palatino Linotype" w:eastAsia="Palatino Linotype" w:hAnsi="Palatino Linotype" w:cs="Palatino Linotype"/>
          <w:b/>
          <w:color w:val="000000" w:themeColor="text1"/>
          <w:sz w:val="24"/>
          <w:szCs w:val="24"/>
        </w:rPr>
        <w:lastRenderedPageBreak/>
        <w:t xml:space="preserve">TERCERO. Del planteamiento de la </w:t>
      </w:r>
      <w:r w:rsidRPr="00C50BBE">
        <w:rPr>
          <w:rFonts w:ascii="Palatino Linotype" w:eastAsia="Palatino Linotype" w:hAnsi="Palatino Linotype" w:cs="Palatino Linotype"/>
          <w:b/>
          <w:i/>
          <w:color w:val="000000" w:themeColor="text1"/>
          <w:sz w:val="24"/>
          <w:szCs w:val="24"/>
        </w:rPr>
        <w:t>Litis</w:t>
      </w:r>
      <w:r w:rsidRPr="00C50BBE">
        <w:rPr>
          <w:rFonts w:ascii="Palatino Linotype" w:eastAsia="Palatino Linotype" w:hAnsi="Palatino Linotype" w:cs="Palatino Linotype"/>
          <w:b/>
          <w:color w:val="000000" w:themeColor="text1"/>
          <w:sz w:val="24"/>
          <w:szCs w:val="24"/>
        </w:rPr>
        <w:t>.</w:t>
      </w: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rPr>
      </w:pPr>
      <w:r w:rsidRPr="00C50BBE">
        <w:rPr>
          <w:rFonts w:ascii="Palatino Linotype" w:eastAsia="Palatino Linotype" w:hAnsi="Palatino Linotype" w:cs="Palatino Linotype"/>
          <w:color w:val="000000" w:themeColor="text1"/>
          <w:sz w:val="24"/>
          <w:szCs w:val="24"/>
        </w:rPr>
        <w:t>De las constancias en el expediente al rubro indicado, se desprende que la particular solicitó la información que a continuación se desagrega:</w:t>
      </w:r>
    </w:p>
    <w:p w:rsidR="008B18C3" w:rsidRPr="00C50BBE" w:rsidRDefault="0059651D" w:rsidP="00B647F1">
      <w:pPr>
        <w:numPr>
          <w:ilvl w:val="0"/>
          <w:numId w:val="4"/>
        </w:numPr>
        <w:pBdr>
          <w:top w:val="nil"/>
          <w:left w:val="nil"/>
          <w:bottom w:val="nil"/>
          <w:right w:val="nil"/>
          <w:between w:val="nil"/>
        </w:pBdr>
        <w:spacing w:after="0" w:line="240" w:lineRule="auto"/>
        <w:ind w:left="0" w:firstLine="0"/>
        <w:jc w:val="both"/>
        <w:rPr>
          <w:rFonts w:ascii="Palatino Linotype" w:eastAsia="Palatino Linotype" w:hAnsi="Palatino Linotype" w:cs="Palatino Linotype"/>
          <w:color w:val="000000" w:themeColor="text1"/>
          <w:sz w:val="24"/>
          <w:szCs w:val="24"/>
          <w:u w:val="single"/>
        </w:rPr>
      </w:pPr>
      <w:r w:rsidRPr="00C50BBE">
        <w:rPr>
          <w:rFonts w:ascii="Palatino Linotype" w:eastAsia="Palatino Linotype" w:hAnsi="Palatino Linotype" w:cs="Palatino Linotype"/>
          <w:color w:val="000000" w:themeColor="text1"/>
          <w:sz w:val="24"/>
          <w:szCs w:val="24"/>
        </w:rPr>
        <w:t xml:space="preserve">Solicito la siguiente información - TODAS LAS </w:t>
      </w:r>
      <w:r w:rsidRPr="00C50BBE">
        <w:rPr>
          <w:rFonts w:ascii="Palatino Linotype" w:eastAsia="Palatino Linotype" w:hAnsi="Palatino Linotype" w:cs="Palatino Linotype"/>
          <w:color w:val="000000" w:themeColor="text1"/>
          <w:sz w:val="24"/>
          <w:szCs w:val="24"/>
          <w:u w:val="single"/>
        </w:rPr>
        <w:t>Pólizas de pago</w:t>
      </w:r>
      <w:r w:rsidRPr="00C50BBE">
        <w:rPr>
          <w:rFonts w:ascii="Palatino Linotype" w:eastAsia="Palatino Linotype" w:hAnsi="Palatino Linotype" w:cs="Palatino Linotype"/>
          <w:color w:val="000000" w:themeColor="text1"/>
          <w:sz w:val="24"/>
          <w:szCs w:val="24"/>
        </w:rPr>
        <w:t xml:space="preserve"> realizadas por el municipio y el DIF municipal en </w:t>
      </w:r>
      <w:r w:rsidRPr="00C50BBE">
        <w:rPr>
          <w:rFonts w:ascii="Palatino Linotype" w:eastAsia="Palatino Linotype" w:hAnsi="Palatino Linotype" w:cs="Palatino Linotype"/>
          <w:color w:val="000000" w:themeColor="text1"/>
          <w:sz w:val="24"/>
          <w:szCs w:val="24"/>
          <w:u w:val="single"/>
        </w:rPr>
        <w:t>diciembre de 2024</w:t>
      </w:r>
      <w:r w:rsidRPr="00C50BBE">
        <w:rPr>
          <w:rFonts w:ascii="Palatino Linotype" w:eastAsia="Palatino Linotype" w:hAnsi="Palatino Linotype" w:cs="Palatino Linotype"/>
          <w:color w:val="000000" w:themeColor="text1"/>
          <w:sz w:val="24"/>
          <w:szCs w:val="24"/>
        </w:rPr>
        <w:t xml:space="preserve"> y en el </w:t>
      </w:r>
      <w:r w:rsidRPr="00C50BBE">
        <w:rPr>
          <w:rFonts w:ascii="Palatino Linotype" w:eastAsia="Palatino Linotype" w:hAnsi="Palatino Linotype" w:cs="Palatino Linotype"/>
          <w:color w:val="000000" w:themeColor="text1"/>
          <w:sz w:val="24"/>
          <w:szCs w:val="24"/>
          <w:u w:val="single"/>
        </w:rPr>
        <w:t>primer trimestre del año 2025</w:t>
      </w:r>
      <w:r w:rsidRPr="00C50BBE">
        <w:rPr>
          <w:rFonts w:ascii="Palatino Linotype" w:eastAsia="Palatino Linotype" w:hAnsi="Palatino Linotype" w:cs="Palatino Linotype"/>
          <w:color w:val="000000" w:themeColor="text1"/>
          <w:sz w:val="24"/>
          <w:szCs w:val="24"/>
        </w:rPr>
        <w:t xml:space="preserve">; </w:t>
      </w:r>
      <w:r w:rsidR="006C23FC" w:rsidRPr="00C50BBE">
        <w:rPr>
          <w:rFonts w:ascii="Palatino Linotype" w:eastAsia="Palatino Linotype" w:hAnsi="Palatino Linotype" w:cs="Palatino Linotype"/>
          <w:color w:val="000000" w:themeColor="text1"/>
          <w:sz w:val="24"/>
          <w:szCs w:val="24"/>
        </w:rPr>
        <w:t>así</w:t>
      </w:r>
      <w:r w:rsidRPr="00C50BBE">
        <w:rPr>
          <w:rFonts w:ascii="Palatino Linotype" w:eastAsia="Palatino Linotype" w:hAnsi="Palatino Linotype" w:cs="Palatino Linotype"/>
          <w:color w:val="000000" w:themeColor="text1"/>
          <w:sz w:val="24"/>
          <w:szCs w:val="24"/>
        </w:rPr>
        <w:t xml:space="preserve"> como el </w:t>
      </w:r>
      <w:r w:rsidRPr="00C50BBE">
        <w:rPr>
          <w:rFonts w:ascii="Palatino Linotype" w:eastAsia="Palatino Linotype" w:hAnsi="Palatino Linotype" w:cs="Palatino Linotype"/>
          <w:color w:val="000000" w:themeColor="text1"/>
          <w:sz w:val="24"/>
          <w:szCs w:val="24"/>
          <w:u w:val="single"/>
        </w:rPr>
        <w:t>formato 4 y 5. denominado Conciliación de Nómina del cuarto Informe Trimestral Municipal Ejercicio Fiscal 2024 y del primer Informe Trimestral Municipal Ejercicio Fiscal 2025.</w:t>
      </w:r>
    </w:p>
    <w:p w:rsidR="008B18C3" w:rsidRPr="00C50BBE" w:rsidRDefault="008B18C3" w:rsidP="006C23FC">
      <w:pPr>
        <w:pBdr>
          <w:top w:val="nil"/>
          <w:left w:val="nil"/>
          <w:bottom w:val="nil"/>
          <w:right w:val="nil"/>
          <w:between w:val="nil"/>
        </w:pBdr>
        <w:tabs>
          <w:tab w:val="left" w:pos="3828"/>
        </w:tabs>
        <w:spacing w:line="360" w:lineRule="auto"/>
        <w:jc w:val="both"/>
        <w:rPr>
          <w:rFonts w:ascii="Palatino Linotype" w:eastAsia="Palatino Linotype" w:hAnsi="Palatino Linotype" w:cs="Palatino Linotype"/>
          <w:b/>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El </w:t>
      </w:r>
      <w:r w:rsidRPr="00C50BBE">
        <w:rPr>
          <w:rFonts w:ascii="Palatino Linotype" w:eastAsia="Palatino Linotype" w:hAnsi="Palatino Linotype" w:cs="Palatino Linotype"/>
          <w:b/>
          <w:color w:val="000000" w:themeColor="text1"/>
          <w:sz w:val="24"/>
          <w:szCs w:val="24"/>
        </w:rPr>
        <w:t>SUJETO OBLIGADO,</w:t>
      </w:r>
      <w:r w:rsidRPr="00C50BBE">
        <w:rPr>
          <w:rFonts w:ascii="Palatino Linotype" w:eastAsia="Palatino Linotype" w:hAnsi="Palatino Linotype" w:cs="Palatino Linotype"/>
          <w:color w:val="000000" w:themeColor="text1"/>
          <w:sz w:val="24"/>
          <w:szCs w:val="24"/>
        </w:rPr>
        <w:t xml:space="preserve"> dio respuesta como quedó referido en el numeral 2 de la presente resolución.</w:t>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Inconforme con las respuestas proporcionadas por el </w:t>
      </w:r>
      <w:r w:rsidRPr="00C50BBE">
        <w:rPr>
          <w:rFonts w:ascii="Palatino Linotype" w:eastAsia="Palatino Linotype" w:hAnsi="Palatino Linotype" w:cs="Palatino Linotype"/>
          <w:b/>
          <w:color w:val="000000" w:themeColor="text1"/>
          <w:sz w:val="24"/>
          <w:szCs w:val="24"/>
        </w:rPr>
        <w:t xml:space="preserve">SUJETO OBLIGADO, </w:t>
      </w:r>
      <w:r w:rsidRPr="00C50BBE">
        <w:rPr>
          <w:rFonts w:ascii="Palatino Linotype" w:eastAsia="Palatino Linotype" w:hAnsi="Palatino Linotype" w:cs="Palatino Linotype"/>
          <w:color w:val="000000" w:themeColor="text1"/>
          <w:sz w:val="24"/>
          <w:szCs w:val="24"/>
        </w:rPr>
        <w:t>éste interpuso recurso de revisión arguyendo medularmente la entrega de la información de manera incompleta.</w:t>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En dichas condiciones, la </w:t>
      </w:r>
      <w:r w:rsidRPr="00C50BBE">
        <w:rPr>
          <w:rFonts w:ascii="Palatino Linotype" w:eastAsia="Palatino Linotype" w:hAnsi="Palatino Linotype" w:cs="Palatino Linotype"/>
          <w:i/>
          <w:color w:val="000000" w:themeColor="text1"/>
          <w:sz w:val="24"/>
          <w:szCs w:val="24"/>
        </w:rPr>
        <w:t>Litis</w:t>
      </w:r>
      <w:r w:rsidRPr="00C50BBE">
        <w:rPr>
          <w:rFonts w:ascii="Palatino Linotype" w:eastAsia="Palatino Linotype" w:hAnsi="Palatino Linotype" w:cs="Palatino Linotype"/>
          <w:color w:val="000000" w:themeColor="text1"/>
          <w:sz w:val="24"/>
          <w:szCs w:val="24"/>
        </w:rPr>
        <w:t xml:space="preserve"> a resolver en este recurso se circunscribe a determinar si se actualizan las causales de procedencia previstas en el artículo 179, </w:t>
      </w:r>
      <w:r w:rsidRPr="00C50BBE">
        <w:rPr>
          <w:rFonts w:ascii="Palatino Linotype" w:eastAsia="Palatino Linotype" w:hAnsi="Palatino Linotype" w:cs="Palatino Linotype"/>
          <w:b/>
          <w:color w:val="000000" w:themeColor="text1"/>
          <w:sz w:val="24"/>
          <w:szCs w:val="24"/>
        </w:rPr>
        <w:t xml:space="preserve">fracción V </w:t>
      </w:r>
      <w:r w:rsidRPr="00C50BBE">
        <w:rPr>
          <w:rFonts w:ascii="Palatino Linotype" w:eastAsia="Palatino Linotype" w:hAnsi="Palatino Linotype" w:cs="Palatino Linotype"/>
          <w:color w:val="000000" w:themeColor="text1"/>
          <w:sz w:val="24"/>
          <w:szCs w:val="24"/>
        </w:rPr>
        <w:t>de la Ley</w:t>
      </w:r>
      <w:r w:rsidRPr="00C50BBE">
        <w:rPr>
          <w:rFonts w:ascii="Palatino Linotype" w:eastAsia="Palatino Linotype" w:hAnsi="Palatino Linotype" w:cs="Palatino Linotype"/>
          <w:b/>
          <w:color w:val="000000" w:themeColor="text1"/>
          <w:sz w:val="24"/>
          <w:szCs w:val="24"/>
        </w:rPr>
        <w:t xml:space="preserve"> de Transparencia y Acceso a la Información Pública del Estado de </w:t>
      </w:r>
      <w:r w:rsidRPr="00C50BBE">
        <w:rPr>
          <w:rFonts w:ascii="Palatino Linotype" w:eastAsia="Palatino Linotype" w:hAnsi="Palatino Linotype" w:cs="Palatino Linotype"/>
          <w:color w:val="000000" w:themeColor="text1"/>
          <w:sz w:val="24"/>
          <w:szCs w:val="24"/>
        </w:rPr>
        <w:t>México</w:t>
      </w:r>
      <w:r w:rsidRPr="00C50BBE">
        <w:rPr>
          <w:rFonts w:ascii="Palatino Linotype" w:eastAsia="Palatino Linotype" w:hAnsi="Palatino Linotype" w:cs="Palatino Linotype"/>
          <w:b/>
          <w:color w:val="000000" w:themeColor="text1"/>
          <w:sz w:val="24"/>
          <w:szCs w:val="24"/>
        </w:rPr>
        <w:t xml:space="preserve"> y Municipios</w:t>
      </w:r>
      <w:r w:rsidRPr="00C50BBE">
        <w:rPr>
          <w:rFonts w:ascii="Palatino Linotype" w:eastAsia="Palatino Linotype" w:hAnsi="Palatino Linotype" w:cs="Palatino Linotype"/>
          <w:color w:val="000000" w:themeColor="text1"/>
          <w:sz w:val="24"/>
          <w:szCs w:val="24"/>
        </w:rPr>
        <w:t xml:space="preserve">; fracción que determina la hipótesis jurídica relativa a la I. La entrega de información incompleta; contexto del cual se dolió </w:t>
      </w:r>
      <w:r w:rsidRPr="00C50BBE">
        <w:rPr>
          <w:rFonts w:ascii="Palatino Linotype" w:eastAsia="Palatino Linotype" w:hAnsi="Palatino Linotype" w:cs="Palatino Linotype"/>
          <w:b/>
          <w:color w:val="000000" w:themeColor="text1"/>
          <w:sz w:val="24"/>
          <w:szCs w:val="24"/>
        </w:rPr>
        <w:t xml:space="preserve">EL RECURRENTE </w:t>
      </w:r>
      <w:r w:rsidRPr="00C50BBE">
        <w:rPr>
          <w:rFonts w:ascii="Palatino Linotype" w:eastAsia="Palatino Linotype" w:hAnsi="Palatino Linotype" w:cs="Palatino Linotype"/>
          <w:color w:val="000000" w:themeColor="text1"/>
          <w:sz w:val="24"/>
          <w:szCs w:val="24"/>
        </w:rPr>
        <w:t>al momento de interponer su inconformidad.</w:t>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De modo tal que el presente recurso de revisión se abocara en determinar si el </w:t>
      </w:r>
      <w:r w:rsidRPr="00C50BBE">
        <w:rPr>
          <w:rFonts w:ascii="Palatino Linotype" w:eastAsia="Palatino Linotype" w:hAnsi="Palatino Linotype" w:cs="Palatino Linotype"/>
          <w:b/>
          <w:color w:val="000000" w:themeColor="text1"/>
          <w:sz w:val="24"/>
          <w:szCs w:val="24"/>
        </w:rPr>
        <w:t>SUJETO OBLIGADO</w:t>
      </w:r>
      <w:r w:rsidRPr="00C50BBE">
        <w:rPr>
          <w:rFonts w:ascii="Palatino Linotype" w:eastAsia="Palatino Linotype" w:hAnsi="Palatino Linotype" w:cs="Palatino Linotype"/>
          <w:color w:val="000000" w:themeColor="text1"/>
          <w:sz w:val="24"/>
          <w:szCs w:val="24"/>
        </w:rPr>
        <w:t xml:space="preserve"> con su respuesta ciertamente actualizan las causales de procedencia</w:t>
      </w:r>
      <w:r w:rsidRPr="00C50BBE">
        <w:rPr>
          <w:rFonts w:ascii="Palatino Linotype" w:eastAsia="Palatino Linotype" w:hAnsi="Palatino Linotype" w:cs="Palatino Linotype"/>
          <w:b/>
          <w:color w:val="000000" w:themeColor="text1"/>
          <w:sz w:val="24"/>
          <w:szCs w:val="24"/>
        </w:rPr>
        <w:t xml:space="preserve"> </w:t>
      </w:r>
      <w:r w:rsidRPr="00C50BBE">
        <w:rPr>
          <w:rFonts w:ascii="Palatino Linotype" w:eastAsia="Palatino Linotype" w:hAnsi="Palatino Linotype" w:cs="Palatino Linotype"/>
          <w:color w:val="000000" w:themeColor="text1"/>
          <w:sz w:val="24"/>
          <w:szCs w:val="24"/>
        </w:rPr>
        <w:t xml:space="preserve">antes señalada; asimismo, determinar si se vulnera el derecho de acceso a la información del </w:t>
      </w:r>
      <w:r w:rsidRPr="00C50BBE">
        <w:rPr>
          <w:rFonts w:ascii="Palatino Linotype" w:eastAsia="Palatino Linotype" w:hAnsi="Palatino Linotype" w:cs="Palatino Linotype"/>
          <w:color w:val="000000" w:themeColor="text1"/>
          <w:sz w:val="24"/>
          <w:szCs w:val="24"/>
        </w:rPr>
        <w:lastRenderedPageBreak/>
        <w:t>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8B18C3" w:rsidRPr="00C50BBE" w:rsidRDefault="008B18C3" w:rsidP="006C23FC">
      <w:pPr>
        <w:pBdr>
          <w:top w:val="nil"/>
          <w:left w:val="nil"/>
          <w:bottom w:val="nil"/>
          <w:right w:val="nil"/>
          <w:between w:val="nil"/>
        </w:pBdr>
        <w:spacing w:after="0" w:line="240" w:lineRule="auto"/>
        <w:rPr>
          <w:rFonts w:ascii="Palatino Linotype" w:eastAsia="Palatino Linotype" w:hAnsi="Palatino Linotype" w:cs="Palatino Linotype"/>
          <w:color w:val="000000" w:themeColor="text1"/>
          <w:sz w:val="24"/>
          <w:szCs w:val="24"/>
        </w:rPr>
      </w:pPr>
    </w:p>
    <w:p w:rsidR="008B18C3" w:rsidRPr="00C50BBE" w:rsidRDefault="008B18C3" w:rsidP="006C23FC">
      <w:pPr>
        <w:pBdr>
          <w:top w:val="nil"/>
          <w:left w:val="nil"/>
          <w:bottom w:val="nil"/>
          <w:right w:val="nil"/>
          <w:between w:val="nil"/>
        </w:pBdr>
        <w:tabs>
          <w:tab w:val="left" w:pos="426"/>
          <w:tab w:val="left" w:pos="567"/>
        </w:tabs>
        <w:spacing w:after="0" w:line="360" w:lineRule="auto"/>
        <w:jc w:val="both"/>
        <w:rPr>
          <w:rFonts w:ascii="Palatino Linotype" w:eastAsia="Palatino Linotype" w:hAnsi="Palatino Linotype" w:cs="Palatino Linotype"/>
          <w:b/>
          <w:color w:val="000000" w:themeColor="text1"/>
          <w:sz w:val="24"/>
          <w:szCs w:val="24"/>
        </w:rPr>
      </w:pPr>
    </w:p>
    <w:p w:rsidR="008B18C3" w:rsidRPr="00C50BBE" w:rsidRDefault="0059651D" w:rsidP="006C23FC">
      <w:pPr>
        <w:keepNext/>
        <w:keepLines/>
        <w:spacing w:after="0" w:line="360" w:lineRule="auto"/>
        <w:rPr>
          <w:rFonts w:ascii="Palatino Linotype" w:eastAsia="Palatino Linotype" w:hAnsi="Palatino Linotype" w:cs="Palatino Linotype"/>
          <w:b/>
          <w:color w:val="000000" w:themeColor="text1"/>
          <w:sz w:val="24"/>
          <w:szCs w:val="24"/>
        </w:rPr>
      </w:pPr>
      <w:r w:rsidRPr="00C50BBE">
        <w:rPr>
          <w:rFonts w:ascii="Palatino Linotype" w:eastAsia="Palatino Linotype" w:hAnsi="Palatino Linotype" w:cs="Palatino Linotype"/>
          <w:b/>
          <w:color w:val="000000" w:themeColor="text1"/>
          <w:sz w:val="24"/>
          <w:szCs w:val="24"/>
        </w:rPr>
        <w:t>CUARTO. Del estudio y resolución del asunto.</w:t>
      </w: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Acotada la </w:t>
      </w:r>
      <w:r w:rsidRPr="00C50BBE">
        <w:rPr>
          <w:rFonts w:ascii="Palatino Linotype" w:eastAsia="Palatino Linotype" w:hAnsi="Palatino Linotype" w:cs="Palatino Linotype"/>
          <w:i/>
          <w:color w:val="000000" w:themeColor="text1"/>
          <w:sz w:val="24"/>
          <w:szCs w:val="24"/>
        </w:rPr>
        <w:t>Litis</w:t>
      </w:r>
      <w:r w:rsidRPr="00C50BBE">
        <w:rPr>
          <w:rFonts w:ascii="Palatino Linotype" w:eastAsia="Palatino Linotype" w:hAnsi="Palatino Linotype" w:cs="Palatino Linotype"/>
          <w:color w:val="000000" w:themeColor="text1"/>
          <w:sz w:val="24"/>
          <w:szCs w:val="24"/>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8B18C3" w:rsidRPr="00C50BBE" w:rsidRDefault="008B18C3" w:rsidP="006C23FC">
      <w:pPr>
        <w:pBdr>
          <w:top w:val="nil"/>
          <w:left w:val="nil"/>
          <w:bottom w:val="nil"/>
          <w:right w:val="nil"/>
          <w:between w:val="nil"/>
        </w:pBdr>
        <w:tabs>
          <w:tab w:val="left" w:pos="426"/>
          <w:tab w:val="left" w:pos="567"/>
        </w:tabs>
        <w:spacing w:after="0"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Por su parte, la Ley General de Transparencia y Acceso a la Información Pública, vigente a la fecha de la solicitud,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8B18C3" w:rsidRPr="00C50BBE" w:rsidRDefault="008B18C3" w:rsidP="006C23FC">
      <w:pPr>
        <w:spacing w:after="0"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lastRenderedPageBreak/>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8B18C3" w:rsidRPr="00C50BBE" w:rsidRDefault="008B18C3" w:rsidP="006C23FC">
      <w:pPr>
        <w:pBdr>
          <w:top w:val="nil"/>
          <w:left w:val="nil"/>
          <w:bottom w:val="nil"/>
          <w:right w:val="nil"/>
          <w:between w:val="nil"/>
        </w:pBdr>
        <w:spacing w:after="0" w:line="360" w:lineRule="auto"/>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8B18C3" w:rsidRPr="00C50BBE" w:rsidRDefault="008B18C3" w:rsidP="006C23FC">
      <w:pPr>
        <w:spacing w:after="0" w:line="360" w:lineRule="auto"/>
        <w:rPr>
          <w:rFonts w:ascii="Palatino Linotype" w:eastAsia="Palatino Linotype" w:hAnsi="Palatino Linotype" w:cs="Palatino Linotype"/>
          <w:color w:val="000000" w:themeColor="text1"/>
          <w:sz w:val="24"/>
          <w:szCs w:val="24"/>
        </w:rPr>
      </w:pPr>
    </w:p>
    <w:p w:rsidR="008B18C3" w:rsidRPr="00C50BBE" w:rsidRDefault="0059651D" w:rsidP="00B647F1">
      <w:pPr>
        <w:numPr>
          <w:ilvl w:val="0"/>
          <w:numId w:val="7"/>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themeColor="text1"/>
          <w:sz w:val="24"/>
          <w:szCs w:val="24"/>
        </w:rPr>
      </w:pPr>
      <w:r w:rsidRPr="00C50BBE">
        <w:rPr>
          <w:rFonts w:ascii="Palatino Linotype" w:eastAsia="Palatino Linotype" w:hAnsi="Palatino Linotype" w:cs="Palatino Linotype"/>
          <w:b/>
          <w:color w:val="000000" w:themeColor="text1"/>
          <w:sz w:val="24"/>
          <w:szCs w:val="24"/>
        </w:rPr>
        <w:t>Estudio de fondo</w:t>
      </w: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Acotada la Litis, previo al estudio de fondo, respecto la fuente obligacional se advierte que el </w:t>
      </w:r>
      <w:r w:rsidRPr="00C50BBE">
        <w:rPr>
          <w:rFonts w:ascii="Palatino Linotype" w:eastAsia="Palatino Linotype" w:hAnsi="Palatino Linotype" w:cs="Palatino Linotype"/>
          <w:b/>
          <w:color w:val="000000" w:themeColor="text1"/>
          <w:sz w:val="24"/>
          <w:szCs w:val="24"/>
        </w:rPr>
        <w:t xml:space="preserve">SUJETO OBLIGADO, </w:t>
      </w:r>
      <w:r w:rsidRPr="00C50BBE">
        <w:rPr>
          <w:rFonts w:ascii="Palatino Linotype" w:eastAsia="Palatino Linotype" w:hAnsi="Palatino Linotype" w:cs="Palatino Linotype"/>
          <w:color w:val="000000" w:themeColor="text1"/>
          <w:sz w:val="24"/>
          <w:szCs w:val="24"/>
        </w:rPr>
        <w:t xml:space="preserve">asume que genera, posee y/o administra la información solicitada, tan es así que la pone a disposición del ahora </w:t>
      </w:r>
      <w:r w:rsidRPr="00C50BBE">
        <w:rPr>
          <w:rFonts w:ascii="Palatino Linotype" w:eastAsia="Palatino Linotype" w:hAnsi="Palatino Linotype" w:cs="Palatino Linotype"/>
          <w:b/>
          <w:color w:val="000000" w:themeColor="text1"/>
          <w:sz w:val="24"/>
          <w:szCs w:val="24"/>
        </w:rPr>
        <w:t xml:space="preserve">RECURRENTE, </w:t>
      </w:r>
      <w:r w:rsidRPr="00C50BBE">
        <w:rPr>
          <w:rFonts w:ascii="Palatino Linotype" w:eastAsia="Palatino Linotype" w:hAnsi="Palatino Linotype" w:cs="Palatino Linotype"/>
          <w:color w:val="000000" w:themeColor="text1"/>
          <w:sz w:val="24"/>
          <w:szCs w:val="24"/>
        </w:rPr>
        <w:t>por lo que se considera innecesario que se realice el estudio correspondiente respecto la fuente obligacional, pues –se insiste- este asume contar con la misma.</w:t>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En ese orden de ideas, este Órgano Resolutor se abocara a realizar el estudio correspondiente a efecto de poder determinar si con la respuestas proporcionadas se colman </w:t>
      </w:r>
      <w:r w:rsidRPr="00C50BBE">
        <w:rPr>
          <w:rFonts w:ascii="Palatino Linotype" w:eastAsia="Palatino Linotype" w:hAnsi="Palatino Linotype" w:cs="Palatino Linotype"/>
          <w:color w:val="000000" w:themeColor="text1"/>
          <w:sz w:val="24"/>
          <w:szCs w:val="24"/>
        </w:rPr>
        <w:lastRenderedPageBreak/>
        <w:t xml:space="preserve">en su totalidad las solicitudes de información que nos ocupan, o si por el contrario resultan procedentes los motivos de inconformidad planteados por el ahora </w:t>
      </w:r>
      <w:r w:rsidRPr="00C50BBE">
        <w:rPr>
          <w:rFonts w:ascii="Palatino Linotype" w:eastAsia="Palatino Linotype" w:hAnsi="Palatino Linotype" w:cs="Palatino Linotype"/>
          <w:b/>
          <w:color w:val="000000" w:themeColor="text1"/>
          <w:sz w:val="24"/>
          <w:szCs w:val="24"/>
        </w:rPr>
        <w:t>RECURRENTE.</w:t>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Ahora bien, de los motivos de inconformidad se advierte que el </w:t>
      </w:r>
      <w:r w:rsidRPr="00C50BBE">
        <w:rPr>
          <w:rFonts w:ascii="Palatino Linotype" w:eastAsia="Palatino Linotype" w:hAnsi="Palatino Linotype" w:cs="Palatino Linotype"/>
          <w:b/>
          <w:color w:val="000000" w:themeColor="text1"/>
          <w:sz w:val="24"/>
          <w:szCs w:val="24"/>
        </w:rPr>
        <w:t xml:space="preserve">RECURRENTE, </w:t>
      </w:r>
      <w:r w:rsidRPr="00C50BBE">
        <w:rPr>
          <w:rFonts w:ascii="Palatino Linotype" w:eastAsia="Palatino Linotype" w:hAnsi="Palatino Linotype" w:cs="Palatino Linotype"/>
          <w:color w:val="000000" w:themeColor="text1"/>
          <w:sz w:val="24"/>
          <w:szCs w:val="24"/>
        </w:rPr>
        <w:t>se inconforma por los nombres y sueldos de las personas que recibieron recursos del titular de la unidad de transparencia, es decir de las conciliaciones de nómina, ya que es de donde se observa tal situación, y por no haberse anexado a información que remite la Directora del DIF.</w:t>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Es así que, respecto a la inconformidad relativa a la conciliación de nómina, se refiere que se encuentra dentro de las atribuciones de la Tesorería Municipal, quien de acuerdo con la Ley Orgánica Municipal del Estado de México, tiene las siguientes funciones.  </w:t>
      </w:r>
    </w:p>
    <w:p w:rsidR="008B18C3" w:rsidRPr="00C50BBE" w:rsidRDefault="008B18C3" w:rsidP="006C23FC">
      <w:pPr>
        <w:pBdr>
          <w:top w:val="nil"/>
          <w:left w:val="nil"/>
          <w:bottom w:val="nil"/>
          <w:right w:val="nil"/>
          <w:between w:val="nil"/>
        </w:pBdr>
        <w:rPr>
          <w:rFonts w:ascii="Palatino Linotype" w:eastAsia="Palatino Linotype" w:hAnsi="Palatino Linotype" w:cs="Palatino Linotype"/>
          <w:b/>
          <w:i/>
          <w:color w:val="000000" w:themeColor="text1"/>
          <w:sz w:val="24"/>
          <w:szCs w:val="24"/>
        </w:rPr>
      </w:pPr>
    </w:p>
    <w:p w:rsidR="008B18C3" w:rsidRPr="00C50BBE" w:rsidRDefault="0059651D" w:rsidP="006C23FC">
      <w:pP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b/>
          <w:i/>
          <w:color w:val="000000" w:themeColor="text1"/>
          <w:sz w:val="24"/>
          <w:szCs w:val="24"/>
        </w:rPr>
        <w:t xml:space="preserve">Artículo 95.- </w:t>
      </w:r>
      <w:r w:rsidRPr="00C50BBE">
        <w:rPr>
          <w:rFonts w:ascii="Palatino Linotype" w:eastAsia="Palatino Linotype" w:hAnsi="Palatino Linotype" w:cs="Palatino Linotype"/>
          <w:i/>
          <w:color w:val="000000" w:themeColor="text1"/>
          <w:sz w:val="24"/>
          <w:szCs w:val="24"/>
        </w:rPr>
        <w:t xml:space="preserve">Son atribuciones del tesorero municipal: </w:t>
      </w:r>
    </w:p>
    <w:p w:rsidR="008B18C3" w:rsidRPr="00C50BBE" w:rsidRDefault="0059651D" w:rsidP="00B647F1">
      <w:pPr>
        <w:numPr>
          <w:ilvl w:val="1"/>
          <w:numId w:val="1"/>
        </w:numPr>
        <w:pBdr>
          <w:top w:val="nil"/>
          <w:left w:val="nil"/>
          <w:bottom w:val="nil"/>
          <w:right w:val="nil"/>
          <w:between w:val="nil"/>
        </w:pBdr>
        <w:spacing w:after="0" w:line="240" w:lineRule="auto"/>
        <w:ind w:left="0" w:firstLine="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 xml:space="preserve">Administrar la hacienda pública municipal, de conformidad con las disposiciones legales aplicables;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 xml:space="preserve">III. Imponer las sanciones administrativas que procedan por infracciones a las disposiciones fiscales;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 xml:space="preserve">IV. Llevar los registros contables, financieros y administrativos de los ingresos, egresos, e inventarios;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V. Proporcionar oportunamente al ayuntamiento todos los datos o informes que sean necesarios para la formulación del Presupuesto de Egresos Municipales, vigilando que se ajuste a las disposiciones de esta Ley y otros ordenamientos aplicables;</w:t>
      </w:r>
      <w:r w:rsidRPr="00C50BBE">
        <w:rPr>
          <w:rFonts w:ascii="Palatino Linotype" w:eastAsia="Palatino Linotype" w:hAnsi="Palatino Linotype" w:cs="Palatino Linotype"/>
          <w:color w:val="000000" w:themeColor="text1"/>
          <w:sz w:val="24"/>
          <w:szCs w:val="24"/>
        </w:rPr>
        <w:t xml:space="preserve">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lastRenderedPageBreak/>
        <w:t xml:space="preserve">VI. Presentar anualmente al ayuntamiento un informe de la situación contable financiera de la Tesorería Municipal;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 xml:space="preserve">VI Bis. Proporcionar para la formulación del proyecto de Presupuesto de Egresos Municipales la información financiera relativa a la solución o en su caso, el pago de los litigios laborales;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 xml:space="preserve">VII. Diseñar y aprobar las formas oficiales de manifestaciones, avisos y declaraciones y demás documentos requeridos;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 xml:space="preserve">VIII. Participar en la formulación de Convenios Fiscales y ejercer las atribuciones que le correspondan en el ámbito de su competencia;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 xml:space="preserve">IX. Proponer al ayuntamiento la cancelación de cuentas incobrables;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 xml:space="preserve">X. Custodiar y ejercer las garantías que se otorguen en favor de la hacienda municipal;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 xml:space="preserve">XI. Proponer la política de ingresos de la tesorería municipal;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 xml:space="preserve">XII. Intervenir en la elaboración del programa financiero municipal;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 xml:space="preserve">XIII. Elaborar y mantener actualizado el Padrón de Contribuyentes;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 xml:space="preserve">XIV. Ministrar a su inmediato antecesor todos los datos oficiales que le solicitare, para contestar los pliegos de observaciones y alcances que formule y deduzca el Órgano Superior de Fiscalización del Estado de México;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 xml:space="preserve">XV. Solicitar a las instancias competentes, la práctica de revisiones circunstanciadas, de conformidad con las normas que rigen en materia de control y evaluación gubernamental en el ámbito municipal;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 xml:space="preserve">XVI. Glosar oportunamente las cuentas del ayuntamiento;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b/>
          <w:i/>
          <w:color w:val="000000" w:themeColor="text1"/>
          <w:sz w:val="24"/>
          <w:szCs w:val="24"/>
        </w:rPr>
        <w:t>XVII. Contestar oportunamente los pliegos de observaciones y responsabilidad que haga el Órgano Superior de Fiscalización del Estado de México, así como atender en tiempo y forma las solicitudes de información que éste requiera, informando al Ayuntamiento</w:t>
      </w:r>
      <w:r w:rsidRPr="00C50BBE">
        <w:rPr>
          <w:rFonts w:ascii="Palatino Linotype" w:eastAsia="Palatino Linotype" w:hAnsi="Palatino Linotype" w:cs="Palatino Linotype"/>
          <w:i/>
          <w:color w:val="000000" w:themeColor="text1"/>
          <w:sz w:val="24"/>
          <w:szCs w:val="24"/>
        </w:rPr>
        <w:t xml:space="preserve">;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 xml:space="preserve">XVIII. Expedir copias certificadas de los documentos a su cuidado, por acuerdo expreso del Ayuntamiento y cuando se trate de documentación presentada ante el Órgano Superior de Fiscalización del Estado de México;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 xml:space="preserve">XIX. Recaudar y administrar los ingresos que se deriven de la suscripción de convenios, acuerdos o la emisión de declaratorias de coordinación; los relativos a las transferencias otorgadas a favor del </w:t>
      </w:r>
      <w:r w:rsidRPr="00C50BBE">
        <w:rPr>
          <w:rFonts w:ascii="Palatino Linotype" w:eastAsia="Palatino Linotype" w:hAnsi="Palatino Linotype" w:cs="Palatino Linotype"/>
          <w:i/>
          <w:color w:val="000000" w:themeColor="text1"/>
          <w:sz w:val="24"/>
          <w:szCs w:val="24"/>
        </w:rPr>
        <w:lastRenderedPageBreak/>
        <w:t xml:space="preserve">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XX. Dar cumplimiento a las leyes, convenios de coordinación fiscal y demás que en materia hacendaria celebre el Ayuntamiento con el Estado;</w:t>
      </w:r>
      <w:r w:rsidRPr="00C50BBE">
        <w:rPr>
          <w:rFonts w:ascii="Palatino Linotype" w:eastAsia="Palatino Linotype" w:hAnsi="Palatino Linotype" w:cs="Palatino Linotype"/>
          <w:color w:val="000000" w:themeColor="text1"/>
          <w:sz w:val="24"/>
          <w:szCs w:val="24"/>
        </w:rPr>
        <w:t xml:space="preserve">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 xml:space="preserve">XXI. Entregar oportunamente a él o los Síndicos, según sea el caso, el informe mensual que corresponda, a fin de que se revise, y de ser necesario, para que se formulen las observaciones respectivas.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XXII. Las que les señalen las demás disposiciones legales y el ayuntamiento.</w:t>
      </w:r>
    </w:p>
    <w:p w:rsidR="008B18C3" w:rsidRPr="00C50BBE" w:rsidRDefault="008B18C3" w:rsidP="006C23FC">
      <w:pPr>
        <w:spacing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De lo anterior, se observa que la Tesorería Municipal, es el área encargada de administrar la hacienda pública municipal, de conformidad con las disposiciones legales aplicables, así como de atender la solicitudes o pliegos de información de información que le requiera el Órgano Superior de Fiscalización del Estado de México al Municipio y así como la entrega oportuna al Síndico Municipal del informe mensual que se remite al Órgano Superior de Fiscalización del Estado de México. </w:t>
      </w:r>
    </w:p>
    <w:p w:rsidR="008B18C3" w:rsidRPr="00C50BBE" w:rsidRDefault="008B18C3" w:rsidP="006C23FC">
      <w:pPr>
        <w:spacing w:after="0"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En esa línea de estudio, se debe de señalar que la información solicitada por parte del </w:t>
      </w:r>
      <w:r w:rsidRPr="00C50BBE">
        <w:rPr>
          <w:rFonts w:ascii="Palatino Linotype" w:eastAsia="Palatino Linotype" w:hAnsi="Palatino Linotype" w:cs="Palatino Linotype"/>
          <w:b/>
          <w:color w:val="000000" w:themeColor="text1"/>
          <w:sz w:val="24"/>
          <w:szCs w:val="24"/>
        </w:rPr>
        <w:t xml:space="preserve">RECURRENTE </w:t>
      </w:r>
      <w:r w:rsidRPr="00C50BBE">
        <w:rPr>
          <w:rFonts w:ascii="Palatino Linotype" w:eastAsia="Palatino Linotype" w:hAnsi="Palatino Linotype" w:cs="Palatino Linotype"/>
          <w:color w:val="000000" w:themeColor="text1"/>
          <w:sz w:val="24"/>
          <w:szCs w:val="24"/>
        </w:rPr>
        <w:t xml:space="preserve">forma parte de la información de las obligaciones de transparencia común de conformidad con el artículo 92 de la Ley de Transparencia y Acceso a la Información Pública del Estado de México y Municipios. </w:t>
      </w:r>
    </w:p>
    <w:p w:rsidR="008B18C3" w:rsidRPr="00C50BBE" w:rsidRDefault="0059651D" w:rsidP="006C23FC">
      <w:pP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b/>
          <w:i/>
          <w:color w:val="000000" w:themeColor="text1"/>
          <w:sz w:val="24"/>
          <w:szCs w:val="24"/>
        </w:rPr>
        <w:t>Artículo 92.</w:t>
      </w:r>
      <w:r w:rsidRPr="00C50BBE">
        <w:rPr>
          <w:rFonts w:ascii="Palatino Linotype" w:eastAsia="Palatino Linotype" w:hAnsi="Palatino Linotype" w:cs="Palatino Linotype"/>
          <w:i/>
          <w:color w:val="000000" w:themeColor="text1"/>
          <w:sz w:val="24"/>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B18C3" w:rsidRPr="00C50BBE" w:rsidRDefault="0059651D" w:rsidP="006C23FC">
      <w:pPr>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lastRenderedPageBreak/>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8B18C3" w:rsidRPr="00C50BBE" w:rsidRDefault="008B18C3" w:rsidP="006C23FC">
      <w:pPr>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C50BBE">
        <w:rPr>
          <w:rFonts w:ascii="Palatino Linotype" w:eastAsia="Palatino Linotype" w:hAnsi="Palatino Linotype" w:cs="Palatino Linotype"/>
          <w:i/>
          <w:color w:val="000000" w:themeColor="text1"/>
          <w:sz w:val="24"/>
          <w:szCs w:val="24"/>
        </w:rPr>
        <w:t xml:space="preserve">en el ámbito de sus atribuciones, de promover, respetar, proteger y </w:t>
      </w:r>
      <w:r w:rsidRPr="00C50BBE">
        <w:rPr>
          <w:rFonts w:ascii="Palatino Linotype" w:eastAsia="Palatino Linotype" w:hAnsi="Palatino Linotype" w:cs="Palatino Linotype"/>
          <w:b/>
          <w:i/>
          <w:color w:val="000000" w:themeColor="text1"/>
          <w:sz w:val="24"/>
          <w:szCs w:val="24"/>
        </w:rPr>
        <w:t>garantizar</w:t>
      </w:r>
      <w:r w:rsidRPr="00C50BBE">
        <w:rPr>
          <w:rFonts w:ascii="Palatino Linotype" w:eastAsia="Palatino Linotype" w:hAnsi="Palatino Linotype" w:cs="Palatino Linotype"/>
          <w:i/>
          <w:color w:val="000000" w:themeColor="text1"/>
          <w:sz w:val="24"/>
          <w:szCs w:val="24"/>
        </w:rPr>
        <w:t xml:space="preserve"> los derechos humanos. </w:t>
      </w:r>
      <w:r w:rsidRPr="00C50BBE">
        <w:rPr>
          <w:rFonts w:ascii="Palatino Linotype" w:eastAsia="Palatino Linotype" w:hAnsi="Palatino Linotype" w:cs="Palatino Linotype"/>
          <w:b/>
          <w:i/>
          <w:color w:val="000000" w:themeColor="text1"/>
          <w:sz w:val="24"/>
          <w:szCs w:val="24"/>
        </w:rPr>
        <w:t>En cuanto al derecho de acceso a la información, la Ley de Transparencia y Acceso a la Información Pública del Estado de México y Municipios prevé establece que e</w:t>
      </w:r>
      <w:r w:rsidRPr="00C50BBE">
        <w:rPr>
          <w:rFonts w:ascii="Palatino Linotype" w:eastAsia="Palatino Linotype" w:hAnsi="Palatino Linotype" w:cs="Palatino Linotype"/>
          <w:i/>
          <w:color w:val="000000" w:themeColor="text1"/>
          <w:sz w:val="24"/>
          <w:szCs w:val="24"/>
        </w:rPr>
        <w:t>l procedimiento de acceso a la información es la garantía primaria del derecho en cuestión y se rige por los principios de simplicidad, rapidez y gratuidad del procedimiento, auxilio y orientación a los particulares</w:t>
      </w:r>
      <w:r w:rsidRPr="00C50BBE">
        <w:rPr>
          <w:rFonts w:ascii="Palatino Linotype" w:eastAsia="Palatino Linotype" w:hAnsi="Palatino Linotype" w:cs="Palatino Linotype"/>
          <w:i/>
          <w:color w:val="000000" w:themeColor="text1"/>
          <w:sz w:val="24"/>
          <w:szCs w:val="24"/>
          <w:vertAlign w:val="superscript"/>
        </w:rPr>
        <w:footnoteReference w:id="1"/>
      </w:r>
      <w:r w:rsidRPr="00C50BBE">
        <w:rPr>
          <w:rFonts w:ascii="Palatino Linotype" w:eastAsia="Palatino Linotype" w:hAnsi="Palatino Linotype" w:cs="Palatino Linotype"/>
          <w:i/>
          <w:color w:val="000000" w:themeColor="text1"/>
          <w:sz w:val="24"/>
          <w:szCs w:val="24"/>
        </w:rPr>
        <w:t xml:space="preserve">, </w:t>
      </w:r>
      <w:r w:rsidRPr="00C50BBE">
        <w:rPr>
          <w:rFonts w:ascii="Palatino Linotype" w:eastAsia="Palatino Linotype" w:hAnsi="Palatino Linotype" w:cs="Palatino Linotype"/>
          <w:color w:val="000000" w:themeColor="text1"/>
          <w:sz w:val="24"/>
          <w:szCs w:val="24"/>
        </w:rPr>
        <w:t>asimismo establece</w:t>
      </w:r>
      <w:r w:rsidRPr="00C50BBE">
        <w:rPr>
          <w:rFonts w:ascii="Palatino Linotype" w:eastAsia="Palatino Linotype" w:hAnsi="Palatino Linotype" w:cs="Palatino Linotype"/>
          <w:i/>
          <w:color w:val="000000" w:themeColor="text1"/>
          <w:sz w:val="24"/>
          <w:szCs w:val="24"/>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8B18C3" w:rsidRPr="00C50BBE" w:rsidRDefault="008B18C3" w:rsidP="006C23FC">
      <w:pPr>
        <w:spacing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w:t>
      </w:r>
      <w:r w:rsidRPr="00C50BBE">
        <w:rPr>
          <w:rFonts w:ascii="Palatino Linotype" w:eastAsia="Palatino Linotype" w:hAnsi="Palatino Linotype" w:cs="Palatino Linotype"/>
          <w:color w:val="000000" w:themeColor="text1"/>
          <w:sz w:val="24"/>
          <w:szCs w:val="24"/>
        </w:rPr>
        <w:lastRenderedPageBreak/>
        <w:t>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8B18C3" w:rsidRPr="00C50BBE" w:rsidRDefault="0059651D" w:rsidP="006C23FC">
      <w:pP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b/>
          <w:i/>
          <w:color w:val="000000" w:themeColor="text1"/>
          <w:sz w:val="24"/>
          <w:szCs w:val="24"/>
        </w:rPr>
        <w:t xml:space="preserve">“NÓMINA </w:t>
      </w:r>
      <w:r w:rsidRPr="00C50BBE">
        <w:rPr>
          <w:rFonts w:ascii="Palatino Linotype" w:eastAsia="Palatino Linotype" w:hAnsi="Palatino Linotype" w:cs="Palatino Linotype"/>
          <w:i/>
          <w:color w:val="000000" w:themeColor="text1"/>
          <w:sz w:val="24"/>
          <w:szCs w:val="24"/>
        </w:rPr>
        <w:t>Listado general de los trabajadores de una institución, en</w:t>
      </w:r>
      <w:r w:rsidRPr="00C50BBE">
        <w:rPr>
          <w:rFonts w:ascii="Palatino Linotype" w:eastAsia="Palatino Linotype" w:hAnsi="Palatino Linotype" w:cs="Palatino Linotype"/>
          <w:b/>
          <w:i/>
          <w:color w:val="000000" w:themeColor="text1"/>
          <w:sz w:val="24"/>
          <w:szCs w:val="24"/>
        </w:rPr>
        <w:t xml:space="preserve"> </w:t>
      </w:r>
      <w:r w:rsidRPr="00C50BBE">
        <w:rPr>
          <w:rFonts w:ascii="Palatino Linotype" w:eastAsia="Palatino Linotype" w:hAnsi="Palatino Linotype" w:cs="Palatino Linotype"/>
          <w:i/>
          <w:color w:val="000000" w:themeColor="text1"/>
          <w:sz w:val="24"/>
          <w:szCs w:val="24"/>
        </w:rPr>
        <w:t>el cual se asientan las percepciones brutas, deducciones y</w:t>
      </w:r>
      <w:r w:rsidRPr="00C50BBE">
        <w:rPr>
          <w:rFonts w:ascii="Palatino Linotype" w:eastAsia="Palatino Linotype" w:hAnsi="Palatino Linotype" w:cs="Palatino Linotype"/>
          <w:b/>
          <w:i/>
          <w:color w:val="000000" w:themeColor="text1"/>
          <w:sz w:val="24"/>
          <w:szCs w:val="24"/>
        </w:rPr>
        <w:t xml:space="preserve"> </w:t>
      </w:r>
      <w:r w:rsidRPr="00C50BBE">
        <w:rPr>
          <w:rFonts w:ascii="Palatino Linotype" w:eastAsia="Palatino Linotype" w:hAnsi="Palatino Linotype" w:cs="Palatino Linotype"/>
          <w:i/>
          <w:color w:val="000000" w:themeColor="text1"/>
          <w:sz w:val="24"/>
          <w:szCs w:val="24"/>
        </w:rPr>
        <w:t>alcance neto de las mismas; la nómina es utilizada para</w:t>
      </w:r>
      <w:r w:rsidRPr="00C50BBE">
        <w:rPr>
          <w:rFonts w:ascii="Palatino Linotype" w:eastAsia="Palatino Linotype" w:hAnsi="Palatino Linotype" w:cs="Palatino Linotype"/>
          <w:b/>
          <w:i/>
          <w:color w:val="000000" w:themeColor="text1"/>
          <w:sz w:val="24"/>
          <w:szCs w:val="24"/>
        </w:rPr>
        <w:t xml:space="preserve"> </w:t>
      </w:r>
      <w:r w:rsidRPr="00C50BBE">
        <w:rPr>
          <w:rFonts w:ascii="Palatino Linotype" w:eastAsia="Palatino Linotype" w:hAnsi="Palatino Linotype" w:cs="Palatino Linotype"/>
          <w:i/>
          <w:color w:val="000000" w:themeColor="text1"/>
          <w:sz w:val="24"/>
          <w:szCs w:val="24"/>
        </w:rPr>
        <w:t>efectuar los pagos periódicos (semanales, quincenales o</w:t>
      </w:r>
      <w:r w:rsidRPr="00C50BBE">
        <w:rPr>
          <w:rFonts w:ascii="Palatino Linotype" w:eastAsia="Palatino Linotype" w:hAnsi="Palatino Linotype" w:cs="Palatino Linotype"/>
          <w:b/>
          <w:i/>
          <w:color w:val="000000" w:themeColor="text1"/>
          <w:sz w:val="24"/>
          <w:szCs w:val="24"/>
        </w:rPr>
        <w:t xml:space="preserve"> </w:t>
      </w:r>
      <w:r w:rsidRPr="00C50BBE">
        <w:rPr>
          <w:rFonts w:ascii="Palatino Linotype" w:eastAsia="Palatino Linotype" w:hAnsi="Palatino Linotype" w:cs="Palatino Linotype"/>
          <w:i/>
          <w:color w:val="000000" w:themeColor="text1"/>
          <w:sz w:val="24"/>
          <w:szCs w:val="24"/>
        </w:rPr>
        <w:t>mensuales) a los trabajadores por concepto de sueldos y</w:t>
      </w:r>
      <w:r w:rsidRPr="00C50BBE">
        <w:rPr>
          <w:rFonts w:ascii="Palatino Linotype" w:eastAsia="Palatino Linotype" w:hAnsi="Palatino Linotype" w:cs="Palatino Linotype"/>
          <w:b/>
          <w:i/>
          <w:color w:val="000000" w:themeColor="text1"/>
          <w:sz w:val="24"/>
          <w:szCs w:val="24"/>
        </w:rPr>
        <w:t xml:space="preserve"> </w:t>
      </w:r>
      <w:r w:rsidRPr="00C50BBE">
        <w:rPr>
          <w:rFonts w:ascii="Palatino Linotype" w:eastAsia="Palatino Linotype" w:hAnsi="Palatino Linotype" w:cs="Palatino Linotype"/>
          <w:i/>
          <w:color w:val="000000" w:themeColor="text1"/>
          <w:sz w:val="24"/>
          <w:szCs w:val="24"/>
        </w:rPr>
        <w:t>salarios.”(Sic)</w:t>
      </w:r>
    </w:p>
    <w:p w:rsidR="008B18C3" w:rsidRPr="00C50BBE" w:rsidRDefault="008B18C3" w:rsidP="006C23FC">
      <w:pPr>
        <w:spacing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En base a lo anterior, conviene a traer lo establecido por el artículo 804, fracción II, de la Ley Federal de Trabajo, el cual a la letra establece: </w:t>
      </w:r>
    </w:p>
    <w:p w:rsidR="008B18C3" w:rsidRPr="00C50BBE" w:rsidRDefault="0059651D" w:rsidP="006C23FC">
      <w:pP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w:t>
      </w:r>
      <w:r w:rsidRPr="00C50BBE">
        <w:rPr>
          <w:rFonts w:ascii="Palatino Linotype" w:eastAsia="Palatino Linotype" w:hAnsi="Palatino Linotype" w:cs="Palatino Linotype"/>
          <w:b/>
          <w:i/>
          <w:color w:val="000000" w:themeColor="text1"/>
          <w:sz w:val="24"/>
          <w:szCs w:val="24"/>
        </w:rPr>
        <w:t>Artículo 804.-</w:t>
      </w:r>
      <w:r w:rsidRPr="00C50BBE">
        <w:rPr>
          <w:rFonts w:ascii="Palatino Linotype" w:eastAsia="Palatino Linotype" w:hAnsi="Palatino Linotype" w:cs="Palatino Linotype"/>
          <w:i/>
          <w:color w:val="000000" w:themeColor="text1"/>
          <w:sz w:val="24"/>
          <w:szCs w:val="24"/>
        </w:rPr>
        <w:t xml:space="preserve"> </w:t>
      </w:r>
      <w:r w:rsidRPr="00C50BBE">
        <w:rPr>
          <w:rFonts w:ascii="Palatino Linotype" w:eastAsia="Palatino Linotype" w:hAnsi="Palatino Linotype" w:cs="Palatino Linotype"/>
          <w:b/>
          <w:i/>
          <w:color w:val="000000" w:themeColor="text1"/>
          <w:sz w:val="24"/>
          <w:szCs w:val="24"/>
        </w:rPr>
        <w:t>El patrón tiene obligación de conservar y exhibir en juicio los documentos que a continuación se precisan</w:t>
      </w:r>
      <w:r w:rsidRPr="00C50BBE">
        <w:rPr>
          <w:rFonts w:ascii="Palatino Linotype" w:eastAsia="Palatino Linotype" w:hAnsi="Palatino Linotype" w:cs="Palatino Linotype"/>
          <w:i/>
          <w:color w:val="000000" w:themeColor="text1"/>
          <w:sz w:val="24"/>
          <w:szCs w:val="24"/>
        </w:rPr>
        <w:t>:</w:t>
      </w:r>
    </w:p>
    <w:p w:rsidR="008B18C3" w:rsidRPr="00C50BBE" w:rsidRDefault="008B18C3" w:rsidP="006C23FC">
      <w:pPr>
        <w:jc w:val="both"/>
        <w:rPr>
          <w:rFonts w:ascii="Palatino Linotype" w:eastAsia="Palatino Linotype" w:hAnsi="Palatino Linotype" w:cs="Palatino Linotype"/>
          <w:i/>
          <w:color w:val="000000" w:themeColor="text1"/>
          <w:sz w:val="24"/>
          <w:szCs w:val="24"/>
        </w:rPr>
      </w:pPr>
    </w:p>
    <w:p w:rsidR="008B18C3" w:rsidRPr="00C50BBE" w:rsidRDefault="0059651D" w:rsidP="006C23FC">
      <w:pPr>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II.</w:t>
      </w:r>
      <w:r w:rsidRPr="00C50BBE">
        <w:rPr>
          <w:rFonts w:ascii="Palatino Linotype" w:eastAsia="Palatino Linotype" w:hAnsi="Palatino Linotype" w:cs="Palatino Linotype"/>
          <w:i/>
          <w:color w:val="000000" w:themeColor="text1"/>
          <w:sz w:val="24"/>
          <w:szCs w:val="24"/>
        </w:rPr>
        <w:t xml:space="preserve"> </w:t>
      </w:r>
      <w:r w:rsidRPr="00C50BBE">
        <w:rPr>
          <w:rFonts w:ascii="Palatino Linotype" w:eastAsia="Palatino Linotype" w:hAnsi="Palatino Linotype" w:cs="Palatino Linotype"/>
          <w:b/>
          <w:i/>
          <w:color w:val="000000" w:themeColor="text1"/>
          <w:sz w:val="24"/>
          <w:szCs w:val="24"/>
        </w:rPr>
        <w:t>Listas de raya o nómina de personal</w:t>
      </w:r>
      <w:r w:rsidRPr="00C50BBE">
        <w:rPr>
          <w:rFonts w:ascii="Palatino Linotype" w:eastAsia="Palatino Linotype" w:hAnsi="Palatino Linotype" w:cs="Palatino Linotype"/>
          <w:i/>
          <w:color w:val="000000" w:themeColor="text1"/>
          <w:sz w:val="24"/>
          <w:szCs w:val="24"/>
        </w:rPr>
        <w:t xml:space="preserve">, </w:t>
      </w:r>
      <w:r w:rsidRPr="00C50BBE">
        <w:rPr>
          <w:rFonts w:ascii="Palatino Linotype" w:eastAsia="Palatino Linotype" w:hAnsi="Palatino Linotype" w:cs="Palatino Linotype"/>
          <w:b/>
          <w:i/>
          <w:color w:val="000000" w:themeColor="text1"/>
          <w:sz w:val="24"/>
          <w:szCs w:val="24"/>
        </w:rPr>
        <w:t xml:space="preserve">cuando se lleven en el centro de trabajo; o recibos de pagos de salarios; </w:t>
      </w:r>
    </w:p>
    <w:p w:rsidR="008B18C3" w:rsidRPr="00C50BBE" w:rsidRDefault="0059651D" w:rsidP="006C23FC">
      <w:pP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w:t>
      </w:r>
    </w:p>
    <w:p w:rsidR="008B18C3" w:rsidRPr="00C50BBE" w:rsidRDefault="0059651D" w:rsidP="006C23FC">
      <w:pP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 xml:space="preserve">Los documentos señalados en la fracción I deberán conservarse mientras dure la relación laboral y hasta un año después; </w:t>
      </w:r>
      <w:r w:rsidRPr="00C50BBE">
        <w:rPr>
          <w:rFonts w:ascii="Palatino Linotype" w:eastAsia="Palatino Linotype" w:hAnsi="Palatino Linotype" w:cs="Palatino Linotype"/>
          <w:b/>
          <w:i/>
          <w:color w:val="000000" w:themeColor="text1"/>
          <w:sz w:val="24"/>
          <w:szCs w:val="24"/>
        </w:rPr>
        <w:t>los señalados en las fracciones II, III y IV, durante el último año y un año después de que se extinga la relación laboral</w:t>
      </w:r>
      <w:r w:rsidRPr="00C50BBE">
        <w:rPr>
          <w:rFonts w:ascii="Palatino Linotype" w:eastAsia="Palatino Linotype" w:hAnsi="Palatino Linotype" w:cs="Palatino Linotype"/>
          <w:i/>
          <w:color w:val="000000" w:themeColor="text1"/>
          <w:sz w:val="24"/>
          <w:szCs w:val="24"/>
        </w:rPr>
        <w:t>; y los mencionados en la fracción V, conforme lo señalen las Leyes que los rijan.” (Sic)</w:t>
      </w:r>
    </w:p>
    <w:p w:rsidR="008B18C3" w:rsidRPr="00C50BBE" w:rsidRDefault="008B18C3" w:rsidP="006C23FC">
      <w:pPr>
        <w:jc w:val="both"/>
        <w:rPr>
          <w:rFonts w:ascii="Palatino Linotype" w:eastAsia="Palatino Linotype" w:hAnsi="Palatino Linotype" w:cs="Palatino Linotype"/>
          <w:i/>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lastRenderedPageBreak/>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8B18C3" w:rsidRPr="00C50BBE" w:rsidRDefault="008B18C3" w:rsidP="006C23FC">
      <w:pPr>
        <w:spacing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En ese contexto, tratándose de servidores públicos de los Municipios la Ley del Trabajo de los Servidores Públicos del Estado y Municipios, en su artículo 220-K, establece lo siguiente:</w:t>
      </w:r>
    </w:p>
    <w:p w:rsidR="008B18C3" w:rsidRPr="00C50BBE" w:rsidRDefault="0059651D" w:rsidP="006C23FC">
      <w:pPr>
        <w:tabs>
          <w:tab w:val="left" w:pos="9072"/>
        </w:tabs>
        <w:spacing w:before="240"/>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b/>
          <w:i/>
          <w:color w:val="000000" w:themeColor="text1"/>
          <w:sz w:val="24"/>
          <w:szCs w:val="24"/>
        </w:rPr>
        <w:t>“ARTÍCULO 220 K.-</w:t>
      </w:r>
      <w:r w:rsidRPr="00C50BBE">
        <w:rPr>
          <w:rFonts w:ascii="Palatino Linotype" w:eastAsia="Palatino Linotype" w:hAnsi="Palatino Linotype" w:cs="Palatino Linotype"/>
          <w:i/>
          <w:color w:val="000000" w:themeColor="text1"/>
          <w:sz w:val="24"/>
          <w:szCs w:val="24"/>
        </w:rPr>
        <w:t xml:space="preserve"> La </w:t>
      </w:r>
      <w:r w:rsidRPr="00C50BBE">
        <w:rPr>
          <w:rFonts w:ascii="Palatino Linotype" w:eastAsia="Palatino Linotype" w:hAnsi="Palatino Linotype" w:cs="Palatino Linotype"/>
          <w:b/>
          <w:i/>
          <w:color w:val="000000" w:themeColor="text1"/>
          <w:sz w:val="24"/>
          <w:szCs w:val="24"/>
        </w:rPr>
        <w:t>institución o dependencia pública tiene la obligación de conservar y exhibir en el proceso los documentos que a continuación</w:t>
      </w:r>
      <w:r w:rsidRPr="00C50BBE">
        <w:rPr>
          <w:rFonts w:ascii="Palatino Linotype" w:eastAsia="Palatino Linotype" w:hAnsi="Palatino Linotype" w:cs="Palatino Linotype"/>
          <w:i/>
          <w:color w:val="000000" w:themeColor="text1"/>
          <w:sz w:val="24"/>
          <w:szCs w:val="24"/>
        </w:rPr>
        <w:t xml:space="preserve"> </w:t>
      </w:r>
      <w:r w:rsidRPr="00C50BBE">
        <w:rPr>
          <w:rFonts w:ascii="Palatino Linotype" w:eastAsia="Palatino Linotype" w:hAnsi="Palatino Linotype" w:cs="Palatino Linotype"/>
          <w:b/>
          <w:i/>
          <w:color w:val="000000" w:themeColor="text1"/>
          <w:sz w:val="24"/>
          <w:szCs w:val="24"/>
        </w:rPr>
        <w:t>se precisan</w:t>
      </w:r>
      <w:r w:rsidRPr="00C50BBE">
        <w:rPr>
          <w:rFonts w:ascii="Palatino Linotype" w:eastAsia="Palatino Linotype" w:hAnsi="Palatino Linotype" w:cs="Palatino Linotype"/>
          <w:i/>
          <w:color w:val="000000" w:themeColor="text1"/>
          <w:sz w:val="24"/>
          <w:szCs w:val="24"/>
        </w:rPr>
        <w:t>:</w:t>
      </w:r>
    </w:p>
    <w:p w:rsidR="008B18C3" w:rsidRPr="00C50BBE" w:rsidRDefault="0059651D" w:rsidP="006C23FC">
      <w:pPr>
        <w:tabs>
          <w:tab w:val="left" w:pos="9072"/>
        </w:tabs>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w:t>
      </w:r>
    </w:p>
    <w:p w:rsidR="008B18C3" w:rsidRPr="00C50BBE" w:rsidRDefault="0059651D" w:rsidP="006C23FC">
      <w:pPr>
        <w:tabs>
          <w:tab w:val="left" w:pos="9072"/>
        </w:tabs>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i/>
          <w:color w:val="000000" w:themeColor="text1"/>
          <w:sz w:val="24"/>
          <w:szCs w:val="24"/>
        </w:rPr>
        <w:t xml:space="preserve">II. </w:t>
      </w:r>
      <w:r w:rsidRPr="00C50BBE">
        <w:rPr>
          <w:rFonts w:ascii="Palatino Linotype" w:eastAsia="Palatino Linotype" w:hAnsi="Palatino Linotype" w:cs="Palatino Linotype"/>
          <w:b/>
          <w:i/>
          <w:color w:val="000000" w:themeColor="text1"/>
          <w:sz w:val="24"/>
          <w:szCs w:val="24"/>
        </w:rPr>
        <w:t>Recibos de pagos de salarios o</w:t>
      </w:r>
      <w:r w:rsidRPr="00C50BBE">
        <w:rPr>
          <w:rFonts w:ascii="Palatino Linotype" w:eastAsia="Palatino Linotype" w:hAnsi="Palatino Linotype" w:cs="Palatino Linotype"/>
          <w:i/>
          <w:color w:val="000000" w:themeColor="text1"/>
          <w:sz w:val="24"/>
          <w:szCs w:val="24"/>
        </w:rPr>
        <w:t xml:space="preserve"> </w:t>
      </w:r>
      <w:r w:rsidRPr="00C50BBE">
        <w:rPr>
          <w:rFonts w:ascii="Palatino Linotype" w:eastAsia="Palatino Linotype" w:hAnsi="Palatino Linotype" w:cs="Palatino Linotype"/>
          <w:b/>
          <w:i/>
          <w:color w:val="000000" w:themeColor="text1"/>
          <w:sz w:val="24"/>
          <w:szCs w:val="24"/>
        </w:rPr>
        <w:t>las constancias documentales del pago de salario</w:t>
      </w:r>
      <w:r w:rsidRPr="00C50BBE">
        <w:rPr>
          <w:rFonts w:ascii="Palatino Linotype" w:eastAsia="Palatino Linotype" w:hAnsi="Palatino Linotype" w:cs="Palatino Linotype"/>
          <w:i/>
          <w:color w:val="000000" w:themeColor="text1"/>
          <w:sz w:val="24"/>
          <w:szCs w:val="24"/>
        </w:rPr>
        <w:t xml:space="preserve"> </w:t>
      </w:r>
      <w:r w:rsidRPr="00C50BBE">
        <w:rPr>
          <w:rFonts w:ascii="Palatino Linotype" w:eastAsia="Palatino Linotype" w:hAnsi="Palatino Linotype" w:cs="Palatino Linotype"/>
          <w:b/>
          <w:i/>
          <w:color w:val="000000" w:themeColor="text1"/>
          <w:sz w:val="24"/>
          <w:szCs w:val="24"/>
        </w:rPr>
        <w:t xml:space="preserve">cuando </w:t>
      </w:r>
      <w:r w:rsidRPr="00C50BBE">
        <w:rPr>
          <w:rFonts w:ascii="Palatino Linotype" w:eastAsia="Palatino Linotype" w:hAnsi="Palatino Linotype" w:cs="Palatino Linotype"/>
          <w:b/>
          <w:i/>
          <w:color w:val="000000" w:themeColor="text1"/>
          <w:sz w:val="24"/>
          <w:szCs w:val="24"/>
          <w:u w:val="single"/>
        </w:rPr>
        <w:t>sea por depósito o mediante información electrónica</w:t>
      </w:r>
      <w:r w:rsidRPr="00C50BBE">
        <w:rPr>
          <w:rFonts w:ascii="Palatino Linotype" w:eastAsia="Palatino Linotype" w:hAnsi="Palatino Linotype" w:cs="Palatino Linotype"/>
          <w:b/>
          <w:i/>
          <w:color w:val="000000" w:themeColor="text1"/>
          <w:sz w:val="24"/>
          <w:szCs w:val="24"/>
        </w:rPr>
        <w:t>;</w:t>
      </w:r>
    </w:p>
    <w:p w:rsidR="008B18C3" w:rsidRPr="00C50BBE" w:rsidRDefault="0059651D" w:rsidP="006C23FC">
      <w:pPr>
        <w:tabs>
          <w:tab w:val="left" w:pos="9072"/>
        </w:tabs>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w:t>
      </w:r>
    </w:p>
    <w:p w:rsidR="008B18C3" w:rsidRPr="00C50BBE" w:rsidRDefault="0059651D" w:rsidP="006C23FC">
      <w:pPr>
        <w:tabs>
          <w:tab w:val="left" w:pos="9072"/>
        </w:tabs>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8B18C3" w:rsidRPr="00C50BBE" w:rsidRDefault="0059651D" w:rsidP="006C23FC">
      <w:pPr>
        <w:tabs>
          <w:tab w:val="left" w:pos="9072"/>
        </w:tabs>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8B18C3" w:rsidRPr="00C50BBE" w:rsidRDefault="008B18C3" w:rsidP="006C23FC">
      <w:pPr>
        <w:tabs>
          <w:tab w:val="left" w:pos="9072"/>
        </w:tabs>
        <w:jc w:val="both"/>
        <w:rPr>
          <w:rFonts w:ascii="Palatino Linotype" w:eastAsia="Palatino Linotype" w:hAnsi="Palatino Linotype" w:cs="Palatino Linotype"/>
          <w:i/>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Luego entonces, tenemos que toda institución o dependencia pública del Estado de México debe conservar las constancias documentales del pago de salario cuando sea por </w:t>
      </w:r>
      <w:r w:rsidRPr="00C50BBE">
        <w:rPr>
          <w:rFonts w:ascii="Palatino Linotype" w:eastAsia="Palatino Linotype" w:hAnsi="Palatino Linotype" w:cs="Palatino Linotype"/>
          <w:color w:val="000000" w:themeColor="text1"/>
          <w:sz w:val="24"/>
          <w:szCs w:val="24"/>
        </w:rPr>
        <w:lastRenderedPageBreak/>
        <w:t>depósito o mediante información electrónica, debiendo conservar dicha documentación durante el último año y un año después de que se extinga la relación laboral a través de los sistemas de digitalización o de información magnética o electrónica.</w:t>
      </w:r>
    </w:p>
    <w:p w:rsidR="008B18C3" w:rsidRPr="00C50BBE" w:rsidRDefault="008B18C3" w:rsidP="006C23FC">
      <w:pPr>
        <w:spacing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Una vez precisado lo que antecede, es necesario analizar la Ley de Fiscalización Superior del Estado de México, toda vez que señala que los municipios que conforman el Estado de México, entre ellos el </w:t>
      </w:r>
      <w:r w:rsidRPr="00C50BBE">
        <w:rPr>
          <w:rFonts w:ascii="Palatino Linotype" w:eastAsia="Palatino Linotype" w:hAnsi="Palatino Linotype" w:cs="Palatino Linotype"/>
          <w:b/>
          <w:color w:val="000000" w:themeColor="text1"/>
          <w:sz w:val="24"/>
          <w:szCs w:val="24"/>
        </w:rPr>
        <w:t>SUJETO OBLIGADO</w:t>
      </w:r>
      <w:r w:rsidRPr="00C50BBE">
        <w:rPr>
          <w:rFonts w:ascii="Palatino Linotype" w:eastAsia="Palatino Linotype" w:hAnsi="Palatino Linotype" w:cs="Palatino Linotype"/>
          <w:color w:val="000000" w:themeColor="text1"/>
          <w:sz w:val="24"/>
          <w:szCs w:val="24"/>
        </w:rPr>
        <w:t>, es considerado como ente fiscalizable, como así lo señala el artículo 4 fracción II de la Ley de Fiscalización Superior del Estado de México, el cual señala:</w:t>
      </w:r>
    </w:p>
    <w:p w:rsidR="008B18C3" w:rsidRPr="00C50BBE" w:rsidRDefault="0059651D" w:rsidP="006C23FC">
      <w:pPr>
        <w:spacing w:before="240"/>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Artículo 4.- Son sujetos de fiscalización:</w:t>
      </w:r>
    </w:p>
    <w:p w:rsidR="008B18C3" w:rsidRPr="00C50BBE" w:rsidRDefault="0059651D" w:rsidP="00B647F1">
      <w:pPr>
        <w:numPr>
          <w:ilvl w:val="1"/>
          <w:numId w:val="1"/>
        </w:numPr>
        <w:pBdr>
          <w:top w:val="nil"/>
          <w:left w:val="nil"/>
          <w:bottom w:val="nil"/>
          <w:right w:val="nil"/>
          <w:between w:val="nil"/>
        </w:pBdr>
        <w:spacing w:before="240" w:after="0" w:line="240" w:lineRule="auto"/>
        <w:ind w:left="0" w:firstLine="0"/>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 xml:space="preserve">Los Poderes Públicos del Estado;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 xml:space="preserve">II. Los municipios del Estado de México;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 xml:space="preserve">III. Los organismos autónomos;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 xml:space="preserve">IV. Los organismos auxiliares;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V. Los fideicomisos previstos en el artículo 3 fracción XVII del Código Financiero del Estado de México y Municipios, y aquellos que manejen recursos del Estado, Municipios, o en su caso provenientes de la federación;</w:t>
      </w:r>
      <w:r w:rsidRPr="00C50BBE">
        <w:rPr>
          <w:rFonts w:ascii="Palatino Linotype" w:eastAsia="Palatino Linotype" w:hAnsi="Palatino Linotype" w:cs="Palatino Linotype"/>
          <w:color w:val="000000" w:themeColor="text1"/>
          <w:sz w:val="24"/>
          <w:szCs w:val="24"/>
        </w:rPr>
        <w:t xml:space="preserve"> </w:t>
      </w:r>
    </w:p>
    <w:p w:rsidR="008B18C3" w:rsidRPr="00C50BBE" w:rsidRDefault="0059651D" w:rsidP="006C23FC">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8B18C3" w:rsidRPr="00C50BBE" w:rsidRDefault="008B18C3" w:rsidP="006C23FC">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Establecido lo anterior, el Órgano Superior de Fiscalización del Estado de México (OSFEM), emite anualmente una herramienta para elaborar y presentar los informes trimestrales, denominado “Políticas para la Integración del Informe Trimestral de los Sujetos </w:t>
      </w:r>
      <w:r w:rsidRPr="00C50BBE">
        <w:rPr>
          <w:rFonts w:ascii="Palatino Linotype" w:eastAsia="Palatino Linotype" w:hAnsi="Palatino Linotype" w:cs="Palatino Linotype"/>
          <w:color w:val="000000" w:themeColor="text1"/>
          <w:sz w:val="24"/>
          <w:szCs w:val="24"/>
        </w:rPr>
        <w:lastRenderedPageBreak/>
        <w:t>de Fiscalización Municipales”, cuyo objetivo es establecer las especificaciones necesarias para que las entidades fiscales elaboren y presenten los referidos informes.</w:t>
      </w:r>
    </w:p>
    <w:p w:rsidR="008B18C3" w:rsidRPr="00C50BBE" w:rsidRDefault="008B18C3" w:rsidP="006C23FC">
      <w:pPr>
        <w:spacing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rsidR="008B18C3" w:rsidRPr="00C50BBE" w:rsidRDefault="008B18C3" w:rsidP="006C23FC">
      <w:pPr>
        <w:spacing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La integración del Informe Trimestral se entregará de manera física al Órgano Superior de Fiscalización del Estado de México, y estará compuesto de la siguiente manera:</w:t>
      </w:r>
    </w:p>
    <w:p w:rsidR="008B18C3" w:rsidRPr="00C50BBE" w:rsidRDefault="0059651D" w:rsidP="00B647F1">
      <w:pPr>
        <w:numPr>
          <w:ilvl w:val="1"/>
          <w:numId w:val="1"/>
        </w:numPr>
        <w:pBdr>
          <w:top w:val="nil"/>
          <w:left w:val="nil"/>
          <w:bottom w:val="nil"/>
          <w:right w:val="nil"/>
          <w:between w:val="nil"/>
        </w:pBdr>
        <w:tabs>
          <w:tab w:val="left" w:pos="426"/>
        </w:tabs>
        <w:spacing w:before="240" w:after="0" w:line="360" w:lineRule="auto"/>
        <w:ind w:left="0" w:firstLine="0"/>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Información impresa; e</w:t>
      </w:r>
    </w:p>
    <w:p w:rsidR="008B18C3" w:rsidRPr="00C50BBE" w:rsidRDefault="0059651D" w:rsidP="00B647F1">
      <w:pPr>
        <w:numPr>
          <w:ilvl w:val="1"/>
          <w:numId w:val="1"/>
        </w:numPr>
        <w:pBdr>
          <w:top w:val="nil"/>
          <w:left w:val="nil"/>
          <w:bottom w:val="nil"/>
          <w:right w:val="nil"/>
          <w:between w:val="nil"/>
        </w:pBdr>
        <w:tabs>
          <w:tab w:val="left" w:pos="426"/>
        </w:tabs>
        <w:spacing w:after="0" w:line="360" w:lineRule="auto"/>
        <w:ind w:left="0" w:firstLine="0"/>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Información en medio de almacenamiento electrónico.</w:t>
      </w:r>
    </w:p>
    <w:p w:rsidR="008B18C3" w:rsidRPr="00C50BBE" w:rsidRDefault="008B18C3" w:rsidP="006C23F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Por cuanto hace a la información entregable en Medios de almacenamiento Electrónico, se compondrá en cuatro módulos que integrarán la siguiente semántica:</w:t>
      </w:r>
    </w:p>
    <w:p w:rsidR="008B18C3" w:rsidRPr="00C50BBE" w:rsidRDefault="0059651D" w:rsidP="00B647F1">
      <w:pPr>
        <w:numPr>
          <w:ilvl w:val="1"/>
          <w:numId w:val="1"/>
        </w:numPr>
        <w:pBdr>
          <w:top w:val="nil"/>
          <w:left w:val="nil"/>
          <w:bottom w:val="nil"/>
          <w:right w:val="nil"/>
          <w:between w:val="nil"/>
        </w:pBdr>
        <w:tabs>
          <w:tab w:val="left" w:pos="426"/>
        </w:tabs>
        <w:spacing w:before="240" w:after="0" w:line="360" w:lineRule="auto"/>
        <w:ind w:left="0" w:firstLine="0"/>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Módulo 1: Información contable y financiera;</w:t>
      </w:r>
    </w:p>
    <w:p w:rsidR="008B18C3" w:rsidRPr="00C50BBE" w:rsidRDefault="0059651D" w:rsidP="00B647F1">
      <w:pPr>
        <w:numPr>
          <w:ilvl w:val="1"/>
          <w:numId w:val="1"/>
        </w:numPr>
        <w:pBdr>
          <w:top w:val="nil"/>
          <w:left w:val="nil"/>
          <w:bottom w:val="nil"/>
          <w:right w:val="nil"/>
          <w:between w:val="nil"/>
        </w:pBdr>
        <w:tabs>
          <w:tab w:val="left" w:pos="426"/>
        </w:tabs>
        <w:spacing w:after="0" w:line="360" w:lineRule="auto"/>
        <w:ind w:left="0" w:firstLine="0"/>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Módulo 2: Información presupuestaria;</w:t>
      </w:r>
    </w:p>
    <w:p w:rsidR="008B18C3" w:rsidRPr="00C50BBE" w:rsidRDefault="0059651D" w:rsidP="00B647F1">
      <w:pPr>
        <w:numPr>
          <w:ilvl w:val="1"/>
          <w:numId w:val="1"/>
        </w:numPr>
        <w:pBdr>
          <w:top w:val="nil"/>
          <w:left w:val="nil"/>
          <w:bottom w:val="nil"/>
          <w:right w:val="nil"/>
          <w:between w:val="nil"/>
        </w:pBdr>
        <w:tabs>
          <w:tab w:val="left" w:pos="426"/>
        </w:tabs>
        <w:spacing w:after="0" w:line="360" w:lineRule="auto"/>
        <w:ind w:left="0" w:firstLine="0"/>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Módulo 3: Información programática; y</w:t>
      </w:r>
    </w:p>
    <w:p w:rsidR="008B18C3" w:rsidRPr="00C50BBE" w:rsidRDefault="0059651D" w:rsidP="00B647F1">
      <w:pPr>
        <w:numPr>
          <w:ilvl w:val="1"/>
          <w:numId w:val="1"/>
        </w:numPr>
        <w:pBdr>
          <w:top w:val="nil"/>
          <w:left w:val="nil"/>
          <w:bottom w:val="nil"/>
          <w:right w:val="nil"/>
          <w:between w:val="nil"/>
        </w:pBdr>
        <w:tabs>
          <w:tab w:val="left" w:pos="426"/>
        </w:tabs>
        <w:spacing w:after="0" w:line="360" w:lineRule="auto"/>
        <w:ind w:left="0" w:firstLine="0"/>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Módulo 4: Información administrativa.</w:t>
      </w:r>
    </w:p>
    <w:p w:rsidR="008B18C3" w:rsidRPr="00C50BBE" w:rsidRDefault="008B18C3" w:rsidP="006C23F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Siendo de especial interés, para el presente asunto, el contenido del Módulo 4, sobre ‘Información Administrativa’; que de acuerdo con las </w:t>
      </w:r>
      <w:r w:rsidRPr="00C50BBE">
        <w:rPr>
          <w:rFonts w:ascii="Palatino Linotype" w:eastAsia="Palatino Linotype" w:hAnsi="Palatino Linotype" w:cs="Palatino Linotype"/>
          <w:b/>
          <w:color w:val="000000" w:themeColor="text1"/>
          <w:sz w:val="24"/>
          <w:szCs w:val="24"/>
        </w:rPr>
        <w:t xml:space="preserve">“Políticas para la Integración del </w:t>
      </w:r>
      <w:r w:rsidRPr="00C50BBE">
        <w:rPr>
          <w:rFonts w:ascii="Palatino Linotype" w:eastAsia="Palatino Linotype" w:hAnsi="Palatino Linotype" w:cs="Palatino Linotype"/>
          <w:b/>
          <w:color w:val="000000" w:themeColor="text1"/>
          <w:sz w:val="24"/>
          <w:szCs w:val="24"/>
        </w:rPr>
        <w:lastRenderedPageBreak/>
        <w:t>Informe Trimestral de los Sujetos de Fiscalización Municipales”</w:t>
      </w:r>
      <w:r w:rsidRPr="00C50BBE">
        <w:rPr>
          <w:rFonts w:ascii="Palatino Linotype" w:eastAsia="Palatino Linotype" w:hAnsi="Palatino Linotype" w:cs="Palatino Linotype"/>
          <w:color w:val="000000" w:themeColor="text1"/>
          <w:sz w:val="24"/>
          <w:szCs w:val="24"/>
        </w:rPr>
        <w:t>, se compondrá de los siguientes documentos:</w:t>
      </w:r>
    </w:p>
    <w:p w:rsidR="008B18C3" w:rsidRPr="00C50BBE" w:rsidRDefault="008B18C3" w:rsidP="006C23FC">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object w:dxaOrig="6480" w:dyaOrig="5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8pt;mso-width-percent:0;mso-height-percent:0;mso-width-percent:0;mso-height-percent:0" o:ole="" o:bordertopcolor="this" o:borderleftcolor="this" o:borderbottomcolor="this" o:borderrightcolor="this">
            <v:imagedata r:id="rId59" o:title=""/>
            <w10:bordertop type="single" width="8"/>
            <w10:borderleft type="single" width="8"/>
            <w10:borderbottom type="single" width="8"/>
            <w10:borderright type="single" width="8"/>
          </v:shape>
          <o:OLEObject Type="Embed" ProgID="PBrush" ShapeID="_x0000_i1025" DrawAspect="Content" ObjectID="_1818492282" r:id="rId60"/>
        </w:object>
      </w:r>
    </w:p>
    <w:p w:rsidR="008B18C3" w:rsidRPr="00C50BBE" w:rsidRDefault="008B18C3" w:rsidP="006C23FC">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En lo que corresponde al Submódulo de </w:t>
      </w:r>
      <w:r w:rsidRPr="00C50BBE">
        <w:rPr>
          <w:rFonts w:ascii="Palatino Linotype" w:eastAsia="Palatino Linotype" w:hAnsi="Palatino Linotype" w:cs="Palatino Linotype"/>
          <w:b/>
          <w:color w:val="000000" w:themeColor="text1"/>
          <w:sz w:val="24"/>
          <w:szCs w:val="24"/>
        </w:rPr>
        <w:t>‘Nómina y Comprobantes Fiscales’,</w:t>
      </w:r>
      <w:r w:rsidRPr="00C50BBE">
        <w:rPr>
          <w:rFonts w:ascii="Palatino Linotype" w:eastAsia="Palatino Linotype" w:hAnsi="Palatino Linotype" w:cs="Palatino Linotype"/>
          <w:color w:val="000000" w:themeColor="text1"/>
          <w:sz w:val="24"/>
          <w:szCs w:val="24"/>
        </w:rPr>
        <w:t xml:space="preserve"> se advierte que el </w:t>
      </w:r>
      <w:r w:rsidRPr="00C50BBE">
        <w:rPr>
          <w:rFonts w:ascii="Palatino Linotype" w:eastAsia="Palatino Linotype" w:hAnsi="Palatino Linotype" w:cs="Palatino Linotype"/>
          <w:b/>
          <w:color w:val="000000" w:themeColor="text1"/>
          <w:sz w:val="24"/>
          <w:szCs w:val="24"/>
        </w:rPr>
        <w:t>SUJETO OBLIGADO,</w:t>
      </w:r>
      <w:r w:rsidRPr="00C50BBE">
        <w:rPr>
          <w:rFonts w:ascii="Palatino Linotype" w:eastAsia="Palatino Linotype" w:hAnsi="Palatino Linotype" w:cs="Palatino Linotype"/>
          <w:color w:val="000000" w:themeColor="text1"/>
          <w:sz w:val="24"/>
          <w:szCs w:val="24"/>
        </w:rPr>
        <w:t xml:space="preserve"> deberá integrar, en formato </w:t>
      </w:r>
      <w:r w:rsidRPr="00C50BBE">
        <w:rPr>
          <w:rFonts w:ascii="Palatino Linotype" w:eastAsia="Palatino Linotype" w:hAnsi="Palatino Linotype" w:cs="Palatino Linotype"/>
          <w:i/>
          <w:color w:val="000000" w:themeColor="text1"/>
          <w:sz w:val="24"/>
          <w:szCs w:val="24"/>
        </w:rPr>
        <w:t>.pdf</w:t>
      </w:r>
      <w:r w:rsidRPr="00C50BBE">
        <w:rPr>
          <w:rFonts w:ascii="Palatino Linotype" w:eastAsia="Palatino Linotype" w:hAnsi="Palatino Linotype" w:cs="Palatino Linotype"/>
          <w:color w:val="000000" w:themeColor="text1"/>
          <w:sz w:val="24"/>
          <w:szCs w:val="24"/>
        </w:rPr>
        <w:t xml:space="preserve">, y de forma quincenal, el documento titulado </w:t>
      </w:r>
      <w:r w:rsidRPr="00C50BBE">
        <w:rPr>
          <w:rFonts w:ascii="Palatino Linotype" w:eastAsia="Palatino Linotype" w:hAnsi="Palatino Linotype" w:cs="Palatino Linotype"/>
          <w:b/>
          <w:color w:val="000000" w:themeColor="text1"/>
          <w:sz w:val="24"/>
          <w:szCs w:val="24"/>
        </w:rPr>
        <w:t>Conciliación de Nómina Mensual</w:t>
      </w:r>
      <w:r w:rsidRPr="00C50BBE">
        <w:rPr>
          <w:rFonts w:ascii="Palatino Linotype" w:eastAsia="Palatino Linotype" w:hAnsi="Palatino Linotype" w:cs="Palatino Linotype"/>
          <w:color w:val="000000" w:themeColor="text1"/>
          <w:sz w:val="24"/>
          <w:szCs w:val="24"/>
        </w:rPr>
        <w:t>; tal como lo establece el mapa de integración del Submódulo en comento:</w:t>
      </w:r>
    </w:p>
    <w:p w:rsidR="008B18C3" w:rsidRPr="00C50BBE" w:rsidRDefault="008B18C3" w:rsidP="006C23FC">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sz w:val="24"/>
          <w:szCs w:val="24"/>
        </w:rPr>
      </w:pPr>
    </w:p>
    <w:p w:rsidR="008B18C3" w:rsidRDefault="006C23FC" w:rsidP="006C23FC">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sz w:val="24"/>
          <w:szCs w:val="24"/>
        </w:rPr>
      </w:pPr>
      <w:r w:rsidRPr="00C50BBE">
        <w:rPr>
          <w:rFonts w:ascii="Palatino Linotype" w:hAnsi="Palatino Linotype"/>
          <w:noProof/>
          <w:color w:val="000000" w:themeColor="text1"/>
          <w:sz w:val="24"/>
          <w:szCs w:val="24"/>
        </w:rPr>
        <w:lastRenderedPageBreak/>
        <mc:AlternateContent>
          <mc:Choice Requires="wps">
            <w:drawing>
              <wp:anchor distT="0" distB="0" distL="114300" distR="114300" simplePos="0" relativeHeight="251658240" behindDoc="0" locked="0" layoutInCell="1" hidden="0" allowOverlap="1">
                <wp:simplePos x="0" y="0"/>
                <wp:positionH relativeFrom="column">
                  <wp:posOffset>700699</wp:posOffset>
                </wp:positionH>
                <wp:positionV relativeFrom="paragraph">
                  <wp:posOffset>1209078</wp:posOffset>
                </wp:positionV>
                <wp:extent cx="4470400" cy="234950"/>
                <wp:effectExtent l="0" t="0" r="0" b="0"/>
                <wp:wrapNone/>
                <wp:docPr id="61" name="Rectángulo 61"/>
                <wp:cNvGraphicFramePr/>
                <a:graphic xmlns:a="http://schemas.openxmlformats.org/drawingml/2006/main">
                  <a:graphicData uri="http://schemas.microsoft.com/office/word/2010/wordprocessingShape">
                    <wps:wsp>
                      <wps:cNvSpPr/>
                      <wps:spPr>
                        <a:xfrm>
                          <a:off x="0" y="0"/>
                          <a:ext cx="4470400" cy="234950"/>
                        </a:xfrm>
                        <a:prstGeom prst="rect">
                          <a:avLst/>
                        </a:prstGeom>
                        <a:noFill/>
                        <a:ln w="19050" cap="flat" cmpd="sng">
                          <a:solidFill>
                            <a:srgbClr val="FF0000"/>
                          </a:solidFill>
                          <a:prstDash val="solid"/>
                          <a:miter lim="800000"/>
                          <a:headEnd type="none" w="sm" len="sm"/>
                          <a:tailEnd type="none" w="sm" len="sm"/>
                        </a:ln>
                      </wps:spPr>
                      <wps:txbx>
                        <w:txbxContent>
                          <w:p w:rsidR="008B18C3" w:rsidRDefault="008B18C3">
                            <w:pPr>
                              <w:spacing w:line="258"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61" o:spid="_x0000_s1026" style="position:absolute;left:0;text-align:left;margin-left:55.15pt;margin-top:95.2pt;width:352pt;height:1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" filled="f" strokecolor="red" strokeweight="1.5pt">
                <v:stroke startarrowwidth="narrow" startarrowlength="short" endarrowwidth="narrow" endarrowlength="short"/>
                <v:textbox inset="2.53958mm,2.53958mm,2.53958mm,2.53958mm">
                  <w:txbxContent>
                    <w:p w:rsidR="008B18C3" w:rsidRDefault="008B18C3">
                      <w:pPr>
                        <w:spacing w:line="258" w:lineRule="auto"/>
                        <w:textDirection w:val="btLr"/>
                      </w:pPr>
                    </w:p>
                  </w:txbxContent>
                </v:textbox>
              </v:rect>
            </w:pict>
          </mc:Fallback>
        </mc:AlternateContent>
      </w:r>
      <w:r w:rsidRPr="00C50BBE">
        <w:rPr>
          <w:rFonts w:ascii="Palatino Linotype" w:eastAsia="Palatino Linotype" w:hAnsi="Palatino Linotype" w:cs="Palatino Linotype"/>
          <w:color w:val="000000" w:themeColor="text1"/>
          <w:sz w:val="24"/>
          <w:szCs w:val="24"/>
        </w:rPr>
        <w:object w:dxaOrig="12628" w:dyaOrig="3705">
          <v:shape id="_x0000_i1026" type="#_x0000_t75" alt="" style="width:478.85pt;height:185.45pt" o:ole="" o:bordertopcolor="this" o:borderleftcolor="this" o:borderbottomcolor="this" o:borderrightcolor="this">
            <v:imagedata r:id="rId61" o:title=""/>
            <w10:bordertop type="single" width="8"/>
            <w10:borderleft type="single" width="8"/>
            <w10:borderbottom type="single" width="8"/>
            <w10:borderright type="single" width="8"/>
          </v:shape>
          <o:OLEObject Type="Embed" ProgID="PBrush" ShapeID="_x0000_i1026" DrawAspect="Content" ObjectID="_1818492283" r:id="rId62"/>
        </w:object>
      </w:r>
    </w:p>
    <w:p w:rsidR="00B647F1" w:rsidRPr="00C50BBE" w:rsidRDefault="00B647F1" w:rsidP="006C23FC">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sz w:val="24"/>
          <w:szCs w:val="24"/>
        </w:rPr>
      </w:pPr>
    </w:p>
    <w:p w:rsidR="006C23FC"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Al respecto, conviene referir que la Conciliación de Nómina Mensual es un documento en el que se detalla, entre otros, </w:t>
      </w:r>
      <w:r w:rsidRPr="00C50BBE">
        <w:rPr>
          <w:rFonts w:ascii="Palatino Linotype" w:eastAsia="Palatino Linotype" w:hAnsi="Palatino Linotype" w:cs="Palatino Linotype"/>
          <w:b/>
          <w:color w:val="000000" w:themeColor="text1"/>
          <w:sz w:val="24"/>
          <w:szCs w:val="24"/>
        </w:rPr>
        <w:t>el nombre, puesto funcional, área de adscripción, categoría, así como todas las percepciones brutas y netas  y deducciones que recibe cada servidor público que labora en la entidad</w:t>
      </w:r>
      <w:r w:rsidRPr="00C50BBE">
        <w:rPr>
          <w:rFonts w:ascii="Palatino Linotype" w:eastAsia="Palatino Linotype" w:hAnsi="Palatino Linotype" w:cs="Palatino Linotype"/>
          <w:b/>
          <w:color w:val="000000" w:themeColor="text1"/>
          <w:sz w:val="24"/>
          <w:szCs w:val="24"/>
          <w:vertAlign w:val="superscript"/>
        </w:rPr>
        <w:footnoteReference w:id="2"/>
      </w:r>
      <w:r w:rsidRPr="00C50BBE">
        <w:rPr>
          <w:rFonts w:ascii="Palatino Linotype" w:eastAsia="Palatino Linotype" w:hAnsi="Palatino Linotype" w:cs="Palatino Linotype"/>
          <w:color w:val="000000" w:themeColor="text1"/>
          <w:sz w:val="24"/>
          <w:szCs w:val="24"/>
        </w:rPr>
        <w:t xml:space="preserve">. </w:t>
      </w:r>
    </w:p>
    <w:p w:rsidR="008B18C3" w:rsidRPr="00C50BBE" w:rsidRDefault="006C23FC" w:rsidP="006C23FC">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ab/>
      </w: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rsidR="008B18C3" w:rsidRPr="00C50BBE" w:rsidRDefault="008B18C3" w:rsidP="006C23FC">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object w:dxaOrig="7635" w:dyaOrig="4320">
          <v:shape id="_x0000_i1027" type="#_x0000_t75" alt="" style="width:381.75pt;height:3in;mso-width-percent:0;mso-height-percent:0;mso-width-percent:0;mso-height-percent:0" o:ole="" o:bordertopcolor="this" o:borderleftcolor="this" o:borderbottomcolor="this" o:borderrightcolor="this">
            <v:imagedata r:id="rId63" o:title=""/>
            <w10:bordertop type="single" width="8"/>
            <w10:borderleft type="single" width="8"/>
            <w10:borderbottom type="single" width="8"/>
            <w10:borderright type="single" width="8"/>
          </v:shape>
          <o:OLEObject Type="Embed" ProgID="PBrush" ShapeID="_x0000_i1027" DrawAspect="Content" ObjectID="_1818492284" r:id="rId64"/>
        </w:object>
      </w:r>
      <w:r w:rsidRPr="00C50BBE">
        <w:rPr>
          <w:rFonts w:ascii="Palatino Linotype" w:hAnsi="Palatino Linotype"/>
          <w:noProof/>
          <w:color w:val="000000" w:themeColor="text1"/>
          <w:sz w:val="24"/>
          <w:szCs w:val="24"/>
        </w:rPr>
        <mc:AlternateContent>
          <mc:Choice Requires="wpg">
            <w:drawing>
              <wp:anchor distT="0" distB="0" distL="114300" distR="114300" simplePos="0" relativeHeight="251659264" behindDoc="0" locked="0" layoutInCell="1" hidden="0" allowOverlap="1">
                <wp:simplePos x="0" y="0"/>
                <wp:positionH relativeFrom="column">
                  <wp:posOffset>3541713</wp:posOffset>
                </wp:positionH>
                <wp:positionV relativeFrom="paragraph">
                  <wp:posOffset>468313</wp:posOffset>
                </wp:positionV>
                <wp:extent cx="528125" cy="1430117"/>
                <wp:effectExtent l="0" t="0" r="0" b="0"/>
                <wp:wrapNone/>
                <wp:docPr id="60" name="Rectángulo 60"/>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rsidR="008B18C3" w:rsidRDefault="008B18C3">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3541713</wp:posOffset>
                </wp:positionH>
                <wp:positionV relativeFrom="paragraph">
                  <wp:posOffset>468313</wp:posOffset>
                </wp:positionV>
                <wp:extent cx="528125" cy="1430117"/>
                <wp:effectExtent b="0" l="0" r="0" t="0"/>
                <wp:wrapNone/>
                <wp:docPr id="60" name="image24.png"/>
                <a:graphic>
                  <a:graphicData uri="http://schemas.openxmlformats.org/drawingml/2006/picture">
                    <pic:pic>
                      <pic:nvPicPr>
                        <pic:cNvPr id="0" name="image24.png"/>
                        <pic:cNvPicPr preferRelativeResize="0"/>
                      </pic:nvPicPr>
                      <pic:blipFill>
                        <a:blip r:embed="rId69"/>
                        <a:srcRect/>
                        <a:stretch>
                          <a:fillRect/>
                        </a:stretch>
                      </pic:blipFill>
                      <pic:spPr>
                        <a:xfrm>
                          <a:off x="0" y="0"/>
                          <a:ext cx="528125" cy="1430117"/>
                        </a:xfrm>
                        <a:prstGeom prst="rect"/>
                        <a:ln/>
                      </pic:spPr>
                    </pic:pic>
                  </a:graphicData>
                </a:graphic>
              </wp:anchor>
            </w:drawing>
          </mc:Fallback>
        </mc:AlternateContent>
      </w:r>
      <w:r w:rsidRPr="00C50BBE">
        <w:rPr>
          <w:rFonts w:ascii="Palatino Linotype" w:hAnsi="Palatino Linotype"/>
          <w:noProof/>
          <w:color w:val="000000" w:themeColor="text1"/>
          <w:sz w:val="24"/>
          <w:szCs w:val="24"/>
        </w:rPr>
        <mc:AlternateContent>
          <mc:Choice Requires="wpg">
            <w:drawing>
              <wp:anchor distT="0" distB="0" distL="114300" distR="114300" simplePos="0" relativeHeight="251660288" behindDoc="0" locked="0" layoutInCell="1" hidden="0" allowOverlap="1">
                <wp:simplePos x="0" y="0"/>
                <wp:positionH relativeFrom="column">
                  <wp:posOffset>2589213</wp:posOffset>
                </wp:positionH>
                <wp:positionV relativeFrom="paragraph">
                  <wp:posOffset>442913</wp:posOffset>
                </wp:positionV>
                <wp:extent cx="408280" cy="1430117"/>
                <wp:effectExtent l="0" t="0" r="0" b="0"/>
                <wp:wrapNone/>
                <wp:docPr id="59" name="Rectángulo 59"/>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rsidR="008B18C3" w:rsidRDefault="008B18C3">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2589213</wp:posOffset>
                </wp:positionH>
                <wp:positionV relativeFrom="paragraph">
                  <wp:posOffset>442913</wp:posOffset>
                </wp:positionV>
                <wp:extent cx="408280" cy="1430117"/>
                <wp:effectExtent b="0" l="0" r="0" t="0"/>
                <wp:wrapNone/>
                <wp:docPr id="59" name="image23.png"/>
                <a:graphic>
                  <a:graphicData uri="http://schemas.openxmlformats.org/drawingml/2006/picture">
                    <pic:pic>
                      <pic:nvPicPr>
                        <pic:cNvPr id="0" name="image23.png"/>
                        <pic:cNvPicPr preferRelativeResize="0"/>
                      </pic:nvPicPr>
                      <pic:blipFill>
                        <a:blip r:embed="rId69"/>
                        <a:srcRect/>
                        <a:stretch>
                          <a:fillRect/>
                        </a:stretch>
                      </pic:blipFill>
                      <pic:spPr>
                        <a:xfrm>
                          <a:off x="0" y="0"/>
                          <a:ext cx="408280" cy="1430117"/>
                        </a:xfrm>
                        <a:prstGeom prst="rect"/>
                        <a:ln/>
                      </pic:spPr>
                    </pic:pic>
                  </a:graphicData>
                </a:graphic>
              </wp:anchor>
            </w:drawing>
          </mc:Fallback>
        </mc:AlternateContent>
      </w:r>
    </w:p>
    <w:p w:rsidR="008B18C3" w:rsidRPr="00C50BBE" w:rsidRDefault="0059651D" w:rsidP="006C23FC">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object w:dxaOrig="7665" w:dyaOrig="4500">
          <v:shape id="_x0000_i1028" type="#_x0000_t75" alt="" style="width:383.1pt;height:224.85pt;mso-width-percent:0;mso-height-percent:0;mso-width-percent:0;mso-height-percent:0" o:ole="" o:bordertopcolor="this" o:borderleftcolor="this" o:borderbottomcolor="this" o:borderrightcolor="this">
            <v:imagedata r:id="rId70" o:title=""/>
            <w10:bordertop type="single" width="8"/>
            <w10:borderleft type="single" width="8"/>
            <w10:borderbottom type="single" width="8"/>
            <w10:borderright type="single" width="8"/>
          </v:shape>
          <o:OLEObject Type="Embed" ProgID="PBrush" ShapeID="_x0000_i1028" DrawAspect="Content" ObjectID="_1818492285" r:id="rId71"/>
        </w:object>
      </w:r>
    </w:p>
    <w:p w:rsidR="008B18C3" w:rsidRDefault="0059651D" w:rsidP="006C23FC">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object w:dxaOrig="7680" w:dyaOrig="2400">
          <v:shape id="_x0000_i1029" type="#_x0000_t75" alt="" style="width:383.75pt;height:120.25pt;mso-width-percent:0;mso-height-percent:0;mso-width-percent:0;mso-height-percent:0" o:ole="" o:bordertopcolor="this" o:borderleftcolor="this" o:borderbottomcolor="this" o:borderrightcolor="this">
            <v:imagedata r:id="rId72" o:title=""/>
            <w10:bordertop type="single" width="8"/>
            <w10:borderleft type="single" width="8"/>
            <w10:borderbottom type="single" width="8"/>
            <w10:borderright type="single" width="8"/>
          </v:shape>
          <o:OLEObject Type="Embed" ProgID="PBrush" ShapeID="_x0000_i1029" DrawAspect="Content" ObjectID="_1818492286" r:id="rId73"/>
        </w:object>
      </w:r>
    </w:p>
    <w:p w:rsidR="00B647F1" w:rsidRPr="00C50BBE" w:rsidRDefault="00B647F1" w:rsidP="006C23FC">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Por lo anterior se reconoce que el </w:t>
      </w:r>
      <w:r w:rsidRPr="00C50BBE">
        <w:rPr>
          <w:rFonts w:ascii="Palatino Linotype" w:eastAsia="Palatino Linotype" w:hAnsi="Palatino Linotype" w:cs="Palatino Linotype"/>
          <w:b/>
          <w:color w:val="000000" w:themeColor="text1"/>
          <w:sz w:val="24"/>
          <w:szCs w:val="24"/>
        </w:rPr>
        <w:t>SUJETO OBLIGADO,</w:t>
      </w:r>
      <w:r w:rsidRPr="00C50BBE">
        <w:rPr>
          <w:rFonts w:ascii="Palatino Linotype" w:eastAsia="Palatino Linotype" w:hAnsi="Palatino Linotype" w:cs="Palatino Linotype"/>
          <w:color w:val="000000" w:themeColor="text1"/>
          <w:sz w:val="24"/>
          <w:szCs w:val="24"/>
        </w:rPr>
        <w:t xml:space="preserve"> cuenta con la obligación de generar los documentos en donde conste la conciliación de nómina solicitada. </w:t>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Ahora bien, se observa dentro de las conciliaciones de nómina remitidas, la inconformidad versa respecto que se testan los nombres y sueldos de personas que percibieron recursos del titular de transparencia y por la mala calidad de la información remitida, situación que deviene fundada y motivada en virtud de que efectivamente se observa que se remitieron documentos con RFC, CURP, numero de seguridad social ISSEMYM, y en algunos el apellido paterno, por lo que al respecto se refiere que la información fue proporcionada de manera incompleta e incorrecta, ya que como se refirió en líneas anteriores, la conciliación de nómina debe contener </w:t>
      </w:r>
      <w:r w:rsidRPr="00C50BBE">
        <w:rPr>
          <w:rFonts w:ascii="Palatino Linotype" w:eastAsia="Palatino Linotype" w:hAnsi="Palatino Linotype" w:cs="Palatino Linotype"/>
          <w:b/>
          <w:color w:val="000000" w:themeColor="text1"/>
          <w:sz w:val="24"/>
          <w:szCs w:val="24"/>
        </w:rPr>
        <w:t xml:space="preserve">nombre, puesto funcional, área de adscripción, categoría, así como todas las percepciones brutas y netas  y deducciones que recibe cada servidor público, </w:t>
      </w:r>
      <w:r w:rsidRPr="00C50BBE">
        <w:rPr>
          <w:rFonts w:ascii="Palatino Linotype" w:eastAsia="Palatino Linotype" w:hAnsi="Palatino Linotype" w:cs="Palatino Linotype"/>
          <w:color w:val="000000" w:themeColor="text1"/>
          <w:sz w:val="24"/>
          <w:szCs w:val="24"/>
        </w:rPr>
        <w:t xml:space="preserve">además de que se observa que no se remitió el Acuerdo de Clasificación de la información testada, situación que no permite tener certeza de la información remitida en ellos, asimismo, dado que no se remitió tal acuerdo, no se puede tener por colmado el rubro en comento ya que no se fundaron y motivaron las razones por las que se testó dicha información, en consecuencia no se puede tener por colmado el rubro </w:t>
      </w:r>
      <w:r w:rsidRPr="00C50BBE">
        <w:rPr>
          <w:rFonts w:ascii="Palatino Linotype" w:eastAsia="Palatino Linotype" w:hAnsi="Palatino Linotype" w:cs="Palatino Linotype"/>
          <w:color w:val="000000" w:themeColor="text1"/>
          <w:sz w:val="24"/>
          <w:szCs w:val="24"/>
        </w:rPr>
        <w:lastRenderedPageBreak/>
        <w:t>en comento, resultando dable ordenar se haga entrega de la información en comento, en una correcta versión pública y con Acuerdo del Comité de Transparencia con las formalidades legales  que justifiquen la clasificación de la información que se considera como confidencial y que sustente la entrega en versión publica de la información proporcionada.</w:t>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i/>
          <w:color w:val="000000" w:themeColor="text1"/>
          <w:sz w:val="24"/>
          <w:szCs w:val="24"/>
        </w:rPr>
      </w:pPr>
      <w:bookmarkStart w:id="4" w:name="_heading=h.3w60rkmssl4q" w:colFirst="0" w:colLast="0"/>
      <w:bookmarkEnd w:id="4"/>
      <w:r w:rsidRPr="00C50BBE">
        <w:rPr>
          <w:rFonts w:ascii="Palatino Linotype" w:eastAsia="Palatino Linotype" w:hAnsi="Palatino Linotype" w:cs="Palatino Linotype"/>
          <w:color w:val="000000" w:themeColor="text1"/>
          <w:sz w:val="24"/>
          <w:szCs w:val="24"/>
        </w:rPr>
        <w:t>Por lo que hace a lo argüido relativo a que</w:t>
      </w:r>
      <w:r w:rsidRPr="00C50BBE">
        <w:rPr>
          <w:rFonts w:ascii="Palatino Linotype" w:eastAsia="Palatino Linotype" w:hAnsi="Palatino Linotype" w:cs="Palatino Linotype"/>
          <w:i/>
          <w:color w:val="000000" w:themeColor="text1"/>
          <w:sz w:val="24"/>
          <w:szCs w:val="24"/>
        </w:rPr>
        <w:t xml:space="preserve"> “no anexa la información que remite la Directora del Dif”, </w:t>
      </w:r>
      <w:r w:rsidRPr="00C50BBE">
        <w:rPr>
          <w:rFonts w:ascii="Palatino Linotype" w:eastAsia="Palatino Linotype" w:hAnsi="Palatino Linotype" w:cs="Palatino Linotype"/>
          <w:color w:val="000000" w:themeColor="text1"/>
          <w:sz w:val="24"/>
          <w:szCs w:val="24"/>
        </w:rPr>
        <w:t xml:space="preserve">se advierte que contrario a lo manifestado por el </w:t>
      </w:r>
      <w:r w:rsidRPr="00C50BBE">
        <w:rPr>
          <w:rFonts w:ascii="Palatino Linotype" w:eastAsia="Palatino Linotype" w:hAnsi="Palatino Linotype" w:cs="Palatino Linotype"/>
          <w:b/>
          <w:color w:val="000000" w:themeColor="text1"/>
          <w:sz w:val="24"/>
          <w:szCs w:val="24"/>
        </w:rPr>
        <w:t xml:space="preserve">RECURRENTE, </w:t>
      </w:r>
      <w:r w:rsidRPr="00C50BBE">
        <w:rPr>
          <w:rFonts w:ascii="Palatino Linotype" w:eastAsia="Palatino Linotype" w:hAnsi="Palatino Linotype" w:cs="Palatino Linotype"/>
          <w:color w:val="000000" w:themeColor="text1"/>
          <w:sz w:val="24"/>
          <w:szCs w:val="24"/>
        </w:rPr>
        <w:t xml:space="preserve">si se anexaron los archivos, mismos que fueron descritos en el apartado de respuestas, mismos que corresponden a las pólizas de pago realizadas en el mes de diciembre de dos mil veinticuatro y en el primer trimestre del año dos mil veinticinco, sin embargo, como en el caso anterior, dentro de la información remitida se observa información testada, de la que una vez realizado el estudio correspondiente, de manera enunciativa, más no limitativa, en el archivo </w:t>
      </w:r>
      <w:r w:rsidRPr="00C50BBE">
        <w:rPr>
          <w:rFonts w:ascii="Palatino Linotype" w:eastAsia="Palatino Linotype" w:hAnsi="Palatino Linotype" w:cs="Palatino Linotype"/>
          <w:b/>
          <w:i/>
          <w:color w:val="000000" w:themeColor="text1"/>
          <w:sz w:val="24"/>
          <w:szCs w:val="24"/>
        </w:rPr>
        <w:t xml:space="preserve">polizas de egresos febrero 2025-1 (9).pdf, </w:t>
      </w:r>
      <w:r w:rsidRPr="00C50BBE">
        <w:rPr>
          <w:rFonts w:ascii="Palatino Linotype" w:eastAsia="Palatino Linotype" w:hAnsi="Palatino Linotype" w:cs="Palatino Linotype"/>
          <w:color w:val="000000" w:themeColor="text1"/>
          <w:sz w:val="24"/>
          <w:szCs w:val="24"/>
        </w:rPr>
        <w:t>se observa lo siguiente:</w:t>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pBdr>
          <w:top w:val="nil"/>
          <w:left w:val="nil"/>
          <w:bottom w:val="nil"/>
          <w:right w:val="nil"/>
          <w:between w:val="nil"/>
        </w:pBdr>
        <w:spacing w:after="0" w:line="360" w:lineRule="auto"/>
        <w:jc w:val="center"/>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noProof/>
          <w:color w:val="000000" w:themeColor="text1"/>
          <w:sz w:val="24"/>
          <w:szCs w:val="24"/>
        </w:rPr>
        <w:drawing>
          <wp:inline distT="0" distB="0" distL="0" distR="0">
            <wp:extent cx="5587201" cy="504000"/>
            <wp:effectExtent l="0" t="0" r="0" b="0"/>
            <wp:docPr id="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4"/>
                    <a:srcRect r="34148" b="-17713"/>
                    <a:stretch>
                      <a:fillRect/>
                    </a:stretch>
                  </pic:blipFill>
                  <pic:spPr>
                    <a:xfrm>
                      <a:off x="0" y="0"/>
                      <a:ext cx="5587201" cy="504000"/>
                    </a:xfrm>
                    <a:prstGeom prst="rect">
                      <a:avLst/>
                    </a:prstGeom>
                    <a:ln/>
                  </pic:spPr>
                </pic:pic>
              </a:graphicData>
            </a:graphic>
          </wp:inline>
        </w:drawing>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De lo anterior, no se observa a que información corresponda, sin embargo, dada la naturaleza de la información solicitada, se advierte que no es información susceptible de ser clasificada, como en el caso contrario, dentro del mismo archivo (imagen que se inserta en líneas subsecuentes) se observa que se trata de descuentos de pensión alimenticia, que se considera como información clasificada, sin embargo no se puede tener certeza de la información que se testó y si la misma es susceptible de ser clasificada, ya que tampoco se remitió el Acuerdo del Comité de Transparencia con las formalidades legales  que justifiquen </w:t>
      </w:r>
      <w:r w:rsidRPr="00C50BBE">
        <w:rPr>
          <w:rFonts w:ascii="Palatino Linotype" w:eastAsia="Palatino Linotype" w:hAnsi="Palatino Linotype" w:cs="Palatino Linotype"/>
          <w:color w:val="000000" w:themeColor="text1"/>
          <w:sz w:val="24"/>
          <w:szCs w:val="24"/>
        </w:rPr>
        <w:lastRenderedPageBreak/>
        <w:t xml:space="preserve">la clasificación de la información que se considera como confidencial y que sustente la entrega en versión pública de la información proporcionada, razón suficiente para no tener por colmada en su totalidad la solicitud de información que nos ocupa. </w:t>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p>
    <w:p w:rsidR="008B18C3" w:rsidRPr="00C50BBE" w:rsidRDefault="0059651D" w:rsidP="006C23FC">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noProof/>
          <w:color w:val="000000" w:themeColor="text1"/>
          <w:sz w:val="24"/>
          <w:szCs w:val="24"/>
        </w:rPr>
        <w:drawing>
          <wp:inline distT="0" distB="0" distL="0" distR="0">
            <wp:extent cx="6012000" cy="644877"/>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5"/>
                    <a:srcRect/>
                    <a:stretch>
                      <a:fillRect/>
                    </a:stretch>
                  </pic:blipFill>
                  <pic:spPr>
                    <a:xfrm>
                      <a:off x="0" y="0"/>
                      <a:ext cx="6012000" cy="644877"/>
                    </a:xfrm>
                    <a:prstGeom prst="rect">
                      <a:avLst/>
                    </a:prstGeom>
                    <a:ln/>
                  </pic:spPr>
                </pic:pic>
              </a:graphicData>
            </a:graphic>
          </wp:inline>
        </w:drawing>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Al respecto de las pólizas de pago solicitadas, se advierte que el </w:t>
      </w:r>
      <w:r w:rsidRPr="00C50BBE">
        <w:rPr>
          <w:rFonts w:ascii="Palatino Linotype" w:eastAsia="Palatino Linotype" w:hAnsi="Palatino Linotype" w:cs="Palatino Linotype"/>
          <w:b/>
          <w:color w:val="000000" w:themeColor="text1"/>
          <w:sz w:val="24"/>
          <w:szCs w:val="24"/>
        </w:rPr>
        <w:t xml:space="preserve">PARTICULAR, </w:t>
      </w:r>
      <w:r w:rsidRPr="00C50BBE">
        <w:rPr>
          <w:rFonts w:ascii="Palatino Linotype" w:eastAsia="Palatino Linotype" w:hAnsi="Palatino Linotype" w:cs="Palatino Linotype"/>
          <w:color w:val="000000" w:themeColor="text1"/>
          <w:sz w:val="24"/>
          <w:szCs w:val="24"/>
        </w:rPr>
        <w:t>no es experto en la materia, es así que de acuerdo a la naturaleza de la información es definida en el Código Financiero del Estado de México y Municipios, como:</w:t>
      </w:r>
    </w:p>
    <w:p w:rsidR="008B18C3" w:rsidRPr="00C50BBE" w:rsidRDefault="0059651D" w:rsidP="006C23FC">
      <w:pPr>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i/>
          <w:color w:val="000000" w:themeColor="text1"/>
          <w:sz w:val="24"/>
          <w:szCs w:val="24"/>
        </w:rPr>
        <w:t>“</w:t>
      </w:r>
      <w:r w:rsidRPr="00C50BBE">
        <w:rPr>
          <w:rFonts w:ascii="Palatino Linotype" w:eastAsia="Palatino Linotype" w:hAnsi="Palatino Linotype" w:cs="Palatino Linotype"/>
          <w:b/>
          <w:i/>
          <w:color w:val="000000" w:themeColor="text1"/>
          <w:sz w:val="24"/>
          <w:szCs w:val="24"/>
        </w:rPr>
        <w:t>PÓLIZA CONTABLE</w:t>
      </w:r>
    </w:p>
    <w:p w:rsidR="008B18C3" w:rsidRPr="00C50BBE" w:rsidRDefault="0059651D" w:rsidP="006C23FC">
      <w:pP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Documento en el cual se asientan en forma individual todas y cada una de las operaciones desarrolladas por una institución, así como la información necesaria para la identificación de dichas operaciones.” (sic)</w:t>
      </w:r>
    </w:p>
    <w:p w:rsidR="008B18C3" w:rsidRPr="00C50BBE" w:rsidRDefault="008B18C3" w:rsidP="006C23FC">
      <w:pPr>
        <w:spacing w:after="120"/>
        <w:jc w:val="both"/>
        <w:rPr>
          <w:rFonts w:ascii="Palatino Linotype" w:eastAsia="Palatino Linotype" w:hAnsi="Palatino Linotype" w:cs="Palatino Linotype"/>
          <w:i/>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Así, se advierte que la </w:t>
      </w:r>
      <w:r w:rsidRPr="00C50BBE">
        <w:rPr>
          <w:rFonts w:ascii="Palatino Linotype" w:eastAsia="Palatino Linotype" w:hAnsi="Palatino Linotype" w:cs="Palatino Linotype"/>
          <w:i/>
          <w:color w:val="000000" w:themeColor="text1"/>
          <w:sz w:val="24"/>
          <w:szCs w:val="24"/>
        </w:rPr>
        <w:t>póliza contable</w:t>
      </w:r>
      <w:r w:rsidRPr="00C50BBE">
        <w:rPr>
          <w:rFonts w:ascii="Palatino Linotype" w:eastAsia="Palatino Linotype" w:hAnsi="Palatino Linotype" w:cs="Palatino Linotype"/>
          <w:color w:val="000000" w:themeColor="text1"/>
          <w:sz w:val="24"/>
          <w:szCs w:val="24"/>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 </w:t>
      </w:r>
    </w:p>
    <w:p w:rsidR="008B18C3" w:rsidRPr="00C50BBE" w:rsidRDefault="008B18C3" w:rsidP="006C23FC">
      <w:pPr>
        <w:spacing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En este sentido, existen diversos tipos de pólizas contables de acuerdo a las operaciones realizadas, dentro de las cuales, encontramos las llamadas </w:t>
      </w:r>
      <w:r w:rsidRPr="00C50BBE">
        <w:rPr>
          <w:rFonts w:ascii="Palatino Linotype" w:eastAsia="Palatino Linotype" w:hAnsi="Palatino Linotype" w:cs="Palatino Linotype"/>
          <w:b/>
          <w:i/>
          <w:color w:val="000000" w:themeColor="text1"/>
          <w:sz w:val="24"/>
          <w:szCs w:val="24"/>
        </w:rPr>
        <w:t xml:space="preserve">pólizas, </w:t>
      </w:r>
      <w:r w:rsidRPr="00C50BBE">
        <w:rPr>
          <w:rFonts w:ascii="Palatino Linotype" w:eastAsia="Palatino Linotype" w:hAnsi="Palatino Linotype" w:cs="Palatino Linotype"/>
          <w:i/>
          <w:color w:val="000000" w:themeColor="text1"/>
          <w:sz w:val="24"/>
          <w:szCs w:val="24"/>
        </w:rPr>
        <w:t xml:space="preserve">tanto de </w:t>
      </w:r>
      <w:r w:rsidRPr="00C50BBE">
        <w:rPr>
          <w:rFonts w:ascii="Palatino Linotype" w:eastAsia="Palatino Linotype" w:hAnsi="Palatino Linotype" w:cs="Palatino Linotype"/>
          <w:i/>
          <w:color w:val="000000" w:themeColor="text1"/>
          <w:sz w:val="24"/>
          <w:szCs w:val="24"/>
        </w:rPr>
        <w:lastRenderedPageBreak/>
        <w:t xml:space="preserve">ingresos, </w:t>
      </w:r>
      <w:r w:rsidRPr="00C50BBE">
        <w:rPr>
          <w:rFonts w:ascii="Palatino Linotype" w:eastAsia="Palatino Linotype" w:hAnsi="Palatino Linotype" w:cs="Palatino Linotype"/>
          <w:b/>
          <w:i/>
          <w:color w:val="000000" w:themeColor="text1"/>
          <w:sz w:val="24"/>
          <w:szCs w:val="24"/>
        </w:rPr>
        <w:t>de egresos</w:t>
      </w:r>
      <w:r w:rsidRPr="00C50BBE">
        <w:rPr>
          <w:rFonts w:ascii="Palatino Linotype" w:eastAsia="Palatino Linotype" w:hAnsi="Palatino Linotype" w:cs="Palatino Linotype"/>
          <w:i/>
          <w:color w:val="000000" w:themeColor="text1"/>
          <w:sz w:val="24"/>
          <w:szCs w:val="24"/>
        </w:rPr>
        <w:t xml:space="preserve"> y de cheques</w:t>
      </w:r>
      <w:r w:rsidRPr="00C50BBE">
        <w:rPr>
          <w:rFonts w:ascii="Palatino Linotype" w:eastAsia="Palatino Linotype" w:hAnsi="Palatino Linotype" w:cs="Palatino Linotype"/>
          <w:color w:val="000000" w:themeColor="text1"/>
          <w:sz w:val="24"/>
          <w:szCs w:val="24"/>
        </w:rPr>
        <w:t>, son aquellas en las cuales se anotan diariamente las operaciones que representan ingresos y egresos, es decir, salidas de dinero para el</w:t>
      </w:r>
      <w:r w:rsidRPr="00C50BBE">
        <w:rPr>
          <w:rFonts w:ascii="Palatino Linotype" w:eastAsia="Palatino Linotype" w:hAnsi="Palatino Linotype" w:cs="Palatino Linotype"/>
          <w:b/>
          <w:color w:val="000000" w:themeColor="text1"/>
          <w:sz w:val="24"/>
          <w:szCs w:val="24"/>
        </w:rPr>
        <w:t xml:space="preserve"> Sujeto Obligado</w:t>
      </w:r>
      <w:r w:rsidRPr="00C50BBE">
        <w:rPr>
          <w:rFonts w:ascii="Palatino Linotype" w:eastAsia="Palatino Linotype" w:hAnsi="Palatino Linotype" w:cs="Palatino Linotype"/>
          <w:color w:val="000000" w:themeColor="text1"/>
          <w:sz w:val="24"/>
          <w:szCs w:val="24"/>
        </w:rPr>
        <w:t xml:space="preserve">, las que, además, </w:t>
      </w:r>
      <w:r w:rsidRPr="00C50BBE">
        <w:rPr>
          <w:rFonts w:ascii="Palatino Linotype" w:eastAsia="Palatino Linotype" w:hAnsi="Palatino Linotype" w:cs="Palatino Linotype"/>
          <w:b/>
          <w:color w:val="000000" w:themeColor="text1"/>
          <w:sz w:val="24"/>
          <w:szCs w:val="24"/>
        </w:rPr>
        <w:t>deben encontrarse acompañadas de las documentales que sirven de soporte de dicho movimiento</w:t>
      </w:r>
      <w:r w:rsidRPr="00C50BBE">
        <w:rPr>
          <w:rFonts w:ascii="Palatino Linotype" w:eastAsia="Palatino Linotype" w:hAnsi="Palatino Linotype" w:cs="Palatino Linotype"/>
          <w:color w:val="000000" w:themeColor="text1"/>
          <w:sz w:val="24"/>
          <w:szCs w:val="24"/>
        </w:rPr>
        <w:t xml:space="preserve">, además de que las pólizas contables deben ser integradas por el soporte documental del gasto efectuado, como es la suficiencia y la requisición. </w:t>
      </w:r>
    </w:p>
    <w:p w:rsidR="008B18C3" w:rsidRPr="00C50BBE" w:rsidRDefault="008B18C3" w:rsidP="006C23FC">
      <w:pPr>
        <w:spacing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En esta tesitura, los a manera de ejemplo, los “Lineamientos para la integración y entrega del Informe Trimestral Municipal 2024”, emitidos por el Órgano Superior de Fiscalización del Estado de México, OSFEM, establecen los criterios, formatos y documentación necesaria para presentar los informes trimestrales por parte de los entes fiscalizables, integrando la información en cuatro Módulos, advirtiendo que el Módulo 1 cuenta con el submódulo “Pólizas”, mismo que contempla las pólizas de egresos con los respectivos documentos comprobatorios, información que se debe grabar en discos compactos, cada uno con un mes del trimestre, tal y como se muestra a continuación: </w:t>
      </w:r>
    </w:p>
    <w:p w:rsidR="008B18C3" w:rsidRPr="00C50BBE" w:rsidRDefault="008B18C3" w:rsidP="006C23FC">
      <w:pPr>
        <w:spacing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noProof/>
          <w:color w:val="000000" w:themeColor="text1"/>
          <w:sz w:val="24"/>
          <w:szCs w:val="24"/>
        </w:rPr>
        <w:drawing>
          <wp:inline distT="0" distB="0" distL="0" distR="0">
            <wp:extent cx="5612130" cy="2348865"/>
            <wp:effectExtent l="0" t="0" r="0" b="0"/>
            <wp:docPr id="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6"/>
                    <a:srcRect/>
                    <a:stretch>
                      <a:fillRect/>
                    </a:stretch>
                  </pic:blipFill>
                  <pic:spPr>
                    <a:xfrm>
                      <a:off x="0" y="0"/>
                      <a:ext cx="5612130" cy="2348865"/>
                    </a:xfrm>
                    <a:prstGeom prst="rect">
                      <a:avLst/>
                    </a:prstGeom>
                    <a:ln/>
                  </pic:spPr>
                </pic:pic>
              </a:graphicData>
            </a:graphic>
          </wp:inline>
        </w:drawing>
      </w: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lastRenderedPageBreak/>
        <w:t>De lo anterior se advierte primeramente que el Sujeto Obligado cuenta con atribuciones para generar, poseer y/o administrar la información solicitada, toda vez que son documentos que el Ayuntamiento genera en el ejercicio de sus atribuciones, ya que las pólizas de ingresos, egresos y de cheques dan cuenta de las operaciones contables en las que se produzca una entrada y salida de efectivo o erogaciones, mismas que deben de acompañarse de sus documentos comprobatorios, es decir, las facturas, sobre este término, se encuentra definido en el Glosario de Términos Hacendarios que emite el Instituto Hacendario del Estado de México, como:</w:t>
      </w:r>
    </w:p>
    <w:p w:rsidR="008B18C3" w:rsidRPr="00C50BBE" w:rsidRDefault="0059651D" w:rsidP="006C23FC">
      <w:pPr>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i/>
          <w:color w:val="000000" w:themeColor="text1"/>
          <w:sz w:val="24"/>
          <w:szCs w:val="24"/>
        </w:rPr>
        <w:t>“</w:t>
      </w:r>
      <w:r w:rsidRPr="00C50BBE">
        <w:rPr>
          <w:rFonts w:ascii="Palatino Linotype" w:eastAsia="Palatino Linotype" w:hAnsi="Palatino Linotype" w:cs="Palatino Linotype"/>
          <w:b/>
          <w:i/>
          <w:color w:val="000000" w:themeColor="text1"/>
          <w:sz w:val="24"/>
          <w:szCs w:val="24"/>
        </w:rPr>
        <w:t>FACTURA</w:t>
      </w:r>
    </w:p>
    <w:p w:rsidR="008B18C3" w:rsidRPr="00C50BBE" w:rsidRDefault="0059651D" w:rsidP="006C23FC">
      <w:pPr>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Es el documento fiscal que emite la persona física o moral para comprobar la venta o adquisición de un bien y/o servicio.” (Sic)</w:t>
      </w:r>
    </w:p>
    <w:p w:rsidR="008B18C3" w:rsidRPr="00C50BBE" w:rsidRDefault="008B18C3" w:rsidP="006C23FC">
      <w:pPr>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8B18C3" w:rsidRPr="00C50BBE" w:rsidRDefault="008B18C3" w:rsidP="006C23FC">
      <w:pPr>
        <w:spacing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w:t>
      </w:r>
      <w:r w:rsidRPr="00C50BBE">
        <w:rPr>
          <w:rFonts w:ascii="Palatino Linotype" w:eastAsia="Palatino Linotype" w:hAnsi="Palatino Linotype" w:cs="Palatino Linotype"/>
          <w:color w:val="000000" w:themeColor="text1"/>
          <w:sz w:val="24"/>
          <w:szCs w:val="24"/>
        </w:rPr>
        <w:lastRenderedPageBreak/>
        <w:t xml:space="preserve">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8B18C3" w:rsidRPr="00C50BBE" w:rsidRDefault="0059651D" w:rsidP="006C23FC">
      <w:pPr>
        <w:spacing w:line="276"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i/>
          <w:color w:val="000000" w:themeColor="text1"/>
          <w:sz w:val="24"/>
          <w:szCs w:val="24"/>
        </w:rPr>
        <w:t>“</w:t>
      </w:r>
      <w:r w:rsidRPr="00C50BBE">
        <w:rPr>
          <w:rFonts w:ascii="Palatino Linotype" w:eastAsia="Palatino Linotype" w:hAnsi="Palatino Linotype" w:cs="Palatino Linotype"/>
          <w:b/>
          <w:i/>
          <w:color w:val="000000" w:themeColor="text1"/>
          <w:sz w:val="24"/>
          <w:szCs w:val="24"/>
        </w:rPr>
        <w:t xml:space="preserve">REGISTRO CONTABLE </w:t>
      </w:r>
    </w:p>
    <w:p w:rsidR="008B18C3" w:rsidRPr="00C50BBE" w:rsidRDefault="0059651D" w:rsidP="006C23FC">
      <w:pPr>
        <w:spacing w:line="276" w:lineRule="auto"/>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Asiento que se realiza en los libros de contabilidad de las actividades relacionadas con el ingreso y egresos de un ente económico.” (Sic)</w:t>
      </w:r>
    </w:p>
    <w:p w:rsidR="008B18C3" w:rsidRPr="00C50BBE" w:rsidRDefault="0059651D" w:rsidP="006C23FC">
      <w:pPr>
        <w:spacing w:line="276" w:lineRule="auto"/>
        <w:jc w:val="both"/>
        <w:rPr>
          <w:rFonts w:ascii="Palatino Linotype" w:eastAsia="Palatino Linotype" w:hAnsi="Palatino Linotype" w:cs="Palatino Linotype"/>
          <w:b/>
          <w:i/>
          <w:color w:val="000000" w:themeColor="text1"/>
          <w:sz w:val="24"/>
          <w:szCs w:val="24"/>
        </w:rPr>
      </w:pPr>
      <w:r w:rsidRPr="00C50BBE">
        <w:rPr>
          <w:rFonts w:ascii="Palatino Linotype" w:eastAsia="Palatino Linotype" w:hAnsi="Palatino Linotype" w:cs="Palatino Linotype"/>
          <w:b/>
          <w:i/>
          <w:color w:val="000000" w:themeColor="text1"/>
          <w:sz w:val="24"/>
          <w:szCs w:val="24"/>
        </w:rPr>
        <w:t>“REGISTRO PRESUPUESTARIO</w:t>
      </w:r>
    </w:p>
    <w:p w:rsidR="008B18C3" w:rsidRPr="00C50BBE" w:rsidRDefault="0059651D" w:rsidP="006C23FC">
      <w:pPr>
        <w:spacing w:line="276" w:lineRule="auto"/>
        <w:jc w:val="both"/>
        <w:rPr>
          <w:rFonts w:ascii="Palatino Linotype" w:eastAsia="Palatino Linotype" w:hAnsi="Palatino Linotype" w:cs="Palatino Linotype"/>
          <w:i/>
          <w:color w:val="000000" w:themeColor="text1"/>
          <w:sz w:val="24"/>
          <w:szCs w:val="24"/>
        </w:rPr>
      </w:pPr>
      <w:r w:rsidRPr="00C50BBE">
        <w:rPr>
          <w:rFonts w:ascii="Palatino Linotype" w:eastAsia="Palatino Linotype" w:hAnsi="Palatino Linotype" w:cs="Palatino Linotype"/>
          <w:i/>
          <w:color w:val="000000" w:themeColor="text1"/>
          <w:sz w:val="24"/>
          <w:szCs w:val="24"/>
        </w:rPr>
        <w:t>Asiento contable de las erogaciones realizadas por las dependencias y entidades con relación a la asignación, modificación y ejercicio de los recursos presupuestarios que se les hayan autorizado.” (Sic)</w:t>
      </w:r>
    </w:p>
    <w:p w:rsidR="008B18C3" w:rsidRPr="00C50BBE" w:rsidRDefault="008B18C3" w:rsidP="006C23FC">
      <w:pPr>
        <w:spacing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Por otra parte, se establece que el sistema de contabilidad sobre base acumulativa total se sustentará en los principios de contabilidad gubernamental.</w:t>
      </w:r>
    </w:p>
    <w:p w:rsidR="008B18C3" w:rsidRPr="00C50BBE" w:rsidRDefault="008B18C3" w:rsidP="006C23FC">
      <w:pPr>
        <w:spacing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 que debe ser la Tesorería Municipal o equivalente.</w:t>
      </w:r>
    </w:p>
    <w:p w:rsidR="008B18C3" w:rsidRPr="00C50BBE" w:rsidRDefault="008B18C3" w:rsidP="006C23F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lastRenderedPageBreak/>
        <w:t xml:space="preserve">Dicho lo anterior, se observa que dentro de los recursos de revisión que nos ocupa, se proporcionaron las pólizas de pago, las cuales el </w:t>
      </w:r>
      <w:r w:rsidRPr="00C50BBE">
        <w:rPr>
          <w:rFonts w:ascii="Palatino Linotype" w:eastAsia="Palatino Linotype" w:hAnsi="Palatino Linotype" w:cs="Palatino Linotype"/>
          <w:b/>
          <w:color w:val="000000" w:themeColor="text1"/>
          <w:sz w:val="24"/>
          <w:szCs w:val="24"/>
        </w:rPr>
        <w:t xml:space="preserve">SUJETO OBLIGADO </w:t>
      </w:r>
      <w:r w:rsidRPr="00C50BBE">
        <w:rPr>
          <w:rFonts w:ascii="Palatino Linotype" w:eastAsia="Palatino Linotype" w:hAnsi="Palatino Linotype" w:cs="Palatino Linotype"/>
          <w:color w:val="000000" w:themeColor="text1"/>
          <w:sz w:val="24"/>
          <w:szCs w:val="24"/>
        </w:rPr>
        <w:t>remitió como póliza de egresos y las cuales dan cuenta de lo solicitado, mismas que a manera de ejemplo se inserta a continuación:</w:t>
      </w:r>
    </w:p>
    <w:p w:rsidR="008B18C3" w:rsidRPr="00C50BBE" w:rsidRDefault="008B18C3" w:rsidP="006C23FC">
      <w:pPr>
        <w:pBdr>
          <w:top w:val="nil"/>
          <w:left w:val="nil"/>
          <w:bottom w:val="nil"/>
          <w:right w:val="nil"/>
          <w:between w:val="nil"/>
        </w:pBdr>
        <w:spacing w:after="0" w:line="360" w:lineRule="auto"/>
        <w:rPr>
          <w:rFonts w:ascii="Palatino Linotype" w:eastAsia="Palatino Linotype" w:hAnsi="Palatino Linotype" w:cs="Palatino Linotype"/>
          <w:b/>
          <w:i/>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Es así que se considera que con la información remitida, no se colma en su totalidad el rubro relativo a las pólizas de pago solicitadas, asimismo no se soslaya que se hizo de conocimiento que, respecto al Oficio de catorce marzo de dos mil veinticinco, firmado por la Directora del DIF de Chiautla, por el que informó que se anexan las pólizas solicitadas, excepto las del mes de enero ya que no hubo egresos realizados en dicho mes por ser inicio de nueva Administración Pública, sin embargo del estudio de los archivos proporcionados en respuesta se observa que si se hizo entrega de los mismos, como se observa a continuación:</w:t>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noProof/>
          <w:color w:val="000000" w:themeColor="text1"/>
          <w:sz w:val="24"/>
          <w:szCs w:val="24"/>
        </w:rPr>
        <w:drawing>
          <wp:inline distT="0" distB="0" distL="0" distR="0">
            <wp:extent cx="5612130" cy="1268730"/>
            <wp:effectExtent l="0" t="0" r="0" b="0"/>
            <wp:docPr id="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7"/>
                    <a:srcRect/>
                    <a:stretch>
                      <a:fillRect/>
                    </a:stretch>
                  </pic:blipFill>
                  <pic:spPr>
                    <a:xfrm>
                      <a:off x="0" y="0"/>
                      <a:ext cx="5612130" cy="1268730"/>
                    </a:xfrm>
                    <a:prstGeom prst="rect">
                      <a:avLst/>
                    </a:prstGeom>
                    <a:ln/>
                  </pic:spPr>
                </pic:pic>
              </a:graphicData>
            </a:graphic>
          </wp:inline>
        </w:drawing>
      </w:r>
      <w:r w:rsidRPr="00C50BBE">
        <w:rPr>
          <w:rFonts w:ascii="Palatino Linotype" w:hAnsi="Palatino Linotype"/>
          <w:noProof/>
          <w:color w:val="000000" w:themeColor="text1"/>
          <w:sz w:val="24"/>
          <w:szCs w:val="24"/>
        </w:rPr>
        <mc:AlternateContent>
          <mc:Choice Requires="wpg">
            <w:drawing>
              <wp:anchor distT="0" distB="0" distL="114300" distR="114300" simplePos="0" relativeHeight="251661312" behindDoc="0" locked="0" layoutInCell="1" hidden="0" allowOverlap="1">
                <wp:simplePos x="0" y="0"/>
                <wp:positionH relativeFrom="column">
                  <wp:posOffset>4664491</wp:posOffset>
                </wp:positionH>
                <wp:positionV relativeFrom="paragraph">
                  <wp:posOffset>536453</wp:posOffset>
                </wp:positionV>
                <wp:extent cx="1118821" cy="512152"/>
                <wp:effectExtent l="0" t="0" r="0" b="0"/>
                <wp:wrapNone/>
                <wp:docPr id="58" name="Elipse 58"/>
                <wp:cNvGraphicFramePr/>
                <a:graphic xmlns:a="http://schemas.openxmlformats.org/drawingml/2006/main">
                  <a:graphicData uri="http://schemas.microsoft.com/office/word/2010/wordprocessingShape">
                    <wps:wsp>
                      <wps:cNvSpPr/>
                      <wps:spPr>
                        <a:xfrm>
                          <a:off x="4800877" y="3538212"/>
                          <a:ext cx="1090246" cy="483577"/>
                        </a:xfrm>
                        <a:prstGeom prst="ellipse">
                          <a:avLst/>
                        </a:prstGeom>
                        <a:noFill/>
                        <a:ln w="28575" cap="flat" cmpd="sng">
                          <a:solidFill>
                            <a:srgbClr val="FF0000"/>
                          </a:solidFill>
                          <a:prstDash val="solid"/>
                          <a:miter lim="800000"/>
                          <a:headEnd type="none" w="sm" len="sm"/>
                          <a:tailEnd type="none" w="sm" len="sm"/>
                        </a:ln>
                      </wps:spPr>
                      <wps:txbx>
                        <w:txbxContent>
                          <w:p w:rsidR="008B18C3" w:rsidRDefault="008B18C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4664491</wp:posOffset>
                </wp:positionH>
                <wp:positionV relativeFrom="paragraph">
                  <wp:posOffset>536453</wp:posOffset>
                </wp:positionV>
                <wp:extent cx="1118821" cy="512152"/>
                <wp:effectExtent b="0" l="0" r="0" t="0"/>
                <wp:wrapNone/>
                <wp:docPr id="58" name="image15.png"/>
                <a:graphic>
                  <a:graphicData uri="http://schemas.openxmlformats.org/drawingml/2006/picture">
                    <pic:pic>
                      <pic:nvPicPr>
                        <pic:cNvPr id="0" name="image15.png"/>
                        <pic:cNvPicPr preferRelativeResize="0"/>
                      </pic:nvPicPr>
                      <pic:blipFill>
                        <a:blip r:embed="rId69"/>
                        <a:srcRect/>
                        <a:stretch>
                          <a:fillRect/>
                        </a:stretch>
                      </pic:blipFill>
                      <pic:spPr>
                        <a:xfrm>
                          <a:off x="0" y="0"/>
                          <a:ext cx="1118821" cy="512152"/>
                        </a:xfrm>
                        <a:prstGeom prst="rect"/>
                        <a:ln/>
                      </pic:spPr>
                    </pic:pic>
                  </a:graphicData>
                </a:graphic>
              </wp:anchor>
            </w:drawing>
          </mc:Fallback>
        </mc:AlternateContent>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Es por lo anterior, que resulta dable ordenar al </w:t>
      </w:r>
      <w:r w:rsidRPr="00C50BBE">
        <w:rPr>
          <w:rFonts w:ascii="Palatino Linotype" w:eastAsia="Palatino Linotype" w:hAnsi="Palatino Linotype" w:cs="Palatino Linotype"/>
          <w:b/>
          <w:color w:val="000000" w:themeColor="text1"/>
          <w:sz w:val="24"/>
          <w:szCs w:val="24"/>
        </w:rPr>
        <w:t xml:space="preserve">SUJETO OBLIGADO, </w:t>
      </w:r>
      <w:r w:rsidRPr="00C50BBE">
        <w:rPr>
          <w:rFonts w:ascii="Palatino Linotype" w:eastAsia="Palatino Linotype" w:hAnsi="Palatino Linotype" w:cs="Palatino Linotype"/>
          <w:color w:val="000000" w:themeColor="text1"/>
          <w:sz w:val="24"/>
          <w:szCs w:val="24"/>
        </w:rPr>
        <w:t>haga entrega de la información solicitada en correcta versión pública, debiendo acompañarla del Acuerdo por el que se funde y motive la clasificación de la información que dada su naturaleza así lo amerite.</w:t>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lastRenderedPageBreak/>
        <w:t xml:space="preserve">Finalmente, respecto la información que se ordena entregar, es necesario precisar que de la información solicitada por el </w:t>
      </w:r>
      <w:r w:rsidRPr="00C50BBE">
        <w:rPr>
          <w:rFonts w:ascii="Palatino Linotype" w:eastAsia="Palatino Linotype" w:hAnsi="Palatino Linotype" w:cs="Palatino Linotype"/>
          <w:b/>
          <w:color w:val="000000" w:themeColor="text1"/>
          <w:sz w:val="24"/>
          <w:szCs w:val="24"/>
        </w:rPr>
        <w:t xml:space="preserve">RECURRENTE </w:t>
      </w:r>
      <w:r w:rsidRPr="00C50BBE">
        <w:rPr>
          <w:rFonts w:ascii="Palatino Linotype" w:eastAsia="Palatino Linotype" w:hAnsi="Palatino Linotype" w:cs="Palatino Linotype"/>
          <w:color w:val="000000" w:themeColor="text1"/>
          <w:sz w:val="24"/>
          <w:szCs w:val="24"/>
        </w:rPr>
        <w:t xml:space="preserve">se puede derivar la entrega de información del personal que esté adscrito al área de seguridad pública, por lo que este tipo de información deberá ser manejada por el </w:t>
      </w:r>
      <w:r w:rsidRPr="00C50BBE">
        <w:rPr>
          <w:rFonts w:ascii="Palatino Linotype" w:eastAsia="Palatino Linotype" w:hAnsi="Palatino Linotype" w:cs="Palatino Linotype"/>
          <w:b/>
          <w:color w:val="000000" w:themeColor="text1"/>
          <w:sz w:val="24"/>
          <w:szCs w:val="24"/>
        </w:rPr>
        <w:t>SUJETO OBLIGADO</w:t>
      </w:r>
      <w:r w:rsidRPr="00C50BBE">
        <w:rPr>
          <w:rFonts w:ascii="Palatino Linotype" w:eastAsia="Palatino Linotype" w:hAnsi="Palatino Linotype" w:cs="Palatino Linotype"/>
          <w:color w:val="000000" w:themeColor="text1"/>
          <w:sz w:val="24"/>
          <w:szCs w:val="24"/>
        </w:rPr>
        <w:t xml:space="preserve"> con el </w:t>
      </w:r>
      <w:r w:rsidRPr="00C50BBE">
        <w:rPr>
          <w:rFonts w:ascii="Palatino Linotype" w:eastAsia="Palatino Linotype" w:hAnsi="Palatino Linotype" w:cs="Palatino Linotype"/>
          <w:b/>
          <w:color w:val="000000" w:themeColor="text1"/>
          <w:sz w:val="24"/>
          <w:szCs w:val="24"/>
        </w:rPr>
        <w:t>carácter de reservado</w:t>
      </w:r>
      <w:r w:rsidRPr="00C50BBE">
        <w:rPr>
          <w:rFonts w:ascii="Palatino Linotype" w:eastAsia="Palatino Linotype" w:hAnsi="Palatino Linotype" w:cs="Palatino Linotype"/>
          <w:color w:val="000000" w:themeColor="text1"/>
          <w:sz w:val="24"/>
          <w:szCs w:val="24"/>
        </w:rPr>
        <w:t>, ya que los elementos operativos se dedican a combatir de manera directa a los delincuentes en el municipio, así como a prevenir la actividad delictiva.</w:t>
      </w:r>
    </w:p>
    <w:p w:rsidR="008B18C3" w:rsidRPr="00C50BBE" w:rsidRDefault="008B18C3" w:rsidP="006C23F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En ese orden de ideas si bien por regla general los nombres de los </w:t>
      </w:r>
      <w:r w:rsidRPr="00C50BBE">
        <w:rPr>
          <w:rFonts w:ascii="Palatino Linotype" w:eastAsia="Palatino Linotype" w:hAnsi="Palatino Linotype" w:cs="Palatino Linotype"/>
          <w:b/>
          <w:i/>
          <w:color w:val="000000" w:themeColor="text1"/>
          <w:sz w:val="24"/>
          <w:szCs w:val="24"/>
        </w:rPr>
        <w:t>trabajadores</w:t>
      </w:r>
      <w:r w:rsidRPr="00C50BBE">
        <w:rPr>
          <w:rFonts w:ascii="Palatino Linotype" w:eastAsia="Palatino Linotype" w:hAnsi="Palatino Linotype" w:cs="Palatino Linotype"/>
          <w:color w:val="000000" w:themeColor="text1"/>
          <w:sz w:val="24"/>
          <w:szCs w:val="24"/>
        </w:rPr>
        <w:t xml:space="preserve"> gubernamentales son información pública de oficio, existe una excepción relativa a aquellos que realicen actividades operativas en materia de seguridad, como es el caso de los elementos operativos y la policía municipal.</w:t>
      </w:r>
    </w:p>
    <w:p w:rsidR="008B18C3" w:rsidRPr="00C50BBE" w:rsidRDefault="008B18C3" w:rsidP="006C23FC">
      <w:pPr>
        <w:pBdr>
          <w:top w:val="nil"/>
          <w:left w:val="nil"/>
          <w:bottom w:val="nil"/>
          <w:right w:val="nil"/>
          <w:between w:val="nil"/>
        </w:pBdr>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Por lo que dar a conocer el nombre de las personas,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8B18C3" w:rsidRPr="00C50BBE" w:rsidRDefault="008B18C3" w:rsidP="006C23F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lastRenderedPageBreak/>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008B18C3" w:rsidRPr="00C50BBE" w:rsidRDefault="008B18C3" w:rsidP="006C23F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Por tales consideraciones, resulta procedente la clasificación como reservados del nombre de los elementos operativos de la Dirección de Seguridad Pública, en términos del artículo 140, fracción IV, de la Ley de Transparencia y Acceso a la Información Pública del Estado de México y Municipios.</w:t>
      </w:r>
    </w:p>
    <w:p w:rsidR="008B18C3" w:rsidRPr="00C50BBE"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Es así que una vez realizadas las precisiones anteriores, se arriba a la conclusión de </w:t>
      </w:r>
      <w:r w:rsidRPr="00C50BBE">
        <w:rPr>
          <w:rFonts w:ascii="Palatino Linotype" w:eastAsia="Palatino Linotype" w:hAnsi="Palatino Linotype" w:cs="Palatino Linotype"/>
          <w:b/>
          <w:color w:val="000000" w:themeColor="text1"/>
          <w:sz w:val="24"/>
          <w:szCs w:val="24"/>
        </w:rPr>
        <w:t xml:space="preserve">MODIFICAR, </w:t>
      </w:r>
      <w:r w:rsidRPr="00C50BBE">
        <w:rPr>
          <w:rFonts w:ascii="Palatino Linotype" w:eastAsia="Palatino Linotype" w:hAnsi="Palatino Linotype" w:cs="Palatino Linotype"/>
          <w:color w:val="000000" w:themeColor="text1"/>
          <w:sz w:val="24"/>
          <w:szCs w:val="24"/>
        </w:rPr>
        <w:t xml:space="preserve">la respuesta proporcionada por el </w:t>
      </w:r>
      <w:r w:rsidRPr="00C50BBE">
        <w:rPr>
          <w:rFonts w:ascii="Palatino Linotype" w:eastAsia="Palatino Linotype" w:hAnsi="Palatino Linotype" w:cs="Palatino Linotype"/>
          <w:b/>
          <w:color w:val="000000" w:themeColor="text1"/>
          <w:sz w:val="24"/>
          <w:szCs w:val="24"/>
        </w:rPr>
        <w:t>SUJETO OBLIGADO,</w:t>
      </w:r>
      <w:r w:rsidRPr="00C50BBE">
        <w:rPr>
          <w:rFonts w:ascii="Palatino Linotype" w:eastAsia="Palatino Linotype" w:hAnsi="Palatino Linotype" w:cs="Palatino Linotype"/>
          <w:color w:val="000000" w:themeColor="text1"/>
          <w:sz w:val="24"/>
          <w:szCs w:val="24"/>
        </w:rPr>
        <w:t xml:space="preserve"> por no resultar suficientes para tener por colmada en su totalidad las solicitudes de información que nos ocupan</w:t>
      </w:r>
      <w:r w:rsidRPr="00C50BBE">
        <w:rPr>
          <w:rFonts w:ascii="Palatino Linotype" w:eastAsia="Palatino Linotype" w:hAnsi="Palatino Linotype" w:cs="Palatino Linotype"/>
          <w:b/>
          <w:color w:val="000000" w:themeColor="text1"/>
          <w:sz w:val="24"/>
          <w:szCs w:val="24"/>
        </w:rPr>
        <w:t>.</w:t>
      </w:r>
    </w:p>
    <w:p w:rsidR="008B18C3" w:rsidRPr="00C50BBE" w:rsidRDefault="008B18C3" w:rsidP="006C23FC">
      <w:pPr>
        <w:spacing w:line="276" w:lineRule="auto"/>
        <w:rPr>
          <w:rFonts w:ascii="Palatino Linotype" w:eastAsia="Palatino Linotype" w:hAnsi="Palatino Linotype" w:cs="Palatino Linotype"/>
          <w:color w:val="000000" w:themeColor="text1"/>
          <w:sz w:val="24"/>
          <w:szCs w:val="24"/>
        </w:rPr>
      </w:pPr>
    </w:p>
    <w:p w:rsidR="008B18C3" w:rsidRPr="00C50BBE" w:rsidRDefault="0059651D" w:rsidP="006C23FC">
      <w:pPr>
        <w:keepNext/>
        <w:keepLines/>
        <w:spacing w:line="360" w:lineRule="auto"/>
        <w:rPr>
          <w:rFonts w:ascii="Palatino Linotype" w:eastAsia="Palatino Linotype" w:hAnsi="Palatino Linotype" w:cs="Palatino Linotype"/>
          <w:b/>
          <w:color w:val="000000" w:themeColor="text1"/>
          <w:sz w:val="24"/>
          <w:szCs w:val="24"/>
        </w:rPr>
      </w:pPr>
      <w:r w:rsidRPr="00C50BBE">
        <w:rPr>
          <w:rFonts w:ascii="Palatino Linotype" w:eastAsia="Palatino Linotype" w:hAnsi="Palatino Linotype" w:cs="Palatino Linotype"/>
          <w:b/>
          <w:color w:val="000000" w:themeColor="text1"/>
          <w:sz w:val="24"/>
          <w:szCs w:val="24"/>
        </w:rPr>
        <w:t>QUINTO. De la versión pública.</w:t>
      </w:r>
    </w:p>
    <w:p w:rsidR="008B18C3" w:rsidRPr="00C50BBE" w:rsidRDefault="0059651D" w:rsidP="006C23FC">
      <w:pPr>
        <w:keepNext/>
        <w:keepLines/>
        <w:numPr>
          <w:ilvl w:val="0"/>
          <w:numId w:val="6"/>
        </w:numPr>
        <w:tabs>
          <w:tab w:val="left" w:pos="284"/>
        </w:tabs>
        <w:spacing w:line="360" w:lineRule="auto"/>
        <w:ind w:left="0" w:firstLine="0"/>
        <w:rPr>
          <w:rFonts w:ascii="Palatino Linotype" w:eastAsia="Palatino Linotype" w:hAnsi="Palatino Linotype" w:cs="Palatino Linotype"/>
          <w:b/>
          <w:color w:val="000000" w:themeColor="text1"/>
          <w:sz w:val="24"/>
          <w:szCs w:val="24"/>
        </w:rPr>
      </w:pPr>
      <w:bookmarkStart w:id="5" w:name="_heading=h.lnxbz9" w:colFirst="0" w:colLast="0"/>
      <w:bookmarkEnd w:id="5"/>
      <w:r w:rsidRPr="00C50BBE">
        <w:rPr>
          <w:rFonts w:ascii="Palatino Linotype" w:eastAsia="Palatino Linotype" w:hAnsi="Palatino Linotype" w:cs="Palatino Linotype"/>
          <w:b/>
          <w:color w:val="000000" w:themeColor="text1"/>
          <w:sz w:val="24"/>
          <w:szCs w:val="24"/>
        </w:rPr>
        <w:t xml:space="preserve">Nociones generales. </w:t>
      </w:r>
    </w:p>
    <w:p w:rsidR="008B18C3" w:rsidRPr="00B647F1" w:rsidRDefault="0059651D" w:rsidP="00B647F1">
      <w:pPr>
        <w:pStyle w:val="Prrafodelista"/>
        <w:numPr>
          <w:ilvl w:val="0"/>
          <w:numId w:val="1"/>
        </w:numPr>
        <w:spacing w:line="360" w:lineRule="auto"/>
        <w:jc w:val="both"/>
        <w:rPr>
          <w:rFonts w:ascii="Palatino Linotype" w:eastAsia="Palatino Linotype" w:hAnsi="Palatino Linotype" w:cs="Palatino Linotype"/>
          <w:color w:val="000000" w:themeColor="text1"/>
        </w:rPr>
      </w:pPr>
      <w:r w:rsidRPr="00B647F1">
        <w:rPr>
          <w:rFonts w:ascii="Palatino Linotype" w:eastAsia="Palatino Linotype" w:hAnsi="Palatino Linotype" w:cs="Palatino Linotype"/>
          <w:color w:val="000000" w:themeColor="text1"/>
        </w:rPr>
        <w:t xml:space="preserve">Debe destacarse, que debido a la información solicitada por el </w:t>
      </w:r>
      <w:r w:rsidRPr="00B647F1">
        <w:rPr>
          <w:rFonts w:ascii="Palatino Linotype" w:eastAsia="Palatino Linotype" w:hAnsi="Palatino Linotype" w:cs="Palatino Linotype"/>
          <w:b/>
          <w:color w:val="000000" w:themeColor="text1"/>
        </w:rPr>
        <w:t xml:space="preserve">RECURRENTE, pueden obrar </w:t>
      </w:r>
      <w:r w:rsidRPr="00B647F1">
        <w:rPr>
          <w:rFonts w:ascii="Palatino Linotype" w:eastAsia="Palatino Linotype" w:hAnsi="Palatino Linotype" w:cs="Palatino Linotype"/>
          <w:color w:val="000000" w:themeColor="text1"/>
        </w:rPr>
        <w:t xml:space="preserve">datos personales susceptibles de protegerse, así como información susceptible de clasificarse como confidenciales,  por lo que el </w:t>
      </w:r>
      <w:r w:rsidRPr="00B647F1">
        <w:rPr>
          <w:rFonts w:ascii="Palatino Linotype" w:eastAsia="Palatino Linotype" w:hAnsi="Palatino Linotype" w:cs="Palatino Linotype"/>
          <w:b/>
          <w:color w:val="000000" w:themeColor="text1"/>
        </w:rPr>
        <w:t xml:space="preserve">SUJETO OBLIGADO </w:t>
      </w:r>
      <w:r w:rsidRPr="00B647F1">
        <w:rPr>
          <w:rFonts w:ascii="Palatino Linotype" w:eastAsia="Palatino Linotype" w:hAnsi="Palatino Linotype" w:cs="Palatino Linotype"/>
          <w:color w:val="000000" w:themeColor="text1"/>
        </w:rPr>
        <w:t xml:space="preserve">deberá de hacer la </w:t>
      </w:r>
      <w:r w:rsidRPr="00B647F1">
        <w:rPr>
          <w:rFonts w:ascii="Palatino Linotype" w:eastAsia="Palatino Linotype" w:hAnsi="Palatino Linotype" w:cs="Palatino Linotype"/>
          <w:color w:val="000000" w:themeColor="text1"/>
        </w:rPr>
        <w:lastRenderedPageBreak/>
        <w:t xml:space="preserve">adecuada versión pública, protegiendo los datos que no son susceptibles de ser proporcionados. </w:t>
      </w:r>
    </w:p>
    <w:p w:rsidR="008B18C3" w:rsidRPr="00C50BBE" w:rsidRDefault="008B18C3" w:rsidP="006C23FC">
      <w:pPr>
        <w:tabs>
          <w:tab w:val="left" w:pos="0"/>
          <w:tab w:val="left" w:pos="284"/>
        </w:tabs>
        <w:spacing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B647F1">
      <w:pPr>
        <w:numPr>
          <w:ilvl w:val="0"/>
          <w:numId w:val="1"/>
        </w:numP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No pasa desapercibido para este Órgano Garante que los sujetos obligados</w:t>
      </w:r>
      <w:r w:rsidRPr="00C50BBE">
        <w:rPr>
          <w:rFonts w:ascii="Palatino Linotype" w:eastAsia="Palatino Linotype" w:hAnsi="Palatino Linotype" w:cs="Palatino Linotype"/>
          <w:b/>
          <w:color w:val="000000" w:themeColor="text1"/>
          <w:sz w:val="24"/>
          <w:szCs w:val="24"/>
        </w:rPr>
        <w:t xml:space="preserve"> </w:t>
      </w:r>
      <w:r w:rsidRPr="00C50BBE">
        <w:rPr>
          <w:rFonts w:ascii="Palatino Linotype" w:eastAsia="Palatino Linotype" w:hAnsi="Palatino Linotype" w:cs="Palatino Linotype"/>
          <w:color w:val="000000" w:themeColor="text1"/>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8B18C3" w:rsidRPr="00C50BBE" w:rsidRDefault="008B18C3" w:rsidP="006C23FC">
      <w:pPr>
        <w:tabs>
          <w:tab w:val="left" w:pos="284"/>
        </w:tabs>
        <w:spacing w:line="360" w:lineRule="auto"/>
        <w:jc w:val="both"/>
        <w:rPr>
          <w:rFonts w:ascii="Palatino Linotype" w:eastAsia="Palatino Linotype" w:hAnsi="Palatino Linotype" w:cs="Palatino Linotype"/>
          <w:color w:val="000000" w:themeColor="text1"/>
          <w:sz w:val="24"/>
          <w:szCs w:val="24"/>
        </w:rPr>
      </w:pPr>
    </w:p>
    <w:tbl>
      <w:tblPr>
        <w:tblStyle w:val="a4"/>
        <w:tblW w:w="977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087"/>
      </w:tblGrid>
      <w:tr w:rsidR="006C23FC" w:rsidRPr="00C50BBE" w:rsidTr="00B647F1">
        <w:tc>
          <w:tcPr>
            <w:tcW w:w="2689" w:type="dxa"/>
          </w:tcPr>
          <w:p w:rsidR="008B18C3" w:rsidRPr="00C50BBE" w:rsidRDefault="0059651D" w:rsidP="006C23FC">
            <w:pPr>
              <w:tabs>
                <w:tab w:val="left" w:pos="284"/>
              </w:tabs>
              <w:spacing w:line="360" w:lineRule="auto"/>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a) Requisitos previos.</w:t>
            </w:r>
          </w:p>
        </w:tc>
        <w:tc>
          <w:tcPr>
            <w:tcW w:w="7087" w:type="dxa"/>
          </w:tcPr>
          <w:p w:rsidR="008B18C3" w:rsidRPr="00C50BBE" w:rsidRDefault="0059651D" w:rsidP="006C23FC">
            <w:pPr>
              <w:tabs>
                <w:tab w:val="left" w:pos="284"/>
              </w:tabs>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8B18C3" w:rsidRPr="00C50BBE" w:rsidRDefault="0059651D" w:rsidP="006C23FC">
            <w:pPr>
              <w:tabs>
                <w:tab w:val="left" w:pos="284"/>
              </w:tabs>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Al hacerlo tienen que precisar de qué información se trata, señalando el supuesto de clasificación (confidencialidad o reserva).</w:t>
            </w:r>
          </w:p>
          <w:p w:rsidR="008B18C3" w:rsidRPr="00C50BBE" w:rsidRDefault="0059651D" w:rsidP="006C23FC">
            <w:pPr>
              <w:tabs>
                <w:tab w:val="left" w:pos="284"/>
              </w:tabs>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Además, se debe señalar el procedimiento, de los tres que establecen los artículos 132 y 106 de la Ley Estatal y General, respectivamente.</w:t>
            </w:r>
          </w:p>
          <w:p w:rsidR="008B18C3" w:rsidRPr="00C50BBE" w:rsidRDefault="0059651D" w:rsidP="006C23FC">
            <w:pPr>
              <w:tabs>
                <w:tab w:val="left" w:pos="284"/>
              </w:tabs>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El último de estos requisitos previos consiste en que no se pueden emitir acuerdos de carácter general ni particular, esto es, </w:t>
            </w:r>
            <w:r w:rsidRPr="00C50BBE">
              <w:rPr>
                <w:rFonts w:ascii="Palatino Linotype" w:eastAsia="Palatino Linotype" w:hAnsi="Palatino Linotype" w:cs="Palatino Linotype"/>
                <w:color w:val="000000" w:themeColor="text1"/>
                <w:sz w:val="24"/>
                <w:szCs w:val="24"/>
                <w:u w:val="single"/>
              </w:rPr>
              <w:t xml:space="preserve">no se </w:t>
            </w:r>
            <w:r w:rsidRPr="00C50BBE">
              <w:rPr>
                <w:rFonts w:ascii="Palatino Linotype" w:eastAsia="Palatino Linotype" w:hAnsi="Palatino Linotype" w:cs="Palatino Linotype"/>
                <w:color w:val="000000" w:themeColor="text1"/>
                <w:sz w:val="24"/>
                <w:szCs w:val="24"/>
                <w:u w:val="single"/>
              </w:rPr>
              <w:lastRenderedPageBreak/>
              <w:t>puede hacer un acuerdo para clasificar de manera general todos los documentos de un expediente o área, sin</w:t>
            </w:r>
            <w:r w:rsidRPr="00C50BBE">
              <w:rPr>
                <w:rFonts w:ascii="Palatino Linotype" w:eastAsia="Palatino Linotype" w:hAnsi="Palatino Linotype" w:cs="Palatino Linotype"/>
                <w:color w:val="000000" w:themeColor="text1"/>
                <w:sz w:val="24"/>
                <w:szCs w:val="24"/>
              </w:rPr>
              <w:t xml:space="preserve"> individualizar su análisis y tampoco se puede hacer un acuerdo por cada dato que se vaya a clasificar dentro de un documento con diez datos, por ejemplo, susceptibles de ser clasificados.</w:t>
            </w:r>
          </w:p>
        </w:tc>
      </w:tr>
      <w:tr w:rsidR="006C23FC" w:rsidRPr="00C50BBE" w:rsidTr="00B647F1">
        <w:tc>
          <w:tcPr>
            <w:tcW w:w="2689" w:type="dxa"/>
          </w:tcPr>
          <w:p w:rsidR="008B18C3" w:rsidRPr="00C50BBE" w:rsidRDefault="0059651D" w:rsidP="006C23FC">
            <w:pPr>
              <w:tabs>
                <w:tab w:val="left" w:pos="284"/>
              </w:tabs>
              <w:spacing w:line="360" w:lineRule="auto"/>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lastRenderedPageBreak/>
              <w:t>b) Supuestos de clasificación.</w:t>
            </w:r>
          </w:p>
        </w:tc>
        <w:tc>
          <w:tcPr>
            <w:tcW w:w="7087" w:type="dxa"/>
          </w:tcPr>
          <w:p w:rsidR="008B18C3" w:rsidRPr="00C50BBE" w:rsidRDefault="0059651D" w:rsidP="006C23FC">
            <w:pPr>
              <w:tabs>
                <w:tab w:val="left" w:pos="284"/>
              </w:tabs>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Las disposiciones constitucionales y legales en la materia establecen los dos supuestos generales para clasificar la información: por reserva y por confidencialidad.</w:t>
            </w:r>
          </w:p>
          <w:p w:rsidR="008B18C3" w:rsidRPr="00C50BBE" w:rsidRDefault="0059651D" w:rsidP="006C23FC">
            <w:pPr>
              <w:tabs>
                <w:tab w:val="left" w:pos="284"/>
              </w:tabs>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8B18C3" w:rsidRPr="00C50BBE" w:rsidRDefault="0059651D" w:rsidP="006C23FC">
            <w:pPr>
              <w:tabs>
                <w:tab w:val="left" w:pos="284"/>
              </w:tabs>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El </w:t>
            </w:r>
            <w:r w:rsidRPr="00C50BBE">
              <w:rPr>
                <w:rFonts w:ascii="Palatino Linotype" w:eastAsia="Palatino Linotype" w:hAnsi="Palatino Linotype" w:cs="Palatino Linotype"/>
                <w:b/>
                <w:color w:val="000000" w:themeColor="text1"/>
                <w:sz w:val="24"/>
                <w:szCs w:val="24"/>
              </w:rPr>
              <w:t>Sujeto Obligado</w:t>
            </w:r>
            <w:r w:rsidRPr="00C50BBE">
              <w:rPr>
                <w:rFonts w:ascii="Palatino Linotype" w:eastAsia="Palatino Linotype" w:hAnsi="Palatino Linotype" w:cs="Palatino Linotype"/>
                <w:color w:val="000000" w:themeColor="text1"/>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C23FC" w:rsidRPr="00C50BBE" w:rsidTr="00B647F1">
        <w:tc>
          <w:tcPr>
            <w:tcW w:w="2689" w:type="dxa"/>
          </w:tcPr>
          <w:p w:rsidR="008B18C3" w:rsidRPr="00C50BBE" w:rsidRDefault="0059651D" w:rsidP="006C23FC">
            <w:pPr>
              <w:tabs>
                <w:tab w:val="left" w:pos="284"/>
              </w:tabs>
              <w:spacing w:line="360" w:lineRule="auto"/>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lastRenderedPageBreak/>
              <w:t>c) Formalidades para emitir el acuerdo de clasificación.</w:t>
            </w:r>
          </w:p>
        </w:tc>
        <w:tc>
          <w:tcPr>
            <w:tcW w:w="7087" w:type="dxa"/>
          </w:tcPr>
          <w:p w:rsidR="008B18C3" w:rsidRPr="00C50BBE" w:rsidRDefault="0059651D" w:rsidP="006C23FC">
            <w:pPr>
              <w:tabs>
                <w:tab w:val="left" w:pos="284"/>
              </w:tabs>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El Comité de Transparencia, según lo dispuesto en los artículos cuenta con las facultades para aprobar, modificar o revocar la clasificación de la información que haya propuesto. </w:t>
            </w:r>
          </w:p>
          <w:p w:rsidR="008B18C3" w:rsidRPr="00C50BBE" w:rsidRDefault="0059651D" w:rsidP="006C23FC">
            <w:pPr>
              <w:tabs>
                <w:tab w:val="left" w:pos="284"/>
              </w:tabs>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Es necesario que </w:t>
            </w:r>
            <w:r w:rsidRPr="00C50BBE">
              <w:rPr>
                <w:rFonts w:ascii="Palatino Linotype" w:eastAsia="Palatino Linotype" w:hAnsi="Palatino Linotype" w:cs="Palatino Linotype"/>
                <w:b/>
                <w:color w:val="000000" w:themeColor="text1"/>
                <w:sz w:val="24"/>
                <w:szCs w:val="24"/>
                <w:u w:val="single"/>
              </w:rPr>
              <w:t>el acto reúna con los requisitos elementales</w:t>
            </w:r>
            <w:r w:rsidRPr="00C50BBE">
              <w:rPr>
                <w:rFonts w:ascii="Palatino Linotype" w:eastAsia="Palatino Linotype" w:hAnsi="Palatino Linotype" w:cs="Palatino Linotype"/>
                <w:color w:val="000000" w:themeColor="text1"/>
                <w:sz w:val="24"/>
                <w:szCs w:val="24"/>
              </w:rPr>
              <w:t>, entre ellos, que la autoridad que va a emitir el acto de autoridad sea la legalmente facultada para ello.</w:t>
            </w:r>
          </w:p>
          <w:p w:rsidR="008B18C3" w:rsidRPr="00C50BBE" w:rsidRDefault="0059651D" w:rsidP="006C23FC">
            <w:pPr>
              <w:tabs>
                <w:tab w:val="left" w:pos="284"/>
              </w:tabs>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C23FC" w:rsidRPr="00C50BBE" w:rsidTr="00B647F1">
        <w:tc>
          <w:tcPr>
            <w:tcW w:w="2689" w:type="dxa"/>
          </w:tcPr>
          <w:p w:rsidR="008B18C3" w:rsidRPr="00C50BBE" w:rsidRDefault="008B18C3" w:rsidP="006C23FC">
            <w:pPr>
              <w:tabs>
                <w:tab w:val="left" w:pos="284"/>
              </w:tabs>
              <w:spacing w:line="360" w:lineRule="auto"/>
              <w:rPr>
                <w:rFonts w:ascii="Palatino Linotype" w:eastAsia="Palatino Linotype" w:hAnsi="Palatino Linotype" w:cs="Palatino Linotype"/>
                <w:color w:val="000000" w:themeColor="text1"/>
                <w:sz w:val="24"/>
                <w:szCs w:val="24"/>
              </w:rPr>
            </w:pPr>
          </w:p>
          <w:p w:rsidR="008B18C3" w:rsidRPr="00C50BBE" w:rsidRDefault="0059651D" w:rsidP="006C23FC">
            <w:pPr>
              <w:tabs>
                <w:tab w:val="left" w:pos="284"/>
              </w:tabs>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d) Requisitos de fondo del acuerdo de clasificación. </w:t>
            </w:r>
          </w:p>
        </w:tc>
        <w:tc>
          <w:tcPr>
            <w:tcW w:w="7087" w:type="dxa"/>
          </w:tcPr>
          <w:p w:rsidR="008B18C3" w:rsidRPr="00C50BBE" w:rsidRDefault="0059651D" w:rsidP="006C23FC">
            <w:pPr>
              <w:tabs>
                <w:tab w:val="left" w:pos="284"/>
              </w:tabs>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50BBE">
              <w:rPr>
                <w:rFonts w:ascii="Palatino Linotype" w:eastAsia="Palatino Linotype" w:hAnsi="Palatino Linotype" w:cs="Palatino Linotype"/>
                <w:b/>
                <w:color w:val="000000" w:themeColor="text1"/>
                <w:sz w:val="24"/>
                <w:szCs w:val="24"/>
              </w:rPr>
              <w:t>Sujetos Obligados</w:t>
            </w:r>
            <w:r w:rsidRPr="00C50BBE">
              <w:rPr>
                <w:rFonts w:ascii="Palatino Linotype" w:eastAsia="Palatino Linotype" w:hAnsi="Palatino Linotype" w:cs="Palatino Linotype"/>
                <w:color w:val="000000" w:themeColor="text1"/>
                <w:sz w:val="24"/>
                <w:szCs w:val="24"/>
              </w:rPr>
              <w:t xml:space="preserve">, por lo que deberán fundar y motivar debidamente la clasificación. </w:t>
            </w:r>
          </w:p>
          <w:p w:rsidR="008B18C3" w:rsidRPr="00C50BBE" w:rsidRDefault="0059651D" w:rsidP="006C23FC">
            <w:pPr>
              <w:tabs>
                <w:tab w:val="left" w:pos="284"/>
              </w:tabs>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lastRenderedPageBreak/>
              <w:t xml:space="preserve">De lo anterior, se desprende que para una correcta </w:t>
            </w:r>
            <w:r w:rsidRPr="00C50BBE">
              <w:rPr>
                <w:rFonts w:ascii="Palatino Linotype" w:eastAsia="Palatino Linotype" w:hAnsi="Palatino Linotype" w:cs="Palatino Linotype"/>
                <w:b/>
                <w:color w:val="000000" w:themeColor="text1"/>
                <w:sz w:val="24"/>
                <w:szCs w:val="24"/>
              </w:rPr>
              <w:t>clasificación total o parcial</w:t>
            </w:r>
            <w:r w:rsidRPr="00C50BBE">
              <w:rPr>
                <w:rFonts w:ascii="Palatino Linotype" w:eastAsia="Palatino Linotype" w:hAnsi="Palatino Linotype" w:cs="Palatino Linotype"/>
                <w:color w:val="000000" w:themeColor="text1"/>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8B18C3" w:rsidRPr="00C50BBE" w:rsidRDefault="0059651D" w:rsidP="006C23FC">
            <w:pPr>
              <w:tabs>
                <w:tab w:val="left" w:pos="284"/>
              </w:tabs>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8B18C3" w:rsidRPr="00C50BBE" w:rsidRDefault="0059651D" w:rsidP="006C23FC">
            <w:pPr>
              <w:tabs>
                <w:tab w:val="left" w:pos="284"/>
              </w:tabs>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En ese mismo sentido, el numeral trigésimo tercero fracción V de los Lineamientos Generales, precisa que para motivar la clasificación se deben acreditar las circunstancias de tiempo, modo y lugar.</w:t>
            </w:r>
          </w:p>
          <w:p w:rsidR="008B18C3" w:rsidRPr="00C50BBE" w:rsidRDefault="0059651D" w:rsidP="006C23FC">
            <w:pPr>
              <w:tabs>
                <w:tab w:val="left" w:pos="284"/>
              </w:tabs>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Ahora bien, </w:t>
            </w:r>
            <w:r w:rsidRPr="00C50BBE">
              <w:rPr>
                <w:rFonts w:ascii="Palatino Linotype" w:eastAsia="Palatino Linotype" w:hAnsi="Palatino Linotype" w:cs="Palatino Linotype"/>
                <w:b/>
                <w:color w:val="000000" w:themeColor="text1"/>
                <w:sz w:val="24"/>
                <w:szCs w:val="24"/>
                <w:u w:val="single"/>
              </w:rPr>
              <w:t>para cada caso además de fundar y motivar</w:t>
            </w:r>
            <w:r w:rsidRPr="00C50BBE">
              <w:rPr>
                <w:rFonts w:ascii="Palatino Linotype" w:eastAsia="Palatino Linotype" w:hAnsi="Palatino Linotype" w:cs="Palatino Linotype"/>
                <w:color w:val="000000" w:themeColor="text1"/>
                <w:sz w:val="24"/>
                <w:szCs w:val="24"/>
              </w:rPr>
              <w:t xml:space="preserve">, se debe identificar con claridad que datos contenidos en las documentales que son susceptibles de suprimirse, por ejemplo; Clave Única de Registro de Población (CURP), Registro Federal de Contribuyentes (R.F.C.), claves de seguros, préstamos o </w:t>
            </w:r>
            <w:r w:rsidRPr="00C50BBE">
              <w:rPr>
                <w:rFonts w:ascii="Palatino Linotype" w:eastAsia="Palatino Linotype" w:hAnsi="Palatino Linotype" w:cs="Palatino Linotype"/>
                <w:color w:val="000000" w:themeColor="text1"/>
                <w:sz w:val="24"/>
                <w:szCs w:val="24"/>
              </w:rPr>
              <w:lastRenderedPageBreak/>
              <w:t>descuentos personales, secretos bancario, fiduciario, industrial, comercial, fiscal, bursátil y postal, cuya titularidad corresponda a particulares, entre otros.</w:t>
            </w:r>
          </w:p>
        </w:tc>
      </w:tr>
      <w:tr w:rsidR="006C23FC" w:rsidRPr="00C50BBE" w:rsidTr="00B647F1">
        <w:tc>
          <w:tcPr>
            <w:tcW w:w="2689" w:type="dxa"/>
          </w:tcPr>
          <w:p w:rsidR="008B18C3" w:rsidRPr="00C50BBE" w:rsidRDefault="0059651D" w:rsidP="006C23FC">
            <w:pPr>
              <w:tabs>
                <w:tab w:val="left" w:pos="284"/>
              </w:tabs>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lastRenderedPageBreak/>
              <w:t xml:space="preserve">e) Condiciones especiales de la clasificación de la información como confidencial. </w:t>
            </w:r>
          </w:p>
        </w:tc>
        <w:tc>
          <w:tcPr>
            <w:tcW w:w="7087" w:type="dxa"/>
          </w:tcPr>
          <w:p w:rsidR="008B18C3" w:rsidRPr="00C50BBE" w:rsidRDefault="0059651D" w:rsidP="006C23FC">
            <w:pPr>
              <w:tabs>
                <w:tab w:val="left" w:pos="284"/>
              </w:tabs>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w:t>
            </w:r>
          </w:p>
          <w:p w:rsidR="008B18C3" w:rsidRPr="00C50BBE" w:rsidRDefault="0059651D" w:rsidP="006C23FC">
            <w:pPr>
              <w:tabs>
                <w:tab w:val="left" w:pos="284"/>
              </w:tabs>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8B18C3" w:rsidRPr="00C50BBE" w:rsidRDefault="0059651D" w:rsidP="006C23FC">
            <w:pPr>
              <w:tabs>
                <w:tab w:val="left" w:pos="284"/>
              </w:tabs>
              <w:spacing w:line="360" w:lineRule="auto"/>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8B18C3" w:rsidRPr="00C50BBE" w:rsidRDefault="008B18C3" w:rsidP="006C23FC">
      <w:pPr>
        <w:tabs>
          <w:tab w:val="left" w:pos="284"/>
        </w:tabs>
        <w:spacing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Si el servidor público incumple con estas formalidades y entrega la información sin proteger los datos personales incumple con lo que estipula las disposiciones legales establecidas.</w:t>
      </w:r>
    </w:p>
    <w:p w:rsidR="008B18C3" w:rsidRPr="00C50BBE" w:rsidRDefault="008B18C3" w:rsidP="006C23FC">
      <w:pPr>
        <w:pBdr>
          <w:top w:val="nil"/>
          <w:left w:val="nil"/>
          <w:bottom w:val="nil"/>
          <w:right w:val="nil"/>
          <w:between w:val="nil"/>
        </w:pBdr>
        <w:tabs>
          <w:tab w:val="left" w:pos="284"/>
        </w:tabs>
        <w:spacing w:after="0" w:line="240" w:lineRule="auto"/>
        <w:rPr>
          <w:rFonts w:ascii="Palatino Linotype" w:eastAsia="Palatino Linotype" w:hAnsi="Palatino Linotype" w:cs="Palatino Linotype"/>
          <w:color w:val="000000" w:themeColor="text1"/>
          <w:sz w:val="24"/>
          <w:szCs w:val="24"/>
        </w:rPr>
      </w:pPr>
      <w:bookmarkStart w:id="6" w:name="_heading=h.g2c7dxlldjdk" w:colFirst="0" w:colLast="0"/>
      <w:bookmarkEnd w:id="6"/>
    </w:p>
    <w:p w:rsidR="008B18C3" w:rsidRPr="00C50BBE" w:rsidRDefault="008B18C3" w:rsidP="006C23FC">
      <w:pPr>
        <w:pBdr>
          <w:top w:val="nil"/>
          <w:left w:val="nil"/>
          <w:bottom w:val="nil"/>
          <w:right w:val="nil"/>
          <w:between w:val="nil"/>
        </w:pBdr>
        <w:tabs>
          <w:tab w:val="left" w:pos="284"/>
        </w:tabs>
        <w:spacing w:after="0" w:line="240" w:lineRule="auto"/>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lastRenderedPageBreak/>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p w:rsidR="008B18C3" w:rsidRPr="00C50BBE" w:rsidRDefault="008B18C3" w:rsidP="006C23FC">
      <w:pPr>
        <w:spacing w:after="0"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color w:val="000000" w:themeColor="text1"/>
          <w:sz w:val="24"/>
          <w:szCs w:val="24"/>
        </w:rPr>
        <w:t>Por lo anteriormente expuesto, este Órgano Garante considera fundadas las razones o motivos de inconformidad que plantea el</w:t>
      </w:r>
      <w:r w:rsidRPr="00C50BBE">
        <w:rPr>
          <w:rFonts w:ascii="Palatino Linotype" w:eastAsia="Palatino Linotype" w:hAnsi="Palatino Linotype" w:cs="Palatino Linotype"/>
          <w:b/>
          <w:color w:val="000000" w:themeColor="text1"/>
          <w:sz w:val="24"/>
          <w:szCs w:val="24"/>
        </w:rPr>
        <w:t xml:space="preserve"> RECURRENTE</w:t>
      </w:r>
      <w:r w:rsidRPr="00C50BBE">
        <w:rPr>
          <w:rFonts w:ascii="Palatino Linotype" w:eastAsia="Palatino Linotype" w:hAnsi="Palatino Linotype" w:cs="Palatino Linotype"/>
          <w:color w:val="000000" w:themeColor="text1"/>
          <w:sz w:val="24"/>
          <w:szCs w:val="24"/>
        </w:rPr>
        <w:t xml:space="preserve">, determinando </w:t>
      </w:r>
      <w:r w:rsidRPr="00C50BBE">
        <w:rPr>
          <w:rFonts w:ascii="Palatino Linotype" w:eastAsia="Palatino Linotype" w:hAnsi="Palatino Linotype" w:cs="Palatino Linotype"/>
          <w:b/>
          <w:color w:val="000000" w:themeColor="text1"/>
          <w:sz w:val="24"/>
          <w:szCs w:val="24"/>
        </w:rPr>
        <w:t>MODIFICAR</w:t>
      </w:r>
      <w:r w:rsidRPr="00C50BBE">
        <w:rPr>
          <w:rFonts w:ascii="Palatino Linotype" w:eastAsia="Palatino Linotype" w:hAnsi="Palatino Linotype" w:cs="Palatino Linotype"/>
          <w:color w:val="000000" w:themeColor="text1"/>
          <w:sz w:val="24"/>
          <w:szCs w:val="24"/>
        </w:rPr>
        <w:t xml:space="preserve"> la respuesta del </w:t>
      </w:r>
      <w:r w:rsidRPr="00C50BBE">
        <w:rPr>
          <w:rFonts w:ascii="Palatino Linotype" w:eastAsia="Palatino Linotype" w:hAnsi="Palatino Linotype" w:cs="Palatino Linotype"/>
          <w:b/>
          <w:color w:val="000000" w:themeColor="text1"/>
          <w:sz w:val="24"/>
          <w:szCs w:val="24"/>
        </w:rPr>
        <w:t>SUJETO OBLIGADO</w:t>
      </w:r>
      <w:r w:rsidRPr="00C50BBE">
        <w:rPr>
          <w:rFonts w:ascii="Palatino Linotype" w:eastAsia="Palatino Linotype" w:hAnsi="Palatino Linotype" w:cs="Palatino Linotype"/>
          <w:color w:val="000000" w:themeColor="text1"/>
          <w:sz w:val="24"/>
          <w:szCs w:val="24"/>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C50BBE">
        <w:rPr>
          <w:rFonts w:ascii="Palatino Linotype" w:eastAsia="Palatino Linotype" w:hAnsi="Palatino Linotype" w:cs="Palatino Linotype"/>
          <w:b/>
          <w:color w:val="000000" w:themeColor="text1"/>
          <w:sz w:val="24"/>
          <w:szCs w:val="24"/>
        </w:rPr>
        <w:t>ÓRGANO GARANTE</w:t>
      </w:r>
      <w:r w:rsidRPr="00C50BBE">
        <w:rPr>
          <w:rFonts w:ascii="Palatino Linotype" w:eastAsia="Palatino Linotype" w:hAnsi="Palatino Linotype" w:cs="Palatino Linotype"/>
          <w:color w:val="000000" w:themeColor="text1"/>
          <w:sz w:val="24"/>
          <w:szCs w:val="24"/>
        </w:rPr>
        <w:t xml:space="preserve"> emite los siguientes.</w:t>
      </w:r>
      <w:r w:rsidR="00B647F1">
        <w:rPr>
          <w:rFonts w:ascii="Palatino Linotype" w:eastAsia="Palatino Linotype" w:hAnsi="Palatino Linotype" w:cs="Palatino Linotype"/>
          <w:color w:val="000000" w:themeColor="text1"/>
          <w:sz w:val="24"/>
          <w:szCs w:val="24"/>
        </w:rPr>
        <w:t xml:space="preserve"> ------------------------</w:t>
      </w:r>
    </w:p>
    <w:p w:rsidR="008B18C3" w:rsidRPr="00C50BBE" w:rsidRDefault="008B18C3" w:rsidP="006C23FC">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pStyle w:val="Ttulo1"/>
        <w:spacing w:before="0" w:line="360" w:lineRule="auto"/>
        <w:jc w:val="center"/>
        <w:rPr>
          <w:rFonts w:ascii="Palatino Linotype" w:eastAsia="Palatino Linotype" w:hAnsi="Palatino Linotype" w:cs="Palatino Linotype"/>
          <w:b/>
          <w:color w:val="000000" w:themeColor="text1"/>
          <w:sz w:val="24"/>
          <w:szCs w:val="24"/>
        </w:rPr>
      </w:pPr>
      <w:r w:rsidRPr="00C50BBE">
        <w:rPr>
          <w:rFonts w:ascii="Palatino Linotype" w:eastAsia="Palatino Linotype" w:hAnsi="Palatino Linotype" w:cs="Palatino Linotype"/>
          <w:b/>
          <w:color w:val="000000" w:themeColor="text1"/>
          <w:sz w:val="24"/>
          <w:szCs w:val="24"/>
        </w:rPr>
        <w:t>R E S O L U T I V O S</w:t>
      </w:r>
    </w:p>
    <w:p w:rsidR="008B18C3" w:rsidRPr="00C50BBE" w:rsidRDefault="008B18C3" w:rsidP="006C23FC">
      <w:pPr>
        <w:spacing w:line="360" w:lineRule="auto"/>
        <w:rPr>
          <w:rFonts w:ascii="Palatino Linotype" w:eastAsia="Palatino Linotype" w:hAnsi="Palatino Linotype" w:cs="Palatino Linotype"/>
          <w:color w:val="000000" w:themeColor="text1"/>
          <w:sz w:val="24"/>
          <w:szCs w:val="24"/>
        </w:rPr>
      </w:pPr>
    </w:p>
    <w:p w:rsidR="008B18C3" w:rsidRPr="00C50BBE" w:rsidRDefault="0059651D" w:rsidP="006C23FC">
      <w:pPr>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b/>
          <w:color w:val="000000" w:themeColor="text1"/>
          <w:sz w:val="24"/>
          <w:szCs w:val="24"/>
        </w:rPr>
        <w:t>PRIMERO</w:t>
      </w:r>
      <w:r w:rsidRPr="00C50BBE">
        <w:rPr>
          <w:rFonts w:ascii="Palatino Linotype" w:eastAsia="Palatino Linotype" w:hAnsi="Palatino Linotype" w:cs="Palatino Linotype"/>
          <w:color w:val="000000" w:themeColor="text1"/>
          <w:sz w:val="24"/>
          <w:szCs w:val="24"/>
        </w:rPr>
        <w:t>. Resultan fundadas las razones o motivos de inconformidad hechos valer en los Recursos de Revisión</w:t>
      </w:r>
      <w:r w:rsidRPr="00C50BBE">
        <w:rPr>
          <w:rFonts w:ascii="Palatino Linotype" w:eastAsia="Palatino Linotype" w:hAnsi="Palatino Linotype" w:cs="Palatino Linotype"/>
          <w:b/>
          <w:color w:val="000000" w:themeColor="text1"/>
          <w:sz w:val="24"/>
          <w:szCs w:val="24"/>
        </w:rPr>
        <w:t xml:space="preserve"> 06013/INFOEM/IP/RR/2025, 06014/INFOEM/IP/RR/2025, 06015/INFOEM/IP/RR/2025, 06016/INFOEM/IP/RR</w:t>
      </w:r>
      <w:r w:rsidR="006C23FC" w:rsidRPr="00C50BBE">
        <w:rPr>
          <w:rFonts w:ascii="Palatino Linotype" w:eastAsia="Palatino Linotype" w:hAnsi="Palatino Linotype" w:cs="Palatino Linotype"/>
          <w:b/>
          <w:color w:val="000000" w:themeColor="text1"/>
          <w:sz w:val="24"/>
          <w:szCs w:val="24"/>
        </w:rPr>
        <w:t>/2025 y 06017/INFOEM/IP/RR/2025</w:t>
      </w:r>
      <w:r w:rsidRPr="00C50BBE">
        <w:rPr>
          <w:rFonts w:ascii="Palatino Linotype" w:eastAsia="Palatino Linotype" w:hAnsi="Palatino Linotype" w:cs="Palatino Linotype"/>
          <w:b/>
          <w:color w:val="000000" w:themeColor="text1"/>
          <w:sz w:val="24"/>
          <w:szCs w:val="24"/>
        </w:rPr>
        <w:t xml:space="preserve">, </w:t>
      </w:r>
      <w:r w:rsidRPr="00C50BBE">
        <w:rPr>
          <w:rFonts w:ascii="Palatino Linotype" w:eastAsia="Palatino Linotype" w:hAnsi="Palatino Linotype" w:cs="Palatino Linotype"/>
          <w:color w:val="000000" w:themeColor="text1"/>
          <w:sz w:val="24"/>
          <w:szCs w:val="24"/>
        </w:rPr>
        <w:t xml:space="preserve">en términos de los Considerandos </w:t>
      </w:r>
      <w:r w:rsidRPr="00C50BBE">
        <w:rPr>
          <w:rFonts w:ascii="Palatino Linotype" w:eastAsia="Palatino Linotype" w:hAnsi="Palatino Linotype" w:cs="Palatino Linotype"/>
          <w:b/>
          <w:color w:val="000000" w:themeColor="text1"/>
          <w:sz w:val="24"/>
          <w:szCs w:val="24"/>
        </w:rPr>
        <w:t xml:space="preserve">Cuarto y Quinto </w:t>
      </w:r>
      <w:r w:rsidRPr="00C50BBE">
        <w:rPr>
          <w:rFonts w:ascii="Palatino Linotype" w:eastAsia="Palatino Linotype" w:hAnsi="Palatino Linotype" w:cs="Palatino Linotype"/>
          <w:color w:val="000000" w:themeColor="text1"/>
          <w:sz w:val="24"/>
          <w:szCs w:val="24"/>
        </w:rPr>
        <w:t xml:space="preserve">de la presente resolución. </w:t>
      </w:r>
    </w:p>
    <w:p w:rsidR="008B18C3" w:rsidRPr="00C50BBE" w:rsidRDefault="008B18C3" w:rsidP="006C23FC">
      <w:pPr>
        <w:spacing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spacing w:line="360" w:lineRule="auto"/>
        <w:jc w:val="both"/>
        <w:rPr>
          <w:rFonts w:ascii="Palatino Linotype" w:eastAsia="Palatino Linotype" w:hAnsi="Palatino Linotype" w:cs="Palatino Linotype"/>
          <w:color w:val="000000" w:themeColor="text1"/>
          <w:sz w:val="24"/>
          <w:szCs w:val="24"/>
        </w:rPr>
      </w:pPr>
      <w:bookmarkStart w:id="7" w:name="_heading=h.s9n1ephc14ev" w:colFirst="0" w:colLast="0"/>
      <w:bookmarkEnd w:id="7"/>
      <w:r w:rsidRPr="00C50BBE">
        <w:rPr>
          <w:rFonts w:ascii="Palatino Linotype" w:eastAsia="Palatino Linotype" w:hAnsi="Palatino Linotype" w:cs="Palatino Linotype"/>
          <w:b/>
          <w:color w:val="000000" w:themeColor="text1"/>
          <w:sz w:val="24"/>
          <w:szCs w:val="24"/>
        </w:rPr>
        <w:t xml:space="preserve">SEGUNDO. </w:t>
      </w:r>
      <w:r w:rsidRPr="00C50BBE">
        <w:rPr>
          <w:rFonts w:ascii="Palatino Linotype" w:eastAsia="Palatino Linotype" w:hAnsi="Palatino Linotype" w:cs="Palatino Linotype"/>
          <w:color w:val="000000" w:themeColor="text1"/>
          <w:sz w:val="24"/>
          <w:szCs w:val="24"/>
        </w:rPr>
        <w:t xml:space="preserve">Se </w:t>
      </w:r>
      <w:r w:rsidRPr="00C50BBE">
        <w:rPr>
          <w:rFonts w:ascii="Palatino Linotype" w:eastAsia="Palatino Linotype" w:hAnsi="Palatino Linotype" w:cs="Palatino Linotype"/>
          <w:b/>
          <w:color w:val="000000" w:themeColor="text1"/>
          <w:sz w:val="24"/>
          <w:szCs w:val="24"/>
        </w:rPr>
        <w:t xml:space="preserve">MODIFICAN </w:t>
      </w:r>
      <w:r w:rsidRPr="00C50BBE">
        <w:rPr>
          <w:rFonts w:ascii="Palatino Linotype" w:eastAsia="Palatino Linotype" w:hAnsi="Palatino Linotype" w:cs="Palatino Linotype"/>
          <w:color w:val="000000" w:themeColor="text1"/>
          <w:sz w:val="24"/>
          <w:szCs w:val="24"/>
        </w:rPr>
        <w:t xml:space="preserve">las respuestas emitidas por el </w:t>
      </w:r>
      <w:r w:rsidRPr="00C50BBE">
        <w:rPr>
          <w:rFonts w:ascii="Palatino Linotype" w:eastAsia="Palatino Linotype" w:hAnsi="Palatino Linotype" w:cs="Palatino Linotype"/>
          <w:b/>
          <w:color w:val="000000" w:themeColor="text1"/>
          <w:sz w:val="24"/>
          <w:szCs w:val="24"/>
        </w:rPr>
        <w:t xml:space="preserve">Ayuntamiento de Chiautla </w:t>
      </w:r>
      <w:r w:rsidRPr="00C50BBE">
        <w:rPr>
          <w:rFonts w:ascii="Palatino Linotype" w:eastAsia="Palatino Linotype" w:hAnsi="Palatino Linotype" w:cs="Palatino Linotype"/>
          <w:color w:val="000000" w:themeColor="text1"/>
          <w:sz w:val="24"/>
          <w:szCs w:val="24"/>
        </w:rPr>
        <w:t xml:space="preserve">y se </w:t>
      </w:r>
      <w:r w:rsidRPr="00C50BBE">
        <w:rPr>
          <w:rFonts w:ascii="Palatino Linotype" w:eastAsia="Palatino Linotype" w:hAnsi="Palatino Linotype" w:cs="Palatino Linotype"/>
          <w:b/>
          <w:color w:val="000000" w:themeColor="text1"/>
          <w:sz w:val="24"/>
          <w:szCs w:val="24"/>
        </w:rPr>
        <w:t>ORDENA</w:t>
      </w:r>
      <w:r w:rsidRPr="00C50BBE">
        <w:rPr>
          <w:rFonts w:ascii="Palatino Linotype" w:eastAsia="Palatino Linotype" w:hAnsi="Palatino Linotype" w:cs="Palatino Linotype"/>
          <w:color w:val="000000" w:themeColor="text1"/>
          <w:sz w:val="24"/>
          <w:szCs w:val="24"/>
        </w:rPr>
        <w:t xml:space="preserve"> entregar vía Sistema de Acceso a la Información Mexiquense </w:t>
      </w:r>
      <w:r w:rsidRPr="00C50BBE">
        <w:rPr>
          <w:rFonts w:ascii="Palatino Linotype" w:eastAsia="Palatino Linotype" w:hAnsi="Palatino Linotype" w:cs="Palatino Linotype"/>
          <w:b/>
          <w:color w:val="000000" w:themeColor="text1"/>
          <w:sz w:val="24"/>
          <w:szCs w:val="24"/>
        </w:rPr>
        <w:t>(SAIMEX)</w:t>
      </w:r>
      <w:r w:rsidRPr="00C50BBE">
        <w:rPr>
          <w:rFonts w:ascii="Palatino Linotype" w:eastAsia="Palatino Linotype" w:hAnsi="Palatino Linotype" w:cs="Palatino Linotype"/>
          <w:color w:val="000000" w:themeColor="text1"/>
          <w:sz w:val="24"/>
          <w:szCs w:val="24"/>
        </w:rPr>
        <w:t>, en versión pública la siguiente información:</w:t>
      </w:r>
    </w:p>
    <w:p w:rsidR="008B18C3" w:rsidRPr="00C50BBE" w:rsidRDefault="0059651D" w:rsidP="00B647F1">
      <w:pPr>
        <w:numPr>
          <w:ilvl w:val="0"/>
          <w:numId w:val="4"/>
        </w:numPr>
        <w:pBdr>
          <w:top w:val="nil"/>
          <w:left w:val="nil"/>
          <w:bottom w:val="nil"/>
          <w:right w:val="nil"/>
          <w:between w:val="nil"/>
        </w:pBdr>
        <w:spacing w:after="0" w:line="276" w:lineRule="auto"/>
        <w:ind w:left="0" w:firstLine="0"/>
        <w:jc w:val="both"/>
        <w:rPr>
          <w:rFonts w:ascii="Palatino Linotype" w:eastAsia="Palatino Linotype" w:hAnsi="Palatino Linotype" w:cs="Palatino Linotype"/>
          <w:b/>
          <w:color w:val="000000" w:themeColor="text1"/>
          <w:sz w:val="24"/>
          <w:szCs w:val="24"/>
        </w:rPr>
      </w:pPr>
      <w:r w:rsidRPr="00C50BBE">
        <w:rPr>
          <w:rFonts w:ascii="Palatino Linotype" w:eastAsia="Palatino Linotype" w:hAnsi="Palatino Linotype" w:cs="Palatino Linotype"/>
          <w:b/>
          <w:color w:val="000000" w:themeColor="text1"/>
          <w:sz w:val="24"/>
          <w:szCs w:val="24"/>
        </w:rPr>
        <w:lastRenderedPageBreak/>
        <w:t>Pólizas de pago realizadas por el Ayuntamiento de Chiautla y del Sistema Municipal para el Desarrollo Integral de la Familia, del mes de diciembre de dos mil veinticuatro y de los meses de enero, febrero y marzo de dos mil veinticinco, remitidas en respuesta, en correcta versión pública.</w:t>
      </w:r>
    </w:p>
    <w:p w:rsidR="008B18C3" w:rsidRPr="00C50BBE" w:rsidRDefault="008B18C3" w:rsidP="00B647F1">
      <w:pPr>
        <w:pBdr>
          <w:top w:val="nil"/>
          <w:left w:val="nil"/>
          <w:bottom w:val="nil"/>
          <w:right w:val="nil"/>
          <w:between w:val="nil"/>
        </w:pBdr>
        <w:spacing w:after="0" w:line="276" w:lineRule="auto"/>
        <w:jc w:val="both"/>
        <w:rPr>
          <w:rFonts w:ascii="Palatino Linotype" w:eastAsia="Palatino Linotype" w:hAnsi="Palatino Linotype" w:cs="Palatino Linotype"/>
          <w:b/>
          <w:color w:val="000000" w:themeColor="text1"/>
          <w:sz w:val="24"/>
          <w:szCs w:val="24"/>
        </w:rPr>
      </w:pPr>
    </w:p>
    <w:p w:rsidR="008B18C3" w:rsidRPr="00C50BBE" w:rsidRDefault="0059651D" w:rsidP="00B647F1">
      <w:pPr>
        <w:numPr>
          <w:ilvl w:val="0"/>
          <w:numId w:val="4"/>
        </w:numPr>
        <w:pBdr>
          <w:top w:val="nil"/>
          <w:left w:val="nil"/>
          <w:bottom w:val="nil"/>
          <w:right w:val="nil"/>
          <w:between w:val="nil"/>
        </w:pBdr>
        <w:spacing w:after="0" w:line="276" w:lineRule="auto"/>
        <w:ind w:left="0" w:firstLine="0"/>
        <w:jc w:val="both"/>
        <w:rPr>
          <w:rFonts w:ascii="Palatino Linotype" w:eastAsia="Palatino Linotype" w:hAnsi="Palatino Linotype" w:cs="Palatino Linotype"/>
          <w:b/>
          <w:color w:val="000000" w:themeColor="text1"/>
          <w:sz w:val="24"/>
          <w:szCs w:val="24"/>
        </w:rPr>
      </w:pPr>
      <w:r w:rsidRPr="00C50BBE">
        <w:rPr>
          <w:rFonts w:ascii="Palatino Linotype" w:eastAsia="Palatino Linotype" w:hAnsi="Palatino Linotype" w:cs="Palatino Linotype"/>
          <w:b/>
          <w:color w:val="000000" w:themeColor="text1"/>
          <w:sz w:val="24"/>
          <w:szCs w:val="24"/>
        </w:rPr>
        <w:t>Conciliación de nómina del Cuarto Informe Trimestral del Ejercicio Municipal del Ejercicio Fiscal dos mil veinticuatro y del Primer Informe Trimestral Municipal del Ejercicio Fiscal dos mil veinticinco.</w:t>
      </w:r>
    </w:p>
    <w:p w:rsidR="008B18C3" w:rsidRPr="00C50BBE" w:rsidRDefault="008B18C3" w:rsidP="006C23FC">
      <w:pPr>
        <w:rPr>
          <w:rFonts w:ascii="Palatino Linotype" w:eastAsia="Palatino Linotype" w:hAnsi="Palatino Linotype" w:cs="Palatino Linotype"/>
          <w:b/>
          <w:color w:val="000000" w:themeColor="text1"/>
          <w:sz w:val="24"/>
          <w:szCs w:val="24"/>
        </w:rPr>
      </w:pPr>
    </w:p>
    <w:p w:rsidR="008B18C3" w:rsidRPr="00C50BBE" w:rsidRDefault="0059651D" w:rsidP="006C23FC">
      <w:pPr>
        <w:spacing w:line="360" w:lineRule="auto"/>
        <w:jc w:val="both"/>
        <w:rPr>
          <w:rFonts w:ascii="Palatino Linotype" w:eastAsia="Palatino Linotype" w:hAnsi="Palatino Linotype" w:cs="Palatino Linotype"/>
          <w:color w:val="000000" w:themeColor="text1"/>
          <w:sz w:val="24"/>
          <w:szCs w:val="24"/>
        </w:rPr>
      </w:pPr>
      <w:bookmarkStart w:id="8" w:name="_heading=h.xk07pexw6ej9" w:colFirst="0" w:colLast="0"/>
      <w:bookmarkEnd w:id="8"/>
      <w:r w:rsidRPr="00C50BBE">
        <w:rPr>
          <w:rFonts w:ascii="Palatino Linotype" w:eastAsia="Palatino Linotype" w:hAnsi="Palatino Linotype" w:cs="Palatino Linotype"/>
          <w:color w:val="000000" w:themeColor="text1"/>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w:t>
      </w:r>
      <w:r w:rsidRPr="00C50BBE">
        <w:rPr>
          <w:rFonts w:ascii="Palatino Linotype" w:eastAsia="Palatino Linotype" w:hAnsi="Palatino Linotype" w:cs="Palatino Linotype"/>
          <w:b/>
          <w:color w:val="000000" w:themeColor="text1"/>
          <w:sz w:val="24"/>
          <w:szCs w:val="24"/>
        </w:rPr>
        <w:t xml:space="preserve"> RECURRENTE</w:t>
      </w:r>
      <w:r w:rsidRPr="00C50BBE">
        <w:rPr>
          <w:rFonts w:ascii="Palatino Linotype" w:eastAsia="Palatino Linotype" w:hAnsi="Palatino Linotype" w:cs="Palatino Linotype"/>
          <w:color w:val="000000" w:themeColor="text1"/>
          <w:sz w:val="24"/>
          <w:szCs w:val="24"/>
        </w:rPr>
        <w:t>.</w:t>
      </w:r>
    </w:p>
    <w:p w:rsidR="008B18C3" w:rsidRPr="00C50BBE" w:rsidRDefault="008B18C3" w:rsidP="006C23FC">
      <w:pPr>
        <w:spacing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tabs>
          <w:tab w:val="left" w:pos="8080"/>
        </w:tabs>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b/>
          <w:color w:val="000000" w:themeColor="text1"/>
          <w:sz w:val="24"/>
          <w:szCs w:val="24"/>
        </w:rPr>
        <w:t>TERCERO. NOTIFÍQUESE</w:t>
      </w:r>
      <w:r w:rsidRPr="00C50BBE">
        <w:rPr>
          <w:rFonts w:ascii="Palatino Linotype" w:eastAsia="Palatino Linotype" w:hAnsi="Palatino Linotype" w:cs="Palatino Linotype"/>
          <w:color w:val="000000" w:themeColor="text1"/>
          <w:sz w:val="24"/>
          <w:szCs w:val="24"/>
        </w:rPr>
        <w:t xml:space="preserve"> 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C50BBE">
        <w:rPr>
          <w:rFonts w:ascii="Palatino Linotype" w:eastAsia="Palatino Linotype" w:hAnsi="Palatino Linotype" w:cs="Palatino Linotype"/>
          <w:b/>
          <w:color w:val="000000" w:themeColor="text1"/>
          <w:sz w:val="24"/>
          <w:szCs w:val="24"/>
        </w:rPr>
        <w:t>dé cumplimiento a lo ordenado dentro del plazo de diez días hábiles,</w:t>
      </w:r>
      <w:r w:rsidRPr="00C50BBE">
        <w:rPr>
          <w:rFonts w:ascii="Palatino Linotype" w:eastAsia="Palatino Linotype" w:hAnsi="Palatino Linotype" w:cs="Palatino Linotype"/>
          <w:color w:val="000000" w:themeColor="text1"/>
          <w:sz w:val="24"/>
          <w:szCs w:val="24"/>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8B18C3" w:rsidRPr="00C50BBE" w:rsidRDefault="0059651D" w:rsidP="006C23FC">
      <w:pPr>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b/>
          <w:color w:val="000000" w:themeColor="text1"/>
          <w:sz w:val="24"/>
          <w:szCs w:val="24"/>
        </w:rPr>
        <w:lastRenderedPageBreak/>
        <w:t xml:space="preserve">CUARTO. </w:t>
      </w:r>
      <w:r w:rsidRPr="00C50BBE">
        <w:rPr>
          <w:rFonts w:ascii="Palatino Linotype" w:eastAsia="Palatino Linotype" w:hAnsi="Palatino Linotype" w:cs="Palatino Linotype"/>
          <w:color w:val="000000" w:themeColor="text1"/>
          <w:sz w:val="24"/>
          <w:szCs w:val="24"/>
        </w:rPr>
        <w:t xml:space="preserve">De conformidad con el artículo 198 de la Ley de Transparencia y Acceso a la Información Pública del Estado de México y Municipios, de considerarlo procedente, el </w:t>
      </w:r>
      <w:r w:rsidRPr="00C50BBE">
        <w:rPr>
          <w:rFonts w:ascii="Palatino Linotype" w:eastAsia="Palatino Linotype" w:hAnsi="Palatino Linotype" w:cs="Palatino Linotype"/>
          <w:b/>
          <w:color w:val="000000" w:themeColor="text1"/>
          <w:sz w:val="24"/>
          <w:szCs w:val="24"/>
        </w:rPr>
        <w:t>SUJETO OBLIGADO</w:t>
      </w:r>
      <w:r w:rsidRPr="00C50BBE">
        <w:rPr>
          <w:rFonts w:ascii="Palatino Linotype" w:eastAsia="Palatino Linotype" w:hAnsi="Palatino Linotype" w:cs="Palatino Linotype"/>
          <w:color w:val="000000" w:themeColor="text1"/>
          <w:sz w:val="24"/>
          <w:szCs w:val="24"/>
        </w:rPr>
        <w:t xml:space="preserve"> de manera fundada y motivada, podrá solicitar una ampliación de plazo para el cumplimiento de la presente resolución.</w:t>
      </w:r>
    </w:p>
    <w:p w:rsidR="008B18C3" w:rsidRPr="00C50BBE" w:rsidRDefault="008B18C3" w:rsidP="006C23FC">
      <w:pPr>
        <w:spacing w:line="360" w:lineRule="auto"/>
        <w:jc w:val="both"/>
        <w:rPr>
          <w:rFonts w:ascii="Palatino Linotype" w:eastAsia="Palatino Linotype" w:hAnsi="Palatino Linotype" w:cs="Palatino Linotype"/>
          <w:color w:val="000000" w:themeColor="text1"/>
          <w:sz w:val="24"/>
          <w:szCs w:val="24"/>
        </w:rPr>
      </w:pPr>
    </w:p>
    <w:p w:rsidR="008B18C3" w:rsidRPr="00C50BBE" w:rsidRDefault="0059651D" w:rsidP="006C23FC">
      <w:pPr>
        <w:tabs>
          <w:tab w:val="left" w:pos="8080"/>
        </w:tabs>
        <w:spacing w:line="360" w:lineRule="auto"/>
        <w:jc w:val="both"/>
        <w:rPr>
          <w:rFonts w:ascii="Palatino Linotype" w:eastAsia="Palatino Linotype" w:hAnsi="Palatino Linotype" w:cs="Palatino Linotype"/>
          <w:color w:val="000000" w:themeColor="text1"/>
          <w:sz w:val="24"/>
          <w:szCs w:val="24"/>
        </w:rPr>
      </w:pPr>
      <w:bookmarkStart w:id="9" w:name="_heading=h.vw4ggxun7pm4" w:colFirst="0" w:colLast="0"/>
      <w:bookmarkEnd w:id="9"/>
      <w:r w:rsidRPr="00C50BBE">
        <w:rPr>
          <w:rFonts w:ascii="Palatino Linotype" w:eastAsia="Palatino Linotype" w:hAnsi="Palatino Linotype" w:cs="Palatino Linotype"/>
          <w:b/>
          <w:color w:val="000000" w:themeColor="text1"/>
          <w:sz w:val="24"/>
          <w:szCs w:val="24"/>
        </w:rPr>
        <w:t xml:space="preserve">QUINTO. </w:t>
      </w:r>
      <w:r w:rsidRPr="00C50BBE">
        <w:rPr>
          <w:rFonts w:ascii="Palatino Linotype" w:eastAsia="Palatino Linotype" w:hAnsi="Palatino Linotype" w:cs="Palatino Linotype"/>
          <w:color w:val="000000" w:themeColor="text1"/>
          <w:sz w:val="24"/>
          <w:szCs w:val="24"/>
        </w:rPr>
        <w:t xml:space="preserve">Notifíquese a </w:t>
      </w:r>
      <w:r w:rsidRPr="00C50BBE">
        <w:rPr>
          <w:rFonts w:ascii="Palatino Linotype" w:eastAsia="Palatino Linotype" w:hAnsi="Palatino Linotype" w:cs="Palatino Linotype"/>
          <w:b/>
          <w:color w:val="000000" w:themeColor="text1"/>
          <w:sz w:val="24"/>
          <w:szCs w:val="24"/>
        </w:rPr>
        <w:t>EL RECURRENTE</w:t>
      </w:r>
      <w:r w:rsidRPr="00C50BBE">
        <w:rPr>
          <w:rFonts w:ascii="Palatino Linotype" w:eastAsia="Palatino Linotype" w:hAnsi="Palatino Linotype" w:cs="Palatino Linotype"/>
          <w:color w:val="000000" w:themeColor="text1"/>
          <w:sz w:val="24"/>
          <w:szCs w:val="24"/>
        </w:rPr>
        <w:t xml:space="preserve"> la presente resolución, vía SAIMEX.</w:t>
      </w:r>
    </w:p>
    <w:p w:rsidR="008B18C3" w:rsidRPr="00C50BBE" w:rsidRDefault="008B18C3" w:rsidP="006C23FC">
      <w:pPr>
        <w:tabs>
          <w:tab w:val="left" w:pos="8080"/>
        </w:tabs>
        <w:spacing w:line="360" w:lineRule="auto"/>
        <w:jc w:val="both"/>
        <w:rPr>
          <w:rFonts w:ascii="Palatino Linotype" w:eastAsia="Palatino Linotype" w:hAnsi="Palatino Linotype" w:cs="Palatino Linotype"/>
          <w:color w:val="000000" w:themeColor="text1"/>
          <w:sz w:val="24"/>
          <w:szCs w:val="24"/>
        </w:rPr>
      </w:pPr>
    </w:p>
    <w:p w:rsidR="008B18C3" w:rsidRDefault="0059651D" w:rsidP="006C23FC">
      <w:pPr>
        <w:tabs>
          <w:tab w:val="left" w:pos="8080"/>
        </w:tabs>
        <w:spacing w:line="360" w:lineRule="auto"/>
        <w:jc w:val="both"/>
        <w:rPr>
          <w:rFonts w:ascii="Palatino Linotype" w:eastAsia="Palatino Linotype" w:hAnsi="Palatino Linotype" w:cs="Palatino Linotype"/>
          <w:color w:val="000000" w:themeColor="text1"/>
          <w:sz w:val="24"/>
          <w:szCs w:val="24"/>
        </w:rPr>
      </w:pPr>
      <w:r w:rsidRPr="00C50BBE">
        <w:rPr>
          <w:rFonts w:ascii="Palatino Linotype" w:eastAsia="Palatino Linotype" w:hAnsi="Palatino Linotype" w:cs="Palatino Linotype"/>
          <w:b/>
          <w:color w:val="000000" w:themeColor="text1"/>
          <w:sz w:val="24"/>
          <w:szCs w:val="24"/>
        </w:rPr>
        <w:t>SEXTO.</w:t>
      </w:r>
      <w:r w:rsidRPr="00C50BBE">
        <w:rPr>
          <w:rFonts w:ascii="Palatino Linotype" w:eastAsia="Palatino Linotype" w:hAnsi="Palatino Linotype" w:cs="Palatino Linotype"/>
          <w:color w:val="000000" w:themeColor="text1"/>
          <w:sz w:val="24"/>
          <w:szCs w:val="24"/>
        </w:rPr>
        <w:t xml:space="preserve"> Se hace del conocimiento del </w:t>
      </w:r>
      <w:r w:rsidRPr="00C50BBE">
        <w:rPr>
          <w:rFonts w:ascii="Palatino Linotype" w:eastAsia="Palatino Linotype" w:hAnsi="Palatino Linotype" w:cs="Palatino Linotype"/>
          <w:b/>
          <w:color w:val="000000" w:themeColor="text1"/>
          <w:sz w:val="24"/>
          <w:szCs w:val="24"/>
        </w:rPr>
        <w:t>RECURRENTE</w:t>
      </w:r>
      <w:r w:rsidRPr="00C50BBE">
        <w:rPr>
          <w:rFonts w:ascii="Palatino Linotype" w:eastAsia="Palatino Linotype" w:hAnsi="Palatino Linotype" w:cs="Palatino Linotype"/>
          <w:color w:val="000000" w:themeColor="text1"/>
          <w:sz w:val="24"/>
          <w:szCs w:val="24"/>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B647F1" w:rsidRPr="00C50BBE" w:rsidRDefault="00B647F1" w:rsidP="006C23FC">
      <w:pPr>
        <w:tabs>
          <w:tab w:val="left" w:pos="8080"/>
        </w:tabs>
        <w:spacing w:line="360" w:lineRule="auto"/>
        <w:jc w:val="both"/>
        <w:rPr>
          <w:rFonts w:ascii="Palatino Linotype" w:eastAsia="Palatino Linotype" w:hAnsi="Palatino Linotype" w:cs="Palatino Linotype"/>
          <w:color w:val="000000" w:themeColor="text1"/>
          <w:sz w:val="24"/>
          <w:szCs w:val="24"/>
        </w:rPr>
      </w:pPr>
    </w:p>
    <w:p w:rsidR="006C23FC" w:rsidRPr="00444783" w:rsidRDefault="006C23FC" w:rsidP="006C23FC">
      <w:pPr>
        <w:spacing w:line="360" w:lineRule="auto"/>
        <w:ind w:right="49"/>
        <w:jc w:val="both"/>
        <w:rPr>
          <w:rFonts w:ascii="Palatino Linotype" w:eastAsia="Palatino Linotype" w:hAnsi="Palatino Linotype" w:cs="Palatino Linotype"/>
          <w:sz w:val="24"/>
          <w:szCs w:val="24"/>
        </w:rPr>
      </w:pPr>
      <w:r w:rsidRPr="00C50BBE">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645C95" w:rsidRPr="00C50BBE">
        <w:rPr>
          <w:rFonts w:ascii="Palatino Linotype" w:eastAsia="Palatino Linotype" w:hAnsi="Palatino Linotype" w:cs="Palatino Linotype"/>
          <w:sz w:val="24"/>
          <w:szCs w:val="24"/>
        </w:rPr>
        <w:t xml:space="preserve">EMITIENDO VOTO PARTICULAR </w:t>
      </w:r>
      <w:r w:rsidRPr="00C50BBE">
        <w:rPr>
          <w:rFonts w:ascii="Palatino Linotype" w:eastAsia="Palatino Linotype" w:hAnsi="Palatino Linotype" w:cs="Palatino Linotype"/>
          <w:sz w:val="24"/>
          <w:szCs w:val="24"/>
        </w:rPr>
        <w:t>Y GUADALUPE RAMÍREZ PEÑA</w:t>
      </w:r>
      <w:r w:rsidR="00645C95" w:rsidRPr="00C50BBE">
        <w:rPr>
          <w:rFonts w:ascii="Palatino Linotype" w:eastAsia="Palatino Linotype" w:hAnsi="Palatino Linotype" w:cs="Palatino Linotype"/>
          <w:sz w:val="24"/>
          <w:szCs w:val="24"/>
        </w:rPr>
        <w:t xml:space="preserve"> EMITIENDO VOTO PARTICULAR</w:t>
      </w:r>
      <w:r w:rsidRPr="00C50BBE">
        <w:rPr>
          <w:rFonts w:ascii="Palatino Linotype" w:eastAsia="Palatino Linotype" w:hAnsi="Palatino Linotype" w:cs="Palatino Linotype"/>
          <w:sz w:val="24"/>
          <w:szCs w:val="24"/>
        </w:rPr>
        <w:t>; EN LA TRIGÉSIMA SESIÓN ORDINARIA, CELEBRADA EL VEINTISIETE (27) DE AGOSTO DE DOS MIL VEINTICINCO, ANTE EL SECRETARIO TÉCNICO DEL PLENO ALEXIS TAPIA RAMÍREZ.</w:t>
      </w:r>
    </w:p>
    <w:p w:rsidR="008B18C3" w:rsidRPr="006C23FC" w:rsidRDefault="008B18C3" w:rsidP="006C23FC">
      <w:pPr>
        <w:spacing w:line="360" w:lineRule="auto"/>
        <w:jc w:val="both"/>
        <w:rPr>
          <w:rFonts w:ascii="Palatino Linotype" w:eastAsia="Palatino Linotype" w:hAnsi="Palatino Linotype" w:cs="Palatino Linotype"/>
          <w:color w:val="000000" w:themeColor="text1"/>
          <w:sz w:val="24"/>
          <w:szCs w:val="24"/>
        </w:rPr>
      </w:pPr>
    </w:p>
    <w:p w:rsidR="008B18C3" w:rsidRPr="006C23FC" w:rsidRDefault="008B18C3" w:rsidP="006C23FC">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rPr>
      </w:pPr>
    </w:p>
    <w:p w:rsidR="008B18C3" w:rsidRPr="006C23FC" w:rsidRDefault="008B18C3" w:rsidP="006C23FC">
      <w:pPr>
        <w:spacing w:before="240" w:after="240" w:line="360" w:lineRule="auto"/>
        <w:jc w:val="both"/>
        <w:rPr>
          <w:rFonts w:ascii="Palatino Linotype" w:eastAsia="Palatino Linotype" w:hAnsi="Palatino Linotype" w:cs="Palatino Linotype"/>
          <w:color w:val="000000" w:themeColor="text1"/>
          <w:sz w:val="24"/>
          <w:szCs w:val="24"/>
        </w:rPr>
      </w:pPr>
    </w:p>
    <w:p w:rsidR="008B18C3" w:rsidRPr="006C23FC" w:rsidRDefault="008B18C3" w:rsidP="006C23FC">
      <w:pPr>
        <w:spacing w:before="240" w:after="240" w:line="360" w:lineRule="auto"/>
        <w:ind w:firstLine="1"/>
        <w:jc w:val="both"/>
        <w:rPr>
          <w:rFonts w:ascii="Palatino Linotype" w:eastAsia="Palatino Linotype" w:hAnsi="Palatino Linotype" w:cs="Palatino Linotype"/>
          <w:color w:val="000000" w:themeColor="text1"/>
          <w:sz w:val="24"/>
          <w:szCs w:val="24"/>
        </w:rPr>
      </w:pPr>
    </w:p>
    <w:p w:rsidR="008B18C3" w:rsidRPr="006C23FC" w:rsidRDefault="008B18C3" w:rsidP="006C23FC">
      <w:pPr>
        <w:spacing w:before="240" w:after="240" w:line="360" w:lineRule="auto"/>
        <w:ind w:firstLine="1"/>
        <w:jc w:val="both"/>
        <w:rPr>
          <w:rFonts w:ascii="Palatino Linotype" w:eastAsia="Palatino Linotype" w:hAnsi="Palatino Linotype" w:cs="Palatino Linotype"/>
          <w:color w:val="000000" w:themeColor="text1"/>
          <w:sz w:val="24"/>
          <w:szCs w:val="24"/>
        </w:rPr>
      </w:pPr>
    </w:p>
    <w:p w:rsidR="008B18C3" w:rsidRPr="006C23FC" w:rsidRDefault="008B18C3" w:rsidP="006C23FC">
      <w:pPr>
        <w:spacing w:before="240" w:after="240" w:line="360" w:lineRule="auto"/>
        <w:ind w:firstLine="1"/>
        <w:jc w:val="both"/>
        <w:rPr>
          <w:rFonts w:ascii="Palatino Linotype" w:eastAsia="Palatino Linotype" w:hAnsi="Palatino Linotype" w:cs="Palatino Linotype"/>
          <w:color w:val="000000" w:themeColor="text1"/>
          <w:sz w:val="24"/>
          <w:szCs w:val="24"/>
        </w:rPr>
      </w:pPr>
    </w:p>
    <w:p w:rsidR="008B18C3" w:rsidRPr="006C23FC" w:rsidRDefault="008B18C3" w:rsidP="006C23FC">
      <w:pPr>
        <w:spacing w:before="240" w:after="240" w:line="360" w:lineRule="auto"/>
        <w:ind w:firstLine="1"/>
        <w:jc w:val="both"/>
        <w:rPr>
          <w:rFonts w:ascii="Palatino Linotype" w:eastAsia="Palatino Linotype" w:hAnsi="Palatino Linotype" w:cs="Palatino Linotype"/>
          <w:color w:val="000000" w:themeColor="text1"/>
          <w:sz w:val="24"/>
          <w:szCs w:val="24"/>
        </w:rPr>
      </w:pPr>
    </w:p>
    <w:p w:rsidR="008B18C3" w:rsidRPr="006C23FC" w:rsidRDefault="008B18C3" w:rsidP="006C23FC">
      <w:pPr>
        <w:spacing w:before="240" w:after="240" w:line="360" w:lineRule="auto"/>
        <w:ind w:firstLine="1"/>
        <w:jc w:val="both"/>
        <w:rPr>
          <w:rFonts w:ascii="Palatino Linotype" w:eastAsia="Palatino Linotype" w:hAnsi="Palatino Linotype" w:cs="Palatino Linotype"/>
          <w:color w:val="000000" w:themeColor="text1"/>
          <w:sz w:val="24"/>
          <w:szCs w:val="24"/>
        </w:rPr>
      </w:pPr>
    </w:p>
    <w:p w:rsidR="008B18C3" w:rsidRPr="006C23FC" w:rsidRDefault="008B18C3" w:rsidP="006C23FC">
      <w:pPr>
        <w:spacing w:before="240" w:after="240" w:line="360" w:lineRule="auto"/>
        <w:ind w:firstLine="1"/>
        <w:jc w:val="both"/>
        <w:rPr>
          <w:rFonts w:ascii="Palatino Linotype" w:eastAsia="Palatino Linotype" w:hAnsi="Palatino Linotype" w:cs="Palatino Linotype"/>
          <w:color w:val="000000" w:themeColor="text1"/>
          <w:sz w:val="24"/>
          <w:szCs w:val="24"/>
        </w:rPr>
      </w:pPr>
    </w:p>
    <w:p w:rsidR="008B18C3" w:rsidRPr="006C23FC" w:rsidRDefault="008B18C3" w:rsidP="006C23FC">
      <w:pPr>
        <w:spacing w:before="240" w:after="240" w:line="360" w:lineRule="auto"/>
        <w:ind w:firstLine="1"/>
        <w:jc w:val="both"/>
        <w:rPr>
          <w:rFonts w:ascii="Palatino Linotype" w:eastAsia="Palatino Linotype" w:hAnsi="Palatino Linotype" w:cs="Palatino Linotype"/>
          <w:color w:val="000000" w:themeColor="text1"/>
          <w:sz w:val="24"/>
          <w:szCs w:val="24"/>
        </w:rPr>
      </w:pPr>
    </w:p>
    <w:p w:rsidR="008B18C3" w:rsidRPr="006C23FC" w:rsidRDefault="008B18C3" w:rsidP="006C23FC">
      <w:pPr>
        <w:spacing w:after="0" w:line="360" w:lineRule="auto"/>
        <w:jc w:val="both"/>
        <w:rPr>
          <w:rFonts w:ascii="Palatino Linotype" w:eastAsia="Palatino Linotype" w:hAnsi="Palatino Linotype" w:cs="Palatino Linotype"/>
          <w:color w:val="000000" w:themeColor="text1"/>
          <w:sz w:val="24"/>
          <w:szCs w:val="24"/>
        </w:rPr>
      </w:pPr>
    </w:p>
    <w:p w:rsidR="008B18C3" w:rsidRPr="006C23FC" w:rsidRDefault="008B18C3" w:rsidP="006C23FC">
      <w:pPr>
        <w:keepNext/>
        <w:keepLines/>
        <w:spacing w:after="0" w:line="360" w:lineRule="auto"/>
        <w:rPr>
          <w:rFonts w:ascii="Palatino Linotype" w:eastAsia="Palatino Linotype" w:hAnsi="Palatino Linotype" w:cs="Palatino Linotype"/>
          <w:b/>
          <w:color w:val="000000" w:themeColor="text1"/>
          <w:sz w:val="24"/>
          <w:szCs w:val="24"/>
        </w:rPr>
      </w:pPr>
    </w:p>
    <w:p w:rsidR="008B18C3" w:rsidRPr="006C23FC" w:rsidRDefault="008B18C3" w:rsidP="006C23FC">
      <w:pPr>
        <w:spacing w:line="360" w:lineRule="auto"/>
        <w:jc w:val="both"/>
        <w:rPr>
          <w:rFonts w:ascii="Palatino Linotype" w:eastAsia="Palatino Linotype" w:hAnsi="Palatino Linotype" w:cs="Palatino Linotype"/>
          <w:color w:val="000000" w:themeColor="text1"/>
          <w:sz w:val="24"/>
          <w:szCs w:val="24"/>
        </w:rPr>
      </w:pPr>
    </w:p>
    <w:p w:rsidR="008B18C3" w:rsidRPr="006C23FC" w:rsidRDefault="008B18C3" w:rsidP="006C23FC">
      <w:pPr>
        <w:spacing w:line="360" w:lineRule="auto"/>
        <w:jc w:val="both"/>
        <w:rPr>
          <w:rFonts w:ascii="Palatino Linotype" w:eastAsia="Palatino Linotype" w:hAnsi="Palatino Linotype" w:cs="Palatino Linotype"/>
          <w:color w:val="000000" w:themeColor="text1"/>
          <w:sz w:val="24"/>
          <w:szCs w:val="24"/>
        </w:rPr>
      </w:pPr>
    </w:p>
    <w:p w:rsidR="008B18C3" w:rsidRPr="006C23FC" w:rsidRDefault="008B18C3" w:rsidP="006C23FC">
      <w:pPr>
        <w:tabs>
          <w:tab w:val="left" w:pos="0"/>
        </w:tabs>
        <w:spacing w:after="0" w:line="360" w:lineRule="auto"/>
        <w:jc w:val="both"/>
        <w:rPr>
          <w:rFonts w:ascii="Palatino Linotype" w:eastAsia="Palatino Linotype" w:hAnsi="Palatino Linotype" w:cs="Palatino Linotype"/>
          <w:color w:val="000000" w:themeColor="text1"/>
          <w:sz w:val="24"/>
          <w:szCs w:val="24"/>
        </w:rPr>
      </w:pPr>
    </w:p>
    <w:p w:rsidR="006C23FC" w:rsidRPr="006C23FC" w:rsidRDefault="006C23FC" w:rsidP="006C23FC">
      <w:pPr>
        <w:tabs>
          <w:tab w:val="left" w:pos="0"/>
        </w:tabs>
        <w:spacing w:after="0" w:line="360" w:lineRule="auto"/>
        <w:jc w:val="both"/>
        <w:rPr>
          <w:rFonts w:ascii="Palatino Linotype" w:eastAsia="Palatino Linotype" w:hAnsi="Palatino Linotype" w:cs="Palatino Linotype"/>
          <w:color w:val="000000" w:themeColor="text1"/>
          <w:sz w:val="24"/>
          <w:szCs w:val="24"/>
        </w:rPr>
      </w:pPr>
    </w:p>
    <w:sectPr w:rsidR="006C23FC" w:rsidRPr="006C23FC" w:rsidSect="00B647F1">
      <w:headerReference w:type="even" r:id="rId78"/>
      <w:headerReference w:type="default" r:id="rId79"/>
      <w:footerReference w:type="default" r:id="rId80"/>
      <w:headerReference w:type="first" r:id="rId81"/>
      <w:footerReference w:type="first" r:id="rId82"/>
      <w:pgSz w:w="12240" w:h="15840"/>
      <w:pgMar w:top="2268" w:right="758"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77C" w:rsidRDefault="00D1177C">
      <w:pPr>
        <w:spacing w:after="0" w:line="240" w:lineRule="auto"/>
      </w:pPr>
      <w:r>
        <w:separator/>
      </w:r>
    </w:p>
  </w:endnote>
  <w:endnote w:type="continuationSeparator" w:id="0">
    <w:p w:rsidR="00D1177C" w:rsidRDefault="00D11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8C3" w:rsidRDefault="0059651D">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B647F1">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B647F1">
      <w:rPr>
        <w:rFonts w:ascii="Palatino Linotype" w:eastAsia="Palatino Linotype" w:hAnsi="Palatino Linotype" w:cs="Palatino Linotype"/>
        <w:noProof/>
        <w:color w:val="000000"/>
        <w:sz w:val="20"/>
        <w:szCs w:val="20"/>
      </w:rPr>
      <w:t>50</w:t>
    </w:r>
    <w:r>
      <w:rPr>
        <w:rFonts w:ascii="Palatino Linotype" w:eastAsia="Palatino Linotype" w:hAnsi="Palatino Linotype" w:cs="Palatino Linotype"/>
        <w:color w:val="000000"/>
        <w:sz w:val="20"/>
        <w:szCs w:val="20"/>
      </w:rPr>
      <w:fldChar w:fldCharType="end"/>
    </w:r>
  </w:p>
  <w:p w:rsidR="008B18C3" w:rsidRDefault="008B18C3">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8C3" w:rsidRDefault="0059651D">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B647F1">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B647F1">
      <w:rPr>
        <w:rFonts w:ascii="Palatino Linotype" w:eastAsia="Palatino Linotype" w:hAnsi="Palatino Linotype" w:cs="Palatino Linotype"/>
        <w:noProof/>
        <w:color w:val="000000"/>
        <w:sz w:val="20"/>
        <w:szCs w:val="20"/>
      </w:rPr>
      <w:t>50</w:t>
    </w:r>
    <w:r>
      <w:rPr>
        <w:rFonts w:ascii="Palatino Linotype" w:eastAsia="Palatino Linotype" w:hAnsi="Palatino Linotype" w:cs="Palatino Linotype"/>
        <w:color w:val="000000"/>
        <w:sz w:val="20"/>
        <w:szCs w:val="20"/>
      </w:rPr>
      <w:fldChar w:fldCharType="end"/>
    </w:r>
  </w:p>
  <w:p w:rsidR="008B18C3" w:rsidRDefault="008B18C3">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77C" w:rsidRDefault="00D1177C">
      <w:pPr>
        <w:spacing w:after="0" w:line="240" w:lineRule="auto"/>
      </w:pPr>
      <w:r>
        <w:separator/>
      </w:r>
    </w:p>
  </w:footnote>
  <w:footnote w:type="continuationSeparator" w:id="0">
    <w:p w:rsidR="00D1177C" w:rsidRDefault="00D1177C">
      <w:pPr>
        <w:spacing w:after="0" w:line="240" w:lineRule="auto"/>
      </w:pPr>
      <w:r>
        <w:continuationSeparator/>
      </w:r>
    </w:p>
  </w:footnote>
  <w:footnote w:id="1">
    <w:p w:rsidR="008B18C3" w:rsidRDefault="0059651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150. Ley de Transparencia y Acceso a la Información Pública del Estado de México y Municipios.</w:t>
      </w:r>
    </w:p>
    <w:p w:rsidR="008B18C3" w:rsidRDefault="0059651D">
      <w:pPr>
        <w:pBdr>
          <w:top w:val="nil"/>
          <w:left w:val="nil"/>
          <w:bottom w:val="nil"/>
          <w:right w:val="nil"/>
          <w:between w:val="nil"/>
        </w:pBdr>
        <w:rPr>
          <w:color w:val="000000"/>
          <w:sz w:val="20"/>
          <w:szCs w:val="20"/>
        </w:rPr>
      </w:pPr>
      <w:r>
        <w:rPr>
          <w:color w:val="000000"/>
          <w:sz w:val="20"/>
          <w:szCs w:val="20"/>
        </w:rPr>
        <w:t>Artículo 151. Ibídem.</w:t>
      </w:r>
    </w:p>
  </w:footnote>
  <w:footnote w:id="2">
    <w:p w:rsidR="008B18C3" w:rsidRDefault="0059651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8C3" w:rsidRDefault="00D1177C">
    <w:pPr>
      <w:pBdr>
        <w:top w:val="nil"/>
        <w:left w:val="nil"/>
        <w:bottom w:val="nil"/>
        <w:right w:val="nil"/>
        <w:between w:val="nil"/>
      </w:pBdr>
      <w:tabs>
        <w:tab w:val="center" w:pos="4419"/>
        <w:tab w:val="right" w:pos="8838"/>
      </w:tabs>
      <w:spacing w:after="0" w:line="240" w:lineRule="auto"/>
      <w:rPr>
        <w:color w:val="000000"/>
        <w:sz w:val="24"/>
        <w:szCs w:val="24"/>
      </w:rPr>
    </w:pPr>
    <w:r>
      <w:rPr>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8079" w:type="dxa"/>
      <w:tblInd w:w="2268" w:type="dxa"/>
      <w:tblLayout w:type="fixed"/>
      <w:tblLook w:val="0400" w:firstRow="0" w:lastRow="0" w:firstColumn="0" w:lastColumn="0" w:noHBand="0" w:noVBand="1"/>
    </w:tblPr>
    <w:tblGrid>
      <w:gridCol w:w="2970"/>
      <w:gridCol w:w="5109"/>
    </w:tblGrid>
    <w:tr w:rsidR="008B18C3" w:rsidTr="00B647F1">
      <w:trPr>
        <w:trHeight w:val="425"/>
      </w:trPr>
      <w:tc>
        <w:tcPr>
          <w:tcW w:w="2970" w:type="dxa"/>
          <w:vAlign w:val="center"/>
        </w:tcPr>
        <w:p w:rsidR="008B18C3" w:rsidRPr="006C23FC" w:rsidRDefault="0059651D" w:rsidP="006C23FC">
          <w:pPr>
            <w:spacing w:after="0" w:line="240" w:lineRule="auto"/>
            <w:ind w:right="34"/>
            <w:jc w:val="right"/>
            <w:rPr>
              <w:rFonts w:ascii="Palatino Linotype" w:eastAsia="Palatino Linotype" w:hAnsi="Palatino Linotype" w:cs="Palatino Linotype"/>
              <w:b/>
              <w:sz w:val="24"/>
              <w:szCs w:val="24"/>
            </w:rPr>
          </w:pPr>
          <w:r w:rsidRPr="006C23FC">
            <w:rPr>
              <w:rFonts w:ascii="Palatino Linotype" w:eastAsia="Palatino Linotype" w:hAnsi="Palatino Linotype" w:cs="Palatino Linotype"/>
              <w:b/>
              <w:sz w:val="24"/>
              <w:szCs w:val="24"/>
            </w:rPr>
            <w:t>Recurso de Revisión:</w:t>
          </w:r>
        </w:p>
      </w:tc>
      <w:tc>
        <w:tcPr>
          <w:tcW w:w="5109" w:type="dxa"/>
          <w:vAlign w:val="center"/>
        </w:tcPr>
        <w:p w:rsidR="008B18C3" w:rsidRPr="006C23FC" w:rsidRDefault="0059651D" w:rsidP="006C23FC">
          <w:pPr>
            <w:pBdr>
              <w:top w:val="nil"/>
              <w:left w:val="nil"/>
              <w:bottom w:val="nil"/>
              <w:right w:val="nil"/>
              <w:between w:val="nil"/>
            </w:pBdr>
            <w:tabs>
              <w:tab w:val="right" w:pos="8838"/>
            </w:tabs>
            <w:spacing w:after="0" w:line="240" w:lineRule="auto"/>
            <w:ind w:right="-31"/>
            <w:rPr>
              <w:rFonts w:ascii="Palatino Linotype" w:eastAsia="Palatino Linotype" w:hAnsi="Palatino Linotype" w:cs="Palatino Linotype"/>
              <w:color w:val="000000"/>
              <w:sz w:val="24"/>
              <w:szCs w:val="24"/>
            </w:rPr>
          </w:pPr>
          <w:r w:rsidRPr="006C23FC">
            <w:rPr>
              <w:rFonts w:ascii="Palatino Linotype" w:eastAsia="Palatino Linotype" w:hAnsi="Palatino Linotype" w:cs="Palatino Linotype"/>
              <w:color w:val="000000"/>
              <w:sz w:val="24"/>
              <w:szCs w:val="24"/>
            </w:rPr>
            <w:t>06013/INFOEM/IP/RR/2025 y acumulados</w:t>
          </w:r>
        </w:p>
      </w:tc>
    </w:tr>
    <w:tr w:rsidR="008B18C3" w:rsidTr="00B647F1">
      <w:trPr>
        <w:trHeight w:val="242"/>
      </w:trPr>
      <w:tc>
        <w:tcPr>
          <w:tcW w:w="2970" w:type="dxa"/>
          <w:vAlign w:val="center"/>
        </w:tcPr>
        <w:p w:rsidR="008B18C3" w:rsidRPr="006C23FC" w:rsidRDefault="0059651D" w:rsidP="006C23FC">
          <w:pPr>
            <w:spacing w:after="0" w:line="240" w:lineRule="auto"/>
            <w:ind w:right="34"/>
            <w:jc w:val="right"/>
            <w:rPr>
              <w:rFonts w:ascii="Palatino Linotype" w:eastAsia="Palatino Linotype" w:hAnsi="Palatino Linotype" w:cs="Palatino Linotype"/>
              <w:b/>
              <w:sz w:val="24"/>
              <w:szCs w:val="24"/>
            </w:rPr>
          </w:pPr>
          <w:r w:rsidRPr="006C23FC">
            <w:rPr>
              <w:rFonts w:ascii="Palatino Linotype" w:eastAsia="Palatino Linotype" w:hAnsi="Palatino Linotype" w:cs="Palatino Linotype"/>
              <w:b/>
              <w:sz w:val="24"/>
              <w:szCs w:val="24"/>
            </w:rPr>
            <w:t>Sujeto Obligado:</w:t>
          </w:r>
        </w:p>
      </w:tc>
      <w:tc>
        <w:tcPr>
          <w:tcW w:w="5109" w:type="dxa"/>
          <w:vAlign w:val="center"/>
        </w:tcPr>
        <w:p w:rsidR="008B18C3" w:rsidRPr="006C23FC" w:rsidRDefault="0059651D" w:rsidP="006C23FC">
          <w:pPr>
            <w:pBdr>
              <w:top w:val="nil"/>
              <w:left w:val="nil"/>
              <w:bottom w:val="nil"/>
              <w:right w:val="nil"/>
              <w:between w:val="nil"/>
            </w:pBdr>
            <w:tabs>
              <w:tab w:val="right" w:pos="8838"/>
            </w:tabs>
            <w:spacing w:after="0" w:line="240" w:lineRule="auto"/>
            <w:ind w:right="-31"/>
            <w:rPr>
              <w:rFonts w:ascii="Palatino Linotype" w:eastAsia="Palatino Linotype" w:hAnsi="Palatino Linotype" w:cs="Palatino Linotype"/>
              <w:color w:val="000000"/>
              <w:sz w:val="24"/>
              <w:szCs w:val="24"/>
            </w:rPr>
          </w:pPr>
          <w:r w:rsidRPr="006C23FC">
            <w:rPr>
              <w:rFonts w:ascii="Palatino Linotype" w:eastAsia="Palatino Linotype" w:hAnsi="Palatino Linotype" w:cs="Palatino Linotype"/>
              <w:color w:val="000000"/>
              <w:sz w:val="24"/>
              <w:szCs w:val="24"/>
            </w:rPr>
            <w:t>Ayuntamiento de Chiautla</w:t>
          </w:r>
        </w:p>
      </w:tc>
    </w:tr>
    <w:tr w:rsidR="008B18C3" w:rsidTr="00B647F1">
      <w:trPr>
        <w:trHeight w:val="342"/>
      </w:trPr>
      <w:tc>
        <w:tcPr>
          <w:tcW w:w="2970" w:type="dxa"/>
          <w:vAlign w:val="center"/>
        </w:tcPr>
        <w:p w:rsidR="008B18C3" w:rsidRPr="006C23FC" w:rsidRDefault="0059651D" w:rsidP="006C23FC">
          <w:pPr>
            <w:spacing w:after="0" w:line="240" w:lineRule="auto"/>
            <w:ind w:right="34"/>
            <w:jc w:val="right"/>
            <w:rPr>
              <w:rFonts w:ascii="Palatino Linotype" w:eastAsia="Palatino Linotype" w:hAnsi="Palatino Linotype" w:cs="Palatino Linotype"/>
              <w:b/>
              <w:sz w:val="24"/>
              <w:szCs w:val="24"/>
            </w:rPr>
          </w:pPr>
          <w:r w:rsidRPr="006C23FC">
            <w:rPr>
              <w:rFonts w:ascii="Palatino Linotype" w:eastAsia="Palatino Linotype" w:hAnsi="Palatino Linotype" w:cs="Palatino Linotype"/>
              <w:b/>
              <w:sz w:val="24"/>
              <w:szCs w:val="24"/>
            </w:rPr>
            <w:t>Comisionada Ponente:</w:t>
          </w:r>
        </w:p>
      </w:tc>
      <w:tc>
        <w:tcPr>
          <w:tcW w:w="5109" w:type="dxa"/>
          <w:vAlign w:val="center"/>
        </w:tcPr>
        <w:p w:rsidR="008B18C3" w:rsidRPr="006C23FC" w:rsidRDefault="0059651D" w:rsidP="006C23FC">
          <w:pPr>
            <w:pBdr>
              <w:top w:val="nil"/>
              <w:left w:val="nil"/>
              <w:bottom w:val="nil"/>
              <w:right w:val="nil"/>
              <w:between w:val="nil"/>
            </w:pBdr>
            <w:tabs>
              <w:tab w:val="right" w:pos="8838"/>
            </w:tabs>
            <w:spacing w:after="0" w:line="240" w:lineRule="auto"/>
            <w:ind w:right="-31"/>
            <w:rPr>
              <w:rFonts w:ascii="Palatino Linotype" w:eastAsia="Palatino Linotype" w:hAnsi="Palatino Linotype" w:cs="Palatino Linotype"/>
              <w:color w:val="000000"/>
              <w:sz w:val="24"/>
              <w:szCs w:val="24"/>
            </w:rPr>
          </w:pPr>
          <w:r w:rsidRPr="006C23FC">
            <w:rPr>
              <w:rFonts w:ascii="Palatino Linotype" w:eastAsia="Palatino Linotype" w:hAnsi="Palatino Linotype" w:cs="Palatino Linotype"/>
              <w:color w:val="000000"/>
              <w:sz w:val="24"/>
              <w:szCs w:val="24"/>
            </w:rPr>
            <w:t>María del Rosario Mejía Ayala</w:t>
          </w:r>
        </w:p>
      </w:tc>
    </w:tr>
  </w:tbl>
  <w:p w:rsidR="008B18C3" w:rsidRDefault="00D1177C">
    <w:pPr>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10"/>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8221" w:type="dxa"/>
      <w:tblInd w:w="2694" w:type="dxa"/>
      <w:tblLayout w:type="fixed"/>
      <w:tblLook w:val="0400" w:firstRow="0" w:lastRow="0" w:firstColumn="0" w:lastColumn="0" w:noHBand="0" w:noVBand="1"/>
    </w:tblPr>
    <w:tblGrid>
      <w:gridCol w:w="2835"/>
      <w:gridCol w:w="5386"/>
    </w:tblGrid>
    <w:tr w:rsidR="008B18C3" w:rsidTr="00B647F1">
      <w:trPr>
        <w:trHeight w:val="227"/>
      </w:trPr>
      <w:tc>
        <w:tcPr>
          <w:tcW w:w="2835" w:type="dxa"/>
          <w:vAlign w:val="center"/>
        </w:tcPr>
        <w:p w:rsidR="008B18C3" w:rsidRPr="006C23FC" w:rsidRDefault="0059651D" w:rsidP="006C23FC">
          <w:pPr>
            <w:spacing w:after="0" w:line="240" w:lineRule="auto"/>
            <w:jc w:val="right"/>
            <w:rPr>
              <w:rFonts w:ascii="Palatino Linotype" w:eastAsia="Palatino Linotype" w:hAnsi="Palatino Linotype" w:cs="Palatino Linotype"/>
              <w:b/>
              <w:sz w:val="24"/>
              <w:szCs w:val="24"/>
            </w:rPr>
          </w:pPr>
          <w:r w:rsidRPr="006C23FC">
            <w:rPr>
              <w:rFonts w:ascii="Palatino Linotype" w:eastAsia="Palatino Linotype" w:hAnsi="Palatino Linotype" w:cs="Palatino Linotype"/>
              <w:b/>
              <w:sz w:val="24"/>
              <w:szCs w:val="24"/>
            </w:rPr>
            <w:t>Recurso de Revisión:</w:t>
          </w:r>
        </w:p>
      </w:tc>
      <w:tc>
        <w:tcPr>
          <w:tcW w:w="5386" w:type="dxa"/>
          <w:vAlign w:val="center"/>
        </w:tcPr>
        <w:p w:rsidR="008B18C3" w:rsidRPr="006C23FC" w:rsidRDefault="0059651D" w:rsidP="00B647F1">
          <w:pPr>
            <w:pBdr>
              <w:top w:val="nil"/>
              <w:left w:val="nil"/>
              <w:bottom w:val="nil"/>
              <w:right w:val="nil"/>
              <w:between w:val="nil"/>
            </w:pBdr>
            <w:tabs>
              <w:tab w:val="right" w:pos="8838"/>
            </w:tabs>
            <w:spacing w:after="0" w:line="240" w:lineRule="auto"/>
            <w:rPr>
              <w:rFonts w:ascii="Palatino Linotype" w:eastAsia="Palatino Linotype" w:hAnsi="Palatino Linotype" w:cs="Palatino Linotype"/>
              <w:color w:val="000000"/>
              <w:sz w:val="24"/>
              <w:szCs w:val="24"/>
            </w:rPr>
          </w:pPr>
          <w:r w:rsidRPr="006C23FC">
            <w:rPr>
              <w:rFonts w:ascii="Palatino Linotype" w:eastAsia="Palatino Linotype" w:hAnsi="Palatino Linotype" w:cs="Palatino Linotype"/>
              <w:color w:val="000000"/>
              <w:sz w:val="24"/>
              <w:szCs w:val="24"/>
            </w:rPr>
            <w:t>06013</w:t>
          </w:r>
          <w:r w:rsidR="00B647F1">
            <w:rPr>
              <w:rFonts w:ascii="Palatino Linotype" w:eastAsia="Palatino Linotype" w:hAnsi="Palatino Linotype" w:cs="Palatino Linotype"/>
              <w:color w:val="000000"/>
              <w:sz w:val="24"/>
              <w:szCs w:val="24"/>
            </w:rPr>
            <w:t>/INFOEM/IP/RR/2025 y acumulados</w:t>
          </w:r>
        </w:p>
      </w:tc>
    </w:tr>
    <w:tr w:rsidR="008B18C3" w:rsidTr="00B647F1">
      <w:trPr>
        <w:trHeight w:val="242"/>
      </w:trPr>
      <w:tc>
        <w:tcPr>
          <w:tcW w:w="2835" w:type="dxa"/>
          <w:vAlign w:val="center"/>
        </w:tcPr>
        <w:p w:rsidR="008B18C3" w:rsidRPr="006C23FC" w:rsidRDefault="0059651D" w:rsidP="006C23FC">
          <w:pPr>
            <w:spacing w:after="0" w:line="240" w:lineRule="auto"/>
            <w:jc w:val="right"/>
            <w:rPr>
              <w:rFonts w:ascii="Palatino Linotype" w:eastAsia="Palatino Linotype" w:hAnsi="Palatino Linotype" w:cs="Palatino Linotype"/>
              <w:b/>
              <w:sz w:val="24"/>
              <w:szCs w:val="24"/>
            </w:rPr>
          </w:pPr>
          <w:r w:rsidRPr="006C23FC">
            <w:rPr>
              <w:rFonts w:ascii="Palatino Linotype" w:eastAsia="Palatino Linotype" w:hAnsi="Palatino Linotype" w:cs="Palatino Linotype"/>
              <w:b/>
              <w:sz w:val="24"/>
              <w:szCs w:val="24"/>
            </w:rPr>
            <w:t>Recurrente:</w:t>
          </w:r>
        </w:p>
      </w:tc>
      <w:tc>
        <w:tcPr>
          <w:tcW w:w="5386" w:type="dxa"/>
        </w:tcPr>
        <w:p w:rsidR="008B18C3" w:rsidRPr="006C23FC" w:rsidRDefault="008B18C3" w:rsidP="006C23FC">
          <w:pPr>
            <w:spacing w:line="240" w:lineRule="auto"/>
            <w:rPr>
              <w:rFonts w:ascii="Palatino Linotype" w:eastAsia="Palatino Linotype" w:hAnsi="Palatino Linotype" w:cs="Palatino Linotype"/>
              <w:color w:val="000000"/>
              <w:sz w:val="24"/>
              <w:szCs w:val="24"/>
            </w:rPr>
          </w:pPr>
        </w:p>
      </w:tc>
    </w:tr>
    <w:tr w:rsidR="008B18C3" w:rsidTr="00B647F1">
      <w:trPr>
        <w:trHeight w:val="342"/>
      </w:trPr>
      <w:tc>
        <w:tcPr>
          <w:tcW w:w="2835" w:type="dxa"/>
          <w:vAlign w:val="center"/>
        </w:tcPr>
        <w:p w:rsidR="008B18C3" w:rsidRPr="006C23FC" w:rsidRDefault="0059651D" w:rsidP="006C23FC">
          <w:pPr>
            <w:spacing w:after="0" w:line="240" w:lineRule="auto"/>
            <w:jc w:val="right"/>
            <w:rPr>
              <w:rFonts w:ascii="Palatino Linotype" w:eastAsia="Palatino Linotype" w:hAnsi="Palatino Linotype" w:cs="Palatino Linotype"/>
              <w:b/>
              <w:sz w:val="24"/>
              <w:szCs w:val="24"/>
            </w:rPr>
          </w:pPr>
          <w:r w:rsidRPr="006C23FC">
            <w:rPr>
              <w:rFonts w:ascii="Palatino Linotype" w:eastAsia="Palatino Linotype" w:hAnsi="Palatino Linotype" w:cs="Palatino Linotype"/>
              <w:b/>
              <w:sz w:val="24"/>
              <w:szCs w:val="24"/>
            </w:rPr>
            <w:t>Sujeto Obligado:</w:t>
          </w:r>
        </w:p>
      </w:tc>
      <w:tc>
        <w:tcPr>
          <w:tcW w:w="5386" w:type="dxa"/>
          <w:vAlign w:val="center"/>
        </w:tcPr>
        <w:p w:rsidR="008B18C3" w:rsidRPr="006C23FC" w:rsidRDefault="0059651D" w:rsidP="006C23F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sz w:val="24"/>
              <w:szCs w:val="24"/>
            </w:rPr>
          </w:pPr>
          <w:r w:rsidRPr="006C23FC">
            <w:rPr>
              <w:rFonts w:ascii="Palatino Linotype" w:eastAsia="Palatino Linotype" w:hAnsi="Palatino Linotype" w:cs="Palatino Linotype"/>
              <w:color w:val="000000"/>
              <w:sz w:val="24"/>
              <w:szCs w:val="24"/>
            </w:rPr>
            <w:t>Ayuntamiento de Chiautla</w:t>
          </w:r>
        </w:p>
      </w:tc>
    </w:tr>
    <w:tr w:rsidR="008B18C3" w:rsidTr="00B647F1">
      <w:trPr>
        <w:trHeight w:val="342"/>
      </w:trPr>
      <w:tc>
        <w:tcPr>
          <w:tcW w:w="2835" w:type="dxa"/>
          <w:vAlign w:val="center"/>
        </w:tcPr>
        <w:p w:rsidR="008B18C3" w:rsidRPr="006C23FC" w:rsidRDefault="0059651D" w:rsidP="006C23FC">
          <w:pPr>
            <w:spacing w:after="0" w:line="240" w:lineRule="auto"/>
            <w:jc w:val="right"/>
            <w:rPr>
              <w:rFonts w:ascii="Palatino Linotype" w:eastAsia="Palatino Linotype" w:hAnsi="Palatino Linotype" w:cs="Palatino Linotype"/>
              <w:b/>
              <w:sz w:val="24"/>
              <w:szCs w:val="24"/>
            </w:rPr>
          </w:pPr>
          <w:r w:rsidRPr="006C23FC">
            <w:rPr>
              <w:rFonts w:ascii="Palatino Linotype" w:eastAsia="Palatino Linotype" w:hAnsi="Palatino Linotype" w:cs="Palatino Linotype"/>
              <w:b/>
              <w:sz w:val="24"/>
              <w:szCs w:val="24"/>
            </w:rPr>
            <w:t>Comisionada Ponente:</w:t>
          </w:r>
        </w:p>
      </w:tc>
      <w:tc>
        <w:tcPr>
          <w:tcW w:w="5386" w:type="dxa"/>
          <w:vAlign w:val="center"/>
        </w:tcPr>
        <w:p w:rsidR="008B18C3" w:rsidRPr="006C23FC" w:rsidRDefault="0059651D" w:rsidP="006C23F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sz w:val="24"/>
              <w:szCs w:val="24"/>
            </w:rPr>
          </w:pPr>
          <w:r w:rsidRPr="006C23FC">
            <w:rPr>
              <w:rFonts w:ascii="Palatino Linotype" w:eastAsia="Palatino Linotype" w:hAnsi="Palatino Linotype" w:cs="Palatino Linotype"/>
              <w:color w:val="000000"/>
              <w:sz w:val="24"/>
              <w:szCs w:val="24"/>
            </w:rPr>
            <w:t>María del Rosario Mejía Ayala</w:t>
          </w:r>
        </w:p>
      </w:tc>
    </w:tr>
  </w:tbl>
  <w:p w:rsidR="008B18C3" w:rsidRDefault="00D1177C">
    <w:pPr>
      <w:pBdr>
        <w:top w:val="nil"/>
        <w:left w:val="nil"/>
        <w:bottom w:val="nil"/>
        <w:right w:val="nil"/>
        <w:between w:val="nil"/>
      </w:pBdr>
      <w:tabs>
        <w:tab w:val="center" w:pos="4419"/>
        <w:tab w:val="right" w:pos="8838"/>
      </w:tabs>
      <w:spacing w:after="0" w:line="240" w:lineRule="auto"/>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F6B1C"/>
    <w:multiLevelType w:val="multilevel"/>
    <w:tmpl w:val="B94AB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8E024D"/>
    <w:multiLevelType w:val="multilevel"/>
    <w:tmpl w:val="0A3057F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6B1C9C"/>
    <w:multiLevelType w:val="multilevel"/>
    <w:tmpl w:val="8FCAB48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5E4390"/>
    <w:multiLevelType w:val="multilevel"/>
    <w:tmpl w:val="731EA9E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4" w15:restartNumberingAfterBreak="0">
    <w:nsid w:val="27900AC1"/>
    <w:multiLevelType w:val="multilevel"/>
    <w:tmpl w:val="A446C54C"/>
    <w:lvl w:ilvl="0">
      <w:start w:val="1"/>
      <w:numFmt w:val="bullet"/>
      <w:lvlText w:val="●"/>
      <w:lvlJc w:val="left"/>
      <w:pPr>
        <w:ind w:left="720" w:hanging="360"/>
      </w:pPr>
      <w:rPr>
        <w:rFonts w:ascii="Noto Sans Symbols" w:eastAsia="Noto Sans Symbols" w:hAnsi="Noto Sans Symbols" w:cs="Noto Sans Symbols"/>
        <w:b/>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8E4431"/>
    <w:multiLevelType w:val="multilevel"/>
    <w:tmpl w:val="823A5912"/>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1D9703A"/>
    <w:multiLevelType w:val="multilevel"/>
    <w:tmpl w:val="5ED0C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0A3681C"/>
    <w:multiLevelType w:val="multilevel"/>
    <w:tmpl w:val="80C0E9A0"/>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3"/>
  </w:num>
  <w:num w:numId="3">
    <w:abstractNumId w:val="6"/>
  </w:num>
  <w:num w:numId="4">
    <w:abstractNumId w:val="0"/>
  </w:num>
  <w:num w:numId="5">
    <w:abstractNumId w:val="1"/>
  </w:num>
  <w:num w:numId="6">
    <w:abstractNumId w:val="2"/>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8C3"/>
    <w:rsid w:val="004524E0"/>
    <w:rsid w:val="0059651D"/>
    <w:rsid w:val="00645C95"/>
    <w:rsid w:val="006C23FC"/>
    <w:rsid w:val="008B18C3"/>
    <w:rsid w:val="00AC46EA"/>
    <w:rsid w:val="00B647F1"/>
    <w:rsid w:val="00C50BBE"/>
    <w:rsid w:val="00D1177C"/>
    <w:rsid w:val="00FB28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BF1B21F-E0C4-4EC1-BF71-94B5A9414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line="240" w:lineRule="auto"/>
      <w:outlineLvl w:val="0"/>
    </w:pPr>
    <w:rPr>
      <w:color w:val="2E75B5"/>
      <w:sz w:val="32"/>
      <w:szCs w:val="32"/>
    </w:rPr>
  </w:style>
  <w:style w:type="paragraph" w:styleId="Ttulo2">
    <w:name w:val="heading 2"/>
    <w:basedOn w:val="Normal"/>
    <w:next w:val="Normal"/>
    <w:pPr>
      <w:keepNext/>
      <w:keepLines/>
      <w:spacing w:before="40" w:after="0" w:line="240" w:lineRule="auto"/>
      <w:outlineLvl w:val="1"/>
    </w:pPr>
    <w:rPr>
      <w:color w:val="2E75B5"/>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791C1A"/>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uiPriority w:val="9"/>
    <w:rsid w:val="00791C1A"/>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791C1A"/>
    <w:rPr>
      <w:rFonts w:eastAsiaTheme="minorEastAsia"/>
      <w:sz w:val="24"/>
      <w:szCs w:val="24"/>
      <w:lang w:val="es-ES_tradnl" w:eastAsia="es-ES"/>
    </w:rPr>
  </w:style>
  <w:style w:type="paragraph" w:styleId="Piedepgina">
    <w:name w:val="footer"/>
    <w:basedOn w:val="Normal"/>
    <w:link w:val="Piedepgina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791C1A"/>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91C1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1C1A"/>
    <w:pPr>
      <w:spacing w:after="0" w:line="240" w:lineRule="auto"/>
    </w:pPr>
    <w:rPr>
      <w:sz w:val="20"/>
      <w:szCs w:val="20"/>
    </w:rPr>
  </w:style>
  <w:style w:type="character" w:customStyle="1" w:styleId="TextonotapieCar1">
    <w:name w:val="Texto nota pie Car1"/>
    <w:basedOn w:val="Fuentedeprrafopredeter"/>
    <w:uiPriority w:val="99"/>
    <w:semiHidden/>
    <w:rsid w:val="00791C1A"/>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1C1A"/>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91C1A"/>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91C1A"/>
    <w:rPr>
      <w:rFonts w:eastAsiaTheme="minorEastAsia"/>
      <w:sz w:val="24"/>
      <w:szCs w:val="24"/>
      <w:lang w:val="es-ES_tradnl" w:eastAsia="es-ES"/>
    </w:rPr>
  </w:style>
  <w:style w:type="paragraph" w:customStyle="1" w:styleId="Default">
    <w:name w:val="Default"/>
    <w:qFormat/>
    <w:rsid w:val="00314CCE"/>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D04217"/>
    <w:rPr>
      <w:color w:val="0563C1" w:themeColor="hyperlink"/>
      <w:u w:val="single"/>
    </w:rPr>
  </w:style>
  <w:style w:type="table" w:styleId="Tablaconcuadrcula">
    <w:name w:val="Table Grid"/>
    <w:basedOn w:val="Tablanormal"/>
    <w:uiPriority w:val="39"/>
    <w:rsid w:val="006D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qFormat/>
    <w:rsid w:val="00853D0D"/>
    <w:pPr>
      <w:numPr>
        <w:numId w:val="8"/>
      </w:numPr>
      <w:spacing w:after="0" w:line="240" w:lineRule="auto"/>
      <w:contextualSpacing/>
    </w:pPr>
    <w:rPr>
      <w:rFonts w:ascii="Times New Roman" w:eastAsia="Times New Roman" w:hAnsi="Times New Roman" w:cs="Times New Roman"/>
      <w:sz w:val="20"/>
      <w:szCs w:val="20"/>
      <w:lang w:val="es-ES_tradnl" w:eastAsia="es-ES"/>
    </w:r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D073F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73F6"/>
    <w:rPr>
      <w:rFonts w:ascii="Segoe UI" w:hAnsi="Segoe UI" w:cs="Segoe UI"/>
      <w:sz w:val="18"/>
      <w:szCs w:val="1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character" w:styleId="Refdecomentario">
    <w:name w:val="annotation reference"/>
    <w:basedOn w:val="Fuentedeprrafopredeter"/>
    <w:uiPriority w:val="99"/>
    <w:semiHidden/>
    <w:unhideWhenUsed/>
    <w:rsid w:val="007D6ABE"/>
    <w:rPr>
      <w:sz w:val="16"/>
      <w:szCs w:val="16"/>
    </w:rPr>
  </w:style>
  <w:style w:type="paragraph" w:styleId="Textocomentario">
    <w:name w:val="annotation text"/>
    <w:basedOn w:val="Normal"/>
    <w:link w:val="TextocomentarioCar"/>
    <w:uiPriority w:val="99"/>
    <w:semiHidden/>
    <w:unhideWhenUsed/>
    <w:rsid w:val="007D6AB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6ABE"/>
    <w:rPr>
      <w:sz w:val="20"/>
      <w:szCs w:val="20"/>
    </w:rPr>
  </w:style>
  <w:style w:type="paragraph" w:styleId="Asuntodelcomentario">
    <w:name w:val="annotation subject"/>
    <w:basedOn w:val="Textocomentario"/>
    <w:next w:val="Textocomentario"/>
    <w:link w:val="AsuntodelcomentarioCar"/>
    <w:uiPriority w:val="99"/>
    <w:semiHidden/>
    <w:unhideWhenUsed/>
    <w:rsid w:val="007D6ABE"/>
    <w:rPr>
      <w:b/>
      <w:bCs/>
    </w:rPr>
  </w:style>
  <w:style w:type="character" w:customStyle="1" w:styleId="AsuntodelcomentarioCar">
    <w:name w:val="Asunto del comentario Car"/>
    <w:basedOn w:val="TextocomentarioCar"/>
    <w:link w:val="Asuntodelcomentario"/>
    <w:uiPriority w:val="99"/>
    <w:semiHidden/>
    <w:rsid w:val="007D6ABE"/>
    <w:rPr>
      <w:b/>
      <w:bCs/>
      <w:sz w:val="20"/>
      <w:szCs w:val="20"/>
    </w:rPr>
  </w:style>
  <w:style w:type="table" w:styleId="Tablanormal1">
    <w:name w:val="Plain Table 1"/>
    <w:basedOn w:val="Tablanormal"/>
    <w:uiPriority w:val="41"/>
    <w:rsid w:val="00320145"/>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saimex.org.mx/saimex/solicitud/downloadAttach/2451288.page" TargetMode="External"/><Relationship Id="rId47" Type="http://schemas.openxmlformats.org/officeDocument/2006/relationships/image" Target="media/image31.png"/><Relationship Id="rId63" Type="http://schemas.openxmlformats.org/officeDocument/2006/relationships/image" Target="media/image41.png"/><Relationship Id="rId84" Type="http://schemas.openxmlformats.org/officeDocument/2006/relationships/theme" Target="theme/theme1.xml"/><Relationship Id="rId16" Type="http://schemas.openxmlformats.org/officeDocument/2006/relationships/image" Target="media/image2.png"/><Relationship Id="rId11" Type="http://schemas.openxmlformats.org/officeDocument/2006/relationships/hyperlink" Target="https://saimex.org.mx/saimex/solicitud/downloadAttach/2445137.page"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hyperlink" Target="https://saimex.org.mx/saimex/solicitud/downloadAttach/2451289.page" TargetMode="External"/><Relationship Id="rId58" Type="http://schemas.openxmlformats.org/officeDocument/2006/relationships/hyperlink" Target="https://saimex.org.mx/saimex/solicitud/downloadAttach/2453196.page" TargetMode="External"/><Relationship Id="rId74" Type="http://schemas.openxmlformats.org/officeDocument/2006/relationships/image" Target="media/image44.pn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footer" Target="footer2.xml"/><Relationship Id="rId19" Type="http://schemas.openxmlformats.org/officeDocument/2006/relationships/image" Target="media/image5.png"/><Relationship Id="rId14" Type="http://schemas.openxmlformats.org/officeDocument/2006/relationships/hyperlink" Target="https://saimex.org.mx/saimex/solicitud/downloadAttach/2451286.pag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7.png"/><Relationship Id="rId64" Type="http://schemas.openxmlformats.org/officeDocument/2006/relationships/oleObject" Target="embeddings/oleObject3.bin"/><Relationship Id="rId69" Type="http://schemas.openxmlformats.org/officeDocument/2006/relationships/image" Target="media/image250.png"/><Relationship Id="rId77" Type="http://schemas.openxmlformats.org/officeDocument/2006/relationships/image" Target="media/image47.png"/><Relationship Id="rId8" Type="http://schemas.openxmlformats.org/officeDocument/2006/relationships/hyperlink" Target="https://saimex.org.mx/saimex/solicitud/downloadAttach/2444721.page" TargetMode="External"/><Relationship Id="rId51" Type="http://schemas.openxmlformats.org/officeDocument/2006/relationships/hyperlink" Target="https://saimex.org.mx/saimex/solicitud/downloadAttach/2451289.page" TargetMode="External"/><Relationship Id="rId72" Type="http://schemas.openxmlformats.org/officeDocument/2006/relationships/image" Target="media/image43.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saimex.org.mx/saimex/solicitud/downloadAttach/2451284.page"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39.pn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5.png"/><Relationship Id="rId62" Type="http://schemas.openxmlformats.org/officeDocument/2006/relationships/oleObject" Target="embeddings/oleObject2.bin"/><Relationship Id="rId70" Type="http://schemas.openxmlformats.org/officeDocument/2006/relationships/image" Target="media/image42.png"/><Relationship Id="rId75" Type="http://schemas.openxmlformats.org/officeDocument/2006/relationships/image" Target="media/image45.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s://saimex.org.mx/saimex/solicitud/downloadAttach/2451287.page" TargetMode="External"/><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38.png"/><Relationship Id="rId10" Type="http://schemas.openxmlformats.org/officeDocument/2006/relationships/hyperlink" Target="https://saimex.org.mx/saimex/solicitud/downloadAttach/2444723.page" TargetMode="Externa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hyperlink" Target="https://saimex.org.mx/saimex/solicitud/downloadAttach/2451289.page" TargetMode="External"/><Relationship Id="rId60" Type="http://schemas.openxmlformats.org/officeDocument/2006/relationships/oleObject" Target="embeddings/oleObject1.bin"/><Relationship Id="rId73" Type="http://schemas.openxmlformats.org/officeDocument/2006/relationships/oleObject" Target="embeddings/oleObject5.bin"/><Relationship Id="rId78" Type="http://schemas.openxmlformats.org/officeDocument/2006/relationships/header" Target="header1.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aimex.org.mx/saimex/solicitud/downloadAttach/2444722.page" TargetMode="External"/><Relationship Id="rId13" Type="http://schemas.openxmlformats.org/officeDocument/2006/relationships/hyperlink" Target="https://saimex.org.mx/saimex/solicitud/downloadAttach/2451285.page" TargetMode="External"/><Relationship Id="rId18" Type="http://schemas.openxmlformats.org/officeDocument/2006/relationships/image" Target="media/image4.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6.png"/><Relationship Id="rId7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oleObject" Target="embeddings/oleObject4.bin"/><Relationship Id="rId2" Type="http://schemas.openxmlformats.org/officeDocument/2006/relationships/numbering" Target="numbering.xml"/><Relationship Id="rId29"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48.jpeg"/></Relationships>
</file>

<file path=word/_rels/header2.xml.rels><?xml version="1.0" encoding="UTF-8" standalone="yes"?>
<Relationships xmlns="http://schemas.openxmlformats.org/package/2006/relationships"><Relationship Id="rId1" Type="http://schemas.openxmlformats.org/officeDocument/2006/relationships/image" Target="media/image48.jpeg"/></Relationships>
</file>

<file path=word/_rels/header3.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pzY9YTLyyimzURJLSlo3Vr+R6g==">CgMxLjAyCGgudHlqY3d0MgloLjNkeTZ2a20yCWguMXQzaDVzZjIOaC4zdzYwcmttc3NsNHEyCGgubG54Yno5Mg5oLmcyYzdkeGxsZGpkazIOaC5zOW4xZXBoYzE0ZXYyDmgueGswN3BleHc2ZWo5Mg5oLnZ3NGdneHVuN3BtNDgAciExTWpXTFFJTVhRb1VQenpfYWtvVHB6WjhWdUVVanI2R0M=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50</Pages>
  <Words>9800</Words>
  <Characters>53900</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63573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6</cp:revision>
  <cp:lastPrinted>2025-08-29T16:39:00Z</cp:lastPrinted>
  <dcterms:created xsi:type="dcterms:W3CDTF">2025-08-20T20:18:00Z</dcterms:created>
  <dcterms:modified xsi:type="dcterms:W3CDTF">2025-09-04T17:58:00Z</dcterms:modified>
</cp:coreProperties>
</file>