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F579D" w14:textId="77777777" w:rsidR="00AD2BB3" w:rsidRPr="00CA610A" w:rsidRDefault="00AD2BB3" w:rsidP="00CA610A">
      <w:pPr>
        <w:widowControl w:val="0"/>
        <w:pBdr>
          <w:top w:val="nil"/>
          <w:left w:val="nil"/>
          <w:bottom w:val="nil"/>
          <w:right w:val="nil"/>
          <w:between w:val="nil"/>
        </w:pBdr>
        <w:spacing w:line="276" w:lineRule="auto"/>
        <w:rPr>
          <w:sz w:val="22"/>
          <w:szCs w:val="22"/>
        </w:rPr>
      </w:pPr>
      <w:bookmarkStart w:id="0" w:name="_GoBack"/>
      <w:bookmarkEnd w:id="0"/>
    </w:p>
    <w:p w14:paraId="4C30DE5A" w14:textId="77777777" w:rsidR="00AD2BB3" w:rsidRPr="006E2C6C" w:rsidRDefault="00352597" w:rsidP="00CA610A">
      <w:p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(06) de febrero de dos mil veinticinco. </w:t>
      </w:r>
    </w:p>
    <w:p w14:paraId="09CF0501"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65FFB6D3" w14:textId="18AF35DD" w:rsidR="00AD2BB3" w:rsidRPr="006E2C6C" w:rsidRDefault="00352597" w:rsidP="00CA610A">
      <w:p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sz w:val="22"/>
          <w:szCs w:val="22"/>
        </w:rPr>
        <w:t>VISTO</w:t>
      </w:r>
      <w:r w:rsidRPr="006E2C6C">
        <w:rPr>
          <w:rFonts w:ascii="Palatino Linotype" w:eastAsia="Palatino Linotype" w:hAnsi="Palatino Linotype" w:cs="Palatino Linotype"/>
          <w:sz w:val="22"/>
          <w:szCs w:val="22"/>
        </w:rPr>
        <w:t xml:space="preserve"> el expediente electrónico formado con motivo del recurso de revisión </w:t>
      </w:r>
      <w:r w:rsidRPr="006E2C6C">
        <w:rPr>
          <w:rFonts w:ascii="Palatino Linotype" w:eastAsia="Palatino Linotype" w:hAnsi="Palatino Linotype" w:cs="Palatino Linotype"/>
          <w:b/>
          <w:sz w:val="22"/>
          <w:szCs w:val="22"/>
        </w:rPr>
        <w:t xml:space="preserve">02108/INFOEM/IP/RR/2024, </w:t>
      </w:r>
      <w:r w:rsidRPr="006E2C6C">
        <w:rPr>
          <w:rFonts w:ascii="Palatino Linotype" w:eastAsia="Palatino Linotype" w:hAnsi="Palatino Linotype" w:cs="Palatino Linotype"/>
          <w:sz w:val="22"/>
          <w:szCs w:val="22"/>
        </w:rPr>
        <w:t xml:space="preserve">promovido por </w:t>
      </w:r>
      <w:r w:rsidR="00CF27AD">
        <w:rPr>
          <w:rFonts w:ascii="Palatino Linotype" w:eastAsia="Palatino Linotype" w:hAnsi="Palatino Linotype" w:cs="Palatino Linotype"/>
          <w:b/>
          <w:sz w:val="22"/>
          <w:szCs w:val="22"/>
        </w:rPr>
        <w:t>XXX XXXX XXXX</w:t>
      </w:r>
      <w:r w:rsidRPr="006E2C6C">
        <w:rPr>
          <w:rFonts w:ascii="Palatino Linotype" w:eastAsia="Palatino Linotype" w:hAnsi="Palatino Linotype" w:cs="Palatino Linotype"/>
          <w:b/>
          <w:sz w:val="22"/>
          <w:szCs w:val="22"/>
        </w:rPr>
        <w:t>,</w:t>
      </w:r>
      <w:r w:rsidRPr="006E2C6C">
        <w:rPr>
          <w:rFonts w:ascii="Palatino Linotype" w:eastAsia="Palatino Linotype" w:hAnsi="Palatino Linotype" w:cs="Palatino Linotype"/>
          <w:sz w:val="22"/>
          <w:szCs w:val="22"/>
        </w:rPr>
        <w:t xml:space="preserve"> quien en lo sucesivo se identificará como </w:t>
      </w:r>
      <w:r w:rsidRPr="006E2C6C">
        <w:rPr>
          <w:rFonts w:ascii="Palatino Linotype" w:eastAsia="Palatino Linotype" w:hAnsi="Palatino Linotype" w:cs="Palatino Linotype"/>
          <w:b/>
          <w:sz w:val="22"/>
          <w:szCs w:val="22"/>
        </w:rPr>
        <w:t>EL RECURRENTE</w:t>
      </w:r>
      <w:r w:rsidRPr="006E2C6C">
        <w:rPr>
          <w:rFonts w:ascii="Palatino Linotype" w:eastAsia="Palatino Linotype" w:hAnsi="Palatino Linotype" w:cs="Palatino Linotype"/>
          <w:sz w:val="22"/>
          <w:szCs w:val="22"/>
        </w:rPr>
        <w:t xml:space="preserve">, en contra de la respuesta del </w:t>
      </w:r>
      <w:r w:rsidRPr="006E2C6C">
        <w:rPr>
          <w:rFonts w:ascii="Palatino Linotype" w:eastAsia="Palatino Linotype" w:hAnsi="Palatino Linotype" w:cs="Palatino Linotype"/>
          <w:b/>
          <w:sz w:val="22"/>
          <w:szCs w:val="22"/>
        </w:rPr>
        <w:t xml:space="preserve">Ayuntamiento de Tultitlán, </w:t>
      </w:r>
      <w:r w:rsidRPr="006E2C6C">
        <w:rPr>
          <w:rFonts w:ascii="Palatino Linotype" w:eastAsia="Palatino Linotype" w:hAnsi="Palatino Linotype" w:cs="Palatino Linotype"/>
          <w:sz w:val="22"/>
          <w:szCs w:val="22"/>
        </w:rPr>
        <w:t>en adelante el</w:t>
      </w:r>
      <w:r w:rsidRPr="006E2C6C">
        <w:rPr>
          <w:rFonts w:ascii="Palatino Linotype" w:eastAsia="Palatino Linotype" w:hAnsi="Palatino Linotype" w:cs="Palatino Linotype"/>
          <w:b/>
          <w:sz w:val="22"/>
          <w:szCs w:val="22"/>
        </w:rPr>
        <w:t xml:space="preserve"> SUJETO OBLIGADO</w:t>
      </w:r>
      <w:r w:rsidRPr="006E2C6C">
        <w:rPr>
          <w:rFonts w:ascii="Palatino Linotype" w:eastAsia="Palatino Linotype" w:hAnsi="Palatino Linotype" w:cs="Palatino Linotype"/>
          <w:sz w:val="22"/>
          <w:szCs w:val="22"/>
        </w:rPr>
        <w:t>, por lo que se procede a dictar la presente resolución, con base en los siguientes:</w:t>
      </w:r>
    </w:p>
    <w:p w14:paraId="1E15B716" w14:textId="77777777" w:rsidR="00AD2BB3" w:rsidRPr="006E2C6C" w:rsidRDefault="00AD2BB3" w:rsidP="00CA610A">
      <w:pPr>
        <w:spacing w:line="360" w:lineRule="auto"/>
        <w:jc w:val="both"/>
        <w:rPr>
          <w:rFonts w:ascii="Palatino Linotype" w:eastAsia="Palatino Linotype" w:hAnsi="Palatino Linotype" w:cs="Palatino Linotype"/>
          <w:b/>
          <w:sz w:val="22"/>
          <w:szCs w:val="22"/>
        </w:rPr>
      </w:pPr>
    </w:p>
    <w:p w14:paraId="421D9930" w14:textId="77777777" w:rsidR="00AD2BB3" w:rsidRPr="006E2C6C" w:rsidRDefault="00352597" w:rsidP="00CA610A">
      <w:pPr>
        <w:keepNext/>
        <w:keepLines/>
        <w:spacing w:line="360" w:lineRule="auto"/>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A N T E C E D E N T E S</w:t>
      </w:r>
    </w:p>
    <w:p w14:paraId="048AAA3F"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56B1E443"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El </w:t>
      </w:r>
      <w:r w:rsidRPr="006E2C6C">
        <w:rPr>
          <w:rFonts w:ascii="Palatino Linotype" w:eastAsia="Palatino Linotype" w:hAnsi="Palatino Linotype" w:cs="Palatino Linotype"/>
          <w:b/>
          <w:color w:val="000000"/>
          <w:sz w:val="22"/>
          <w:szCs w:val="22"/>
        </w:rPr>
        <w:t>trece de marzo de dos mil veinticuatro</w:t>
      </w:r>
      <w:r w:rsidRPr="006E2C6C">
        <w:rPr>
          <w:rFonts w:ascii="Palatino Linotype" w:eastAsia="Palatino Linotype" w:hAnsi="Palatino Linotype" w:cs="Palatino Linotype"/>
          <w:color w:val="000000"/>
          <w:sz w:val="22"/>
          <w:szCs w:val="22"/>
        </w:rPr>
        <w:t xml:space="preserve">, </w:t>
      </w:r>
      <w:r w:rsidRPr="006E2C6C">
        <w:rPr>
          <w:rFonts w:ascii="Palatino Linotype" w:eastAsia="Palatino Linotype" w:hAnsi="Palatino Linotype" w:cs="Palatino Linotype"/>
          <w:b/>
          <w:color w:val="000000"/>
          <w:sz w:val="22"/>
          <w:szCs w:val="22"/>
        </w:rPr>
        <w:t>EL RECURRENTE,</w:t>
      </w:r>
      <w:r w:rsidRPr="006E2C6C">
        <w:rPr>
          <w:rFonts w:ascii="Palatino Linotype" w:eastAsia="Palatino Linotype" w:hAnsi="Palatino Linotype" w:cs="Palatino Linotype"/>
          <w:color w:val="000000"/>
          <w:sz w:val="22"/>
          <w:szCs w:val="22"/>
        </w:rPr>
        <w:t xml:space="preserve"> ante el </w:t>
      </w:r>
      <w:r w:rsidRPr="006E2C6C">
        <w:rPr>
          <w:rFonts w:ascii="Palatino Linotype" w:eastAsia="Palatino Linotype" w:hAnsi="Palatino Linotype" w:cs="Palatino Linotype"/>
          <w:b/>
          <w:color w:val="000000"/>
          <w:sz w:val="22"/>
          <w:szCs w:val="22"/>
        </w:rPr>
        <w:t>SUJETO OBLIGADO</w:t>
      </w:r>
      <w:r w:rsidRPr="006E2C6C">
        <w:rPr>
          <w:rFonts w:ascii="Palatino Linotype" w:eastAsia="Palatino Linotype" w:hAnsi="Palatino Linotype" w:cs="Palatino Linotype"/>
          <w:color w:val="000000"/>
          <w:sz w:val="22"/>
          <w:szCs w:val="22"/>
        </w:rPr>
        <w:t xml:space="preserve"> vía Sistema de Acceso a la Información Mexiquense (</w:t>
      </w:r>
      <w:r w:rsidRPr="006E2C6C">
        <w:rPr>
          <w:rFonts w:ascii="Palatino Linotype" w:eastAsia="Palatino Linotype" w:hAnsi="Palatino Linotype" w:cs="Palatino Linotype"/>
          <w:b/>
          <w:color w:val="000000"/>
          <w:sz w:val="22"/>
          <w:szCs w:val="22"/>
        </w:rPr>
        <w:t>SAIMEX)</w:t>
      </w:r>
      <w:r w:rsidRPr="006E2C6C">
        <w:rPr>
          <w:rFonts w:ascii="Palatino Linotype" w:eastAsia="Palatino Linotype" w:hAnsi="Palatino Linotype" w:cs="Palatino Linotype"/>
          <w:color w:val="000000"/>
          <w:sz w:val="22"/>
          <w:szCs w:val="22"/>
        </w:rPr>
        <w:t xml:space="preserve">, presentó la solicitud de información registrada con el número </w:t>
      </w:r>
      <w:r w:rsidRPr="006E2C6C">
        <w:rPr>
          <w:rFonts w:ascii="Palatino Linotype" w:eastAsia="Palatino Linotype" w:hAnsi="Palatino Linotype" w:cs="Palatino Linotype"/>
          <w:b/>
          <w:color w:val="000000"/>
          <w:sz w:val="22"/>
          <w:szCs w:val="22"/>
        </w:rPr>
        <w:t xml:space="preserve">00199/TULTITLA/IP/2024, </w:t>
      </w:r>
      <w:r w:rsidRPr="006E2C6C">
        <w:rPr>
          <w:rFonts w:ascii="Palatino Linotype" w:eastAsia="Palatino Linotype" w:hAnsi="Palatino Linotype" w:cs="Palatino Linotype"/>
          <w:sz w:val="22"/>
          <w:szCs w:val="22"/>
        </w:rPr>
        <w:t xml:space="preserve">en la que se </w:t>
      </w:r>
      <w:r w:rsidRPr="006E2C6C">
        <w:rPr>
          <w:rFonts w:ascii="Palatino Linotype" w:eastAsia="Palatino Linotype" w:hAnsi="Palatino Linotype" w:cs="Palatino Linotype"/>
          <w:color w:val="000000"/>
          <w:sz w:val="22"/>
          <w:szCs w:val="22"/>
        </w:rPr>
        <w:t>solicitó lo siguiente:</w:t>
      </w:r>
    </w:p>
    <w:p w14:paraId="018ED315"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F447FF4" w14:textId="77777777" w:rsidR="00AD2BB3" w:rsidRPr="006E2C6C" w:rsidRDefault="00352597" w:rsidP="00CA610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 xml:space="preserve"> “Que por medio del presente ocurso y con fundamento en lo dispuesto por los numerales; 71 y 77 de LEY GENERAL DE TRANSPARENCIA Y ACCESO A LA INFORMACION INAI, vinculantes a los diversos 3, 9, 23, 101 de LEY DE TRANSPARENCIA Y ACCESO A LA INFORMACIÓN PUBLICA DEL ESTADO DE MÉXICO Y MUNICIPIOS, en ejercicio pleno de mi derecho de acceso a la información publica, solicito me sea expedido de manera digital al correo electrónico antes señalado, de todas y cada una de las constancias siguientes: 1. CONVENIO DE CESIÓN DE DERECHOS DE COBRO DEL CRÉDITO 2314 “FRACC. LOMAS DEL PARQUE” SUSCRITO ENTRE LA DIRECTORA GENERAL DEL </w:t>
      </w:r>
      <w:r w:rsidRPr="006E2C6C">
        <w:rPr>
          <w:rFonts w:ascii="Palatino Linotype" w:eastAsia="Palatino Linotype" w:hAnsi="Palatino Linotype" w:cs="Palatino Linotype"/>
          <w:i/>
          <w:color w:val="000000"/>
          <w:sz w:val="22"/>
          <w:szCs w:val="22"/>
        </w:rPr>
        <w:lastRenderedPageBreak/>
        <w:t xml:space="preserve">FONHAPO, MTRA. LIRIO ELIZABETH RIVERA CALDERÓN, Y LA LCDA. ELENA GARCÍA MARTÍNEZ, PRESIDENTE MUNICIPAL DE TULTITLÁN. 2. DOCUMENTACIÓN Y FORMA DE PAGO REALIZADO POR LA TESORERÍA MUNICIPAL A FONHAPO, DERIVADO DEL CONVENIO DESCRITO EN EL PUNTO ANTERIOR. 3. ACTA DE CABILDO MEDIANTE LA CUAL FUE APROBADA LA CELEBRACIÓN DEL CONVENIO DESCRITO EN EL PUNTO NUMERO 1 DE ESTE ESCRITO. 4. DOCUMENTACIÓN DEL ORIGEN DE LOS RECURSOS PÚBLICOS CON LOS CUALES FUE PAGADO EL CONVENIO DESCRITO EN EL PUNTO 1 DE ESTE ESCRITO. 5. DOCUMENTACIÓN DE LOS AJUSTES REALIZADOS POR LA TESORERÍA MUNICIPAL PARA CUBRIR EL PAGO DEL CONVENIO DESCRITO EN EL PUNTO 1. 6. DOCUMENTACIÓN DE TODOS Y CADA UNO DE LOS GASTOS PÚBLICOS DERIVADOS DE LA CELEBRACIÓN DEL CONVENIO DESCRITO EN EL PUNTO 1 DE ESTE ESCRITO. 7. LA ESCRITURA PUBLICA DERIVADA DEL CONVENIO DE CESIÓN DE DERECHOS DE COBRO DEL CRÉDITO 2314 “FRACC. LOMAS DEL PARQUE” SUSCRITO ENTRE LA DIRECTORA GENERAL DEL FONHAPO, MTRA. LIRIO ELIZABETH RIVERA CALDERÓN, Y LA LCDA. ELENA GARCÍA MARTÍNEZ, PRESIDENTE MUNICIPAL DE TULTITLÁN.” (Sic) </w:t>
      </w:r>
    </w:p>
    <w:p w14:paraId="61ED9DBD"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3C948C1" w14:textId="77777777" w:rsidR="00AD2BB3" w:rsidRPr="006E2C6C" w:rsidRDefault="00352597" w:rsidP="00CA610A">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A la solicitud de información se </w:t>
      </w:r>
      <w:r w:rsidRPr="006E2C6C">
        <w:rPr>
          <w:rFonts w:ascii="Palatino Linotype" w:eastAsia="Palatino Linotype" w:hAnsi="Palatino Linotype" w:cs="Palatino Linotype"/>
          <w:sz w:val="22"/>
          <w:szCs w:val="22"/>
        </w:rPr>
        <w:t>adjuntan</w:t>
      </w:r>
      <w:r w:rsidRPr="006E2C6C">
        <w:rPr>
          <w:rFonts w:ascii="Palatino Linotype" w:eastAsia="Palatino Linotype" w:hAnsi="Palatino Linotype" w:cs="Palatino Linotype"/>
          <w:color w:val="000000"/>
          <w:sz w:val="22"/>
          <w:szCs w:val="22"/>
        </w:rPr>
        <w:t xml:space="preserve"> los archivos que se describen enseguida:</w:t>
      </w:r>
    </w:p>
    <w:p w14:paraId="0BF8FFF0" w14:textId="77777777" w:rsidR="00AD2BB3" w:rsidRPr="006E2C6C" w:rsidRDefault="00EA648C" w:rsidP="00CA610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8">
        <w:r w:rsidR="00352597" w:rsidRPr="006E2C6C">
          <w:rPr>
            <w:rFonts w:ascii="Palatino Linotype" w:eastAsia="Palatino Linotype" w:hAnsi="Palatino Linotype" w:cs="Palatino Linotype"/>
            <w:b/>
            <w:color w:val="000000"/>
            <w:sz w:val="22"/>
            <w:szCs w:val="22"/>
            <w:u w:val="single"/>
          </w:rPr>
          <w:t>IMG_8465.PNG</w:t>
        </w:r>
      </w:hyperlink>
      <w:r w:rsidR="00352597" w:rsidRPr="006E2C6C">
        <w:rPr>
          <w:rFonts w:ascii="Palatino Linotype" w:eastAsia="Palatino Linotype" w:hAnsi="Palatino Linotype" w:cs="Palatino Linotype"/>
          <w:color w:val="000000"/>
          <w:sz w:val="22"/>
          <w:szCs w:val="22"/>
        </w:rPr>
        <w:t xml:space="preserve">: imagen que refiere la firma de un convenio </w:t>
      </w:r>
      <w:r w:rsidR="00352597" w:rsidRPr="006E2C6C">
        <w:rPr>
          <w:rFonts w:ascii="Palatino Linotype" w:eastAsia="Palatino Linotype" w:hAnsi="Palatino Linotype" w:cs="Palatino Linotype"/>
          <w:sz w:val="22"/>
          <w:szCs w:val="22"/>
        </w:rPr>
        <w:t>entre</w:t>
      </w:r>
      <w:r w:rsidR="00352597" w:rsidRPr="006E2C6C">
        <w:rPr>
          <w:rFonts w:ascii="Palatino Linotype" w:eastAsia="Palatino Linotype" w:hAnsi="Palatino Linotype" w:cs="Palatino Linotype"/>
          <w:color w:val="000000"/>
          <w:sz w:val="22"/>
          <w:szCs w:val="22"/>
        </w:rPr>
        <w:t xml:space="preserve"> el Municipio de Tultitlán y FONHAPO.</w:t>
      </w:r>
    </w:p>
    <w:p w14:paraId="6A7F5C59" w14:textId="77777777" w:rsidR="00AD2BB3" w:rsidRPr="006E2C6C" w:rsidRDefault="00EA648C" w:rsidP="00CA610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9">
        <w:r w:rsidR="00352597" w:rsidRPr="006E2C6C">
          <w:rPr>
            <w:rFonts w:ascii="Palatino Linotype" w:eastAsia="Palatino Linotype" w:hAnsi="Palatino Linotype" w:cs="Palatino Linotype"/>
            <w:b/>
            <w:color w:val="000000"/>
            <w:sz w:val="22"/>
            <w:szCs w:val="22"/>
            <w:u w:val="single"/>
          </w:rPr>
          <w:t>IMG_8466.PNG</w:t>
        </w:r>
      </w:hyperlink>
      <w:r w:rsidR="00352597" w:rsidRPr="006E2C6C">
        <w:rPr>
          <w:rFonts w:ascii="Palatino Linotype" w:eastAsia="Palatino Linotype" w:hAnsi="Palatino Linotype" w:cs="Palatino Linotype"/>
          <w:color w:val="000000"/>
          <w:sz w:val="22"/>
          <w:szCs w:val="22"/>
        </w:rPr>
        <w:t>: imagen que refiere la firma del convenio de cesión de derechos de cobro del crédito 2314.</w:t>
      </w:r>
    </w:p>
    <w:p w14:paraId="3306AB15" w14:textId="77777777" w:rsidR="00AD2BB3" w:rsidRPr="006E2C6C" w:rsidRDefault="00EA648C" w:rsidP="00CA610A">
      <w:pPr>
        <w:numPr>
          <w:ilvl w:val="0"/>
          <w:numId w:val="7"/>
        </w:numPr>
        <w:pBdr>
          <w:top w:val="nil"/>
          <w:left w:val="nil"/>
          <w:bottom w:val="nil"/>
          <w:right w:val="nil"/>
          <w:between w:val="nil"/>
        </w:pBdr>
        <w:spacing w:after="280" w:line="360" w:lineRule="auto"/>
        <w:jc w:val="both"/>
        <w:rPr>
          <w:rFonts w:ascii="Palatino Linotype" w:eastAsia="Palatino Linotype" w:hAnsi="Palatino Linotype" w:cs="Palatino Linotype"/>
          <w:color w:val="000000"/>
          <w:sz w:val="22"/>
          <w:szCs w:val="22"/>
        </w:rPr>
      </w:pPr>
      <w:hyperlink r:id="rId10">
        <w:r w:rsidR="00352597" w:rsidRPr="006E2C6C">
          <w:rPr>
            <w:rFonts w:ascii="Palatino Linotype" w:eastAsia="Palatino Linotype" w:hAnsi="Palatino Linotype" w:cs="Palatino Linotype"/>
            <w:b/>
            <w:color w:val="000000"/>
            <w:sz w:val="22"/>
            <w:szCs w:val="22"/>
            <w:u w:val="single"/>
          </w:rPr>
          <w:t>Punto de acuerdo Consejería Jurídica Municipal.pdf</w:t>
        </w:r>
      </w:hyperlink>
      <w:r w:rsidR="00352597" w:rsidRPr="006E2C6C">
        <w:rPr>
          <w:rFonts w:ascii="Palatino Linotype" w:eastAsia="Palatino Linotype" w:hAnsi="Palatino Linotype" w:cs="Palatino Linotype"/>
          <w:color w:val="000000"/>
          <w:sz w:val="22"/>
          <w:szCs w:val="22"/>
        </w:rPr>
        <w:t xml:space="preserve">: oficio número CJ/1108/2023 de fecha treinta y uno de agosto de dos mil veintitrés, suscrito por el Consejero Jurídico Municipal, en el que se envía el punto de acuerdo por </w:t>
      </w:r>
      <w:r w:rsidR="00352597" w:rsidRPr="006E2C6C">
        <w:rPr>
          <w:rFonts w:ascii="Palatino Linotype" w:eastAsia="Palatino Linotype" w:hAnsi="Palatino Linotype" w:cs="Palatino Linotype"/>
          <w:color w:val="000000"/>
          <w:sz w:val="22"/>
          <w:szCs w:val="22"/>
        </w:rPr>
        <w:lastRenderedPageBreak/>
        <w:t xml:space="preserve">medio del cual el Ayuntamiento de Tultitlán autoriza la firma con el Banco Nacional de Obras y Servicios Públicos, sociedad Nacional de Crédito, Institución de Banca de Desarrollo, como Fiduciario en el Fideicomiso Fondo Nacional de Habitaciones Populares, en su carácter de acreedor Hipotecario (FONHAPO) ante notario público convenio de cesión de derechos de cobro de un crédito con garantía Hipotecaría. </w:t>
      </w:r>
    </w:p>
    <w:p w14:paraId="21DE1BEC"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Se señaló como modalidad de entrega a través de SAIMEX.</w:t>
      </w:r>
    </w:p>
    <w:p w14:paraId="60E1F7A9"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7E700CF"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El </w:t>
      </w:r>
      <w:r w:rsidRPr="006E2C6C">
        <w:rPr>
          <w:rFonts w:ascii="Palatino Linotype" w:eastAsia="Palatino Linotype" w:hAnsi="Palatino Linotype" w:cs="Palatino Linotype"/>
          <w:b/>
          <w:color w:val="000000"/>
          <w:sz w:val="22"/>
          <w:szCs w:val="22"/>
        </w:rPr>
        <w:t>veintiuno de marzo de dos mil veinticuatro</w:t>
      </w:r>
      <w:r w:rsidRPr="006E2C6C">
        <w:rPr>
          <w:rFonts w:ascii="Palatino Linotype" w:eastAsia="Palatino Linotype" w:hAnsi="Palatino Linotype" w:cs="Palatino Linotype"/>
          <w:color w:val="000000"/>
          <w:sz w:val="22"/>
          <w:szCs w:val="22"/>
        </w:rPr>
        <w:t xml:space="preserve">, se realizó un requerimiento de información al servidor público habilitado. </w:t>
      </w:r>
    </w:p>
    <w:p w14:paraId="5416ED0D" w14:textId="77777777" w:rsidR="00AD2BB3" w:rsidRPr="006E2C6C" w:rsidRDefault="00AD2BB3" w:rsidP="00CA610A">
      <w:pPr>
        <w:rPr>
          <w:rFonts w:ascii="Palatino Linotype" w:eastAsia="Palatino Linotype" w:hAnsi="Palatino Linotype" w:cs="Palatino Linotype"/>
          <w:color w:val="000000"/>
          <w:sz w:val="22"/>
          <w:szCs w:val="22"/>
        </w:rPr>
      </w:pPr>
    </w:p>
    <w:p w14:paraId="0E90DC20" w14:textId="77777777" w:rsidR="00AD2BB3" w:rsidRPr="006E2C6C" w:rsidRDefault="00AD2BB3" w:rsidP="00CA610A">
      <w:pPr>
        <w:rPr>
          <w:rFonts w:ascii="Palatino Linotype" w:eastAsia="Palatino Linotype" w:hAnsi="Palatino Linotype" w:cs="Palatino Linotype"/>
          <w:color w:val="000000"/>
          <w:sz w:val="22"/>
          <w:szCs w:val="22"/>
        </w:rPr>
      </w:pPr>
    </w:p>
    <w:p w14:paraId="66596747"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El nueve de abril de dos mil veinticuatro, se notificó una prórroga para emitir respuesta, en el siguiente sentido:</w:t>
      </w:r>
    </w:p>
    <w:p w14:paraId="0EDBFCB7" w14:textId="77777777" w:rsidR="00AD2BB3" w:rsidRPr="006E2C6C" w:rsidRDefault="00AD2BB3" w:rsidP="00CA610A">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Style w:val="a"/>
        <w:tblW w:w="7531" w:type="dxa"/>
        <w:jc w:val="center"/>
        <w:tblInd w:w="0" w:type="dxa"/>
        <w:tblLayout w:type="fixed"/>
        <w:tblLook w:val="0400" w:firstRow="0" w:lastRow="0" w:firstColumn="0" w:lastColumn="0" w:noHBand="0" w:noVBand="1"/>
      </w:tblPr>
      <w:tblGrid>
        <w:gridCol w:w="7531"/>
      </w:tblGrid>
      <w:tr w:rsidR="00AD2BB3" w:rsidRPr="006E2C6C" w14:paraId="07D2A8C5" w14:textId="77777777">
        <w:trPr>
          <w:trHeight w:val="319"/>
          <w:jc w:val="center"/>
        </w:trPr>
        <w:tc>
          <w:tcPr>
            <w:tcW w:w="7531" w:type="dxa"/>
            <w:vAlign w:val="center"/>
          </w:tcPr>
          <w:p w14:paraId="287ABDDE" w14:textId="77777777" w:rsidR="00AD2BB3" w:rsidRPr="006E2C6C" w:rsidRDefault="00352597" w:rsidP="00CA610A">
            <w:pPr>
              <w:jc w:val="right"/>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Tultitlán, México a 09 de Abril de 2024</w:t>
            </w:r>
          </w:p>
        </w:tc>
      </w:tr>
      <w:tr w:rsidR="00AD2BB3" w:rsidRPr="006E2C6C" w14:paraId="4217DFD9" w14:textId="77777777">
        <w:trPr>
          <w:trHeight w:val="319"/>
          <w:jc w:val="center"/>
        </w:trPr>
        <w:tc>
          <w:tcPr>
            <w:tcW w:w="7531" w:type="dxa"/>
            <w:vAlign w:val="center"/>
          </w:tcPr>
          <w:p w14:paraId="37A14D1B" w14:textId="77777777" w:rsidR="00AD2BB3" w:rsidRPr="006E2C6C" w:rsidRDefault="00352597" w:rsidP="00CA610A">
            <w:pPr>
              <w:jc w:val="right"/>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Nombre del solicitante: C. Solicitante</w:t>
            </w:r>
          </w:p>
        </w:tc>
      </w:tr>
      <w:tr w:rsidR="00AD2BB3" w:rsidRPr="006E2C6C" w14:paraId="1A338977" w14:textId="77777777">
        <w:trPr>
          <w:trHeight w:val="319"/>
          <w:jc w:val="center"/>
        </w:trPr>
        <w:tc>
          <w:tcPr>
            <w:tcW w:w="7531" w:type="dxa"/>
            <w:vAlign w:val="center"/>
          </w:tcPr>
          <w:p w14:paraId="28F355E9" w14:textId="77777777" w:rsidR="00AD2BB3" w:rsidRPr="006E2C6C" w:rsidRDefault="00352597" w:rsidP="00CA610A">
            <w:pPr>
              <w:jc w:val="right"/>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Folio de la solicitud: 00199/TULTITLA/IP/2024</w:t>
            </w:r>
          </w:p>
        </w:tc>
      </w:tr>
      <w:tr w:rsidR="00AD2BB3" w:rsidRPr="006E2C6C" w14:paraId="52335420" w14:textId="77777777">
        <w:trPr>
          <w:trHeight w:val="479"/>
          <w:jc w:val="center"/>
        </w:trPr>
        <w:tc>
          <w:tcPr>
            <w:tcW w:w="7531" w:type="dxa"/>
            <w:vAlign w:val="center"/>
          </w:tcPr>
          <w:p w14:paraId="462D4816" w14:textId="77777777" w:rsidR="00AD2BB3" w:rsidRPr="006E2C6C" w:rsidRDefault="00AD2BB3" w:rsidP="00CA610A">
            <w:pPr>
              <w:jc w:val="right"/>
              <w:rPr>
                <w:rFonts w:ascii="Palatino Linotype" w:eastAsia="Palatino Linotype" w:hAnsi="Palatino Linotype" w:cs="Palatino Linotype"/>
                <w:i/>
                <w:sz w:val="22"/>
                <w:szCs w:val="22"/>
              </w:rPr>
            </w:pPr>
          </w:p>
        </w:tc>
      </w:tr>
      <w:tr w:rsidR="00AD2BB3" w:rsidRPr="006E2C6C" w14:paraId="2A98A8EE" w14:textId="77777777">
        <w:trPr>
          <w:trHeight w:val="159"/>
          <w:jc w:val="center"/>
        </w:trPr>
        <w:tc>
          <w:tcPr>
            <w:tcW w:w="7531" w:type="dxa"/>
            <w:vAlign w:val="center"/>
          </w:tcPr>
          <w:p w14:paraId="162F2B31" w14:textId="77777777" w:rsidR="00AD2BB3" w:rsidRPr="006E2C6C" w:rsidRDefault="00352597" w:rsidP="00CA610A">
            <w:pPr>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AD2BB3" w:rsidRPr="006E2C6C" w14:paraId="2A6E3797" w14:textId="77777777">
        <w:trPr>
          <w:trHeight w:val="399"/>
          <w:jc w:val="center"/>
        </w:trPr>
        <w:tc>
          <w:tcPr>
            <w:tcW w:w="7531" w:type="dxa"/>
            <w:vAlign w:val="center"/>
          </w:tcPr>
          <w:p w14:paraId="3D9579CB" w14:textId="77777777" w:rsidR="00AD2BB3" w:rsidRPr="006E2C6C" w:rsidRDefault="00AD2BB3" w:rsidP="00CA610A">
            <w:pPr>
              <w:rPr>
                <w:rFonts w:ascii="Palatino Linotype" w:eastAsia="Palatino Linotype" w:hAnsi="Palatino Linotype" w:cs="Palatino Linotype"/>
                <w:i/>
                <w:sz w:val="22"/>
                <w:szCs w:val="22"/>
              </w:rPr>
            </w:pPr>
          </w:p>
        </w:tc>
      </w:tr>
      <w:tr w:rsidR="00AD2BB3" w:rsidRPr="006E2C6C" w14:paraId="708ABF05" w14:textId="77777777">
        <w:trPr>
          <w:trHeight w:val="159"/>
          <w:jc w:val="center"/>
        </w:trPr>
        <w:tc>
          <w:tcPr>
            <w:tcW w:w="7531" w:type="dxa"/>
            <w:vAlign w:val="center"/>
          </w:tcPr>
          <w:p w14:paraId="61576356" w14:textId="77777777" w:rsidR="00AD2BB3" w:rsidRPr="006E2C6C" w:rsidRDefault="00352597" w:rsidP="00CA610A">
            <w:pPr>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w:t>
            </w:r>
          </w:p>
        </w:tc>
      </w:tr>
      <w:tr w:rsidR="00AD2BB3" w:rsidRPr="006E2C6C" w14:paraId="4282D666" w14:textId="77777777">
        <w:trPr>
          <w:trHeight w:val="399"/>
          <w:jc w:val="center"/>
        </w:trPr>
        <w:tc>
          <w:tcPr>
            <w:tcW w:w="7531" w:type="dxa"/>
            <w:vAlign w:val="center"/>
          </w:tcPr>
          <w:p w14:paraId="15CF086C" w14:textId="77777777" w:rsidR="00AD2BB3" w:rsidRPr="006E2C6C" w:rsidRDefault="00AD2BB3" w:rsidP="00CA610A">
            <w:pPr>
              <w:rPr>
                <w:rFonts w:ascii="Palatino Linotype" w:eastAsia="Palatino Linotype" w:hAnsi="Palatino Linotype" w:cs="Palatino Linotype"/>
                <w:i/>
                <w:sz w:val="22"/>
                <w:szCs w:val="22"/>
              </w:rPr>
            </w:pPr>
          </w:p>
        </w:tc>
      </w:tr>
      <w:tr w:rsidR="00AD2BB3" w:rsidRPr="006E2C6C" w14:paraId="1CE09AB8" w14:textId="77777777">
        <w:trPr>
          <w:trHeight w:val="159"/>
          <w:jc w:val="center"/>
        </w:trPr>
        <w:tc>
          <w:tcPr>
            <w:tcW w:w="7531" w:type="dxa"/>
            <w:vAlign w:val="center"/>
          </w:tcPr>
          <w:p w14:paraId="3067E59E" w14:textId="77777777" w:rsidR="00AD2BB3" w:rsidRPr="006E2C6C" w:rsidRDefault="00AD2BB3" w:rsidP="00CA610A">
            <w:pPr>
              <w:jc w:val="center"/>
              <w:rPr>
                <w:rFonts w:ascii="Palatino Linotype" w:eastAsia="Palatino Linotype" w:hAnsi="Palatino Linotype" w:cs="Palatino Linotype"/>
                <w:i/>
                <w:sz w:val="22"/>
                <w:szCs w:val="22"/>
              </w:rPr>
            </w:pPr>
          </w:p>
        </w:tc>
      </w:tr>
      <w:tr w:rsidR="00AD2BB3" w:rsidRPr="006E2C6C" w14:paraId="586E44D9" w14:textId="77777777">
        <w:trPr>
          <w:trHeight w:val="159"/>
          <w:jc w:val="center"/>
        </w:trPr>
        <w:tc>
          <w:tcPr>
            <w:tcW w:w="7531" w:type="dxa"/>
            <w:vAlign w:val="center"/>
          </w:tcPr>
          <w:p w14:paraId="6F9C40C9" w14:textId="77777777" w:rsidR="00AD2BB3" w:rsidRPr="006E2C6C" w:rsidRDefault="00352597" w:rsidP="00CA610A">
            <w:pPr>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C. AARON MANUEL RUIZ ZUBIETA</w:t>
            </w:r>
          </w:p>
        </w:tc>
      </w:tr>
      <w:tr w:rsidR="00AD2BB3" w:rsidRPr="006E2C6C" w14:paraId="4882ABFC" w14:textId="77777777">
        <w:trPr>
          <w:trHeight w:val="159"/>
          <w:jc w:val="center"/>
        </w:trPr>
        <w:tc>
          <w:tcPr>
            <w:tcW w:w="7531" w:type="dxa"/>
            <w:vAlign w:val="center"/>
          </w:tcPr>
          <w:p w14:paraId="19540CFB" w14:textId="77777777" w:rsidR="00AD2BB3" w:rsidRPr="006E2C6C" w:rsidRDefault="00352597" w:rsidP="00CA610A">
            <w:pPr>
              <w:rPr>
                <w:rFonts w:ascii="Palatino Linotype" w:eastAsia="Palatino Linotype" w:hAnsi="Palatino Linotype" w:cs="Palatino Linotype"/>
                <w:i/>
                <w:sz w:val="22"/>
                <w:szCs w:val="22"/>
              </w:rPr>
            </w:pPr>
            <w:r w:rsidRPr="006E2C6C">
              <w:rPr>
                <w:rFonts w:ascii="Palatino Linotype" w:eastAsia="Palatino Linotype" w:hAnsi="Palatino Linotype" w:cs="Palatino Linotype"/>
                <w:b/>
                <w:i/>
                <w:sz w:val="22"/>
                <w:szCs w:val="22"/>
              </w:rPr>
              <w:t>Responsable de la Unidad de Transparencia</w:t>
            </w:r>
          </w:p>
        </w:tc>
      </w:tr>
    </w:tbl>
    <w:p w14:paraId="580CC23B"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C84298C" w14:textId="77777777" w:rsidR="00AD2BB3" w:rsidRPr="006E2C6C" w:rsidRDefault="00AD2BB3" w:rsidP="00CA610A">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53AD113"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El </w:t>
      </w:r>
      <w:r w:rsidRPr="006E2C6C">
        <w:rPr>
          <w:rFonts w:ascii="Palatino Linotype" w:eastAsia="Palatino Linotype" w:hAnsi="Palatino Linotype" w:cs="Palatino Linotype"/>
          <w:b/>
          <w:color w:val="000000"/>
          <w:sz w:val="22"/>
          <w:szCs w:val="22"/>
        </w:rPr>
        <w:t>veintidós de abril de dos mil veinticuatro</w:t>
      </w:r>
      <w:r w:rsidRPr="006E2C6C">
        <w:rPr>
          <w:rFonts w:ascii="Palatino Linotype" w:eastAsia="Palatino Linotype" w:hAnsi="Palatino Linotype" w:cs="Palatino Linotype"/>
          <w:color w:val="000000"/>
          <w:sz w:val="22"/>
          <w:szCs w:val="22"/>
        </w:rPr>
        <w:t xml:space="preserve">, el </w:t>
      </w:r>
      <w:r w:rsidRPr="006E2C6C">
        <w:rPr>
          <w:rFonts w:ascii="Palatino Linotype" w:eastAsia="Palatino Linotype" w:hAnsi="Palatino Linotype" w:cs="Palatino Linotype"/>
          <w:b/>
          <w:color w:val="000000"/>
          <w:sz w:val="22"/>
          <w:szCs w:val="22"/>
        </w:rPr>
        <w:t>SUJETO OBLIGADO</w:t>
      </w:r>
      <w:r w:rsidRPr="006E2C6C">
        <w:rPr>
          <w:rFonts w:ascii="Palatino Linotype" w:eastAsia="Palatino Linotype" w:hAnsi="Palatino Linotype" w:cs="Palatino Linotype"/>
          <w:b/>
          <w:i/>
          <w:color w:val="000000"/>
          <w:sz w:val="22"/>
          <w:szCs w:val="22"/>
        </w:rPr>
        <w:t xml:space="preserve"> </w:t>
      </w:r>
      <w:r w:rsidRPr="006E2C6C">
        <w:rPr>
          <w:rFonts w:ascii="Palatino Linotype" w:eastAsia="Palatino Linotype" w:hAnsi="Palatino Linotype" w:cs="Palatino Linotype"/>
          <w:color w:val="000000"/>
          <w:sz w:val="22"/>
          <w:szCs w:val="22"/>
        </w:rPr>
        <w:t>dio respuesta a las solicitud de información en el siguiente sentido:</w:t>
      </w:r>
    </w:p>
    <w:p w14:paraId="6C73B16C"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tbl>
      <w:tblPr>
        <w:tblStyle w:val="a0"/>
        <w:tblW w:w="7548" w:type="dxa"/>
        <w:jc w:val="center"/>
        <w:tblInd w:w="0" w:type="dxa"/>
        <w:tblLayout w:type="fixed"/>
        <w:tblLook w:val="0400" w:firstRow="0" w:lastRow="0" w:firstColumn="0" w:lastColumn="0" w:noHBand="0" w:noVBand="1"/>
      </w:tblPr>
      <w:tblGrid>
        <w:gridCol w:w="7548"/>
      </w:tblGrid>
      <w:tr w:rsidR="00AD2BB3" w:rsidRPr="006E2C6C" w14:paraId="673ABD32" w14:textId="77777777">
        <w:trPr>
          <w:trHeight w:val="349"/>
          <w:jc w:val="center"/>
        </w:trPr>
        <w:tc>
          <w:tcPr>
            <w:tcW w:w="7548" w:type="dxa"/>
            <w:vAlign w:val="center"/>
          </w:tcPr>
          <w:p w14:paraId="2D6A6F40" w14:textId="77777777" w:rsidR="00AD2BB3" w:rsidRPr="006E2C6C" w:rsidRDefault="00352597" w:rsidP="00CA610A">
            <w:pPr>
              <w:jc w:val="right"/>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Tultitlán, México a 22 de Abril de 2024</w:t>
            </w:r>
          </w:p>
        </w:tc>
      </w:tr>
      <w:tr w:rsidR="00AD2BB3" w:rsidRPr="006E2C6C" w14:paraId="64986FFD" w14:textId="77777777">
        <w:trPr>
          <w:trHeight w:val="349"/>
          <w:jc w:val="center"/>
        </w:trPr>
        <w:tc>
          <w:tcPr>
            <w:tcW w:w="7548" w:type="dxa"/>
            <w:vAlign w:val="center"/>
          </w:tcPr>
          <w:p w14:paraId="537903ED" w14:textId="77777777" w:rsidR="00AD2BB3" w:rsidRPr="006E2C6C" w:rsidRDefault="00352597" w:rsidP="00CA610A">
            <w:pPr>
              <w:jc w:val="right"/>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Nombre del solicitante: C. Solicitante</w:t>
            </w:r>
          </w:p>
        </w:tc>
      </w:tr>
      <w:tr w:rsidR="00AD2BB3" w:rsidRPr="006E2C6C" w14:paraId="60C64087" w14:textId="77777777">
        <w:trPr>
          <w:trHeight w:val="349"/>
          <w:jc w:val="center"/>
        </w:trPr>
        <w:tc>
          <w:tcPr>
            <w:tcW w:w="7548" w:type="dxa"/>
            <w:vAlign w:val="center"/>
          </w:tcPr>
          <w:p w14:paraId="470D3565" w14:textId="77777777" w:rsidR="00AD2BB3" w:rsidRPr="006E2C6C" w:rsidRDefault="00352597" w:rsidP="00CA610A">
            <w:pPr>
              <w:jc w:val="right"/>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Folio de la solicitud: 00199/TULTITLA/IP/2024</w:t>
            </w:r>
          </w:p>
        </w:tc>
      </w:tr>
      <w:tr w:rsidR="00AD2BB3" w:rsidRPr="006E2C6C" w14:paraId="7860D047" w14:textId="77777777">
        <w:trPr>
          <w:trHeight w:val="524"/>
          <w:jc w:val="center"/>
        </w:trPr>
        <w:tc>
          <w:tcPr>
            <w:tcW w:w="7548" w:type="dxa"/>
            <w:vAlign w:val="center"/>
          </w:tcPr>
          <w:p w14:paraId="30A656E8" w14:textId="77777777" w:rsidR="00AD2BB3" w:rsidRPr="006E2C6C" w:rsidRDefault="00AD2BB3" w:rsidP="00CA610A">
            <w:pPr>
              <w:jc w:val="right"/>
              <w:rPr>
                <w:rFonts w:ascii="Palatino Linotype" w:eastAsia="Palatino Linotype" w:hAnsi="Palatino Linotype" w:cs="Palatino Linotype"/>
                <w:i/>
                <w:sz w:val="22"/>
                <w:szCs w:val="22"/>
              </w:rPr>
            </w:pPr>
          </w:p>
        </w:tc>
      </w:tr>
      <w:tr w:rsidR="00AD2BB3" w:rsidRPr="006E2C6C" w14:paraId="230FE97E" w14:textId="77777777">
        <w:trPr>
          <w:trHeight w:val="437"/>
          <w:jc w:val="center"/>
        </w:trPr>
        <w:tc>
          <w:tcPr>
            <w:tcW w:w="7548" w:type="dxa"/>
            <w:vAlign w:val="center"/>
          </w:tcPr>
          <w:p w14:paraId="3523375E" w14:textId="77777777" w:rsidR="00AD2BB3" w:rsidRPr="006E2C6C" w:rsidRDefault="00AD2BB3" w:rsidP="00CA610A">
            <w:pPr>
              <w:rPr>
                <w:rFonts w:ascii="Palatino Linotype" w:eastAsia="Palatino Linotype" w:hAnsi="Palatino Linotype" w:cs="Palatino Linotype"/>
                <w:i/>
                <w:sz w:val="22"/>
                <w:szCs w:val="22"/>
              </w:rPr>
            </w:pPr>
          </w:p>
        </w:tc>
      </w:tr>
      <w:tr w:rsidR="00AD2BB3" w:rsidRPr="006E2C6C" w14:paraId="441390B5" w14:textId="77777777">
        <w:trPr>
          <w:trHeight w:val="174"/>
          <w:jc w:val="center"/>
        </w:trPr>
        <w:tc>
          <w:tcPr>
            <w:tcW w:w="7548" w:type="dxa"/>
            <w:vAlign w:val="center"/>
          </w:tcPr>
          <w:p w14:paraId="347D402B" w14:textId="77777777" w:rsidR="00AD2BB3" w:rsidRPr="006E2C6C" w:rsidRDefault="00352597" w:rsidP="00CA610A">
            <w:pPr>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EL INTERÉS PARTICULAR REBASA EL INTERÉS PÚBLICO</w:t>
            </w:r>
          </w:p>
        </w:tc>
      </w:tr>
      <w:tr w:rsidR="00AD2BB3" w:rsidRPr="006E2C6C" w14:paraId="396E1EDF" w14:textId="77777777">
        <w:trPr>
          <w:trHeight w:val="437"/>
          <w:jc w:val="center"/>
        </w:trPr>
        <w:tc>
          <w:tcPr>
            <w:tcW w:w="7548" w:type="dxa"/>
            <w:vAlign w:val="center"/>
          </w:tcPr>
          <w:p w14:paraId="3DA3367D" w14:textId="77777777" w:rsidR="00AD2BB3" w:rsidRPr="006E2C6C" w:rsidRDefault="00AD2BB3" w:rsidP="00CA610A">
            <w:pPr>
              <w:rPr>
                <w:rFonts w:ascii="Palatino Linotype" w:eastAsia="Palatino Linotype" w:hAnsi="Palatino Linotype" w:cs="Palatino Linotype"/>
                <w:i/>
                <w:sz w:val="22"/>
                <w:szCs w:val="22"/>
              </w:rPr>
            </w:pPr>
          </w:p>
        </w:tc>
      </w:tr>
      <w:tr w:rsidR="00AD2BB3" w:rsidRPr="006E2C6C" w14:paraId="1B2087DE" w14:textId="77777777">
        <w:trPr>
          <w:trHeight w:val="174"/>
          <w:jc w:val="center"/>
        </w:trPr>
        <w:tc>
          <w:tcPr>
            <w:tcW w:w="7548" w:type="dxa"/>
            <w:vAlign w:val="center"/>
          </w:tcPr>
          <w:p w14:paraId="50A31319" w14:textId="77777777" w:rsidR="00AD2BB3" w:rsidRPr="006E2C6C" w:rsidRDefault="00AD2BB3" w:rsidP="00CA610A">
            <w:pPr>
              <w:jc w:val="center"/>
              <w:rPr>
                <w:rFonts w:ascii="Palatino Linotype" w:eastAsia="Palatino Linotype" w:hAnsi="Palatino Linotype" w:cs="Palatino Linotype"/>
                <w:i/>
                <w:sz w:val="22"/>
                <w:szCs w:val="22"/>
              </w:rPr>
            </w:pPr>
          </w:p>
        </w:tc>
      </w:tr>
      <w:tr w:rsidR="00AD2BB3" w:rsidRPr="006E2C6C" w14:paraId="57061194" w14:textId="77777777">
        <w:trPr>
          <w:trHeight w:val="174"/>
          <w:jc w:val="center"/>
        </w:trPr>
        <w:tc>
          <w:tcPr>
            <w:tcW w:w="7548" w:type="dxa"/>
            <w:vAlign w:val="center"/>
          </w:tcPr>
          <w:p w14:paraId="4A0904B3" w14:textId="77777777" w:rsidR="00AD2BB3" w:rsidRPr="006E2C6C" w:rsidRDefault="00AD2BB3" w:rsidP="00CA610A">
            <w:pPr>
              <w:rPr>
                <w:rFonts w:ascii="Palatino Linotype" w:eastAsia="Palatino Linotype" w:hAnsi="Palatino Linotype" w:cs="Palatino Linotype"/>
                <w:i/>
                <w:sz w:val="22"/>
                <w:szCs w:val="22"/>
              </w:rPr>
            </w:pPr>
          </w:p>
        </w:tc>
      </w:tr>
      <w:tr w:rsidR="00AD2BB3" w:rsidRPr="006E2C6C" w14:paraId="2B6DDF7C" w14:textId="77777777">
        <w:trPr>
          <w:trHeight w:val="174"/>
          <w:jc w:val="center"/>
        </w:trPr>
        <w:tc>
          <w:tcPr>
            <w:tcW w:w="7548" w:type="dxa"/>
            <w:vAlign w:val="center"/>
          </w:tcPr>
          <w:p w14:paraId="1EDD50B5" w14:textId="77777777" w:rsidR="00AD2BB3" w:rsidRPr="006E2C6C" w:rsidRDefault="00352597" w:rsidP="00CA610A">
            <w:pPr>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ATENTAMENTE</w:t>
            </w:r>
          </w:p>
        </w:tc>
      </w:tr>
      <w:tr w:rsidR="00AD2BB3" w:rsidRPr="006E2C6C" w14:paraId="3622D6AA" w14:textId="77777777">
        <w:trPr>
          <w:trHeight w:val="262"/>
          <w:jc w:val="center"/>
        </w:trPr>
        <w:tc>
          <w:tcPr>
            <w:tcW w:w="7548" w:type="dxa"/>
            <w:vAlign w:val="center"/>
          </w:tcPr>
          <w:p w14:paraId="31236693" w14:textId="77777777" w:rsidR="00AD2BB3" w:rsidRPr="006E2C6C" w:rsidRDefault="00AD2BB3" w:rsidP="00CA610A">
            <w:pPr>
              <w:rPr>
                <w:rFonts w:ascii="Palatino Linotype" w:eastAsia="Palatino Linotype" w:hAnsi="Palatino Linotype" w:cs="Palatino Linotype"/>
                <w:i/>
                <w:sz w:val="22"/>
                <w:szCs w:val="22"/>
              </w:rPr>
            </w:pPr>
          </w:p>
        </w:tc>
      </w:tr>
      <w:tr w:rsidR="00AD2BB3" w:rsidRPr="006E2C6C" w14:paraId="0CED7E6B" w14:textId="77777777">
        <w:trPr>
          <w:trHeight w:val="174"/>
          <w:jc w:val="center"/>
        </w:trPr>
        <w:tc>
          <w:tcPr>
            <w:tcW w:w="7548" w:type="dxa"/>
            <w:vAlign w:val="center"/>
          </w:tcPr>
          <w:p w14:paraId="7192199D" w14:textId="77777777" w:rsidR="00AD2BB3" w:rsidRPr="006E2C6C" w:rsidRDefault="00352597" w:rsidP="00CA610A">
            <w:pPr>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C. AARON MANUEL RUIZ ZUBIETA</w:t>
            </w:r>
          </w:p>
        </w:tc>
      </w:tr>
    </w:tbl>
    <w:p w14:paraId="0E179562"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39CA8128" w14:textId="77777777" w:rsidR="00AD2BB3" w:rsidRPr="006E2C6C" w:rsidRDefault="00352597" w:rsidP="00CA610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A la respuesta se </w:t>
      </w:r>
      <w:r w:rsidRPr="006E2C6C">
        <w:rPr>
          <w:rFonts w:ascii="Palatino Linotype" w:eastAsia="Palatino Linotype" w:hAnsi="Palatino Linotype" w:cs="Palatino Linotype"/>
          <w:sz w:val="22"/>
          <w:szCs w:val="22"/>
        </w:rPr>
        <w:t>adjuntan</w:t>
      </w:r>
      <w:r w:rsidRPr="006E2C6C">
        <w:rPr>
          <w:rFonts w:ascii="Palatino Linotype" w:eastAsia="Palatino Linotype" w:hAnsi="Palatino Linotype" w:cs="Palatino Linotype"/>
          <w:color w:val="000000"/>
          <w:sz w:val="22"/>
          <w:szCs w:val="22"/>
        </w:rPr>
        <w:t xml:space="preserve"> los archivos que se describen enseguida:</w:t>
      </w:r>
    </w:p>
    <w:p w14:paraId="28C9A9FC" w14:textId="77777777" w:rsidR="00AD2BB3" w:rsidRPr="006E2C6C" w:rsidRDefault="00EA648C" w:rsidP="00CA610A">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1">
        <w:r w:rsidR="00352597" w:rsidRPr="006E2C6C">
          <w:rPr>
            <w:rFonts w:ascii="Palatino Linotype" w:eastAsia="Palatino Linotype" w:hAnsi="Palatino Linotype" w:cs="Palatino Linotype"/>
            <w:b/>
            <w:color w:val="000000"/>
            <w:sz w:val="22"/>
            <w:szCs w:val="22"/>
            <w:u w:val="single"/>
          </w:rPr>
          <w:t>S199 ACTA SE EXT 03 COMITE DE TRANSPARENCIA.pdf</w:t>
        </w:r>
      </w:hyperlink>
      <w:r w:rsidR="00352597" w:rsidRPr="006E2C6C">
        <w:rPr>
          <w:rFonts w:ascii="Palatino Linotype" w:eastAsia="Palatino Linotype" w:hAnsi="Palatino Linotype" w:cs="Palatino Linotype"/>
          <w:color w:val="000000"/>
          <w:sz w:val="22"/>
          <w:szCs w:val="22"/>
        </w:rPr>
        <w:t xml:space="preserve">: Acta de la tercera sesión extraordinaria del Comité de Transparencia del 2023, en el que se aprueba la inexistencia y reserva de la información. </w:t>
      </w:r>
    </w:p>
    <w:p w14:paraId="5B8AE2D7" w14:textId="77777777" w:rsidR="00AD2BB3" w:rsidRPr="006E2C6C" w:rsidRDefault="00AD2BB3" w:rsidP="00CA610A">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sz w:val="22"/>
          <w:szCs w:val="22"/>
        </w:rPr>
      </w:pPr>
    </w:p>
    <w:p w14:paraId="7A2D3814" w14:textId="77777777" w:rsidR="00AD2BB3" w:rsidRPr="006E2C6C" w:rsidRDefault="00EA648C" w:rsidP="00CA610A">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2">
        <w:r w:rsidR="00352597" w:rsidRPr="006E2C6C">
          <w:rPr>
            <w:rFonts w:ascii="Palatino Linotype" w:eastAsia="Palatino Linotype" w:hAnsi="Palatino Linotype" w:cs="Palatino Linotype"/>
            <w:b/>
            <w:color w:val="000000"/>
            <w:sz w:val="22"/>
            <w:szCs w:val="22"/>
            <w:u w:val="single"/>
          </w:rPr>
          <w:t xml:space="preserve">SAIMEX FOLIO 199 </w:t>
        </w:r>
      </w:hyperlink>
      <w:hyperlink r:id="rId13">
        <w:r w:rsidR="00352597" w:rsidRPr="006E2C6C">
          <w:rPr>
            <w:rFonts w:ascii="Palatino Linotype" w:eastAsia="Palatino Linotype" w:hAnsi="Palatino Linotype" w:cs="Palatino Linotype"/>
            <w:b/>
            <w:color w:val="000000"/>
            <w:sz w:val="22"/>
            <w:szCs w:val="22"/>
            <w:u w:val="single"/>
          </w:rPr>
          <w:t>CONSEJERIA.pdf</w:t>
        </w:r>
      </w:hyperlink>
      <w:r w:rsidR="00352597" w:rsidRPr="006E2C6C">
        <w:rPr>
          <w:rFonts w:ascii="Palatino Linotype" w:eastAsia="Palatino Linotype" w:hAnsi="Palatino Linotype" w:cs="Palatino Linotype"/>
          <w:color w:val="000000"/>
          <w:sz w:val="22"/>
          <w:szCs w:val="22"/>
        </w:rPr>
        <w:t>: oficio número CJ/1415/2023 suscrito por la Consejería Jurídica Municipal en el que se reserva la información.</w:t>
      </w:r>
    </w:p>
    <w:p w14:paraId="33CD5FA3"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8DABA2B" w14:textId="77777777" w:rsidR="00AD2BB3" w:rsidRPr="006E2C6C" w:rsidRDefault="00EA648C" w:rsidP="00CA610A">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hyperlink r:id="rId14">
        <w:r w:rsidR="00352597" w:rsidRPr="006E2C6C">
          <w:rPr>
            <w:rFonts w:ascii="Palatino Linotype" w:eastAsia="Palatino Linotype" w:hAnsi="Palatino Linotype" w:cs="Palatino Linotype"/>
            <w:b/>
            <w:color w:val="000000"/>
            <w:sz w:val="22"/>
            <w:szCs w:val="22"/>
            <w:u w:val="single"/>
          </w:rPr>
          <w:t>S199 SEC AYU.pdf</w:t>
        </w:r>
      </w:hyperlink>
      <w:r w:rsidR="00352597" w:rsidRPr="006E2C6C">
        <w:rPr>
          <w:rFonts w:ascii="Palatino Linotype" w:eastAsia="Palatino Linotype" w:hAnsi="Palatino Linotype" w:cs="Palatino Linotype"/>
          <w:color w:val="000000"/>
          <w:sz w:val="22"/>
          <w:szCs w:val="22"/>
        </w:rPr>
        <w:t xml:space="preserve">: oficio número SA/236/31.10.2023 de fecha treinta y uno de octubre de 2023, suscrito por el Secretario del Ayuntamiento en el que se determinó la reserva de la información de dos solicitudes diversas a la que se analiza en esta resolución. </w:t>
      </w:r>
    </w:p>
    <w:p w14:paraId="2A24E82D"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4EBD70B"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El </w:t>
      </w:r>
      <w:r w:rsidRPr="006E2C6C">
        <w:rPr>
          <w:rFonts w:ascii="Palatino Linotype" w:eastAsia="Palatino Linotype" w:hAnsi="Palatino Linotype" w:cs="Palatino Linotype"/>
          <w:b/>
          <w:color w:val="000000"/>
          <w:sz w:val="22"/>
          <w:szCs w:val="22"/>
        </w:rPr>
        <w:t>veintidós de abril de dos mil veinticuatro</w:t>
      </w:r>
      <w:r w:rsidRPr="006E2C6C">
        <w:rPr>
          <w:rFonts w:ascii="Palatino Linotype" w:eastAsia="Palatino Linotype" w:hAnsi="Palatino Linotype" w:cs="Palatino Linotype"/>
          <w:color w:val="000000"/>
          <w:sz w:val="22"/>
          <w:szCs w:val="22"/>
        </w:rPr>
        <w:t xml:space="preserve">, </w:t>
      </w:r>
      <w:r w:rsidRPr="006E2C6C">
        <w:rPr>
          <w:rFonts w:ascii="Palatino Linotype" w:eastAsia="Palatino Linotype" w:hAnsi="Palatino Linotype" w:cs="Palatino Linotype"/>
          <w:b/>
          <w:color w:val="000000"/>
          <w:sz w:val="22"/>
          <w:szCs w:val="22"/>
        </w:rPr>
        <w:t>EL RECURRENTE</w:t>
      </w:r>
      <w:r w:rsidRPr="006E2C6C">
        <w:rPr>
          <w:rFonts w:ascii="Palatino Linotype" w:eastAsia="Palatino Linotype" w:hAnsi="Palatino Linotype" w:cs="Palatino Linotype"/>
          <w:color w:val="000000"/>
          <w:sz w:val="22"/>
          <w:szCs w:val="22"/>
        </w:rPr>
        <w:t xml:space="preserve"> interpuso el recurso de revisión, en contra de la respuesta, señalando como:</w:t>
      </w:r>
    </w:p>
    <w:p w14:paraId="46A5B2E3" w14:textId="77777777" w:rsidR="00AD2BB3" w:rsidRPr="006E2C6C" w:rsidRDefault="00352597" w:rsidP="00CA610A">
      <w:pPr>
        <w:numPr>
          <w:ilvl w:val="0"/>
          <w:numId w:val="1"/>
        </w:num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sz w:val="22"/>
          <w:szCs w:val="22"/>
        </w:rPr>
        <w:t>Acto impugnado</w:t>
      </w:r>
      <w:r w:rsidRPr="006E2C6C">
        <w:rPr>
          <w:rFonts w:ascii="Palatino Linotype" w:eastAsia="Palatino Linotype" w:hAnsi="Palatino Linotype" w:cs="Palatino Linotype"/>
          <w:b/>
          <w:i/>
          <w:sz w:val="22"/>
          <w:szCs w:val="22"/>
        </w:rPr>
        <w:t>:</w:t>
      </w:r>
      <w:r w:rsidRPr="006E2C6C">
        <w:rPr>
          <w:rFonts w:ascii="Palatino Linotype" w:eastAsia="Palatino Linotype" w:hAnsi="Palatino Linotype" w:cs="Palatino Linotype"/>
          <w:i/>
          <w:color w:val="000000"/>
          <w:sz w:val="22"/>
          <w:szCs w:val="22"/>
        </w:rPr>
        <w:t xml:space="preserve"> "</w:t>
      </w:r>
      <w:r w:rsidRPr="006E2C6C">
        <w:rPr>
          <w:rFonts w:ascii="Palatino Linotype" w:eastAsia="Palatino Linotype" w:hAnsi="Palatino Linotype" w:cs="Palatino Linotype"/>
          <w:color w:val="000000"/>
          <w:sz w:val="22"/>
          <w:szCs w:val="22"/>
        </w:rPr>
        <w:t xml:space="preserve"> </w:t>
      </w:r>
      <w:r w:rsidRPr="006E2C6C">
        <w:rPr>
          <w:rFonts w:ascii="Palatino Linotype" w:eastAsia="Palatino Linotype" w:hAnsi="Palatino Linotype" w:cs="Palatino Linotype"/>
          <w:i/>
          <w:color w:val="000000"/>
          <w:sz w:val="22"/>
          <w:szCs w:val="22"/>
        </w:rPr>
        <w:t>La resolución de información reservada indebidamente por la autoridad obligada de tultitlan, ya que hace manifestaciones sin acreditar su dicho y también no se puede clasificar una información como reservada sin justificación legal, mi derecho humano de acceso a la información pública está siendo violado por la autoridad obliga! Aunado a la anterior resulta que la utilización de recursos públicos ilegalmente es el motivo por el cual pretende negarme la información solicitada! Cualquier pretensión de clasificar información pública deberá estar justificada de lo contrario las autoridades obligadas alegarían de manera desmedida este argumento para negar toda clase de información como en el presente caso! Espero que mi derecho humano a la información pública sea real y eficaz por parte de quien resuelva el presente recurso ya que de lo contrario se rompería con el estado constitucional de derecho y se convalidaría una negativa de información ilegal e inconstitucional" (Sic)</w:t>
      </w:r>
    </w:p>
    <w:p w14:paraId="5DCC8BE6" w14:textId="77777777" w:rsidR="00AD2BB3" w:rsidRPr="006E2C6C" w:rsidRDefault="00352597" w:rsidP="00CA610A">
      <w:pPr>
        <w:numPr>
          <w:ilvl w:val="0"/>
          <w:numId w:val="1"/>
        </w:num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sz w:val="22"/>
          <w:szCs w:val="22"/>
        </w:rPr>
        <w:t>Razones o Motivos de inconformidad: “</w:t>
      </w:r>
      <w:r w:rsidRPr="006E2C6C">
        <w:rPr>
          <w:rFonts w:ascii="Palatino Linotype" w:eastAsia="Palatino Linotype" w:hAnsi="Palatino Linotype" w:cs="Palatino Linotype"/>
          <w:i/>
          <w:color w:val="000000"/>
          <w:sz w:val="22"/>
          <w:szCs w:val="22"/>
        </w:rPr>
        <w:t>La resolución de información reservada indebidamente por la autoridad obligada de tultitlan, ya que hace manifestaciones sin acreditar su dicho y también no se puede clasificar una información como reservada sin justificación legal, mi derecho humano de acceso a la información pública está siendo violado por la autoridad obliga! Aunado a la anterior resulta que la utilización de recursos públicos ilegalmente es el motivo por el cual pretende negarme la información solicitada! Cualquier pretensión de clasificar información pública deberá estar justificada de lo contrario las autoridades obligadas alegarían de manera desmedida este argumento para negar toda clase de información como en el presente caso! Espero que mi derecho humano a la información pública sea real y eficaz por parte de quien resuelva el presente recurso ya que de lo contrario se rompería con el estado constitucional de derecho y se convalidaría una negativa de información ilegal e inconstitucional” (Sic)</w:t>
      </w:r>
      <w:r w:rsidRPr="006E2C6C">
        <w:rPr>
          <w:rFonts w:ascii="Palatino Linotype" w:eastAsia="Palatino Linotype" w:hAnsi="Palatino Linotype" w:cs="Palatino Linotype"/>
          <w:sz w:val="22"/>
          <w:szCs w:val="22"/>
        </w:rPr>
        <w:t xml:space="preserve">. </w:t>
      </w:r>
    </w:p>
    <w:p w14:paraId="0B1FE3CE"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617302DE"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Se registró el recurso de revisión bajo el número de expediente al rubro indicado, asimismo con fundamento en lo dispuesto por el artículo 185 fracción I de la </w:t>
      </w:r>
      <w:r w:rsidRPr="006E2C6C">
        <w:rPr>
          <w:rFonts w:ascii="Palatino Linotype" w:eastAsia="Palatino Linotype" w:hAnsi="Palatino Linotype" w:cs="Palatino Linotype"/>
          <w:b/>
          <w:color w:val="000000"/>
          <w:sz w:val="22"/>
          <w:szCs w:val="22"/>
        </w:rPr>
        <w:t xml:space="preserve">Ley de Transparencia y Acceso a la Información Pública del Estado de México y Municipios </w:t>
      </w:r>
      <w:r w:rsidRPr="006E2C6C">
        <w:rPr>
          <w:rFonts w:ascii="Palatino Linotype" w:eastAsia="Palatino Linotype" w:hAnsi="Palatino Linotype" w:cs="Palatino Linotype"/>
          <w:color w:val="000000"/>
          <w:sz w:val="22"/>
          <w:szCs w:val="22"/>
        </w:rPr>
        <w:t>se turn</w:t>
      </w:r>
      <w:r w:rsidRPr="006E2C6C">
        <w:rPr>
          <w:rFonts w:ascii="Palatino Linotype" w:eastAsia="Palatino Linotype" w:hAnsi="Palatino Linotype" w:cs="Palatino Linotype"/>
          <w:sz w:val="22"/>
          <w:szCs w:val="22"/>
        </w:rPr>
        <w:t>a</w:t>
      </w:r>
      <w:r w:rsidRPr="006E2C6C">
        <w:rPr>
          <w:rFonts w:ascii="Palatino Linotype" w:eastAsia="Palatino Linotype" w:hAnsi="Palatino Linotype" w:cs="Palatino Linotype"/>
          <w:color w:val="000000"/>
          <w:sz w:val="22"/>
          <w:szCs w:val="22"/>
        </w:rPr>
        <w:t xml:space="preserve"> a la </w:t>
      </w:r>
      <w:r w:rsidRPr="006E2C6C">
        <w:rPr>
          <w:rFonts w:ascii="Palatino Linotype" w:eastAsia="Palatino Linotype" w:hAnsi="Palatino Linotype" w:cs="Palatino Linotype"/>
          <w:b/>
          <w:color w:val="000000"/>
          <w:sz w:val="22"/>
          <w:szCs w:val="22"/>
        </w:rPr>
        <w:t xml:space="preserve">Comisionada María del Rosario Mejía Ayala, </w:t>
      </w:r>
      <w:r w:rsidRPr="006E2C6C">
        <w:rPr>
          <w:rFonts w:ascii="Palatino Linotype" w:eastAsia="Palatino Linotype" w:hAnsi="Palatino Linotype" w:cs="Palatino Linotype"/>
          <w:sz w:val="22"/>
          <w:szCs w:val="22"/>
        </w:rPr>
        <w:t>para</w:t>
      </w:r>
      <w:r w:rsidRPr="006E2C6C">
        <w:rPr>
          <w:rFonts w:ascii="Palatino Linotype" w:eastAsia="Palatino Linotype" w:hAnsi="Palatino Linotype" w:cs="Palatino Linotype"/>
          <w:color w:val="000000"/>
          <w:sz w:val="22"/>
          <w:szCs w:val="22"/>
        </w:rPr>
        <w:t xml:space="preserve"> su análisis. </w:t>
      </w:r>
    </w:p>
    <w:p w14:paraId="1441DEDC"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E0F5A17"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sz w:val="22"/>
          <w:szCs w:val="22"/>
        </w:rPr>
        <w:t>La</w:t>
      </w:r>
      <w:r w:rsidRPr="006E2C6C">
        <w:rPr>
          <w:rFonts w:ascii="Palatino Linotype" w:eastAsia="Palatino Linotype" w:hAnsi="Palatino Linotype" w:cs="Palatino Linotype"/>
          <w:color w:val="000000"/>
          <w:sz w:val="22"/>
          <w:szCs w:val="22"/>
        </w:rPr>
        <w:t xml:space="preserve"> Comisionad</w:t>
      </w:r>
      <w:r w:rsidRPr="006E2C6C">
        <w:rPr>
          <w:rFonts w:ascii="Palatino Linotype" w:eastAsia="Palatino Linotype" w:hAnsi="Palatino Linotype" w:cs="Palatino Linotype"/>
          <w:sz w:val="22"/>
          <w:szCs w:val="22"/>
        </w:rPr>
        <w:t>a</w:t>
      </w:r>
      <w:r w:rsidRPr="006E2C6C">
        <w:rPr>
          <w:rFonts w:ascii="Palatino Linotype" w:eastAsia="Palatino Linotype" w:hAnsi="Palatino Linotype" w:cs="Palatino Linotype"/>
          <w:color w:val="000000"/>
          <w:sz w:val="22"/>
          <w:szCs w:val="22"/>
        </w:rPr>
        <w:t xml:space="preserve"> Ponente con fundamento en lo dispuesto por el artículo 185 fracción II de la ley de la materia, a través del acuerdo de admisión del </w:t>
      </w:r>
      <w:r w:rsidRPr="006E2C6C">
        <w:rPr>
          <w:rFonts w:ascii="Palatino Linotype" w:eastAsia="Palatino Linotype" w:hAnsi="Palatino Linotype" w:cs="Palatino Linotype"/>
          <w:b/>
          <w:color w:val="000000"/>
          <w:sz w:val="22"/>
          <w:szCs w:val="22"/>
        </w:rPr>
        <w:t>veintinueve de abril de dos mil veinticuatro</w:t>
      </w:r>
      <w:r w:rsidRPr="006E2C6C">
        <w:rPr>
          <w:rFonts w:ascii="Palatino Linotype" w:eastAsia="Palatino Linotype" w:hAnsi="Palatino Linotype" w:cs="Palatino Linotype"/>
          <w:color w:val="000000"/>
          <w:sz w:val="22"/>
          <w:szCs w:val="22"/>
        </w:rPr>
        <w:t xml:space="preserve">, puso a disposición de las partes el expediente electrónico vía </w:t>
      </w:r>
      <w:r w:rsidRPr="006E2C6C">
        <w:rPr>
          <w:rFonts w:ascii="Palatino Linotype" w:eastAsia="Palatino Linotype" w:hAnsi="Palatino Linotype" w:cs="Palatino Linotype"/>
          <w:b/>
          <w:color w:val="000000"/>
          <w:sz w:val="22"/>
          <w:szCs w:val="22"/>
        </w:rPr>
        <w:t xml:space="preserve">SAIMEX </w:t>
      </w:r>
      <w:r w:rsidRPr="006E2C6C">
        <w:rPr>
          <w:rFonts w:ascii="Palatino Linotype" w:eastAsia="Palatino Linotype" w:hAnsi="Palatino Linotype" w:cs="Palatino Linotype"/>
          <w:color w:val="000000"/>
          <w:sz w:val="22"/>
          <w:szCs w:val="22"/>
        </w:rPr>
        <w:t xml:space="preserve">a efecto de que en un plazo máximo de siete días </w:t>
      </w:r>
      <w:r w:rsidRPr="006E2C6C">
        <w:rPr>
          <w:rFonts w:ascii="Palatino Linotype" w:eastAsia="Palatino Linotype" w:hAnsi="Palatino Linotype" w:cs="Palatino Linotype"/>
          <w:sz w:val="22"/>
          <w:szCs w:val="22"/>
        </w:rPr>
        <w:t>manifestara</w:t>
      </w:r>
      <w:r w:rsidRPr="006E2C6C">
        <w:rPr>
          <w:rFonts w:ascii="Palatino Linotype" w:eastAsia="Palatino Linotype" w:hAnsi="Palatino Linotype" w:cs="Palatino Linotype"/>
          <w:color w:val="000000"/>
          <w:sz w:val="22"/>
          <w:szCs w:val="22"/>
        </w:rPr>
        <w:t xml:space="preserve"> lo que a derecho </w:t>
      </w:r>
      <w:r w:rsidRPr="006E2C6C">
        <w:rPr>
          <w:rFonts w:ascii="Palatino Linotype" w:eastAsia="Palatino Linotype" w:hAnsi="Palatino Linotype" w:cs="Palatino Linotype"/>
          <w:sz w:val="22"/>
          <w:szCs w:val="22"/>
        </w:rPr>
        <w:t>conviniera</w:t>
      </w:r>
      <w:r w:rsidRPr="006E2C6C">
        <w:rPr>
          <w:rFonts w:ascii="Palatino Linotype" w:eastAsia="Palatino Linotype" w:hAnsi="Palatino Linotype" w:cs="Palatino Linotype"/>
          <w:color w:val="000000"/>
          <w:sz w:val="22"/>
          <w:szCs w:val="22"/>
        </w:rPr>
        <w:t xml:space="preserve">, </w:t>
      </w:r>
      <w:r w:rsidRPr="006E2C6C">
        <w:rPr>
          <w:rFonts w:ascii="Palatino Linotype" w:eastAsia="Palatino Linotype" w:hAnsi="Palatino Linotype" w:cs="Palatino Linotype"/>
          <w:sz w:val="22"/>
          <w:szCs w:val="22"/>
        </w:rPr>
        <w:t>ofreciera</w:t>
      </w:r>
      <w:r w:rsidRPr="006E2C6C">
        <w:rPr>
          <w:rFonts w:ascii="Palatino Linotype" w:eastAsia="Palatino Linotype" w:hAnsi="Palatino Linotype" w:cs="Palatino Linotype"/>
          <w:color w:val="000000"/>
          <w:sz w:val="22"/>
          <w:szCs w:val="22"/>
        </w:rPr>
        <w:t xml:space="preserve"> pruebas y alegatos según corresponda al caso concreto, de esta forma para que el </w:t>
      </w:r>
      <w:r w:rsidRPr="006E2C6C">
        <w:rPr>
          <w:rFonts w:ascii="Palatino Linotype" w:eastAsia="Palatino Linotype" w:hAnsi="Palatino Linotype" w:cs="Palatino Linotype"/>
          <w:b/>
          <w:color w:val="000000"/>
          <w:sz w:val="22"/>
          <w:szCs w:val="22"/>
        </w:rPr>
        <w:t>SUJETO OBLIGADO</w:t>
      </w:r>
      <w:r w:rsidRPr="006E2C6C">
        <w:rPr>
          <w:rFonts w:ascii="Palatino Linotype" w:eastAsia="Palatino Linotype" w:hAnsi="Palatino Linotype" w:cs="Palatino Linotype"/>
          <w:color w:val="000000"/>
          <w:sz w:val="22"/>
          <w:szCs w:val="22"/>
        </w:rPr>
        <w:t xml:space="preserve"> </w:t>
      </w:r>
      <w:r w:rsidRPr="006E2C6C">
        <w:rPr>
          <w:rFonts w:ascii="Palatino Linotype" w:eastAsia="Palatino Linotype" w:hAnsi="Palatino Linotype" w:cs="Palatino Linotype"/>
          <w:sz w:val="22"/>
          <w:szCs w:val="22"/>
        </w:rPr>
        <w:t>presentará</w:t>
      </w:r>
      <w:r w:rsidRPr="006E2C6C">
        <w:rPr>
          <w:rFonts w:ascii="Palatino Linotype" w:eastAsia="Palatino Linotype" w:hAnsi="Palatino Linotype" w:cs="Palatino Linotype"/>
          <w:color w:val="000000"/>
          <w:sz w:val="22"/>
          <w:szCs w:val="22"/>
        </w:rPr>
        <w:t xml:space="preserve"> el informe justificado procedente. </w:t>
      </w:r>
    </w:p>
    <w:p w14:paraId="6DFFF8B9" w14:textId="77777777" w:rsidR="00AD2BB3" w:rsidRPr="006E2C6C" w:rsidRDefault="00AD2BB3" w:rsidP="00CA610A">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0FF5BF48"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De las constancias que obran en el expediente electrónico SAIMEX, se advierte que el Sujeto Obligado no entregó informe justificado; por su parte, el Recurrente no realizó manifestaciones que a su derecho convengan.  </w:t>
      </w:r>
    </w:p>
    <w:p w14:paraId="61B7DA30" w14:textId="77777777" w:rsidR="00AD2BB3" w:rsidRPr="006E2C6C" w:rsidRDefault="00AD2BB3" w:rsidP="00CA610A">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653A43A5"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El </w:t>
      </w:r>
      <w:r w:rsidRPr="006E2C6C">
        <w:rPr>
          <w:rFonts w:ascii="Palatino Linotype" w:eastAsia="Palatino Linotype" w:hAnsi="Palatino Linotype" w:cs="Palatino Linotype"/>
          <w:b/>
          <w:color w:val="000000"/>
          <w:sz w:val="22"/>
          <w:szCs w:val="22"/>
        </w:rPr>
        <w:t>siete de junio de dos mil veinticuatro</w:t>
      </w:r>
      <w:r w:rsidRPr="006E2C6C">
        <w:rPr>
          <w:rFonts w:ascii="Palatino Linotype" w:eastAsia="Palatino Linotype" w:hAnsi="Palatino Linotype" w:cs="Palatino Linotype"/>
          <w:color w:val="000000"/>
          <w:sz w:val="22"/>
          <w:szCs w:val="22"/>
        </w:rPr>
        <w:t xml:space="preserve">, se notificó el acuerdo mediante el cual se aprobó la ampliación para emitir resolución por un plazo de quince (15) días. </w:t>
      </w:r>
    </w:p>
    <w:p w14:paraId="0741F37A"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8263D54"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w:t>
      </w:r>
      <w:r w:rsidRPr="006E2C6C">
        <w:rPr>
          <w:rFonts w:ascii="Palatino Linotype" w:eastAsia="Palatino Linotype" w:hAnsi="Palatino Linotype" w:cs="Palatino Linotype"/>
          <w:sz w:val="22"/>
          <w:szCs w:val="22"/>
        </w:rPr>
        <w:lastRenderedPageBreak/>
        <w:t>atípica que ha rebasado las capacidades técnicas y humanas del personal encargado de la proyección de las resoluciones a dichos medios de impugnación.</w:t>
      </w:r>
    </w:p>
    <w:p w14:paraId="3E0B8739"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5B4F6907"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07D0AC9"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2813814F"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F5487B2"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38E682E5"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E384CC0" w14:textId="77777777" w:rsidR="00AD2BB3" w:rsidRPr="006E2C6C" w:rsidRDefault="00AD2BB3" w:rsidP="00CA610A">
      <w:pPr>
        <w:spacing w:line="360" w:lineRule="auto"/>
        <w:jc w:val="both"/>
        <w:rPr>
          <w:rFonts w:ascii="Palatino Linotype" w:eastAsia="Palatino Linotype" w:hAnsi="Palatino Linotype" w:cs="Palatino Linotype"/>
          <w:b/>
          <w:sz w:val="22"/>
          <w:szCs w:val="22"/>
        </w:rPr>
      </w:pPr>
    </w:p>
    <w:p w14:paraId="50E55F7B"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0A8CC3BC" w14:textId="77777777" w:rsidR="00AD2BB3" w:rsidRPr="006E2C6C" w:rsidRDefault="00352597" w:rsidP="00CA610A">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Complejidad del </w:t>
      </w:r>
      <w:r w:rsidRPr="006E2C6C">
        <w:rPr>
          <w:rFonts w:ascii="Palatino Linotype" w:eastAsia="Palatino Linotype" w:hAnsi="Palatino Linotype" w:cs="Palatino Linotype"/>
          <w:sz w:val="22"/>
          <w:szCs w:val="22"/>
        </w:rPr>
        <w:t>asunto</w:t>
      </w:r>
      <w:r w:rsidRPr="006E2C6C">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553DB2CD" w14:textId="77777777" w:rsidR="00AD2BB3" w:rsidRPr="006E2C6C" w:rsidRDefault="00352597" w:rsidP="00CA610A">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Actividad Procesal del interesado. Acciones u omisiones del interesado.</w:t>
      </w:r>
    </w:p>
    <w:p w14:paraId="3B014275" w14:textId="77777777" w:rsidR="00AD2BB3" w:rsidRPr="006E2C6C" w:rsidRDefault="00352597" w:rsidP="00CA610A">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lastRenderedPageBreak/>
        <w:t>Conducta de la Autoridad: Las Acciones u omisiones realizadas en el procedimiento. Así como si la autoridad actuó con la debida diligencia.</w:t>
      </w:r>
    </w:p>
    <w:p w14:paraId="3A5F5021" w14:textId="77777777" w:rsidR="00AD2BB3" w:rsidRPr="006E2C6C" w:rsidRDefault="00352597" w:rsidP="00CA610A">
      <w:pPr>
        <w:spacing w:line="360" w:lineRule="auto"/>
        <w:ind w:left="567"/>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7591E2B8"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78B399C9"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D1FB86C" w14:textId="77777777" w:rsidR="00AD2BB3" w:rsidRPr="006E2C6C" w:rsidRDefault="00AD2BB3" w:rsidP="00CA610A">
      <w:pPr>
        <w:spacing w:line="360" w:lineRule="auto"/>
        <w:jc w:val="both"/>
        <w:rPr>
          <w:rFonts w:ascii="Palatino Linotype" w:eastAsia="Palatino Linotype" w:hAnsi="Palatino Linotype" w:cs="Palatino Linotype"/>
          <w:b/>
          <w:sz w:val="22"/>
          <w:szCs w:val="22"/>
        </w:rPr>
      </w:pPr>
    </w:p>
    <w:p w14:paraId="64F2B936"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del rubro </w:t>
      </w:r>
      <w:r w:rsidRPr="006E2C6C">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6E2C6C">
        <w:rPr>
          <w:rFonts w:ascii="Palatino Linotype" w:eastAsia="Palatino Linotype" w:hAnsi="Palatino Linotype" w:cs="Palatino Linotype"/>
          <w:sz w:val="22"/>
          <w:szCs w:val="22"/>
        </w:rPr>
        <w:t>, visible en la Gaceta del Semanario Judicial de la Federación con el registro digital 205635.</w:t>
      </w:r>
    </w:p>
    <w:p w14:paraId="4EB82C60"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0A8B3DF6"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w:t>
      </w:r>
      <w:r w:rsidRPr="006E2C6C">
        <w:rPr>
          <w:rFonts w:ascii="Palatino Linotype" w:eastAsia="Palatino Linotype" w:hAnsi="Palatino Linotype" w:cs="Palatino Linotype"/>
          <w:sz w:val="22"/>
          <w:szCs w:val="22"/>
        </w:rPr>
        <w:lastRenderedPageBreak/>
        <w:t>dentro de los términos legales previamente establecidos por la Ley, por tratarse de causas de fuerza mayor.</w:t>
      </w:r>
    </w:p>
    <w:p w14:paraId="1AD4CD1A"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70CD23E7"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08E73D5F"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2A2A2115"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2D43E59E" w14:textId="77777777" w:rsidR="00AD2BB3" w:rsidRPr="006E2C6C" w:rsidRDefault="00352597" w:rsidP="00CA610A">
      <w:pPr>
        <w:spacing w:line="360" w:lineRule="auto"/>
        <w:ind w:left="851"/>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 </w:t>
      </w:r>
      <w:r w:rsidRPr="006E2C6C">
        <w:rPr>
          <w:rFonts w:ascii="Palatino Linotype" w:eastAsia="Palatino Linotype" w:hAnsi="Palatino Linotype" w:cs="Palatino Linotype"/>
          <w:i/>
          <w:sz w:val="22"/>
          <w:szCs w:val="22"/>
        </w:rPr>
        <w:t>“PLAZO RAZONABLE PARA RESOLVER. DIMENSIÓN Y EFECTOS DE ESTE CONCEPTO CUANDO SE ADUCE EXCESIVA CARGA DE TRABAJO.”</w:t>
      </w:r>
      <w:r w:rsidRPr="006E2C6C">
        <w:rPr>
          <w:rFonts w:ascii="Palatino Linotype" w:eastAsia="Palatino Linotype" w:hAnsi="Palatino Linotype" w:cs="Palatino Linotype"/>
          <w:sz w:val="22"/>
          <w:szCs w:val="22"/>
        </w:rPr>
        <w:t xml:space="preserve"> consultable en el Semanario Judicial de la Federación y su gaceta, con el registro digital 2002351.</w:t>
      </w:r>
    </w:p>
    <w:p w14:paraId="20CCA0B6" w14:textId="77777777" w:rsidR="00AD2BB3" w:rsidRPr="006E2C6C" w:rsidRDefault="00AD2BB3" w:rsidP="00CA610A">
      <w:pPr>
        <w:spacing w:line="360" w:lineRule="auto"/>
        <w:ind w:left="851"/>
        <w:jc w:val="both"/>
        <w:rPr>
          <w:rFonts w:ascii="Palatino Linotype" w:eastAsia="Palatino Linotype" w:hAnsi="Palatino Linotype" w:cs="Palatino Linotype"/>
          <w:b/>
          <w:sz w:val="22"/>
          <w:szCs w:val="22"/>
        </w:rPr>
      </w:pPr>
    </w:p>
    <w:p w14:paraId="653E3670" w14:textId="77777777" w:rsidR="00AD2BB3" w:rsidRPr="006E2C6C" w:rsidRDefault="00352597" w:rsidP="00CA610A">
      <w:pPr>
        <w:spacing w:line="360" w:lineRule="auto"/>
        <w:ind w:left="851"/>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6E2C6C">
        <w:rPr>
          <w:rFonts w:ascii="Palatino Linotype" w:eastAsia="Palatino Linotype" w:hAnsi="Palatino Linotype" w:cs="Palatino Linotype"/>
          <w:sz w:val="22"/>
          <w:szCs w:val="22"/>
        </w:rPr>
        <w:t>, visible en el Semanario Judicial de la Federación y su gaceta, con el registro digital 2002350.</w:t>
      </w:r>
    </w:p>
    <w:p w14:paraId="1EBB5C1A" w14:textId="77777777" w:rsidR="00AD2BB3" w:rsidRPr="006E2C6C" w:rsidRDefault="00AD2BB3" w:rsidP="00CA610A">
      <w:pPr>
        <w:spacing w:line="360" w:lineRule="auto"/>
        <w:jc w:val="both"/>
        <w:rPr>
          <w:rFonts w:ascii="Palatino Linotype" w:eastAsia="Palatino Linotype" w:hAnsi="Palatino Linotype" w:cs="Palatino Linotype"/>
          <w:i/>
          <w:sz w:val="22"/>
          <w:szCs w:val="22"/>
        </w:rPr>
      </w:pPr>
    </w:p>
    <w:p w14:paraId="14C91D20"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14:paraId="026F19A3"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B3740DA"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El Comisionado Ponente decretó el cierre de instrucción mediante el acuerdo del veintinueve de enero de dos mil veinticinco.--------------------------------------------------------------</w:t>
      </w:r>
    </w:p>
    <w:p w14:paraId="11BFE5B5"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DC1A90"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5BF3B691" w14:textId="77777777" w:rsidR="00AD2BB3" w:rsidRPr="006E2C6C" w:rsidRDefault="00352597" w:rsidP="00CA610A">
      <w:pPr>
        <w:spacing w:line="360" w:lineRule="auto"/>
        <w:jc w:val="center"/>
        <w:rPr>
          <w:rFonts w:ascii="Palatino Linotype" w:eastAsia="Palatino Linotype" w:hAnsi="Palatino Linotype" w:cs="Palatino Linotype"/>
          <w:sz w:val="22"/>
          <w:szCs w:val="22"/>
        </w:rPr>
      </w:pPr>
      <w:r w:rsidRPr="006E2C6C">
        <w:rPr>
          <w:rFonts w:ascii="Palatino Linotype" w:eastAsia="Palatino Linotype" w:hAnsi="Palatino Linotype" w:cs="Palatino Linotype"/>
          <w:b/>
          <w:sz w:val="22"/>
          <w:szCs w:val="22"/>
        </w:rPr>
        <w:t>C O N S I D E R A N D O</w:t>
      </w:r>
    </w:p>
    <w:p w14:paraId="2FAFB19E" w14:textId="77777777" w:rsidR="00AD2BB3" w:rsidRPr="006E2C6C" w:rsidRDefault="00AD2BB3" w:rsidP="00CA610A">
      <w:pPr>
        <w:spacing w:line="360" w:lineRule="auto"/>
        <w:jc w:val="center"/>
        <w:rPr>
          <w:rFonts w:ascii="Palatino Linotype" w:eastAsia="Palatino Linotype" w:hAnsi="Palatino Linotype" w:cs="Palatino Linotype"/>
          <w:sz w:val="22"/>
          <w:szCs w:val="22"/>
        </w:rPr>
      </w:pPr>
    </w:p>
    <w:p w14:paraId="023DC52E" w14:textId="77777777" w:rsidR="00AD2BB3" w:rsidRPr="006E2C6C" w:rsidRDefault="00352597" w:rsidP="00CA610A">
      <w:pPr>
        <w:spacing w:line="360" w:lineRule="auto"/>
        <w:jc w:val="both"/>
        <w:rPr>
          <w:rFonts w:ascii="Palatino Linotype" w:eastAsia="Palatino Linotype" w:hAnsi="Palatino Linotype" w:cs="Palatino Linotype"/>
          <w:b/>
          <w:sz w:val="22"/>
          <w:szCs w:val="22"/>
        </w:rPr>
      </w:pPr>
      <w:bookmarkStart w:id="1" w:name="_heading=h.1fob9te" w:colFirst="0" w:colLast="0"/>
      <w:bookmarkEnd w:id="1"/>
      <w:r w:rsidRPr="006E2C6C">
        <w:rPr>
          <w:rFonts w:ascii="Palatino Linotype" w:eastAsia="Palatino Linotype" w:hAnsi="Palatino Linotype" w:cs="Palatino Linotype"/>
          <w:b/>
          <w:sz w:val="22"/>
          <w:szCs w:val="22"/>
        </w:rPr>
        <w:t>PRIMERO. De la competencia</w:t>
      </w:r>
    </w:p>
    <w:p w14:paraId="16C233D4"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34B15C0"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28E2709" w14:textId="77777777" w:rsidR="00AD2BB3" w:rsidRPr="006E2C6C" w:rsidRDefault="00352597" w:rsidP="00CA610A">
      <w:pPr>
        <w:keepNext/>
        <w:keepLines/>
        <w:spacing w:line="360" w:lineRule="auto"/>
        <w:rPr>
          <w:rFonts w:ascii="Palatino Linotype" w:eastAsia="Palatino Linotype" w:hAnsi="Palatino Linotype" w:cs="Palatino Linotype"/>
          <w:b/>
          <w:sz w:val="22"/>
          <w:szCs w:val="22"/>
        </w:rPr>
      </w:pPr>
      <w:bookmarkStart w:id="2" w:name="_heading=h.3znysh7" w:colFirst="0" w:colLast="0"/>
      <w:bookmarkEnd w:id="2"/>
      <w:r w:rsidRPr="006E2C6C">
        <w:rPr>
          <w:rFonts w:ascii="Palatino Linotype" w:eastAsia="Palatino Linotype" w:hAnsi="Palatino Linotype" w:cs="Palatino Linotype"/>
          <w:b/>
          <w:sz w:val="22"/>
          <w:szCs w:val="22"/>
        </w:rPr>
        <w:t>SEGUNDO. De la oportunidad y procedencia.</w:t>
      </w:r>
    </w:p>
    <w:p w14:paraId="027C7EA2"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El medio de impugnación fue presentado a través del </w:t>
      </w:r>
      <w:r w:rsidRPr="006E2C6C">
        <w:rPr>
          <w:rFonts w:ascii="Palatino Linotype" w:eastAsia="Palatino Linotype" w:hAnsi="Palatino Linotype" w:cs="Palatino Linotype"/>
          <w:b/>
          <w:color w:val="000000"/>
          <w:sz w:val="22"/>
          <w:szCs w:val="22"/>
        </w:rPr>
        <w:t>SAIMEX,</w:t>
      </w:r>
      <w:r w:rsidRPr="006E2C6C">
        <w:rPr>
          <w:rFonts w:ascii="Palatino Linotype" w:eastAsia="Palatino Linotype" w:hAnsi="Palatino Linotype" w:cs="Palatino Linotype"/>
          <w:color w:val="000000"/>
          <w:sz w:val="22"/>
          <w:szCs w:val="22"/>
        </w:rPr>
        <w:t xml:space="preserve"> en el formato previamente aprobado para tal efecto y dentro del plazo legal de quince días hábiles otorgados; siendo así que el </w:t>
      </w:r>
      <w:r w:rsidRPr="006E2C6C">
        <w:rPr>
          <w:rFonts w:ascii="Palatino Linotype" w:eastAsia="Palatino Linotype" w:hAnsi="Palatino Linotype" w:cs="Palatino Linotype"/>
          <w:b/>
          <w:color w:val="000000"/>
          <w:sz w:val="22"/>
          <w:szCs w:val="22"/>
        </w:rPr>
        <w:t>SUJETO OBLIGADO</w:t>
      </w:r>
      <w:r w:rsidRPr="006E2C6C">
        <w:rPr>
          <w:rFonts w:ascii="Palatino Linotype" w:eastAsia="Palatino Linotype" w:hAnsi="Palatino Linotype" w:cs="Palatino Linotype"/>
          <w:color w:val="000000"/>
          <w:sz w:val="22"/>
          <w:szCs w:val="22"/>
        </w:rPr>
        <w:t xml:space="preserve"> entregó respuesta a la solicitud el </w:t>
      </w:r>
      <w:r w:rsidRPr="006E2C6C">
        <w:rPr>
          <w:rFonts w:ascii="Palatino Linotype" w:eastAsia="Palatino Linotype" w:hAnsi="Palatino Linotype" w:cs="Palatino Linotype"/>
          <w:b/>
          <w:color w:val="000000"/>
          <w:sz w:val="22"/>
          <w:szCs w:val="22"/>
        </w:rPr>
        <w:t>veintidós de abril de dos mil veinticuatro</w:t>
      </w:r>
      <w:r w:rsidRPr="006E2C6C">
        <w:rPr>
          <w:rFonts w:ascii="Palatino Linotype" w:eastAsia="Palatino Linotype" w:hAnsi="Palatino Linotype" w:cs="Palatino Linotype"/>
          <w:color w:val="000000"/>
          <w:sz w:val="22"/>
          <w:szCs w:val="22"/>
        </w:rPr>
        <w:t xml:space="preserve">, de tal forma que el plazo para interponer el recurso de revisión transcurrió del </w:t>
      </w:r>
      <w:r w:rsidRPr="006E2C6C">
        <w:rPr>
          <w:rFonts w:ascii="Palatino Linotype" w:eastAsia="Palatino Linotype" w:hAnsi="Palatino Linotype" w:cs="Palatino Linotype"/>
          <w:b/>
          <w:color w:val="000000"/>
          <w:sz w:val="22"/>
          <w:szCs w:val="22"/>
        </w:rPr>
        <w:t>veintitrés de abril al quince de mayo de dos mil veinticuatro</w:t>
      </w:r>
      <w:r w:rsidRPr="006E2C6C">
        <w:rPr>
          <w:rFonts w:ascii="Palatino Linotype" w:eastAsia="Palatino Linotype" w:hAnsi="Palatino Linotype" w:cs="Palatino Linotype"/>
          <w:color w:val="000000"/>
          <w:sz w:val="22"/>
          <w:szCs w:val="22"/>
        </w:rPr>
        <w:t xml:space="preserve">; en consecuencia, presentó su inconformidad el día </w:t>
      </w:r>
      <w:r w:rsidRPr="006E2C6C">
        <w:rPr>
          <w:rFonts w:ascii="Palatino Linotype" w:eastAsia="Palatino Linotype" w:hAnsi="Palatino Linotype" w:cs="Palatino Linotype"/>
          <w:b/>
          <w:color w:val="000000"/>
          <w:sz w:val="22"/>
          <w:szCs w:val="22"/>
        </w:rPr>
        <w:t>veintidós de abril de dos mil veinticuatro</w:t>
      </w:r>
      <w:r w:rsidRPr="006E2C6C">
        <w:rPr>
          <w:rFonts w:ascii="Palatino Linotype" w:eastAsia="Palatino Linotype" w:hAnsi="Palatino Linotype" w:cs="Palatino Linotype"/>
          <w:color w:val="000000"/>
          <w:sz w:val="22"/>
          <w:szCs w:val="22"/>
        </w:rPr>
        <w:t xml:space="preserve">, por lo que se encuentra dentro de los márgenes temporales previstos en el artículo 178 de la </w:t>
      </w:r>
      <w:r w:rsidRPr="006E2C6C">
        <w:rPr>
          <w:rFonts w:ascii="Palatino Linotype" w:eastAsia="Palatino Linotype" w:hAnsi="Palatino Linotype" w:cs="Palatino Linotype"/>
          <w:b/>
          <w:color w:val="000000"/>
          <w:sz w:val="22"/>
          <w:szCs w:val="22"/>
        </w:rPr>
        <w:t xml:space="preserve">Ley de Transparencia y Acceso a la Información Pública del Estado de México y Municipios </w:t>
      </w:r>
      <w:r w:rsidRPr="006E2C6C">
        <w:rPr>
          <w:rFonts w:ascii="Palatino Linotype" w:eastAsia="Palatino Linotype" w:hAnsi="Palatino Linotype" w:cs="Palatino Linotype"/>
          <w:color w:val="000000"/>
          <w:sz w:val="22"/>
          <w:szCs w:val="22"/>
        </w:rPr>
        <w:t>vigente.</w:t>
      </w:r>
    </w:p>
    <w:p w14:paraId="7D12B1B6" w14:textId="77777777" w:rsidR="00AD2BB3" w:rsidRPr="006E2C6C" w:rsidRDefault="00352597" w:rsidP="00CA610A">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555555"/>
          <w:sz w:val="22"/>
          <w:szCs w:val="22"/>
        </w:rPr>
      </w:pPr>
      <w:r w:rsidRPr="006E2C6C">
        <w:rPr>
          <w:rFonts w:ascii="Palatino Linotype" w:eastAsia="Palatino Linotype" w:hAnsi="Palatino Linotype" w:cs="Palatino Linotype"/>
          <w:color w:val="000000"/>
          <w:sz w:val="22"/>
          <w:szCs w:val="22"/>
        </w:rPr>
        <w:lastRenderedPageBreak/>
        <w:t xml:space="preserve">Cuando el medio de impugnación, se haya interpuesto el mismo día en que se notificó la respuesta impugnada,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w:t>
      </w:r>
      <w:r w:rsidRPr="006E2C6C">
        <w:rPr>
          <w:rFonts w:ascii="Palatino Linotype" w:eastAsia="Palatino Linotype" w:hAnsi="Palatino Linotype" w:cs="Palatino Linotype"/>
          <w:sz w:val="22"/>
          <w:szCs w:val="22"/>
        </w:rPr>
        <w:t>ésta</w:t>
      </w:r>
      <w:r w:rsidRPr="006E2C6C">
        <w:rPr>
          <w:rFonts w:ascii="Palatino Linotype" w:eastAsia="Palatino Linotype" w:hAnsi="Palatino Linotype" w:cs="Palatino Linotype"/>
          <w:color w:val="000000"/>
          <w:sz w:val="22"/>
          <w:szCs w:val="22"/>
        </w:rPr>
        <w:t xml:space="preserve"> fue notificada. Por lo que es de señalar que en aras de privilegiar el derecho de acceso a la información se entra al estudio del presente recurso de revisión sin que la fecha en que se presentó afecte la resolución.</w:t>
      </w:r>
    </w:p>
    <w:p w14:paraId="5138A168" w14:textId="77777777" w:rsidR="00AD2BB3" w:rsidRPr="006E2C6C" w:rsidRDefault="00AD2BB3" w:rsidP="00CA610A">
      <w:pPr>
        <w:pBdr>
          <w:top w:val="nil"/>
          <w:left w:val="nil"/>
          <w:bottom w:val="nil"/>
          <w:right w:val="nil"/>
          <w:between w:val="nil"/>
        </w:pBdr>
        <w:rPr>
          <w:rFonts w:ascii="Palatino Linotype" w:eastAsia="Palatino Linotype" w:hAnsi="Palatino Linotype" w:cs="Palatino Linotype"/>
          <w:color w:val="000000"/>
          <w:sz w:val="22"/>
          <w:szCs w:val="22"/>
        </w:rPr>
      </w:pPr>
    </w:p>
    <w:p w14:paraId="04950128" w14:textId="77777777" w:rsidR="00AD2BB3" w:rsidRPr="006E2C6C" w:rsidRDefault="00352597" w:rsidP="00CA610A">
      <w:pPr>
        <w:numPr>
          <w:ilvl w:val="0"/>
          <w:numId w:val="2"/>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6359FDFF" w14:textId="77777777" w:rsidR="00AD2BB3" w:rsidRPr="006E2C6C" w:rsidRDefault="00352597" w:rsidP="00CA610A">
      <w:pPr>
        <w:spacing w:before="240" w:line="360" w:lineRule="auto"/>
        <w:ind w:left="851"/>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E720EC2" w14:textId="77777777" w:rsidR="00AD2BB3" w:rsidRPr="006E2C6C" w:rsidRDefault="00352597" w:rsidP="00CA610A">
      <w:pPr>
        <w:spacing w:line="360" w:lineRule="auto"/>
        <w:ind w:left="851"/>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 xml:space="preserve"> 1a./J. 41/2015 (10a.) </w:t>
      </w:r>
    </w:p>
    <w:p w14:paraId="48ACEA43" w14:textId="77777777" w:rsidR="00AD2BB3" w:rsidRPr="006E2C6C" w:rsidRDefault="00352597" w:rsidP="00CA610A">
      <w:pPr>
        <w:spacing w:line="360" w:lineRule="auto"/>
        <w:ind w:left="851"/>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 xml:space="preserve">Recurso de reclamación 953/2013. 9 de abril de 2014. Cinco votos de los Ministros Arturo Zaldívar Lelo de Larrea, José Ramón Cossío Díaz, Alfredo Gutiérrez Ortiz Mena, Olga </w:t>
      </w:r>
      <w:r w:rsidRPr="006E2C6C">
        <w:rPr>
          <w:rFonts w:ascii="Palatino Linotype" w:eastAsia="Palatino Linotype" w:hAnsi="Palatino Linotype" w:cs="Palatino Linotype"/>
          <w:i/>
          <w:sz w:val="22"/>
          <w:szCs w:val="22"/>
        </w:rPr>
        <w:lastRenderedPageBreak/>
        <w:t xml:space="preserve">Sánchez Cordero de García Villegas y Jorge Mario Pardo Rebolledo. Ponente: Arturo Zaldívar Lelo de Larrea. Secretaria: Carmina Cortés Rodríguez. </w:t>
      </w:r>
    </w:p>
    <w:p w14:paraId="2CA3F89D" w14:textId="77777777" w:rsidR="00AD2BB3" w:rsidRPr="006E2C6C" w:rsidRDefault="00AD2BB3" w:rsidP="00CA610A">
      <w:pPr>
        <w:spacing w:line="360" w:lineRule="auto"/>
        <w:ind w:left="851"/>
        <w:jc w:val="both"/>
        <w:rPr>
          <w:rFonts w:ascii="Palatino Linotype" w:eastAsia="Palatino Linotype" w:hAnsi="Palatino Linotype" w:cs="Palatino Linotype"/>
          <w:i/>
          <w:sz w:val="22"/>
          <w:szCs w:val="22"/>
        </w:rPr>
      </w:pPr>
    </w:p>
    <w:p w14:paraId="29856492" w14:textId="77777777" w:rsidR="00AD2BB3" w:rsidRPr="006E2C6C" w:rsidRDefault="00352597" w:rsidP="00CA610A">
      <w:pPr>
        <w:spacing w:line="360" w:lineRule="auto"/>
        <w:ind w:left="851"/>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 xml:space="preserve">Recurso de reclamación 1067/2014. Raúl Rodríguez Cervantes. 28 de enero de 2015. Cinco votos de los Ministros Arturo Zaldívar Lelo de Larrea, José Ramón Cossío Díaz, Jorge Mario Pardo Rebolledo, Olga Sánchez Cordero de García Villegas y Alfredo Gutiérrez Ortiz Mena. Ponente: Alfredo Gutiérrez Ortiz Mena. Secretaria: Cecilia Armengol Alonso. </w:t>
      </w:r>
    </w:p>
    <w:p w14:paraId="7D6FFE17" w14:textId="77777777" w:rsidR="00AD2BB3" w:rsidRPr="006E2C6C" w:rsidRDefault="00AD2BB3" w:rsidP="00CA610A">
      <w:pPr>
        <w:spacing w:line="360" w:lineRule="auto"/>
        <w:ind w:left="851"/>
        <w:jc w:val="both"/>
        <w:rPr>
          <w:rFonts w:ascii="Palatino Linotype" w:eastAsia="Palatino Linotype" w:hAnsi="Palatino Linotype" w:cs="Palatino Linotype"/>
          <w:i/>
          <w:sz w:val="22"/>
          <w:szCs w:val="22"/>
        </w:rPr>
      </w:pPr>
    </w:p>
    <w:p w14:paraId="4C73BC61" w14:textId="77777777" w:rsidR="00AD2BB3" w:rsidRPr="006E2C6C" w:rsidRDefault="00352597" w:rsidP="00CA610A">
      <w:pPr>
        <w:spacing w:line="360" w:lineRule="auto"/>
        <w:ind w:left="851"/>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 xml:space="preserve">Recurso de reclamación 895/2014. 18 de febrero de 2015. Cinco votos de los Ministros Arturo Zaldívar Lelo de Larrea, José Ramón Cossío Díaz, Jorge Mario Pardo Rebolledo, Olga Sánchez Cordero de García Villegas y Alfredo Gutiérrez Ortiz Mena. Ponente: José Ramón Cossío Díaz. Secretario: Rodrigo Montes de Oca Arboleya. </w:t>
      </w:r>
    </w:p>
    <w:p w14:paraId="0F0EB12E" w14:textId="77777777" w:rsidR="00AD2BB3" w:rsidRPr="006E2C6C" w:rsidRDefault="00AD2BB3" w:rsidP="00CA610A">
      <w:pPr>
        <w:spacing w:line="360" w:lineRule="auto"/>
        <w:ind w:left="851"/>
        <w:jc w:val="both"/>
        <w:rPr>
          <w:rFonts w:ascii="Palatino Linotype" w:eastAsia="Palatino Linotype" w:hAnsi="Palatino Linotype" w:cs="Palatino Linotype"/>
          <w:i/>
          <w:sz w:val="22"/>
          <w:szCs w:val="22"/>
        </w:rPr>
      </w:pPr>
    </w:p>
    <w:p w14:paraId="41AFE051" w14:textId="77777777" w:rsidR="00AD2BB3" w:rsidRPr="006E2C6C" w:rsidRDefault="00352597" w:rsidP="00CA610A">
      <w:pPr>
        <w:spacing w:line="360" w:lineRule="auto"/>
        <w:ind w:left="851"/>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 xml:space="preserve">Recurso de reclamación 1164/2014. Paula Abascal Valdez. 18 de febrero de 2015. Cinco votos de los Ministros Arturo Zaldívar Lelo de Larrea, José Ramón Cossío Díaz, Jorge Mario Pardo Rebolledo, Olga Sánchez Cordero de García Villegas y Alfredo Gutiérrez Ortiz Mena. Ponente: José Ramón Cossío Díaz. Secretaria: Lorena Goslinga Remírez. </w:t>
      </w:r>
    </w:p>
    <w:p w14:paraId="133D5C85" w14:textId="77777777" w:rsidR="00AD2BB3" w:rsidRPr="006E2C6C" w:rsidRDefault="00AD2BB3" w:rsidP="00CA610A">
      <w:pPr>
        <w:spacing w:line="360" w:lineRule="auto"/>
        <w:ind w:left="851"/>
        <w:jc w:val="both"/>
        <w:rPr>
          <w:rFonts w:ascii="Palatino Linotype" w:eastAsia="Palatino Linotype" w:hAnsi="Palatino Linotype" w:cs="Palatino Linotype"/>
          <w:i/>
          <w:sz w:val="22"/>
          <w:szCs w:val="22"/>
        </w:rPr>
      </w:pPr>
    </w:p>
    <w:p w14:paraId="34130CAB" w14:textId="77777777" w:rsidR="00AD2BB3" w:rsidRPr="006E2C6C" w:rsidRDefault="00352597" w:rsidP="00CA610A">
      <w:pPr>
        <w:spacing w:line="360" w:lineRule="auto"/>
        <w:ind w:left="851"/>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 xml:space="preserve">Recurso de reclamación 1231/2014. 18 de marzo de 2015. Cinco votos de los Ministros Arturo Zaldívar Lelo de Larrea, José Ramón Cossío Díaz, Jorge Mario Pardo Rebolledo, Olga Sánchez Cordero de García Villegas y Alfredo Gutiérrez Ortiz Mena. Ponente: Arturo Zaldívar Lelo de Larrea. Secretario: Saúl Armando Patiño Lara. </w:t>
      </w:r>
    </w:p>
    <w:p w14:paraId="59D9D85B" w14:textId="77777777" w:rsidR="00AD2BB3" w:rsidRPr="006E2C6C" w:rsidRDefault="00AD2BB3" w:rsidP="00CA610A">
      <w:pPr>
        <w:spacing w:line="360" w:lineRule="auto"/>
        <w:ind w:left="851"/>
        <w:jc w:val="both"/>
        <w:rPr>
          <w:rFonts w:ascii="Palatino Linotype" w:eastAsia="Palatino Linotype" w:hAnsi="Palatino Linotype" w:cs="Palatino Linotype"/>
          <w:i/>
          <w:sz w:val="22"/>
          <w:szCs w:val="22"/>
        </w:rPr>
      </w:pPr>
    </w:p>
    <w:p w14:paraId="154E0BE7" w14:textId="77777777" w:rsidR="00AD2BB3" w:rsidRPr="006E2C6C" w:rsidRDefault="00352597" w:rsidP="00CA610A">
      <w:pPr>
        <w:spacing w:after="240" w:line="360" w:lineRule="auto"/>
        <w:ind w:left="851"/>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t>Tesis de jurisprudencia 41/2015 (10a.). Aprobada por la Primera Sala de este Alto Tribunal, en sesión privada de veintisiete de mayo de dos mil quince.</w:t>
      </w:r>
    </w:p>
    <w:p w14:paraId="6E2B6585" w14:textId="77777777" w:rsidR="00AD2BB3" w:rsidRPr="006E2C6C" w:rsidRDefault="00352597" w:rsidP="00CA610A">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lastRenderedPageBreak/>
        <w:t>Esto es así porque en primer lugar es necesario que la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11E29FE6"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3E1CE258"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75240EC0" w14:textId="77777777" w:rsidR="00AD2BB3" w:rsidRPr="006E2C6C" w:rsidRDefault="00AD2BB3" w:rsidP="00CA610A">
      <w:pPr>
        <w:pBdr>
          <w:top w:val="nil"/>
          <w:left w:val="nil"/>
          <w:bottom w:val="nil"/>
          <w:right w:val="nil"/>
          <w:between w:val="nil"/>
        </w:pBdr>
        <w:rPr>
          <w:rFonts w:ascii="Palatino Linotype" w:eastAsia="Palatino Linotype" w:hAnsi="Palatino Linotype" w:cs="Palatino Linotype"/>
          <w:i/>
          <w:color w:val="000000"/>
          <w:sz w:val="22"/>
          <w:szCs w:val="22"/>
        </w:rPr>
      </w:pPr>
    </w:p>
    <w:p w14:paraId="0356D237"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Por lo tanto, la interposición del </w:t>
      </w:r>
      <w:r w:rsidRPr="006E2C6C">
        <w:rPr>
          <w:rFonts w:ascii="Palatino Linotype" w:eastAsia="Palatino Linotype" w:hAnsi="Palatino Linotype" w:cs="Palatino Linotype"/>
          <w:sz w:val="22"/>
          <w:szCs w:val="22"/>
        </w:rPr>
        <w:t>recurso</w:t>
      </w:r>
      <w:r w:rsidRPr="006E2C6C">
        <w:rPr>
          <w:rFonts w:ascii="Palatino Linotype" w:eastAsia="Palatino Linotype" w:hAnsi="Palatino Linotype" w:cs="Palatino Linotype"/>
          <w:color w:val="000000"/>
          <w:sz w:val="22"/>
          <w:szCs w:val="22"/>
        </w:rPr>
        <w:t xml:space="preserve"> de revisión antes de que inicie el plazo para su presentación no es determinante para declararlo extemporáneo, siempre y cuando ello ocurra de manera posterior a que se ha notificado la respuesta del </w:t>
      </w:r>
      <w:r w:rsidRPr="006E2C6C">
        <w:rPr>
          <w:rFonts w:ascii="Palatino Linotype" w:eastAsia="Palatino Linotype" w:hAnsi="Palatino Linotype" w:cs="Palatino Linotype"/>
          <w:b/>
          <w:color w:val="000000"/>
          <w:sz w:val="22"/>
          <w:szCs w:val="22"/>
        </w:rPr>
        <w:t>SUJETO OBLIGADO</w:t>
      </w:r>
      <w:r w:rsidRPr="006E2C6C">
        <w:rPr>
          <w:rFonts w:ascii="Palatino Linotype" w:eastAsia="Palatino Linotype" w:hAnsi="Palatino Linotype" w:cs="Palatino Linotype"/>
          <w:color w:val="000000"/>
          <w:sz w:val="22"/>
          <w:szCs w:val="22"/>
        </w:rPr>
        <w:t>.</w:t>
      </w:r>
    </w:p>
    <w:p w14:paraId="34CB4233" w14:textId="77777777" w:rsidR="00AD2BB3" w:rsidRPr="006E2C6C" w:rsidRDefault="00AD2BB3" w:rsidP="00CA610A">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4B77D89"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E57D6E6"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ADBFF35" w14:textId="77777777" w:rsidR="00AD2BB3" w:rsidRPr="006E2C6C" w:rsidRDefault="00352597" w:rsidP="00CA610A">
      <w:pPr>
        <w:spacing w:line="360" w:lineRule="auto"/>
        <w:jc w:val="both"/>
        <w:rPr>
          <w:rFonts w:ascii="Palatino Linotype" w:eastAsia="Palatino Linotype" w:hAnsi="Palatino Linotype" w:cs="Palatino Linotype"/>
          <w:b/>
          <w:sz w:val="22"/>
          <w:szCs w:val="22"/>
        </w:rPr>
      </w:pPr>
      <w:bookmarkStart w:id="3" w:name="_heading=h.2et92p0" w:colFirst="0" w:colLast="0"/>
      <w:bookmarkEnd w:id="3"/>
      <w:r w:rsidRPr="006E2C6C">
        <w:rPr>
          <w:rFonts w:ascii="Palatino Linotype" w:eastAsia="Palatino Linotype" w:hAnsi="Palatino Linotype" w:cs="Palatino Linotype"/>
          <w:b/>
          <w:sz w:val="22"/>
          <w:szCs w:val="22"/>
        </w:rPr>
        <w:t>TERCERO. Planteamiento de la Litis.</w:t>
      </w:r>
    </w:p>
    <w:p w14:paraId="74DA834B"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El particular solicitó:</w:t>
      </w:r>
    </w:p>
    <w:p w14:paraId="7DEBDBCA"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1. El Convenio de cesión de derechos de cobro del crédito 2314 “Fraccionamiento Lomas del Parque” suscrito por la Directora General del FONHAPO, y la Presidente Municipal de Tultitlán;</w:t>
      </w:r>
    </w:p>
    <w:p w14:paraId="5C5BC4D9"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lastRenderedPageBreak/>
        <w:t>2. Documentación y forma de pago realizado por la tesorería municipal a FONHAPO en relación al convenio;</w:t>
      </w:r>
    </w:p>
    <w:p w14:paraId="479BAB66"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 xml:space="preserve">3. Acta de cabildo mediante la cual fue aprobada la celebración del convenio; </w:t>
      </w:r>
    </w:p>
    <w:p w14:paraId="3A0B377B"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4. Documentación del origen de los recursos públicos con los cuales fue pagado el convenio;</w:t>
      </w:r>
    </w:p>
    <w:p w14:paraId="5B5C31D7"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5. Documentación de los ajustes realizados por la tesorería municipal para cubrir el pago del convenio;</w:t>
      </w:r>
    </w:p>
    <w:p w14:paraId="7AF0DBDF"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6. Documentación de todos y cada uno de los gastos públicos derivados de la celebración del convenio; y,</w:t>
      </w:r>
    </w:p>
    <w:p w14:paraId="052FE0E4"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 xml:space="preserve">7. La escritura pública derivada del convenio de cesión de derechos de cobro del crédito 2314 “Fraccionamiento Lomas del Parque”. </w:t>
      </w:r>
    </w:p>
    <w:p w14:paraId="18D34D71"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7D4EADE1"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En respuesta, el Sujeto Obligado adjuntó información referente a una solicitud de información diversa en la que reservó la información. Posteriormente, el particular se conformó, de forma medular, por la clasificación de la información. </w:t>
      </w:r>
    </w:p>
    <w:p w14:paraId="4E719C08"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777BAC27"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En consecuencia, la Litis a resolver en este recurso, se circunscribe a determinar si la respuesta colma con lo solicitado o si se actualizan las causales de procedencia previstas en el artículo 179, fracción II de la Ley de Transparencia y Acceso a la Información Pública del Estado de México y Municipios; que establece la clasificación de la información.</w:t>
      </w:r>
    </w:p>
    <w:p w14:paraId="5E885EC9"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30A9205C" w14:textId="77777777" w:rsidR="00AD2BB3" w:rsidRPr="006E2C6C" w:rsidRDefault="00352597" w:rsidP="00CA610A">
      <w:pPr>
        <w:keepNext/>
        <w:keepLines/>
        <w:spacing w:line="360" w:lineRule="auto"/>
        <w:rPr>
          <w:rFonts w:ascii="Palatino Linotype" w:eastAsia="Palatino Linotype" w:hAnsi="Palatino Linotype" w:cs="Palatino Linotype"/>
          <w:b/>
          <w:sz w:val="22"/>
          <w:szCs w:val="22"/>
        </w:rPr>
      </w:pPr>
      <w:bookmarkStart w:id="4" w:name="_heading=h.tyjcwt" w:colFirst="0" w:colLast="0"/>
      <w:bookmarkEnd w:id="4"/>
      <w:r w:rsidRPr="006E2C6C">
        <w:rPr>
          <w:rFonts w:ascii="Palatino Linotype" w:eastAsia="Palatino Linotype" w:hAnsi="Palatino Linotype" w:cs="Palatino Linotype"/>
          <w:b/>
          <w:sz w:val="22"/>
          <w:szCs w:val="22"/>
        </w:rPr>
        <w:t>CUARTO. Del estudio y resolución del recurso de revisión.</w:t>
      </w:r>
    </w:p>
    <w:p w14:paraId="634B2D01" w14:textId="77777777" w:rsidR="00AD2BB3" w:rsidRPr="006E2C6C" w:rsidRDefault="00352597" w:rsidP="00CA610A">
      <w:pPr>
        <w:pStyle w:val="Ttulo1"/>
        <w:spacing w:before="0" w:line="360" w:lineRule="auto"/>
        <w:rPr>
          <w:rFonts w:ascii="Palatino Linotype" w:eastAsia="Palatino Linotype" w:hAnsi="Palatino Linotype" w:cs="Palatino Linotype"/>
          <w:b/>
          <w:color w:val="000000"/>
          <w:sz w:val="22"/>
          <w:szCs w:val="22"/>
        </w:rPr>
      </w:pPr>
      <w:bookmarkStart w:id="5" w:name="_heading=h.3dy6vkm" w:colFirst="0" w:colLast="0"/>
      <w:bookmarkEnd w:id="5"/>
      <w:r w:rsidRPr="006E2C6C">
        <w:rPr>
          <w:rFonts w:ascii="Palatino Linotype" w:eastAsia="Palatino Linotype" w:hAnsi="Palatino Linotype" w:cs="Palatino Linotype"/>
          <w:b/>
          <w:color w:val="000000"/>
          <w:sz w:val="22"/>
          <w:szCs w:val="22"/>
        </w:rPr>
        <w:t>De la información solicitada y la respuesta del Sujeto Obligado.</w:t>
      </w:r>
    </w:p>
    <w:p w14:paraId="560A796C"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Se procede analizar el contenido íntegro de las actuaciones que obran en el expediente electrónico, y así este Órgano Garante dicte la resolución correspondiente, apegándose en todo </w:t>
      </w:r>
      <w:r w:rsidRPr="006E2C6C">
        <w:rPr>
          <w:rFonts w:ascii="Palatino Linotype" w:eastAsia="Palatino Linotype" w:hAnsi="Palatino Linotype" w:cs="Palatino Linotype"/>
          <w:sz w:val="22"/>
          <w:szCs w:val="22"/>
        </w:rPr>
        <w:lastRenderedPageBreak/>
        <w:t>momento al principio de máxima publicidad de acuerdo con lo establecido en el artículo 8 de la Ley de Transparencia y Acceso a la Información Pública del Estado de México y Municipios.</w:t>
      </w:r>
    </w:p>
    <w:p w14:paraId="6AE0F9F3"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53E1D7B0"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sz w:val="22"/>
          <w:szCs w:val="22"/>
        </w:rPr>
      </w:pPr>
      <w:bookmarkStart w:id="6" w:name="_heading=h.1t3h5sf" w:colFirst="0" w:colLast="0"/>
      <w:bookmarkEnd w:id="6"/>
      <w:r w:rsidRPr="006E2C6C">
        <w:rPr>
          <w:rFonts w:ascii="Palatino Linotype" w:eastAsia="Palatino Linotype" w:hAnsi="Palatino Linotype" w:cs="Palatino Linotype"/>
          <w:sz w:val="22"/>
          <w:szCs w:val="22"/>
        </w:rPr>
        <w:t>En este caso, el particular solicitó:</w:t>
      </w:r>
    </w:p>
    <w:p w14:paraId="1A1C50E2"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1. El Convenio de cesión de derechos de cobro del crédito 2314 “Fraccionamiento Lomas del Parque” suscrito por la Directora General del FONHAPO, y la Presidente Municipal de Tultitlán;</w:t>
      </w:r>
    </w:p>
    <w:p w14:paraId="4B57AEB0"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2. Documentación y forma de pago realizado por la tesorería municipal a FONHAPO en relación al convenio;</w:t>
      </w:r>
    </w:p>
    <w:p w14:paraId="7DD585CD"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 xml:space="preserve">3. Acta de cabildo mediante la cual fue aprobada la celebración del convenio; </w:t>
      </w:r>
    </w:p>
    <w:p w14:paraId="037B10F2"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4. Documentación del origen de los recursos públicos con los cuales fue pagado el convenio;</w:t>
      </w:r>
    </w:p>
    <w:p w14:paraId="2345D6FA"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5. Documentación de los ajustes realizados por la tesorería municipal para cubrir el pago del convenio;</w:t>
      </w:r>
    </w:p>
    <w:p w14:paraId="4954FE1A"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6. Documentación de todos y cada uno de los gastos públicos derivados de la celebración del convenio; y,</w:t>
      </w:r>
    </w:p>
    <w:p w14:paraId="5CA4F7A5"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 xml:space="preserve">7. La escritura pública derivada del convenio de cesión de derechos de cobro del crédito 2314 “Fraccionamiento Lomas del Parque”. </w:t>
      </w:r>
    </w:p>
    <w:p w14:paraId="3FBD6ABB"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0B45016" w14:textId="77777777" w:rsidR="00AD2BB3" w:rsidRPr="006E2C6C" w:rsidRDefault="00352597" w:rsidP="00CA610A">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En respuesta, el Sujeto Obligado señaló a través de un Acuerdo emitido por el Comité de Transparencia, la inexistencia del punto 1, 2, 4 y 5, y la reserva del punto 3, señalados en el párrafo anterior. Posteriormente, el particular se </w:t>
      </w:r>
      <w:r w:rsidRPr="006E2C6C">
        <w:rPr>
          <w:rFonts w:ascii="Palatino Linotype" w:eastAsia="Palatino Linotype" w:hAnsi="Palatino Linotype" w:cs="Palatino Linotype"/>
          <w:sz w:val="22"/>
          <w:szCs w:val="22"/>
        </w:rPr>
        <w:t>conformó</w:t>
      </w:r>
      <w:r w:rsidRPr="006E2C6C">
        <w:rPr>
          <w:rFonts w:ascii="Palatino Linotype" w:eastAsia="Palatino Linotype" w:hAnsi="Palatino Linotype" w:cs="Palatino Linotype"/>
          <w:color w:val="000000"/>
          <w:sz w:val="22"/>
          <w:szCs w:val="22"/>
        </w:rPr>
        <w:t>, de forma medular, por la reserva de la información.</w:t>
      </w:r>
    </w:p>
    <w:p w14:paraId="00715920" w14:textId="77777777" w:rsidR="00AD2BB3" w:rsidRPr="006E2C6C" w:rsidRDefault="00352597" w:rsidP="00CA610A">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Ahora bien, la inconformidad del RECURRENTE radica en la reserva de la información; en este caso, la parte de la respuesta que no fue impugnada debe declararse </w:t>
      </w:r>
      <w:r w:rsidRPr="006E2C6C">
        <w:rPr>
          <w:rFonts w:ascii="Palatino Linotype" w:eastAsia="Palatino Linotype" w:hAnsi="Palatino Linotype" w:cs="Palatino Linotype"/>
          <w:color w:val="000000"/>
          <w:sz w:val="22"/>
          <w:szCs w:val="22"/>
        </w:rPr>
        <w:lastRenderedPageBreak/>
        <w:t xml:space="preserve">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1774E124"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9EDE49D"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Sirve de sustento, la tesis jurisprudencial número VI.3o.C. J/60, publicada en el Semanario Judicial de la Federación y su Gaceta bajo el número de registro 176,608 que a la letra dice:</w:t>
      </w:r>
    </w:p>
    <w:p w14:paraId="36684BC4" w14:textId="77777777" w:rsidR="00AD2BB3" w:rsidRPr="006E2C6C" w:rsidRDefault="00352597" w:rsidP="00CA610A">
      <w:pPr>
        <w:pBdr>
          <w:top w:val="nil"/>
          <w:left w:val="nil"/>
          <w:bottom w:val="nil"/>
          <w:right w:val="nil"/>
          <w:between w:val="nil"/>
        </w:pBdr>
        <w:spacing w:line="360" w:lineRule="auto"/>
        <w:ind w:left="851"/>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A2F6FA6" w14:textId="77777777" w:rsidR="00AD2BB3" w:rsidRPr="006E2C6C" w:rsidRDefault="00AD2BB3" w:rsidP="00CA610A">
      <w:pPr>
        <w:pBdr>
          <w:top w:val="nil"/>
          <w:left w:val="nil"/>
          <w:bottom w:val="nil"/>
          <w:right w:val="nil"/>
          <w:between w:val="nil"/>
        </w:pBdr>
        <w:spacing w:line="360" w:lineRule="auto"/>
        <w:ind w:left="851"/>
        <w:jc w:val="both"/>
        <w:rPr>
          <w:rFonts w:ascii="Palatino Linotype" w:eastAsia="Palatino Linotype" w:hAnsi="Palatino Linotype" w:cs="Palatino Linotype"/>
          <w:i/>
          <w:color w:val="000000"/>
          <w:sz w:val="22"/>
          <w:szCs w:val="22"/>
        </w:rPr>
      </w:pPr>
    </w:p>
    <w:p w14:paraId="68DB1E26"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392098C2"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291151B"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Atento a ello, es importante traer a contexto la Tesis Jurisprudencial Número 3ª./J.7/91, Publicada en el Semanario Judicial de la Federación y su Gaceta bajo el número de registro 174,177, que establece lo siguiente:</w:t>
      </w:r>
    </w:p>
    <w:p w14:paraId="02E3835B" w14:textId="77777777" w:rsidR="00AD2BB3" w:rsidRPr="006E2C6C" w:rsidRDefault="00352597" w:rsidP="00CA610A">
      <w:pPr>
        <w:pBdr>
          <w:top w:val="nil"/>
          <w:left w:val="nil"/>
          <w:bottom w:val="nil"/>
          <w:right w:val="nil"/>
          <w:between w:val="nil"/>
        </w:pBdr>
        <w:spacing w:after="240" w:line="360" w:lineRule="auto"/>
        <w:ind w:left="851"/>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 xml:space="preserve">“REVISIÓN EN AMPARO. LOS RESOLUTIVOS NO COMBATIDOS DEBEN DECLARARSE FIRMES. Cuando algún resolutivo de la sentencia impugnada afecta a la recurrente, y ésta no expresa agravio en contra de las consideraciones que le sirven de base, </w:t>
      </w:r>
      <w:r w:rsidRPr="006E2C6C">
        <w:rPr>
          <w:rFonts w:ascii="Palatino Linotype" w:eastAsia="Palatino Linotype" w:hAnsi="Palatino Linotype" w:cs="Palatino Linotype"/>
          <w:i/>
          <w:color w:val="000000"/>
          <w:sz w:val="22"/>
          <w:szCs w:val="22"/>
        </w:rPr>
        <w:lastRenderedPageBreak/>
        <w:t>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D32E5AA"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54A1A006"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1ECF7A49" w14:textId="586BBCB7" w:rsidR="00382D2C" w:rsidRPr="006E2C6C" w:rsidRDefault="00216BE0" w:rsidP="008B4F13">
      <w:pPr>
        <w:numPr>
          <w:ilvl w:val="0"/>
          <w:numId w:val="2"/>
        </w:numPr>
        <w:spacing w:line="360" w:lineRule="auto"/>
        <w:ind w:left="0" w:firstLine="0"/>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Por lo tanto</w:t>
      </w:r>
      <w:r w:rsidR="00352597" w:rsidRPr="006E2C6C">
        <w:rPr>
          <w:rFonts w:ascii="Palatino Linotype" w:eastAsia="Palatino Linotype" w:hAnsi="Palatino Linotype" w:cs="Palatino Linotype"/>
          <w:sz w:val="22"/>
          <w:szCs w:val="22"/>
        </w:rPr>
        <w:t>, se hará pronunciamiento, únicamente por la información reservada, es decir, por el Acta de Cabildo mediante la cual fue aprobada la celebración del convenio</w:t>
      </w:r>
      <w:r w:rsidR="008B4F13" w:rsidRPr="006E2C6C">
        <w:rPr>
          <w:rFonts w:ascii="Palatino Linotype" w:eastAsia="Palatino Linotype" w:hAnsi="Palatino Linotype" w:cs="Palatino Linotype"/>
          <w:sz w:val="22"/>
          <w:szCs w:val="22"/>
        </w:rPr>
        <w:t xml:space="preserve">, el Sujeto Obligado remite el acta de la </w:t>
      </w:r>
      <w:r w:rsidR="004B5BD5" w:rsidRPr="006E2C6C">
        <w:rPr>
          <w:rFonts w:ascii="Palatino Linotype" w:eastAsia="Palatino Linotype" w:hAnsi="Palatino Linotype" w:cs="Palatino Linotype"/>
          <w:sz w:val="22"/>
          <w:szCs w:val="22"/>
        </w:rPr>
        <w:t>Tercera Sesión Extraordinaria 2023 del Comité de Transparencia del Ayuntamiento Constitucional de Tultitlán.</w:t>
      </w:r>
    </w:p>
    <w:p w14:paraId="230722D8" w14:textId="77777777" w:rsidR="004B5BD5" w:rsidRPr="006E2C6C" w:rsidRDefault="004B5BD5" w:rsidP="004B5BD5">
      <w:pPr>
        <w:pStyle w:val="Prrafodelista"/>
        <w:rPr>
          <w:rFonts w:ascii="Palatino Linotype" w:eastAsia="Palatino Linotype" w:hAnsi="Palatino Linotype" w:cs="Palatino Linotype"/>
          <w:sz w:val="22"/>
          <w:szCs w:val="22"/>
        </w:rPr>
      </w:pPr>
    </w:p>
    <w:p w14:paraId="7D414A6C" w14:textId="05AB2D5B" w:rsidR="000360FC" w:rsidRPr="006E2C6C" w:rsidRDefault="00382D2C" w:rsidP="0045767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En ese sentido, recordemos que el Sujeto Obligado </w:t>
      </w:r>
      <w:r w:rsidR="000360FC" w:rsidRPr="006E2C6C">
        <w:rPr>
          <w:rFonts w:ascii="Palatino Linotype" w:eastAsia="Palatino Linotype" w:hAnsi="Palatino Linotype" w:cs="Palatino Linotype"/>
          <w:sz w:val="22"/>
          <w:szCs w:val="22"/>
        </w:rPr>
        <w:t xml:space="preserve">refiriere que  tras realizar los procedimientos administrativos de tumo a las dependencias competentes para dar respuesta, se determina: la INEXISTENCIA DE LOS PUNTOS 1,2, 4 Y 5 y  LA CLASIFICACIÓN DE LA INFORMACIÓN DEL PUNTO 3 A SOLICITUD DE LA SECRETARIA DEL ATUNTAMIENTO. Indica que se realizó el procedimiento de búsqueda exhaustiva en las dreas cuya competencia y que </w:t>
      </w:r>
      <w:r w:rsidR="004B5BD5" w:rsidRPr="006E2C6C">
        <w:rPr>
          <w:rFonts w:ascii="Palatino Linotype" w:eastAsia="Palatino Linotype" w:hAnsi="Palatino Linotype" w:cs="Palatino Linotype"/>
          <w:sz w:val="22"/>
          <w:szCs w:val="22"/>
        </w:rPr>
        <w:t>al determinarse la in</w:t>
      </w:r>
      <w:r w:rsidR="000360FC" w:rsidRPr="006E2C6C">
        <w:rPr>
          <w:rFonts w:ascii="Palatino Linotype" w:eastAsia="Palatino Linotype" w:hAnsi="Palatino Linotype" w:cs="Palatino Linotype"/>
          <w:sz w:val="22"/>
          <w:szCs w:val="22"/>
        </w:rPr>
        <w:t xml:space="preserve">existencia de información se avala con un documento oficial dicho estatus, para este caso se detecta que la información relacionada a los fallos tiene información de carácter sensible, </w:t>
      </w:r>
      <w:r w:rsidR="0045767D" w:rsidRPr="006E2C6C">
        <w:rPr>
          <w:rFonts w:ascii="Palatino Linotype" w:eastAsia="Palatino Linotype" w:hAnsi="Palatino Linotype" w:cs="Palatino Linotype"/>
          <w:sz w:val="22"/>
          <w:szCs w:val="22"/>
        </w:rPr>
        <w:t>por lo que remite el ACUERDO DE CI.ASIFICACION, sobre información de carácter sensible sobre el Punto de Acuerdo NUMERO IV de Acta de la Décimo Quinta Sesión Extraordinaria de cabildo con fecha 01 de septiembre del año 2023</w:t>
      </w:r>
      <w:r w:rsidR="004B5BD5" w:rsidRPr="006E2C6C">
        <w:rPr>
          <w:rFonts w:ascii="Palatino Linotype" w:eastAsia="Palatino Linotype" w:hAnsi="Palatino Linotype" w:cs="Palatino Linotype"/>
          <w:sz w:val="22"/>
          <w:szCs w:val="22"/>
        </w:rPr>
        <w:t xml:space="preserve">, ello por encontrarse en los supuestos que establecen los </w:t>
      </w:r>
      <w:r w:rsidR="004B5BD5" w:rsidRPr="006E2C6C">
        <w:rPr>
          <w:rFonts w:ascii="Palatino Linotype" w:eastAsia="Palatino Linotype" w:hAnsi="Palatino Linotype" w:cs="Palatino Linotype"/>
          <w:sz w:val="22"/>
          <w:szCs w:val="22"/>
        </w:rPr>
        <w:lastRenderedPageBreak/>
        <w:t>ordenamientos legales citados en párrafos anteriores, al encontrarse relacionada directa e íntimamente con más de cien juicios que se encuentran subjudice (es decir no han quedado firmes), entre ellos, más de 120 juicios de amparo, más de 15 juicios administrativos, alrededor de 07 carpetas de investigación y aproximadamente 12 procedimientos administrativos. Razón por la cual y para no obstruir, ni obstaculizar la justicia, evitar la comisión de delitos y coadyuvar en el ejercicio de las autoridades investigadoras, no es posible atender favorable su petición.</w:t>
      </w:r>
    </w:p>
    <w:p w14:paraId="2F9EE198" w14:textId="77777777" w:rsidR="000360FC" w:rsidRPr="006E2C6C" w:rsidRDefault="000360FC" w:rsidP="000360F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25800B0" w14:textId="6C1E390B" w:rsidR="00AD2BB3" w:rsidRPr="006E2C6C" w:rsidRDefault="00352597" w:rsidP="00CA610A">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Por </w:t>
      </w:r>
      <w:r w:rsidR="004B5BD5" w:rsidRPr="006E2C6C">
        <w:rPr>
          <w:rFonts w:ascii="Palatino Linotype" w:eastAsia="Palatino Linotype" w:hAnsi="Palatino Linotype" w:cs="Palatino Linotype"/>
          <w:color w:val="000000"/>
          <w:sz w:val="22"/>
          <w:szCs w:val="22"/>
        </w:rPr>
        <w:t>lo que</w:t>
      </w:r>
      <w:r w:rsidRPr="006E2C6C">
        <w:rPr>
          <w:rFonts w:ascii="Palatino Linotype" w:eastAsia="Palatino Linotype" w:hAnsi="Palatino Linotype" w:cs="Palatino Linotype"/>
          <w:color w:val="000000"/>
          <w:sz w:val="22"/>
          <w:szCs w:val="22"/>
        </w:rPr>
        <w:t>, debemos precisar que la información reservada se encuentra en poder del Sujeto Obligado, l</w:t>
      </w:r>
      <w:r w:rsidRPr="006E2C6C">
        <w:rPr>
          <w:rFonts w:ascii="Palatino Linotype" w:eastAsia="Palatino Linotype" w:hAnsi="Palatino Linotype" w:cs="Palatino Linotype"/>
          <w:sz w:val="22"/>
          <w:szCs w:val="22"/>
        </w:rPr>
        <w:t>o anterior se afirma así, ya que ante una clasificación de la información, no puede coexistir a su vez una inexistencia de la misma, en virtud de que la inexistencia significa necesariamente que la información solicitada no se encuentra en los archivos del Sujeto Obligado, en atención a que no la genera, administra y/o posee como consecuencia del ejercicio de sus atribuciones, que habiendo tenidos que generarla no lo hizo o que no tuvo una existencia previa pero por razones diversas actualmente ya no existe en sus archivos, y la clasificación de manera contraria implica que la información se ubica en los archivos del Sujeto Obligado, tan es así que le otorga el carácter de confidencial o reservada.</w:t>
      </w:r>
    </w:p>
    <w:p w14:paraId="451F3FFF" w14:textId="77777777" w:rsidR="00AD2BB3" w:rsidRPr="006E2C6C" w:rsidRDefault="00AD2BB3" w:rsidP="00CA610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5AE6EE3B" w14:textId="77777777" w:rsidR="00AD2BB3" w:rsidRPr="006E2C6C" w:rsidRDefault="00352597" w:rsidP="00CA610A">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sz w:val="22"/>
          <w:szCs w:val="22"/>
        </w:rPr>
        <w:t>En otras palabras, la clasificación y la inexistencia se excluyen entre sí, por tanto, si en el presente caso, el Sujeto Obligado negó la entrega de la información, está reconociendo implícitamente que los mismos obran en sus archivos. Tiene aplicación al respecto, el criterio 29/10 sostenido por el Instituto Nacional de Transparencia, Acceso a la Información y Protección de Datos Personales, mismo que se señala lo siguiente:</w:t>
      </w:r>
    </w:p>
    <w:p w14:paraId="684E2A0B" w14:textId="77777777" w:rsidR="00AD2BB3" w:rsidRPr="006E2C6C" w:rsidRDefault="00352597" w:rsidP="00CA610A">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b/>
          <w:i/>
          <w:color w:val="000000"/>
          <w:sz w:val="22"/>
          <w:szCs w:val="22"/>
        </w:rPr>
        <w:t xml:space="preserve">La clasificación y la inexistencia de información son conceptos que no pueden coexistir. </w:t>
      </w:r>
      <w:r w:rsidRPr="006E2C6C">
        <w:rPr>
          <w:rFonts w:ascii="Palatino Linotype" w:eastAsia="Palatino Linotype" w:hAnsi="Palatino Linotype" w:cs="Palatino Linotype"/>
          <w:i/>
          <w:color w:val="000000"/>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w:t>
      </w:r>
      <w:r w:rsidRPr="006E2C6C">
        <w:rPr>
          <w:rFonts w:ascii="Palatino Linotype" w:eastAsia="Palatino Linotype" w:hAnsi="Palatino Linotype" w:cs="Palatino Linotype"/>
          <w:i/>
          <w:color w:val="000000"/>
          <w:sz w:val="22"/>
          <w:szCs w:val="22"/>
        </w:rPr>
        <w:lastRenderedPageBreak/>
        <w:t>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19AFD552" w14:textId="77777777" w:rsidR="00AD2BB3" w:rsidRPr="006E2C6C" w:rsidRDefault="00AD2BB3" w:rsidP="00CA610A">
      <w:pPr>
        <w:pBdr>
          <w:top w:val="nil"/>
          <w:left w:val="nil"/>
          <w:bottom w:val="nil"/>
          <w:right w:val="nil"/>
          <w:between w:val="nil"/>
        </w:pBdr>
        <w:spacing w:line="276" w:lineRule="auto"/>
        <w:ind w:left="851"/>
        <w:jc w:val="both"/>
        <w:rPr>
          <w:rFonts w:ascii="Palatino Linotype" w:eastAsia="Palatino Linotype" w:hAnsi="Palatino Linotype" w:cs="Palatino Linotype"/>
          <w:i/>
          <w:color w:val="000000"/>
          <w:sz w:val="22"/>
          <w:szCs w:val="22"/>
        </w:rPr>
      </w:pPr>
    </w:p>
    <w:p w14:paraId="09975ECB" w14:textId="77777777" w:rsidR="00AD2BB3" w:rsidRPr="006E2C6C" w:rsidRDefault="00352597" w:rsidP="00CA610A">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sz w:val="22"/>
          <w:szCs w:val="22"/>
        </w:rPr>
        <w:t>Ahora bien, una vez dicha la pretensión del Sujeto Obligado para clasificar la información requerida porque, a su dicho actualiza causal de reserva, es necesario referir lo siguiente.</w:t>
      </w:r>
    </w:p>
    <w:p w14:paraId="0F1C4779" w14:textId="77777777" w:rsidR="00AD2BB3" w:rsidRPr="006E2C6C" w:rsidRDefault="00AD2BB3" w:rsidP="00CA610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4AEEA980" w14:textId="77777777" w:rsidR="00AD2BB3" w:rsidRPr="006E2C6C" w:rsidRDefault="00352597" w:rsidP="00CA610A">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Los artículos 140 y 113 de la Ley Estatal y de la Ley General, respectivamente, señalan los supuestos para que una información pueda considerarse como reservada, que son los siguientes:</w:t>
      </w:r>
    </w:p>
    <w:p w14:paraId="40E96459" w14:textId="77777777" w:rsidR="00AD2BB3" w:rsidRPr="006E2C6C" w:rsidRDefault="00AD2BB3" w:rsidP="00CA610A">
      <w:pPr>
        <w:spacing w:line="360" w:lineRule="auto"/>
        <w:jc w:val="both"/>
        <w:rPr>
          <w:rFonts w:ascii="Palatino Linotype" w:eastAsia="Palatino Linotype" w:hAnsi="Palatino Linotype" w:cs="Palatino Linotype"/>
          <w:color w:val="000000"/>
          <w:sz w:val="22"/>
          <w:szCs w:val="22"/>
        </w:rPr>
      </w:pPr>
    </w:p>
    <w:tbl>
      <w:tblPr>
        <w:tblStyle w:val="a1"/>
        <w:tblW w:w="975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65"/>
        <w:gridCol w:w="4485"/>
      </w:tblGrid>
      <w:tr w:rsidR="00AD2BB3" w:rsidRPr="006E2C6C" w14:paraId="1F17BDF8" w14:textId="77777777" w:rsidTr="00AD2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54BB83CC" w14:textId="77777777" w:rsidR="00AD2BB3" w:rsidRPr="006E2C6C" w:rsidRDefault="00352597" w:rsidP="00CA610A">
            <w:pPr>
              <w:spacing w:line="276" w:lineRule="auto"/>
              <w:jc w:val="center"/>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LEY ESTATAL</w:t>
            </w:r>
          </w:p>
        </w:tc>
        <w:tc>
          <w:tcPr>
            <w:tcW w:w="4485" w:type="dxa"/>
          </w:tcPr>
          <w:p w14:paraId="38BBFE4E" w14:textId="77777777" w:rsidR="00AD2BB3" w:rsidRPr="006E2C6C" w:rsidRDefault="00352597" w:rsidP="00CA610A">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LEY GENERAL</w:t>
            </w:r>
          </w:p>
        </w:tc>
      </w:tr>
      <w:tr w:rsidR="00AD2BB3" w:rsidRPr="006E2C6C" w14:paraId="2100AF84" w14:textId="77777777" w:rsidTr="00AD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6CDF9F71"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 Comprometa la seguridad pública y cuente con un propósito genuino y un efecto demostrable;</w:t>
            </w:r>
          </w:p>
          <w:p w14:paraId="59F4B5C6" w14:textId="77777777" w:rsidR="00AD2BB3" w:rsidRPr="006E2C6C" w:rsidRDefault="00AD2BB3" w:rsidP="00CA610A">
            <w:pPr>
              <w:spacing w:line="276" w:lineRule="auto"/>
              <w:jc w:val="both"/>
              <w:rPr>
                <w:rFonts w:ascii="Palatino Linotype" w:eastAsia="Palatino Linotype" w:hAnsi="Palatino Linotype" w:cs="Palatino Linotype"/>
                <w:color w:val="000000"/>
                <w:sz w:val="22"/>
                <w:szCs w:val="22"/>
              </w:rPr>
            </w:pPr>
          </w:p>
        </w:tc>
        <w:tc>
          <w:tcPr>
            <w:tcW w:w="4485" w:type="dxa"/>
          </w:tcPr>
          <w:p w14:paraId="1BEE535C" w14:textId="77777777" w:rsidR="00AD2BB3" w:rsidRPr="006E2C6C" w:rsidRDefault="00352597"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w:t>
            </w:r>
            <w:r w:rsidRPr="006E2C6C">
              <w:rPr>
                <w:rFonts w:ascii="Palatino Linotype" w:eastAsia="Palatino Linotype" w:hAnsi="Palatino Linotype" w:cs="Palatino Linotype"/>
                <w:color w:val="000000"/>
                <w:sz w:val="22"/>
                <w:szCs w:val="22"/>
              </w:rPr>
              <w:tab/>
              <w:t>Comprometa la seguridad nacional, la seguridad pública o la defensa nacional y cuente con un propósito genuino y un efecto demostrable;</w:t>
            </w:r>
          </w:p>
        </w:tc>
      </w:tr>
      <w:tr w:rsidR="00AD2BB3" w:rsidRPr="006E2C6C" w14:paraId="5902AE85" w14:textId="77777777" w:rsidTr="00AD2BB3">
        <w:tc>
          <w:tcPr>
            <w:cnfStyle w:val="001000000000" w:firstRow="0" w:lastRow="0" w:firstColumn="1" w:lastColumn="0" w:oddVBand="0" w:evenVBand="0" w:oddHBand="0" w:evenHBand="0" w:firstRowFirstColumn="0" w:firstRowLastColumn="0" w:lastRowFirstColumn="0" w:lastRowLastColumn="0"/>
            <w:tcW w:w="5265" w:type="dxa"/>
          </w:tcPr>
          <w:p w14:paraId="325A0C2F"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II. Pueda menoscabar la conducción de las negociaciones y relaciones internacionales;</w:t>
            </w:r>
          </w:p>
        </w:tc>
        <w:tc>
          <w:tcPr>
            <w:tcW w:w="4485" w:type="dxa"/>
          </w:tcPr>
          <w:p w14:paraId="43922783" w14:textId="77777777" w:rsidR="00AD2BB3" w:rsidRPr="006E2C6C" w:rsidRDefault="00352597"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II.</w:t>
            </w:r>
            <w:r w:rsidRPr="006E2C6C">
              <w:rPr>
                <w:rFonts w:ascii="Palatino Linotype" w:eastAsia="Palatino Linotype" w:hAnsi="Palatino Linotype" w:cs="Palatino Linotype"/>
                <w:color w:val="000000"/>
                <w:sz w:val="22"/>
                <w:szCs w:val="22"/>
              </w:rPr>
              <w:tab/>
              <w:t>Pueda menoscabar la conducción de las negociaciones y relaciones internacionales;</w:t>
            </w:r>
          </w:p>
        </w:tc>
      </w:tr>
      <w:tr w:rsidR="00AD2BB3" w:rsidRPr="006E2C6C" w14:paraId="5E1C41A5" w14:textId="77777777" w:rsidTr="00AD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56EE0DAA"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tc>
        <w:tc>
          <w:tcPr>
            <w:tcW w:w="4485" w:type="dxa"/>
          </w:tcPr>
          <w:p w14:paraId="058F1B70" w14:textId="77777777" w:rsidR="00AD2BB3" w:rsidRPr="006E2C6C" w:rsidRDefault="00352597"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III.</w:t>
            </w:r>
            <w:r w:rsidRPr="006E2C6C">
              <w:rPr>
                <w:rFonts w:ascii="Palatino Linotype" w:eastAsia="Palatino Linotype" w:hAnsi="Palatino Linotype" w:cs="Palatino Linotype"/>
                <w:color w:val="000000"/>
                <w:sz w:val="22"/>
                <w:szCs w:val="22"/>
              </w:rPr>
              <w:tab/>
              <w:t xml:space="preserve">Se entregue al Estado mexicano expresamente con ese carácter o el de confidencial por otro u otros sujetos de derecho internacional, excepto cuando se trate de violaciones graves de derechos </w:t>
            </w:r>
            <w:r w:rsidRPr="006E2C6C">
              <w:rPr>
                <w:rFonts w:ascii="Palatino Linotype" w:eastAsia="Palatino Linotype" w:hAnsi="Palatino Linotype" w:cs="Palatino Linotype"/>
                <w:color w:val="000000"/>
                <w:sz w:val="22"/>
                <w:szCs w:val="22"/>
              </w:rPr>
              <w:lastRenderedPageBreak/>
              <w:t>humanos o delitos de lesa humanidad de conformidad con el derecho internacional;</w:t>
            </w:r>
          </w:p>
        </w:tc>
      </w:tr>
      <w:tr w:rsidR="00AD2BB3" w:rsidRPr="006E2C6C" w14:paraId="1035B9D2" w14:textId="77777777" w:rsidTr="00AD2BB3">
        <w:tc>
          <w:tcPr>
            <w:cnfStyle w:val="001000000000" w:firstRow="0" w:lastRow="0" w:firstColumn="1" w:lastColumn="0" w:oddVBand="0" w:evenVBand="0" w:oddHBand="0" w:evenHBand="0" w:firstRowFirstColumn="0" w:firstRowLastColumn="0" w:lastRowFirstColumn="0" w:lastRowLastColumn="0"/>
            <w:tcW w:w="5265" w:type="dxa"/>
          </w:tcPr>
          <w:p w14:paraId="7D0F4C5A" w14:textId="77777777" w:rsidR="00AD2BB3" w:rsidRPr="006E2C6C" w:rsidRDefault="00AD2BB3" w:rsidP="00CA610A">
            <w:pPr>
              <w:spacing w:line="276" w:lineRule="auto"/>
              <w:jc w:val="both"/>
              <w:rPr>
                <w:rFonts w:ascii="Palatino Linotype" w:eastAsia="Palatino Linotype" w:hAnsi="Palatino Linotype" w:cs="Palatino Linotype"/>
                <w:color w:val="000000"/>
                <w:sz w:val="22"/>
                <w:szCs w:val="22"/>
              </w:rPr>
            </w:pPr>
          </w:p>
        </w:tc>
        <w:tc>
          <w:tcPr>
            <w:tcW w:w="4485" w:type="dxa"/>
          </w:tcPr>
          <w:p w14:paraId="4EF10ABC" w14:textId="77777777" w:rsidR="00AD2BB3" w:rsidRPr="006E2C6C" w:rsidRDefault="00352597"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IV.</w:t>
            </w:r>
            <w:r w:rsidRPr="006E2C6C">
              <w:rPr>
                <w:rFonts w:ascii="Palatino Linotype" w:eastAsia="Palatino Linotype" w:hAnsi="Palatino Linotype" w:cs="Palatino Linotype"/>
                <w:color w:val="000000"/>
                <w:sz w:val="22"/>
                <w:szCs w:val="22"/>
              </w:rPr>
              <w:tab/>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tc>
      </w:tr>
      <w:tr w:rsidR="00AD2BB3" w:rsidRPr="006E2C6C" w14:paraId="55C7CC36" w14:textId="77777777" w:rsidTr="00AD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782679DD"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IV. Ponga en riesgo la vida, la seguridad o la salud de una persona física;</w:t>
            </w:r>
          </w:p>
        </w:tc>
        <w:tc>
          <w:tcPr>
            <w:tcW w:w="4485" w:type="dxa"/>
          </w:tcPr>
          <w:p w14:paraId="771E058C" w14:textId="77777777" w:rsidR="00AD2BB3" w:rsidRPr="006E2C6C" w:rsidRDefault="00352597"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V.</w:t>
            </w:r>
            <w:r w:rsidRPr="006E2C6C">
              <w:rPr>
                <w:rFonts w:ascii="Palatino Linotype" w:eastAsia="Palatino Linotype" w:hAnsi="Palatino Linotype" w:cs="Palatino Linotype"/>
                <w:color w:val="000000"/>
                <w:sz w:val="22"/>
                <w:szCs w:val="22"/>
              </w:rPr>
              <w:tab/>
              <w:t>Pueda poner en riesgo la vida, seguridad o salud de una persona física;</w:t>
            </w:r>
          </w:p>
        </w:tc>
      </w:tr>
      <w:tr w:rsidR="00AD2BB3" w:rsidRPr="006E2C6C" w14:paraId="75B9D96A" w14:textId="77777777" w:rsidTr="00AD2BB3">
        <w:tc>
          <w:tcPr>
            <w:cnfStyle w:val="001000000000" w:firstRow="0" w:lastRow="0" w:firstColumn="1" w:lastColumn="0" w:oddVBand="0" w:evenVBand="0" w:oddHBand="0" w:evenHBand="0" w:firstRowFirstColumn="0" w:firstRowLastColumn="0" w:lastRowFirstColumn="0" w:lastRowLastColumn="0"/>
            <w:tcW w:w="5265" w:type="dxa"/>
          </w:tcPr>
          <w:p w14:paraId="6CF2134C"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V. Aquella cuya divulgación obstruya o pueda causar un serio perjuicio a:</w:t>
            </w:r>
          </w:p>
          <w:p w14:paraId="1DDB4917" w14:textId="77777777" w:rsidR="00AD2BB3" w:rsidRPr="006E2C6C" w:rsidRDefault="00AD2BB3" w:rsidP="00CA610A">
            <w:pPr>
              <w:spacing w:line="276" w:lineRule="auto"/>
              <w:jc w:val="both"/>
              <w:rPr>
                <w:rFonts w:ascii="Palatino Linotype" w:eastAsia="Palatino Linotype" w:hAnsi="Palatino Linotype" w:cs="Palatino Linotype"/>
                <w:color w:val="000000"/>
                <w:sz w:val="22"/>
                <w:szCs w:val="22"/>
              </w:rPr>
            </w:pPr>
          </w:p>
          <w:p w14:paraId="008FC237"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1. Las actividades de fiscalización, verificación, inspección, comprobación y auditoría sobre el cumplimiento de las Leyes; o</w:t>
            </w:r>
          </w:p>
          <w:p w14:paraId="261A56B4" w14:textId="77777777" w:rsidR="00AD2BB3" w:rsidRPr="006E2C6C" w:rsidRDefault="00AD2BB3" w:rsidP="00CA610A">
            <w:pPr>
              <w:spacing w:line="276" w:lineRule="auto"/>
              <w:jc w:val="both"/>
              <w:rPr>
                <w:rFonts w:ascii="Palatino Linotype" w:eastAsia="Palatino Linotype" w:hAnsi="Palatino Linotype" w:cs="Palatino Linotype"/>
                <w:color w:val="000000"/>
                <w:sz w:val="22"/>
                <w:szCs w:val="22"/>
              </w:rPr>
            </w:pPr>
          </w:p>
          <w:p w14:paraId="5B7CFD00"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2. La recaudación de las contribuciones.</w:t>
            </w:r>
          </w:p>
        </w:tc>
        <w:tc>
          <w:tcPr>
            <w:tcW w:w="4485" w:type="dxa"/>
          </w:tcPr>
          <w:p w14:paraId="6502C486" w14:textId="77777777" w:rsidR="00AD2BB3" w:rsidRPr="006E2C6C" w:rsidRDefault="00352597"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VI.</w:t>
            </w:r>
            <w:r w:rsidRPr="006E2C6C">
              <w:rPr>
                <w:rFonts w:ascii="Palatino Linotype" w:eastAsia="Palatino Linotype" w:hAnsi="Palatino Linotype" w:cs="Palatino Linotype"/>
                <w:color w:val="000000"/>
                <w:sz w:val="22"/>
                <w:szCs w:val="22"/>
              </w:rPr>
              <w:tab/>
              <w:t>Obstruya las actividades de verificación, inspección y auditoría relativas al cumplimiento de las leyes o afecte la recaudación de contribuciones;</w:t>
            </w:r>
          </w:p>
          <w:p w14:paraId="363A30D5" w14:textId="77777777" w:rsidR="00AD2BB3" w:rsidRPr="006E2C6C" w:rsidRDefault="00AD2BB3"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14:paraId="71702149" w14:textId="77777777" w:rsidR="00AD2BB3" w:rsidRPr="006E2C6C" w:rsidRDefault="00AD2BB3"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tc>
      </w:tr>
      <w:tr w:rsidR="00AD2BB3" w:rsidRPr="006E2C6C" w14:paraId="3F20CBBA" w14:textId="77777777" w:rsidTr="00AD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75D6A6EC"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w:t>
            </w:r>
            <w:r w:rsidRPr="006E2C6C">
              <w:rPr>
                <w:rFonts w:ascii="Palatino Linotype" w:eastAsia="Palatino Linotype" w:hAnsi="Palatino Linotype" w:cs="Palatino Linotype"/>
                <w:color w:val="000000"/>
                <w:sz w:val="22"/>
                <w:szCs w:val="22"/>
              </w:rPr>
              <w:lastRenderedPageBreak/>
              <w:t>justicia o la seguridad de un denunciante, querellante o testigo, así como sus familias, en los términos de las disposiciones jurídicas aplicables;</w:t>
            </w:r>
          </w:p>
        </w:tc>
        <w:tc>
          <w:tcPr>
            <w:tcW w:w="4485" w:type="dxa"/>
          </w:tcPr>
          <w:p w14:paraId="46CEAFD5" w14:textId="77777777" w:rsidR="00AD2BB3" w:rsidRPr="006E2C6C" w:rsidRDefault="00352597"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lastRenderedPageBreak/>
              <w:t>VII.</w:t>
            </w:r>
            <w:r w:rsidRPr="006E2C6C">
              <w:rPr>
                <w:rFonts w:ascii="Palatino Linotype" w:eastAsia="Palatino Linotype" w:hAnsi="Palatino Linotype" w:cs="Palatino Linotype"/>
                <w:color w:val="000000"/>
                <w:sz w:val="22"/>
                <w:szCs w:val="22"/>
              </w:rPr>
              <w:tab/>
              <w:t>Obstruya la prevención o persecución de los delitos;</w:t>
            </w:r>
          </w:p>
          <w:p w14:paraId="023C6137" w14:textId="77777777" w:rsidR="00AD2BB3" w:rsidRPr="006E2C6C" w:rsidRDefault="00AD2BB3"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14:paraId="616A1E7F" w14:textId="77777777" w:rsidR="00AD2BB3" w:rsidRPr="006E2C6C" w:rsidRDefault="00AD2BB3"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tc>
      </w:tr>
      <w:tr w:rsidR="00AD2BB3" w:rsidRPr="006E2C6C" w14:paraId="1C731A0F" w14:textId="77777777" w:rsidTr="00AD2BB3">
        <w:tc>
          <w:tcPr>
            <w:cnfStyle w:val="001000000000" w:firstRow="0" w:lastRow="0" w:firstColumn="1" w:lastColumn="0" w:oddVBand="0" w:evenVBand="0" w:oddHBand="0" w:evenHBand="0" w:firstRowFirstColumn="0" w:firstRowLastColumn="0" w:lastRowFirstColumn="0" w:lastRowLastColumn="0"/>
            <w:tcW w:w="5265" w:type="dxa"/>
          </w:tcPr>
          <w:p w14:paraId="68346407"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VII. La que </w:t>
            </w:r>
            <w:r w:rsidRPr="006E2C6C">
              <w:rPr>
                <w:rFonts w:ascii="Palatino Linotype" w:eastAsia="Palatino Linotype" w:hAnsi="Palatino Linotype" w:cs="Palatino Linotype"/>
                <w:sz w:val="22"/>
                <w:szCs w:val="22"/>
              </w:rPr>
              <w:t>contenga</w:t>
            </w:r>
            <w:r w:rsidRPr="006E2C6C">
              <w:rPr>
                <w:rFonts w:ascii="Palatino Linotype" w:eastAsia="Palatino Linotype" w:hAnsi="Palatino Linotype" w:cs="Palatino Linotype"/>
                <w:color w:val="000000"/>
                <w:sz w:val="22"/>
                <w:szCs w:val="22"/>
              </w:rPr>
              <w:t xml:space="preserve"> las opiniones, recomendaciones o puntos de vista que formen parte del proceso deliberativo de los servidores públicos, hasta en tanto sea adoptada la decisión definitiva, la cual deberá estar documentada;</w:t>
            </w:r>
          </w:p>
        </w:tc>
        <w:tc>
          <w:tcPr>
            <w:tcW w:w="4485" w:type="dxa"/>
          </w:tcPr>
          <w:p w14:paraId="3CEE48FE" w14:textId="77777777" w:rsidR="00AD2BB3" w:rsidRPr="006E2C6C" w:rsidRDefault="00352597"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VIII.</w:t>
            </w:r>
            <w:r w:rsidRPr="006E2C6C">
              <w:rPr>
                <w:rFonts w:ascii="Palatino Linotype" w:eastAsia="Palatino Linotype" w:hAnsi="Palatino Linotype" w:cs="Palatino Linotype"/>
                <w:color w:val="000000"/>
                <w:sz w:val="22"/>
                <w:szCs w:val="22"/>
              </w:rPr>
              <w:tab/>
              <w:t>La que contenga las opiniones, recomendaciones o puntos de vista que formen parte del proceso deliberativo de los servidores públicos, hasta en tanto no sea adoptada la decisión definitiva, la cual deberá estar documentada;</w:t>
            </w:r>
          </w:p>
        </w:tc>
      </w:tr>
      <w:tr w:rsidR="00AD2BB3" w:rsidRPr="006E2C6C" w14:paraId="721373A8" w14:textId="77777777" w:rsidTr="00AD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06BB6681" w14:textId="77777777" w:rsidR="00AD2BB3" w:rsidRPr="006E2C6C" w:rsidRDefault="00AD2BB3" w:rsidP="00CA610A">
            <w:pPr>
              <w:spacing w:line="276" w:lineRule="auto"/>
              <w:jc w:val="both"/>
              <w:rPr>
                <w:rFonts w:ascii="Palatino Linotype" w:eastAsia="Palatino Linotype" w:hAnsi="Palatino Linotype" w:cs="Palatino Linotype"/>
                <w:color w:val="000000"/>
                <w:sz w:val="22"/>
                <w:szCs w:val="22"/>
              </w:rPr>
            </w:pPr>
          </w:p>
        </w:tc>
        <w:tc>
          <w:tcPr>
            <w:tcW w:w="4485" w:type="dxa"/>
          </w:tcPr>
          <w:p w14:paraId="5E58070D" w14:textId="77777777" w:rsidR="00AD2BB3" w:rsidRPr="006E2C6C" w:rsidRDefault="00352597"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IX.</w:t>
            </w:r>
            <w:r w:rsidRPr="006E2C6C">
              <w:rPr>
                <w:rFonts w:ascii="Palatino Linotype" w:eastAsia="Palatino Linotype" w:hAnsi="Palatino Linotype" w:cs="Palatino Linotype"/>
                <w:color w:val="000000"/>
                <w:sz w:val="22"/>
                <w:szCs w:val="22"/>
              </w:rPr>
              <w:tab/>
              <w:t>Obstruya los procedimientos para fincar responsabilidad a los Servidores Públicos, en tanto no se haya dictado la resolución administrativa;</w:t>
            </w:r>
          </w:p>
        </w:tc>
      </w:tr>
      <w:tr w:rsidR="00AD2BB3" w:rsidRPr="006E2C6C" w14:paraId="6D72CD65" w14:textId="77777777" w:rsidTr="00AD2BB3">
        <w:tc>
          <w:tcPr>
            <w:cnfStyle w:val="001000000000" w:firstRow="0" w:lastRow="0" w:firstColumn="1" w:lastColumn="0" w:oddVBand="0" w:evenVBand="0" w:oddHBand="0" w:evenHBand="0" w:firstRowFirstColumn="0" w:firstRowLastColumn="0" w:lastRowFirstColumn="0" w:lastRowLastColumn="0"/>
            <w:tcW w:w="5265" w:type="dxa"/>
          </w:tcPr>
          <w:p w14:paraId="6F48F07C" w14:textId="77777777" w:rsidR="00AD2BB3" w:rsidRPr="006E2C6C" w:rsidRDefault="00AD2BB3" w:rsidP="00CA610A">
            <w:pPr>
              <w:spacing w:line="276" w:lineRule="auto"/>
              <w:jc w:val="both"/>
              <w:rPr>
                <w:rFonts w:ascii="Palatino Linotype" w:eastAsia="Palatino Linotype" w:hAnsi="Palatino Linotype" w:cs="Palatino Linotype"/>
                <w:color w:val="000000"/>
                <w:sz w:val="22"/>
                <w:szCs w:val="22"/>
              </w:rPr>
            </w:pPr>
          </w:p>
        </w:tc>
        <w:tc>
          <w:tcPr>
            <w:tcW w:w="4485" w:type="dxa"/>
          </w:tcPr>
          <w:p w14:paraId="5C3EBA02" w14:textId="77777777" w:rsidR="00AD2BB3" w:rsidRPr="006E2C6C" w:rsidRDefault="00352597"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X.</w:t>
            </w:r>
            <w:r w:rsidRPr="006E2C6C">
              <w:rPr>
                <w:rFonts w:ascii="Palatino Linotype" w:eastAsia="Palatino Linotype" w:hAnsi="Palatino Linotype" w:cs="Palatino Linotype"/>
                <w:color w:val="000000"/>
                <w:sz w:val="22"/>
                <w:szCs w:val="22"/>
              </w:rPr>
              <w:tab/>
              <w:t>Afecte los derechos del debido proceso;</w:t>
            </w:r>
          </w:p>
        </w:tc>
      </w:tr>
      <w:tr w:rsidR="00AD2BB3" w:rsidRPr="006E2C6C" w14:paraId="19FE36CE" w14:textId="77777777" w:rsidTr="00AD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683E8065"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VIII. Vulnere la conducción de los expedientes judiciales o de los procedimientos administrativos seguidos en forma de juicio, en tanto no hayan quedado firmes;</w:t>
            </w:r>
          </w:p>
        </w:tc>
        <w:tc>
          <w:tcPr>
            <w:tcW w:w="4485" w:type="dxa"/>
          </w:tcPr>
          <w:p w14:paraId="40D08153" w14:textId="77777777" w:rsidR="00AD2BB3" w:rsidRPr="006E2C6C" w:rsidRDefault="00352597"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XI.</w:t>
            </w:r>
            <w:r w:rsidRPr="006E2C6C">
              <w:rPr>
                <w:rFonts w:ascii="Palatino Linotype" w:eastAsia="Palatino Linotype" w:hAnsi="Palatino Linotype" w:cs="Palatino Linotype"/>
                <w:color w:val="000000"/>
                <w:sz w:val="22"/>
                <w:szCs w:val="22"/>
              </w:rPr>
              <w:tab/>
              <w:t>Vulnere la conducción de los Expedientes judiciales o de los procedimientos administrativos seguidos en forma de juicio, en tanto no hayan causado estado;</w:t>
            </w:r>
          </w:p>
        </w:tc>
      </w:tr>
      <w:tr w:rsidR="00AD2BB3" w:rsidRPr="006E2C6C" w14:paraId="29DA8959" w14:textId="77777777" w:rsidTr="00AD2BB3">
        <w:tc>
          <w:tcPr>
            <w:cnfStyle w:val="001000000000" w:firstRow="0" w:lastRow="0" w:firstColumn="1" w:lastColumn="0" w:oddVBand="0" w:evenVBand="0" w:oddHBand="0" w:evenHBand="0" w:firstRowFirstColumn="0" w:firstRowLastColumn="0" w:lastRowFirstColumn="0" w:lastRowLastColumn="0"/>
            <w:tcW w:w="5265" w:type="dxa"/>
          </w:tcPr>
          <w:p w14:paraId="488934A8"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IX. Se encuentre contenida dentro de las investigaciones de hechos que la Ley señale como delitos y se tramiten ante el Ministerio Público;</w:t>
            </w:r>
          </w:p>
        </w:tc>
        <w:tc>
          <w:tcPr>
            <w:tcW w:w="4485" w:type="dxa"/>
          </w:tcPr>
          <w:p w14:paraId="52B5F73C" w14:textId="77777777" w:rsidR="00AD2BB3" w:rsidRPr="006E2C6C" w:rsidRDefault="00352597"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XII.</w:t>
            </w:r>
            <w:r w:rsidRPr="006E2C6C">
              <w:rPr>
                <w:rFonts w:ascii="Palatino Linotype" w:eastAsia="Palatino Linotype" w:hAnsi="Palatino Linotype" w:cs="Palatino Linotype"/>
                <w:color w:val="000000"/>
                <w:sz w:val="22"/>
                <w:szCs w:val="22"/>
              </w:rPr>
              <w:tab/>
              <w:t>Se encuentre contenida dentro de las investigaciones de hechos que la ley señale como delitos y se tramiten ante el Ministerio Público, y</w:t>
            </w:r>
          </w:p>
        </w:tc>
      </w:tr>
      <w:tr w:rsidR="00AD2BB3" w:rsidRPr="006E2C6C" w14:paraId="74BD4904" w14:textId="77777777" w:rsidTr="00AD2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3FD3D8EC" w14:textId="77777777" w:rsidR="00AD2BB3" w:rsidRPr="006E2C6C" w:rsidRDefault="00352597" w:rsidP="00CA610A">
            <w:pPr>
              <w:spacing w:line="276" w:lineRule="auto"/>
              <w:ind w:left="-108"/>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D35BB6A"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Cuando se trate de información sobre estudios y proyectos cuya divulgación pueda causar daños al interés del Estado o suponga un riesgo para su </w:t>
            </w:r>
            <w:r w:rsidRPr="006E2C6C">
              <w:rPr>
                <w:rFonts w:ascii="Palatino Linotype" w:eastAsia="Palatino Linotype" w:hAnsi="Palatino Linotype" w:cs="Palatino Linotype"/>
                <w:color w:val="000000"/>
                <w:sz w:val="22"/>
                <w:szCs w:val="22"/>
              </w:rPr>
              <w:lastRenderedPageBreak/>
              <w:t>realización, siempre que esté directamente relacionado con procesos o procedimientos administrativos o judiciales que no hayan quedado firmes; y</w:t>
            </w:r>
          </w:p>
        </w:tc>
        <w:tc>
          <w:tcPr>
            <w:tcW w:w="4485" w:type="dxa"/>
          </w:tcPr>
          <w:p w14:paraId="516397A4" w14:textId="77777777" w:rsidR="00AD2BB3" w:rsidRPr="006E2C6C" w:rsidRDefault="00AD2BB3" w:rsidP="00CA610A">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tc>
      </w:tr>
      <w:tr w:rsidR="00AD2BB3" w:rsidRPr="006E2C6C" w14:paraId="4D0C7F0E" w14:textId="77777777" w:rsidTr="00AD2BB3">
        <w:tc>
          <w:tcPr>
            <w:cnfStyle w:val="001000000000" w:firstRow="0" w:lastRow="0" w:firstColumn="1" w:lastColumn="0" w:oddVBand="0" w:evenVBand="0" w:oddHBand="0" w:evenHBand="0" w:firstRowFirstColumn="0" w:firstRowLastColumn="0" w:lastRowFirstColumn="0" w:lastRowLastColumn="0"/>
            <w:tcW w:w="5265" w:type="dxa"/>
          </w:tcPr>
          <w:p w14:paraId="1CA70183" w14:textId="77777777" w:rsidR="00AD2BB3" w:rsidRPr="006E2C6C" w:rsidRDefault="00352597" w:rsidP="00CA610A">
            <w:pPr>
              <w:spacing w:line="276"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XI. Las que por disposición expresa de una ley tengan tal carácter, siempre que sean acordes con las bases, principios y disposiciones establecidos en esta Ley y no la contravengan; así como las previstas en tratados internacionales.</w:t>
            </w:r>
          </w:p>
        </w:tc>
        <w:tc>
          <w:tcPr>
            <w:tcW w:w="4485" w:type="dxa"/>
          </w:tcPr>
          <w:p w14:paraId="4DF1B729" w14:textId="77777777" w:rsidR="00AD2BB3" w:rsidRPr="006E2C6C" w:rsidRDefault="00352597" w:rsidP="00CA610A">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XIII.</w:t>
            </w:r>
            <w:r w:rsidRPr="006E2C6C">
              <w:rPr>
                <w:rFonts w:ascii="Palatino Linotype" w:eastAsia="Palatino Linotype" w:hAnsi="Palatino Linotype" w:cs="Palatino Linotype"/>
                <w:color w:val="000000"/>
                <w:sz w:val="22"/>
                <w:szCs w:val="22"/>
              </w:rPr>
              <w:tab/>
              <w:t>Las que por disposición expresa de una ley tengan tal carácter, siempre que sean acordes con las bases, principios y disposiciones establecidos en esta Ley y no la contravengan; así como las previstas en tratados internacionales.</w:t>
            </w:r>
          </w:p>
        </w:tc>
      </w:tr>
    </w:tbl>
    <w:p w14:paraId="737309C9"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Se debe identificar claramente el tipo de información y hacer un juicio de subsunción o encaje</w:t>
      </w:r>
      <w:r w:rsidRPr="006E2C6C">
        <w:rPr>
          <w:rFonts w:ascii="Palatino Linotype" w:eastAsia="Palatino Linotype" w:hAnsi="Palatino Linotype" w:cs="Palatino Linotype"/>
          <w:color w:val="000000"/>
          <w:sz w:val="22"/>
          <w:szCs w:val="22"/>
          <w:vertAlign w:val="superscript"/>
        </w:rPr>
        <w:footnoteReference w:id="1"/>
      </w:r>
      <w:r w:rsidRPr="006E2C6C">
        <w:rPr>
          <w:rFonts w:ascii="Palatino Linotype" w:eastAsia="Palatino Linotype" w:hAnsi="Palatino Linotype" w:cs="Palatino Linotype"/>
          <w:color w:val="000000"/>
          <w:sz w:val="22"/>
          <w:szCs w:val="22"/>
        </w:rPr>
        <w:t xml:space="preserve"> para acreditar que el supuesto de hecho corresponde estrictamente con la hipótesis jurídica. </w:t>
      </w:r>
    </w:p>
    <w:p w14:paraId="1F4B4BB9" w14:textId="77777777" w:rsidR="00AD2BB3" w:rsidRPr="006E2C6C" w:rsidRDefault="00AD2BB3" w:rsidP="00CA610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26A4BAAC"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Los artículos 128 segundo párrafo y 103 segundo párrafo de las leyes estatal y general, respectivamente, señalan que, en el caso de la información reservada, se debe de señalar las razones, motivos o circunstancias especiales que llevan a concluir que el caso fáctico se corresponde con la norma. Por esta razón, la motivación del acto, el juicio de subsunción, para acreditar la estricta correspondencia entre el supuesto de hecho y la hipótesis normativa, </w:t>
      </w:r>
      <w:r w:rsidRPr="006E2C6C">
        <w:rPr>
          <w:rFonts w:ascii="Palatino Linotype" w:eastAsia="Palatino Linotype" w:hAnsi="Palatino Linotype" w:cs="Palatino Linotype"/>
          <w:color w:val="000000"/>
          <w:sz w:val="22"/>
          <w:szCs w:val="22"/>
        </w:rPr>
        <w:lastRenderedPageBreak/>
        <w:t>deberá señalar las razones, motivos o circunstancias que lo justifiquen, lo que no es lo mismo que repetir el supuesto de hecho y la hipótesis normativa, sino que se debe generar un juicio demostrativo.</w:t>
      </w:r>
    </w:p>
    <w:p w14:paraId="189A1062"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9734668"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60F693"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0E0235E" w14:textId="77777777" w:rsidR="00AD2BB3" w:rsidRPr="006E2C6C" w:rsidRDefault="00352597" w:rsidP="00CA610A">
      <w:pPr>
        <w:numPr>
          <w:ilvl w:val="0"/>
          <w:numId w:val="4"/>
        </w:numPr>
        <w:pBdr>
          <w:top w:val="nil"/>
          <w:left w:val="nil"/>
          <w:bottom w:val="nil"/>
          <w:right w:val="nil"/>
          <w:between w:val="nil"/>
        </w:pBdr>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La prueba de daño.</w:t>
      </w:r>
    </w:p>
    <w:p w14:paraId="41B9AF4E"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14:paraId="0B871B3B" w14:textId="77777777" w:rsidR="00AD2BB3" w:rsidRPr="006E2C6C" w:rsidRDefault="00AD2BB3" w:rsidP="00CA610A">
      <w:pPr>
        <w:spacing w:line="360" w:lineRule="auto"/>
        <w:jc w:val="both"/>
        <w:rPr>
          <w:rFonts w:ascii="Palatino Linotype" w:eastAsia="Palatino Linotype" w:hAnsi="Palatino Linotype" w:cs="Palatino Linotype"/>
          <w:color w:val="000000"/>
          <w:sz w:val="22"/>
          <w:szCs w:val="22"/>
        </w:rPr>
      </w:pPr>
    </w:p>
    <w:p w14:paraId="592C5C61"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Para aplicar la prueba de daño, se deberán de precisar las razones objetivas por las que la apertura genera una afectación, acreditando que:</w:t>
      </w:r>
    </w:p>
    <w:p w14:paraId="15E0ED0D" w14:textId="77777777" w:rsidR="00AD2BB3" w:rsidRPr="006E2C6C" w:rsidRDefault="00352597" w:rsidP="00CA610A">
      <w:pPr>
        <w:widowControl w:val="0"/>
        <w:spacing w:after="240" w:line="360" w:lineRule="auto"/>
        <w:ind w:left="567"/>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 xml:space="preserve">I. La divulgación de la información representa un riesgo real, demostrable e identificable del perjuicio significativo al interés público o a la seguridad pública; </w:t>
      </w:r>
    </w:p>
    <w:p w14:paraId="70F2D034" w14:textId="77777777" w:rsidR="00AD2BB3" w:rsidRPr="006E2C6C" w:rsidRDefault="00352597" w:rsidP="00CA610A">
      <w:pPr>
        <w:widowControl w:val="0"/>
        <w:spacing w:after="240" w:line="360" w:lineRule="auto"/>
        <w:ind w:left="567"/>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 xml:space="preserve">II. El riesgo de perjuicio que supondría la divulgación supera el interés público general de que se difunda; y </w:t>
      </w:r>
    </w:p>
    <w:p w14:paraId="2E2A5BD8" w14:textId="77777777" w:rsidR="00AD2BB3" w:rsidRPr="006E2C6C" w:rsidRDefault="00352597" w:rsidP="00CA610A">
      <w:pPr>
        <w:widowControl w:val="0"/>
        <w:spacing w:after="240" w:line="360" w:lineRule="auto"/>
        <w:ind w:left="567"/>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 xml:space="preserve">III. La limitación se adecua al principio de proporcionalidad y representa el medio menos restrictivo disponible para evitar el perjuicio. </w:t>
      </w:r>
    </w:p>
    <w:p w14:paraId="2A12382D" w14:textId="77777777" w:rsidR="00AD2BB3" w:rsidRPr="006E2C6C" w:rsidRDefault="00AD2BB3" w:rsidP="00CA610A">
      <w:pPr>
        <w:widowControl w:val="0"/>
        <w:spacing w:after="240" w:line="360" w:lineRule="auto"/>
        <w:ind w:left="567"/>
        <w:jc w:val="both"/>
        <w:rPr>
          <w:rFonts w:ascii="Palatino Linotype" w:eastAsia="Palatino Linotype" w:hAnsi="Palatino Linotype" w:cs="Palatino Linotype"/>
          <w:i/>
          <w:sz w:val="22"/>
          <w:szCs w:val="22"/>
        </w:rPr>
      </w:pPr>
    </w:p>
    <w:p w14:paraId="1801CD7F" w14:textId="77777777" w:rsidR="00AD2BB3" w:rsidRPr="006E2C6C" w:rsidRDefault="00AD2BB3" w:rsidP="00CA610A">
      <w:pPr>
        <w:widowControl w:val="0"/>
        <w:spacing w:after="240" w:line="360" w:lineRule="auto"/>
        <w:ind w:left="567"/>
        <w:jc w:val="both"/>
        <w:rPr>
          <w:rFonts w:ascii="Palatino Linotype" w:eastAsia="Palatino Linotype" w:hAnsi="Palatino Linotype" w:cs="Palatino Linotype"/>
          <w:i/>
          <w:sz w:val="22"/>
          <w:szCs w:val="22"/>
        </w:rPr>
      </w:pPr>
    </w:p>
    <w:p w14:paraId="18354EFD" w14:textId="77777777" w:rsidR="00AD2BB3" w:rsidRPr="006E2C6C" w:rsidRDefault="00352597" w:rsidP="00CA610A">
      <w:pPr>
        <w:keepNext/>
        <w:keepLines/>
        <w:numPr>
          <w:ilvl w:val="0"/>
          <w:numId w:val="4"/>
        </w:numPr>
        <w:pBdr>
          <w:top w:val="nil"/>
          <w:left w:val="nil"/>
          <w:bottom w:val="nil"/>
          <w:right w:val="nil"/>
          <w:between w:val="nil"/>
        </w:pBdr>
        <w:spacing w:before="240"/>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La clasificación de la información reservada debe ser de manera temporal.</w:t>
      </w:r>
    </w:p>
    <w:p w14:paraId="50240F2F"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La información que ha sido clasificada como reservada, tiene la cualidad de que esta debe ser de carácter temporal, es decir, no debe perpetuarse o petrificarse su clasificación y que esto traiga como consecuencia el no acceso a la misma y por tanto pierda en definitiva su calidad de pública.</w:t>
      </w:r>
    </w:p>
    <w:p w14:paraId="12675EA9" w14:textId="77777777" w:rsidR="00AD2BB3" w:rsidRPr="006E2C6C" w:rsidRDefault="00AD2BB3" w:rsidP="00CA610A">
      <w:pPr>
        <w:spacing w:line="360" w:lineRule="auto"/>
        <w:jc w:val="both"/>
        <w:rPr>
          <w:rFonts w:ascii="Palatino Linotype" w:eastAsia="Palatino Linotype" w:hAnsi="Palatino Linotype" w:cs="Palatino Linotype"/>
          <w:color w:val="000000"/>
          <w:sz w:val="22"/>
          <w:szCs w:val="22"/>
        </w:rPr>
      </w:pPr>
    </w:p>
    <w:p w14:paraId="22A7320B"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La temporalidad de la clasificación de la información se encuentra señalada en el artículo 125 de la Ley Estatal y en el 101 de la Ley General, artículos que contemplan que dicha información podrá permanecer con tal carácter </w:t>
      </w:r>
      <w:r w:rsidRPr="006E2C6C">
        <w:rPr>
          <w:rFonts w:ascii="Palatino Linotype" w:eastAsia="Palatino Linotype" w:hAnsi="Palatino Linotype" w:cs="Palatino Linotype"/>
          <w:b/>
          <w:color w:val="000000"/>
          <w:sz w:val="22"/>
          <w:szCs w:val="22"/>
        </w:rPr>
        <w:t>hasta por un periodo de cinco años,</w:t>
      </w:r>
      <w:r w:rsidRPr="006E2C6C">
        <w:rPr>
          <w:rFonts w:ascii="Palatino Linotype" w:eastAsia="Palatino Linotype" w:hAnsi="Palatino Linotype" w:cs="Palatino Linotype"/>
          <w:color w:val="000000"/>
          <w:sz w:val="22"/>
          <w:szCs w:val="22"/>
        </w:rPr>
        <w:t xml:space="preserve"> contados a partir de su clasificación, salvo que antes del cumplimiento del periodo de restricción, </w:t>
      </w:r>
      <w:r w:rsidRPr="006E2C6C">
        <w:rPr>
          <w:rFonts w:ascii="Palatino Linotype" w:eastAsia="Palatino Linotype" w:hAnsi="Palatino Linotype" w:cs="Palatino Linotype"/>
          <w:sz w:val="22"/>
          <w:szCs w:val="22"/>
        </w:rPr>
        <w:t>dejarán</w:t>
      </w:r>
      <w:r w:rsidRPr="006E2C6C">
        <w:rPr>
          <w:rFonts w:ascii="Palatino Linotype" w:eastAsia="Palatino Linotype" w:hAnsi="Palatino Linotype" w:cs="Palatino Linotype"/>
          <w:color w:val="000000"/>
          <w:sz w:val="22"/>
          <w:szCs w:val="22"/>
        </w:rPr>
        <w:t xml:space="preserve"> de existir los motivos de su reserva. </w:t>
      </w:r>
    </w:p>
    <w:p w14:paraId="03378FC4" w14:textId="77777777" w:rsidR="00AD2BB3" w:rsidRPr="006E2C6C" w:rsidRDefault="00AD2BB3" w:rsidP="00CA610A">
      <w:pPr>
        <w:rPr>
          <w:rFonts w:ascii="Palatino Linotype" w:eastAsia="Palatino Linotype" w:hAnsi="Palatino Linotype" w:cs="Palatino Linotype"/>
          <w:color w:val="000000"/>
          <w:sz w:val="22"/>
          <w:szCs w:val="22"/>
        </w:rPr>
      </w:pPr>
    </w:p>
    <w:p w14:paraId="0592F56C"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Ahora bien, los titulares de las áreas tienen la alta responsabilidad de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71DDF1F2" w14:textId="77777777" w:rsidR="00AD2BB3" w:rsidRPr="006E2C6C" w:rsidRDefault="00AD2BB3" w:rsidP="00CA610A">
      <w:pPr>
        <w:rPr>
          <w:rFonts w:ascii="Palatino Linotype" w:eastAsia="Palatino Linotype" w:hAnsi="Palatino Linotype" w:cs="Palatino Linotype"/>
          <w:b/>
          <w:color w:val="000000"/>
          <w:sz w:val="22"/>
          <w:szCs w:val="22"/>
        </w:rPr>
      </w:pPr>
    </w:p>
    <w:p w14:paraId="6A97CD35"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De</w:t>
      </w:r>
      <w:r w:rsidRPr="006E2C6C">
        <w:rPr>
          <w:rFonts w:ascii="Palatino Linotype" w:eastAsia="Palatino Linotype" w:hAnsi="Palatino Linotype" w:cs="Palatino Linotype"/>
          <w:b/>
          <w:color w:val="000000"/>
          <w:sz w:val="22"/>
          <w:szCs w:val="22"/>
        </w:rPr>
        <w:t xml:space="preserve"> </w:t>
      </w:r>
      <w:r w:rsidRPr="006E2C6C">
        <w:rPr>
          <w:rFonts w:ascii="Palatino Linotype" w:eastAsia="Palatino Linotype" w:hAnsi="Palatino Linotype" w:cs="Palatino Linotype"/>
          <w:color w:val="000000"/>
          <w:sz w:val="22"/>
          <w:szCs w:val="22"/>
        </w:rPr>
        <w:t xml:space="preserve">manera excepcional </w:t>
      </w:r>
      <w:r w:rsidRPr="006E2C6C">
        <w:rPr>
          <w:rFonts w:ascii="Palatino Linotype" w:eastAsia="Palatino Linotype" w:hAnsi="Palatino Linotype" w:cs="Palatino Linotype"/>
          <w:b/>
          <w:color w:val="000000"/>
          <w:sz w:val="22"/>
          <w:szCs w:val="22"/>
        </w:rPr>
        <w:t>los sujetos obligados</w:t>
      </w:r>
      <w:r w:rsidRPr="006E2C6C">
        <w:rPr>
          <w:rFonts w:ascii="Palatino Linotype" w:eastAsia="Palatino Linotype" w:hAnsi="Palatino Linotype" w:cs="Palatino Linotype"/>
          <w:color w:val="000000"/>
          <w:sz w:val="22"/>
          <w:szCs w:val="22"/>
        </w:rPr>
        <w:t xml:space="preserve"> con la aprobación de su Comité de Transparencia, </w:t>
      </w:r>
      <w:r w:rsidRPr="006E2C6C">
        <w:rPr>
          <w:rFonts w:ascii="Palatino Linotype" w:eastAsia="Palatino Linotype" w:hAnsi="Palatino Linotype" w:cs="Palatino Linotype"/>
          <w:b/>
          <w:color w:val="000000"/>
          <w:sz w:val="22"/>
          <w:szCs w:val="22"/>
        </w:rPr>
        <w:t>podrán ampliar el periodo de reserva hasta por un plazo de cinco años adicionales y por una sola vez</w:t>
      </w:r>
      <w:r w:rsidRPr="006E2C6C">
        <w:rPr>
          <w:rFonts w:ascii="Palatino Linotype" w:eastAsia="Palatino Linotype" w:hAnsi="Palatino Linotype" w:cs="Palatino Linotype"/>
          <w:color w:val="000000"/>
          <w:sz w:val="22"/>
          <w:szCs w:val="22"/>
        </w:rPr>
        <w:t xml:space="preserve">, siempre y cuando justifiquen que subsisten las causas que dieron origen a su clasificación, mediante la aplicación de una prueba de daño. </w:t>
      </w:r>
    </w:p>
    <w:p w14:paraId="5CA8685B" w14:textId="77777777" w:rsidR="00AD2BB3" w:rsidRPr="006E2C6C" w:rsidRDefault="00AD2BB3" w:rsidP="00CA610A">
      <w:pPr>
        <w:rPr>
          <w:rFonts w:ascii="Palatino Linotype" w:eastAsia="Palatino Linotype" w:hAnsi="Palatino Linotype" w:cs="Palatino Linotype"/>
          <w:color w:val="000000"/>
          <w:sz w:val="22"/>
          <w:szCs w:val="22"/>
        </w:rPr>
      </w:pPr>
    </w:p>
    <w:p w14:paraId="43B85FCC"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Cuando expiren los plazos de clasificación o se trate de información cuya publicación pueda ocasionar la destrucción o inhabilitación de la infraestructura de carácter estratégico </w:t>
      </w:r>
      <w:r w:rsidRPr="006E2C6C">
        <w:rPr>
          <w:rFonts w:ascii="Palatino Linotype" w:eastAsia="Palatino Linotype" w:hAnsi="Palatino Linotype" w:cs="Palatino Linotype"/>
          <w:color w:val="000000"/>
          <w:sz w:val="22"/>
          <w:szCs w:val="22"/>
        </w:rPr>
        <w:lastRenderedPageBreak/>
        <w:t>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133FEECD" w14:textId="77777777" w:rsidR="00AD2BB3" w:rsidRPr="006E2C6C" w:rsidRDefault="00AD2BB3" w:rsidP="00CA610A">
      <w:pPr>
        <w:shd w:val="clear" w:color="auto" w:fill="FFFFFF"/>
        <w:spacing w:line="360" w:lineRule="auto"/>
        <w:jc w:val="both"/>
        <w:rPr>
          <w:rFonts w:ascii="Palatino Linotype" w:eastAsia="Palatino Linotype" w:hAnsi="Palatino Linotype" w:cs="Palatino Linotype"/>
          <w:color w:val="000000"/>
          <w:sz w:val="22"/>
          <w:szCs w:val="22"/>
        </w:rPr>
      </w:pPr>
    </w:p>
    <w:p w14:paraId="16B8F236" w14:textId="77777777" w:rsidR="00AD2BB3" w:rsidRPr="006E2C6C" w:rsidRDefault="00352597" w:rsidP="00CA610A">
      <w:pPr>
        <w:numPr>
          <w:ilvl w:val="0"/>
          <w:numId w:val="2"/>
        </w:numPr>
        <w:shd w:val="clear" w:color="auto" w:fill="FFFFFF"/>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Los elementos que brevemente se han señalado son todos los que deben de integrar el proceso de clasificación total o parcial de la información para, especialmente, responder a las solicitudes. La falta de cualquiera de ellos puede provocar que el acto que limita o restringe el acceso a la información sea considerada infundado y se proceda a ordenar la desclasificación de la información por el incumplimiento de las formalidades, es decir, por vicios de legalidad o a la reposición del acto.  </w:t>
      </w:r>
    </w:p>
    <w:p w14:paraId="5030BCE3" w14:textId="77777777" w:rsidR="00AD2BB3" w:rsidRPr="006E2C6C" w:rsidRDefault="00AD2BB3" w:rsidP="00CA610A">
      <w:pPr>
        <w:shd w:val="clear" w:color="auto" w:fill="FFFFFF"/>
        <w:spacing w:line="360" w:lineRule="auto"/>
        <w:jc w:val="both"/>
        <w:rPr>
          <w:rFonts w:ascii="Palatino Linotype" w:eastAsia="Palatino Linotype" w:hAnsi="Palatino Linotype" w:cs="Palatino Linotype"/>
          <w:color w:val="000000"/>
          <w:sz w:val="22"/>
          <w:szCs w:val="22"/>
        </w:rPr>
      </w:pPr>
    </w:p>
    <w:p w14:paraId="78CB1DF0" w14:textId="77777777" w:rsidR="00AD2BB3" w:rsidRPr="006E2C6C" w:rsidRDefault="00352597" w:rsidP="00CA610A">
      <w:pPr>
        <w:numPr>
          <w:ilvl w:val="0"/>
          <w:numId w:val="2"/>
        </w:numPr>
        <w:shd w:val="clear" w:color="auto" w:fill="FFFFFF"/>
        <w:spacing w:after="280"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Asimismo, para la clasificación de la información, se deben observar los lineamientos correspondientes, los cuales disponen lo siguiente:</w:t>
      </w:r>
    </w:p>
    <w:p w14:paraId="23487959" w14:textId="77777777" w:rsidR="00AD2BB3" w:rsidRPr="006E2C6C" w:rsidRDefault="00AD2BB3" w:rsidP="00CA610A">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E641A3C"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Para aplicar la prueba de daño, es necesario traer a contexto los Lineamientos Generales en materia de clasificación y desclasificación de la información, así como para la elaboración de versiones públicas.</w:t>
      </w:r>
      <w:r w:rsidRPr="006E2C6C">
        <w:rPr>
          <w:rFonts w:ascii="Palatino Linotype" w:eastAsia="Palatino Linotype" w:hAnsi="Palatino Linotype" w:cs="Palatino Linotype"/>
          <w:color w:val="000000"/>
          <w:sz w:val="22"/>
          <w:szCs w:val="22"/>
          <w:vertAlign w:val="superscript"/>
        </w:rPr>
        <w:footnoteReference w:id="2"/>
      </w:r>
    </w:p>
    <w:p w14:paraId="514F2D89" w14:textId="77777777" w:rsidR="00AD2BB3" w:rsidRPr="006E2C6C" w:rsidRDefault="00352597" w:rsidP="00CA610A">
      <w:pPr>
        <w:spacing w:line="360" w:lineRule="auto"/>
        <w:ind w:left="567"/>
        <w:jc w:val="center"/>
        <w:rPr>
          <w:rFonts w:ascii="Palatino Linotype" w:eastAsia="Palatino Linotype" w:hAnsi="Palatino Linotype" w:cs="Palatino Linotype"/>
          <w:b/>
          <w:i/>
          <w:sz w:val="22"/>
          <w:szCs w:val="22"/>
        </w:rPr>
      </w:pPr>
      <w:r w:rsidRPr="006E2C6C">
        <w:rPr>
          <w:rFonts w:ascii="Palatino Linotype" w:eastAsia="Palatino Linotype" w:hAnsi="Palatino Linotype" w:cs="Palatino Linotype"/>
          <w:b/>
          <w:i/>
          <w:sz w:val="22"/>
          <w:szCs w:val="22"/>
        </w:rPr>
        <w:t>TÍTULO SEXTO</w:t>
      </w:r>
    </w:p>
    <w:p w14:paraId="6592D462" w14:textId="77777777" w:rsidR="00AD2BB3" w:rsidRPr="006E2C6C" w:rsidRDefault="00352597" w:rsidP="00CA610A">
      <w:pPr>
        <w:spacing w:line="360" w:lineRule="auto"/>
        <w:ind w:left="567"/>
        <w:jc w:val="center"/>
        <w:rPr>
          <w:rFonts w:ascii="Palatino Linotype" w:eastAsia="Palatino Linotype" w:hAnsi="Palatino Linotype" w:cs="Palatino Linotype"/>
          <w:b/>
          <w:i/>
          <w:sz w:val="22"/>
          <w:szCs w:val="22"/>
        </w:rPr>
      </w:pPr>
      <w:r w:rsidRPr="006E2C6C">
        <w:rPr>
          <w:rFonts w:ascii="Palatino Linotype" w:eastAsia="Palatino Linotype" w:hAnsi="Palatino Linotype" w:cs="Palatino Linotype"/>
          <w:b/>
          <w:i/>
          <w:sz w:val="22"/>
          <w:szCs w:val="22"/>
        </w:rPr>
        <w:t>INFORMACIÓN CLASIFICADA</w:t>
      </w:r>
    </w:p>
    <w:p w14:paraId="4CEA97DB" w14:textId="77777777" w:rsidR="00AD2BB3" w:rsidRPr="006E2C6C" w:rsidRDefault="00352597" w:rsidP="00CA610A">
      <w:pPr>
        <w:spacing w:line="360" w:lineRule="auto"/>
        <w:ind w:left="567"/>
        <w:jc w:val="center"/>
        <w:rPr>
          <w:rFonts w:ascii="Palatino Linotype" w:eastAsia="Palatino Linotype" w:hAnsi="Palatino Linotype" w:cs="Palatino Linotype"/>
          <w:b/>
          <w:i/>
          <w:sz w:val="22"/>
          <w:szCs w:val="22"/>
        </w:rPr>
      </w:pPr>
      <w:r w:rsidRPr="006E2C6C">
        <w:rPr>
          <w:rFonts w:ascii="Palatino Linotype" w:eastAsia="Palatino Linotype" w:hAnsi="Palatino Linotype" w:cs="Palatino Linotype"/>
          <w:b/>
          <w:i/>
          <w:sz w:val="22"/>
          <w:szCs w:val="22"/>
        </w:rPr>
        <w:t>Capítulo I</w:t>
      </w:r>
    </w:p>
    <w:p w14:paraId="5ED087BF" w14:textId="77777777" w:rsidR="00AD2BB3" w:rsidRPr="006E2C6C" w:rsidRDefault="00352597" w:rsidP="00CA610A">
      <w:pPr>
        <w:spacing w:line="360" w:lineRule="auto"/>
        <w:ind w:left="567"/>
        <w:jc w:val="center"/>
        <w:rPr>
          <w:rFonts w:ascii="Palatino Linotype" w:eastAsia="Palatino Linotype" w:hAnsi="Palatino Linotype" w:cs="Palatino Linotype"/>
          <w:b/>
          <w:i/>
          <w:sz w:val="22"/>
          <w:szCs w:val="22"/>
        </w:rPr>
      </w:pPr>
      <w:r w:rsidRPr="006E2C6C">
        <w:rPr>
          <w:rFonts w:ascii="Palatino Linotype" w:eastAsia="Palatino Linotype" w:hAnsi="Palatino Linotype" w:cs="Palatino Linotype"/>
          <w:b/>
          <w:i/>
          <w:sz w:val="22"/>
          <w:szCs w:val="22"/>
        </w:rPr>
        <w:t>De las disposiciones generales de la clasificación y desclasificación de la información</w:t>
      </w:r>
    </w:p>
    <w:p w14:paraId="00F48667" w14:textId="77777777" w:rsidR="00AD2BB3" w:rsidRPr="006E2C6C" w:rsidRDefault="00AD2BB3" w:rsidP="00CA610A">
      <w:pPr>
        <w:spacing w:line="360" w:lineRule="auto"/>
        <w:ind w:left="567"/>
        <w:jc w:val="center"/>
        <w:rPr>
          <w:rFonts w:ascii="Palatino Linotype" w:eastAsia="Palatino Linotype" w:hAnsi="Palatino Linotype" w:cs="Palatino Linotype"/>
          <w:i/>
          <w:sz w:val="22"/>
          <w:szCs w:val="22"/>
        </w:rPr>
      </w:pPr>
    </w:p>
    <w:p w14:paraId="3FD4D2FE" w14:textId="77777777" w:rsidR="00AD2BB3" w:rsidRPr="006E2C6C" w:rsidRDefault="00352597" w:rsidP="00CA610A">
      <w:pPr>
        <w:spacing w:line="360" w:lineRule="auto"/>
        <w:ind w:left="567"/>
        <w:jc w:val="both"/>
        <w:rPr>
          <w:rFonts w:ascii="Palatino Linotype" w:eastAsia="Palatino Linotype" w:hAnsi="Palatino Linotype" w:cs="Palatino Linotype"/>
          <w:i/>
          <w:sz w:val="22"/>
          <w:szCs w:val="22"/>
        </w:rPr>
      </w:pPr>
      <w:r w:rsidRPr="006E2C6C">
        <w:rPr>
          <w:rFonts w:ascii="Palatino Linotype" w:eastAsia="Palatino Linotype" w:hAnsi="Palatino Linotype" w:cs="Palatino Linotype"/>
          <w:i/>
          <w:sz w:val="22"/>
          <w:szCs w:val="22"/>
        </w:rPr>
        <w:lastRenderedPageBreak/>
        <w:t>Artículo 104. En la aplicación de la prueba de daño, el sujeto obligado deberá justificar que: I. La divulgación de la información representa un riesgo real, demostrable e identificable de perjuicio significativo al interés público o a la seguridad nacional; II. El riesgo de perjuicio que supondría la divulgación supera el interés público general de que se difunda, y III. La limitación se adecua al principio de proporcionalidad y representa el medio menos restrictivo disponible para evitar el perjuicio.</w:t>
      </w:r>
    </w:p>
    <w:p w14:paraId="62AF2F3E" w14:textId="77777777" w:rsidR="00AD2BB3" w:rsidRPr="006E2C6C" w:rsidRDefault="00AD2BB3" w:rsidP="00CA610A">
      <w:pPr>
        <w:spacing w:line="360" w:lineRule="auto"/>
        <w:ind w:left="567"/>
        <w:jc w:val="both"/>
        <w:rPr>
          <w:rFonts w:ascii="Palatino Linotype" w:eastAsia="Palatino Linotype" w:hAnsi="Palatino Linotype" w:cs="Palatino Linotype"/>
          <w:i/>
          <w:sz w:val="22"/>
          <w:szCs w:val="22"/>
        </w:rPr>
      </w:pPr>
    </w:p>
    <w:p w14:paraId="75B44213" w14:textId="77777777" w:rsidR="00AD2BB3" w:rsidRPr="006E2C6C" w:rsidRDefault="00352597" w:rsidP="00CA610A">
      <w:pPr>
        <w:shd w:val="clear" w:color="auto" w:fill="FFFFFF"/>
        <w:spacing w:line="360" w:lineRule="auto"/>
        <w:ind w:left="567"/>
        <w:jc w:val="center"/>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t>CAPÍTULO V</w:t>
      </w:r>
    </w:p>
    <w:p w14:paraId="1F57C9F7" w14:textId="77777777" w:rsidR="00AD2BB3" w:rsidRPr="006E2C6C" w:rsidRDefault="00352597" w:rsidP="00CA610A">
      <w:pPr>
        <w:shd w:val="clear" w:color="auto" w:fill="FFFFFF"/>
        <w:spacing w:line="360" w:lineRule="auto"/>
        <w:ind w:left="567"/>
        <w:jc w:val="center"/>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t>DE LA INFORMACIÓN RESERVADA</w:t>
      </w:r>
    </w:p>
    <w:p w14:paraId="05EBD456" w14:textId="77777777" w:rsidR="00AD2BB3" w:rsidRPr="006E2C6C" w:rsidRDefault="00AD2BB3" w:rsidP="00CA610A">
      <w:pPr>
        <w:spacing w:line="360" w:lineRule="auto"/>
        <w:ind w:left="567"/>
        <w:jc w:val="both"/>
        <w:rPr>
          <w:rFonts w:ascii="Palatino Linotype" w:eastAsia="Palatino Linotype" w:hAnsi="Palatino Linotype" w:cs="Palatino Linotype"/>
          <w:i/>
          <w:sz w:val="22"/>
          <w:szCs w:val="22"/>
        </w:rPr>
      </w:pPr>
    </w:p>
    <w:p w14:paraId="433DA548" w14:textId="77777777" w:rsidR="00AD2BB3" w:rsidRPr="006E2C6C" w:rsidRDefault="00352597" w:rsidP="00CA610A">
      <w:pPr>
        <w:shd w:val="clear" w:color="auto" w:fill="FFFFFF"/>
        <w:spacing w:after="82" w:line="360" w:lineRule="auto"/>
        <w:ind w:left="567"/>
        <w:jc w:val="both"/>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t>Trigésimo tercero. </w:t>
      </w:r>
      <w:r w:rsidRPr="006E2C6C">
        <w:rPr>
          <w:rFonts w:ascii="Palatino Linotype" w:eastAsia="Palatino Linotype" w:hAnsi="Palatino Linotype" w:cs="Palatino Linotype"/>
          <w:i/>
          <w:color w:val="2F2F2F"/>
          <w:sz w:val="22"/>
          <w:szCs w:val="22"/>
        </w:rPr>
        <w:t>Para la aplicación de la prueba de daño a la que hace referencia el artículo 104 de la Ley General, los sujetos obligados atenderán lo siguiente:</w:t>
      </w:r>
    </w:p>
    <w:p w14:paraId="2EFAA448" w14:textId="77777777" w:rsidR="00AD2BB3" w:rsidRPr="006E2C6C" w:rsidRDefault="00352597" w:rsidP="00CA610A">
      <w:pPr>
        <w:shd w:val="clear" w:color="auto" w:fill="FFFFFF"/>
        <w:spacing w:after="82" w:line="360" w:lineRule="auto"/>
        <w:ind w:left="567"/>
        <w:jc w:val="both"/>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t>I.</w:t>
      </w:r>
      <w:r w:rsidRPr="006E2C6C">
        <w:rPr>
          <w:rFonts w:ascii="Palatino Linotype" w:eastAsia="Palatino Linotype" w:hAnsi="Palatino Linotype" w:cs="Palatino Linotype"/>
          <w:i/>
          <w:color w:val="2F2F2F"/>
          <w:sz w:val="22"/>
          <w:szCs w:val="22"/>
        </w:rPr>
        <w:t>        Se deberá citar la fracción y, en su caso, la causal aplicable del artículo 113 de la Ley General, vinculándola con el Lineamiento específico del presente ordenamiento y, cuando corresponda, el supuesto normativo que expresamente le otorga el carácter de información reservada;</w:t>
      </w:r>
    </w:p>
    <w:p w14:paraId="607D31ED" w14:textId="77777777" w:rsidR="00AD2BB3" w:rsidRPr="006E2C6C" w:rsidRDefault="00352597" w:rsidP="00CA610A">
      <w:pPr>
        <w:shd w:val="clear" w:color="auto" w:fill="FFFFFF"/>
        <w:spacing w:after="82" w:line="360" w:lineRule="auto"/>
        <w:ind w:left="567"/>
        <w:jc w:val="both"/>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t>II.</w:t>
      </w:r>
      <w:r w:rsidRPr="006E2C6C">
        <w:rPr>
          <w:rFonts w:ascii="Palatino Linotype" w:eastAsia="Palatino Linotype" w:hAnsi="Palatino Linotype" w:cs="Palatino Linotype"/>
          <w:i/>
          <w:color w:val="2F2F2F"/>
          <w:sz w:val="22"/>
          <w:szCs w:val="22"/>
        </w:rPr>
        <w:t>       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14:paraId="3DF12DC9" w14:textId="77777777" w:rsidR="00AD2BB3" w:rsidRPr="006E2C6C" w:rsidRDefault="00352597" w:rsidP="00CA610A">
      <w:pPr>
        <w:shd w:val="clear" w:color="auto" w:fill="FFFFFF"/>
        <w:spacing w:after="82" w:line="360" w:lineRule="auto"/>
        <w:ind w:left="567"/>
        <w:jc w:val="both"/>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t>III.</w:t>
      </w:r>
      <w:r w:rsidRPr="006E2C6C">
        <w:rPr>
          <w:rFonts w:ascii="Palatino Linotype" w:eastAsia="Palatino Linotype" w:hAnsi="Palatino Linotype" w:cs="Palatino Linotype"/>
          <w:i/>
          <w:color w:val="2F2F2F"/>
          <w:sz w:val="22"/>
          <w:szCs w:val="22"/>
        </w:rPr>
        <w:t>      Se debe de acreditar el vínculo entre la difusión de la información y la afectación del interés jurídico tutelado de que se trate;</w:t>
      </w:r>
    </w:p>
    <w:p w14:paraId="687645F1" w14:textId="77777777" w:rsidR="00AD2BB3" w:rsidRPr="006E2C6C" w:rsidRDefault="00352597" w:rsidP="00CA610A">
      <w:pPr>
        <w:shd w:val="clear" w:color="auto" w:fill="FFFFFF"/>
        <w:spacing w:after="82" w:line="360" w:lineRule="auto"/>
        <w:ind w:left="567"/>
        <w:jc w:val="both"/>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t>IV.</w:t>
      </w:r>
      <w:r w:rsidRPr="006E2C6C">
        <w:rPr>
          <w:rFonts w:ascii="Palatino Linotype" w:eastAsia="Palatino Linotype" w:hAnsi="Palatino Linotype" w:cs="Palatino Linotype"/>
          <w:i/>
          <w:color w:val="2F2F2F"/>
          <w:sz w:val="22"/>
          <w:szCs w:val="22"/>
        </w:rPr>
        <w:t>      Precisar las razones objetivas por las que la apertura de la información generaría una afectación, a través de los elementos de un riesgo real, demostrable e identificable;</w:t>
      </w:r>
    </w:p>
    <w:p w14:paraId="1C662B29" w14:textId="77777777" w:rsidR="00AD2BB3" w:rsidRPr="006E2C6C" w:rsidRDefault="00352597" w:rsidP="00CA610A">
      <w:pPr>
        <w:shd w:val="clear" w:color="auto" w:fill="FFFFFF"/>
        <w:spacing w:after="82" w:line="360" w:lineRule="auto"/>
        <w:ind w:left="567"/>
        <w:jc w:val="both"/>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t>V.</w:t>
      </w:r>
      <w:r w:rsidRPr="006E2C6C">
        <w:rPr>
          <w:rFonts w:ascii="Palatino Linotype" w:eastAsia="Palatino Linotype" w:hAnsi="Palatino Linotype" w:cs="Palatino Linotype"/>
          <w:i/>
          <w:color w:val="2F2F2F"/>
          <w:sz w:val="22"/>
          <w:szCs w:val="22"/>
        </w:rPr>
        <w:t>       En la motivación de la clasificación, el sujeto obligado deberá acreditar las circunstancias de modo, tiempo y lugar del daño, y</w:t>
      </w:r>
    </w:p>
    <w:p w14:paraId="169279FF" w14:textId="77777777" w:rsidR="00AD2BB3" w:rsidRPr="006E2C6C" w:rsidRDefault="00352597" w:rsidP="00CA610A">
      <w:pPr>
        <w:shd w:val="clear" w:color="auto" w:fill="FFFFFF"/>
        <w:spacing w:after="82" w:line="360" w:lineRule="auto"/>
        <w:ind w:left="567"/>
        <w:jc w:val="both"/>
        <w:rPr>
          <w:rFonts w:ascii="Palatino Linotype" w:eastAsia="Palatino Linotype" w:hAnsi="Palatino Linotype" w:cs="Palatino Linotype"/>
          <w:i/>
          <w:color w:val="2F2F2F"/>
          <w:sz w:val="22"/>
          <w:szCs w:val="22"/>
        </w:rPr>
      </w:pPr>
      <w:r w:rsidRPr="006E2C6C">
        <w:rPr>
          <w:rFonts w:ascii="Palatino Linotype" w:eastAsia="Palatino Linotype" w:hAnsi="Palatino Linotype" w:cs="Palatino Linotype"/>
          <w:b/>
          <w:i/>
          <w:color w:val="2F2F2F"/>
          <w:sz w:val="22"/>
          <w:szCs w:val="22"/>
        </w:rPr>
        <w:lastRenderedPageBreak/>
        <w:t>VI.</w:t>
      </w:r>
      <w:r w:rsidRPr="006E2C6C">
        <w:rPr>
          <w:rFonts w:ascii="Palatino Linotype" w:eastAsia="Palatino Linotype" w:hAnsi="Palatino Linotype" w:cs="Palatino Linotype"/>
          <w:i/>
          <w:color w:val="2F2F2F"/>
          <w:sz w:val="22"/>
          <w:szCs w:val="22"/>
        </w:rPr>
        <w:t>      Deberán elegir la opción de excepción al acceso a la información que menos lo restrinja, la cual será adecuada y proporcional para la protección del interés público, y deberá interferir lo menos posible en el ejercicio efectivo del derecho de acceso a la información.</w:t>
      </w:r>
    </w:p>
    <w:p w14:paraId="0C5EE4A9" w14:textId="77777777" w:rsidR="00AD2BB3" w:rsidRPr="006E2C6C" w:rsidRDefault="00AD2BB3" w:rsidP="00CA610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2F76E3A3"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Dicho lo anterior, es necesario analizar detalladamente el acta del comité de transparencia del Sujeto Obligado que sustenta la pretendida clasificación, a efecto de demostrar si cumple cabalmente con las formalidades exigidas por la normatividad en materia de clasificación y desclasificación de la información.</w:t>
      </w:r>
    </w:p>
    <w:p w14:paraId="7F07BF8D" w14:textId="77777777" w:rsidR="00AD2BB3" w:rsidRPr="006E2C6C" w:rsidRDefault="00AD2BB3" w:rsidP="00CA610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74C6E2B" w14:textId="77777777" w:rsidR="00AD2BB3" w:rsidRPr="006E2C6C" w:rsidRDefault="00352597" w:rsidP="00CA610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Ahora bien, una vez analizadas las formalidades que exige la normatividad en la materia para la clasificación de la información como reservada, es necesario analizar las documentales entregadas por el Sujeto Obligado, por lo que se procede a realizar el siguiente análisis: </w:t>
      </w:r>
    </w:p>
    <w:p w14:paraId="7A2B61D3"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tbl>
      <w:tblPr>
        <w:tblStyle w:val="a2"/>
        <w:tblW w:w="932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1417"/>
        <w:gridCol w:w="5382"/>
      </w:tblGrid>
      <w:tr w:rsidR="00AD2BB3" w:rsidRPr="006E2C6C" w14:paraId="4AB65D2B" w14:textId="77777777">
        <w:tc>
          <w:tcPr>
            <w:tcW w:w="2527" w:type="dxa"/>
            <w:tcBorders>
              <w:top w:val="nil"/>
              <w:left w:val="nil"/>
            </w:tcBorders>
          </w:tcPr>
          <w:p w14:paraId="6D54E5AB" w14:textId="77777777" w:rsidR="00AD2BB3" w:rsidRPr="006E2C6C" w:rsidRDefault="00AD2BB3" w:rsidP="00CA610A">
            <w:pPr>
              <w:pBdr>
                <w:top w:val="nil"/>
                <w:left w:val="nil"/>
                <w:bottom w:val="nil"/>
                <w:right w:val="nil"/>
                <w:between w:val="nil"/>
              </w:pBdr>
              <w:spacing w:after="120"/>
              <w:ind w:left="47"/>
              <w:rPr>
                <w:rFonts w:ascii="Palatino Linotype" w:eastAsia="Palatino Linotype" w:hAnsi="Palatino Linotype" w:cs="Palatino Linotype"/>
                <w:b/>
                <w:color w:val="000000"/>
                <w:sz w:val="22"/>
                <w:szCs w:val="22"/>
              </w:rPr>
            </w:pPr>
          </w:p>
        </w:tc>
        <w:tc>
          <w:tcPr>
            <w:tcW w:w="1417" w:type="dxa"/>
            <w:tcBorders>
              <w:bottom w:val="single" w:sz="4" w:space="0" w:color="000000"/>
            </w:tcBorders>
            <w:shd w:val="clear" w:color="auto" w:fill="BFBFBF"/>
            <w:vAlign w:val="bottom"/>
          </w:tcPr>
          <w:p w14:paraId="6CFBC170" w14:textId="77777777" w:rsidR="00AD2BB3" w:rsidRPr="006E2C6C" w:rsidRDefault="00352597" w:rsidP="00CA610A">
            <w:pPr>
              <w:pBdr>
                <w:top w:val="nil"/>
                <w:left w:val="nil"/>
                <w:bottom w:val="nil"/>
                <w:right w:val="nil"/>
                <w:between w:val="nil"/>
              </w:pBdr>
              <w:spacing w:after="120"/>
              <w:ind w:left="47"/>
              <w:jc w:val="center"/>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Cumplió:</w:t>
            </w:r>
          </w:p>
        </w:tc>
        <w:tc>
          <w:tcPr>
            <w:tcW w:w="5382" w:type="dxa"/>
            <w:tcBorders>
              <w:bottom w:val="single" w:sz="4" w:space="0" w:color="000000"/>
            </w:tcBorders>
            <w:shd w:val="clear" w:color="auto" w:fill="BFBFBF"/>
            <w:vAlign w:val="bottom"/>
          </w:tcPr>
          <w:p w14:paraId="1138CA52" w14:textId="77777777" w:rsidR="00AD2BB3" w:rsidRPr="006E2C6C" w:rsidRDefault="00352597" w:rsidP="00CA610A">
            <w:pPr>
              <w:pBdr>
                <w:top w:val="nil"/>
                <w:left w:val="nil"/>
                <w:bottom w:val="nil"/>
                <w:right w:val="nil"/>
                <w:between w:val="nil"/>
              </w:pBdr>
              <w:spacing w:after="120"/>
              <w:ind w:left="47"/>
              <w:jc w:val="center"/>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b/>
                <w:color w:val="000000"/>
                <w:sz w:val="22"/>
                <w:szCs w:val="22"/>
              </w:rPr>
              <w:t>Contenido</w:t>
            </w:r>
          </w:p>
        </w:tc>
      </w:tr>
      <w:tr w:rsidR="00AD2BB3" w:rsidRPr="006E2C6C" w14:paraId="0F30C595" w14:textId="77777777">
        <w:trPr>
          <w:trHeight w:val="903"/>
        </w:trPr>
        <w:tc>
          <w:tcPr>
            <w:tcW w:w="2527" w:type="dxa"/>
            <w:vAlign w:val="center"/>
          </w:tcPr>
          <w:p w14:paraId="512108FF" w14:textId="77777777" w:rsidR="00AD2BB3" w:rsidRPr="006E2C6C" w:rsidRDefault="00352597" w:rsidP="00CA610A">
            <w:pPr>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Número de folio de la solicitud</w:t>
            </w:r>
          </w:p>
        </w:tc>
        <w:tc>
          <w:tcPr>
            <w:tcW w:w="1417" w:type="dxa"/>
            <w:tcBorders>
              <w:top w:val="single" w:sz="4" w:space="0" w:color="000000"/>
            </w:tcBorders>
            <w:vAlign w:val="center"/>
          </w:tcPr>
          <w:p w14:paraId="7B62F853" w14:textId="77777777" w:rsidR="00AD2BB3" w:rsidRPr="006E2C6C" w:rsidRDefault="00352597" w:rsidP="00CA610A">
            <w:pPr>
              <w:spacing w:after="120"/>
              <w:ind w:left="47"/>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No</w:t>
            </w:r>
          </w:p>
        </w:tc>
        <w:tc>
          <w:tcPr>
            <w:tcW w:w="5382" w:type="dxa"/>
            <w:tcBorders>
              <w:top w:val="single" w:sz="4" w:space="0" w:color="000000"/>
            </w:tcBorders>
            <w:vAlign w:val="center"/>
          </w:tcPr>
          <w:p w14:paraId="1EDD7241" w14:textId="77777777" w:rsidR="00AD2BB3" w:rsidRPr="006E2C6C" w:rsidRDefault="00352597" w:rsidP="00CA610A">
            <w:pPr>
              <w:spacing w:after="120"/>
              <w:rPr>
                <w:rFonts w:ascii="Palatino Linotype" w:eastAsia="Palatino Linotype" w:hAnsi="Palatino Linotype" w:cs="Palatino Linotype"/>
                <w:sz w:val="22"/>
                <w:szCs w:val="22"/>
              </w:rPr>
            </w:pPr>
            <w:r w:rsidRPr="006E2C6C">
              <w:rPr>
                <w:rFonts w:ascii="Palatino Linotype" w:eastAsia="Palatino Linotype" w:hAnsi="Palatino Linotype" w:cs="Palatino Linotype"/>
                <w:noProof/>
                <w:sz w:val="22"/>
                <w:szCs w:val="22"/>
              </w:rPr>
              <w:drawing>
                <wp:inline distT="0" distB="0" distL="0" distR="0" wp14:anchorId="5BF35D16" wp14:editId="2246FC9F">
                  <wp:extent cx="3238367" cy="98689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238367" cy="986894"/>
                          </a:xfrm>
                          <a:prstGeom prst="rect">
                            <a:avLst/>
                          </a:prstGeom>
                          <a:ln/>
                        </pic:spPr>
                      </pic:pic>
                    </a:graphicData>
                  </a:graphic>
                </wp:inline>
              </w:drawing>
            </w:r>
          </w:p>
          <w:p w14:paraId="3074E2E2" w14:textId="77777777" w:rsidR="00AD2BB3" w:rsidRPr="006E2C6C" w:rsidRDefault="00AD2BB3" w:rsidP="00CA610A">
            <w:pPr>
              <w:spacing w:after="120"/>
              <w:rPr>
                <w:rFonts w:ascii="Palatino Linotype" w:eastAsia="Palatino Linotype" w:hAnsi="Palatino Linotype" w:cs="Palatino Linotype"/>
                <w:sz w:val="22"/>
                <w:szCs w:val="22"/>
              </w:rPr>
            </w:pPr>
          </w:p>
        </w:tc>
      </w:tr>
      <w:tr w:rsidR="00AD2BB3" w:rsidRPr="006E2C6C" w14:paraId="36AD24A6" w14:textId="77777777">
        <w:tc>
          <w:tcPr>
            <w:tcW w:w="2527" w:type="dxa"/>
            <w:vAlign w:val="center"/>
          </w:tcPr>
          <w:p w14:paraId="5D18918F" w14:textId="77777777" w:rsidR="00AD2BB3" w:rsidRPr="006E2C6C" w:rsidRDefault="00352597" w:rsidP="00CA610A">
            <w:pPr>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 xml:space="preserve">Causal aplicable del artículo 113 de la Ley General, vinculándola con el Lineamiento específico del presente ordenamiento y, cuando corresponda, el supuesto normativo que expresamente le </w:t>
            </w:r>
            <w:r w:rsidRPr="006E2C6C">
              <w:rPr>
                <w:rFonts w:ascii="Palatino Linotype" w:eastAsia="Palatino Linotype" w:hAnsi="Palatino Linotype" w:cs="Palatino Linotype"/>
                <w:b/>
                <w:sz w:val="22"/>
                <w:szCs w:val="22"/>
              </w:rPr>
              <w:lastRenderedPageBreak/>
              <w:t>otorga el carácter de información reservada</w:t>
            </w:r>
          </w:p>
        </w:tc>
        <w:tc>
          <w:tcPr>
            <w:tcW w:w="1417" w:type="dxa"/>
            <w:vAlign w:val="center"/>
          </w:tcPr>
          <w:p w14:paraId="12951024" w14:textId="77777777" w:rsidR="00AD2BB3" w:rsidRPr="006E2C6C" w:rsidRDefault="00352597" w:rsidP="00CA610A">
            <w:pPr>
              <w:spacing w:after="120"/>
              <w:ind w:left="47"/>
              <w:jc w:val="center"/>
              <w:rPr>
                <w:rFonts w:ascii="Palatino Linotype" w:eastAsia="Palatino Linotype" w:hAnsi="Palatino Linotype" w:cs="Palatino Linotype"/>
                <w:sz w:val="22"/>
                <w:szCs w:val="22"/>
              </w:rPr>
            </w:pPr>
            <w:r w:rsidRPr="006E2C6C">
              <w:rPr>
                <w:rFonts w:ascii="Palatino Linotype" w:eastAsia="Palatino Linotype" w:hAnsi="Palatino Linotype" w:cs="Palatino Linotype"/>
                <w:b/>
                <w:sz w:val="22"/>
                <w:szCs w:val="22"/>
              </w:rPr>
              <w:lastRenderedPageBreak/>
              <w:t>Sí</w:t>
            </w:r>
          </w:p>
        </w:tc>
        <w:tc>
          <w:tcPr>
            <w:tcW w:w="5382" w:type="dxa"/>
            <w:vAlign w:val="center"/>
          </w:tcPr>
          <w:p w14:paraId="7B98EBD9" w14:textId="77777777" w:rsidR="00AD2BB3" w:rsidRPr="006E2C6C" w:rsidRDefault="00352597" w:rsidP="00CA610A">
            <w:pPr>
              <w:spacing w:after="120"/>
              <w:rPr>
                <w:rFonts w:ascii="Palatino Linotype" w:eastAsia="Palatino Linotype" w:hAnsi="Palatino Linotype" w:cs="Palatino Linotype"/>
                <w:sz w:val="22"/>
                <w:szCs w:val="22"/>
              </w:rPr>
            </w:pPr>
            <w:r w:rsidRPr="006E2C6C">
              <w:rPr>
                <w:rFonts w:ascii="Palatino Linotype" w:eastAsia="Palatino Linotype" w:hAnsi="Palatino Linotype" w:cs="Palatino Linotype"/>
                <w:noProof/>
                <w:sz w:val="22"/>
                <w:szCs w:val="22"/>
              </w:rPr>
              <w:drawing>
                <wp:inline distT="0" distB="0" distL="0" distR="0" wp14:anchorId="18561B42" wp14:editId="3A606EFF">
                  <wp:extent cx="3234594" cy="87811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234594" cy="878110"/>
                          </a:xfrm>
                          <a:prstGeom prst="rect">
                            <a:avLst/>
                          </a:prstGeom>
                          <a:ln/>
                        </pic:spPr>
                      </pic:pic>
                    </a:graphicData>
                  </a:graphic>
                </wp:inline>
              </w:drawing>
            </w:r>
          </w:p>
          <w:p w14:paraId="349CDB92" w14:textId="77777777" w:rsidR="00AD2BB3" w:rsidRPr="006E2C6C" w:rsidRDefault="00AD2BB3" w:rsidP="00CA610A">
            <w:pPr>
              <w:spacing w:after="120"/>
              <w:rPr>
                <w:rFonts w:ascii="Palatino Linotype" w:eastAsia="Palatino Linotype" w:hAnsi="Palatino Linotype" w:cs="Palatino Linotype"/>
                <w:sz w:val="22"/>
                <w:szCs w:val="22"/>
              </w:rPr>
            </w:pPr>
          </w:p>
          <w:p w14:paraId="00A02DB6" w14:textId="77777777" w:rsidR="00AD2BB3" w:rsidRPr="006E2C6C" w:rsidRDefault="00AD2BB3" w:rsidP="00CA610A">
            <w:pPr>
              <w:spacing w:after="120"/>
              <w:rPr>
                <w:rFonts w:ascii="Palatino Linotype" w:eastAsia="Palatino Linotype" w:hAnsi="Palatino Linotype" w:cs="Palatino Linotype"/>
                <w:sz w:val="22"/>
                <w:szCs w:val="22"/>
              </w:rPr>
            </w:pPr>
          </w:p>
          <w:p w14:paraId="1C063F0A" w14:textId="77777777" w:rsidR="00AD2BB3" w:rsidRPr="006E2C6C" w:rsidRDefault="00AD2BB3" w:rsidP="00CA610A">
            <w:pPr>
              <w:spacing w:after="120"/>
              <w:rPr>
                <w:rFonts w:ascii="Palatino Linotype" w:eastAsia="Palatino Linotype" w:hAnsi="Palatino Linotype" w:cs="Palatino Linotype"/>
                <w:sz w:val="22"/>
                <w:szCs w:val="22"/>
              </w:rPr>
            </w:pPr>
          </w:p>
        </w:tc>
      </w:tr>
      <w:tr w:rsidR="00AD2BB3" w:rsidRPr="006E2C6C" w14:paraId="5027ABD1" w14:textId="77777777">
        <w:tc>
          <w:tcPr>
            <w:tcW w:w="2527" w:type="dxa"/>
            <w:vAlign w:val="center"/>
          </w:tcPr>
          <w:p w14:paraId="2B63B442" w14:textId="77777777" w:rsidR="00AD2BB3" w:rsidRPr="006E2C6C" w:rsidRDefault="00352597" w:rsidP="00CA610A">
            <w:pPr>
              <w:tabs>
                <w:tab w:val="left" w:pos="317"/>
              </w:tabs>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Fundamento y Motivación Legal</w:t>
            </w:r>
          </w:p>
        </w:tc>
        <w:tc>
          <w:tcPr>
            <w:tcW w:w="1417" w:type="dxa"/>
            <w:vAlign w:val="center"/>
          </w:tcPr>
          <w:p w14:paraId="2B070FC2" w14:textId="77777777" w:rsidR="00AD2BB3" w:rsidRPr="006E2C6C" w:rsidRDefault="00352597" w:rsidP="00CA610A">
            <w:pPr>
              <w:spacing w:after="120"/>
              <w:ind w:left="47"/>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No</w:t>
            </w:r>
          </w:p>
        </w:tc>
        <w:tc>
          <w:tcPr>
            <w:tcW w:w="5382" w:type="dxa"/>
            <w:vAlign w:val="center"/>
          </w:tcPr>
          <w:p w14:paraId="48F45FC4" w14:textId="77777777" w:rsidR="00AD2BB3" w:rsidRPr="006E2C6C" w:rsidRDefault="00352597" w:rsidP="00CA610A">
            <w:pPr>
              <w:spacing w:after="120"/>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Solo se refieren a preceptos legales.</w:t>
            </w:r>
          </w:p>
          <w:p w14:paraId="620AB752" w14:textId="77777777" w:rsidR="00AD2BB3" w:rsidRPr="006E2C6C" w:rsidRDefault="00AD2BB3" w:rsidP="00CA610A">
            <w:pPr>
              <w:spacing w:after="120"/>
              <w:rPr>
                <w:rFonts w:ascii="Palatino Linotype" w:eastAsia="Palatino Linotype" w:hAnsi="Palatino Linotype" w:cs="Palatino Linotype"/>
                <w:b/>
                <w:sz w:val="22"/>
                <w:szCs w:val="22"/>
              </w:rPr>
            </w:pPr>
          </w:p>
        </w:tc>
      </w:tr>
      <w:tr w:rsidR="00AD2BB3" w:rsidRPr="006E2C6C" w14:paraId="047D7128" w14:textId="77777777">
        <w:trPr>
          <w:trHeight w:val="1850"/>
        </w:trPr>
        <w:tc>
          <w:tcPr>
            <w:tcW w:w="2527" w:type="dxa"/>
            <w:vAlign w:val="center"/>
          </w:tcPr>
          <w:p w14:paraId="1CF74167" w14:textId="77777777" w:rsidR="00AD2BB3" w:rsidRPr="006E2C6C" w:rsidRDefault="00352597" w:rsidP="00CA610A">
            <w:pPr>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Conexión entre los fundamentos y motivos que dieron origen a la Reserva de la información</w:t>
            </w:r>
          </w:p>
        </w:tc>
        <w:tc>
          <w:tcPr>
            <w:tcW w:w="1417" w:type="dxa"/>
            <w:vAlign w:val="center"/>
          </w:tcPr>
          <w:p w14:paraId="5494C30A" w14:textId="77777777" w:rsidR="00AD2BB3" w:rsidRPr="006E2C6C" w:rsidRDefault="00352597" w:rsidP="00CA610A">
            <w:pPr>
              <w:spacing w:after="120"/>
              <w:ind w:left="47"/>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NO</w:t>
            </w:r>
          </w:p>
        </w:tc>
        <w:tc>
          <w:tcPr>
            <w:tcW w:w="5382" w:type="dxa"/>
            <w:vAlign w:val="center"/>
          </w:tcPr>
          <w:p w14:paraId="6A0B406E" w14:textId="77777777" w:rsidR="00AD2BB3" w:rsidRPr="006E2C6C" w:rsidRDefault="00352597" w:rsidP="00CA610A">
            <w:pPr>
              <w:spacing w:after="120"/>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Solo se refieren a preceptos legales.</w:t>
            </w:r>
          </w:p>
          <w:p w14:paraId="4CB3A815" w14:textId="77777777" w:rsidR="00AD2BB3" w:rsidRPr="006E2C6C" w:rsidRDefault="00AD2BB3" w:rsidP="00CA610A">
            <w:pPr>
              <w:rPr>
                <w:rFonts w:ascii="Palatino Linotype" w:eastAsia="Palatino Linotype" w:hAnsi="Palatino Linotype" w:cs="Palatino Linotype"/>
                <w:sz w:val="22"/>
                <w:szCs w:val="22"/>
              </w:rPr>
            </w:pPr>
          </w:p>
          <w:p w14:paraId="23440B97" w14:textId="77777777" w:rsidR="00AD2BB3" w:rsidRPr="006E2C6C" w:rsidRDefault="00AD2BB3" w:rsidP="00CA610A">
            <w:pPr>
              <w:rPr>
                <w:rFonts w:ascii="Palatino Linotype" w:eastAsia="Palatino Linotype" w:hAnsi="Palatino Linotype" w:cs="Palatino Linotype"/>
                <w:sz w:val="22"/>
                <w:szCs w:val="22"/>
              </w:rPr>
            </w:pPr>
          </w:p>
        </w:tc>
      </w:tr>
      <w:tr w:rsidR="00AD2BB3" w:rsidRPr="006E2C6C" w14:paraId="29A45C19" w14:textId="77777777">
        <w:tc>
          <w:tcPr>
            <w:tcW w:w="9326" w:type="dxa"/>
            <w:gridSpan w:val="3"/>
            <w:shd w:val="clear" w:color="auto" w:fill="D9D9D9"/>
            <w:vAlign w:val="center"/>
          </w:tcPr>
          <w:p w14:paraId="5B6AC214" w14:textId="77777777" w:rsidR="00AD2BB3" w:rsidRPr="006E2C6C" w:rsidRDefault="00352597" w:rsidP="00CA610A">
            <w:pPr>
              <w:pBdr>
                <w:top w:val="nil"/>
                <w:left w:val="nil"/>
                <w:bottom w:val="nil"/>
                <w:right w:val="nil"/>
                <w:between w:val="nil"/>
              </w:pBdr>
              <w:spacing w:after="120"/>
              <w:ind w:left="29" w:firstLine="18"/>
              <w:jc w:val="center"/>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b/>
                <w:color w:val="000000"/>
                <w:sz w:val="22"/>
                <w:szCs w:val="22"/>
              </w:rPr>
              <w:t>Prueba de Daño</w:t>
            </w:r>
          </w:p>
        </w:tc>
      </w:tr>
      <w:tr w:rsidR="00AD2BB3" w:rsidRPr="006E2C6C" w14:paraId="09E96266" w14:textId="77777777">
        <w:trPr>
          <w:trHeight w:val="4667"/>
        </w:trPr>
        <w:tc>
          <w:tcPr>
            <w:tcW w:w="2527" w:type="dxa"/>
            <w:vAlign w:val="center"/>
          </w:tcPr>
          <w:p w14:paraId="216DF4F7" w14:textId="77777777" w:rsidR="00AD2BB3" w:rsidRPr="006E2C6C" w:rsidRDefault="00352597" w:rsidP="00CA610A">
            <w:pPr>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Riesgo Real, Demostrable e Identificable</w:t>
            </w:r>
          </w:p>
          <w:p w14:paraId="125B5EF5" w14:textId="77777777" w:rsidR="00AD2BB3" w:rsidRPr="006E2C6C" w:rsidRDefault="00352597" w:rsidP="00CA610A">
            <w:pPr>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(Modo, Tiempo y Lugar)</w:t>
            </w:r>
          </w:p>
        </w:tc>
        <w:tc>
          <w:tcPr>
            <w:tcW w:w="1417" w:type="dxa"/>
            <w:vAlign w:val="center"/>
          </w:tcPr>
          <w:p w14:paraId="56568B75" w14:textId="77777777" w:rsidR="00AD2BB3" w:rsidRPr="006E2C6C" w:rsidRDefault="00352597" w:rsidP="00CA610A">
            <w:pPr>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NO</w:t>
            </w:r>
          </w:p>
        </w:tc>
        <w:tc>
          <w:tcPr>
            <w:tcW w:w="5382" w:type="dxa"/>
            <w:vAlign w:val="center"/>
          </w:tcPr>
          <w:p w14:paraId="5130F905" w14:textId="77777777" w:rsidR="00AD2BB3" w:rsidRPr="006E2C6C" w:rsidRDefault="00352597" w:rsidP="00CA610A">
            <w:pPr>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No hay prueba de daño</w:t>
            </w:r>
          </w:p>
          <w:p w14:paraId="5ECE15C6" w14:textId="77777777" w:rsidR="00AD2BB3" w:rsidRPr="006E2C6C" w:rsidRDefault="00AD2BB3" w:rsidP="00CA610A">
            <w:pPr>
              <w:rPr>
                <w:rFonts w:ascii="Palatino Linotype" w:eastAsia="Palatino Linotype" w:hAnsi="Palatino Linotype" w:cs="Palatino Linotype"/>
                <w:sz w:val="22"/>
                <w:szCs w:val="22"/>
              </w:rPr>
            </w:pPr>
          </w:p>
          <w:p w14:paraId="2326286B" w14:textId="77777777" w:rsidR="00AD2BB3" w:rsidRPr="006E2C6C" w:rsidRDefault="00AD2BB3" w:rsidP="00CA610A">
            <w:pPr>
              <w:rPr>
                <w:rFonts w:ascii="Palatino Linotype" w:eastAsia="Palatino Linotype" w:hAnsi="Palatino Linotype" w:cs="Palatino Linotype"/>
                <w:sz w:val="22"/>
                <w:szCs w:val="22"/>
              </w:rPr>
            </w:pPr>
          </w:p>
        </w:tc>
      </w:tr>
      <w:tr w:rsidR="00AD2BB3" w:rsidRPr="006E2C6C" w14:paraId="4E2E64E2" w14:textId="77777777">
        <w:trPr>
          <w:trHeight w:val="1308"/>
        </w:trPr>
        <w:tc>
          <w:tcPr>
            <w:tcW w:w="2527" w:type="dxa"/>
            <w:vAlign w:val="center"/>
          </w:tcPr>
          <w:p w14:paraId="59708825" w14:textId="77777777" w:rsidR="00AD2BB3" w:rsidRPr="006E2C6C" w:rsidRDefault="00352597" w:rsidP="00CA610A">
            <w:pPr>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Temporalidad de la Reserva de la información</w:t>
            </w:r>
          </w:p>
        </w:tc>
        <w:tc>
          <w:tcPr>
            <w:tcW w:w="1417" w:type="dxa"/>
            <w:shd w:val="clear" w:color="auto" w:fill="auto"/>
            <w:vAlign w:val="center"/>
          </w:tcPr>
          <w:p w14:paraId="4D23C9E8" w14:textId="77777777" w:rsidR="00AD2BB3" w:rsidRPr="006E2C6C" w:rsidRDefault="00352597" w:rsidP="00CA610A">
            <w:pPr>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Sí</w:t>
            </w:r>
          </w:p>
        </w:tc>
        <w:tc>
          <w:tcPr>
            <w:tcW w:w="5382" w:type="dxa"/>
            <w:vAlign w:val="center"/>
          </w:tcPr>
          <w:p w14:paraId="7105BAA5" w14:textId="77777777" w:rsidR="00AD2BB3" w:rsidRPr="006E2C6C" w:rsidRDefault="00352597" w:rsidP="00CA610A">
            <w:pPr>
              <w:spacing w:after="120"/>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noProof/>
                <w:sz w:val="22"/>
                <w:szCs w:val="22"/>
              </w:rPr>
              <w:drawing>
                <wp:inline distT="0" distB="0" distL="0" distR="0" wp14:anchorId="208EF312" wp14:editId="270FC97D">
                  <wp:extent cx="3240115" cy="630334"/>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240115" cy="630334"/>
                          </a:xfrm>
                          <a:prstGeom prst="rect">
                            <a:avLst/>
                          </a:prstGeom>
                          <a:ln/>
                        </pic:spPr>
                      </pic:pic>
                    </a:graphicData>
                  </a:graphic>
                </wp:inline>
              </w:drawing>
            </w:r>
          </w:p>
          <w:p w14:paraId="03D64554" w14:textId="77777777" w:rsidR="00AD2BB3" w:rsidRPr="006E2C6C" w:rsidRDefault="00AD2BB3" w:rsidP="00CA610A">
            <w:pPr>
              <w:spacing w:after="120"/>
              <w:rPr>
                <w:rFonts w:ascii="Palatino Linotype" w:eastAsia="Palatino Linotype" w:hAnsi="Palatino Linotype" w:cs="Palatino Linotype"/>
                <w:b/>
                <w:sz w:val="22"/>
                <w:szCs w:val="22"/>
              </w:rPr>
            </w:pPr>
          </w:p>
        </w:tc>
      </w:tr>
      <w:tr w:rsidR="00AD2BB3" w:rsidRPr="006E2C6C" w14:paraId="3477D6C6" w14:textId="77777777">
        <w:trPr>
          <w:trHeight w:val="3517"/>
        </w:trPr>
        <w:tc>
          <w:tcPr>
            <w:tcW w:w="2527" w:type="dxa"/>
            <w:vAlign w:val="center"/>
          </w:tcPr>
          <w:p w14:paraId="64E102DF" w14:textId="77777777" w:rsidR="00AD2BB3" w:rsidRPr="006E2C6C" w:rsidRDefault="00352597" w:rsidP="00CA610A">
            <w:pPr>
              <w:tabs>
                <w:tab w:val="left" w:pos="317"/>
              </w:tabs>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lastRenderedPageBreak/>
              <w:t>Autoridades competentes.</w:t>
            </w:r>
          </w:p>
        </w:tc>
        <w:tc>
          <w:tcPr>
            <w:tcW w:w="1417" w:type="dxa"/>
            <w:vAlign w:val="center"/>
          </w:tcPr>
          <w:p w14:paraId="27381DDF" w14:textId="77777777" w:rsidR="00AD2BB3" w:rsidRPr="006E2C6C" w:rsidRDefault="00352597" w:rsidP="00CA610A">
            <w:pPr>
              <w:tabs>
                <w:tab w:val="left" w:pos="317"/>
              </w:tabs>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sz w:val="22"/>
                <w:szCs w:val="22"/>
              </w:rPr>
              <w:t>SI</w:t>
            </w:r>
          </w:p>
        </w:tc>
        <w:tc>
          <w:tcPr>
            <w:tcW w:w="5382" w:type="dxa"/>
            <w:vAlign w:val="center"/>
          </w:tcPr>
          <w:p w14:paraId="2EDECD54" w14:textId="77777777" w:rsidR="00AD2BB3" w:rsidRPr="006E2C6C" w:rsidRDefault="00352597" w:rsidP="00CA610A">
            <w:pPr>
              <w:tabs>
                <w:tab w:val="left" w:pos="317"/>
              </w:tabs>
              <w:spacing w:after="120"/>
              <w:jc w:val="center"/>
              <w:rPr>
                <w:rFonts w:ascii="Palatino Linotype" w:eastAsia="Palatino Linotype" w:hAnsi="Palatino Linotype" w:cs="Palatino Linotype"/>
                <w:b/>
                <w:sz w:val="22"/>
                <w:szCs w:val="22"/>
              </w:rPr>
            </w:pPr>
            <w:r w:rsidRPr="006E2C6C">
              <w:rPr>
                <w:rFonts w:ascii="Palatino Linotype" w:eastAsia="Palatino Linotype" w:hAnsi="Palatino Linotype" w:cs="Palatino Linotype"/>
                <w:b/>
                <w:noProof/>
                <w:sz w:val="22"/>
                <w:szCs w:val="22"/>
              </w:rPr>
              <w:drawing>
                <wp:inline distT="0" distB="0" distL="0" distR="0" wp14:anchorId="23B192FC" wp14:editId="6E608777">
                  <wp:extent cx="3292535" cy="173951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3292535" cy="1739513"/>
                          </a:xfrm>
                          <a:prstGeom prst="rect">
                            <a:avLst/>
                          </a:prstGeom>
                          <a:ln/>
                        </pic:spPr>
                      </pic:pic>
                    </a:graphicData>
                  </a:graphic>
                </wp:inline>
              </w:drawing>
            </w:r>
          </w:p>
        </w:tc>
      </w:tr>
    </w:tbl>
    <w:p w14:paraId="747739CD" w14:textId="77777777" w:rsidR="00AD2BB3" w:rsidRPr="006E2C6C" w:rsidRDefault="00352597"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 </w:t>
      </w:r>
    </w:p>
    <w:p w14:paraId="1CF15F71" w14:textId="77777777" w:rsidR="00AD2BB3" w:rsidRPr="006E2C6C" w:rsidRDefault="00AD2BB3" w:rsidP="00CA610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2E7302A" w14:textId="77777777" w:rsidR="00AD2BB3" w:rsidRPr="006E2C6C" w:rsidRDefault="00352597" w:rsidP="00CA610A">
      <w:pPr>
        <w:numPr>
          <w:ilvl w:val="0"/>
          <w:numId w:val="2"/>
        </w:numPr>
        <w:tabs>
          <w:tab w:val="left" w:pos="284"/>
        </w:tabs>
        <w:spacing w:line="360" w:lineRule="auto"/>
        <w:ind w:left="0" w:firstLine="0"/>
        <w:jc w:val="both"/>
        <w:rPr>
          <w:rFonts w:ascii="Palatino Linotype" w:eastAsia="Palatino Linotype" w:hAnsi="Palatino Linotype" w:cs="Palatino Linotype"/>
          <w:b/>
          <w:color w:val="000000"/>
          <w:sz w:val="22"/>
          <w:szCs w:val="22"/>
        </w:rPr>
      </w:pPr>
      <w:r w:rsidRPr="006E2C6C">
        <w:rPr>
          <w:rFonts w:ascii="Palatino Linotype" w:eastAsia="Palatino Linotype" w:hAnsi="Palatino Linotype" w:cs="Palatino Linotype"/>
          <w:sz w:val="22"/>
          <w:szCs w:val="22"/>
        </w:rPr>
        <w:t xml:space="preserve">Del análisis del acuerdo de reserva, se advierte que el sujeto obligado no funda y motiva adecuadamente la clasificación de la información como reservada, toda vez que de conformidad con lo establecido en el artículo 141 de la Ley de Transparencia del Estado, las causales de reserva se deberán fundar y motivar, a través de la aplicación de la prueba de daño, sin embargo, no se realizó, aunado a ello, el número de solicitud es diversa, si bien corresponde los mismos requerimientos, recordemos que el Sujeto deberá realizar una análisis caso por caso, por lo que debió entregar un acuerdo de reserva para la presente solicitud. </w:t>
      </w:r>
    </w:p>
    <w:p w14:paraId="2A2FAB5A" w14:textId="77777777" w:rsidR="00AD2BB3" w:rsidRPr="006E2C6C" w:rsidRDefault="00AD2BB3" w:rsidP="00CA610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01CD6B59" w14:textId="77777777" w:rsidR="00AD2BB3" w:rsidRPr="006E2C6C" w:rsidRDefault="00352597" w:rsidP="00CA610A">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b/>
          <w:color w:val="000000"/>
          <w:sz w:val="22"/>
          <w:szCs w:val="22"/>
        </w:rPr>
        <w:t>P</w:t>
      </w:r>
      <w:r w:rsidRPr="006E2C6C">
        <w:rPr>
          <w:rFonts w:ascii="Palatino Linotype" w:eastAsia="Palatino Linotype" w:hAnsi="Palatino Linotype" w:cs="Palatino Linotype"/>
          <w:sz w:val="22"/>
          <w:szCs w:val="22"/>
        </w:rPr>
        <w:t>or lo que, la decisión a efecto de que se considere debidamente fundado y motivado, debe de exponer los hechos relevantes para decidir, citando la norma y un argumento mínimo pero suficiente para acreditar el razonamiento del que se deduzca la relación de pertenencia lógica de los hechos al derecho invocado, que es la subsunción.</w:t>
      </w:r>
      <w:r w:rsidRPr="006E2C6C">
        <w:rPr>
          <w:rFonts w:ascii="Palatino Linotype" w:eastAsia="Palatino Linotype" w:hAnsi="Palatino Linotype" w:cs="Palatino Linotype"/>
          <w:b/>
          <w:color w:val="000000"/>
          <w:sz w:val="22"/>
          <w:szCs w:val="22"/>
        </w:rPr>
        <w:t xml:space="preserve"> </w:t>
      </w:r>
      <w:r w:rsidRPr="006E2C6C">
        <w:rPr>
          <w:rFonts w:ascii="Palatino Linotype" w:eastAsia="Palatino Linotype" w:hAnsi="Palatino Linotype" w:cs="Palatino Linotype"/>
          <w:sz w:val="22"/>
          <w:szCs w:val="22"/>
        </w:rPr>
        <w:t xml:space="preserve">Tal criterio se advierte de la tesis jurisprudencial I.4o.A. J/43, sustentada por el Cuarto Tribunal en Materia Administrativa del Primer Circuito, publicada en la página 1531 del Tomo XXIII, Mayo de 2006, del Semanario Judicial de la Federación y su Gaceta correspondiente a la Novena Época, que dice: </w:t>
      </w:r>
    </w:p>
    <w:p w14:paraId="409BEC08" w14:textId="77777777" w:rsidR="00AD2BB3" w:rsidRPr="006E2C6C" w:rsidRDefault="00352597" w:rsidP="00CA610A">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lastRenderedPageBreak/>
        <w:t>FUNDAMENTACIÓN Y MOTIVACIÓN. EL ASPECTO FORMAL DE LA GARANTÍA Y SU FINALIDAD SE TRADUCEN EN EXPLICAR, JUSTIFICAR, POSIBILITAR LA DEFENSA Y COMUNICAR LA DECISIÓN.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8BAB950" w14:textId="77777777" w:rsidR="00AD2BB3" w:rsidRPr="006E2C6C" w:rsidRDefault="00AD2BB3" w:rsidP="00CA610A">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2"/>
          <w:szCs w:val="22"/>
        </w:rPr>
      </w:pPr>
    </w:p>
    <w:p w14:paraId="6E640AB3" w14:textId="77777777" w:rsidR="00AD2BB3" w:rsidRPr="006E2C6C" w:rsidRDefault="00352597" w:rsidP="00CA610A">
      <w:pPr>
        <w:numPr>
          <w:ilvl w:val="0"/>
          <w:numId w:val="2"/>
        </w:numPr>
        <w:pBdr>
          <w:top w:val="nil"/>
          <w:left w:val="nil"/>
          <w:bottom w:val="nil"/>
          <w:right w:val="nil"/>
          <w:between w:val="nil"/>
        </w:pBdr>
        <w:tabs>
          <w:tab w:val="left" w:pos="284"/>
        </w:tabs>
        <w:spacing w:line="360" w:lineRule="auto"/>
        <w:ind w:left="0" w:firstLine="0"/>
        <w:jc w:val="both"/>
        <w:rPr>
          <w:color w:val="000000"/>
          <w:sz w:val="22"/>
          <w:szCs w:val="22"/>
        </w:rPr>
      </w:pPr>
      <w:r w:rsidRPr="006E2C6C">
        <w:rPr>
          <w:rFonts w:ascii="Palatino Linotype" w:eastAsia="Palatino Linotype" w:hAnsi="Palatino Linotype" w:cs="Palatino Linotype"/>
          <w:color w:val="000000"/>
          <w:sz w:val="22"/>
          <w:szCs w:val="22"/>
        </w:rPr>
        <w:t>Expuesto lo anterior, y conforme a la reserva de la información en el acuerdo ya analizado, se advierte que el sujeto obligado no fundó y motivó adecuadamente la reserva de la información.</w:t>
      </w:r>
    </w:p>
    <w:p w14:paraId="0EFB70AA" w14:textId="77777777" w:rsidR="00AD2BB3" w:rsidRPr="006E2C6C" w:rsidRDefault="00AD2BB3" w:rsidP="00CA610A">
      <w:pPr>
        <w:pBdr>
          <w:top w:val="nil"/>
          <w:left w:val="nil"/>
          <w:bottom w:val="nil"/>
          <w:right w:val="nil"/>
          <w:between w:val="nil"/>
        </w:pBdr>
        <w:tabs>
          <w:tab w:val="left" w:pos="284"/>
        </w:tabs>
        <w:spacing w:line="360" w:lineRule="auto"/>
        <w:jc w:val="both"/>
        <w:rPr>
          <w:color w:val="000000"/>
          <w:sz w:val="22"/>
          <w:szCs w:val="22"/>
        </w:rPr>
      </w:pPr>
    </w:p>
    <w:p w14:paraId="5F1DD225" w14:textId="77777777" w:rsidR="00AD2BB3" w:rsidRPr="006E2C6C" w:rsidRDefault="00352597" w:rsidP="00CA610A">
      <w:pPr>
        <w:numPr>
          <w:ilvl w:val="0"/>
          <w:numId w:val="2"/>
        </w:numPr>
        <w:pBdr>
          <w:top w:val="nil"/>
          <w:left w:val="nil"/>
          <w:bottom w:val="nil"/>
          <w:right w:val="nil"/>
          <w:between w:val="nil"/>
        </w:pBdr>
        <w:tabs>
          <w:tab w:val="left" w:pos="284"/>
        </w:tabs>
        <w:spacing w:line="360" w:lineRule="auto"/>
        <w:ind w:left="0" w:firstLine="0"/>
        <w:jc w:val="both"/>
        <w:rPr>
          <w:color w:val="000000"/>
          <w:sz w:val="22"/>
          <w:szCs w:val="22"/>
        </w:rPr>
      </w:pPr>
      <w:r w:rsidRPr="006E2C6C">
        <w:rPr>
          <w:rFonts w:ascii="Palatino Linotype" w:eastAsia="Palatino Linotype" w:hAnsi="Palatino Linotype" w:cs="Palatino Linotype"/>
          <w:color w:val="000000"/>
          <w:sz w:val="22"/>
          <w:szCs w:val="22"/>
        </w:rPr>
        <w:t>Seguidamente, para la prueba de daño los Lineamientos Generales en Materia de Clasificación y Desclasificación de la Información, así como para la elaboración de Versiones Públicas, consideran lo siguiente:</w:t>
      </w:r>
    </w:p>
    <w:p w14:paraId="1613AB9D"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b/>
          <w:i/>
          <w:color w:val="000000"/>
          <w:sz w:val="22"/>
          <w:szCs w:val="22"/>
        </w:rPr>
        <w:t>Trigésimo tercero.</w:t>
      </w:r>
      <w:r w:rsidRPr="006E2C6C">
        <w:rPr>
          <w:rFonts w:ascii="Palatino Linotype" w:eastAsia="Palatino Linotype" w:hAnsi="Palatino Linotype" w:cs="Palatino Linotype"/>
          <w:i/>
          <w:color w:val="000000"/>
          <w:sz w:val="22"/>
          <w:szCs w:val="22"/>
        </w:rPr>
        <w:t xml:space="preserve"> Para la aplicación de la prueba de daño a la que hace referencia el artículo 104 de la Ley General, los sujetos obligados atenderán lo siguiente:</w:t>
      </w:r>
    </w:p>
    <w:p w14:paraId="0BAB552B"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I.        Se deberá citar la fracción y, en su caso, la causal aplicable del artículo 113 de la Ley General, vinculándola con el Lineamiento específico del presente ordenamiento y, cuando corresponda, el supuesto normativo que expresamente le otorga el carácter de información reservada;</w:t>
      </w:r>
    </w:p>
    <w:p w14:paraId="46EF0FC3"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 xml:space="preserve">II.       Mediante la ponderación de los intereses en conflicto, los sujetos obligados deberán demostrar que la publicidad de la información solicitada generaría un </w:t>
      </w:r>
      <w:r w:rsidRPr="006E2C6C">
        <w:rPr>
          <w:rFonts w:ascii="Palatino Linotype" w:eastAsia="Palatino Linotype" w:hAnsi="Palatino Linotype" w:cs="Palatino Linotype"/>
          <w:b/>
          <w:i/>
          <w:color w:val="000000"/>
          <w:sz w:val="22"/>
          <w:szCs w:val="22"/>
        </w:rPr>
        <w:t xml:space="preserve">riesgo de perjuicio </w:t>
      </w:r>
      <w:r w:rsidRPr="006E2C6C">
        <w:rPr>
          <w:rFonts w:ascii="Palatino Linotype" w:eastAsia="Palatino Linotype" w:hAnsi="Palatino Linotype" w:cs="Palatino Linotype"/>
          <w:b/>
          <w:i/>
          <w:color w:val="000000"/>
          <w:sz w:val="22"/>
          <w:szCs w:val="22"/>
        </w:rPr>
        <w:lastRenderedPageBreak/>
        <w:t>y por lo tanto, tendrán que acreditar que este último rebasa el interés público protegido por la reserva;</w:t>
      </w:r>
    </w:p>
    <w:p w14:paraId="5C3C8E12"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III.      Se debe de acreditar el vínculo entre la difusión de la información y la afectación del interés jurídico tutelado de que se trate;</w:t>
      </w:r>
    </w:p>
    <w:p w14:paraId="1A232767"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IV.      Precisar las razones objetivas por las que la apertura de la información generaría una afectación, a través de los elementos de un riesgo real, demostrable e identificable;</w:t>
      </w:r>
    </w:p>
    <w:p w14:paraId="51AB4C3F"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 xml:space="preserve">V.       </w:t>
      </w:r>
      <w:r w:rsidRPr="006E2C6C">
        <w:rPr>
          <w:rFonts w:ascii="Palatino Linotype" w:eastAsia="Palatino Linotype" w:hAnsi="Palatino Linotype" w:cs="Palatino Linotype"/>
          <w:b/>
          <w:i/>
          <w:color w:val="000000"/>
          <w:sz w:val="22"/>
          <w:szCs w:val="22"/>
        </w:rPr>
        <w:t>En la motivación de la clasificación, el sujeto obligado deberá acreditar las circunstancias de modo, tiempo y lugar del daño</w:t>
      </w:r>
      <w:r w:rsidRPr="006E2C6C">
        <w:rPr>
          <w:rFonts w:ascii="Palatino Linotype" w:eastAsia="Palatino Linotype" w:hAnsi="Palatino Linotype" w:cs="Palatino Linotype"/>
          <w:i/>
          <w:color w:val="000000"/>
          <w:sz w:val="22"/>
          <w:szCs w:val="22"/>
        </w:rPr>
        <w:t>, y</w:t>
      </w:r>
    </w:p>
    <w:p w14:paraId="3398DEB6"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VI.      Deberán elegir la opción de excepción al acceso a la información que menos lo restrinja, la cual será adecuada y proporcional para la protección del interés público, y deberá interferir lo menos posible en el ejercicio efectivo del derecho de acceso a la información.</w:t>
      </w:r>
    </w:p>
    <w:p w14:paraId="0AA4AD15"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b/>
          <w:i/>
          <w:color w:val="000000"/>
          <w:sz w:val="22"/>
          <w:szCs w:val="22"/>
        </w:rPr>
        <w:t>Trigésimo cuarto.</w:t>
      </w:r>
      <w:r w:rsidRPr="006E2C6C">
        <w:rPr>
          <w:rFonts w:ascii="Palatino Linotype" w:eastAsia="Palatino Linotype" w:hAnsi="Palatino Linotype" w:cs="Palatino Linotype"/>
          <w:i/>
          <w:color w:val="000000"/>
          <w:sz w:val="22"/>
          <w:szCs w:val="22"/>
        </w:rPr>
        <w:t xml:space="preserve"> El periodo máximo por el que podría reservarse la información será de cinco años. El periodo de reserva correrá a partir de la fecha en que el Comité de Transparencia confirme la clasificación del expediente o documento.</w:t>
      </w:r>
    </w:p>
    <w:p w14:paraId="6A90C49C"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Asimismo, deberán señalar las razones por las cuales se estableció el plazo de reserva determinado.</w:t>
      </w:r>
    </w:p>
    <w:p w14:paraId="4ED38789" w14:textId="77777777" w:rsidR="00AD2BB3" w:rsidRPr="006E2C6C" w:rsidRDefault="00352597"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Excepcionalmente, los sujetos obligados, con la aprobación de su Comité de Transparencia, podrán ampliar el plazo de reserva hasta por un periodo de cinco años adicionales, siempre y cuando se justifique que subsisten las causas que dieron origen a su clasificación.</w:t>
      </w:r>
    </w:p>
    <w:p w14:paraId="24037E12" w14:textId="77777777" w:rsidR="00AD2BB3" w:rsidRPr="006E2C6C" w:rsidRDefault="00AD2BB3" w:rsidP="00CA610A">
      <w:pPr>
        <w:pBdr>
          <w:top w:val="nil"/>
          <w:left w:val="nil"/>
          <w:bottom w:val="nil"/>
          <w:right w:val="nil"/>
          <w:between w:val="nil"/>
        </w:pBdr>
        <w:ind w:left="1134"/>
        <w:jc w:val="both"/>
        <w:rPr>
          <w:rFonts w:ascii="Palatino Linotype" w:eastAsia="Palatino Linotype" w:hAnsi="Palatino Linotype" w:cs="Palatino Linotype"/>
          <w:i/>
          <w:color w:val="000000"/>
          <w:sz w:val="22"/>
          <w:szCs w:val="22"/>
        </w:rPr>
      </w:pPr>
    </w:p>
    <w:p w14:paraId="35083036" w14:textId="77777777" w:rsidR="00AD2BB3" w:rsidRPr="006E2C6C" w:rsidRDefault="00352597" w:rsidP="00CA610A">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 xml:space="preserve">En ese sentido, se </w:t>
      </w:r>
      <w:r w:rsidR="00216BE0" w:rsidRPr="006E2C6C">
        <w:rPr>
          <w:rFonts w:ascii="Palatino Linotype" w:eastAsia="Palatino Linotype" w:hAnsi="Palatino Linotype" w:cs="Palatino Linotype"/>
          <w:color w:val="000000"/>
          <w:sz w:val="22"/>
          <w:szCs w:val="22"/>
        </w:rPr>
        <w:t>advierte</w:t>
      </w:r>
      <w:r w:rsidRPr="006E2C6C">
        <w:rPr>
          <w:rFonts w:ascii="Palatino Linotype" w:eastAsia="Palatino Linotype" w:hAnsi="Palatino Linotype" w:cs="Palatino Linotype"/>
          <w:color w:val="000000"/>
          <w:sz w:val="22"/>
          <w:szCs w:val="22"/>
        </w:rPr>
        <w:t xml:space="preserve"> que </w:t>
      </w:r>
      <w:r w:rsidR="00216BE0" w:rsidRPr="006E2C6C">
        <w:rPr>
          <w:rFonts w:ascii="Palatino Linotype" w:eastAsia="Palatino Linotype" w:hAnsi="Palatino Linotype" w:cs="Palatino Linotype"/>
          <w:color w:val="000000"/>
          <w:sz w:val="22"/>
          <w:szCs w:val="22"/>
        </w:rPr>
        <w:t xml:space="preserve">en </w:t>
      </w:r>
      <w:r w:rsidRPr="006E2C6C">
        <w:rPr>
          <w:rFonts w:ascii="Palatino Linotype" w:eastAsia="Palatino Linotype" w:hAnsi="Palatino Linotype" w:cs="Palatino Linotype"/>
          <w:color w:val="000000"/>
          <w:sz w:val="22"/>
          <w:szCs w:val="22"/>
        </w:rPr>
        <w:t xml:space="preserve">el Acta remitida por el Comité de Transparencia del Sujeto Obligado, no </w:t>
      </w:r>
      <w:r w:rsidR="00216BE0" w:rsidRPr="006E2C6C">
        <w:rPr>
          <w:rFonts w:ascii="Palatino Linotype" w:eastAsia="Palatino Linotype" w:hAnsi="Palatino Linotype" w:cs="Palatino Linotype"/>
          <w:color w:val="000000"/>
          <w:sz w:val="22"/>
          <w:szCs w:val="22"/>
        </w:rPr>
        <w:t xml:space="preserve"> se fundó</w:t>
      </w:r>
      <w:r w:rsidRPr="006E2C6C">
        <w:rPr>
          <w:rFonts w:ascii="Palatino Linotype" w:eastAsia="Palatino Linotype" w:hAnsi="Palatino Linotype" w:cs="Palatino Linotype"/>
          <w:color w:val="000000"/>
          <w:sz w:val="22"/>
          <w:szCs w:val="22"/>
        </w:rPr>
        <w:t xml:space="preserve"> y motivo la reserva </w:t>
      </w:r>
      <w:r w:rsidR="00216BE0" w:rsidRPr="006E2C6C">
        <w:rPr>
          <w:rFonts w:ascii="Palatino Linotype" w:eastAsia="Palatino Linotype" w:hAnsi="Palatino Linotype" w:cs="Palatino Linotype"/>
          <w:color w:val="000000"/>
          <w:sz w:val="22"/>
          <w:szCs w:val="22"/>
        </w:rPr>
        <w:t xml:space="preserve">de la información, es decir, </w:t>
      </w:r>
      <w:r w:rsidRPr="006E2C6C">
        <w:rPr>
          <w:rFonts w:ascii="Palatino Linotype" w:eastAsia="Palatino Linotype" w:hAnsi="Palatino Linotype" w:cs="Palatino Linotype"/>
          <w:color w:val="000000"/>
          <w:sz w:val="22"/>
          <w:szCs w:val="22"/>
        </w:rPr>
        <w:t>no se acreditó el riesgo rea</w:t>
      </w:r>
      <w:r w:rsidR="00216BE0" w:rsidRPr="006E2C6C">
        <w:rPr>
          <w:rFonts w:ascii="Palatino Linotype" w:eastAsia="Palatino Linotype" w:hAnsi="Palatino Linotype" w:cs="Palatino Linotype"/>
          <w:color w:val="000000"/>
          <w:sz w:val="22"/>
          <w:szCs w:val="22"/>
        </w:rPr>
        <w:t xml:space="preserve">l, demostrable e identificable que apruebe la clasificación del Acta de Cabildo solicitada. </w:t>
      </w:r>
    </w:p>
    <w:p w14:paraId="162E5FE3" w14:textId="77777777" w:rsidR="00CA610A" w:rsidRPr="006E2C6C" w:rsidRDefault="00CA610A" w:rsidP="00CA610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0C2139E5" w14:textId="77777777" w:rsidR="00CA610A" w:rsidRPr="006E2C6C" w:rsidRDefault="00CA610A" w:rsidP="00CA610A">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Aunado a ello, dentro de las obligaciones de Transparencia específicas de los Sujeto Obligados, se contemplas para los Municipios las actas de cabildo como lo establece el artículo 94 de la Ley de Transparencia y Acceso a la Información del Estado de México y Municipios:</w:t>
      </w:r>
    </w:p>
    <w:p w14:paraId="71B6C308" w14:textId="77777777" w:rsidR="00CA610A" w:rsidRPr="006E2C6C" w:rsidRDefault="00CA610A" w:rsidP="00CA610A">
      <w:pPr>
        <w:pStyle w:val="Prrafodelista"/>
        <w:rPr>
          <w:rFonts w:ascii="Palatino Linotype" w:eastAsia="Palatino Linotype" w:hAnsi="Palatino Linotype" w:cs="Palatino Linotype"/>
          <w:color w:val="000000"/>
          <w:sz w:val="22"/>
          <w:szCs w:val="22"/>
        </w:rPr>
      </w:pPr>
    </w:p>
    <w:p w14:paraId="0B64F6A1" w14:textId="77777777" w:rsidR="00CA610A" w:rsidRPr="006E2C6C" w:rsidRDefault="00CA610A" w:rsidP="00CA610A">
      <w:pPr>
        <w:pBdr>
          <w:top w:val="nil"/>
          <w:left w:val="nil"/>
          <w:bottom w:val="nil"/>
          <w:right w:val="nil"/>
          <w:between w:val="nil"/>
        </w:pBdr>
        <w:tabs>
          <w:tab w:val="left" w:pos="284"/>
        </w:tabs>
        <w:spacing w:line="360" w:lineRule="auto"/>
        <w:ind w:left="851" w:right="822"/>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lastRenderedPageBreak/>
        <w:t>“Artículo 94. Además de las obligaciones de transparencia común a que se refiere el Capítulo II de este Título, los sujetos obligados del Poder Ejecutivo Local y municipales, deberán poner a disposición del público y actualizar la siguiente información:</w:t>
      </w:r>
    </w:p>
    <w:p w14:paraId="3B56478B" w14:textId="77777777" w:rsidR="00CA610A" w:rsidRPr="006E2C6C" w:rsidRDefault="00CA610A" w:rsidP="00CA610A">
      <w:pPr>
        <w:pBdr>
          <w:top w:val="nil"/>
          <w:left w:val="nil"/>
          <w:bottom w:val="nil"/>
          <w:right w:val="nil"/>
          <w:between w:val="nil"/>
        </w:pBdr>
        <w:tabs>
          <w:tab w:val="left" w:pos="284"/>
        </w:tabs>
        <w:spacing w:line="360" w:lineRule="auto"/>
        <w:ind w:left="851" w:right="822"/>
        <w:jc w:val="both"/>
        <w:rPr>
          <w:rFonts w:ascii="Palatino Linotype" w:eastAsia="Palatino Linotype" w:hAnsi="Palatino Linotype" w:cs="Palatino Linotype"/>
          <w:i/>
          <w:color w:val="000000"/>
          <w:sz w:val="22"/>
          <w:szCs w:val="22"/>
        </w:rPr>
      </w:pPr>
      <w:r w:rsidRPr="006E2C6C">
        <w:rPr>
          <w:rFonts w:ascii="Palatino Linotype" w:eastAsia="Palatino Linotype" w:hAnsi="Palatino Linotype" w:cs="Palatino Linotype"/>
          <w:i/>
          <w:color w:val="000000"/>
          <w:sz w:val="22"/>
          <w:szCs w:val="22"/>
        </w:rPr>
        <w:t>…</w:t>
      </w:r>
    </w:p>
    <w:p w14:paraId="78037D27" w14:textId="77777777" w:rsidR="00CA610A" w:rsidRPr="006E2C6C" w:rsidRDefault="00CA610A" w:rsidP="00CA610A">
      <w:pPr>
        <w:pBdr>
          <w:top w:val="nil"/>
          <w:left w:val="nil"/>
          <w:bottom w:val="nil"/>
          <w:right w:val="nil"/>
          <w:between w:val="nil"/>
        </w:pBdr>
        <w:tabs>
          <w:tab w:val="left" w:pos="284"/>
        </w:tabs>
        <w:spacing w:line="360" w:lineRule="auto"/>
        <w:ind w:left="851" w:right="822"/>
        <w:jc w:val="both"/>
        <w:rPr>
          <w:i/>
          <w:sz w:val="22"/>
          <w:szCs w:val="22"/>
        </w:rPr>
      </w:pPr>
      <w:r w:rsidRPr="006E2C6C">
        <w:rPr>
          <w:i/>
          <w:sz w:val="22"/>
          <w:szCs w:val="22"/>
        </w:rPr>
        <w:t xml:space="preserve">II. Adicionalmente en el caso de los municipios: </w:t>
      </w:r>
    </w:p>
    <w:p w14:paraId="38E54352" w14:textId="77777777" w:rsidR="00CA610A" w:rsidRPr="006E2C6C" w:rsidRDefault="00CA610A" w:rsidP="00CA610A">
      <w:pPr>
        <w:pBdr>
          <w:top w:val="nil"/>
          <w:left w:val="nil"/>
          <w:bottom w:val="nil"/>
          <w:right w:val="nil"/>
          <w:between w:val="nil"/>
        </w:pBdr>
        <w:tabs>
          <w:tab w:val="left" w:pos="284"/>
        </w:tabs>
        <w:spacing w:line="360" w:lineRule="auto"/>
        <w:ind w:left="851" w:right="822"/>
        <w:jc w:val="both"/>
        <w:rPr>
          <w:i/>
          <w:sz w:val="22"/>
          <w:szCs w:val="22"/>
        </w:rPr>
      </w:pPr>
    </w:p>
    <w:p w14:paraId="4E5467E5" w14:textId="77777777" w:rsidR="00CA610A" w:rsidRPr="006E2C6C" w:rsidRDefault="00CA610A" w:rsidP="00CA610A">
      <w:pPr>
        <w:pBdr>
          <w:top w:val="nil"/>
          <w:left w:val="nil"/>
          <w:bottom w:val="nil"/>
          <w:right w:val="nil"/>
          <w:between w:val="nil"/>
        </w:pBdr>
        <w:tabs>
          <w:tab w:val="left" w:pos="284"/>
        </w:tabs>
        <w:spacing w:line="360" w:lineRule="auto"/>
        <w:ind w:left="851" w:right="822"/>
        <w:jc w:val="both"/>
        <w:rPr>
          <w:i/>
          <w:sz w:val="22"/>
          <w:szCs w:val="22"/>
        </w:rPr>
      </w:pPr>
      <w:r w:rsidRPr="006E2C6C">
        <w:rPr>
          <w:i/>
          <w:sz w:val="22"/>
          <w:szCs w:val="22"/>
        </w:rPr>
        <w:t>b) Las actas de sesiones de cabildo, los controles de asistencia de los integrantes del Ayuntamiento a las sesiones de cabildo y el sentido de votación de los miembros del cabildo sobre las iniciativas o acuerdos;</w:t>
      </w:r>
    </w:p>
    <w:p w14:paraId="1722A47F" w14:textId="77777777" w:rsidR="00CA610A" w:rsidRPr="006E2C6C" w:rsidRDefault="00CA610A" w:rsidP="00CA610A">
      <w:pPr>
        <w:pBdr>
          <w:top w:val="nil"/>
          <w:left w:val="nil"/>
          <w:bottom w:val="nil"/>
          <w:right w:val="nil"/>
          <w:between w:val="nil"/>
        </w:pBdr>
        <w:tabs>
          <w:tab w:val="left" w:pos="284"/>
        </w:tabs>
        <w:spacing w:line="360" w:lineRule="auto"/>
        <w:ind w:left="851" w:right="822"/>
        <w:jc w:val="both"/>
        <w:rPr>
          <w:i/>
          <w:sz w:val="22"/>
          <w:szCs w:val="22"/>
        </w:rPr>
      </w:pPr>
      <w:r w:rsidRPr="006E2C6C">
        <w:rPr>
          <w:i/>
          <w:sz w:val="22"/>
          <w:szCs w:val="22"/>
        </w:rPr>
        <w:t>…”</w:t>
      </w:r>
    </w:p>
    <w:p w14:paraId="270D499F" w14:textId="77777777" w:rsidR="00AD2BB3" w:rsidRPr="006E2C6C" w:rsidRDefault="00AD2BB3" w:rsidP="00CA610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43CE160E" w14:textId="77777777" w:rsidR="00AD2BB3" w:rsidRPr="006E2C6C" w:rsidRDefault="00352597" w:rsidP="00CA610A">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bookmarkStart w:id="7" w:name="_heading=h.2s8eyo1" w:colFirst="0" w:colLast="0"/>
      <w:bookmarkEnd w:id="7"/>
      <w:r w:rsidRPr="006E2C6C">
        <w:rPr>
          <w:rFonts w:ascii="Palatino Linotype" w:eastAsia="Palatino Linotype" w:hAnsi="Palatino Linotype" w:cs="Palatino Linotype"/>
          <w:color w:val="000000"/>
          <w:sz w:val="22"/>
          <w:szCs w:val="22"/>
        </w:rPr>
        <w:t xml:space="preserve">Por lo tanto, en consecuencia y en mérito de lo expuesto en líneas anteriores, resultan fundadas las razones o motivos de inconformidad hechos valer por el </w:t>
      </w:r>
      <w:r w:rsidRPr="006E2C6C">
        <w:rPr>
          <w:rFonts w:ascii="Palatino Linotype" w:eastAsia="Palatino Linotype" w:hAnsi="Palatino Linotype" w:cs="Palatino Linotype"/>
          <w:b/>
          <w:color w:val="000000"/>
          <w:sz w:val="22"/>
          <w:szCs w:val="22"/>
        </w:rPr>
        <w:t>RECURRENTE</w:t>
      </w:r>
      <w:r w:rsidRPr="006E2C6C">
        <w:rPr>
          <w:rFonts w:ascii="Palatino Linotype" w:eastAsia="Palatino Linotype" w:hAnsi="Palatino Linotype" w:cs="Palatino Linotype"/>
          <w:color w:val="000000"/>
          <w:sz w:val="22"/>
          <w:szCs w:val="22"/>
        </w:rPr>
        <w:t xml:space="preserve"> dentro del recurso de revisión </w:t>
      </w:r>
      <w:r w:rsidRPr="006E2C6C">
        <w:rPr>
          <w:rFonts w:ascii="Palatino Linotype" w:eastAsia="Palatino Linotype" w:hAnsi="Palatino Linotype" w:cs="Palatino Linotype"/>
          <w:b/>
          <w:color w:val="000000"/>
          <w:sz w:val="22"/>
          <w:szCs w:val="22"/>
        </w:rPr>
        <w:t>02108/INFOEM/IP/RR/2024</w:t>
      </w:r>
      <w:r w:rsidRPr="006E2C6C">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Municipios, se </w:t>
      </w:r>
      <w:r w:rsidR="00CA610A" w:rsidRPr="006E2C6C">
        <w:rPr>
          <w:rFonts w:ascii="Palatino Linotype" w:eastAsia="Palatino Linotype" w:hAnsi="Palatino Linotype" w:cs="Palatino Linotype"/>
          <w:b/>
          <w:color w:val="000000"/>
          <w:sz w:val="22"/>
          <w:szCs w:val="22"/>
        </w:rPr>
        <w:t>MODIFICA</w:t>
      </w:r>
      <w:r w:rsidRPr="006E2C6C">
        <w:rPr>
          <w:rFonts w:ascii="Palatino Linotype" w:eastAsia="Palatino Linotype" w:hAnsi="Palatino Linotype" w:cs="Palatino Linotype"/>
          <w:color w:val="000000"/>
          <w:sz w:val="22"/>
          <w:szCs w:val="22"/>
        </w:rPr>
        <w:t xml:space="preserve"> la respuesta a la solicitud de información número </w:t>
      </w:r>
      <w:r w:rsidRPr="006E2C6C">
        <w:rPr>
          <w:rFonts w:ascii="Palatino Linotype" w:eastAsia="Palatino Linotype" w:hAnsi="Palatino Linotype" w:cs="Palatino Linotype"/>
          <w:b/>
          <w:color w:val="000000"/>
          <w:sz w:val="22"/>
          <w:szCs w:val="22"/>
        </w:rPr>
        <w:t>00199/TULTITLA/IP/2024</w:t>
      </w:r>
      <w:r w:rsidRPr="006E2C6C">
        <w:rPr>
          <w:rFonts w:ascii="Palatino Linotype" w:eastAsia="Palatino Linotype" w:hAnsi="Palatino Linotype" w:cs="Palatino Linotype"/>
          <w:color w:val="000000"/>
          <w:sz w:val="22"/>
          <w:szCs w:val="22"/>
        </w:rPr>
        <w:t>.</w:t>
      </w:r>
    </w:p>
    <w:p w14:paraId="5430E0E4" w14:textId="77777777" w:rsidR="00AD2BB3" w:rsidRPr="006E2C6C" w:rsidRDefault="00AD2BB3" w:rsidP="00CA610A">
      <w:pPr>
        <w:pBdr>
          <w:top w:val="nil"/>
          <w:left w:val="nil"/>
          <w:bottom w:val="nil"/>
          <w:right w:val="nil"/>
          <w:between w:val="nil"/>
        </w:pBdr>
        <w:ind w:left="720"/>
        <w:rPr>
          <w:rFonts w:ascii="Palatino Linotype" w:eastAsia="Palatino Linotype" w:hAnsi="Palatino Linotype" w:cs="Palatino Linotype"/>
          <w:sz w:val="22"/>
          <w:szCs w:val="22"/>
        </w:rPr>
      </w:pPr>
    </w:p>
    <w:p w14:paraId="72306171" w14:textId="77777777" w:rsidR="00AD2BB3" w:rsidRPr="006E2C6C" w:rsidRDefault="00AD2BB3" w:rsidP="00CA610A">
      <w:pPr>
        <w:pBdr>
          <w:top w:val="nil"/>
          <w:left w:val="nil"/>
          <w:bottom w:val="nil"/>
          <w:right w:val="nil"/>
          <w:between w:val="nil"/>
        </w:pBdr>
        <w:rPr>
          <w:rFonts w:ascii="Palatino Linotype" w:eastAsia="Palatino Linotype" w:hAnsi="Palatino Linotype" w:cs="Palatino Linotype"/>
          <w:sz w:val="22"/>
          <w:szCs w:val="22"/>
        </w:rPr>
      </w:pPr>
    </w:p>
    <w:p w14:paraId="45172B5B" w14:textId="77777777" w:rsidR="00AD2BB3" w:rsidRPr="006E2C6C" w:rsidRDefault="00352597" w:rsidP="00CA610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bookmarkStart w:id="8" w:name="_heading=h.gjdgxs" w:colFirst="0" w:colLast="0"/>
      <w:bookmarkEnd w:id="8"/>
      <w:r w:rsidRPr="006E2C6C">
        <w:rPr>
          <w:rFonts w:ascii="Palatino Linotype" w:eastAsia="Palatino Linotype" w:hAnsi="Palatino Linotype" w:cs="Palatino Linotype"/>
          <w:b/>
          <w:color w:val="000000"/>
          <w:sz w:val="22"/>
          <w:szCs w:val="22"/>
        </w:rPr>
        <w:t>QUINTO. De la versión pública.</w:t>
      </w:r>
    </w:p>
    <w:p w14:paraId="24E70CEA" w14:textId="77777777" w:rsidR="00AD2BB3" w:rsidRPr="006E2C6C" w:rsidRDefault="00352597" w:rsidP="00CA610A">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Debe destacarse que, debido a la naturaleza de la información solicitada</w:t>
      </w:r>
      <w:r w:rsidRPr="006E2C6C">
        <w:rPr>
          <w:rFonts w:ascii="Palatino Linotype" w:eastAsia="Palatino Linotype" w:hAnsi="Palatino Linotype" w:cs="Palatino Linotype"/>
          <w:b/>
          <w:color w:val="000000"/>
          <w:sz w:val="22"/>
          <w:szCs w:val="22"/>
        </w:rPr>
        <w:t xml:space="preserve"> </w:t>
      </w:r>
      <w:r w:rsidRPr="006E2C6C">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EE73217" w14:textId="77777777" w:rsidR="00AD2BB3" w:rsidRPr="006E2C6C" w:rsidRDefault="00AD2BB3" w:rsidP="00CA610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16798854" w14:textId="77777777" w:rsidR="00AD2BB3" w:rsidRPr="006E2C6C" w:rsidRDefault="00352597" w:rsidP="00CA610A">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E2C6C">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14:paraId="4F6FCE8A" w14:textId="77777777" w:rsidR="00AD2BB3" w:rsidRPr="006E2C6C" w:rsidRDefault="00AD2BB3" w:rsidP="00CA610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tbl>
      <w:tblPr>
        <w:tblStyle w:val="a3"/>
        <w:tblW w:w="8784"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415"/>
        <w:gridCol w:w="6369"/>
      </w:tblGrid>
      <w:tr w:rsidR="00AD2BB3" w:rsidRPr="006E2C6C" w14:paraId="3D31C4E6" w14:textId="77777777" w:rsidTr="00CA61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0F535DAD" w14:textId="77777777" w:rsidR="00AD2BB3" w:rsidRPr="006E2C6C" w:rsidRDefault="00352597" w:rsidP="00CA610A">
            <w:pPr>
              <w:spacing w:line="360" w:lineRule="auto"/>
              <w:rPr>
                <w:rFonts w:ascii="Palatino Linotype" w:eastAsia="Palatino Linotype" w:hAnsi="Palatino Linotype" w:cs="Palatino Linotype"/>
                <w:sz w:val="22"/>
                <w:szCs w:val="22"/>
              </w:rPr>
            </w:pPr>
            <w:r w:rsidRPr="006E2C6C">
              <w:rPr>
                <w:rFonts w:ascii="Palatino Linotype" w:eastAsia="Palatino Linotype" w:hAnsi="Palatino Linotype" w:cs="Palatino Linotype"/>
                <w:b w:val="0"/>
                <w:sz w:val="22"/>
                <w:szCs w:val="22"/>
              </w:rPr>
              <w:t>a) Requisitos previos.</w:t>
            </w:r>
          </w:p>
        </w:tc>
        <w:tc>
          <w:tcPr>
            <w:tcW w:w="6369" w:type="dxa"/>
          </w:tcPr>
          <w:p w14:paraId="0C3D6BA6" w14:textId="77777777" w:rsidR="00AD2BB3" w:rsidRPr="006E2C6C" w:rsidRDefault="00352597" w:rsidP="00CA610A">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Los artículos 100 y 122 de la Ley Estatal y de la Ley General, respectivamente, señalan que si los </w:t>
            </w:r>
            <w:r w:rsidRPr="006E2C6C">
              <w:rPr>
                <w:rFonts w:ascii="Palatino Linotype" w:eastAsia="Palatino Linotype" w:hAnsi="Palatino Linotype" w:cs="Palatino Linotype"/>
                <w:b w:val="0"/>
                <w:sz w:val="22"/>
                <w:szCs w:val="22"/>
              </w:rPr>
              <w:t>Sujetos Obligados</w:t>
            </w:r>
            <w:r w:rsidRPr="006E2C6C">
              <w:rPr>
                <w:rFonts w:ascii="Palatino Linotype" w:eastAsia="Palatino Linotype" w:hAnsi="Palatino Linotype" w:cs="Palatino Linotype"/>
                <w:sz w:val="22"/>
                <w:szCs w:val="22"/>
              </w:rPr>
              <w:t xml:space="preserve"> determinan que la información actualiza alguno de los supuestos de clasificación, es deber de los titulares de las áreas proponer su clasificación y no del Comité de Transparencia. </w:t>
            </w:r>
          </w:p>
          <w:p w14:paraId="2B5782D1" w14:textId="77777777" w:rsidR="00AD2BB3" w:rsidRPr="006E2C6C" w:rsidRDefault="00352597" w:rsidP="00CA610A">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574258A7" w14:textId="77777777" w:rsidR="00AD2BB3" w:rsidRPr="006E2C6C" w:rsidRDefault="00352597" w:rsidP="00CA610A">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274FD882" w14:textId="77777777" w:rsidR="00AD2BB3" w:rsidRPr="006E2C6C" w:rsidRDefault="00352597" w:rsidP="00CA610A">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6E2C6C">
              <w:rPr>
                <w:rFonts w:ascii="Palatino Linotype" w:eastAsia="Palatino Linotype" w:hAnsi="Palatino Linotype" w:cs="Palatino Linotype"/>
                <w:b w:val="0"/>
                <w:sz w:val="22"/>
                <w:szCs w:val="22"/>
                <w:u w:val="single"/>
              </w:rPr>
              <w:t xml:space="preserve">no se puede hacer un acuerdo para clasificar de manera general todos los documentos de un expediente o área,  </w:t>
            </w:r>
            <w:r w:rsidRPr="006E2C6C">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AD2BB3" w:rsidRPr="006E2C6C" w14:paraId="7612CCF0" w14:textId="77777777" w:rsidTr="00CA6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395B84F2" w14:textId="77777777" w:rsidR="00AD2BB3" w:rsidRPr="006E2C6C" w:rsidRDefault="00352597" w:rsidP="00CA610A">
            <w:pPr>
              <w:spacing w:line="360" w:lineRule="auto"/>
              <w:rPr>
                <w:rFonts w:ascii="Palatino Linotype" w:eastAsia="Palatino Linotype" w:hAnsi="Palatino Linotype" w:cs="Palatino Linotype"/>
                <w:sz w:val="22"/>
                <w:szCs w:val="22"/>
              </w:rPr>
            </w:pPr>
            <w:r w:rsidRPr="006E2C6C">
              <w:rPr>
                <w:rFonts w:ascii="Palatino Linotype" w:eastAsia="Palatino Linotype" w:hAnsi="Palatino Linotype" w:cs="Palatino Linotype"/>
                <w:b w:val="0"/>
                <w:sz w:val="22"/>
                <w:szCs w:val="22"/>
              </w:rPr>
              <w:lastRenderedPageBreak/>
              <w:t>b) Supuestos de clasificación.</w:t>
            </w:r>
          </w:p>
        </w:tc>
        <w:tc>
          <w:tcPr>
            <w:tcW w:w="6369" w:type="dxa"/>
          </w:tcPr>
          <w:p w14:paraId="07080625" w14:textId="77777777" w:rsidR="00AD2BB3" w:rsidRPr="006E2C6C" w:rsidRDefault="00352597" w:rsidP="00CA610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59E05ED4" w14:textId="77777777" w:rsidR="00AD2BB3" w:rsidRPr="006E2C6C" w:rsidRDefault="00352597" w:rsidP="00CA610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FA2DD5C" w14:textId="77777777" w:rsidR="00AD2BB3" w:rsidRPr="006E2C6C" w:rsidRDefault="00352597" w:rsidP="00CA610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El </w:t>
            </w:r>
            <w:r w:rsidRPr="006E2C6C">
              <w:rPr>
                <w:rFonts w:ascii="Palatino Linotype" w:eastAsia="Palatino Linotype" w:hAnsi="Palatino Linotype" w:cs="Palatino Linotype"/>
                <w:b/>
                <w:sz w:val="22"/>
                <w:szCs w:val="22"/>
              </w:rPr>
              <w:t>SUJETO OBLIGADO</w:t>
            </w:r>
            <w:r w:rsidRPr="006E2C6C">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D2BB3" w:rsidRPr="006E2C6C" w14:paraId="73F2A423" w14:textId="77777777" w:rsidTr="00CA610A">
        <w:tc>
          <w:tcPr>
            <w:cnfStyle w:val="001000000000" w:firstRow="0" w:lastRow="0" w:firstColumn="1" w:lastColumn="0" w:oddVBand="0" w:evenVBand="0" w:oddHBand="0" w:evenHBand="0" w:firstRowFirstColumn="0" w:firstRowLastColumn="0" w:lastRowFirstColumn="0" w:lastRowLastColumn="0"/>
            <w:tcW w:w="2415" w:type="dxa"/>
          </w:tcPr>
          <w:p w14:paraId="4A4D0E12" w14:textId="77777777" w:rsidR="00AD2BB3" w:rsidRPr="006E2C6C" w:rsidRDefault="00352597" w:rsidP="00CA610A">
            <w:pPr>
              <w:spacing w:line="360" w:lineRule="auto"/>
              <w:rPr>
                <w:rFonts w:ascii="Palatino Linotype" w:eastAsia="Palatino Linotype" w:hAnsi="Palatino Linotype" w:cs="Palatino Linotype"/>
                <w:sz w:val="22"/>
                <w:szCs w:val="22"/>
              </w:rPr>
            </w:pPr>
            <w:r w:rsidRPr="006E2C6C">
              <w:rPr>
                <w:rFonts w:ascii="Palatino Linotype" w:eastAsia="Palatino Linotype" w:hAnsi="Palatino Linotype" w:cs="Palatino Linotype"/>
                <w:b w:val="0"/>
                <w:sz w:val="22"/>
                <w:szCs w:val="22"/>
              </w:rPr>
              <w:t>c) Formalidades para emitir el acuerdo de clasificación.</w:t>
            </w:r>
          </w:p>
        </w:tc>
        <w:tc>
          <w:tcPr>
            <w:tcW w:w="6369" w:type="dxa"/>
          </w:tcPr>
          <w:p w14:paraId="09219E30" w14:textId="77777777" w:rsidR="00AD2BB3" w:rsidRPr="006E2C6C" w:rsidRDefault="00352597" w:rsidP="00CA610A">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69BE3C26" w14:textId="77777777" w:rsidR="00AD2BB3" w:rsidRPr="006E2C6C" w:rsidRDefault="00352597" w:rsidP="00CA610A">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Es necesario que </w:t>
            </w:r>
            <w:r w:rsidRPr="006E2C6C">
              <w:rPr>
                <w:rFonts w:ascii="Palatino Linotype" w:eastAsia="Palatino Linotype" w:hAnsi="Palatino Linotype" w:cs="Palatino Linotype"/>
                <w:b/>
                <w:sz w:val="22"/>
                <w:szCs w:val="22"/>
                <w:u w:val="single"/>
              </w:rPr>
              <w:t>el acto reúna con los requisitos elementales</w:t>
            </w:r>
            <w:r w:rsidRPr="006E2C6C">
              <w:rPr>
                <w:rFonts w:ascii="Palatino Linotype" w:eastAsia="Palatino Linotype" w:hAnsi="Palatino Linotype" w:cs="Palatino Linotype"/>
                <w:sz w:val="22"/>
                <w:szCs w:val="22"/>
              </w:rPr>
              <w:t>, entre ellos, que la autoridad que va a emitir el acto de autoridad sea la legalmente facultada para ello.</w:t>
            </w:r>
          </w:p>
          <w:p w14:paraId="42167E28" w14:textId="77777777" w:rsidR="00AD2BB3" w:rsidRPr="006E2C6C" w:rsidRDefault="00352597" w:rsidP="00CA610A">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La decisión de aprobar, modificar o revocar la clasificación deberá de asentarse en un documento que registre la </w:t>
            </w:r>
            <w:r w:rsidRPr="006E2C6C">
              <w:rPr>
                <w:rFonts w:ascii="Palatino Linotype" w:eastAsia="Palatino Linotype" w:hAnsi="Palatino Linotype" w:cs="Palatino Linotype"/>
                <w:sz w:val="22"/>
                <w:szCs w:val="22"/>
              </w:rPr>
              <w:lastRenderedPageBreak/>
              <w:t>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D2BB3" w:rsidRPr="006E2C6C" w14:paraId="6E5044A0" w14:textId="77777777" w:rsidTr="00CA6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tcPr>
          <w:p w14:paraId="3E8FCA3A" w14:textId="77777777" w:rsidR="00AD2BB3" w:rsidRPr="006E2C6C" w:rsidRDefault="00AD2BB3" w:rsidP="00CA610A">
            <w:pPr>
              <w:spacing w:line="360" w:lineRule="auto"/>
              <w:rPr>
                <w:rFonts w:ascii="Palatino Linotype" w:eastAsia="Palatino Linotype" w:hAnsi="Palatino Linotype" w:cs="Palatino Linotype"/>
                <w:sz w:val="22"/>
                <w:szCs w:val="22"/>
              </w:rPr>
            </w:pPr>
          </w:p>
          <w:p w14:paraId="2D4DE21F" w14:textId="77777777" w:rsidR="00AD2BB3" w:rsidRPr="006E2C6C" w:rsidRDefault="00352597" w:rsidP="00CA610A">
            <w:p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val="0"/>
                <w:sz w:val="22"/>
                <w:szCs w:val="22"/>
              </w:rPr>
              <w:t xml:space="preserve">d) Requisitos de fondo del acuerdo de clasificación. </w:t>
            </w:r>
          </w:p>
        </w:tc>
        <w:tc>
          <w:tcPr>
            <w:tcW w:w="6369" w:type="dxa"/>
          </w:tcPr>
          <w:p w14:paraId="1FE88AF1" w14:textId="77777777" w:rsidR="00AD2BB3" w:rsidRPr="006E2C6C" w:rsidRDefault="00352597" w:rsidP="00CA610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E2C6C">
              <w:rPr>
                <w:rFonts w:ascii="Palatino Linotype" w:eastAsia="Palatino Linotype" w:hAnsi="Palatino Linotype" w:cs="Palatino Linotype"/>
                <w:b/>
                <w:sz w:val="22"/>
                <w:szCs w:val="22"/>
              </w:rPr>
              <w:t>Sujetos Obligados</w:t>
            </w:r>
            <w:r w:rsidRPr="006E2C6C">
              <w:rPr>
                <w:rFonts w:ascii="Palatino Linotype" w:eastAsia="Palatino Linotype" w:hAnsi="Palatino Linotype" w:cs="Palatino Linotype"/>
                <w:sz w:val="22"/>
                <w:szCs w:val="22"/>
              </w:rPr>
              <w:t xml:space="preserve">, por lo que deberán fundar y motivar debidamente la clasificación. </w:t>
            </w:r>
          </w:p>
          <w:p w14:paraId="37270490" w14:textId="77777777" w:rsidR="00AD2BB3" w:rsidRPr="006E2C6C" w:rsidRDefault="00352597" w:rsidP="00CA610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De lo anterior, se desprende que para una correcta </w:t>
            </w:r>
            <w:r w:rsidRPr="006E2C6C">
              <w:rPr>
                <w:rFonts w:ascii="Palatino Linotype" w:eastAsia="Palatino Linotype" w:hAnsi="Palatino Linotype" w:cs="Palatino Linotype"/>
                <w:b/>
                <w:sz w:val="22"/>
                <w:szCs w:val="22"/>
              </w:rPr>
              <w:t>clasificación total o parcial</w:t>
            </w:r>
            <w:r w:rsidRPr="006E2C6C">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EE6C6F3" w14:textId="77777777" w:rsidR="00AD2BB3" w:rsidRPr="006E2C6C" w:rsidRDefault="00352597" w:rsidP="00CA610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w:t>
            </w:r>
            <w:r w:rsidRPr="006E2C6C">
              <w:rPr>
                <w:rFonts w:ascii="Palatino Linotype" w:eastAsia="Palatino Linotype" w:hAnsi="Palatino Linotype" w:cs="Palatino Linotype"/>
                <w:sz w:val="22"/>
                <w:szCs w:val="22"/>
              </w:rPr>
              <w:lastRenderedPageBreak/>
              <w:t>autoridad para adecuar el hecho a los fundamentos de derecho. De este modo, la persona que se sienta afectada pueda impugnar la decisión, permitiéndole una real y auténtica defensa.</w:t>
            </w:r>
          </w:p>
          <w:p w14:paraId="266B52C9" w14:textId="77777777" w:rsidR="00AD2BB3" w:rsidRPr="006E2C6C" w:rsidRDefault="00352597" w:rsidP="00CA610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7E53C241" w14:textId="77777777" w:rsidR="00AD2BB3" w:rsidRPr="006E2C6C" w:rsidRDefault="00352597" w:rsidP="00CA610A">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Ahora bien, </w:t>
            </w:r>
            <w:r w:rsidRPr="006E2C6C">
              <w:rPr>
                <w:rFonts w:ascii="Palatino Linotype" w:eastAsia="Palatino Linotype" w:hAnsi="Palatino Linotype" w:cs="Palatino Linotype"/>
                <w:b/>
                <w:sz w:val="22"/>
                <w:szCs w:val="22"/>
                <w:u w:val="single"/>
              </w:rPr>
              <w:t>para cada caso además de fundar y motivar</w:t>
            </w:r>
            <w:r w:rsidRPr="006E2C6C">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D2BB3" w:rsidRPr="006E2C6C" w14:paraId="78E1033F" w14:textId="77777777" w:rsidTr="00CA610A">
        <w:tc>
          <w:tcPr>
            <w:cnfStyle w:val="001000000000" w:firstRow="0" w:lastRow="0" w:firstColumn="1" w:lastColumn="0" w:oddVBand="0" w:evenVBand="0" w:oddHBand="0" w:evenHBand="0" w:firstRowFirstColumn="0" w:firstRowLastColumn="0" w:lastRowFirstColumn="0" w:lastRowLastColumn="0"/>
            <w:tcW w:w="2415" w:type="dxa"/>
          </w:tcPr>
          <w:p w14:paraId="1865A8A3" w14:textId="77777777" w:rsidR="00AD2BB3" w:rsidRPr="006E2C6C" w:rsidRDefault="00352597" w:rsidP="00CA610A">
            <w:p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val="0"/>
                <w:sz w:val="22"/>
                <w:szCs w:val="22"/>
              </w:rPr>
              <w:lastRenderedPageBreak/>
              <w:t xml:space="preserve">e) Condiciones especiales de la clasificación de la información como confidencial. </w:t>
            </w:r>
          </w:p>
          <w:p w14:paraId="0F032818" w14:textId="77777777" w:rsidR="00AD2BB3" w:rsidRPr="006E2C6C" w:rsidRDefault="00AD2BB3" w:rsidP="00CA610A">
            <w:pPr>
              <w:spacing w:line="360" w:lineRule="auto"/>
              <w:rPr>
                <w:rFonts w:ascii="Palatino Linotype" w:eastAsia="Palatino Linotype" w:hAnsi="Palatino Linotype" w:cs="Palatino Linotype"/>
                <w:sz w:val="22"/>
                <w:szCs w:val="22"/>
              </w:rPr>
            </w:pPr>
          </w:p>
        </w:tc>
        <w:tc>
          <w:tcPr>
            <w:tcW w:w="6369" w:type="dxa"/>
          </w:tcPr>
          <w:p w14:paraId="0725E103" w14:textId="77777777" w:rsidR="00AD2BB3" w:rsidRPr="006E2C6C" w:rsidRDefault="00352597" w:rsidP="00CA610A">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5335DDB8" w14:textId="77777777" w:rsidR="00AD2BB3" w:rsidRPr="006E2C6C" w:rsidRDefault="00352597" w:rsidP="00CA610A">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487CD6F" w14:textId="77777777" w:rsidR="00AD2BB3" w:rsidRPr="006E2C6C" w:rsidRDefault="00352597" w:rsidP="00CA610A">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B46859D"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0B80D073" w14:textId="77777777" w:rsidR="00AD2BB3" w:rsidRPr="006E2C6C" w:rsidRDefault="00352597" w:rsidP="00CA610A">
      <w:pPr>
        <w:numPr>
          <w:ilvl w:val="0"/>
          <w:numId w:val="2"/>
        </w:numPr>
        <w:spacing w:line="360" w:lineRule="auto"/>
        <w:ind w:left="0" w:firstLine="0"/>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sz w:val="22"/>
          <w:szCs w:val="22"/>
        </w:rPr>
        <w:t xml:space="preserve">Por lo anteriormente expuesto y fundado, este </w:t>
      </w:r>
      <w:r w:rsidRPr="006E2C6C">
        <w:rPr>
          <w:rFonts w:ascii="Palatino Linotype" w:eastAsia="Palatino Linotype" w:hAnsi="Palatino Linotype" w:cs="Palatino Linotype"/>
          <w:b/>
          <w:sz w:val="22"/>
          <w:szCs w:val="22"/>
        </w:rPr>
        <w:t>ÓRGANO GARANTE</w:t>
      </w:r>
      <w:r w:rsidRPr="006E2C6C">
        <w:rPr>
          <w:rFonts w:ascii="Palatino Linotype" w:eastAsia="Palatino Linotype" w:hAnsi="Palatino Linotype" w:cs="Palatino Linotype"/>
          <w:sz w:val="22"/>
          <w:szCs w:val="22"/>
        </w:rPr>
        <w:t xml:space="preserve"> emite los siguientes:</w:t>
      </w:r>
    </w:p>
    <w:p w14:paraId="67C97B5B"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378E3903" w14:textId="77777777" w:rsidR="00AD2BB3" w:rsidRPr="006E2C6C" w:rsidRDefault="00352597" w:rsidP="00CA610A">
      <w:pPr>
        <w:keepNext/>
        <w:keepLines/>
        <w:spacing w:line="360" w:lineRule="auto"/>
        <w:jc w:val="center"/>
        <w:rPr>
          <w:rFonts w:ascii="Palatino Linotype" w:eastAsia="Palatino Linotype" w:hAnsi="Palatino Linotype" w:cs="Palatino Linotype"/>
          <w:b/>
          <w:color w:val="000000"/>
          <w:sz w:val="22"/>
          <w:szCs w:val="22"/>
        </w:rPr>
      </w:pPr>
      <w:bookmarkStart w:id="9" w:name="_heading=h.17dp8vu" w:colFirst="0" w:colLast="0"/>
      <w:bookmarkEnd w:id="9"/>
      <w:r w:rsidRPr="006E2C6C">
        <w:rPr>
          <w:rFonts w:ascii="Palatino Linotype" w:eastAsia="Palatino Linotype" w:hAnsi="Palatino Linotype" w:cs="Palatino Linotype"/>
          <w:b/>
          <w:color w:val="000000"/>
          <w:sz w:val="22"/>
          <w:szCs w:val="22"/>
        </w:rPr>
        <w:t>R E S O L U T I V O S</w:t>
      </w:r>
    </w:p>
    <w:p w14:paraId="662DF198" w14:textId="77777777" w:rsidR="00AD2BB3" w:rsidRPr="006E2C6C" w:rsidRDefault="00AD2BB3" w:rsidP="00CA610A">
      <w:pPr>
        <w:keepNext/>
        <w:keepLines/>
        <w:spacing w:line="360" w:lineRule="auto"/>
        <w:jc w:val="center"/>
        <w:rPr>
          <w:rFonts w:ascii="Palatino Linotype" w:eastAsia="Palatino Linotype" w:hAnsi="Palatino Linotype" w:cs="Palatino Linotype"/>
          <w:b/>
          <w:color w:val="000000"/>
          <w:sz w:val="22"/>
          <w:szCs w:val="22"/>
        </w:rPr>
      </w:pPr>
    </w:p>
    <w:p w14:paraId="0B9A3554" w14:textId="77777777" w:rsidR="00AD2BB3" w:rsidRPr="006E2C6C" w:rsidRDefault="00352597" w:rsidP="00CA610A">
      <w:p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sz w:val="22"/>
          <w:szCs w:val="22"/>
        </w:rPr>
        <w:t>PRIMERO</w:t>
      </w:r>
      <w:r w:rsidRPr="006E2C6C">
        <w:rPr>
          <w:rFonts w:ascii="Palatino Linotype" w:eastAsia="Palatino Linotype" w:hAnsi="Palatino Linotype" w:cs="Palatino Linotype"/>
          <w:sz w:val="22"/>
          <w:szCs w:val="22"/>
        </w:rPr>
        <w:t xml:space="preserve">. Resultan fundadas las razones o motivos de inconformidad hechos valer en el Recurso de Revisión </w:t>
      </w:r>
      <w:r w:rsidRPr="006E2C6C">
        <w:rPr>
          <w:rFonts w:ascii="Palatino Linotype" w:eastAsia="Palatino Linotype" w:hAnsi="Palatino Linotype" w:cs="Palatino Linotype"/>
          <w:b/>
          <w:sz w:val="22"/>
          <w:szCs w:val="22"/>
        </w:rPr>
        <w:t>02108/INFOEM/IP/RR/2024</w:t>
      </w:r>
      <w:r w:rsidRPr="006E2C6C">
        <w:rPr>
          <w:rFonts w:ascii="Palatino Linotype" w:eastAsia="Palatino Linotype" w:hAnsi="Palatino Linotype" w:cs="Palatino Linotype"/>
          <w:sz w:val="22"/>
          <w:szCs w:val="22"/>
        </w:rPr>
        <w:t>,</w:t>
      </w:r>
      <w:r w:rsidRPr="006E2C6C">
        <w:rPr>
          <w:rFonts w:ascii="Palatino Linotype" w:eastAsia="Palatino Linotype" w:hAnsi="Palatino Linotype" w:cs="Palatino Linotype"/>
          <w:b/>
          <w:sz w:val="22"/>
          <w:szCs w:val="22"/>
        </w:rPr>
        <w:t xml:space="preserve"> </w:t>
      </w:r>
      <w:r w:rsidRPr="006E2C6C">
        <w:rPr>
          <w:rFonts w:ascii="Palatino Linotype" w:eastAsia="Palatino Linotype" w:hAnsi="Palatino Linotype" w:cs="Palatino Linotype"/>
          <w:sz w:val="22"/>
          <w:szCs w:val="22"/>
        </w:rPr>
        <w:t>en términos de los Considerandos</w:t>
      </w:r>
      <w:r w:rsidRPr="006E2C6C">
        <w:rPr>
          <w:rFonts w:ascii="Palatino Linotype" w:eastAsia="Palatino Linotype" w:hAnsi="Palatino Linotype" w:cs="Palatino Linotype"/>
          <w:b/>
          <w:sz w:val="22"/>
          <w:szCs w:val="22"/>
        </w:rPr>
        <w:t xml:space="preserve"> Cuarto y Quinto </w:t>
      </w:r>
      <w:r w:rsidRPr="006E2C6C">
        <w:rPr>
          <w:rFonts w:ascii="Palatino Linotype" w:eastAsia="Palatino Linotype" w:hAnsi="Palatino Linotype" w:cs="Palatino Linotype"/>
          <w:sz w:val="22"/>
          <w:szCs w:val="22"/>
        </w:rPr>
        <w:t xml:space="preserve">de la presente resolución. </w:t>
      </w:r>
    </w:p>
    <w:p w14:paraId="35FC9A94"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36C2E90C" w14:textId="77777777" w:rsidR="00AD2BB3" w:rsidRPr="006E2C6C" w:rsidRDefault="00352597" w:rsidP="00CA610A">
      <w:pPr>
        <w:spacing w:line="360" w:lineRule="auto"/>
        <w:jc w:val="both"/>
        <w:rPr>
          <w:rFonts w:ascii="Palatino Linotype" w:eastAsia="Palatino Linotype" w:hAnsi="Palatino Linotype" w:cs="Palatino Linotype"/>
          <w:sz w:val="22"/>
          <w:szCs w:val="22"/>
        </w:rPr>
      </w:pPr>
      <w:bookmarkStart w:id="10" w:name="_heading=h.3rdcrjn" w:colFirst="0" w:colLast="0"/>
      <w:bookmarkEnd w:id="10"/>
      <w:r w:rsidRPr="006E2C6C">
        <w:rPr>
          <w:rFonts w:ascii="Palatino Linotype" w:eastAsia="Palatino Linotype" w:hAnsi="Palatino Linotype" w:cs="Palatino Linotype"/>
          <w:b/>
          <w:sz w:val="22"/>
          <w:szCs w:val="22"/>
        </w:rPr>
        <w:t xml:space="preserve">SEGUNDO. </w:t>
      </w:r>
      <w:r w:rsidRPr="006E2C6C">
        <w:rPr>
          <w:rFonts w:ascii="Palatino Linotype" w:eastAsia="Palatino Linotype" w:hAnsi="Palatino Linotype" w:cs="Palatino Linotype"/>
          <w:color w:val="000000"/>
          <w:sz w:val="22"/>
          <w:szCs w:val="22"/>
        </w:rPr>
        <w:t xml:space="preserve">Se </w:t>
      </w:r>
      <w:r w:rsidR="00CA610A" w:rsidRPr="006E2C6C">
        <w:rPr>
          <w:rFonts w:ascii="Palatino Linotype" w:eastAsia="Palatino Linotype" w:hAnsi="Palatino Linotype" w:cs="Palatino Linotype"/>
          <w:b/>
          <w:color w:val="000000"/>
          <w:sz w:val="22"/>
          <w:szCs w:val="22"/>
        </w:rPr>
        <w:t>MODIFICA</w:t>
      </w:r>
      <w:r w:rsidRPr="006E2C6C">
        <w:rPr>
          <w:rFonts w:ascii="Palatino Linotype" w:eastAsia="Palatino Linotype" w:hAnsi="Palatino Linotype" w:cs="Palatino Linotype"/>
          <w:b/>
          <w:color w:val="000000"/>
          <w:sz w:val="22"/>
          <w:szCs w:val="22"/>
        </w:rPr>
        <w:t xml:space="preserve"> </w:t>
      </w:r>
      <w:r w:rsidRPr="006E2C6C">
        <w:rPr>
          <w:rFonts w:ascii="Palatino Linotype" w:eastAsia="Palatino Linotype" w:hAnsi="Palatino Linotype" w:cs="Palatino Linotype"/>
          <w:color w:val="000000"/>
          <w:sz w:val="22"/>
          <w:szCs w:val="22"/>
        </w:rPr>
        <w:t xml:space="preserve">la respuesta emitida por el </w:t>
      </w:r>
      <w:r w:rsidRPr="006E2C6C">
        <w:rPr>
          <w:rFonts w:ascii="Palatino Linotype" w:eastAsia="Palatino Linotype" w:hAnsi="Palatino Linotype" w:cs="Palatino Linotype"/>
          <w:b/>
          <w:color w:val="000000"/>
          <w:sz w:val="22"/>
          <w:szCs w:val="22"/>
        </w:rPr>
        <w:t xml:space="preserve">Ayuntamiento de Tultitlán  </w:t>
      </w:r>
      <w:r w:rsidRPr="006E2C6C">
        <w:rPr>
          <w:rFonts w:ascii="Palatino Linotype" w:eastAsia="Palatino Linotype" w:hAnsi="Palatino Linotype" w:cs="Palatino Linotype"/>
          <w:color w:val="000000"/>
          <w:sz w:val="22"/>
          <w:szCs w:val="22"/>
        </w:rPr>
        <w:t xml:space="preserve">y se </w:t>
      </w:r>
      <w:r w:rsidRPr="006E2C6C">
        <w:rPr>
          <w:rFonts w:ascii="Palatino Linotype" w:eastAsia="Palatino Linotype" w:hAnsi="Palatino Linotype" w:cs="Palatino Linotype"/>
          <w:b/>
          <w:color w:val="000000"/>
          <w:sz w:val="22"/>
          <w:szCs w:val="22"/>
        </w:rPr>
        <w:t>ORDENA</w:t>
      </w:r>
      <w:r w:rsidRPr="006E2C6C">
        <w:rPr>
          <w:rFonts w:ascii="Palatino Linotype" w:eastAsia="Palatino Linotype" w:hAnsi="Palatino Linotype" w:cs="Palatino Linotype"/>
          <w:color w:val="000000"/>
          <w:sz w:val="22"/>
          <w:szCs w:val="22"/>
        </w:rPr>
        <w:t xml:space="preserve"> entregar vía Sistema de Acceso a la Información Mexiquense </w:t>
      </w:r>
      <w:r w:rsidRPr="006E2C6C">
        <w:rPr>
          <w:rFonts w:ascii="Palatino Linotype" w:eastAsia="Palatino Linotype" w:hAnsi="Palatino Linotype" w:cs="Palatino Linotype"/>
          <w:b/>
          <w:color w:val="000000"/>
          <w:sz w:val="22"/>
          <w:szCs w:val="22"/>
        </w:rPr>
        <w:t xml:space="preserve">(SAIMEX), </w:t>
      </w:r>
      <w:r w:rsidRPr="006E2C6C">
        <w:rPr>
          <w:rFonts w:ascii="Palatino Linotype" w:eastAsia="Palatino Linotype" w:hAnsi="Palatino Linotype" w:cs="Palatino Linotype"/>
          <w:color w:val="000000"/>
          <w:sz w:val="22"/>
          <w:szCs w:val="22"/>
        </w:rPr>
        <w:t>de ser procedente en versión pública</w:t>
      </w:r>
      <w:r w:rsidRPr="006E2C6C">
        <w:rPr>
          <w:rFonts w:ascii="Palatino Linotype" w:eastAsia="Palatino Linotype" w:hAnsi="Palatino Linotype" w:cs="Palatino Linotype"/>
          <w:b/>
          <w:color w:val="000000"/>
          <w:sz w:val="22"/>
          <w:szCs w:val="22"/>
        </w:rPr>
        <w:t xml:space="preserve">, </w:t>
      </w:r>
      <w:r w:rsidRPr="006E2C6C">
        <w:rPr>
          <w:rFonts w:ascii="Palatino Linotype" w:eastAsia="Palatino Linotype" w:hAnsi="Palatino Linotype" w:cs="Palatino Linotype"/>
          <w:color w:val="000000"/>
          <w:sz w:val="22"/>
          <w:szCs w:val="22"/>
        </w:rPr>
        <w:t>la siguiente información:</w:t>
      </w:r>
    </w:p>
    <w:p w14:paraId="6E733D8F" w14:textId="77777777" w:rsidR="00AD2BB3" w:rsidRPr="006E2C6C" w:rsidRDefault="00AD2BB3" w:rsidP="00CA610A">
      <w:pPr>
        <w:pBdr>
          <w:top w:val="nil"/>
          <w:left w:val="nil"/>
          <w:bottom w:val="nil"/>
          <w:right w:val="nil"/>
          <w:between w:val="nil"/>
        </w:pBdr>
        <w:tabs>
          <w:tab w:val="left" w:pos="993"/>
        </w:tabs>
        <w:spacing w:line="360" w:lineRule="auto"/>
        <w:jc w:val="both"/>
        <w:rPr>
          <w:rFonts w:ascii="Palatino Linotype" w:eastAsia="Palatino Linotype" w:hAnsi="Palatino Linotype" w:cs="Palatino Linotype"/>
          <w:sz w:val="22"/>
          <w:szCs w:val="22"/>
        </w:rPr>
      </w:pPr>
    </w:p>
    <w:p w14:paraId="560D8CBC" w14:textId="77777777" w:rsidR="00AD2BB3" w:rsidRPr="006E2C6C" w:rsidRDefault="00352597" w:rsidP="00CA610A">
      <w:pPr>
        <w:numPr>
          <w:ilvl w:val="1"/>
          <w:numId w:val="2"/>
        </w:numPr>
        <w:pBdr>
          <w:top w:val="nil"/>
          <w:left w:val="nil"/>
          <w:bottom w:val="nil"/>
          <w:right w:val="nil"/>
          <w:between w:val="nil"/>
        </w:pBdr>
        <w:tabs>
          <w:tab w:val="left" w:pos="993"/>
        </w:tabs>
        <w:spacing w:line="360" w:lineRule="auto"/>
        <w:jc w:val="both"/>
        <w:rPr>
          <w:rFonts w:ascii="Palatino Linotype" w:eastAsia="Palatino Linotype" w:hAnsi="Palatino Linotype" w:cs="Palatino Linotype"/>
          <w:b/>
          <w:color w:val="000000"/>
          <w:sz w:val="22"/>
          <w:szCs w:val="22"/>
        </w:rPr>
      </w:pPr>
      <w:bookmarkStart w:id="11" w:name="_heading=h.30j0zll" w:colFirst="0" w:colLast="0"/>
      <w:bookmarkEnd w:id="11"/>
      <w:r w:rsidRPr="006E2C6C">
        <w:rPr>
          <w:rFonts w:ascii="Palatino Linotype" w:eastAsia="Palatino Linotype" w:hAnsi="Palatino Linotype" w:cs="Palatino Linotype"/>
          <w:b/>
          <w:color w:val="000000"/>
          <w:sz w:val="22"/>
          <w:szCs w:val="22"/>
        </w:rPr>
        <w:t xml:space="preserve">Acta de cabildo mediante la cual fue aprobada la celebración del convenio de cesión de derechos de cobro del crédito 2314 “Fracc. Lomas del Parque”, firmado por la Titular del Fondo Nacional de Habitaciones Populares (FONHAPO) y la Presidente Municipal de Tultitlán. </w:t>
      </w:r>
    </w:p>
    <w:p w14:paraId="60DCF6D0" w14:textId="77777777" w:rsidR="00AD2BB3" w:rsidRPr="006E2C6C" w:rsidRDefault="00AD2BB3" w:rsidP="00CA610A">
      <w:pPr>
        <w:spacing w:line="360" w:lineRule="auto"/>
        <w:jc w:val="both"/>
        <w:rPr>
          <w:rFonts w:ascii="Palatino Linotype" w:eastAsia="Palatino Linotype" w:hAnsi="Palatino Linotype" w:cs="Palatino Linotype"/>
          <w:b/>
          <w:sz w:val="22"/>
          <w:szCs w:val="22"/>
        </w:rPr>
      </w:pPr>
    </w:p>
    <w:p w14:paraId="17F586B2" w14:textId="77777777" w:rsidR="00AD2BB3" w:rsidRPr="006E2C6C" w:rsidRDefault="00352597" w:rsidP="00CA610A">
      <w:pPr>
        <w:tabs>
          <w:tab w:val="left" w:pos="8080"/>
        </w:tabs>
        <w:spacing w:line="360" w:lineRule="auto"/>
        <w:jc w:val="both"/>
        <w:rPr>
          <w:rFonts w:ascii="Palatino Linotype" w:eastAsia="Palatino Linotype" w:hAnsi="Palatino Linotype" w:cs="Palatino Linotype"/>
          <w:b/>
          <w:sz w:val="22"/>
          <w:szCs w:val="22"/>
        </w:rPr>
      </w:pPr>
      <w:r w:rsidRPr="006E2C6C">
        <w:rPr>
          <w:rFonts w:ascii="Palatino Linotype" w:eastAsia="Palatino Linotype" w:hAnsi="Palatino Linotype" w:cs="Palatino Linotype"/>
          <w:sz w:val="22"/>
          <w:szCs w:val="22"/>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6E2C6C">
        <w:rPr>
          <w:rFonts w:ascii="Palatino Linotype" w:eastAsia="Palatino Linotype" w:hAnsi="Palatino Linotype" w:cs="Palatino Linotype"/>
          <w:b/>
          <w:sz w:val="22"/>
          <w:szCs w:val="22"/>
        </w:rPr>
        <w:t xml:space="preserve"> RECURRENTE.</w:t>
      </w:r>
    </w:p>
    <w:p w14:paraId="413D1B2D" w14:textId="77777777" w:rsidR="00AD2BB3" w:rsidRPr="006E2C6C" w:rsidRDefault="00AD2BB3" w:rsidP="00CA610A">
      <w:pPr>
        <w:spacing w:line="360" w:lineRule="auto"/>
        <w:jc w:val="both"/>
        <w:rPr>
          <w:rFonts w:ascii="Palatino Linotype" w:eastAsia="Palatino Linotype" w:hAnsi="Palatino Linotype" w:cs="Palatino Linotype"/>
          <w:b/>
          <w:sz w:val="22"/>
          <w:szCs w:val="22"/>
        </w:rPr>
      </w:pPr>
    </w:p>
    <w:p w14:paraId="6048763F" w14:textId="77777777" w:rsidR="00AD2BB3" w:rsidRPr="006E2C6C" w:rsidRDefault="00352597" w:rsidP="00CA610A">
      <w:pPr>
        <w:tabs>
          <w:tab w:val="left" w:pos="8080"/>
        </w:tabs>
        <w:spacing w:line="360" w:lineRule="auto"/>
        <w:jc w:val="both"/>
        <w:rPr>
          <w:rFonts w:ascii="Palatino Linotype" w:eastAsia="Palatino Linotype" w:hAnsi="Palatino Linotype" w:cs="Palatino Linotype"/>
          <w:color w:val="222222"/>
          <w:sz w:val="22"/>
          <w:szCs w:val="22"/>
        </w:rPr>
      </w:pPr>
      <w:r w:rsidRPr="006E2C6C">
        <w:rPr>
          <w:rFonts w:ascii="Palatino Linotype" w:eastAsia="Palatino Linotype" w:hAnsi="Palatino Linotype" w:cs="Palatino Linotype"/>
          <w:b/>
          <w:sz w:val="22"/>
          <w:szCs w:val="22"/>
        </w:rPr>
        <w:t xml:space="preserve">TERCERO. Notifíquese </w:t>
      </w:r>
      <w:r w:rsidRPr="006E2C6C">
        <w:rPr>
          <w:rFonts w:ascii="Palatino Linotype" w:eastAsia="Palatino Linotype" w:hAnsi="Palatino Linotype" w:cs="Palatino Linotype"/>
          <w:sz w:val="22"/>
          <w:szCs w:val="22"/>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6E2C6C">
        <w:rPr>
          <w:rFonts w:ascii="Palatino Linotype" w:eastAsia="Palatino Linotype" w:hAnsi="Palatino Linotype" w:cs="Palatino Linotype"/>
          <w:b/>
          <w:sz w:val="22"/>
          <w:szCs w:val="22"/>
        </w:rPr>
        <w:t>dé cumplimiento a lo ordenado dentro del plazo de diez días hábiles</w:t>
      </w:r>
      <w:r w:rsidRPr="006E2C6C">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ED341D" w14:textId="77777777" w:rsidR="00AD2BB3" w:rsidRPr="006E2C6C" w:rsidRDefault="00AD2BB3" w:rsidP="00CA610A">
      <w:pPr>
        <w:tabs>
          <w:tab w:val="left" w:pos="8080"/>
        </w:tabs>
        <w:spacing w:line="360" w:lineRule="auto"/>
        <w:jc w:val="both"/>
        <w:rPr>
          <w:rFonts w:ascii="Palatino Linotype" w:eastAsia="Palatino Linotype" w:hAnsi="Palatino Linotype" w:cs="Palatino Linotype"/>
          <w:color w:val="222222"/>
          <w:sz w:val="22"/>
          <w:szCs w:val="22"/>
        </w:rPr>
      </w:pPr>
    </w:p>
    <w:p w14:paraId="64F52595" w14:textId="77777777" w:rsidR="00AD2BB3" w:rsidRPr="006E2C6C" w:rsidRDefault="00352597" w:rsidP="00CA610A">
      <w:pPr>
        <w:shd w:val="clear" w:color="auto" w:fill="FFFFFF"/>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sz w:val="22"/>
          <w:szCs w:val="22"/>
        </w:rPr>
        <w:t>CUARTO. Notifíquese al RECURRENTE</w:t>
      </w:r>
      <w:r w:rsidRPr="006E2C6C">
        <w:rPr>
          <w:rFonts w:ascii="Palatino Linotype" w:eastAsia="Palatino Linotype" w:hAnsi="Palatino Linotype" w:cs="Palatino Linotype"/>
          <w:sz w:val="22"/>
          <w:szCs w:val="22"/>
        </w:rPr>
        <w:t xml:space="preserve"> la presente resolución vía SAIMEX.</w:t>
      </w:r>
    </w:p>
    <w:p w14:paraId="2BAFB84C" w14:textId="77777777" w:rsidR="00AD2BB3" w:rsidRPr="006E2C6C" w:rsidRDefault="00AD2BB3" w:rsidP="00CA610A">
      <w:pPr>
        <w:shd w:val="clear" w:color="auto" w:fill="FFFFFF"/>
        <w:spacing w:line="360" w:lineRule="auto"/>
        <w:jc w:val="both"/>
        <w:rPr>
          <w:rFonts w:ascii="Palatino Linotype" w:eastAsia="Palatino Linotype" w:hAnsi="Palatino Linotype" w:cs="Palatino Linotype"/>
          <w:b/>
          <w:color w:val="FF0000"/>
          <w:sz w:val="22"/>
          <w:szCs w:val="22"/>
        </w:rPr>
      </w:pPr>
    </w:p>
    <w:p w14:paraId="0F3DF60F" w14:textId="77777777" w:rsidR="00AD2BB3" w:rsidRPr="006E2C6C" w:rsidRDefault="00352597" w:rsidP="00CA610A">
      <w:p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sz w:val="22"/>
          <w:szCs w:val="22"/>
        </w:rPr>
        <w:t>QUINTO.</w:t>
      </w:r>
      <w:r w:rsidRPr="006E2C6C">
        <w:rPr>
          <w:rFonts w:ascii="Palatino Linotype" w:eastAsia="Palatino Linotype" w:hAnsi="Palatino Linotype" w:cs="Palatino Linotype"/>
          <w:sz w:val="22"/>
          <w:szCs w:val="22"/>
        </w:rPr>
        <w:t xml:space="preserve"> Se hace del conocimiento del </w:t>
      </w:r>
      <w:r w:rsidRPr="006E2C6C">
        <w:rPr>
          <w:rFonts w:ascii="Palatino Linotype" w:eastAsia="Palatino Linotype" w:hAnsi="Palatino Linotype" w:cs="Palatino Linotype"/>
          <w:b/>
          <w:sz w:val="22"/>
          <w:szCs w:val="22"/>
        </w:rPr>
        <w:t>RECURRENTE</w:t>
      </w:r>
      <w:r w:rsidRPr="006E2C6C">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571544A3" w14:textId="77777777" w:rsidR="00AD2BB3" w:rsidRPr="006E2C6C" w:rsidRDefault="00AD2BB3" w:rsidP="00CA610A">
      <w:pPr>
        <w:spacing w:line="360" w:lineRule="auto"/>
        <w:jc w:val="both"/>
        <w:rPr>
          <w:rFonts w:ascii="Palatino Linotype" w:eastAsia="Palatino Linotype" w:hAnsi="Palatino Linotype" w:cs="Palatino Linotype"/>
          <w:color w:val="000000"/>
          <w:sz w:val="22"/>
          <w:szCs w:val="22"/>
        </w:rPr>
      </w:pPr>
    </w:p>
    <w:p w14:paraId="65F6FAFA" w14:textId="77777777" w:rsidR="00AD2BB3" w:rsidRPr="006E2C6C" w:rsidRDefault="00352597" w:rsidP="00CA610A">
      <w:pPr>
        <w:spacing w:line="360" w:lineRule="auto"/>
        <w:jc w:val="both"/>
        <w:rPr>
          <w:rFonts w:ascii="Palatino Linotype" w:eastAsia="Palatino Linotype" w:hAnsi="Palatino Linotype" w:cs="Palatino Linotype"/>
          <w:sz w:val="22"/>
          <w:szCs w:val="22"/>
        </w:rPr>
      </w:pPr>
      <w:r w:rsidRPr="006E2C6C">
        <w:rPr>
          <w:rFonts w:ascii="Palatino Linotype" w:eastAsia="Palatino Linotype" w:hAnsi="Palatino Linotype" w:cs="Palatino Linotype"/>
          <w:b/>
          <w:color w:val="000000"/>
          <w:sz w:val="22"/>
          <w:szCs w:val="22"/>
        </w:rPr>
        <w:t xml:space="preserve">SEXTO. </w:t>
      </w:r>
      <w:r w:rsidRPr="006E2C6C">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Sujeto </w:t>
      </w:r>
      <w:r w:rsidRPr="006E2C6C">
        <w:rPr>
          <w:rFonts w:ascii="Palatino Linotype" w:eastAsia="Palatino Linotype" w:hAnsi="Palatino Linotype" w:cs="Palatino Linotype"/>
          <w:sz w:val="22"/>
          <w:szCs w:val="22"/>
        </w:rPr>
        <w:lastRenderedPageBreak/>
        <w:t>Obligado de manera fundada y motivada, podrá solicitar una ampliación de plazo para el cumplimiento de la presente resolución.</w:t>
      </w:r>
    </w:p>
    <w:p w14:paraId="4F0739E3" w14:textId="77777777" w:rsidR="00AD2BB3" w:rsidRPr="006E2C6C" w:rsidRDefault="00AD2BB3" w:rsidP="00CA610A">
      <w:pPr>
        <w:spacing w:line="360" w:lineRule="auto"/>
        <w:jc w:val="both"/>
        <w:rPr>
          <w:rFonts w:ascii="Palatino Linotype" w:eastAsia="Palatino Linotype" w:hAnsi="Palatino Linotype" w:cs="Palatino Linotype"/>
          <w:sz w:val="22"/>
          <w:szCs w:val="22"/>
        </w:rPr>
      </w:pPr>
    </w:p>
    <w:p w14:paraId="1FC2D906" w14:textId="77777777" w:rsidR="00446BD9" w:rsidRPr="003C7186" w:rsidRDefault="00446BD9" w:rsidP="00446BD9">
      <w:pPr>
        <w:spacing w:line="360" w:lineRule="auto"/>
        <w:ind w:left="-142" w:right="-234" w:firstLine="1"/>
        <w:jc w:val="both"/>
        <w:rPr>
          <w:rFonts w:ascii="Palatino Linotype" w:hAnsi="Palatino Linotype"/>
        </w:rPr>
      </w:pPr>
      <w:r w:rsidRPr="006E2C6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14:paraId="2248BFD0" w14:textId="77777777" w:rsidR="00AD2BB3" w:rsidRDefault="00AD2BB3" w:rsidP="00CA610A">
      <w:pPr>
        <w:rPr>
          <w:rFonts w:ascii="Palatino Linotype" w:eastAsia="Palatino Linotype" w:hAnsi="Palatino Linotype" w:cs="Palatino Linotype"/>
          <w:sz w:val="22"/>
          <w:szCs w:val="22"/>
        </w:rPr>
      </w:pPr>
    </w:p>
    <w:p w14:paraId="7AF8D6F4" w14:textId="77777777" w:rsidR="006E2C6C" w:rsidRDefault="006E2C6C" w:rsidP="00CA610A">
      <w:pPr>
        <w:rPr>
          <w:rFonts w:ascii="Palatino Linotype" w:eastAsia="Palatino Linotype" w:hAnsi="Palatino Linotype" w:cs="Palatino Linotype"/>
          <w:sz w:val="22"/>
          <w:szCs w:val="22"/>
        </w:rPr>
      </w:pPr>
    </w:p>
    <w:p w14:paraId="375B3B4A" w14:textId="77777777" w:rsidR="006E2C6C" w:rsidRDefault="006E2C6C" w:rsidP="00CA610A">
      <w:pPr>
        <w:rPr>
          <w:rFonts w:ascii="Palatino Linotype" w:eastAsia="Palatino Linotype" w:hAnsi="Palatino Linotype" w:cs="Palatino Linotype"/>
          <w:sz w:val="22"/>
          <w:szCs w:val="22"/>
        </w:rPr>
      </w:pPr>
    </w:p>
    <w:p w14:paraId="41FE480B" w14:textId="77777777" w:rsidR="006E2C6C" w:rsidRDefault="006E2C6C" w:rsidP="00CA610A">
      <w:pPr>
        <w:rPr>
          <w:rFonts w:ascii="Palatino Linotype" w:eastAsia="Palatino Linotype" w:hAnsi="Palatino Linotype" w:cs="Palatino Linotype"/>
          <w:sz w:val="22"/>
          <w:szCs w:val="22"/>
        </w:rPr>
      </w:pPr>
    </w:p>
    <w:p w14:paraId="531EB6BF" w14:textId="77777777" w:rsidR="006E2C6C" w:rsidRDefault="006E2C6C" w:rsidP="00CA610A">
      <w:pPr>
        <w:rPr>
          <w:rFonts w:ascii="Palatino Linotype" w:eastAsia="Palatino Linotype" w:hAnsi="Palatino Linotype" w:cs="Palatino Linotype"/>
          <w:sz w:val="22"/>
          <w:szCs w:val="22"/>
        </w:rPr>
      </w:pPr>
    </w:p>
    <w:p w14:paraId="5C5594AD" w14:textId="77777777" w:rsidR="006E2C6C" w:rsidRDefault="006E2C6C" w:rsidP="00CA610A">
      <w:pPr>
        <w:rPr>
          <w:rFonts w:ascii="Palatino Linotype" w:eastAsia="Palatino Linotype" w:hAnsi="Palatino Linotype" w:cs="Palatino Linotype"/>
          <w:sz w:val="22"/>
          <w:szCs w:val="22"/>
        </w:rPr>
      </w:pPr>
    </w:p>
    <w:p w14:paraId="5A35A223" w14:textId="77777777" w:rsidR="006E2C6C" w:rsidRDefault="006E2C6C" w:rsidP="00CA610A">
      <w:pPr>
        <w:rPr>
          <w:rFonts w:ascii="Palatino Linotype" w:eastAsia="Palatino Linotype" w:hAnsi="Palatino Linotype" w:cs="Palatino Linotype"/>
          <w:sz w:val="22"/>
          <w:szCs w:val="22"/>
        </w:rPr>
      </w:pPr>
    </w:p>
    <w:p w14:paraId="569A0B21" w14:textId="77777777" w:rsidR="006E2C6C" w:rsidRDefault="006E2C6C" w:rsidP="00CA610A">
      <w:pPr>
        <w:rPr>
          <w:rFonts w:ascii="Palatino Linotype" w:eastAsia="Palatino Linotype" w:hAnsi="Palatino Linotype" w:cs="Palatino Linotype"/>
          <w:sz w:val="22"/>
          <w:szCs w:val="22"/>
        </w:rPr>
      </w:pPr>
    </w:p>
    <w:p w14:paraId="6EA9D8D6" w14:textId="77777777" w:rsidR="006E2C6C" w:rsidRDefault="006E2C6C" w:rsidP="00CA610A">
      <w:pPr>
        <w:rPr>
          <w:rFonts w:ascii="Palatino Linotype" w:eastAsia="Palatino Linotype" w:hAnsi="Palatino Linotype" w:cs="Palatino Linotype"/>
          <w:sz w:val="22"/>
          <w:szCs w:val="22"/>
        </w:rPr>
      </w:pPr>
    </w:p>
    <w:p w14:paraId="04F08082" w14:textId="77777777" w:rsidR="006E2C6C" w:rsidRDefault="006E2C6C" w:rsidP="00CA610A">
      <w:pPr>
        <w:rPr>
          <w:rFonts w:ascii="Palatino Linotype" w:eastAsia="Palatino Linotype" w:hAnsi="Palatino Linotype" w:cs="Palatino Linotype"/>
          <w:sz w:val="22"/>
          <w:szCs w:val="22"/>
        </w:rPr>
      </w:pPr>
    </w:p>
    <w:p w14:paraId="197EAAF5" w14:textId="77777777" w:rsidR="006E2C6C" w:rsidRDefault="006E2C6C" w:rsidP="00CA610A">
      <w:pPr>
        <w:rPr>
          <w:rFonts w:ascii="Palatino Linotype" w:eastAsia="Palatino Linotype" w:hAnsi="Palatino Linotype" w:cs="Palatino Linotype"/>
          <w:sz w:val="22"/>
          <w:szCs w:val="22"/>
        </w:rPr>
      </w:pPr>
    </w:p>
    <w:p w14:paraId="2B714788" w14:textId="77777777" w:rsidR="006E2C6C" w:rsidRDefault="006E2C6C" w:rsidP="00CA610A">
      <w:pPr>
        <w:rPr>
          <w:rFonts w:ascii="Palatino Linotype" w:eastAsia="Palatino Linotype" w:hAnsi="Palatino Linotype" w:cs="Palatino Linotype"/>
          <w:sz w:val="22"/>
          <w:szCs w:val="22"/>
        </w:rPr>
      </w:pPr>
    </w:p>
    <w:p w14:paraId="33D1EDAB" w14:textId="77777777" w:rsidR="006E2C6C" w:rsidRDefault="006E2C6C" w:rsidP="00CA610A">
      <w:pPr>
        <w:rPr>
          <w:rFonts w:ascii="Palatino Linotype" w:eastAsia="Palatino Linotype" w:hAnsi="Palatino Linotype" w:cs="Palatino Linotype"/>
          <w:sz w:val="22"/>
          <w:szCs w:val="22"/>
        </w:rPr>
      </w:pPr>
    </w:p>
    <w:p w14:paraId="17979AFB" w14:textId="77777777" w:rsidR="006E2C6C" w:rsidRDefault="006E2C6C" w:rsidP="00CA610A">
      <w:pPr>
        <w:rPr>
          <w:rFonts w:ascii="Palatino Linotype" w:eastAsia="Palatino Linotype" w:hAnsi="Palatino Linotype" w:cs="Palatino Linotype"/>
          <w:sz w:val="22"/>
          <w:szCs w:val="22"/>
        </w:rPr>
      </w:pPr>
    </w:p>
    <w:p w14:paraId="2E214B34" w14:textId="77777777" w:rsidR="006E2C6C" w:rsidRDefault="006E2C6C" w:rsidP="00CA610A">
      <w:pPr>
        <w:rPr>
          <w:rFonts w:ascii="Palatino Linotype" w:eastAsia="Palatino Linotype" w:hAnsi="Palatino Linotype" w:cs="Palatino Linotype"/>
          <w:sz w:val="22"/>
          <w:szCs w:val="22"/>
        </w:rPr>
      </w:pPr>
    </w:p>
    <w:p w14:paraId="4E4ED053" w14:textId="77777777" w:rsidR="006E2C6C" w:rsidRDefault="006E2C6C" w:rsidP="00CA610A">
      <w:pPr>
        <w:rPr>
          <w:rFonts w:ascii="Palatino Linotype" w:eastAsia="Palatino Linotype" w:hAnsi="Palatino Linotype" w:cs="Palatino Linotype"/>
          <w:sz w:val="22"/>
          <w:szCs w:val="22"/>
        </w:rPr>
      </w:pPr>
    </w:p>
    <w:p w14:paraId="409AD01A" w14:textId="77777777" w:rsidR="006E2C6C" w:rsidRDefault="006E2C6C" w:rsidP="00CA610A">
      <w:pPr>
        <w:rPr>
          <w:rFonts w:ascii="Palatino Linotype" w:eastAsia="Palatino Linotype" w:hAnsi="Palatino Linotype" w:cs="Palatino Linotype"/>
          <w:sz w:val="22"/>
          <w:szCs w:val="22"/>
        </w:rPr>
      </w:pPr>
    </w:p>
    <w:p w14:paraId="0E2E4805" w14:textId="77777777" w:rsidR="006E2C6C" w:rsidRDefault="006E2C6C" w:rsidP="00CA610A">
      <w:pPr>
        <w:rPr>
          <w:rFonts w:ascii="Palatino Linotype" w:eastAsia="Palatino Linotype" w:hAnsi="Palatino Linotype" w:cs="Palatino Linotype"/>
          <w:sz w:val="22"/>
          <w:szCs w:val="22"/>
        </w:rPr>
      </w:pPr>
    </w:p>
    <w:p w14:paraId="208DA1BD" w14:textId="77777777" w:rsidR="006E2C6C" w:rsidRDefault="006E2C6C" w:rsidP="00CA610A">
      <w:pPr>
        <w:rPr>
          <w:rFonts w:ascii="Palatino Linotype" w:eastAsia="Palatino Linotype" w:hAnsi="Palatino Linotype" w:cs="Palatino Linotype"/>
          <w:sz w:val="22"/>
          <w:szCs w:val="22"/>
        </w:rPr>
      </w:pPr>
    </w:p>
    <w:p w14:paraId="748292CB" w14:textId="77777777" w:rsidR="006E2C6C" w:rsidRDefault="006E2C6C" w:rsidP="00CA610A">
      <w:pPr>
        <w:rPr>
          <w:rFonts w:ascii="Palatino Linotype" w:eastAsia="Palatino Linotype" w:hAnsi="Palatino Linotype" w:cs="Palatino Linotype"/>
          <w:sz w:val="22"/>
          <w:szCs w:val="22"/>
        </w:rPr>
      </w:pPr>
    </w:p>
    <w:p w14:paraId="50466C5B" w14:textId="77777777" w:rsidR="006E2C6C" w:rsidRDefault="006E2C6C" w:rsidP="00CA610A">
      <w:pPr>
        <w:rPr>
          <w:rFonts w:ascii="Palatino Linotype" w:eastAsia="Palatino Linotype" w:hAnsi="Palatino Linotype" w:cs="Palatino Linotype"/>
          <w:sz w:val="22"/>
          <w:szCs w:val="22"/>
        </w:rPr>
      </w:pPr>
    </w:p>
    <w:p w14:paraId="38B7CD94" w14:textId="77777777" w:rsidR="006E2C6C" w:rsidRDefault="006E2C6C" w:rsidP="00CA610A">
      <w:pPr>
        <w:rPr>
          <w:rFonts w:ascii="Palatino Linotype" w:eastAsia="Palatino Linotype" w:hAnsi="Palatino Linotype" w:cs="Palatino Linotype"/>
          <w:sz w:val="22"/>
          <w:szCs w:val="22"/>
        </w:rPr>
      </w:pPr>
    </w:p>
    <w:p w14:paraId="7E567D87" w14:textId="77777777" w:rsidR="006E2C6C" w:rsidRPr="00CA610A" w:rsidRDefault="006E2C6C" w:rsidP="00CA610A">
      <w:pPr>
        <w:rPr>
          <w:rFonts w:ascii="Palatino Linotype" w:eastAsia="Palatino Linotype" w:hAnsi="Palatino Linotype" w:cs="Palatino Linotype"/>
          <w:sz w:val="22"/>
          <w:szCs w:val="22"/>
        </w:rPr>
      </w:pPr>
    </w:p>
    <w:sectPr w:rsidR="006E2C6C" w:rsidRPr="00CA610A">
      <w:headerReference w:type="even" r:id="rId19"/>
      <w:headerReference w:type="default" r:id="rId20"/>
      <w:footerReference w:type="default" r:id="rId21"/>
      <w:headerReference w:type="first" r:id="rId22"/>
      <w:footerReference w:type="first" r:id="rId2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D76B" w14:textId="77777777" w:rsidR="00EA648C" w:rsidRDefault="00EA648C">
      <w:r>
        <w:separator/>
      </w:r>
    </w:p>
  </w:endnote>
  <w:endnote w:type="continuationSeparator" w:id="0">
    <w:p w14:paraId="4F89CAFD" w14:textId="77777777" w:rsidR="00EA648C" w:rsidRDefault="00EA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4AEA7" w14:textId="77777777" w:rsidR="00382D2C" w:rsidRDefault="00382D2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F27AD">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F27AD">
      <w:rPr>
        <w:b/>
        <w:noProof/>
        <w:color w:val="000000"/>
      </w:rPr>
      <w:t>40</w:t>
    </w:r>
    <w:r>
      <w:rPr>
        <w:b/>
        <w:color w:val="000000"/>
      </w:rPr>
      <w:fldChar w:fldCharType="end"/>
    </w:r>
  </w:p>
  <w:p w14:paraId="7FFD13E2" w14:textId="77777777" w:rsidR="00382D2C" w:rsidRDefault="00382D2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DCBE" w14:textId="77777777" w:rsidR="00382D2C" w:rsidRDefault="00382D2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F27A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F27AD">
      <w:rPr>
        <w:b/>
        <w:noProof/>
        <w:color w:val="000000"/>
      </w:rPr>
      <w:t>40</w:t>
    </w:r>
    <w:r>
      <w:rPr>
        <w:b/>
        <w:color w:val="000000"/>
      </w:rPr>
      <w:fldChar w:fldCharType="end"/>
    </w:r>
  </w:p>
  <w:p w14:paraId="36423FFD" w14:textId="77777777" w:rsidR="00382D2C" w:rsidRDefault="00382D2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7C4B5" w14:textId="77777777" w:rsidR="00EA648C" w:rsidRDefault="00EA648C">
      <w:r>
        <w:separator/>
      </w:r>
    </w:p>
  </w:footnote>
  <w:footnote w:type="continuationSeparator" w:id="0">
    <w:p w14:paraId="31D2CB80" w14:textId="77777777" w:rsidR="00EA648C" w:rsidRDefault="00EA648C">
      <w:r>
        <w:continuationSeparator/>
      </w:r>
    </w:p>
  </w:footnote>
  <w:footnote w:id="1">
    <w:p w14:paraId="4666FE38" w14:textId="77777777" w:rsidR="00382D2C" w:rsidRDefault="00382D2C">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78338A40" w14:textId="77777777" w:rsidR="00382D2C" w:rsidRDefault="00382D2C">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6C4BA645" w14:textId="77777777" w:rsidR="00382D2C" w:rsidRPr="000360FC" w:rsidRDefault="00382D2C">
      <w:pPr>
        <w:pBdr>
          <w:top w:val="nil"/>
          <w:left w:val="nil"/>
          <w:bottom w:val="nil"/>
          <w:right w:val="nil"/>
          <w:between w:val="nil"/>
        </w:pBdr>
        <w:jc w:val="both"/>
        <w:rPr>
          <w:rFonts w:ascii="Calibri" w:eastAsia="Calibri" w:hAnsi="Calibri" w:cs="Calibri"/>
          <w:color w:val="000000"/>
          <w:sz w:val="20"/>
          <w:szCs w:val="20"/>
          <w:lang w:val="en-US"/>
        </w:rPr>
      </w:pPr>
      <w:r>
        <w:rPr>
          <w:rFonts w:ascii="Calibri" w:eastAsia="Calibri" w:hAnsi="Calibri" w:cs="Calibri"/>
          <w:color w:val="000000"/>
          <w:sz w:val="20"/>
          <w:szCs w:val="20"/>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w:t>
      </w:r>
      <w:r w:rsidRPr="000360FC">
        <w:rPr>
          <w:rFonts w:ascii="Calibri" w:eastAsia="Calibri" w:hAnsi="Calibri" w:cs="Calibri"/>
          <w:color w:val="000000"/>
          <w:sz w:val="20"/>
          <w:szCs w:val="20"/>
          <w:lang w:val="en-US"/>
        </w:rPr>
        <w:t xml:space="preserve">Pp 1-19. </w:t>
      </w:r>
    </w:p>
  </w:footnote>
  <w:footnote w:id="2">
    <w:p w14:paraId="2D3689FF" w14:textId="77777777" w:rsidR="00382D2C" w:rsidRPr="000360FC" w:rsidRDefault="00382D2C">
      <w:pPr>
        <w:pBdr>
          <w:top w:val="nil"/>
          <w:left w:val="nil"/>
          <w:bottom w:val="nil"/>
          <w:right w:val="nil"/>
          <w:between w:val="nil"/>
        </w:pBdr>
        <w:rPr>
          <w:rFonts w:ascii="Calibri" w:eastAsia="Calibri" w:hAnsi="Calibri" w:cs="Calibri"/>
          <w:color w:val="000000"/>
          <w:sz w:val="20"/>
          <w:szCs w:val="20"/>
          <w:lang w:val="en-US"/>
        </w:rPr>
      </w:pPr>
      <w:r>
        <w:rPr>
          <w:vertAlign w:val="superscript"/>
        </w:rPr>
        <w:footnoteRef/>
      </w:r>
      <w:r w:rsidRPr="000360FC">
        <w:rPr>
          <w:rFonts w:ascii="Calibri" w:eastAsia="Calibri" w:hAnsi="Calibri" w:cs="Calibri"/>
          <w:color w:val="000000"/>
          <w:sz w:val="20"/>
          <w:szCs w:val="20"/>
          <w:lang w:val="en-US"/>
        </w:rPr>
        <w:t xml:space="preserve"> </w:t>
      </w:r>
      <w:hyperlink r:id="rId1">
        <w:r w:rsidRPr="000360FC">
          <w:rPr>
            <w:rFonts w:ascii="Calibri" w:eastAsia="Calibri" w:hAnsi="Calibri" w:cs="Calibri"/>
            <w:color w:val="0563C1"/>
            <w:sz w:val="20"/>
            <w:szCs w:val="20"/>
            <w:u w:val="single"/>
            <w:lang w:val="en-US"/>
          </w:rPr>
          <w:t>https://www.dof.gob.mx/nota_detalle.php?codigo=5433280&amp;fecha=15/04/2016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D1F07" w14:textId="77777777" w:rsidR="00382D2C" w:rsidRDefault="00EA648C">
    <w:pPr>
      <w:pBdr>
        <w:top w:val="nil"/>
        <w:left w:val="nil"/>
        <w:bottom w:val="nil"/>
        <w:right w:val="nil"/>
        <w:between w:val="nil"/>
      </w:pBdr>
      <w:tabs>
        <w:tab w:val="center" w:pos="4419"/>
        <w:tab w:val="right" w:pos="8838"/>
      </w:tabs>
      <w:rPr>
        <w:color w:val="000000"/>
      </w:rPr>
    </w:pPr>
    <w:r>
      <w:rPr>
        <w:color w:val="000000"/>
      </w:rPr>
      <w:pict w14:anchorId="0434D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ED42C" w14:textId="77777777" w:rsidR="00382D2C" w:rsidRDefault="00382D2C">
    <w:pPr>
      <w:widowControl w:val="0"/>
      <w:pBdr>
        <w:top w:val="nil"/>
        <w:left w:val="nil"/>
        <w:bottom w:val="nil"/>
        <w:right w:val="nil"/>
        <w:between w:val="nil"/>
      </w:pBdr>
      <w:spacing w:line="276" w:lineRule="auto"/>
      <w:rPr>
        <w:rFonts w:ascii="Palatino Linotype" w:eastAsia="Palatino Linotype" w:hAnsi="Palatino Linotype" w:cs="Palatino Linotype"/>
      </w:rPr>
    </w:pPr>
  </w:p>
  <w:tbl>
    <w:tblPr>
      <w:tblStyle w:val="a4"/>
      <w:tblW w:w="9214" w:type="dxa"/>
      <w:tblInd w:w="0" w:type="dxa"/>
      <w:tblLayout w:type="fixed"/>
      <w:tblLook w:val="0400" w:firstRow="0" w:lastRow="0" w:firstColumn="0" w:lastColumn="0" w:noHBand="0" w:noVBand="1"/>
    </w:tblPr>
    <w:tblGrid>
      <w:gridCol w:w="2268"/>
      <w:gridCol w:w="6946"/>
    </w:tblGrid>
    <w:tr w:rsidR="00382D2C" w14:paraId="43282F42" w14:textId="77777777">
      <w:trPr>
        <w:trHeight w:val="1435"/>
      </w:trPr>
      <w:tc>
        <w:tcPr>
          <w:tcW w:w="2268" w:type="dxa"/>
          <w:shd w:val="clear" w:color="auto" w:fill="auto"/>
        </w:tcPr>
        <w:p w14:paraId="53AE4D83" w14:textId="77777777" w:rsidR="00382D2C" w:rsidRDefault="00382D2C">
          <w:pPr>
            <w:tabs>
              <w:tab w:val="right" w:pos="4273"/>
            </w:tabs>
            <w:rPr>
              <w:rFonts w:ascii="Garamond" w:eastAsia="Garamond" w:hAnsi="Garamond" w:cs="Garamond"/>
              <w:sz w:val="16"/>
              <w:szCs w:val="16"/>
            </w:rPr>
          </w:pPr>
        </w:p>
      </w:tc>
      <w:tc>
        <w:tcPr>
          <w:tcW w:w="6946" w:type="dxa"/>
          <w:shd w:val="clear" w:color="auto" w:fill="auto"/>
        </w:tcPr>
        <w:p w14:paraId="60E076E7" w14:textId="77777777" w:rsidR="00382D2C" w:rsidRDefault="00382D2C"/>
        <w:tbl>
          <w:tblPr>
            <w:tblStyle w:val="a5"/>
            <w:tblW w:w="6660" w:type="dxa"/>
            <w:tblInd w:w="40" w:type="dxa"/>
            <w:tblLayout w:type="fixed"/>
            <w:tblLook w:val="0400" w:firstRow="0" w:lastRow="0" w:firstColumn="0" w:lastColumn="0" w:noHBand="0" w:noVBand="1"/>
          </w:tblPr>
          <w:tblGrid>
            <w:gridCol w:w="2610"/>
            <w:gridCol w:w="4050"/>
          </w:tblGrid>
          <w:tr w:rsidR="00382D2C" w14:paraId="5F76C4DF" w14:textId="77777777">
            <w:trPr>
              <w:trHeight w:val="150"/>
            </w:trPr>
            <w:tc>
              <w:tcPr>
                <w:tcW w:w="2610" w:type="dxa"/>
                <w:shd w:val="clear" w:color="auto" w:fill="auto"/>
              </w:tcPr>
              <w:p w14:paraId="1E3E645F" w14:textId="77777777" w:rsidR="00382D2C" w:rsidRDefault="00382D2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50" w:type="dxa"/>
                <w:shd w:val="clear" w:color="auto" w:fill="auto"/>
              </w:tcPr>
              <w:p w14:paraId="5A9D4BEE" w14:textId="77777777" w:rsidR="00382D2C" w:rsidRDefault="00382D2C">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02108/INFOEM/IP/RR/2024</w:t>
                </w:r>
              </w:p>
            </w:tc>
          </w:tr>
          <w:tr w:rsidR="00382D2C" w14:paraId="55CCC85C" w14:textId="77777777">
            <w:trPr>
              <w:trHeight w:val="295"/>
            </w:trPr>
            <w:tc>
              <w:tcPr>
                <w:tcW w:w="2610" w:type="dxa"/>
                <w:shd w:val="clear" w:color="auto" w:fill="auto"/>
              </w:tcPr>
              <w:p w14:paraId="6A6B8FED" w14:textId="77777777" w:rsidR="00382D2C" w:rsidRDefault="00382D2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50" w:type="dxa"/>
                <w:shd w:val="clear" w:color="auto" w:fill="auto"/>
              </w:tcPr>
              <w:p w14:paraId="3B7D6D09" w14:textId="77777777" w:rsidR="00382D2C" w:rsidRDefault="00382D2C">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Tultitlán</w:t>
                </w:r>
              </w:p>
            </w:tc>
          </w:tr>
          <w:tr w:rsidR="00382D2C" w14:paraId="78BC251B" w14:textId="77777777">
            <w:trPr>
              <w:trHeight w:val="295"/>
            </w:trPr>
            <w:tc>
              <w:tcPr>
                <w:tcW w:w="2610" w:type="dxa"/>
                <w:shd w:val="clear" w:color="auto" w:fill="auto"/>
              </w:tcPr>
              <w:p w14:paraId="2C2F6650" w14:textId="77777777" w:rsidR="00382D2C" w:rsidRDefault="00382D2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50" w:type="dxa"/>
                <w:shd w:val="clear" w:color="auto" w:fill="auto"/>
              </w:tcPr>
              <w:p w14:paraId="3174CC54" w14:textId="77777777" w:rsidR="00382D2C" w:rsidRDefault="00382D2C">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8CF6E02" w14:textId="77777777" w:rsidR="00382D2C" w:rsidRDefault="00382D2C">
                <w:pPr>
                  <w:tabs>
                    <w:tab w:val="right" w:pos="8838"/>
                  </w:tabs>
                  <w:ind w:left="-108" w:right="171"/>
                  <w:jc w:val="both"/>
                  <w:rPr>
                    <w:rFonts w:ascii="Palatino Linotype" w:eastAsia="Palatino Linotype" w:hAnsi="Palatino Linotype" w:cs="Palatino Linotype"/>
                    <w:sz w:val="22"/>
                    <w:szCs w:val="22"/>
                  </w:rPr>
                </w:pPr>
              </w:p>
            </w:tc>
          </w:tr>
        </w:tbl>
        <w:p w14:paraId="64E8699A" w14:textId="77777777" w:rsidR="00382D2C" w:rsidRDefault="00382D2C">
          <w:pPr>
            <w:tabs>
              <w:tab w:val="right" w:pos="8838"/>
            </w:tabs>
            <w:ind w:left="-28"/>
            <w:jc w:val="both"/>
            <w:rPr>
              <w:rFonts w:ascii="Arial" w:eastAsia="Arial" w:hAnsi="Arial" w:cs="Arial"/>
              <w:b/>
              <w:sz w:val="22"/>
              <w:szCs w:val="22"/>
            </w:rPr>
          </w:pPr>
        </w:p>
      </w:tc>
    </w:tr>
  </w:tbl>
  <w:p w14:paraId="77A9C98B" w14:textId="77777777" w:rsidR="00382D2C" w:rsidRDefault="00EA648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79412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6B8D8" w14:textId="77777777" w:rsidR="00382D2C" w:rsidRDefault="00382D2C">
    <w:pPr>
      <w:widowControl w:val="0"/>
      <w:pBdr>
        <w:top w:val="nil"/>
        <w:left w:val="nil"/>
        <w:bottom w:val="nil"/>
        <w:right w:val="nil"/>
        <w:between w:val="nil"/>
      </w:pBdr>
      <w:spacing w:line="276" w:lineRule="auto"/>
      <w:rPr>
        <w:color w:val="000000"/>
      </w:rPr>
    </w:pPr>
  </w:p>
  <w:tbl>
    <w:tblPr>
      <w:tblStyle w:val="a6"/>
      <w:tblW w:w="9072" w:type="dxa"/>
      <w:tblInd w:w="0" w:type="dxa"/>
      <w:tblLayout w:type="fixed"/>
      <w:tblLook w:val="0400" w:firstRow="0" w:lastRow="0" w:firstColumn="0" w:lastColumn="0" w:noHBand="0" w:noVBand="1"/>
    </w:tblPr>
    <w:tblGrid>
      <w:gridCol w:w="2268"/>
      <w:gridCol w:w="6804"/>
    </w:tblGrid>
    <w:tr w:rsidR="00382D2C" w14:paraId="0D20AD5C" w14:textId="77777777">
      <w:trPr>
        <w:trHeight w:val="1435"/>
      </w:trPr>
      <w:tc>
        <w:tcPr>
          <w:tcW w:w="2268" w:type="dxa"/>
          <w:shd w:val="clear" w:color="auto" w:fill="auto"/>
        </w:tcPr>
        <w:p w14:paraId="416E24EA" w14:textId="77777777" w:rsidR="00382D2C" w:rsidRDefault="00382D2C">
          <w:pPr>
            <w:tabs>
              <w:tab w:val="right" w:pos="4273"/>
            </w:tabs>
            <w:rPr>
              <w:rFonts w:ascii="Garamond" w:eastAsia="Garamond" w:hAnsi="Garamond" w:cs="Garamond"/>
              <w:sz w:val="22"/>
              <w:szCs w:val="22"/>
            </w:rPr>
          </w:pPr>
        </w:p>
      </w:tc>
      <w:tc>
        <w:tcPr>
          <w:tcW w:w="6804" w:type="dxa"/>
          <w:shd w:val="clear" w:color="auto" w:fill="auto"/>
        </w:tcPr>
        <w:p w14:paraId="398AF4F5" w14:textId="77777777" w:rsidR="00382D2C" w:rsidRDefault="00382D2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7"/>
            <w:tblW w:w="6662" w:type="dxa"/>
            <w:tblInd w:w="40" w:type="dxa"/>
            <w:tblLayout w:type="fixed"/>
            <w:tblLook w:val="0400" w:firstRow="0" w:lastRow="0" w:firstColumn="0" w:lastColumn="0" w:noHBand="0" w:noVBand="1"/>
          </w:tblPr>
          <w:tblGrid>
            <w:gridCol w:w="2444"/>
            <w:gridCol w:w="4218"/>
          </w:tblGrid>
          <w:tr w:rsidR="00382D2C" w14:paraId="127F6314" w14:textId="77777777">
            <w:trPr>
              <w:trHeight w:val="144"/>
            </w:trPr>
            <w:tc>
              <w:tcPr>
                <w:tcW w:w="2444" w:type="dxa"/>
                <w:shd w:val="clear" w:color="auto" w:fill="auto"/>
              </w:tcPr>
              <w:p w14:paraId="22E42D94" w14:textId="77777777" w:rsidR="00382D2C" w:rsidRDefault="00382D2C">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26B540B0" w14:textId="77777777" w:rsidR="00382D2C" w:rsidRDefault="00382D2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02108/INFOEM/IP/RR/2024</w:t>
                </w:r>
              </w:p>
            </w:tc>
          </w:tr>
          <w:tr w:rsidR="00382D2C" w14:paraId="1580270D" w14:textId="77777777">
            <w:trPr>
              <w:trHeight w:val="144"/>
            </w:trPr>
            <w:tc>
              <w:tcPr>
                <w:tcW w:w="2444" w:type="dxa"/>
                <w:shd w:val="clear" w:color="auto" w:fill="auto"/>
              </w:tcPr>
              <w:p w14:paraId="3C08A027" w14:textId="77777777" w:rsidR="00382D2C" w:rsidRDefault="00382D2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31F4C040" w14:textId="1BEA7702" w:rsidR="00382D2C" w:rsidRDefault="00CF27AD">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 XXXXX XXXXX</w:t>
                </w:r>
              </w:p>
            </w:tc>
          </w:tr>
          <w:tr w:rsidR="00382D2C" w14:paraId="380B2DF4" w14:textId="77777777">
            <w:trPr>
              <w:trHeight w:val="283"/>
            </w:trPr>
            <w:tc>
              <w:tcPr>
                <w:tcW w:w="2444" w:type="dxa"/>
                <w:shd w:val="clear" w:color="auto" w:fill="auto"/>
              </w:tcPr>
              <w:p w14:paraId="7066E25B" w14:textId="77777777" w:rsidR="00382D2C" w:rsidRDefault="00382D2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3606A596" w14:textId="77777777" w:rsidR="00382D2C" w:rsidRDefault="00382D2C">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Tultitlán</w:t>
                </w:r>
              </w:p>
            </w:tc>
          </w:tr>
          <w:tr w:rsidR="00382D2C" w14:paraId="2386A0F8" w14:textId="77777777">
            <w:trPr>
              <w:trHeight w:val="283"/>
            </w:trPr>
            <w:tc>
              <w:tcPr>
                <w:tcW w:w="2444" w:type="dxa"/>
                <w:shd w:val="clear" w:color="auto" w:fill="auto"/>
              </w:tcPr>
              <w:p w14:paraId="1FEEC7E7" w14:textId="77777777" w:rsidR="00382D2C" w:rsidRDefault="00382D2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14:paraId="2677AFBA" w14:textId="77777777" w:rsidR="00382D2C" w:rsidRDefault="00382D2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89D3EFF" w14:textId="77777777" w:rsidR="00382D2C" w:rsidRDefault="00382D2C">
                <w:pPr>
                  <w:tabs>
                    <w:tab w:val="right" w:pos="8838"/>
                  </w:tabs>
                  <w:ind w:left="-74" w:right="-105"/>
                  <w:jc w:val="both"/>
                  <w:rPr>
                    <w:rFonts w:ascii="Palatino Linotype" w:eastAsia="Palatino Linotype" w:hAnsi="Palatino Linotype" w:cs="Palatino Linotype"/>
                    <w:sz w:val="22"/>
                    <w:szCs w:val="22"/>
                  </w:rPr>
                </w:pPr>
              </w:p>
            </w:tc>
          </w:tr>
        </w:tbl>
        <w:p w14:paraId="7EDA05E2" w14:textId="77777777" w:rsidR="00382D2C" w:rsidRDefault="00382D2C">
          <w:pPr>
            <w:tabs>
              <w:tab w:val="right" w:pos="8838"/>
            </w:tabs>
            <w:ind w:left="-28"/>
            <w:jc w:val="both"/>
            <w:rPr>
              <w:rFonts w:ascii="Arial" w:eastAsia="Arial" w:hAnsi="Arial" w:cs="Arial"/>
              <w:b/>
              <w:sz w:val="22"/>
              <w:szCs w:val="22"/>
            </w:rPr>
          </w:pPr>
        </w:p>
      </w:tc>
    </w:tr>
  </w:tbl>
  <w:p w14:paraId="39A75872" w14:textId="77777777" w:rsidR="00382D2C" w:rsidRDefault="00EA648C">
    <w:pPr>
      <w:pBdr>
        <w:top w:val="nil"/>
        <w:left w:val="nil"/>
        <w:bottom w:val="nil"/>
        <w:right w:val="nil"/>
        <w:between w:val="nil"/>
      </w:pBdr>
      <w:tabs>
        <w:tab w:val="center" w:pos="4419"/>
        <w:tab w:val="right" w:pos="8838"/>
      </w:tabs>
      <w:rPr>
        <w:color w:val="000000"/>
        <w:sz w:val="2"/>
        <w:szCs w:val="2"/>
      </w:rPr>
    </w:pPr>
    <w:r>
      <w:rPr>
        <w:color w:val="000000"/>
        <w:sz w:val="2"/>
        <w:szCs w:val="2"/>
      </w:rPr>
      <w:pict w14:anchorId="540E5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43D"/>
    <w:multiLevelType w:val="multilevel"/>
    <w:tmpl w:val="31222D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10B066D"/>
    <w:multiLevelType w:val="multilevel"/>
    <w:tmpl w:val="76F03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21102"/>
    <w:multiLevelType w:val="multilevel"/>
    <w:tmpl w:val="4546FF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23F04D2"/>
    <w:multiLevelType w:val="multilevel"/>
    <w:tmpl w:val="1A78F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0D2CD2"/>
    <w:multiLevelType w:val="multilevel"/>
    <w:tmpl w:val="6D02801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713F4C18"/>
    <w:multiLevelType w:val="multilevel"/>
    <w:tmpl w:val="FEA0C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4B67A7"/>
    <w:multiLevelType w:val="multilevel"/>
    <w:tmpl w:val="66240D40"/>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B3"/>
    <w:rsid w:val="000360FC"/>
    <w:rsid w:val="001700BE"/>
    <w:rsid w:val="00216BE0"/>
    <w:rsid w:val="00300ADE"/>
    <w:rsid w:val="00352597"/>
    <w:rsid w:val="00382D2C"/>
    <w:rsid w:val="00446BD9"/>
    <w:rsid w:val="0045767D"/>
    <w:rsid w:val="0049530C"/>
    <w:rsid w:val="004B5BD5"/>
    <w:rsid w:val="006E2C6C"/>
    <w:rsid w:val="008B4F13"/>
    <w:rsid w:val="00904436"/>
    <w:rsid w:val="00A70640"/>
    <w:rsid w:val="00AD2BB3"/>
    <w:rsid w:val="00CA610A"/>
    <w:rsid w:val="00CF27AD"/>
    <w:rsid w:val="00EA6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FFBE09"/>
  <w15:docId w15:val="{464F10B5-5070-49B4-B8F7-CA241F8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99"/>
  </w:style>
  <w:style w:type="paragraph" w:styleId="Ttulo1">
    <w:name w:val="heading 1"/>
    <w:basedOn w:val="Normal"/>
    <w:next w:val="Normal"/>
    <w:link w:val="Ttulo1Car"/>
    <w:uiPriority w:val="9"/>
    <w:qFormat/>
    <w:rsid w:val="00A104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D3111F"/>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A10499"/>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10499"/>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A10499"/>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10499"/>
    <w:rPr>
      <w:rFonts w:ascii="Times New Roman" w:eastAsia="Times New Roman" w:hAnsi="Times New Roman" w:cs="Times New Roman"/>
      <w:sz w:val="24"/>
      <w:szCs w:val="24"/>
      <w:lang w:eastAsia="es-MX"/>
    </w:rPr>
  </w:style>
  <w:style w:type="table" w:styleId="Tabladecuadrcula6concolores">
    <w:name w:val="Grid Table 6 Colorful"/>
    <w:basedOn w:val="Tablanormal"/>
    <w:uiPriority w:val="51"/>
    <w:rsid w:val="00A1049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A10499"/>
    <w:pPr>
      <w:tabs>
        <w:tab w:val="center" w:pos="4419"/>
        <w:tab w:val="right" w:pos="8838"/>
      </w:tabs>
    </w:pPr>
  </w:style>
  <w:style w:type="character" w:customStyle="1" w:styleId="PiedepginaCar">
    <w:name w:val="Pie de página Car"/>
    <w:basedOn w:val="Fuentedeprrafopredeter"/>
    <w:link w:val="Piedepgina"/>
    <w:uiPriority w:val="99"/>
    <w:rsid w:val="00A10499"/>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D3111F"/>
    <w:rPr>
      <w:rFonts w:asciiTheme="majorHAnsi" w:eastAsiaTheme="majorEastAsia" w:hAnsiTheme="majorHAnsi" w:cstheme="majorBidi"/>
      <w:color w:val="1F4D78" w:themeColor="accent1" w:themeShade="7F"/>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3111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3111F"/>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D3111F"/>
    <w:rPr>
      <w:vertAlign w:val="superscript"/>
    </w:rPr>
  </w:style>
  <w:style w:type="table" w:customStyle="1" w:styleId="Tablanormal11">
    <w:name w:val="Tabla normal 11"/>
    <w:basedOn w:val="Tablanormal"/>
    <w:uiPriority w:val="41"/>
    <w:rsid w:val="00D311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43500.page" TargetMode="External"/><Relationship Id="rId13" Type="http://schemas.openxmlformats.org/officeDocument/2006/relationships/hyperlink" Target="https://saimex.org.mx/saimex/solicitud/downloadAttach/2075676.pag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imex.org.mx/saimex/solicitud/downloadAttach/2075676.pag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75675.pa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saimex.org.mx/saimex/solicitud/downloadAttach/2043502.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043501.page" TargetMode="External"/><Relationship Id="rId14" Type="http://schemas.openxmlformats.org/officeDocument/2006/relationships/hyperlink" Target="https://saimex.org.mx/saimex/solicitud/downloadAttach/2075677.pag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433280&amp;fecha=15/04/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2bo6u+gszvwvrrbZWvW2aa91pg==">CgMxLjAyCGguZ2pkZ3hzMgloLjMwajB6bGwyCWguMWZvYjl0ZTIJaC4zem55c2g3MgloLjJldDkycDAyCGgudHlqY3d0MgloLjNkeTZ2a20yCWguMXQzaDVzZjIJaC4yczhleW8xMghoLmdqZGd4czIJaC4xN2RwOHZ1MgloLjNyZGNyam4yCWguMzBqMHpsbDgAciExWlRoTmZTUjRvU0dDQ2dnX1gzQUVveUI2TGRLTHhnUjA=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40</Pages>
  <Words>9554</Words>
  <Characters>52550</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INFOEM549</dc:creator>
  <cp:lastModifiedBy>INFOEM403</cp:lastModifiedBy>
  <cp:revision>7</cp:revision>
  <cp:lastPrinted>2025-02-07T16:25:00Z</cp:lastPrinted>
  <dcterms:created xsi:type="dcterms:W3CDTF">2025-02-04T21:10:00Z</dcterms:created>
  <dcterms:modified xsi:type="dcterms:W3CDTF">2025-03-25T00:02:00Z</dcterms:modified>
</cp:coreProperties>
</file>