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77777777" w:rsidR="004C465F" w:rsidRPr="00B2261F" w:rsidRDefault="004C465F" w:rsidP="007153F3">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4DC029ED" w:rsidR="00C4052B" w:rsidRPr="00530177" w:rsidRDefault="00C4052B" w:rsidP="007153F3">
          <w:pPr>
            <w:pStyle w:val="TtuloTDC"/>
            <w:spacing w:before="0" w:line="360" w:lineRule="auto"/>
            <w:jc w:val="center"/>
            <w:rPr>
              <w:rFonts w:ascii="Palatino Linotype" w:hAnsi="Palatino Linotype"/>
              <w:color w:val="auto"/>
              <w:sz w:val="22"/>
              <w:szCs w:val="22"/>
            </w:rPr>
          </w:pPr>
          <w:r w:rsidRPr="00530177">
            <w:rPr>
              <w:rFonts w:ascii="Palatino Linotype" w:hAnsi="Palatino Linotype"/>
              <w:color w:val="auto"/>
              <w:sz w:val="22"/>
              <w:szCs w:val="22"/>
              <w:lang w:val="es-ES"/>
            </w:rPr>
            <w:t xml:space="preserve">RESOLUCIÓN DEL RECURSO DE REVISIÓN </w:t>
          </w:r>
          <w:r w:rsidR="00BF6DE4">
            <w:rPr>
              <w:rFonts w:ascii="Palatino Linotype" w:hAnsi="Palatino Linotype"/>
              <w:color w:val="auto"/>
              <w:sz w:val="22"/>
              <w:szCs w:val="22"/>
            </w:rPr>
            <w:t>12921</w:t>
          </w:r>
          <w:r w:rsidR="00107B20" w:rsidRPr="00530177">
            <w:rPr>
              <w:rFonts w:ascii="Palatino Linotype" w:hAnsi="Palatino Linotype"/>
              <w:color w:val="auto"/>
              <w:sz w:val="22"/>
              <w:szCs w:val="22"/>
            </w:rPr>
            <w:t>/INFOEM/IP/RR/2025</w:t>
          </w:r>
        </w:p>
        <w:p w14:paraId="73933EFA" w14:textId="77777777" w:rsidR="00C4052B" w:rsidRPr="00B2261F" w:rsidRDefault="00C4052B" w:rsidP="007153F3">
          <w:pPr>
            <w:spacing w:after="0" w:line="360" w:lineRule="auto"/>
            <w:rPr>
              <w:color w:val="FF0000"/>
            </w:rPr>
          </w:pPr>
        </w:p>
        <w:p w14:paraId="2AE169BD" w14:textId="7AEE5332" w:rsidR="001768EB" w:rsidRDefault="00C4052B" w:rsidP="007153F3">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r w:rsidRPr="00B2261F">
            <w:rPr>
              <w:color w:val="FF0000"/>
            </w:rPr>
            <w:fldChar w:fldCharType="begin"/>
          </w:r>
          <w:r w:rsidRPr="00B2261F">
            <w:rPr>
              <w:color w:val="FF0000"/>
            </w:rPr>
            <w:instrText xml:space="preserve"> TOC \o "1-3" \h \z \u </w:instrText>
          </w:r>
          <w:r w:rsidRPr="00B2261F">
            <w:rPr>
              <w:color w:val="FF0000"/>
            </w:rPr>
            <w:fldChar w:fldCharType="separate"/>
          </w:r>
          <w:hyperlink w:anchor="_Toc198156980" w:history="1">
            <w:r w:rsidR="001768EB" w:rsidRPr="00F86240">
              <w:rPr>
                <w:rStyle w:val="Hipervnculo"/>
                <w:noProof/>
              </w:rPr>
              <w:t>A N T E C E D E N T E S</w:t>
            </w:r>
            <w:r w:rsidR="001768EB">
              <w:rPr>
                <w:noProof/>
                <w:webHidden/>
              </w:rPr>
              <w:tab/>
            </w:r>
            <w:r w:rsidR="001768EB">
              <w:rPr>
                <w:noProof/>
                <w:webHidden/>
              </w:rPr>
              <w:fldChar w:fldCharType="begin"/>
            </w:r>
            <w:r w:rsidR="001768EB">
              <w:rPr>
                <w:noProof/>
                <w:webHidden/>
              </w:rPr>
              <w:instrText xml:space="preserve"> PAGEREF _Toc198156980 \h </w:instrText>
            </w:r>
            <w:r w:rsidR="001768EB">
              <w:rPr>
                <w:noProof/>
                <w:webHidden/>
              </w:rPr>
            </w:r>
            <w:r w:rsidR="001768EB">
              <w:rPr>
                <w:noProof/>
                <w:webHidden/>
              </w:rPr>
              <w:fldChar w:fldCharType="separate"/>
            </w:r>
            <w:r w:rsidR="00327778">
              <w:rPr>
                <w:noProof/>
                <w:webHidden/>
              </w:rPr>
              <w:t>2</w:t>
            </w:r>
            <w:r w:rsidR="001768EB">
              <w:rPr>
                <w:noProof/>
                <w:webHidden/>
              </w:rPr>
              <w:fldChar w:fldCharType="end"/>
            </w:r>
          </w:hyperlink>
        </w:p>
        <w:p w14:paraId="24A2315B" w14:textId="5F951BAE"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1" w:history="1">
            <w:r w:rsidRPr="00F86240">
              <w:rPr>
                <w:rStyle w:val="Hipervnculo"/>
                <w:noProof/>
                <w:lang w:eastAsia="es-ES"/>
              </w:rPr>
              <w:t>I. Presentación de la solicitud de información</w:t>
            </w:r>
            <w:r>
              <w:rPr>
                <w:noProof/>
                <w:webHidden/>
              </w:rPr>
              <w:tab/>
            </w:r>
            <w:r>
              <w:rPr>
                <w:noProof/>
                <w:webHidden/>
              </w:rPr>
              <w:fldChar w:fldCharType="begin"/>
            </w:r>
            <w:r>
              <w:rPr>
                <w:noProof/>
                <w:webHidden/>
              </w:rPr>
              <w:instrText xml:space="preserve"> PAGEREF _Toc198156981 \h </w:instrText>
            </w:r>
            <w:r>
              <w:rPr>
                <w:noProof/>
                <w:webHidden/>
              </w:rPr>
            </w:r>
            <w:r>
              <w:rPr>
                <w:noProof/>
                <w:webHidden/>
              </w:rPr>
              <w:fldChar w:fldCharType="separate"/>
            </w:r>
            <w:r w:rsidR="00327778">
              <w:rPr>
                <w:noProof/>
                <w:webHidden/>
              </w:rPr>
              <w:t>2</w:t>
            </w:r>
            <w:r>
              <w:rPr>
                <w:noProof/>
                <w:webHidden/>
              </w:rPr>
              <w:fldChar w:fldCharType="end"/>
            </w:r>
          </w:hyperlink>
        </w:p>
        <w:p w14:paraId="7D4C44A6" w14:textId="061FC7DD"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2" w:history="1">
            <w:r w:rsidRPr="00F86240">
              <w:rPr>
                <w:rStyle w:val="Hipervnculo"/>
                <w:noProof/>
              </w:rPr>
              <w:t>II.  Respuesta del Sujeto Obligado</w:t>
            </w:r>
            <w:r>
              <w:rPr>
                <w:noProof/>
                <w:webHidden/>
              </w:rPr>
              <w:tab/>
            </w:r>
            <w:r>
              <w:rPr>
                <w:noProof/>
                <w:webHidden/>
              </w:rPr>
              <w:fldChar w:fldCharType="begin"/>
            </w:r>
            <w:r>
              <w:rPr>
                <w:noProof/>
                <w:webHidden/>
              </w:rPr>
              <w:instrText xml:space="preserve"> PAGEREF _Toc198156982 \h </w:instrText>
            </w:r>
            <w:r>
              <w:rPr>
                <w:noProof/>
                <w:webHidden/>
              </w:rPr>
            </w:r>
            <w:r>
              <w:rPr>
                <w:noProof/>
                <w:webHidden/>
              </w:rPr>
              <w:fldChar w:fldCharType="separate"/>
            </w:r>
            <w:r w:rsidR="00327778">
              <w:rPr>
                <w:noProof/>
                <w:webHidden/>
              </w:rPr>
              <w:t>3</w:t>
            </w:r>
            <w:r>
              <w:rPr>
                <w:noProof/>
                <w:webHidden/>
              </w:rPr>
              <w:fldChar w:fldCharType="end"/>
            </w:r>
          </w:hyperlink>
        </w:p>
        <w:p w14:paraId="71F29747" w14:textId="051DBD3E"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3" w:history="1">
            <w:r w:rsidRPr="00F86240">
              <w:rPr>
                <w:rStyle w:val="Hipervnculo"/>
                <w:noProof/>
              </w:rPr>
              <w:t>III. Interposición del Recurso de Revisión</w:t>
            </w:r>
            <w:r>
              <w:rPr>
                <w:noProof/>
                <w:webHidden/>
              </w:rPr>
              <w:tab/>
            </w:r>
            <w:r>
              <w:rPr>
                <w:noProof/>
                <w:webHidden/>
              </w:rPr>
              <w:fldChar w:fldCharType="begin"/>
            </w:r>
            <w:r>
              <w:rPr>
                <w:noProof/>
                <w:webHidden/>
              </w:rPr>
              <w:instrText xml:space="preserve"> PAGEREF _Toc198156983 \h </w:instrText>
            </w:r>
            <w:r>
              <w:rPr>
                <w:noProof/>
                <w:webHidden/>
              </w:rPr>
            </w:r>
            <w:r>
              <w:rPr>
                <w:noProof/>
                <w:webHidden/>
              </w:rPr>
              <w:fldChar w:fldCharType="separate"/>
            </w:r>
            <w:r w:rsidR="00327778">
              <w:rPr>
                <w:noProof/>
                <w:webHidden/>
              </w:rPr>
              <w:t>3</w:t>
            </w:r>
            <w:r>
              <w:rPr>
                <w:noProof/>
                <w:webHidden/>
              </w:rPr>
              <w:fldChar w:fldCharType="end"/>
            </w:r>
          </w:hyperlink>
        </w:p>
        <w:p w14:paraId="02A26C1E" w14:textId="2F2DD8DE"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4" w:history="1">
            <w:r w:rsidRPr="00F86240">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_Toc198156984 \h </w:instrText>
            </w:r>
            <w:r>
              <w:rPr>
                <w:noProof/>
                <w:webHidden/>
              </w:rPr>
            </w:r>
            <w:r>
              <w:rPr>
                <w:noProof/>
                <w:webHidden/>
              </w:rPr>
              <w:fldChar w:fldCharType="separate"/>
            </w:r>
            <w:r w:rsidR="00327778">
              <w:rPr>
                <w:noProof/>
                <w:webHidden/>
              </w:rPr>
              <w:t>4</w:t>
            </w:r>
            <w:r>
              <w:rPr>
                <w:noProof/>
                <w:webHidden/>
              </w:rPr>
              <w:fldChar w:fldCharType="end"/>
            </w:r>
          </w:hyperlink>
        </w:p>
        <w:p w14:paraId="2C1A6EFA" w14:textId="5B613265" w:rsidR="001768EB" w:rsidRDefault="001768EB" w:rsidP="007153F3">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5" w:history="1">
            <w:r w:rsidRPr="00F86240">
              <w:rPr>
                <w:rStyle w:val="Hipervnculo"/>
                <w:noProof/>
              </w:rPr>
              <w:t>C O N S I D E R A N D O S</w:t>
            </w:r>
            <w:r>
              <w:rPr>
                <w:noProof/>
                <w:webHidden/>
              </w:rPr>
              <w:tab/>
            </w:r>
            <w:r>
              <w:rPr>
                <w:noProof/>
                <w:webHidden/>
              </w:rPr>
              <w:fldChar w:fldCharType="begin"/>
            </w:r>
            <w:r>
              <w:rPr>
                <w:noProof/>
                <w:webHidden/>
              </w:rPr>
              <w:instrText xml:space="preserve"> PAGEREF _Toc198156985 \h </w:instrText>
            </w:r>
            <w:r>
              <w:rPr>
                <w:noProof/>
                <w:webHidden/>
              </w:rPr>
            </w:r>
            <w:r>
              <w:rPr>
                <w:noProof/>
                <w:webHidden/>
              </w:rPr>
              <w:fldChar w:fldCharType="separate"/>
            </w:r>
            <w:r w:rsidR="00327778">
              <w:rPr>
                <w:noProof/>
                <w:webHidden/>
              </w:rPr>
              <w:t>5</w:t>
            </w:r>
            <w:r>
              <w:rPr>
                <w:noProof/>
                <w:webHidden/>
              </w:rPr>
              <w:fldChar w:fldCharType="end"/>
            </w:r>
          </w:hyperlink>
        </w:p>
        <w:p w14:paraId="0D202985" w14:textId="6EA29666"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6" w:history="1">
            <w:r w:rsidRPr="00F86240">
              <w:rPr>
                <w:rStyle w:val="Hipervnculo"/>
                <w:noProof/>
              </w:rPr>
              <w:t>PRIMERO. Competencia</w:t>
            </w:r>
            <w:r>
              <w:rPr>
                <w:noProof/>
                <w:webHidden/>
              </w:rPr>
              <w:tab/>
            </w:r>
            <w:r>
              <w:rPr>
                <w:noProof/>
                <w:webHidden/>
              </w:rPr>
              <w:fldChar w:fldCharType="begin"/>
            </w:r>
            <w:r>
              <w:rPr>
                <w:noProof/>
                <w:webHidden/>
              </w:rPr>
              <w:instrText xml:space="preserve"> PAGEREF _Toc198156986 \h </w:instrText>
            </w:r>
            <w:r>
              <w:rPr>
                <w:noProof/>
                <w:webHidden/>
              </w:rPr>
            </w:r>
            <w:r>
              <w:rPr>
                <w:noProof/>
                <w:webHidden/>
              </w:rPr>
              <w:fldChar w:fldCharType="separate"/>
            </w:r>
            <w:r w:rsidR="00327778">
              <w:rPr>
                <w:noProof/>
                <w:webHidden/>
              </w:rPr>
              <w:t>5</w:t>
            </w:r>
            <w:r>
              <w:rPr>
                <w:noProof/>
                <w:webHidden/>
              </w:rPr>
              <w:fldChar w:fldCharType="end"/>
            </w:r>
          </w:hyperlink>
        </w:p>
        <w:p w14:paraId="25E57C61" w14:textId="74F29F3E"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7" w:history="1">
            <w:r w:rsidRPr="00F86240">
              <w:rPr>
                <w:rStyle w:val="Hipervnculo"/>
                <w:noProof/>
              </w:rPr>
              <w:t>SEGUNDO. Causales de improcedencia y sobreseimiento</w:t>
            </w:r>
            <w:r>
              <w:rPr>
                <w:noProof/>
                <w:webHidden/>
              </w:rPr>
              <w:tab/>
            </w:r>
            <w:r>
              <w:rPr>
                <w:noProof/>
                <w:webHidden/>
              </w:rPr>
              <w:fldChar w:fldCharType="begin"/>
            </w:r>
            <w:r>
              <w:rPr>
                <w:noProof/>
                <w:webHidden/>
              </w:rPr>
              <w:instrText xml:space="preserve"> PAGEREF _Toc198156987 \h </w:instrText>
            </w:r>
            <w:r>
              <w:rPr>
                <w:noProof/>
                <w:webHidden/>
              </w:rPr>
            </w:r>
            <w:r>
              <w:rPr>
                <w:noProof/>
                <w:webHidden/>
              </w:rPr>
              <w:fldChar w:fldCharType="separate"/>
            </w:r>
            <w:r w:rsidR="00327778">
              <w:rPr>
                <w:noProof/>
                <w:webHidden/>
              </w:rPr>
              <w:t>6</w:t>
            </w:r>
            <w:r>
              <w:rPr>
                <w:noProof/>
                <w:webHidden/>
              </w:rPr>
              <w:fldChar w:fldCharType="end"/>
            </w:r>
          </w:hyperlink>
        </w:p>
        <w:p w14:paraId="6FE15D64" w14:textId="516209DF"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8" w:history="1">
            <w:r w:rsidRPr="00F86240">
              <w:rPr>
                <w:rStyle w:val="Hipervnculo"/>
                <w:noProof/>
              </w:rPr>
              <w:t>TERCERO. Determinación de la Controversia</w:t>
            </w:r>
            <w:r>
              <w:rPr>
                <w:noProof/>
                <w:webHidden/>
              </w:rPr>
              <w:tab/>
            </w:r>
            <w:r>
              <w:rPr>
                <w:noProof/>
                <w:webHidden/>
              </w:rPr>
              <w:fldChar w:fldCharType="begin"/>
            </w:r>
            <w:r>
              <w:rPr>
                <w:noProof/>
                <w:webHidden/>
              </w:rPr>
              <w:instrText xml:space="preserve"> PAGEREF _Toc198156988 \h </w:instrText>
            </w:r>
            <w:r>
              <w:rPr>
                <w:noProof/>
                <w:webHidden/>
              </w:rPr>
            </w:r>
            <w:r>
              <w:rPr>
                <w:noProof/>
                <w:webHidden/>
              </w:rPr>
              <w:fldChar w:fldCharType="separate"/>
            </w:r>
            <w:r w:rsidR="00327778">
              <w:rPr>
                <w:noProof/>
                <w:webHidden/>
              </w:rPr>
              <w:t>7</w:t>
            </w:r>
            <w:r>
              <w:rPr>
                <w:noProof/>
                <w:webHidden/>
              </w:rPr>
              <w:fldChar w:fldCharType="end"/>
            </w:r>
          </w:hyperlink>
        </w:p>
        <w:p w14:paraId="33C8C276" w14:textId="58E2C8A6"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89" w:history="1">
            <w:r w:rsidRPr="00F86240">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_Toc198156989 \h </w:instrText>
            </w:r>
            <w:r>
              <w:rPr>
                <w:noProof/>
                <w:webHidden/>
              </w:rPr>
            </w:r>
            <w:r>
              <w:rPr>
                <w:noProof/>
                <w:webHidden/>
              </w:rPr>
              <w:fldChar w:fldCharType="separate"/>
            </w:r>
            <w:r w:rsidR="00327778">
              <w:rPr>
                <w:noProof/>
                <w:webHidden/>
              </w:rPr>
              <w:t>8</w:t>
            </w:r>
            <w:r>
              <w:rPr>
                <w:noProof/>
                <w:webHidden/>
              </w:rPr>
              <w:fldChar w:fldCharType="end"/>
            </w:r>
          </w:hyperlink>
        </w:p>
        <w:p w14:paraId="37D8E988" w14:textId="01565467"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90" w:history="1">
            <w:r w:rsidRPr="00F86240">
              <w:rPr>
                <w:rStyle w:val="Hipervnculo"/>
                <w:noProof/>
              </w:rPr>
              <w:t>QUINTO. Estudio de Fondo</w:t>
            </w:r>
            <w:r>
              <w:rPr>
                <w:noProof/>
                <w:webHidden/>
              </w:rPr>
              <w:tab/>
            </w:r>
            <w:r>
              <w:rPr>
                <w:noProof/>
                <w:webHidden/>
              </w:rPr>
              <w:fldChar w:fldCharType="begin"/>
            </w:r>
            <w:r>
              <w:rPr>
                <w:noProof/>
                <w:webHidden/>
              </w:rPr>
              <w:instrText xml:space="preserve"> PAGEREF _Toc198156990 \h </w:instrText>
            </w:r>
            <w:r>
              <w:rPr>
                <w:noProof/>
                <w:webHidden/>
              </w:rPr>
            </w:r>
            <w:r>
              <w:rPr>
                <w:noProof/>
                <w:webHidden/>
              </w:rPr>
              <w:fldChar w:fldCharType="separate"/>
            </w:r>
            <w:r w:rsidR="00327778">
              <w:rPr>
                <w:noProof/>
                <w:webHidden/>
              </w:rPr>
              <w:t>9</w:t>
            </w:r>
            <w:r>
              <w:rPr>
                <w:noProof/>
                <w:webHidden/>
              </w:rPr>
              <w:fldChar w:fldCharType="end"/>
            </w:r>
          </w:hyperlink>
        </w:p>
        <w:p w14:paraId="1783D6E2" w14:textId="14B5A296" w:rsidR="001768EB" w:rsidRDefault="001768EB" w:rsidP="007153F3">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91" w:history="1">
            <w:r w:rsidRPr="00F86240">
              <w:rPr>
                <w:rStyle w:val="Hipervnculo"/>
                <w:noProof/>
              </w:rPr>
              <w:t>SEXTO. Decisión</w:t>
            </w:r>
            <w:r>
              <w:rPr>
                <w:noProof/>
                <w:webHidden/>
              </w:rPr>
              <w:tab/>
            </w:r>
            <w:r>
              <w:rPr>
                <w:noProof/>
                <w:webHidden/>
              </w:rPr>
              <w:fldChar w:fldCharType="begin"/>
            </w:r>
            <w:r>
              <w:rPr>
                <w:noProof/>
                <w:webHidden/>
              </w:rPr>
              <w:instrText xml:space="preserve"> PAGEREF _Toc198156991 \h </w:instrText>
            </w:r>
            <w:r>
              <w:rPr>
                <w:noProof/>
                <w:webHidden/>
              </w:rPr>
            </w:r>
            <w:r>
              <w:rPr>
                <w:noProof/>
                <w:webHidden/>
              </w:rPr>
              <w:fldChar w:fldCharType="separate"/>
            </w:r>
            <w:r w:rsidR="00327778">
              <w:rPr>
                <w:noProof/>
                <w:webHidden/>
              </w:rPr>
              <w:t>40</w:t>
            </w:r>
            <w:r>
              <w:rPr>
                <w:noProof/>
                <w:webHidden/>
              </w:rPr>
              <w:fldChar w:fldCharType="end"/>
            </w:r>
          </w:hyperlink>
        </w:p>
        <w:p w14:paraId="37D752BA" w14:textId="68E34681" w:rsidR="001768EB" w:rsidRDefault="001768EB" w:rsidP="007153F3">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198156992" w:history="1">
            <w:r w:rsidRPr="00F86240">
              <w:rPr>
                <w:rStyle w:val="Hipervnculo"/>
                <w:noProof/>
              </w:rPr>
              <w:t>R E S U E L V E</w:t>
            </w:r>
            <w:r>
              <w:rPr>
                <w:noProof/>
                <w:webHidden/>
              </w:rPr>
              <w:tab/>
            </w:r>
            <w:r>
              <w:rPr>
                <w:noProof/>
                <w:webHidden/>
              </w:rPr>
              <w:fldChar w:fldCharType="begin"/>
            </w:r>
            <w:r>
              <w:rPr>
                <w:noProof/>
                <w:webHidden/>
              </w:rPr>
              <w:instrText xml:space="preserve"> PAGEREF _Toc198156992 \h </w:instrText>
            </w:r>
            <w:r>
              <w:rPr>
                <w:noProof/>
                <w:webHidden/>
              </w:rPr>
            </w:r>
            <w:r>
              <w:rPr>
                <w:noProof/>
                <w:webHidden/>
              </w:rPr>
              <w:fldChar w:fldCharType="separate"/>
            </w:r>
            <w:r w:rsidR="00327778">
              <w:rPr>
                <w:noProof/>
                <w:webHidden/>
              </w:rPr>
              <w:t>41</w:t>
            </w:r>
            <w:r>
              <w:rPr>
                <w:noProof/>
                <w:webHidden/>
              </w:rPr>
              <w:fldChar w:fldCharType="end"/>
            </w:r>
          </w:hyperlink>
        </w:p>
        <w:p w14:paraId="5B9D6C11" w14:textId="5A8D6D01" w:rsidR="00C4052B" w:rsidRPr="00B2261F" w:rsidRDefault="00C4052B" w:rsidP="007153F3">
          <w:pPr>
            <w:spacing w:after="0" w:line="360" w:lineRule="auto"/>
            <w:rPr>
              <w:color w:val="FF0000"/>
            </w:rPr>
          </w:pPr>
          <w:r w:rsidRPr="00B2261F">
            <w:rPr>
              <w:b/>
              <w:bCs/>
              <w:color w:val="FF0000"/>
              <w:lang w:val="es-ES"/>
            </w:rPr>
            <w:fldChar w:fldCharType="end"/>
          </w:r>
        </w:p>
      </w:sdtContent>
    </w:sdt>
    <w:p w14:paraId="57481942" w14:textId="77777777" w:rsidR="00C4052B" w:rsidRPr="00B2261F" w:rsidRDefault="00C4052B" w:rsidP="007153F3">
      <w:pPr>
        <w:tabs>
          <w:tab w:val="left" w:pos="8931"/>
        </w:tabs>
        <w:spacing w:after="0" w:line="360" w:lineRule="auto"/>
        <w:rPr>
          <w:color w:val="FF0000"/>
        </w:rPr>
      </w:pPr>
    </w:p>
    <w:p w14:paraId="411B5995" w14:textId="77777777" w:rsidR="00C4052B" w:rsidRPr="00B2261F" w:rsidRDefault="00C4052B" w:rsidP="007153F3">
      <w:pPr>
        <w:tabs>
          <w:tab w:val="left" w:pos="8931"/>
        </w:tabs>
        <w:spacing w:after="0" w:line="360" w:lineRule="auto"/>
        <w:rPr>
          <w:color w:val="FF0000"/>
        </w:rPr>
      </w:pPr>
    </w:p>
    <w:p w14:paraId="6784625D" w14:textId="77777777" w:rsidR="00C4052B" w:rsidRPr="00B2261F" w:rsidRDefault="00C4052B" w:rsidP="007153F3">
      <w:pPr>
        <w:tabs>
          <w:tab w:val="left" w:pos="8931"/>
        </w:tabs>
        <w:spacing w:after="0" w:line="360" w:lineRule="auto"/>
        <w:rPr>
          <w:color w:val="FF0000"/>
        </w:rPr>
      </w:pPr>
    </w:p>
    <w:p w14:paraId="140888DD" w14:textId="77777777" w:rsidR="00C4052B" w:rsidRPr="00B2261F" w:rsidRDefault="00C4052B" w:rsidP="007153F3">
      <w:pPr>
        <w:tabs>
          <w:tab w:val="left" w:pos="8931"/>
        </w:tabs>
        <w:spacing w:after="0" w:line="360" w:lineRule="auto"/>
        <w:rPr>
          <w:color w:val="FF0000"/>
        </w:rPr>
      </w:pPr>
    </w:p>
    <w:p w14:paraId="46268890" w14:textId="77777777" w:rsidR="00C4052B" w:rsidRPr="00B2261F" w:rsidRDefault="00C4052B" w:rsidP="007153F3">
      <w:pPr>
        <w:tabs>
          <w:tab w:val="left" w:pos="8931"/>
        </w:tabs>
        <w:spacing w:after="0" w:line="360" w:lineRule="auto"/>
        <w:rPr>
          <w:color w:val="FF0000"/>
        </w:rPr>
      </w:pPr>
    </w:p>
    <w:p w14:paraId="7787AFE9" w14:textId="77777777" w:rsidR="00826DC4" w:rsidRDefault="00826DC4" w:rsidP="007153F3">
      <w:pPr>
        <w:tabs>
          <w:tab w:val="left" w:pos="8931"/>
        </w:tabs>
        <w:spacing w:after="0" w:line="360" w:lineRule="auto"/>
        <w:rPr>
          <w:color w:val="FF0000"/>
        </w:rPr>
      </w:pPr>
    </w:p>
    <w:p w14:paraId="16C0EB06" w14:textId="77777777" w:rsidR="00BC739E" w:rsidRPr="00B2261F" w:rsidRDefault="00BC739E" w:rsidP="007153F3">
      <w:pPr>
        <w:tabs>
          <w:tab w:val="left" w:pos="8931"/>
        </w:tabs>
        <w:spacing w:after="0" w:line="360" w:lineRule="auto"/>
        <w:rPr>
          <w:color w:val="FF0000"/>
        </w:rPr>
      </w:pPr>
    </w:p>
    <w:p w14:paraId="3FB7EB5E" w14:textId="3E12282E" w:rsidR="005C690F" w:rsidRPr="00530177" w:rsidRDefault="007D6307" w:rsidP="007153F3">
      <w:pPr>
        <w:tabs>
          <w:tab w:val="left" w:pos="8931"/>
        </w:tabs>
        <w:spacing w:after="0" w:line="360" w:lineRule="auto"/>
        <w:rPr>
          <w:color w:val="auto"/>
        </w:rPr>
      </w:pPr>
      <w:r w:rsidRPr="00530177">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530177">
        <w:rPr>
          <w:color w:val="auto"/>
        </w:rPr>
        <w:t>fecha</w:t>
      </w:r>
      <w:r w:rsidR="009B0BB2" w:rsidRPr="00530177">
        <w:rPr>
          <w:color w:val="auto"/>
        </w:rPr>
        <w:t xml:space="preserve"> </w:t>
      </w:r>
      <w:r w:rsidR="00BF6DE4">
        <w:rPr>
          <w:color w:val="auto"/>
        </w:rPr>
        <w:t>tres de diciembre</w:t>
      </w:r>
      <w:r w:rsidR="00530177" w:rsidRPr="00530177">
        <w:rPr>
          <w:color w:val="auto"/>
        </w:rPr>
        <w:t xml:space="preserve"> de dos mil veinticinco.</w:t>
      </w:r>
    </w:p>
    <w:p w14:paraId="0DCD3B82" w14:textId="77777777" w:rsidR="005C690F" w:rsidRPr="00B2261F" w:rsidRDefault="005C690F" w:rsidP="007153F3">
      <w:pPr>
        <w:spacing w:after="0" w:line="360" w:lineRule="auto"/>
        <w:rPr>
          <w:b/>
          <w:color w:val="FF0000"/>
        </w:rPr>
      </w:pPr>
    </w:p>
    <w:p w14:paraId="1570B336" w14:textId="250ED61F" w:rsidR="005C690F" w:rsidRPr="00530177" w:rsidRDefault="007D6307" w:rsidP="007153F3">
      <w:pPr>
        <w:spacing w:after="0" w:line="360" w:lineRule="auto"/>
        <w:rPr>
          <w:rFonts w:eastAsia="Times New Roman" w:cs="Tahoma"/>
          <w:color w:val="auto"/>
          <w:lang w:eastAsia="es-ES"/>
        </w:rPr>
      </w:pPr>
      <w:r w:rsidRPr="00CC149A">
        <w:rPr>
          <w:rFonts w:eastAsia="Times New Roman" w:cs="Tahoma"/>
          <w:b/>
          <w:bCs/>
          <w:color w:val="auto"/>
          <w:lang w:eastAsia="es-ES"/>
        </w:rPr>
        <w:t>VISTO</w:t>
      </w:r>
      <w:r w:rsidRPr="00530177">
        <w:rPr>
          <w:rFonts w:eastAsia="Times New Roman" w:cs="Tahoma"/>
          <w:color w:val="auto"/>
          <w:lang w:eastAsia="es-ES"/>
        </w:rPr>
        <w:t xml:space="preserve"> el expediente electrónico conformado con motivo del Recurso de Revisión </w:t>
      </w:r>
      <w:r w:rsidR="00BF6DE4" w:rsidRPr="00CC149A">
        <w:rPr>
          <w:rFonts w:eastAsia="Times New Roman" w:cs="Tahoma"/>
          <w:b/>
          <w:bCs/>
          <w:color w:val="auto"/>
          <w:lang w:eastAsia="es-ES"/>
        </w:rPr>
        <w:t>12921</w:t>
      </w:r>
      <w:r w:rsidR="00107B20" w:rsidRPr="00CC149A">
        <w:rPr>
          <w:rFonts w:eastAsia="Times New Roman" w:cs="Tahoma"/>
          <w:b/>
          <w:bCs/>
          <w:color w:val="auto"/>
          <w:lang w:eastAsia="es-ES"/>
        </w:rPr>
        <w:t>/INFOEM/IP/RR/2025</w:t>
      </w:r>
      <w:r w:rsidR="001232E3">
        <w:rPr>
          <w:rFonts w:eastAsia="Times New Roman" w:cs="Tahoma"/>
          <w:color w:val="auto"/>
          <w:lang w:eastAsia="es-ES"/>
        </w:rPr>
        <w:t xml:space="preserve">, interpuesto </w:t>
      </w:r>
      <w:r w:rsidR="007153F3">
        <w:rPr>
          <w:rFonts w:eastAsia="Times New Roman" w:cs="Tahoma"/>
          <w:color w:val="auto"/>
          <w:lang w:eastAsia="es-ES"/>
        </w:rPr>
        <w:t>por</w:t>
      </w:r>
      <w:r w:rsidR="007153F3" w:rsidRPr="00530177">
        <w:rPr>
          <w:rFonts w:eastAsia="Times New Roman" w:cs="Tahoma"/>
          <w:color w:val="auto"/>
          <w:lang w:eastAsia="es-ES"/>
        </w:rPr>
        <w:t xml:space="preserve"> </w:t>
      </w:r>
      <w:r w:rsidR="00653C69" w:rsidRPr="00653C69">
        <w:rPr>
          <w:rFonts w:eastAsia="Times New Roman" w:cs="Tahoma"/>
          <w:color w:val="auto"/>
          <w:highlight w:val="black"/>
          <w:lang w:eastAsia="es-ES"/>
        </w:rPr>
        <w:t>XXXXXXXXXXXXXXXX</w:t>
      </w:r>
      <w:r w:rsidR="00933F08">
        <w:rPr>
          <w:rFonts w:eastAsia="Times New Roman" w:cs="Tahoma"/>
          <w:color w:val="auto"/>
          <w:lang w:eastAsia="es-ES"/>
        </w:rPr>
        <w:t xml:space="preserve">, </w:t>
      </w:r>
      <w:r w:rsidR="00BF6DE4">
        <w:rPr>
          <w:rFonts w:eastAsia="Times New Roman" w:cs="Tahoma"/>
          <w:color w:val="auto"/>
          <w:lang w:eastAsia="es-ES"/>
        </w:rPr>
        <w:t xml:space="preserve">en lo sucesivo </w:t>
      </w:r>
      <w:r w:rsidR="00D906B2" w:rsidRPr="00530177">
        <w:rPr>
          <w:rFonts w:eastAsia="Times New Roman" w:cs="Tahoma"/>
          <w:color w:val="auto"/>
          <w:lang w:eastAsia="es-ES"/>
        </w:rPr>
        <w:t>la persona</w:t>
      </w:r>
      <w:r w:rsidRPr="00530177">
        <w:rPr>
          <w:rFonts w:eastAsia="Times New Roman" w:cs="Tahoma"/>
          <w:color w:val="auto"/>
          <w:lang w:eastAsia="es-ES"/>
        </w:rPr>
        <w:t xml:space="preserve"> Recurrente o Particular, en contra de la respuesta del Sujeto Obligado</w:t>
      </w:r>
      <w:r w:rsidR="00705FBB" w:rsidRPr="00530177">
        <w:rPr>
          <w:rFonts w:eastAsia="Times New Roman" w:cs="Tahoma"/>
          <w:color w:val="auto"/>
          <w:lang w:eastAsia="es-ES"/>
        </w:rPr>
        <w:t xml:space="preserve">, </w:t>
      </w:r>
      <w:r w:rsidR="005F3522" w:rsidRPr="00CC149A">
        <w:rPr>
          <w:b/>
          <w:bCs/>
        </w:rPr>
        <w:t>Ayuntamiento de Chalco</w:t>
      </w:r>
      <w:r w:rsidR="00194EF6" w:rsidRPr="00CC149A">
        <w:rPr>
          <w:rFonts w:eastAsia="Times New Roman" w:cs="Tahoma"/>
          <w:b/>
          <w:bCs/>
          <w:color w:val="auto"/>
          <w:lang w:eastAsia="es-ES"/>
        </w:rPr>
        <w:t>,</w:t>
      </w:r>
      <w:r w:rsidRPr="00CC149A">
        <w:rPr>
          <w:rFonts w:eastAsia="Times New Roman" w:cs="Tahoma"/>
          <w:b/>
          <w:bCs/>
          <w:color w:val="auto"/>
          <w:lang w:eastAsia="es-ES"/>
        </w:rPr>
        <w:t xml:space="preserve"> </w:t>
      </w:r>
      <w:r w:rsidRPr="00530177">
        <w:rPr>
          <w:rFonts w:eastAsia="Times New Roman" w:cs="Tahoma"/>
          <w:color w:val="auto"/>
          <w:lang w:eastAsia="es-ES"/>
        </w:rPr>
        <w:t xml:space="preserve">a la solicitud de acceso a la información </w:t>
      </w:r>
      <w:r w:rsidR="007153F3" w:rsidRPr="00530177">
        <w:rPr>
          <w:rFonts w:eastAsia="Times New Roman" w:cs="Tahoma"/>
          <w:color w:val="auto"/>
          <w:lang w:eastAsia="es-ES"/>
        </w:rPr>
        <w:t xml:space="preserve">pública </w:t>
      </w:r>
      <w:r w:rsidR="005F3522">
        <w:rPr>
          <w:rFonts w:eastAsia="Times New Roman" w:cs="Tahoma"/>
          <w:color w:val="auto"/>
          <w:lang w:eastAsia="es-ES"/>
        </w:rPr>
        <w:t>00</w:t>
      </w:r>
      <w:r w:rsidR="00BF6DE4">
        <w:rPr>
          <w:rFonts w:eastAsia="Times New Roman" w:cs="Tahoma"/>
          <w:color w:val="auto"/>
          <w:lang w:eastAsia="es-ES"/>
        </w:rPr>
        <w:t>238</w:t>
      </w:r>
      <w:r w:rsidR="005F3522">
        <w:rPr>
          <w:rFonts w:eastAsia="Times New Roman" w:cs="Tahoma"/>
          <w:color w:val="auto"/>
          <w:lang w:eastAsia="es-ES"/>
        </w:rPr>
        <w:t>/CHALCO/IP/2025</w:t>
      </w:r>
      <w:r w:rsidR="00CA4D6A">
        <w:rPr>
          <w:rFonts w:eastAsia="Times New Roman" w:cs="Tahoma"/>
          <w:color w:val="auto"/>
          <w:lang w:eastAsia="es-ES"/>
        </w:rPr>
        <w:t>,</w:t>
      </w:r>
      <w:r w:rsidRPr="00530177">
        <w:rPr>
          <w:rFonts w:eastAsia="Times New Roman" w:cs="Tahoma"/>
          <w:color w:val="auto"/>
          <w:lang w:eastAsia="es-ES"/>
        </w:rPr>
        <w:t xml:space="preserve"> se emite la presente Resolución, con base en los Antecedentes y Considerandos que se exponen a continuación:</w:t>
      </w:r>
    </w:p>
    <w:p w14:paraId="1F97CEF3" w14:textId="77777777" w:rsidR="005C690F" w:rsidRPr="00530177" w:rsidRDefault="005C690F" w:rsidP="007153F3">
      <w:pPr>
        <w:spacing w:after="0" w:line="360" w:lineRule="auto"/>
        <w:rPr>
          <w:b/>
          <w:color w:val="auto"/>
        </w:rPr>
      </w:pPr>
    </w:p>
    <w:p w14:paraId="1DEAF9D3" w14:textId="24D35555" w:rsidR="005C690F" w:rsidRPr="00530177" w:rsidRDefault="00CD6238" w:rsidP="007153F3">
      <w:pPr>
        <w:pStyle w:val="Ttulo1"/>
        <w:spacing w:before="0" w:after="0" w:line="360" w:lineRule="auto"/>
        <w:jc w:val="center"/>
        <w:rPr>
          <w:color w:val="auto"/>
          <w:sz w:val="22"/>
          <w:szCs w:val="22"/>
        </w:rPr>
      </w:pPr>
      <w:bookmarkStart w:id="0" w:name="_Toc198156980"/>
      <w:r w:rsidRPr="00530177">
        <w:rPr>
          <w:color w:val="auto"/>
          <w:sz w:val="22"/>
          <w:szCs w:val="22"/>
        </w:rPr>
        <w:t>A N T E C E D E N T E S</w:t>
      </w:r>
      <w:bookmarkEnd w:id="0"/>
    </w:p>
    <w:p w14:paraId="5A7EDA4F" w14:textId="77777777" w:rsidR="005C690F" w:rsidRPr="00B2261F" w:rsidRDefault="005C690F" w:rsidP="007153F3">
      <w:pPr>
        <w:spacing w:after="0" w:line="360" w:lineRule="auto"/>
        <w:jc w:val="center"/>
        <w:rPr>
          <w:b/>
          <w:color w:val="FF0000"/>
        </w:rPr>
      </w:pPr>
    </w:p>
    <w:p w14:paraId="4930DAB9" w14:textId="77777777" w:rsidR="00E22EA8" w:rsidRPr="00530177" w:rsidRDefault="00E22EA8" w:rsidP="007153F3">
      <w:pPr>
        <w:pStyle w:val="Ttulo2"/>
        <w:spacing w:before="0" w:after="0" w:line="360" w:lineRule="auto"/>
        <w:rPr>
          <w:color w:val="auto"/>
          <w:sz w:val="22"/>
          <w:szCs w:val="22"/>
          <w:lang w:eastAsia="es-ES"/>
        </w:rPr>
      </w:pPr>
      <w:bookmarkStart w:id="1" w:name="_Toc198156981"/>
      <w:r w:rsidRPr="00530177">
        <w:rPr>
          <w:color w:val="auto"/>
          <w:sz w:val="22"/>
          <w:szCs w:val="22"/>
          <w:lang w:eastAsia="es-ES"/>
        </w:rPr>
        <w:t>I. Presentación de la solicitud de información</w:t>
      </w:r>
      <w:bookmarkEnd w:id="1"/>
    </w:p>
    <w:p w14:paraId="7243DA53" w14:textId="77777777" w:rsidR="00E22EA8" w:rsidRPr="00530177" w:rsidRDefault="00E22EA8" w:rsidP="007153F3">
      <w:pPr>
        <w:tabs>
          <w:tab w:val="left" w:pos="567"/>
        </w:tabs>
        <w:spacing w:after="0" w:line="360" w:lineRule="auto"/>
        <w:rPr>
          <w:rFonts w:eastAsia="Times New Roman" w:cs="Tahoma"/>
          <w:color w:val="auto"/>
          <w:lang w:eastAsia="es-ES"/>
        </w:rPr>
      </w:pPr>
    </w:p>
    <w:p w14:paraId="301B8A4E" w14:textId="405D6E32" w:rsidR="00E22EA8" w:rsidRPr="00530177" w:rsidRDefault="00D906B2" w:rsidP="007153F3">
      <w:pPr>
        <w:spacing w:after="0" w:line="360" w:lineRule="auto"/>
        <w:rPr>
          <w:color w:val="auto"/>
        </w:rPr>
      </w:pPr>
      <w:r w:rsidRPr="00530177">
        <w:rPr>
          <w:rFonts w:eastAsia="Times New Roman" w:cs="Tahoma"/>
          <w:color w:val="auto"/>
          <w:lang w:eastAsia="es-ES"/>
        </w:rPr>
        <w:t>El</w:t>
      </w:r>
      <w:r w:rsidR="00D52EC1" w:rsidRPr="00530177">
        <w:rPr>
          <w:rFonts w:eastAsia="Times New Roman" w:cs="Tahoma"/>
          <w:color w:val="auto"/>
          <w:lang w:eastAsia="es-ES"/>
        </w:rPr>
        <w:t xml:space="preserve"> </w:t>
      </w:r>
      <w:r w:rsidR="00BF6DE4">
        <w:rPr>
          <w:rFonts w:eastAsia="Times New Roman" w:cs="Tahoma"/>
          <w:color w:val="auto"/>
          <w:lang w:eastAsia="es-ES"/>
        </w:rPr>
        <w:t>dieciséis de octubre</w:t>
      </w:r>
      <w:r w:rsidR="00530177" w:rsidRPr="00530177">
        <w:rPr>
          <w:rFonts w:eastAsia="Times New Roman" w:cs="Tahoma"/>
          <w:color w:val="auto"/>
          <w:lang w:eastAsia="es-ES"/>
        </w:rPr>
        <w:t xml:space="preserve"> de </w:t>
      </w:r>
      <w:r w:rsidR="008E0DC4" w:rsidRPr="00530177">
        <w:rPr>
          <w:rFonts w:eastAsia="Times New Roman" w:cs="Tahoma"/>
          <w:color w:val="auto"/>
          <w:lang w:eastAsia="es-ES"/>
        </w:rPr>
        <w:t xml:space="preserve">dos mil </w:t>
      </w:r>
      <w:r w:rsidR="006F2A1D">
        <w:rPr>
          <w:rFonts w:eastAsia="Times New Roman" w:cs="Tahoma"/>
          <w:color w:val="auto"/>
          <w:lang w:eastAsia="es-ES"/>
        </w:rPr>
        <w:t>veinticinco,</w:t>
      </w:r>
      <w:r w:rsidR="009B0BB2" w:rsidRPr="00530177">
        <w:rPr>
          <w:rFonts w:eastAsia="Times New Roman" w:cs="Tahoma"/>
          <w:color w:val="auto"/>
          <w:lang w:eastAsia="es-ES"/>
        </w:rPr>
        <w:t xml:space="preserve"> </w:t>
      </w:r>
      <w:r w:rsidR="00BF6DE4">
        <w:rPr>
          <w:rFonts w:eastAsia="Times New Roman" w:cs="Tahoma"/>
          <w:color w:val="auto"/>
          <w:lang w:eastAsia="es-ES"/>
        </w:rPr>
        <w:t>la persona Solicitante</w:t>
      </w:r>
      <w:r w:rsidR="00E22EA8" w:rsidRPr="00530177">
        <w:rPr>
          <w:rFonts w:eastAsia="Times New Roman" w:cs="Tahoma"/>
          <w:color w:val="auto"/>
          <w:lang w:eastAsia="es-ES"/>
        </w:rPr>
        <w:t xml:space="preserve"> presentó una solicitud de acceso a la información pública, a través del Sistema de Acceso a la Información Mexiquense (SAIMEX), ante</w:t>
      </w:r>
      <w:r w:rsidR="000B3C56" w:rsidRPr="00530177">
        <w:rPr>
          <w:rFonts w:eastAsia="Times New Roman" w:cs="Tahoma"/>
          <w:color w:val="auto"/>
          <w:lang w:eastAsia="es-ES"/>
        </w:rPr>
        <w:t xml:space="preserve"> </w:t>
      </w:r>
      <w:r w:rsidR="00DC175C" w:rsidRPr="00530177">
        <w:rPr>
          <w:rFonts w:eastAsia="Times New Roman" w:cs="Tahoma"/>
          <w:color w:val="auto"/>
          <w:lang w:eastAsia="es-ES"/>
        </w:rPr>
        <w:t>el</w:t>
      </w:r>
      <w:r w:rsidR="00DC175C" w:rsidRPr="00530177">
        <w:rPr>
          <w:color w:val="auto"/>
        </w:rPr>
        <w:t xml:space="preserve"> </w:t>
      </w:r>
      <w:r w:rsidR="005F3522">
        <w:t>Ayuntamiento de Chalco</w:t>
      </w:r>
      <w:r w:rsidR="008E0DC4" w:rsidRPr="00530177">
        <w:rPr>
          <w:rFonts w:eastAsia="Calibri" w:cs="Times New Roman"/>
          <w:color w:val="auto"/>
        </w:rPr>
        <w:t>,</w:t>
      </w:r>
      <w:r w:rsidR="00DC175C" w:rsidRPr="00530177">
        <w:rPr>
          <w:rFonts w:eastAsia="Calibri" w:cs="Tahoma"/>
          <w:color w:val="auto"/>
        </w:rPr>
        <w:t xml:space="preserve"> </w:t>
      </w:r>
      <w:r w:rsidR="00E22EA8" w:rsidRPr="00530177">
        <w:rPr>
          <w:rFonts w:eastAsia="Calibri" w:cs="Tahoma"/>
          <w:color w:val="auto"/>
        </w:rPr>
        <w:t xml:space="preserve">en los siguientes términos: </w:t>
      </w:r>
    </w:p>
    <w:p w14:paraId="2B959865" w14:textId="77777777" w:rsidR="00E22EA8" w:rsidRPr="00B2261F" w:rsidRDefault="00E22EA8" w:rsidP="007153F3">
      <w:pPr>
        <w:spacing w:after="0" w:line="360" w:lineRule="auto"/>
        <w:rPr>
          <w:rFonts w:eastAsia="Calibri" w:cs="Tahoma"/>
          <w:color w:val="FF0000"/>
        </w:rPr>
      </w:pPr>
    </w:p>
    <w:p w14:paraId="5122D73E" w14:textId="1454B0E4" w:rsidR="002B17F0" w:rsidRPr="00530177" w:rsidRDefault="00125F26" w:rsidP="007153F3">
      <w:pPr>
        <w:tabs>
          <w:tab w:val="left" w:pos="4667"/>
        </w:tabs>
        <w:spacing w:after="0" w:line="360" w:lineRule="auto"/>
        <w:ind w:left="567" w:right="567"/>
        <w:rPr>
          <w:rFonts w:eastAsia="Times New Roman" w:cs="Tahoma"/>
          <w:b/>
          <w:i/>
          <w:iCs/>
          <w:color w:val="auto"/>
          <w:sz w:val="20"/>
          <w:szCs w:val="20"/>
          <w:lang w:eastAsia="es-ES"/>
        </w:rPr>
      </w:pPr>
      <w:r w:rsidRPr="00530177">
        <w:rPr>
          <w:rFonts w:eastAsia="Times New Roman" w:cs="Tahoma"/>
          <w:b/>
          <w:i/>
          <w:iCs/>
          <w:color w:val="auto"/>
          <w:sz w:val="20"/>
          <w:szCs w:val="20"/>
          <w:lang w:eastAsia="es-ES"/>
        </w:rPr>
        <w:t>“</w:t>
      </w:r>
      <w:r w:rsidR="00E22EA8" w:rsidRPr="00530177">
        <w:rPr>
          <w:rFonts w:eastAsia="Times New Roman" w:cs="Tahoma"/>
          <w:b/>
          <w:i/>
          <w:iCs/>
          <w:color w:val="auto"/>
          <w:sz w:val="20"/>
          <w:szCs w:val="20"/>
          <w:lang w:eastAsia="es-ES"/>
        </w:rPr>
        <w:t>DESCRIPCIÓN CLARA Y PRECI</w:t>
      </w:r>
      <w:r w:rsidR="007F04A3" w:rsidRPr="00530177">
        <w:rPr>
          <w:rFonts w:eastAsia="Times New Roman" w:cs="Tahoma"/>
          <w:b/>
          <w:i/>
          <w:iCs/>
          <w:color w:val="auto"/>
          <w:sz w:val="20"/>
          <w:szCs w:val="20"/>
          <w:lang w:eastAsia="es-ES"/>
        </w:rPr>
        <w:t>SA DE LA INFORMACIÓN SOLICITADA</w:t>
      </w:r>
    </w:p>
    <w:p w14:paraId="3D010AF3" w14:textId="62663308" w:rsidR="00E22EA8" w:rsidRPr="00530177" w:rsidRDefault="00BF6DE4" w:rsidP="00C80532">
      <w:pPr>
        <w:spacing w:after="0" w:line="360" w:lineRule="auto"/>
        <w:ind w:left="567" w:right="567"/>
        <w:rPr>
          <w:rFonts w:eastAsia="Times New Roman" w:cs="Arial"/>
          <w:bCs/>
          <w:i/>
          <w:iCs/>
          <w:color w:val="auto"/>
          <w:sz w:val="20"/>
          <w:lang w:eastAsia="es-ES"/>
        </w:rPr>
      </w:pPr>
      <w:r w:rsidRPr="00BF6DE4">
        <w:rPr>
          <w:rFonts w:eastAsia="Times New Roman" w:cs="Arial"/>
          <w:bCs/>
          <w:i/>
          <w:iCs/>
          <w:color w:val="auto"/>
          <w:sz w:val="20"/>
          <w:lang w:eastAsia="es-ES"/>
        </w:rPr>
        <w:t>SOLICITO COPIA SIMPLE DIGITALIZADA A TRAVÉS DEL SISTEMA ELECTRONICO SAIMEX DE LOS COMPROBANTES DE TODOS LOS PAGOS REALIZADOS A PERSONAS FISICAS Y MORALES POR LA TESORERIA MUNICIAPAL DE 1 DE SEPTIEMBRE AL 15 DE OCTUBRE DE 2025.</w:t>
      </w:r>
      <w:r w:rsidR="001232E3" w:rsidRPr="00530177">
        <w:rPr>
          <w:rFonts w:eastAsia="Times New Roman" w:cs="Arial"/>
          <w:bCs/>
          <w:i/>
          <w:iCs/>
          <w:color w:val="auto"/>
          <w:sz w:val="20"/>
          <w:lang w:eastAsia="es-ES"/>
        </w:rPr>
        <w:t>”</w:t>
      </w:r>
      <w:r w:rsidR="00530177" w:rsidRPr="00530177">
        <w:rPr>
          <w:rFonts w:eastAsia="Times New Roman" w:cs="Arial"/>
          <w:bCs/>
          <w:i/>
          <w:iCs/>
          <w:color w:val="auto"/>
          <w:sz w:val="20"/>
          <w:lang w:eastAsia="es-ES"/>
        </w:rPr>
        <w:t xml:space="preserve"> (Sic)</w:t>
      </w:r>
    </w:p>
    <w:p w14:paraId="652C6A62" w14:textId="77777777" w:rsidR="003251F8" w:rsidRPr="00530177" w:rsidRDefault="003251F8" w:rsidP="007153F3">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530177" w:rsidRDefault="00125F26" w:rsidP="007153F3">
      <w:pPr>
        <w:tabs>
          <w:tab w:val="left" w:pos="4667"/>
        </w:tabs>
        <w:spacing w:after="0" w:line="360" w:lineRule="auto"/>
        <w:ind w:left="567" w:right="567"/>
        <w:rPr>
          <w:rFonts w:eastAsia="Times New Roman" w:cs="Tahoma"/>
          <w:b/>
          <w:bCs/>
          <w:i/>
          <w:iCs/>
          <w:color w:val="auto"/>
          <w:sz w:val="20"/>
          <w:lang w:eastAsia="es-ES"/>
        </w:rPr>
      </w:pPr>
      <w:r w:rsidRPr="00530177">
        <w:rPr>
          <w:rFonts w:eastAsia="Times New Roman" w:cs="Tahoma"/>
          <w:b/>
          <w:bCs/>
          <w:i/>
          <w:iCs/>
          <w:color w:val="auto"/>
          <w:sz w:val="20"/>
          <w:lang w:eastAsia="es-ES"/>
        </w:rPr>
        <w:t>“</w:t>
      </w:r>
      <w:r w:rsidR="00E22EA8" w:rsidRPr="00530177">
        <w:rPr>
          <w:rFonts w:eastAsia="Times New Roman" w:cs="Tahoma"/>
          <w:b/>
          <w:bCs/>
          <w:i/>
          <w:iCs/>
          <w:color w:val="auto"/>
          <w:sz w:val="20"/>
          <w:lang w:eastAsia="es-ES"/>
        </w:rPr>
        <w:t>MODALIDAD DE ENTREGA</w:t>
      </w:r>
    </w:p>
    <w:p w14:paraId="09BDE938" w14:textId="0470FB78" w:rsidR="00B60BB0" w:rsidRDefault="009B0BB2" w:rsidP="007153F3">
      <w:pPr>
        <w:spacing w:after="0" w:line="360" w:lineRule="auto"/>
        <w:ind w:left="567" w:right="567"/>
        <w:rPr>
          <w:rFonts w:eastAsia="Times New Roman" w:cs="Arial"/>
          <w:bCs/>
          <w:i/>
          <w:iCs/>
          <w:color w:val="auto"/>
          <w:sz w:val="20"/>
          <w:lang w:eastAsia="es-ES"/>
        </w:rPr>
      </w:pPr>
      <w:r w:rsidRPr="00530177">
        <w:rPr>
          <w:rFonts w:eastAsia="Times New Roman" w:cs="Arial"/>
          <w:bCs/>
          <w:i/>
          <w:iCs/>
          <w:color w:val="auto"/>
          <w:sz w:val="20"/>
          <w:lang w:eastAsia="es-ES"/>
        </w:rPr>
        <w:t>A través del SAIMEX”</w:t>
      </w:r>
    </w:p>
    <w:p w14:paraId="4E7B0B5D" w14:textId="77777777" w:rsidR="001232E3" w:rsidRPr="00530177" w:rsidRDefault="001232E3" w:rsidP="007153F3">
      <w:pPr>
        <w:spacing w:after="0" w:line="360" w:lineRule="auto"/>
        <w:ind w:left="567" w:right="567"/>
        <w:rPr>
          <w:rFonts w:eastAsia="Times New Roman" w:cs="Arial"/>
          <w:bCs/>
          <w:i/>
          <w:iCs/>
          <w:color w:val="auto"/>
          <w:sz w:val="20"/>
          <w:lang w:eastAsia="es-ES"/>
        </w:rPr>
      </w:pPr>
    </w:p>
    <w:p w14:paraId="0A604AAC" w14:textId="25C32E9A" w:rsidR="00E22EA8" w:rsidRPr="00530177" w:rsidRDefault="00107B20" w:rsidP="007153F3">
      <w:pPr>
        <w:pStyle w:val="Ttulo2"/>
        <w:spacing w:before="0" w:after="0" w:line="360" w:lineRule="auto"/>
        <w:rPr>
          <w:color w:val="auto"/>
          <w:sz w:val="22"/>
          <w:szCs w:val="22"/>
        </w:rPr>
      </w:pPr>
      <w:bookmarkStart w:id="2" w:name="_Toc198156982"/>
      <w:r w:rsidRPr="00530177">
        <w:rPr>
          <w:color w:val="auto"/>
          <w:sz w:val="22"/>
          <w:szCs w:val="22"/>
        </w:rPr>
        <w:lastRenderedPageBreak/>
        <w:t xml:space="preserve">II. </w:t>
      </w:r>
      <w:r w:rsidR="007B4DAD" w:rsidRPr="00530177">
        <w:rPr>
          <w:color w:val="auto"/>
          <w:sz w:val="22"/>
          <w:szCs w:val="22"/>
        </w:rPr>
        <w:t xml:space="preserve"> </w:t>
      </w:r>
      <w:r w:rsidR="00E22EA8" w:rsidRPr="00530177">
        <w:rPr>
          <w:color w:val="auto"/>
          <w:sz w:val="22"/>
          <w:szCs w:val="22"/>
        </w:rPr>
        <w:t>Respuesta del Sujeto Obligado</w:t>
      </w:r>
      <w:bookmarkEnd w:id="2"/>
    </w:p>
    <w:p w14:paraId="10CE94A9" w14:textId="77777777" w:rsidR="00C06004" w:rsidRPr="00530177" w:rsidRDefault="00C06004" w:rsidP="007153F3">
      <w:pPr>
        <w:autoSpaceDE w:val="0"/>
        <w:autoSpaceDN w:val="0"/>
        <w:adjustRightInd w:val="0"/>
        <w:spacing w:after="0" w:line="360" w:lineRule="auto"/>
        <w:rPr>
          <w:b/>
          <w:bCs/>
          <w:color w:val="auto"/>
        </w:rPr>
      </w:pPr>
    </w:p>
    <w:p w14:paraId="378402C1" w14:textId="4267E07E" w:rsidR="00E22393" w:rsidRDefault="00011477" w:rsidP="007153F3">
      <w:pPr>
        <w:spacing w:after="0" w:line="360" w:lineRule="auto"/>
        <w:rPr>
          <w:color w:val="auto"/>
        </w:rPr>
      </w:pPr>
      <w:r w:rsidRPr="00530177">
        <w:rPr>
          <w:color w:val="auto"/>
        </w:rPr>
        <w:t xml:space="preserve">El </w:t>
      </w:r>
      <w:r w:rsidR="00BF6DE4">
        <w:rPr>
          <w:color w:val="auto"/>
        </w:rPr>
        <w:t>seis de noviembre</w:t>
      </w:r>
      <w:r w:rsidR="00530177" w:rsidRPr="00530177">
        <w:rPr>
          <w:color w:val="auto"/>
        </w:rPr>
        <w:t xml:space="preserve"> de </w:t>
      </w:r>
      <w:r w:rsidR="00CD4DE8" w:rsidRPr="00530177">
        <w:rPr>
          <w:color w:val="auto"/>
        </w:rPr>
        <w:t>dos mil veinticinco</w:t>
      </w:r>
      <w:r w:rsidR="00E22EA8" w:rsidRPr="00530177">
        <w:rPr>
          <w:color w:val="auto"/>
        </w:rPr>
        <w:t xml:space="preserve">, el Sujeto Obligado notificó, a través del Sistema de Acceso a la Información Mexiquense (SAIMEX), la respuesta a la solicitud de acceso a la información pública, </w:t>
      </w:r>
      <w:r w:rsidR="00C80532">
        <w:rPr>
          <w:color w:val="auto"/>
        </w:rPr>
        <w:t>en donde señaló lo siguiente</w:t>
      </w:r>
      <w:r w:rsidR="00C96A34" w:rsidRPr="00530177">
        <w:rPr>
          <w:color w:val="auto"/>
        </w:rPr>
        <w:t>:</w:t>
      </w:r>
    </w:p>
    <w:p w14:paraId="0A39FBE4" w14:textId="77777777" w:rsidR="009544D4" w:rsidRDefault="009544D4" w:rsidP="007153F3">
      <w:pPr>
        <w:spacing w:after="0" w:line="360" w:lineRule="auto"/>
        <w:rPr>
          <w:iCs/>
          <w:color w:val="auto"/>
          <w:szCs w:val="20"/>
        </w:rPr>
      </w:pPr>
    </w:p>
    <w:p w14:paraId="740BF4D6" w14:textId="4B6DFA2D" w:rsidR="00043930" w:rsidRPr="004344E3" w:rsidRDefault="007F1D63" w:rsidP="009544D4">
      <w:pPr>
        <w:pStyle w:val="Prrafodelista"/>
        <w:spacing w:line="360" w:lineRule="auto"/>
        <w:ind w:left="567" w:right="567"/>
        <w:rPr>
          <w:b/>
          <w:i/>
          <w:iCs/>
          <w:color w:val="auto"/>
          <w:sz w:val="20"/>
          <w:szCs w:val="20"/>
        </w:rPr>
      </w:pPr>
      <w:r>
        <w:rPr>
          <w:iCs/>
          <w:color w:val="auto"/>
          <w:szCs w:val="20"/>
        </w:rPr>
        <w:t>“</w:t>
      </w:r>
      <w:r w:rsidR="00BF6DE4" w:rsidRPr="00BF6DE4">
        <w:rPr>
          <w:i/>
          <w:iCs/>
          <w:color w:val="auto"/>
          <w:sz w:val="20"/>
          <w:szCs w:val="20"/>
        </w:rPr>
        <w:t xml:space="preserve">En seguimiento a la solicitud de información registrada con el número de folio 00238/CHALCO/IP/2025, al respecto le informo que, con base a las facultades, competencias y funciones, el responsable de atender su requerimiento de información fue el Mtro. Jesús Manuel de la Cruz Guerrero, Tesorero Municipal; Quien emitió respuesta en los siguientes términos: “Con respecto a la información solicitada, le informo que los comprobantes de pagos realizados por parte de la Tesorería Municipal, incluyen información del titular de la cuenta: como el nombre y número de cuenta; </w:t>
      </w:r>
      <w:proofErr w:type="spellStart"/>
      <w:r w:rsidR="00BF6DE4" w:rsidRPr="00BF6DE4">
        <w:rPr>
          <w:i/>
          <w:iCs/>
          <w:color w:val="auto"/>
          <w:sz w:val="20"/>
          <w:szCs w:val="20"/>
        </w:rPr>
        <w:t>asi</w:t>
      </w:r>
      <w:proofErr w:type="spellEnd"/>
      <w:r w:rsidR="00BF6DE4" w:rsidRPr="00BF6DE4">
        <w:rPr>
          <w:i/>
          <w:iCs/>
          <w:color w:val="auto"/>
          <w:sz w:val="20"/>
          <w:szCs w:val="20"/>
        </w:rPr>
        <w:t xml:space="preserve"> como datos personales para identificar al remitente y al beneficiario; como son nombres completos números de cuenta, claves interbancarias y en algunos casos datos fiscales mismos que podrían ser utilizados para algún fraude o robo de identidad.” (Sic) Esperando haber cumplido satisfactoriamente su requerimiento de información, quedamos a sus órdenes para futuras solicitudes que realice a este Gobierno Municipal. Adicionalmente, se hace de su conocimiento el término de quince días hábiles para interponer el Recurso de Revisión que se señala en los artículos 176, 177 y 178 de la Ley de la materia, en caso de considerar que la respuesta es desfavorable a su solicitud</w:t>
      </w:r>
      <w:r w:rsidR="00C80532" w:rsidRPr="00C80532">
        <w:rPr>
          <w:i/>
          <w:iCs/>
          <w:color w:val="auto"/>
          <w:sz w:val="20"/>
          <w:szCs w:val="20"/>
        </w:rPr>
        <w:t>.</w:t>
      </w:r>
      <w:r w:rsidR="003C5CE5">
        <w:rPr>
          <w:i/>
          <w:iCs/>
          <w:color w:val="auto"/>
          <w:sz w:val="20"/>
          <w:szCs w:val="20"/>
        </w:rPr>
        <w:t>”</w:t>
      </w:r>
      <w:r>
        <w:rPr>
          <w:i/>
          <w:iCs/>
          <w:color w:val="auto"/>
          <w:sz w:val="20"/>
          <w:szCs w:val="20"/>
        </w:rPr>
        <w:t xml:space="preserve"> </w:t>
      </w:r>
    </w:p>
    <w:p w14:paraId="35B0C4DE" w14:textId="77777777" w:rsidR="004344E3" w:rsidRPr="00DA4D90" w:rsidRDefault="004344E3" w:rsidP="007153F3">
      <w:pPr>
        <w:spacing w:after="0" w:line="360" w:lineRule="auto"/>
        <w:rPr>
          <w:color w:val="auto"/>
        </w:rPr>
      </w:pPr>
    </w:p>
    <w:p w14:paraId="7E7FBB31" w14:textId="1C5E2D9F" w:rsidR="00E22EA8" w:rsidRPr="00EE2207" w:rsidRDefault="00E22EA8" w:rsidP="007153F3">
      <w:pPr>
        <w:pStyle w:val="Ttulo2"/>
        <w:spacing w:before="0" w:after="0" w:line="360" w:lineRule="auto"/>
        <w:rPr>
          <w:color w:val="auto"/>
          <w:sz w:val="22"/>
          <w:szCs w:val="22"/>
        </w:rPr>
      </w:pPr>
      <w:bookmarkStart w:id="3" w:name="_Toc198156983"/>
      <w:r w:rsidRPr="00EE2207">
        <w:rPr>
          <w:color w:val="auto"/>
          <w:sz w:val="22"/>
          <w:szCs w:val="22"/>
        </w:rPr>
        <w:t>I</w:t>
      </w:r>
      <w:r w:rsidR="00EE2207" w:rsidRPr="00EE2207">
        <w:rPr>
          <w:color w:val="auto"/>
          <w:sz w:val="22"/>
          <w:szCs w:val="22"/>
        </w:rPr>
        <w:t>II</w:t>
      </w:r>
      <w:r w:rsidRPr="00EE2207">
        <w:rPr>
          <w:color w:val="auto"/>
          <w:sz w:val="22"/>
          <w:szCs w:val="22"/>
        </w:rPr>
        <w:t>. Interposición del Recurso de Revisión</w:t>
      </w:r>
      <w:bookmarkEnd w:id="3"/>
    </w:p>
    <w:p w14:paraId="053D45CF" w14:textId="77777777" w:rsidR="00E22EA8" w:rsidRPr="00B2261F" w:rsidRDefault="00E22EA8" w:rsidP="007153F3">
      <w:pPr>
        <w:spacing w:after="0" w:line="360" w:lineRule="auto"/>
        <w:rPr>
          <w:b/>
          <w:color w:val="FF0000"/>
        </w:rPr>
      </w:pPr>
    </w:p>
    <w:p w14:paraId="50E14EC8" w14:textId="72B37DF4" w:rsidR="00F215CA" w:rsidRPr="00EE2207" w:rsidRDefault="00083169" w:rsidP="007153F3">
      <w:pPr>
        <w:spacing w:after="0" w:line="360" w:lineRule="auto"/>
        <w:rPr>
          <w:bCs/>
          <w:color w:val="auto"/>
        </w:rPr>
      </w:pPr>
      <w:r w:rsidRPr="00EE2207">
        <w:rPr>
          <w:bCs/>
          <w:color w:val="auto"/>
        </w:rPr>
        <w:t>El</w:t>
      </w:r>
      <w:r w:rsidR="008E5E71" w:rsidRPr="00EE2207">
        <w:rPr>
          <w:bCs/>
          <w:color w:val="auto"/>
        </w:rPr>
        <w:t xml:space="preserve"> </w:t>
      </w:r>
      <w:r w:rsidR="00BF6DE4">
        <w:rPr>
          <w:color w:val="auto"/>
        </w:rPr>
        <w:t xml:space="preserve">diez </w:t>
      </w:r>
      <w:r w:rsidR="00C80532">
        <w:rPr>
          <w:color w:val="auto"/>
        </w:rPr>
        <w:t>de noviembre</w:t>
      </w:r>
      <w:r w:rsidR="00EE2207" w:rsidRPr="00EE2207">
        <w:rPr>
          <w:color w:val="auto"/>
        </w:rPr>
        <w:t xml:space="preserve"> </w:t>
      </w:r>
      <w:r w:rsidR="008E5E71" w:rsidRPr="00EE2207">
        <w:rPr>
          <w:color w:val="auto"/>
        </w:rPr>
        <w:t>de dos mil veinticinco</w:t>
      </w:r>
      <w:r w:rsidR="00BF6DE4">
        <w:rPr>
          <w:color w:val="auto"/>
        </w:rPr>
        <w:t xml:space="preserve"> (</w:t>
      </w:r>
      <w:proofErr w:type="gramStart"/>
      <w:r w:rsidR="00BF6DE4">
        <w:rPr>
          <w:color w:val="auto"/>
        </w:rPr>
        <w:t>ya que</w:t>
      </w:r>
      <w:proofErr w:type="gramEnd"/>
      <w:r w:rsidR="00BF6DE4">
        <w:rPr>
          <w:color w:val="auto"/>
        </w:rPr>
        <w:t xml:space="preserve"> si bien se presentó el nueve de dicho mes y año, lo cierto es que fue inhábil, por lo que se tuvo por registrado el hábil siguiente)</w:t>
      </w:r>
      <w:r w:rsidR="00930FCC" w:rsidRPr="00EE2207">
        <w:rPr>
          <w:color w:val="auto"/>
        </w:rPr>
        <w:t xml:space="preserve">, </w:t>
      </w:r>
      <w:r w:rsidR="00E22EA8" w:rsidRPr="00EE2207">
        <w:rPr>
          <w:bCs/>
          <w:color w:val="auto"/>
        </w:rPr>
        <w:t xml:space="preserve">se recibió en este Instituto, a través del </w:t>
      </w:r>
      <w:r w:rsidR="00E22EA8" w:rsidRPr="00EE2207">
        <w:rPr>
          <w:bCs/>
          <w:color w:val="auto"/>
          <w:lang w:val="es-ES"/>
        </w:rPr>
        <w:t>Sistema de Acceso a la Información Mexiquense (SAIMEX)</w:t>
      </w:r>
      <w:r w:rsidR="00E22EA8" w:rsidRPr="00EE2207">
        <w:rPr>
          <w:bCs/>
          <w:color w:val="auto"/>
        </w:rPr>
        <w:t xml:space="preserve">, </w:t>
      </w:r>
      <w:r w:rsidR="009019A8" w:rsidRPr="00EE2207">
        <w:rPr>
          <w:bCs/>
          <w:color w:val="auto"/>
        </w:rPr>
        <w:t xml:space="preserve">el </w:t>
      </w:r>
      <w:r w:rsidR="00E22EA8" w:rsidRPr="00EE2207">
        <w:rPr>
          <w:bCs/>
          <w:color w:val="auto"/>
        </w:rPr>
        <w:t>Recurso de Revisión interpuesto por la p</w:t>
      </w:r>
      <w:r w:rsidRPr="00EE2207">
        <w:rPr>
          <w:bCs/>
          <w:color w:val="auto"/>
        </w:rPr>
        <w:t>ersona</w:t>
      </w:r>
      <w:r w:rsidR="00E22EA8" w:rsidRPr="00EE2207">
        <w:rPr>
          <w:bCs/>
          <w:color w:val="auto"/>
        </w:rPr>
        <w:t xml:space="preserve"> Recurrente, en contra de la respuesta por el Sujeto Obligado, a la solicitud de información</w:t>
      </w:r>
      <w:r w:rsidR="00F43789" w:rsidRPr="00EE2207">
        <w:rPr>
          <w:rFonts w:eastAsia="Calibri" w:cs="Times New Roman"/>
          <w:color w:val="auto"/>
        </w:rPr>
        <w:t xml:space="preserve">, </w:t>
      </w:r>
      <w:r w:rsidR="00E22EA8" w:rsidRPr="00EE2207">
        <w:rPr>
          <w:bCs/>
          <w:color w:val="auto"/>
        </w:rPr>
        <w:t>en los siguientes términos:</w:t>
      </w:r>
    </w:p>
    <w:p w14:paraId="3365DB25" w14:textId="670D5C28" w:rsidR="006861C3" w:rsidRPr="00EE2207" w:rsidRDefault="00E12804" w:rsidP="007153F3">
      <w:pPr>
        <w:spacing w:after="0" w:line="360" w:lineRule="auto"/>
        <w:ind w:left="567" w:right="567"/>
        <w:rPr>
          <w:b/>
          <w:bCs/>
          <w:i/>
          <w:color w:val="auto"/>
          <w:sz w:val="20"/>
          <w:szCs w:val="20"/>
        </w:rPr>
      </w:pPr>
      <w:r w:rsidRPr="00EE2207">
        <w:rPr>
          <w:b/>
          <w:bCs/>
          <w:i/>
          <w:color w:val="auto"/>
          <w:sz w:val="20"/>
          <w:szCs w:val="20"/>
        </w:rPr>
        <w:lastRenderedPageBreak/>
        <w:t>‘’</w:t>
      </w:r>
      <w:r w:rsidR="00E22EA8" w:rsidRPr="00EE2207">
        <w:rPr>
          <w:b/>
          <w:bCs/>
          <w:i/>
          <w:color w:val="auto"/>
          <w:sz w:val="20"/>
          <w:szCs w:val="20"/>
        </w:rPr>
        <w:t>ACTO IMPUGNADO</w:t>
      </w:r>
    </w:p>
    <w:p w14:paraId="6B32BD15" w14:textId="044B8A88" w:rsidR="00C80532" w:rsidRDefault="00BF6DE4" w:rsidP="007153F3">
      <w:pPr>
        <w:spacing w:after="0" w:line="360" w:lineRule="auto"/>
        <w:ind w:left="567" w:right="567"/>
        <w:rPr>
          <w:rFonts w:eastAsia="Times New Roman" w:cs="Times New Roman"/>
          <w:i/>
          <w:iCs/>
          <w:color w:val="auto"/>
          <w:sz w:val="20"/>
          <w:szCs w:val="20"/>
          <w:lang w:eastAsia="es-ES"/>
        </w:rPr>
      </w:pPr>
      <w:r w:rsidRPr="00BF6DE4">
        <w:rPr>
          <w:rFonts w:eastAsia="Times New Roman" w:cs="Times New Roman"/>
          <w:i/>
          <w:iCs/>
          <w:color w:val="auto"/>
          <w:sz w:val="20"/>
          <w:szCs w:val="20"/>
          <w:lang w:eastAsia="es-ES"/>
        </w:rPr>
        <w:t>RESPUESTA A LA SOLICITUD 00238/CHALCO/IP/2025</w:t>
      </w:r>
    </w:p>
    <w:p w14:paraId="5D0A648E" w14:textId="77777777" w:rsidR="00BF6DE4" w:rsidRDefault="00BF6DE4" w:rsidP="007153F3">
      <w:pPr>
        <w:spacing w:after="0" w:line="360" w:lineRule="auto"/>
        <w:ind w:left="567" w:right="567"/>
        <w:rPr>
          <w:rFonts w:eastAsia="Times New Roman" w:cs="Times New Roman"/>
          <w:i/>
          <w:iCs/>
          <w:color w:val="auto"/>
          <w:sz w:val="20"/>
          <w:szCs w:val="20"/>
          <w:lang w:eastAsia="es-ES"/>
        </w:rPr>
      </w:pPr>
    </w:p>
    <w:p w14:paraId="1EF6399F" w14:textId="739D0E19" w:rsidR="006861C3" w:rsidRPr="00EE2207" w:rsidRDefault="00E12804" w:rsidP="007153F3">
      <w:pPr>
        <w:spacing w:after="0" w:line="360" w:lineRule="auto"/>
        <w:ind w:left="567" w:right="567"/>
        <w:rPr>
          <w:b/>
          <w:i/>
          <w:color w:val="auto"/>
          <w:sz w:val="20"/>
          <w:szCs w:val="20"/>
        </w:rPr>
      </w:pPr>
      <w:r w:rsidRPr="00EE2207">
        <w:rPr>
          <w:b/>
          <w:i/>
          <w:color w:val="auto"/>
          <w:sz w:val="20"/>
          <w:szCs w:val="20"/>
        </w:rPr>
        <w:t>‘’</w:t>
      </w:r>
      <w:r w:rsidR="00E22EA8" w:rsidRPr="00EE2207">
        <w:rPr>
          <w:b/>
          <w:i/>
          <w:color w:val="auto"/>
          <w:sz w:val="20"/>
          <w:szCs w:val="20"/>
        </w:rPr>
        <w:t>RAZONES O MOTIVOS DE LA INCONFORMIDAD</w:t>
      </w:r>
    </w:p>
    <w:p w14:paraId="75C19380" w14:textId="30EB8562" w:rsidR="00F215CA" w:rsidRPr="00EE2207" w:rsidRDefault="00BF6DE4" w:rsidP="007153F3">
      <w:pPr>
        <w:pStyle w:val="Prrafodelista"/>
        <w:spacing w:line="360" w:lineRule="auto"/>
        <w:ind w:left="567" w:right="567"/>
        <w:rPr>
          <w:i/>
          <w:iCs/>
          <w:color w:val="auto"/>
          <w:sz w:val="20"/>
          <w:szCs w:val="20"/>
        </w:rPr>
      </w:pPr>
      <w:r w:rsidRPr="00BF6DE4">
        <w:rPr>
          <w:i/>
          <w:iCs/>
          <w:color w:val="auto"/>
          <w:sz w:val="20"/>
          <w:szCs w:val="20"/>
        </w:rPr>
        <w:t>EL SUJETO OBLIGADO INCURRE EN UNA NEGATIVA A ENTREGAR LA INFORMACIÓN PÚBLICA QUE LE FUE SOLICITADA. LA RESPUESTA ENTREGADA CONSTIUTUYE UNA CLASIFICACIÓN ILEGAL, ARBITRARIA E INFUNDADA, POR LO QUE DEBE SER REVOCADA, ADEMÁS DE OPRDENARSE LA ENTREGA DE LA INFORMACIÓN SOLICITADA A TRAVÉS DEL SISTEMA ELECTRÓNICO SAIMEX.</w:t>
      </w:r>
      <w:r w:rsidR="002A0C92" w:rsidRPr="00992530">
        <w:rPr>
          <w:i/>
          <w:iCs/>
          <w:color w:val="auto"/>
          <w:sz w:val="20"/>
          <w:szCs w:val="20"/>
        </w:rPr>
        <w:t>”</w:t>
      </w:r>
    </w:p>
    <w:p w14:paraId="15204BE1" w14:textId="77777777" w:rsidR="00EE2207" w:rsidRPr="00EE2207" w:rsidRDefault="00EE2207" w:rsidP="007153F3">
      <w:pPr>
        <w:pStyle w:val="Prrafodelista"/>
        <w:spacing w:line="360" w:lineRule="auto"/>
        <w:ind w:left="567" w:right="567"/>
        <w:rPr>
          <w:i/>
          <w:iCs/>
          <w:color w:val="auto"/>
          <w:sz w:val="20"/>
          <w:szCs w:val="20"/>
        </w:rPr>
      </w:pPr>
    </w:p>
    <w:p w14:paraId="009DB65C" w14:textId="130BC1F8" w:rsidR="00E22EA8" w:rsidRPr="00EE2207" w:rsidRDefault="00EE2207" w:rsidP="007153F3">
      <w:pPr>
        <w:pStyle w:val="Ttulo2"/>
        <w:spacing w:before="0" w:after="0" w:line="360" w:lineRule="auto"/>
        <w:rPr>
          <w:color w:val="auto"/>
          <w:sz w:val="22"/>
          <w:szCs w:val="22"/>
        </w:rPr>
      </w:pPr>
      <w:bookmarkStart w:id="4" w:name="_Toc198156984"/>
      <w:r w:rsidRPr="00EE2207">
        <w:rPr>
          <w:color w:val="auto"/>
          <w:sz w:val="22"/>
          <w:szCs w:val="22"/>
        </w:rPr>
        <w:t>I</w:t>
      </w:r>
      <w:r w:rsidR="00E22EA8" w:rsidRPr="00EE2207">
        <w:rPr>
          <w:color w:val="auto"/>
          <w:sz w:val="22"/>
          <w:szCs w:val="22"/>
        </w:rPr>
        <w:t>V. Trámite del Recurso de Revisión ante este Instituto</w:t>
      </w:r>
      <w:bookmarkEnd w:id="4"/>
    </w:p>
    <w:p w14:paraId="5C9B63F8" w14:textId="77777777" w:rsidR="009B2DAB" w:rsidRPr="00B2261F" w:rsidRDefault="009B2DAB" w:rsidP="007153F3">
      <w:pPr>
        <w:spacing w:after="0" w:line="360" w:lineRule="auto"/>
        <w:rPr>
          <w:b/>
          <w:bCs/>
          <w:color w:val="FF0000"/>
        </w:rPr>
      </w:pPr>
    </w:p>
    <w:p w14:paraId="173768ED" w14:textId="4478CAD5" w:rsidR="00E22EA8" w:rsidRPr="00EE2207" w:rsidRDefault="00E22EA8" w:rsidP="007153F3">
      <w:pPr>
        <w:spacing w:after="0" w:line="360" w:lineRule="auto"/>
        <w:rPr>
          <w:bCs/>
          <w:color w:val="auto"/>
        </w:rPr>
      </w:pPr>
      <w:r w:rsidRPr="00EE2207">
        <w:rPr>
          <w:b/>
          <w:bCs/>
          <w:color w:val="auto"/>
        </w:rPr>
        <w:t>a) Turno del Medio de Impugnación.</w:t>
      </w:r>
      <w:r w:rsidR="000A706F" w:rsidRPr="00EE2207">
        <w:rPr>
          <w:bCs/>
          <w:color w:val="auto"/>
        </w:rPr>
        <w:t xml:space="preserve"> El</w:t>
      </w:r>
      <w:r w:rsidR="00E64E18" w:rsidRPr="00EE2207">
        <w:rPr>
          <w:bCs/>
          <w:color w:val="auto"/>
        </w:rPr>
        <w:t xml:space="preserve"> </w:t>
      </w:r>
      <w:r w:rsidR="00BF6DE4">
        <w:rPr>
          <w:color w:val="auto"/>
        </w:rPr>
        <w:t xml:space="preserve">diez </w:t>
      </w:r>
      <w:r w:rsidR="00C80532">
        <w:rPr>
          <w:color w:val="auto"/>
        </w:rPr>
        <w:t>de noviembre</w:t>
      </w:r>
      <w:r w:rsidR="00EE2207" w:rsidRPr="00EE2207">
        <w:rPr>
          <w:color w:val="auto"/>
        </w:rPr>
        <w:t xml:space="preserve"> </w:t>
      </w:r>
      <w:r w:rsidR="00E64E18" w:rsidRPr="00EE2207">
        <w:rPr>
          <w:color w:val="auto"/>
        </w:rPr>
        <w:t>de dos mil veinticinco</w:t>
      </w:r>
      <w:r w:rsidRPr="00EE2207">
        <w:rPr>
          <w:bCs/>
          <w:color w:val="auto"/>
        </w:rPr>
        <w:t xml:space="preserve">, el </w:t>
      </w:r>
      <w:r w:rsidRPr="00EE2207">
        <w:rPr>
          <w:color w:val="auto"/>
          <w:lang w:val="es-ES"/>
        </w:rPr>
        <w:t>Sistema de Acceso a la Información Mexiquense (SAIMEX),</w:t>
      </w:r>
      <w:r w:rsidRPr="00EE2207">
        <w:rPr>
          <w:bCs/>
          <w:color w:val="auto"/>
        </w:rPr>
        <w:t xml:space="preserve"> asignó el número de expediente </w:t>
      </w:r>
      <w:r w:rsidR="00BF6DE4">
        <w:rPr>
          <w:b/>
          <w:bCs/>
          <w:color w:val="auto"/>
        </w:rPr>
        <w:t>12921</w:t>
      </w:r>
      <w:r w:rsidR="00107B20" w:rsidRPr="00EE2207">
        <w:rPr>
          <w:b/>
          <w:bCs/>
          <w:color w:val="auto"/>
        </w:rPr>
        <w:t>/INFOEM/IP/RR/2025</w:t>
      </w:r>
      <w:r w:rsidRPr="00EE2207">
        <w:rPr>
          <w:bCs/>
          <w:color w:val="auto"/>
        </w:rPr>
        <w:t xml:space="preserve">, al medio de impugnación que nos ocupa, con base en el sistema aprobado por el Pleno de este </w:t>
      </w:r>
      <w:r w:rsidR="00B65BCA" w:rsidRPr="00EE2207">
        <w:rPr>
          <w:bCs/>
          <w:color w:val="auto"/>
        </w:rPr>
        <w:t>Organismo</w:t>
      </w:r>
      <w:r w:rsidRPr="00EE2207">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EE2207" w:rsidRDefault="005914EE" w:rsidP="007153F3">
      <w:pPr>
        <w:spacing w:after="0" w:line="360" w:lineRule="auto"/>
        <w:rPr>
          <w:b/>
          <w:bCs/>
          <w:color w:val="auto"/>
        </w:rPr>
      </w:pPr>
    </w:p>
    <w:p w14:paraId="61891480" w14:textId="21D4F271" w:rsidR="00E22EA8" w:rsidRDefault="00E22EA8" w:rsidP="007153F3">
      <w:pPr>
        <w:spacing w:after="0" w:line="360" w:lineRule="auto"/>
        <w:rPr>
          <w:bCs/>
          <w:color w:val="auto"/>
          <w:lang w:val="es-ES_tradnl"/>
        </w:rPr>
      </w:pPr>
      <w:r w:rsidRPr="00EE2207">
        <w:rPr>
          <w:b/>
          <w:bCs/>
          <w:color w:val="auto"/>
        </w:rPr>
        <w:t>b) Admisión del Recurso de Revisión</w:t>
      </w:r>
      <w:r w:rsidRPr="00EE2207">
        <w:rPr>
          <w:b/>
          <w:bCs/>
          <w:color w:val="auto"/>
          <w:lang w:val="es-ES_tradnl"/>
        </w:rPr>
        <w:t xml:space="preserve">. </w:t>
      </w:r>
      <w:r w:rsidRPr="00EE2207">
        <w:rPr>
          <w:bCs/>
          <w:color w:val="auto"/>
          <w:lang w:val="es-ES_tradnl"/>
        </w:rPr>
        <w:t>El</w:t>
      </w:r>
      <w:r w:rsidR="00E64E18" w:rsidRPr="00EE2207">
        <w:rPr>
          <w:bCs/>
          <w:color w:val="auto"/>
          <w:lang w:val="es-ES_tradnl"/>
        </w:rPr>
        <w:t xml:space="preserve"> </w:t>
      </w:r>
      <w:r w:rsidR="00BF6DE4">
        <w:rPr>
          <w:color w:val="auto"/>
        </w:rPr>
        <w:t>trece</w:t>
      </w:r>
      <w:r w:rsidR="00C80532">
        <w:rPr>
          <w:color w:val="auto"/>
        </w:rPr>
        <w:t xml:space="preserve"> de noviembre</w:t>
      </w:r>
      <w:r w:rsidR="00EE2207" w:rsidRPr="00EE2207">
        <w:rPr>
          <w:color w:val="auto"/>
        </w:rPr>
        <w:t xml:space="preserve"> </w:t>
      </w:r>
      <w:r w:rsidR="00E64E18" w:rsidRPr="00EE2207">
        <w:rPr>
          <w:color w:val="auto"/>
        </w:rPr>
        <w:t>de dos mil veinticinco</w:t>
      </w:r>
      <w:r w:rsidRPr="00EE2207">
        <w:rPr>
          <w:bCs/>
          <w:color w:val="auto"/>
          <w:lang w:val="es-ES_tradnl"/>
        </w:rPr>
        <w:t xml:space="preserve">, se acordó la admisión del Recurso de Revisión interpuesto por </w:t>
      </w:r>
      <w:r w:rsidR="00261B92" w:rsidRPr="00EE2207">
        <w:rPr>
          <w:bCs/>
          <w:color w:val="auto"/>
          <w:lang w:val="es-ES_tradnl"/>
        </w:rPr>
        <w:t>la persona</w:t>
      </w:r>
      <w:r w:rsidRPr="00EE2207">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E2207">
        <w:rPr>
          <w:bCs/>
          <w:color w:val="auto"/>
          <w:lang w:val="es-ES_tradnl"/>
        </w:rPr>
        <w:t>el</w:t>
      </w:r>
      <w:r w:rsidR="000A706F" w:rsidRPr="00EE2207">
        <w:rPr>
          <w:bCs/>
          <w:color w:val="auto"/>
          <w:lang w:val="es-ES_tradnl"/>
        </w:rPr>
        <w:t xml:space="preserve"> mismo día</w:t>
      </w:r>
      <w:r w:rsidRPr="00EE2207">
        <w:rPr>
          <w:bCs/>
          <w:color w:val="auto"/>
          <w:lang w:val="es-ES_tradnl"/>
        </w:rPr>
        <w:t>, a través del Sistema de Acceso a la Información Mexiquense (SAIMEX), en el que se les otorgó un plazo de siete días hábiles posteriores a la misma, para que manifestaran lo que a su derecho c</w:t>
      </w:r>
      <w:r w:rsidR="00992530">
        <w:rPr>
          <w:bCs/>
          <w:color w:val="auto"/>
          <w:lang w:val="es-ES_tradnl"/>
        </w:rPr>
        <w:t>onviniera y formularan alegatos.</w:t>
      </w:r>
    </w:p>
    <w:p w14:paraId="3A5E9370" w14:textId="77777777" w:rsidR="00992530" w:rsidRPr="00EE2207" w:rsidRDefault="00992530" w:rsidP="007153F3">
      <w:pPr>
        <w:spacing w:after="0" w:line="360" w:lineRule="auto"/>
        <w:rPr>
          <w:color w:val="auto"/>
        </w:rPr>
      </w:pPr>
    </w:p>
    <w:p w14:paraId="185F1DD7" w14:textId="6E364087" w:rsidR="00C80532" w:rsidRDefault="00992530" w:rsidP="007153F3">
      <w:pPr>
        <w:spacing w:after="0" w:line="360" w:lineRule="auto"/>
        <w:rPr>
          <w:rFonts w:cs="Tahoma"/>
          <w:bCs/>
          <w:color w:val="auto"/>
          <w:lang w:val="es-ES_tradnl"/>
        </w:rPr>
      </w:pPr>
      <w:r w:rsidRPr="00992530">
        <w:rPr>
          <w:rFonts w:cs="Tahoma"/>
          <w:b/>
          <w:color w:val="auto"/>
          <w:lang w:val="es-ES_tradnl"/>
        </w:rPr>
        <w:lastRenderedPageBreak/>
        <w:t>c) Informe Justificado</w:t>
      </w:r>
      <w:r w:rsidR="00C80532">
        <w:rPr>
          <w:rFonts w:cs="Tahoma"/>
          <w:b/>
          <w:color w:val="auto"/>
          <w:lang w:val="es-ES_tradnl"/>
        </w:rPr>
        <w:t xml:space="preserve"> o manifestaciones. </w:t>
      </w:r>
      <w:r w:rsidR="00C80532">
        <w:rPr>
          <w:rFonts w:cs="Tahoma"/>
          <w:bCs/>
          <w:color w:val="auto"/>
          <w:lang w:val="es-ES_tradnl"/>
        </w:rPr>
        <w:t>Las partes fueron omisas en emitir manifestaciones o alegatos.</w:t>
      </w:r>
    </w:p>
    <w:p w14:paraId="31D5314F" w14:textId="77777777" w:rsidR="00BF6DE4" w:rsidRPr="00C80532" w:rsidRDefault="00BF6DE4" w:rsidP="007153F3">
      <w:pPr>
        <w:spacing w:after="0" w:line="360" w:lineRule="auto"/>
        <w:rPr>
          <w:rFonts w:cs="Tahoma"/>
          <w:bCs/>
          <w:color w:val="auto"/>
          <w:lang w:val="es-ES_tradnl"/>
        </w:rPr>
      </w:pPr>
    </w:p>
    <w:p w14:paraId="73AC64D0" w14:textId="456D11B3" w:rsidR="00E22EA8" w:rsidRPr="00F71ECC" w:rsidRDefault="00C80532" w:rsidP="007153F3">
      <w:pPr>
        <w:spacing w:after="0" w:line="360" w:lineRule="auto"/>
        <w:contextualSpacing/>
        <w:rPr>
          <w:rFonts w:eastAsia="Times New Roman" w:cs="Tahoma"/>
          <w:color w:val="auto"/>
          <w:szCs w:val="24"/>
          <w:lang w:eastAsia="es-ES"/>
        </w:rPr>
      </w:pPr>
      <w:r>
        <w:rPr>
          <w:rFonts w:eastAsia="Batang" w:cs="Tahoma"/>
          <w:b/>
          <w:color w:val="auto"/>
        </w:rPr>
        <w:t>d</w:t>
      </w:r>
      <w:r w:rsidR="00F71ECC">
        <w:rPr>
          <w:rFonts w:eastAsia="Batang" w:cs="Tahoma"/>
          <w:b/>
          <w:color w:val="auto"/>
        </w:rPr>
        <w:t>)</w:t>
      </w:r>
      <w:r w:rsidR="00E64726" w:rsidRPr="00EE2207">
        <w:rPr>
          <w:rFonts w:eastAsia="Batang" w:cs="Tahoma"/>
          <w:b/>
          <w:color w:val="auto"/>
        </w:rPr>
        <w:t xml:space="preserve"> </w:t>
      </w:r>
      <w:r w:rsidR="00E22EA8" w:rsidRPr="00EE2207">
        <w:rPr>
          <w:rFonts w:eastAsia="Times New Roman" w:cs="Tahoma"/>
          <w:b/>
          <w:color w:val="auto"/>
          <w:szCs w:val="24"/>
          <w:lang w:eastAsia="es-ES"/>
        </w:rPr>
        <w:t>Cierre de instrucción.</w:t>
      </w:r>
      <w:r w:rsidR="00E22EA8" w:rsidRPr="00EE2207">
        <w:rPr>
          <w:rFonts w:eastAsia="Times New Roman" w:cs="Tahoma"/>
          <w:color w:val="auto"/>
          <w:szCs w:val="24"/>
          <w:lang w:eastAsia="es-ES"/>
        </w:rPr>
        <w:t xml:space="preserve"> El</w:t>
      </w:r>
      <w:r w:rsidR="00417F3A" w:rsidRPr="00EE2207">
        <w:rPr>
          <w:rFonts w:eastAsia="Times New Roman" w:cs="Tahoma"/>
          <w:color w:val="auto"/>
          <w:szCs w:val="24"/>
          <w:lang w:eastAsia="es-ES"/>
        </w:rPr>
        <w:t xml:space="preserve"> </w:t>
      </w:r>
      <w:r w:rsidR="00BF6DE4">
        <w:rPr>
          <w:rFonts w:eastAsia="Times New Roman" w:cs="Tahoma"/>
          <w:color w:val="auto"/>
          <w:szCs w:val="24"/>
          <w:lang w:eastAsia="es-ES"/>
        </w:rPr>
        <w:t>veintiséis</w:t>
      </w:r>
      <w:r>
        <w:rPr>
          <w:rFonts w:eastAsia="Times New Roman" w:cs="Tahoma"/>
          <w:color w:val="auto"/>
          <w:szCs w:val="24"/>
          <w:lang w:eastAsia="es-ES"/>
        </w:rPr>
        <w:t xml:space="preserve"> de noviembre</w:t>
      </w:r>
      <w:r w:rsidR="0033408C" w:rsidRPr="00EE2207">
        <w:rPr>
          <w:rFonts w:eastAsia="Times New Roman" w:cs="Tahoma"/>
          <w:color w:val="auto"/>
          <w:szCs w:val="24"/>
          <w:lang w:eastAsia="es-ES"/>
        </w:rPr>
        <w:t xml:space="preserve"> </w:t>
      </w:r>
      <w:r w:rsidR="005C3BAC" w:rsidRPr="00EE2207">
        <w:rPr>
          <w:rFonts w:eastAsia="Times New Roman" w:cs="Tahoma"/>
          <w:color w:val="auto"/>
          <w:szCs w:val="24"/>
          <w:lang w:eastAsia="es-ES"/>
        </w:rPr>
        <w:t>de dos mil veinticinco</w:t>
      </w:r>
      <w:r w:rsidR="00E22EA8" w:rsidRPr="00EE2207">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EE2207">
        <w:rPr>
          <w:color w:val="auto"/>
          <w:lang w:val="es-ES"/>
        </w:rPr>
        <w:t>acto que fue notificado a las partes, mediante el Sistema de Acceso a la Información Mexiquense (SAIMEX), el mismo día.</w:t>
      </w:r>
    </w:p>
    <w:p w14:paraId="5CA409A3" w14:textId="77777777" w:rsidR="004C21E6" w:rsidRPr="00B2261F" w:rsidRDefault="004C21E6" w:rsidP="007153F3">
      <w:pPr>
        <w:spacing w:after="0" w:line="360" w:lineRule="auto"/>
        <w:rPr>
          <w:b/>
          <w:bCs/>
          <w:color w:val="FF0000"/>
          <w:lang w:val="es-ES"/>
        </w:rPr>
      </w:pPr>
    </w:p>
    <w:p w14:paraId="1C132216" w14:textId="7A4FF25F" w:rsidR="005C690F" w:rsidRPr="00EE2207" w:rsidRDefault="007D6307" w:rsidP="007153F3">
      <w:pPr>
        <w:spacing w:after="0" w:line="360" w:lineRule="auto"/>
        <w:rPr>
          <w:color w:val="auto"/>
        </w:rPr>
      </w:pPr>
      <w:proofErr w:type="gramStart"/>
      <w:r w:rsidRPr="00EE2207">
        <w:rPr>
          <w:color w:val="auto"/>
        </w:rPr>
        <w:t>En razón de</w:t>
      </w:r>
      <w:proofErr w:type="gramEnd"/>
      <w:r w:rsidRPr="00EE2207">
        <w:rPr>
          <w:color w:val="auto"/>
        </w:rPr>
        <w:t xml:space="preserve"> que fue debidamente </w:t>
      </w:r>
      <w:r w:rsidR="00CC1F8C" w:rsidRPr="00EE2207">
        <w:rPr>
          <w:color w:val="auto"/>
        </w:rPr>
        <w:t>sustanciado</w:t>
      </w:r>
      <w:r w:rsidRPr="00EE2207">
        <w:rPr>
          <w:color w:val="auto"/>
        </w:rPr>
        <w:t xml:space="preserve"> e integrado el expediente electrónico y no existe diligencia pendiente de desahogo, se emite la resolución que conforme a Derecho proceda, </w:t>
      </w:r>
      <w:proofErr w:type="gramStart"/>
      <w:r w:rsidRPr="00EE2207">
        <w:rPr>
          <w:color w:val="auto"/>
        </w:rPr>
        <w:t>de acuerdo a</w:t>
      </w:r>
      <w:proofErr w:type="gramEnd"/>
      <w:r w:rsidRPr="00EE2207">
        <w:rPr>
          <w:color w:val="auto"/>
        </w:rPr>
        <w:t xml:space="preserve"> los siguientes:</w:t>
      </w:r>
    </w:p>
    <w:p w14:paraId="43C58621" w14:textId="77777777" w:rsidR="00715B71" w:rsidRPr="00EE2207" w:rsidRDefault="00715B71" w:rsidP="007153F3">
      <w:pPr>
        <w:spacing w:after="0" w:line="360" w:lineRule="auto"/>
        <w:rPr>
          <w:color w:val="auto"/>
        </w:rPr>
      </w:pPr>
    </w:p>
    <w:p w14:paraId="250F6589" w14:textId="3F880C72" w:rsidR="005C690F" w:rsidRPr="00EE2207" w:rsidRDefault="00CD6238" w:rsidP="007153F3">
      <w:pPr>
        <w:pStyle w:val="Ttulo1"/>
        <w:spacing w:before="0" w:after="0" w:line="360" w:lineRule="auto"/>
        <w:jc w:val="center"/>
        <w:rPr>
          <w:color w:val="auto"/>
          <w:sz w:val="22"/>
          <w:szCs w:val="22"/>
        </w:rPr>
      </w:pPr>
      <w:bookmarkStart w:id="5" w:name="_Toc198156985"/>
      <w:r w:rsidRPr="00EE2207">
        <w:rPr>
          <w:color w:val="auto"/>
          <w:sz w:val="22"/>
          <w:szCs w:val="22"/>
        </w:rPr>
        <w:t>C O N S I D E R A N D O S</w:t>
      </w:r>
      <w:bookmarkEnd w:id="5"/>
    </w:p>
    <w:p w14:paraId="4DA7DF37" w14:textId="77777777" w:rsidR="006F62BB" w:rsidRPr="00EE2207" w:rsidRDefault="006F62BB" w:rsidP="007153F3">
      <w:pPr>
        <w:spacing w:after="0" w:line="360" w:lineRule="auto"/>
        <w:rPr>
          <w:b/>
          <w:color w:val="auto"/>
        </w:rPr>
      </w:pPr>
    </w:p>
    <w:p w14:paraId="36BFFC7E" w14:textId="2F0F17EA" w:rsidR="005C690F" w:rsidRPr="00EE2207" w:rsidRDefault="007D6307" w:rsidP="007153F3">
      <w:pPr>
        <w:pStyle w:val="Ttulo2"/>
        <w:spacing w:before="0" w:after="0" w:line="360" w:lineRule="auto"/>
        <w:rPr>
          <w:color w:val="auto"/>
          <w:sz w:val="22"/>
          <w:szCs w:val="22"/>
        </w:rPr>
      </w:pPr>
      <w:bookmarkStart w:id="6" w:name="_Toc198156986"/>
      <w:r w:rsidRPr="00EE2207">
        <w:rPr>
          <w:color w:val="auto"/>
          <w:sz w:val="22"/>
          <w:szCs w:val="22"/>
        </w:rPr>
        <w:t xml:space="preserve">PRIMERO. </w:t>
      </w:r>
      <w:r w:rsidR="00CD6238" w:rsidRPr="00EE2207">
        <w:rPr>
          <w:color w:val="auto"/>
          <w:sz w:val="22"/>
          <w:szCs w:val="22"/>
        </w:rPr>
        <w:t>Competencia</w:t>
      </w:r>
      <w:bookmarkEnd w:id="6"/>
    </w:p>
    <w:p w14:paraId="552342DA" w14:textId="77777777" w:rsidR="007A1ACB" w:rsidRPr="00EE2207" w:rsidRDefault="007A1ACB" w:rsidP="007153F3">
      <w:pPr>
        <w:spacing w:after="0" w:line="360" w:lineRule="auto"/>
        <w:rPr>
          <w:b/>
          <w:color w:val="auto"/>
        </w:rPr>
      </w:pPr>
    </w:p>
    <w:p w14:paraId="73B1397F" w14:textId="5C4FB3BB" w:rsidR="00C80532" w:rsidRDefault="00C80532" w:rsidP="00C80532">
      <w:pPr>
        <w:spacing w:after="0" w:line="360" w:lineRule="auto"/>
        <w:rPr>
          <w:color w:val="000000"/>
        </w:rPr>
      </w:pPr>
      <w:bookmarkStart w:id="7" w:name="_heading=h.30j0zll" w:colFirst="0" w:colLast="0"/>
      <w:bookmarkStart w:id="8" w:name="_Hlk214613499"/>
      <w:bookmarkEnd w:id="7"/>
      <w:r>
        <w:rPr>
          <w:color w:val="000000"/>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r w:rsidRPr="00BF6DE4">
        <w:rPr>
          <w:color w:val="000000"/>
        </w:rPr>
        <w:t xml:space="preserve">párrafos cuadragésimo </w:t>
      </w:r>
      <w:r w:rsidR="00BA4221" w:rsidRPr="00BF6DE4">
        <w:rPr>
          <w:color w:val="000000"/>
        </w:rPr>
        <w:t>cuarto</w:t>
      </w:r>
      <w:r w:rsidRPr="00BF6DE4">
        <w:rPr>
          <w:color w:val="000000"/>
        </w:rPr>
        <w:t xml:space="preserve">, cuadragésimo </w:t>
      </w:r>
      <w:r w:rsidR="00BA4221" w:rsidRPr="00BF6DE4">
        <w:rPr>
          <w:color w:val="000000"/>
        </w:rPr>
        <w:t>quinto</w:t>
      </w:r>
      <w:r w:rsidRPr="00BF6DE4">
        <w:rPr>
          <w:color w:val="000000"/>
        </w:rPr>
        <w:t xml:space="preserve"> y cuadragésimo </w:t>
      </w:r>
      <w:r w:rsidR="00BA4221" w:rsidRPr="00BF6DE4">
        <w:rPr>
          <w:color w:val="000000"/>
        </w:rPr>
        <w:t>sexto</w:t>
      </w:r>
      <w:r w:rsidRPr="00BF6DE4">
        <w:rPr>
          <w:color w:val="000000"/>
        </w:rPr>
        <w:t>, fracciones</w:t>
      </w:r>
      <w:r>
        <w:rPr>
          <w:color w:val="000000"/>
        </w:rPr>
        <w:t xml:space="preserve">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w:t>
      </w:r>
      <w:r>
        <w:rPr>
          <w:color w:val="000000"/>
        </w:rPr>
        <w:lastRenderedPageBreak/>
        <w:t>Instituto de Transparencia, Acceso a la Información Pública y Protección de Datos Personales del Estado de México y Municipios.</w:t>
      </w:r>
    </w:p>
    <w:bookmarkEnd w:id="8"/>
    <w:p w14:paraId="4225FD09" w14:textId="03680070" w:rsidR="005C690F" w:rsidRDefault="005C690F" w:rsidP="007153F3">
      <w:pPr>
        <w:spacing w:after="0" w:line="360" w:lineRule="auto"/>
        <w:rPr>
          <w:rFonts w:eastAsia="Times New Roman" w:cs="Tahoma"/>
          <w:bCs/>
          <w:color w:val="auto"/>
          <w:lang w:eastAsia="es-ES"/>
        </w:rPr>
      </w:pPr>
    </w:p>
    <w:p w14:paraId="46691DD5" w14:textId="4C1C70AD" w:rsidR="005C690F" w:rsidRPr="00EE2207" w:rsidRDefault="007D6307" w:rsidP="007153F3">
      <w:pPr>
        <w:pStyle w:val="Ttulo2"/>
        <w:spacing w:before="0" w:after="0" w:line="360" w:lineRule="auto"/>
        <w:rPr>
          <w:color w:val="auto"/>
          <w:sz w:val="22"/>
          <w:szCs w:val="22"/>
        </w:rPr>
      </w:pPr>
      <w:bookmarkStart w:id="9" w:name="_Toc198156987"/>
      <w:r w:rsidRPr="00EE2207">
        <w:rPr>
          <w:color w:val="auto"/>
          <w:sz w:val="22"/>
          <w:szCs w:val="22"/>
        </w:rPr>
        <w:t>SEGUNDO. Causales de</w:t>
      </w:r>
      <w:r w:rsidR="00CD6238" w:rsidRPr="00EE2207">
        <w:rPr>
          <w:color w:val="auto"/>
          <w:sz w:val="22"/>
          <w:szCs w:val="22"/>
        </w:rPr>
        <w:t xml:space="preserve"> improcedencia y sobreseimiento</w:t>
      </w:r>
      <w:bookmarkEnd w:id="9"/>
    </w:p>
    <w:p w14:paraId="49AA4CDE" w14:textId="77777777" w:rsidR="005C690F" w:rsidRPr="00EE2207" w:rsidRDefault="005C690F" w:rsidP="007153F3">
      <w:pPr>
        <w:spacing w:after="0" w:line="360" w:lineRule="auto"/>
        <w:rPr>
          <w:color w:val="auto"/>
        </w:rPr>
      </w:pPr>
    </w:p>
    <w:p w14:paraId="2553CE58" w14:textId="77777777" w:rsidR="005C690F" w:rsidRPr="00EE2207" w:rsidRDefault="007D6307" w:rsidP="007153F3">
      <w:pPr>
        <w:spacing w:after="0" w:line="360" w:lineRule="auto"/>
        <w:rPr>
          <w:color w:val="auto"/>
        </w:rPr>
      </w:pPr>
      <w:r w:rsidRPr="00EE2207">
        <w:rPr>
          <w:color w:val="auto"/>
        </w:rPr>
        <w:t xml:space="preserve">De las constancias que forma parte del Recurso de Revisión que se analiza, se advierte que previo al estudio del fondo de la </w:t>
      </w:r>
      <w:r w:rsidRPr="00EE2207">
        <w:rPr>
          <w:i/>
          <w:color w:val="auto"/>
        </w:rPr>
        <w:t>litis</w:t>
      </w:r>
      <w:r w:rsidRPr="00EE2207">
        <w:rPr>
          <w:color w:val="auto"/>
        </w:rPr>
        <w:t>, es necesario estudiar las causales de improcedencia y sobreseimiento que se adviertan, para determinar lo que en Derecho proceda.</w:t>
      </w:r>
    </w:p>
    <w:p w14:paraId="35A30074" w14:textId="77777777" w:rsidR="009B2DAB" w:rsidRPr="00EE2207" w:rsidRDefault="009B2DAB" w:rsidP="007153F3">
      <w:pPr>
        <w:spacing w:after="0" w:line="360" w:lineRule="auto"/>
        <w:rPr>
          <w:color w:val="auto"/>
        </w:rPr>
      </w:pPr>
    </w:p>
    <w:p w14:paraId="3066DF0C" w14:textId="77777777" w:rsidR="005C690F" w:rsidRPr="00EE2207" w:rsidRDefault="007D6307" w:rsidP="007153F3">
      <w:pPr>
        <w:spacing w:after="0" w:line="360" w:lineRule="auto"/>
        <w:rPr>
          <w:b/>
          <w:color w:val="auto"/>
        </w:rPr>
      </w:pPr>
      <w:r w:rsidRPr="00EE2207">
        <w:rPr>
          <w:b/>
          <w:color w:val="auto"/>
        </w:rPr>
        <w:t>Causales de improcedencia</w:t>
      </w:r>
    </w:p>
    <w:p w14:paraId="75878DC6" w14:textId="77777777" w:rsidR="005C690F" w:rsidRPr="00EE2207" w:rsidRDefault="005C690F" w:rsidP="007153F3">
      <w:pPr>
        <w:spacing w:after="0" w:line="360" w:lineRule="auto"/>
        <w:rPr>
          <w:color w:val="auto"/>
        </w:rPr>
      </w:pPr>
    </w:p>
    <w:p w14:paraId="6C56CA88" w14:textId="77777777" w:rsidR="005C690F" w:rsidRPr="00EE2207" w:rsidRDefault="007D6307" w:rsidP="007153F3">
      <w:pPr>
        <w:spacing w:after="0" w:line="360" w:lineRule="auto"/>
        <w:rPr>
          <w:color w:val="auto"/>
        </w:rPr>
      </w:pPr>
      <w:r w:rsidRPr="00EE2207">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EE2207" w:rsidRDefault="005C690F" w:rsidP="007153F3">
      <w:pPr>
        <w:spacing w:after="0" w:line="360" w:lineRule="auto"/>
        <w:rPr>
          <w:color w:val="auto"/>
        </w:rPr>
      </w:pPr>
    </w:p>
    <w:p w14:paraId="382ECEA9" w14:textId="2A92D3AF" w:rsidR="003A208C" w:rsidRDefault="007D6307" w:rsidP="007153F3">
      <w:pPr>
        <w:spacing w:after="0" w:line="360" w:lineRule="auto"/>
        <w:rPr>
          <w:color w:val="auto"/>
        </w:rPr>
      </w:pPr>
      <w:r w:rsidRPr="00EE2207">
        <w:rPr>
          <w:color w:val="auto"/>
        </w:rPr>
        <w:t>En el presente caso, </w:t>
      </w:r>
      <w:r w:rsidRPr="00EE2207">
        <w:rPr>
          <w:b/>
          <w:color w:val="auto"/>
        </w:rPr>
        <w:t>no se actualiza ninguna de las causales de improcedencia</w:t>
      </w:r>
      <w:r w:rsidRPr="00EE2207">
        <w:rPr>
          <w:color w:val="auto"/>
        </w:rPr>
        <w:t> establecidas en el ordenamiento jurídico previamente señalado, toda vez que: este Instituto no tiene conocimiento de que se encuentre en trámite algún medio de defensa presentado por la</w:t>
      </w:r>
      <w:r w:rsidR="00261B92" w:rsidRPr="00EE2207">
        <w:rPr>
          <w:color w:val="auto"/>
        </w:rPr>
        <w:t xml:space="preserve"> persona</w:t>
      </w:r>
      <w:r w:rsidRPr="00EE2207">
        <w:rPr>
          <w:color w:val="auto"/>
        </w:rPr>
        <w:t xml:space="preserve"> Recurrente ante otra instancia; no existió prevención alguna; la veracidad de la respuesta no formó parte del agravio; ni se realizó una consulta o ampliación a los alcances del requerimiento informativo.</w:t>
      </w:r>
    </w:p>
    <w:p w14:paraId="02D68136" w14:textId="77777777" w:rsidR="00754528" w:rsidRPr="00EE2207" w:rsidRDefault="00754528" w:rsidP="007153F3">
      <w:pPr>
        <w:spacing w:after="0" w:line="360" w:lineRule="auto"/>
        <w:rPr>
          <w:color w:val="auto"/>
        </w:rPr>
      </w:pPr>
    </w:p>
    <w:p w14:paraId="2BF1CF5B" w14:textId="0085B69E" w:rsidR="005C690F" w:rsidRDefault="007D6307" w:rsidP="007153F3">
      <w:pPr>
        <w:spacing w:after="0" w:line="360" w:lineRule="auto"/>
        <w:rPr>
          <w:color w:val="auto"/>
        </w:rPr>
      </w:pPr>
      <w:r w:rsidRPr="00EE2207">
        <w:rPr>
          <w:color w:val="auto"/>
        </w:rPr>
        <w:lastRenderedPageBreak/>
        <w:t>Por lo cual, se actualiza la causal de procedencia del Recurso de Revisión señal</w:t>
      </w:r>
      <w:r w:rsidR="00261DF6" w:rsidRPr="00EE2207">
        <w:rPr>
          <w:color w:val="auto"/>
        </w:rPr>
        <w:t>ada en el artículo 179, fracci</w:t>
      </w:r>
      <w:r w:rsidR="00230B8F" w:rsidRPr="00EE2207">
        <w:rPr>
          <w:color w:val="auto"/>
        </w:rPr>
        <w:t>ón</w:t>
      </w:r>
      <w:r w:rsidR="00826FEE">
        <w:rPr>
          <w:color w:val="auto"/>
        </w:rPr>
        <w:t xml:space="preserve"> </w:t>
      </w:r>
      <w:r w:rsidR="00F93CEA">
        <w:rPr>
          <w:color w:val="auto"/>
        </w:rPr>
        <w:t>I</w:t>
      </w:r>
      <w:r w:rsidRPr="00EE2207">
        <w:rPr>
          <w:color w:val="auto"/>
        </w:rPr>
        <w:t>, de la Ley en cita, pues la p</w:t>
      </w:r>
      <w:r w:rsidR="00261B92" w:rsidRPr="00EE2207">
        <w:rPr>
          <w:color w:val="auto"/>
        </w:rPr>
        <w:t>ersona</w:t>
      </w:r>
      <w:r w:rsidRPr="00EE2207">
        <w:rPr>
          <w:color w:val="auto"/>
        </w:rPr>
        <w:t xml:space="preserve"> Recurrente se inconformó </w:t>
      </w:r>
      <w:r w:rsidR="00C80532">
        <w:rPr>
          <w:color w:val="auto"/>
        </w:rPr>
        <w:t>de la negativa de información.</w:t>
      </w:r>
    </w:p>
    <w:p w14:paraId="112FA3C4" w14:textId="77777777" w:rsidR="00BF6DE4" w:rsidRPr="00EE2207" w:rsidRDefault="00BF6DE4" w:rsidP="007153F3">
      <w:pPr>
        <w:spacing w:after="0" w:line="360" w:lineRule="auto"/>
        <w:rPr>
          <w:color w:val="auto"/>
        </w:rPr>
      </w:pPr>
    </w:p>
    <w:p w14:paraId="55FF691A" w14:textId="6D373E30" w:rsidR="005C690F" w:rsidRPr="00FE74A8" w:rsidRDefault="007D6307" w:rsidP="007153F3">
      <w:pPr>
        <w:spacing w:after="0" w:line="360" w:lineRule="auto"/>
        <w:rPr>
          <w:color w:val="auto"/>
        </w:rPr>
      </w:pPr>
      <w:r w:rsidRPr="00FE74A8">
        <w:rPr>
          <w:b/>
          <w:color w:val="auto"/>
        </w:rPr>
        <w:t>Ca</w:t>
      </w:r>
      <w:r w:rsidR="00CD6238" w:rsidRPr="00FE74A8">
        <w:rPr>
          <w:b/>
          <w:color w:val="auto"/>
        </w:rPr>
        <w:t>usales de sobreseimiento</w:t>
      </w:r>
    </w:p>
    <w:p w14:paraId="426FEE7A" w14:textId="77777777" w:rsidR="005C690F" w:rsidRPr="00FE74A8" w:rsidRDefault="005C690F" w:rsidP="007153F3">
      <w:pPr>
        <w:spacing w:after="0" w:line="360" w:lineRule="auto"/>
        <w:rPr>
          <w:color w:val="auto"/>
        </w:rPr>
      </w:pPr>
    </w:p>
    <w:p w14:paraId="5B1C849A" w14:textId="77777777" w:rsidR="005C690F" w:rsidRPr="00FE74A8" w:rsidRDefault="007D6307" w:rsidP="007153F3">
      <w:pPr>
        <w:spacing w:after="0" w:line="360" w:lineRule="auto"/>
        <w:rPr>
          <w:color w:val="auto"/>
        </w:rPr>
      </w:pPr>
      <w:r w:rsidRPr="00FE74A8">
        <w:rPr>
          <w:color w:val="auto"/>
        </w:rPr>
        <w:t>Por ser de previo y especial pronunciamiento, este Instituto analiza si se actualiza alguna causal de sobreseimiento.</w:t>
      </w:r>
    </w:p>
    <w:p w14:paraId="7EE274FA" w14:textId="77777777" w:rsidR="008C12D8" w:rsidRPr="00FE74A8" w:rsidRDefault="008C12D8" w:rsidP="007153F3">
      <w:pPr>
        <w:spacing w:after="0" w:line="360" w:lineRule="auto"/>
        <w:rPr>
          <w:color w:val="auto"/>
        </w:rPr>
      </w:pPr>
    </w:p>
    <w:p w14:paraId="616B549A" w14:textId="34585935" w:rsidR="005C690F" w:rsidRPr="00FE74A8" w:rsidRDefault="007D6307" w:rsidP="007153F3">
      <w:pPr>
        <w:spacing w:after="0" w:line="360" w:lineRule="auto"/>
        <w:rPr>
          <w:color w:val="auto"/>
        </w:rPr>
      </w:pPr>
      <w:r w:rsidRPr="00FE74A8">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FE74A8">
        <w:rPr>
          <w:color w:val="auto"/>
        </w:rPr>
        <w:t xml:space="preserve">persona </w:t>
      </w:r>
      <w:r w:rsidRPr="00FE74A8">
        <w:rPr>
          <w:color w:val="auto"/>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FE74A8" w:rsidRDefault="00712ED6" w:rsidP="007153F3">
      <w:pPr>
        <w:spacing w:after="0" w:line="360" w:lineRule="auto"/>
        <w:rPr>
          <w:color w:val="auto"/>
        </w:rPr>
      </w:pPr>
    </w:p>
    <w:p w14:paraId="3B2EB888" w14:textId="57079EFE" w:rsidR="005C690F" w:rsidRPr="00FE74A8" w:rsidRDefault="007D6307" w:rsidP="007153F3">
      <w:pPr>
        <w:spacing w:after="0" w:line="360" w:lineRule="auto"/>
        <w:rPr>
          <w:color w:val="auto"/>
        </w:rPr>
      </w:pPr>
      <w:r w:rsidRPr="00FE74A8">
        <w:rPr>
          <w:color w:val="auto"/>
        </w:rPr>
        <w:t xml:space="preserve">Por tales motivos, se considera procedente entrar al fondo del presente asunto. </w:t>
      </w:r>
    </w:p>
    <w:p w14:paraId="381FF8CD" w14:textId="77777777" w:rsidR="00E1488B" w:rsidRPr="00FE74A8" w:rsidRDefault="00E1488B" w:rsidP="007153F3">
      <w:pPr>
        <w:spacing w:after="0" w:line="360" w:lineRule="auto"/>
        <w:rPr>
          <w:b/>
          <w:color w:val="auto"/>
        </w:rPr>
      </w:pPr>
    </w:p>
    <w:p w14:paraId="0A6A0BAE" w14:textId="184EF292" w:rsidR="005C690F" w:rsidRPr="00FE74A8" w:rsidRDefault="007D6307" w:rsidP="007153F3">
      <w:pPr>
        <w:pStyle w:val="Ttulo2"/>
        <w:spacing w:before="0" w:after="0" w:line="360" w:lineRule="auto"/>
        <w:rPr>
          <w:color w:val="auto"/>
          <w:sz w:val="22"/>
          <w:szCs w:val="22"/>
        </w:rPr>
      </w:pPr>
      <w:bookmarkStart w:id="10" w:name="_Toc198156988"/>
      <w:r w:rsidRPr="00FE74A8">
        <w:rPr>
          <w:color w:val="auto"/>
          <w:sz w:val="22"/>
          <w:szCs w:val="22"/>
        </w:rPr>
        <w:t>TERCERO. De</w:t>
      </w:r>
      <w:r w:rsidR="00CD6238" w:rsidRPr="00FE74A8">
        <w:rPr>
          <w:color w:val="auto"/>
          <w:sz w:val="22"/>
          <w:szCs w:val="22"/>
        </w:rPr>
        <w:t>terminación de la Controversia</w:t>
      </w:r>
      <w:bookmarkEnd w:id="10"/>
    </w:p>
    <w:p w14:paraId="4A0739CB" w14:textId="77777777" w:rsidR="00897A05" w:rsidRPr="00FE74A8" w:rsidRDefault="00897A05" w:rsidP="007153F3">
      <w:pPr>
        <w:spacing w:after="0" w:line="360" w:lineRule="auto"/>
        <w:rPr>
          <w:b/>
          <w:color w:val="auto"/>
        </w:rPr>
      </w:pPr>
    </w:p>
    <w:p w14:paraId="5EC336B2" w14:textId="1021D1D7" w:rsidR="00754528" w:rsidRPr="000A10A6" w:rsidRDefault="007C7BAF" w:rsidP="007153F3">
      <w:pPr>
        <w:spacing w:after="0" w:line="360" w:lineRule="auto"/>
        <w:rPr>
          <w:rFonts w:cs="Tahoma"/>
          <w:color w:val="auto"/>
        </w:rPr>
      </w:pPr>
      <w:r w:rsidRPr="00FE74A8">
        <w:rPr>
          <w:rFonts w:cs="Tahoma"/>
          <w:color w:val="auto"/>
        </w:rPr>
        <w:t>Con el objetivo de ilustrar la controversia planteada, resulta conveniente precisar, que una vez realizado el estudio de las constancias que integran el expediente en el que se actúa, se desprende que el Particular</w:t>
      </w:r>
      <w:r w:rsidR="008C12D8" w:rsidRPr="00FE74A8">
        <w:rPr>
          <w:rFonts w:cs="Tahoma"/>
          <w:color w:val="auto"/>
        </w:rPr>
        <w:t xml:space="preserve"> </w:t>
      </w:r>
      <w:r w:rsidR="00722AD1" w:rsidRPr="00FE74A8">
        <w:rPr>
          <w:rFonts w:cs="Tahoma"/>
          <w:color w:val="auto"/>
        </w:rPr>
        <w:t xml:space="preserve">requirió </w:t>
      </w:r>
      <w:r w:rsidR="00C70FB2">
        <w:rPr>
          <w:rFonts w:cs="Tahoma"/>
          <w:color w:val="auto"/>
        </w:rPr>
        <w:t xml:space="preserve">los </w:t>
      </w:r>
      <w:r w:rsidR="00C70FB2" w:rsidRPr="00C70FB2">
        <w:rPr>
          <w:rFonts w:cs="Tahoma"/>
          <w:color w:val="auto"/>
        </w:rPr>
        <w:t xml:space="preserve">comprobantes de </w:t>
      </w:r>
      <w:r w:rsidR="00C80532">
        <w:rPr>
          <w:rFonts w:cs="Tahoma"/>
          <w:color w:val="auto"/>
        </w:rPr>
        <w:t xml:space="preserve">los </w:t>
      </w:r>
      <w:r w:rsidR="00C70FB2" w:rsidRPr="00C70FB2">
        <w:rPr>
          <w:rFonts w:cs="Tahoma"/>
          <w:color w:val="auto"/>
        </w:rPr>
        <w:t>pago</w:t>
      </w:r>
      <w:r w:rsidR="00C80532">
        <w:rPr>
          <w:rFonts w:cs="Tahoma"/>
          <w:color w:val="auto"/>
        </w:rPr>
        <w:t xml:space="preserve">s realizados del primero de </w:t>
      </w:r>
      <w:r w:rsidR="00BF6DE4">
        <w:rPr>
          <w:rFonts w:cs="Tahoma"/>
          <w:color w:val="auto"/>
        </w:rPr>
        <w:t>septiembre</w:t>
      </w:r>
      <w:r w:rsidR="00C80532">
        <w:rPr>
          <w:rFonts w:cs="Tahoma"/>
          <w:color w:val="auto"/>
        </w:rPr>
        <w:t xml:space="preserve"> al </w:t>
      </w:r>
      <w:r w:rsidR="00BF6DE4">
        <w:rPr>
          <w:rFonts w:cs="Tahoma"/>
          <w:color w:val="auto"/>
        </w:rPr>
        <w:t>quince de octubre</w:t>
      </w:r>
      <w:r w:rsidR="00C80532">
        <w:rPr>
          <w:rFonts w:cs="Tahoma"/>
          <w:color w:val="auto"/>
        </w:rPr>
        <w:t>,</w:t>
      </w:r>
      <w:r w:rsidR="00C70FB2" w:rsidRPr="00C70FB2">
        <w:rPr>
          <w:rFonts w:cs="Tahoma"/>
          <w:color w:val="auto"/>
        </w:rPr>
        <w:t xml:space="preserve"> a </w:t>
      </w:r>
      <w:r w:rsidR="00BF6DE4">
        <w:rPr>
          <w:rFonts w:cs="Tahoma"/>
          <w:color w:val="auto"/>
        </w:rPr>
        <w:t>personas físicas o jurídico-colectivas.</w:t>
      </w:r>
    </w:p>
    <w:p w14:paraId="4D442169" w14:textId="77777777" w:rsidR="00FE74A8" w:rsidRPr="00B2261F" w:rsidRDefault="00FE74A8" w:rsidP="007153F3">
      <w:pPr>
        <w:spacing w:after="0" w:line="360" w:lineRule="auto"/>
        <w:rPr>
          <w:rFonts w:cs="Tahoma"/>
          <w:color w:val="FF0000"/>
        </w:rPr>
      </w:pPr>
    </w:p>
    <w:p w14:paraId="67A888C0" w14:textId="25CD0381" w:rsidR="00FA0B83" w:rsidRDefault="007C7BAF" w:rsidP="007153F3">
      <w:pPr>
        <w:spacing w:after="0" w:line="360" w:lineRule="auto"/>
      </w:pPr>
      <w:r w:rsidRPr="009A5516">
        <w:rPr>
          <w:color w:val="auto"/>
        </w:rPr>
        <w:lastRenderedPageBreak/>
        <w:t>En respuesta, el Sujeto Obligado,</w:t>
      </w:r>
      <w:r w:rsidR="00C80532">
        <w:rPr>
          <w:color w:val="auto"/>
        </w:rPr>
        <w:t xml:space="preserve"> señaló que la información contenía datos que podrían ser utilizados para fraude o robo de identidad</w:t>
      </w:r>
      <w:r w:rsidR="009A5516">
        <w:t xml:space="preserve">; ante dicha circunstancia, el Particular se inconformó </w:t>
      </w:r>
      <w:r w:rsidR="008F6B1C" w:rsidRPr="00EE2207">
        <w:rPr>
          <w:color w:val="auto"/>
        </w:rPr>
        <w:t>d</w:t>
      </w:r>
      <w:r w:rsidR="00826FEE">
        <w:rPr>
          <w:color w:val="auto"/>
        </w:rPr>
        <w:t>e l</w:t>
      </w:r>
      <w:r w:rsidR="00826FEE">
        <w:t xml:space="preserve">a negativa de información prevista en la fracción </w:t>
      </w:r>
      <w:r w:rsidR="009A5516">
        <w:t xml:space="preserve">I, del artículo 179 de la Ley de Transparencia y Acceso a la Información Pública del Estado de México y Municipios. Así, las cosas, una vez admitido y notificado el Recurso </w:t>
      </w:r>
      <w:r w:rsidR="008F6B1C">
        <w:t>de Revisión</w:t>
      </w:r>
      <w:r w:rsidR="00C80532">
        <w:t xml:space="preserve"> a las partes, estas fueron omisas en emitir manifestaciones o alegatos.</w:t>
      </w:r>
    </w:p>
    <w:p w14:paraId="7A8F3632" w14:textId="77777777" w:rsidR="00FA0B83" w:rsidRDefault="00FA0B83" w:rsidP="007153F3">
      <w:pPr>
        <w:spacing w:after="0" w:line="360" w:lineRule="auto"/>
        <w:rPr>
          <w:b/>
          <w:u w:val="single"/>
        </w:rPr>
      </w:pPr>
    </w:p>
    <w:p w14:paraId="22C5958E" w14:textId="5603AF72" w:rsidR="007C7BAF" w:rsidRPr="0025724A" w:rsidRDefault="007C7BAF" w:rsidP="007153F3">
      <w:pPr>
        <w:tabs>
          <w:tab w:val="left" w:pos="4962"/>
        </w:tabs>
        <w:spacing w:after="0" w:line="360" w:lineRule="auto"/>
        <w:rPr>
          <w:rFonts w:eastAsia="Calibri" w:cs="Tahoma"/>
          <w:bCs/>
          <w:color w:val="auto"/>
        </w:rPr>
      </w:pPr>
      <w:r w:rsidRPr="0025724A">
        <w:rPr>
          <w:rFonts w:eastAsia="Calibri" w:cs="Tahoma"/>
          <w:iCs/>
          <w:color w:val="auto"/>
          <w:lang w:val="es-ES" w:eastAsia="es-ES_tradnl"/>
        </w:rPr>
        <w:t>Lo anterior, se desprende de las documentales que obran en el expediente de referencia, materia de la presente resolución, consistente en: la solic</w:t>
      </w:r>
      <w:r w:rsidR="002F389A" w:rsidRPr="0025724A">
        <w:rPr>
          <w:rFonts w:eastAsia="Calibri" w:cs="Tahoma"/>
          <w:iCs/>
          <w:color w:val="auto"/>
          <w:lang w:val="es-ES" w:eastAsia="es-ES_tradnl"/>
        </w:rPr>
        <w:t>itud de acceso a l</w:t>
      </w:r>
      <w:r w:rsidR="00020A2C" w:rsidRPr="0025724A">
        <w:rPr>
          <w:rFonts w:eastAsia="Calibri" w:cs="Tahoma"/>
          <w:iCs/>
          <w:color w:val="auto"/>
          <w:lang w:val="es-ES" w:eastAsia="es-ES_tradnl"/>
        </w:rPr>
        <w:t>a información</w:t>
      </w:r>
      <w:r w:rsidR="0025724A">
        <w:rPr>
          <w:rFonts w:eastAsia="Calibri" w:cs="Tahoma"/>
          <w:iCs/>
          <w:color w:val="auto"/>
          <w:lang w:val="es-ES" w:eastAsia="es-ES_tradnl"/>
        </w:rPr>
        <w:t xml:space="preserve"> y</w:t>
      </w:r>
      <w:r w:rsidR="00020A2C" w:rsidRPr="0025724A">
        <w:rPr>
          <w:rFonts w:eastAsia="Calibri" w:cs="Tahoma"/>
          <w:iCs/>
          <w:color w:val="auto"/>
          <w:lang w:val="es-ES" w:eastAsia="es-ES_tradnl"/>
        </w:rPr>
        <w:t xml:space="preserve"> </w:t>
      </w:r>
      <w:r w:rsidRPr="0025724A">
        <w:rPr>
          <w:rFonts w:eastAsia="Calibri" w:cs="Tahoma"/>
          <w:iCs/>
          <w:color w:val="auto"/>
          <w:lang w:eastAsia="es-ES_tradnl"/>
        </w:rPr>
        <w:t xml:space="preserve">el escrito </w:t>
      </w:r>
      <w:proofErr w:type="spellStart"/>
      <w:r w:rsidRPr="0025724A">
        <w:rPr>
          <w:rFonts w:eastAsia="Calibri" w:cs="Tahoma"/>
          <w:iCs/>
          <w:color w:val="auto"/>
          <w:lang w:eastAsia="es-ES_tradnl"/>
        </w:rPr>
        <w:t>recursal</w:t>
      </w:r>
      <w:proofErr w:type="spellEnd"/>
      <w:r w:rsidRPr="0025724A">
        <w:rPr>
          <w:rFonts w:eastAsia="Calibri" w:cs="Tahoma"/>
          <w:iCs/>
          <w:color w:val="auto"/>
          <w:lang w:eastAsia="es-ES_tradnl"/>
        </w:rPr>
        <w:t xml:space="preserve">; </w:t>
      </w:r>
      <w:r w:rsidRPr="0025724A">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D6E0172" w14:textId="77777777" w:rsidR="007C7BAF" w:rsidRPr="00B2261F" w:rsidRDefault="007C7BAF" w:rsidP="007153F3">
      <w:pPr>
        <w:spacing w:after="0" w:line="360" w:lineRule="auto"/>
        <w:rPr>
          <w:b/>
          <w:color w:val="FF0000"/>
        </w:rPr>
      </w:pPr>
    </w:p>
    <w:p w14:paraId="36DCBD9D" w14:textId="5B125308" w:rsidR="005C690F" w:rsidRPr="0052732A" w:rsidRDefault="007D6307" w:rsidP="007153F3">
      <w:pPr>
        <w:pStyle w:val="Ttulo2"/>
        <w:spacing w:before="0" w:after="0" w:line="360" w:lineRule="auto"/>
        <w:rPr>
          <w:color w:val="auto"/>
          <w:sz w:val="22"/>
          <w:szCs w:val="22"/>
        </w:rPr>
      </w:pPr>
      <w:bookmarkStart w:id="11" w:name="_Toc198156989"/>
      <w:r w:rsidRPr="0052732A">
        <w:rPr>
          <w:color w:val="auto"/>
          <w:sz w:val="22"/>
          <w:szCs w:val="22"/>
        </w:rPr>
        <w:t xml:space="preserve">CUARTO. Marco normativo aplicable en materia de transparencia y </w:t>
      </w:r>
      <w:r w:rsidR="00CD6238" w:rsidRPr="0052732A">
        <w:rPr>
          <w:color w:val="auto"/>
          <w:sz w:val="22"/>
          <w:szCs w:val="22"/>
        </w:rPr>
        <w:t>acceso a la información pública</w:t>
      </w:r>
      <w:bookmarkEnd w:id="11"/>
    </w:p>
    <w:p w14:paraId="4D62F8F1" w14:textId="77777777" w:rsidR="005C690F" w:rsidRPr="0052732A" w:rsidRDefault="005C690F" w:rsidP="007153F3">
      <w:pPr>
        <w:spacing w:after="0" w:line="360" w:lineRule="auto"/>
        <w:rPr>
          <w:color w:val="auto"/>
        </w:rPr>
      </w:pPr>
    </w:p>
    <w:p w14:paraId="792A5D2D" w14:textId="39BDC225" w:rsidR="005C690F" w:rsidRDefault="007D6307" w:rsidP="007153F3">
      <w:pPr>
        <w:spacing w:after="0" w:line="360" w:lineRule="auto"/>
        <w:rPr>
          <w:color w:val="auto"/>
        </w:rPr>
      </w:pPr>
      <w:r w:rsidRPr="0052732A">
        <w:rPr>
          <w:color w:val="auto"/>
        </w:rPr>
        <w:t xml:space="preserve">El artículo 6°, Apartado A), fracción I de la Constitución Política de los Estados Unidos Mexicanos, establece que toda la información en posesión de cualquier </w:t>
      </w:r>
      <w:proofErr w:type="gramStart"/>
      <w:r w:rsidRPr="0052732A">
        <w:rPr>
          <w:color w:val="auto"/>
        </w:rPr>
        <w:t>autoridad,</w:t>
      </w:r>
      <w:proofErr w:type="gramEnd"/>
      <w:r w:rsidRPr="0052732A">
        <w:rPr>
          <w:color w:val="auto"/>
        </w:rPr>
        <w:t xml:space="preserve"> es pública y sólo podrá ser reservada temporalmente por razones de interés público.</w:t>
      </w:r>
    </w:p>
    <w:p w14:paraId="5998D278" w14:textId="77777777" w:rsidR="009544D4" w:rsidRPr="0052732A" w:rsidRDefault="009544D4" w:rsidP="007153F3">
      <w:pPr>
        <w:spacing w:after="0" w:line="360" w:lineRule="auto"/>
        <w:rPr>
          <w:color w:val="auto"/>
        </w:rPr>
      </w:pPr>
    </w:p>
    <w:p w14:paraId="69458899" w14:textId="77777777" w:rsidR="005C690F" w:rsidRPr="0052732A" w:rsidRDefault="007D6307" w:rsidP="007153F3">
      <w:pPr>
        <w:spacing w:after="0" w:line="360" w:lineRule="auto"/>
        <w:rPr>
          <w:color w:val="auto"/>
        </w:rPr>
      </w:pPr>
      <w:r w:rsidRPr="0052732A">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52732A" w:rsidRDefault="005C690F" w:rsidP="007153F3">
      <w:pPr>
        <w:spacing w:after="0" w:line="360" w:lineRule="auto"/>
        <w:rPr>
          <w:color w:val="auto"/>
        </w:rPr>
      </w:pPr>
    </w:p>
    <w:p w14:paraId="3D8EBDEC" w14:textId="77777777" w:rsidR="005C690F" w:rsidRPr="0052732A" w:rsidRDefault="007D6307" w:rsidP="007153F3">
      <w:pPr>
        <w:spacing w:after="0" w:line="360" w:lineRule="auto"/>
        <w:rPr>
          <w:color w:val="auto"/>
        </w:rPr>
      </w:pPr>
      <w:r w:rsidRPr="0052732A">
        <w:rPr>
          <w:color w:val="auto"/>
        </w:rPr>
        <w:lastRenderedPageBreak/>
        <w:t>Por su parte, la Ley de Transparencia y Acceso a la Información Pública del Estado de México y Municipios (Reglamentaria del artículo 5° de la Constitución Local), establece lo siguiente:</w:t>
      </w:r>
    </w:p>
    <w:p w14:paraId="2818D616" w14:textId="77777777" w:rsidR="005C690F" w:rsidRPr="0052732A" w:rsidRDefault="005C690F" w:rsidP="007153F3">
      <w:pPr>
        <w:spacing w:after="0" w:line="360" w:lineRule="auto"/>
        <w:rPr>
          <w:color w:val="auto"/>
        </w:rPr>
      </w:pPr>
    </w:p>
    <w:p w14:paraId="5BD9CB2E" w14:textId="77777777" w:rsidR="005C690F" w:rsidRPr="0052732A" w:rsidRDefault="007D6307" w:rsidP="007153F3">
      <w:pPr>
        <w:spacing w:after="0" w:line="360" w:lineRule="auto"/>
        <w:rPr>
          <w:color w:val="auto"/>
        </w:rPr>
      </w:pPr>
      <w:r w:rsidRPr="0052732A">
        <w:rPr>
          <w:color w:val="auto"/>
        </w:rPr>
        <w:t>El artículo 12, que, quienes generen, recopilen, administren, manejen, procesen, archiven o conserven información pública serán responsables de la misma.</w:t>
      </w:r>
    </w:p>
    <w:p w14:paraId="6BD1FFBB" w14:textId="77777777" w:rsidR="007C02D1" w:rsidRPr="0052732A" w:rsidRDefault="007C02D1" w:rsidP="007153F3">
      <w:pPr>
        <w:spacing w:after="0" w:line="360" w:lineRule="auto"/>
        <w:rPr>
          <w:color w:val="auto"/>
        </w:rPr>
      </w:pPr>
    </w:p>
    <w:p w14:paraId="3D899A16" w14:textId="77777777" w:rsidR="005C690F" w:rsidRPr="0052732A" w:rsidRDefault="007D6307" w:rsidP="007153F3">
      <w:pPr>
        <w:widowControl w:val="0"/>
        <w:spacing w:after="0" w:line="360" w:lineRule="auto"/>
        <w:rPr>
          <w:color w:val="auto"/>
        </w:rPr>
      </w:pPr>
      <w:r w:rsidRPr="0052732A">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52732A" w:rsidRDefault="00B153FA" w:rsidP="007153F3">
      <w:pPr>
        <w:widowControl w:val="0"/>
        <w:spacing w:after="0" w:line="360" w:lineRule="auto"/>
        <w:rPr>
          <w:color w:val="auto"/>
        </w:rPr>
      </w:pPr>
    </w:p>
    <w:p w14:paraId="70E5B643" w14:textId="378E2A57" w:rsidR="00B04A35" w:rsidRPr="0052732A" w:rsidRDefault="007D6307" w:rsidP="007153F3">
      <w:pPr>
        <w:spacing w:after="0" w:line="360" w:lineRule="auto"/>
        <w:rPr>
          <w:color w:val="auto"/>
        </w:rPr>
      </w:pPr>
      <w:r w:rsidRPr="0052732A">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52732A" w:rsidRDefault="005C690F" w:rsidP="007153F3">
      <w:pPr>
        <w:spacing w:after="0" w:line="360" w:lineRule="auto"/>
        <w:rPr>
          <w:color w:val="auto"/>
        </w:rPr>
      </w:pPr>
    </w:p>
    <w:p w14:paraId="3AF871E5" w14:textId="6FEB966D" w:rsidR="005C690F" w:rsidRPr="0052732A" w:rsidRDefault="00CD6238" w:rsidP="007153F3">
      <w:pPr>
        <w:pStyle w:val="Ttulo2"/>
        <w:spacing w:before="0" w:after="0" w:line="360" w:lineRule="auto"/>
        <w:rPr>
          <w:color w:val="auto"/>
          <w:sz w:val="22"/>
          <w:szCs w:val="22"/>
        </w:rPr>
      </w:pPr>
      <w:bookmarkStart w:id="12" w:name="_Toc198156990"/>
      <w:r w:rsidRPr="0052732A">
        <w:rPr>
          <w:color w:val="auto"/>
          <w:sz w:val="22"/>
          <w:szCs w:val="22"/>
        </w:rPr>
        <w:t>Q</w:t>
      </w:r>
      <w:r w:rsidR="0044017B" w:rsidRPr="0052732A">
        <w:rPr>
          <w:color w:val="auto"/>
          <w:sz w:val="22"/>
          <w:szCs w:val="22"/>
        </w:rPr>
        <w:t>UINTO</w:t>
      </w:r>
      <w:r w:rsidRPr="0052732A">
        <w:rPr>
          <w:color w:val="auto"/>
          <w:sz w:val="22"/>
          <w:szCs w:val="22"/>
        </w:rPr>
        <w:t>. Estudio de Fondo</w:t>
      </w:r>
      <w:bookmarkEnd w:id="12"/>
    </w:p>
    <w:p w14:paraId="2596B212" w14:textId="77777777" w:rsidR="00A56228" w:rsidRPr="00B2261F" w:rsidRDefault="00A56228" w:rsidP="007153F3">
      <w:pPr>
        <w:spacing w:after="0" w:line="360" w:lineRule="auto"/>
        <w:rPr>
          <w:b/>
          <w:color w:val="FF0000"/>
        </w:rPr>
      </w:pPr>
    </w:p>
    <w:p w14:paraId="4CB72A48" w14:textId="3FCDC74E" w:rsidR="00503363" w:rsidRDefault="0064067B" w:rsidP="007153F3">
      <w:pPr>
        <w:spacing w:after="0" w:line="360" w:lineRule="auto"/>
        <w:rPr>
          <w:rFonts w:eastAsia="Times New Roman" w:cs="Tahoma"/>
          <w:bCs/>
          <w:iCs/>
          <w:color w:val="auto"/>
          <w:lang w:eastAsia="es-ES"/>
        </w:rPr>
      </w:pPr>
      <w:r w:rsidRPr="0052732A">
        <w:rPr>
          <w:color w:val="auto"/>
        </w:rPr>
        <w:t>Expuestas las posturas de las partes, se procede al análisis de los agravios hechos valer por la persona Recurrente</w:t>
      </w:r>
      <w:r w:rsidR="00731FB9" w:rsidRPr="0052732A">
        <w:rPr>
          <w:color w:val="auto"/>
        </w:rPr>
        <w:t xml:space="preserve">, </w:t>
      </w:r>
      <w:r w:rsidR="007F4407" w:rsidRPr="0052732A">
        <w:rPr>
          <w:rFonts w:eastAsia="Times New Roman" w:cs="Tahoma"/>
          <w:bCs/>
          <w:iCs/>
          <w:color w:val="auto"/>
          <w:lang w:eastAsia="es-ES"/>
        </w:rPr>
        <w:t>por lo que, en principio es necesario contextualizar la solicitud de información.</w:t>
      </w:r>
    </w:p>
    <w:p w14:paraId="24A000CE" w14:textId="77777777" w:rsidR="00511BE4" w:rsidRDefault="00511BE4" w:rsidP="007153F3">
      <w:pPr>
        <w:spacing w:after="0" w:line="360" w:lineRule="auto"/>
        <w:rPr>
          <w:rFonts w:eastAsia="Times New Roman" w:cs="Tahoma"/>
          <w:bCs/>
          <w:iCs/>
          <w:color w:val="auto"/>
          <w:lang w:eastAsia="es-ES"/>
        </w:rPr>
      </w:pPr>
    </w:p>
    <w:p w14:paraId="4145F3E1" w14:textId="528C4574" w:rsidR="00503363" w:rsidRDefault="00503363" w:rsidP="007153F3">
      <w:pPr>
        <w:spacing w:after="0" w:line="360" w:lineRule="auto"/>
      </w:pPr>
      <w:r w:rsidRPr="00C70FB2">
        <w:t>Al respecto,</w:t>
      </w:r>
      <w:r>
        <w:t xml:space="preserve"> el artículo 4°, fracción XVIII, de la Ley General de Contabilidad Gubernamental, establece que </w:t>
      </w:r>
      <w:r w:rsidRPr="00503363">
        <w:rPr>
          <w:b/>
          <w:bCs/>
        </w:rPr>
        <w:t>la información financiera consiste en información presupuestaria y contable que se expresa en unidades monetarias las transacciones que realiza un ente público y los eventos económicos identificables y cuantificable</w:t>
      </w:r>
      <w:r>
        <w:t xml:space="preserve"> la cual puede representarse por reportes, informes, estados y notas que expresan su situación financiera, los resultados de su operación y los cambios en su patrimonio.</w:t>
      </w:r>
    </w:p>
    <w:p w14:paraId="19945832" w14:textId="77777777" w:rsidR="00503363" w:rsidRDefault="00503363" w:rsidP="007153F3">
      <w:pPr>
        <w:spacing w:after="0" w:line="360" w:lineRule="auto"/>
      </w:pPr>
    </w:p>
    <w:p w14:paraId="324974BA" w14:textId="31F58D70" w:rsidR="00503363" w:rsidRDefault="00503363" w:rsidP="007153F3">
      <w:pPr>
        <w:spacing w:after="0" w:line="360" w:lineRule="auto"/>
      </w:pPr>
      <w:r>
        <w:t>Además, el artículo 1º, de la Ley de Fiscalización Superior del Estado de México, el cual establece que el órgano Superior de Fiscalización del Estado de México contará con atribuciones en materia de revisión y fiscalización de los fondos y fideicomisos públicos, cuentas públicas, deuda pública, y de los actos relativos al ejercicio y aplicación de los recursos públicos de las entidades fiscalizables del estado de México.</w:t>
      </w:r>
    </w:p>
    <w:p w14:paraId="2060D60F" w14:textId="77777777" w:rsidR="00D318B6" w:rsidRDefault="00D318B6" w:rsidP="007153F3">
      <w:pPr>
        <w:spacing w:after="0" w:line="360" w:lineRule="auto"/>
      </w:pPr>
    </w:p>
    <w:p w14:paraId="40F31966" w14:textId="77777777" w:rsidR="007E450B" w:rsidRDefault="007E450B" w:rsidP="007E450B">
      <w:pPr>
        <w:spacing w:after="0" w:line="360" w:lineRule="auto"/>
      </w:pPr>
      <w:r>
        <w:t>En ese sentido se tiene que los entes fiscalizables, tienen como obligación la de integrar y proporcionar los informes trimestrales, los cuales deberán atender los criterios generales que regirán la contabilidad gubernamental y la emisión de información financiera de los entes públicos, cabe mencionar que estos deberán presentarse dentro de los veinte días hábiles posteriores al término del trimestre que corresponda.</w:t>
      </w:r>
    </w:p>
    <w:p w14:paraId="49224096" w14:textId="77777777" w:rsidR="007E450B" w:rsidRDefault="007E450B" w:rsidP="007E450B">
      <w:pPr>
        <w:spacing w:after="0" w:line="360" w:lineRule="auto"/>
      </w:pPr>
    </w:p>
    <w:p w14:paraId="42148EDD" w14:textId="77777777" w:rsidR="007E450B" w:rsidRDefault="007E450B" w:rsidP="007E450B">
      <w:pPr>
        <w:spacing w:after="0" w:line="360" w:lineRule="auto"/>
      </w:pPr>
      <w:r>
        <w:t>En ese contexto, los Sujetos Obligados deben generar pólizas contables que corresponden a un documento en el que se asientan las operaciones desarrolladas, por el municipio y toda la información necesaria para su identificación, de conformidad con la Guía Técnica 8 “La Contabilidad y la Cuenta Pública Municipal”; además, dichas pólizas se dividen en las siguientes:</w:t>
      </w:r>
    </w:p>
    <w:p w14:paraId="29B97BFE" w14:textId="77777777" w:rsidR="007E450B" w:rsidRDefault="007E450B" w:rsidP="007E450B">
      <w:pPr>
        <w:spacing w:after="0" w:line="360" w:lineRule="auto"/>
      </w:pPr>
    </w:p>
    <w:p w14:paraId="4BD69298" w14:textId="77777777" w:rsidR="007E450B" w:rsidRDefault="007E450B" w:rsidP="007E450B">
      <w:pPr>
        <w:pStyle w:val="Prrafodelista"/>
        <w:numPr>
          <w:ilvl w:val="0"/>
          <w:numId w:val="13"/>
        </w:numPr>
        <w:spacing w:line="360" w:lineRule="auto"/>
      </w:pPr>
      <w:r w:rsidRPr="00814869">
        <w:rPr>
          <w:b/>
          <w:bCs/>
        </w:rPr>
        <w:t>Póliza de Egresos:</w:t>
      </w:r>
      <w:r>
        <w:t xml:space="preserve"> Corresponde a aquella donde se anotan las operaciones que implique egresos, es decir, la salida de dinero, en efectivo o transferencia, para el municipio. </w:t>
      </w:r>
    </w:p>
    <w:p w14:paraId="01C2AA76" w14:textId="77777777" w:rsidR="007E450B" w:rsidRDefault="007E450B" w:rsidP="007E450B">
      <w:pPr>
        <w:pStyle w:val="Prrafodelista"/>
        <w:spacing w:line="360" w:lineRule="auto"/>
      </w:pPr>
    </w:p>
    <w:p w14:paraId="24123128" w14:textId="77777777" w:rsidR="007E450B" w:rsidRDefault="007E450B" w:rsidP="007E450B">
      <w:pPr>
        <w:pStyle w:val="Prrafodelista"/>
        <w:numPr>
          <w:ilvl w:val="0"/>
          <w:numId w:val="13"/>
        </w:numPr>
        <w:spacing w:line="360" w:lineRule="auto"/>
      </w:pPr>
      <w:r w:rsidRPr="00814869">
        <w:rPr>
          <w:b/>
          <w:bCs/>
        </w:rPr>
        <w:t>Póliza Cheque:</w:t>
      </w:r>
      <w:r>
        <w:t xml:space="preserve"> Es la que se elabora cuando la operación implique una salida de dinero del municipio, a través de un cheque.</w:t>
      </w:r>
    </w:p>
    <w:p w14:paraId="68F49F87" w14:textId="77777777" w:rsidR="007E450B" w:rsidRDefault="007E450B" w:rsidP="007E450B">
      <w:pPr>
        <w:spacing w:after="0" w:line="360" w:lineRule="auto"/>
        <w:rPr>
          <w:color w:val="000000"/>
        </w:rPr>
      </w:pPr>
    </w:p>
    <w:p w14:paraId="4C0D6921" w14:textId="77777777" w:rsidR="007E450B" w:rsidRDefault="007E450B" w:rsidP="007E450B">
      <w:pPr>
        <w:spacing w:after="0" w:line="360" w:lineRule="auto"/>
      </w:pPr>
      <w:r>
        <w:lastRenderedPageBreak/>
        <w:t>Ahora bien, los Lineamientos para la integración y presentación de los Informes Trimestrales Estatales y Municipales del Ejercicio Fiscal 2025, entre los formatos que maneja en el Módulo 1, se advierte que se encuentran Póliza de Egresos y Póliza Cheques, con los documentos comprobatorios (comprobantes de pago), mismos que serán entregados al Órgano Superior de Fiscalización del Estado de México.</w:t>
      </w:r>
    </w:p>
    <w:p w14:paraId="4A0EBC57" w14:textId="77777777" w:rsidR="007E450B" w:rsidRDefault="007E450B" w:rsidP="007153F3">
      <w:pPr>
        <w:spacing w:after="0" w:line="360" w:lineRule="auto"/>
      </w:pPr>
    </w:p>
    <w:p w14:paraId="5A800805" w14:textId="773004AE" w:rsidR="007E450B" w:rsidRDefault="007E450B" w:rsidP="007E450B">
      <w:pPr>
        <w:spacing w:after="0" w:line="360" w:lineRule="auto"/>
        <w:rPr>
          <w:color w:val="000000"/>
        </w:rPr>
      </w:pPr>
      <w:r>
        <w:rPr>
          <w:color w:val="000000"/>
        </w:rPr>
        <w:t xml:space="preserve">Conforme a lo anterior, se logra vislumbrar que la pretensión de la persona </w:t>
      </w:r>
      <w:proofErr w:type="gramStart"/>
      <w:r>
        <w:rPr>
          <w:color w:val="000000"/>
        </w:rPr>
        <w:t>Recurrente,</w:t>
      </w:r>
      <w:proofErr w:type="gramEnd"/>
      <w:r>
        <w:rPr>
          <w:color w:val="000000"/>
        </w:rPr>
        <w:t xml:space="preserve"> es obtener, los comprobantes de</w:t>
      </w:r>
      <w:r w:rsidR="00C80532">
        <w:rPr>
          <w:color w:val="000000"/>
        </w:rPr>
        <w:t xml:space="preserve"> los</w:t>
      </w:r>
      <w:r>
        <w:rPr>
          <w:color w:val="000000"/>
        </w:rPr>
        <w:t xml:space="preserve"> pago</w:t>
      </w:r>
      <w:r w:rsidR="00C80532">
        <w:rPr>
          <w:color w:val="000000"/>
        </w:rPr>
        <w:t>s realizados</w:t>
      </w:r>
      <w:r w:rsidR="003913EE">
        <w:rPr>
          <w:color w:val="000000"/>
        </w:rPr>
        <w:t xml:space="preserve"> por la Tesorería Municipal</w:t>
      </w:r>
      <w:r w:rsidR="00C80532">
        <w:rPr>
          <w:color w:val="000000"/>
        </w:rPr>
        <w:t xml:space="preserve"> del primero de </w:t>
      </w:r>
      <w:r w:rsidR="002957F2">
        <w:rPr>
          <w:color w:val="000000"/>
        </w:rPr>
        <w:t>septiembre</w:t>
      </w:r>
      <w:r w:rsidR="00C80532">
        <w:rPr>
          <w:color w:val="000000"/>
        </w:rPr>
        <w:t xml:space="preserve"> al </w:t>
      </w:r>
      <w:r w:rsidR="002957F2">
        <w:rPr>
          <w:color w:val="000000"/>
        </w:rPr>
        <w:t>quince de octubre</w:t>
      </w:r>
      <w:r w:rsidR="00C80532">
        <w:rPr>
          <w:color w:val="000000"/>
        </w:rPr>
        <w:t xml:space="preserve"> de dos mil veinticinco, a personas físicas o jurídico colectivas</w:t>
      </w:r>
      <w:r w:rsidR="002957F2">
        <w:rPr>
          <w:color w:val="000000"/>
        </w:rPr>
        <w:t>.</w:t>
      </w:r>
    </w:p>
    <w:p w14:paraId="42329A05" w14:textId="77777777" w:rsidR="00004646" w:rsidRDefault="00004646" w:rsidP="007153F3">
      <w:pPr>
        <w:spacing w:after="0" w:line="360" w:lineRule="auto"/>
        <w:rPr>
          <w:rFonts w:eastAsia="Times New Roman" w:cs="Tahoma"/>
          <w:bCs/>
          <w:iCs/>
          <w:color w:val="auto"/>
          <w:lang w:eastAsia="es-ES"/>
        </w:rPr>
      </w:pPr>
    </w:p>
    <w:p w14:paraId="34C62197" w14:textId="69D20865" w:rsidR="00DF143A" w:rsidRDefault="00DF143A" w:rsidP="007153F3">
      <w:pPr>
        <w:spacing w:after="0" w:line="360" w:lineRule="auto"/>
      </w:pPr>
      <w:r w:rsidRPr="00AD63B4">
        <w:rPr>
          <w:color w:val="000000"/>
        </w:rPr>
        <w:t>Ahora bien, de las constancias que obran en el expediente electrónico, se advierte que el Sujeto Obligado</w:t>
      </w:r>
      <w:r w:rsidRPr="00AD63B4">
        <w:rPr>
          <w:color w:val="0D0D0D"/>
        </w:rPr>
        <w:t>, turnó la solicitud de información a la</w:t>
      </w:r>
      <w:r w:rsidR="00A93910" w:rsidRPr="00A93910">
        <w:t xml:space="preserve"> </w:t>
      </w:r>
      <w:r w:rsidR="00431AC4">
        <w:t>Tesorería  Municipal</w:t>
      </w:r>
      <w:r w:rsidRPr="00AD63B4">
        <w:rPr>
          <w:color w:val="000000"/>
        </w:rPr>
        <w:t xml:space="preserve">; </w:t>
      </w:r>
      <w:r w:rsidRPr="00AD63B4">
        <w:t xml:space="preserve">por lo que, es oportuno hacer referencia al </w:t>
      </w:r>
      <w:r w:rsidRPr="00AD63B4">
        <w:rPr>
          <w:b/>
        </w:rPr>
        <w:t>procedimiento de búsqueda que deben de seguir los Sujetos Obligados para localizar la información</w:t>
      </w:r>
      <w:r w:rsidRPr="00AD63B4">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E2302AA" w14:textId="77777777" w:rsidR="002957F2" w:rsidRDefault="002957F2" w:rsidP="002957F2">
      <w:pPr>
        <w:spacing w:after="0" w:line="360" w:lineRule="auto"/>
        <w:contextualSpacing/>
        <w:rPr>
          <w:rFonts w:eastAsia="Calibri" w:cs="Tahoma"/>
          <w:bCs/>
        </w:rPr>
      </w:pPr>
    </w:p>
    <w:p w14:paraId="302A02BC" w14:textId="77777777" w:rsidR="002957F2" w:rsidRDefault="002957F2" w:rsidP="002957F2">
      <w:pPr>
        <w:spacing w:after="0" w:line="360" w:lineRule="auto"/>
        <w:rPr>
          <w:rFonts w:eastAsia="Times New Roman" w:cs="Tahoma"/>
          <w:bCs/>
          <w:iCs/>
          <w:color w:val="auto"/>
          <w:lang w:eastAsia="es-ES"/>
        </w:rPr>
      </w:pPr>
      <w:r w:rsidRPr="00F94008">
        <w:rPr>
          <w:rFonts w:eastAsia="Times New Roman" w:cs="Tahoma"/>
          <w:bCs/>
          <w:iCs/>
          <w:color w:val="auto"/>
          <w:lang w:eastAsia="es-ES"/>
        </w:rPr>
        <w:t>En ese orden de ideas, el Manual</w:t>
      </w:r>
      <w:r>
        <w:rPr>
          <w:rFonts w:eastAsia="Times New Roman" w:cs="Tahoma"/>
          <w:bCs/>
          <w:iCs/>
          <w:color w:val="auto"/>
          <w:lang w:eastAsia="es-ES"/>
        </w:rPr>
        <w:t xml:space="preserve"> de Organización de la Tesorería Municipal, precisa que dicha área será la encargada de administrar los recursos públicos; para lo cual contará con la Subdirección de Egresos encargada de supervisar y coordinar la integración, aplicación y distribución de los recursos financieros; de revisar los cheques y transferencias de los proveedores y contratistas; así como, elaborar cheques y transferencias.</w:t>
      </w:r>
    </w:p>
    <w:p w14:paraId="5E005753" w14:textId="77777777" w:rsidR="002957F2" w:rsidRPr="00AD63B4" w:rsidRDefault="002957F2" w:rsidP="007153F3">
      <w:pPr>
        <w:spacing w:after="0" w:line="360" w:lineRule="auto"/>
        <w:rPr>
          <w:color w:val="0D0D0D"/>
        </w:rPr>
      </w:pPr>
    </w:p>
    <w:p w14:paraId="0E5BED20" w14:textId="56B7AB01" w:rsidR="00DF143A" w:rsidRPr="0061338D" w:rsidRDefault="00DF143A" w:rsidP="007153F3">
      <w:pPr>
        <w:spacing w:after="0" w:line="360" w:lineRule="auto"/>
        <w:rPr>
          <w:b/>
        </w:rPr>
      </w:pPr>
      <w:r w:rsidRPr="00AD63B4">
        <w:rPr>
          <w:color w:val="000000"/>
        </w:rPr>
        <w:t xml:space="preserve">Así, </w:t>
      </w:r>
      <w:r w:rsidRPr="00AD63B4">
        <w:t>se logra colegir que el Sujeto Obligad</w:t>
      </w:r>
      <w:r w:rsidRPr="00AF2D4D">
        <w:rPr>
          <w:bCs/>
        </w:rPr>
        <w:t>o</w:t>
      </w:r>
      <w:r w:rsidR="00AF2D4D" w:rsidRPr="00AF2D4D">
        <w:rPr>
          <w:bCs/>
        </w:rPr>
        <w:t xml:space="preserve"> </w:t>
      </w:r>
      <w:r w:rsidRPr="002957F2">
        <w:rPr>
          <w:b/>
        </w:rPr>
        <w:t>cumplió</w:t>
      </w:r>
      <w:r w:rsidRPr="002957F2">
        <w:t xml:space="preserve"> </w:t>
      </w:r>
      <w:r w:rsidRPr="00AD63B4">
        <w:t xml:space="preserve">con el procedimiento de búsqueda </w:t>
      </w:r>
      <w:r w:rsidRPr="00AD63B4">
        <w:rPr>
          <w:color w:val="000000"/>
        </w:rPr>
        <w:t>establecido en el artículo 162 de la Ley de Transparencia y Acceso a la Información Pública del Estado de México y Mu</w:t>
      </w:r>
      <w:r w:rsidR="006328FE">
        <w:rPr>
          <w:color w:val="000000"/>
        </w:rPr>
        <w:t xml:space="preserve">nicipios, </w:t>
      </w:r>
      <w:r w:rsidR="00AF2D4D">
        <w:rPr>
          <w:color w:val="000000"/>
        </w:rPr>
        <w:t xml:space="preserve">al </w:t>
      </w:r>
      <w:r w:rsidR="006328FE">
        <w:rPr>
          <w:color w:val="000000"/>
        </w:rPr>
        <w:t>gestionar</w:t>
      </w:r>
      <w:r w:rsidRPr="00AD63B4">
        <w:rPr>
          <w:color w:val="000000"/>
        </w:rPr>
        <w:t xml:space="preserve"> el requerimiento de información</w:t>
      </w:r>
      <w:r w:rsidR="0061338D">
        <w:rPr>
          <w:color w:val="000000"/>
        </w:rPr>
        <w:t xml:space="preserve"> a </w:t>
      </w:r>
      <w:r w:rsidR="0061338D" w:rsidRPr="0061338D">
        <w:rPr>
          <w:b/>
          <w:bCs/>
          <w:color w:val="000000"/>
        </w:rPr>
        <w:t>la Tesorería Municipal</w:t>
      </w:r>
      <w:r w:rsidR="00AF2D4D">
        <w:rPr>
          <w:b/>
        </w:rPr>
        <w:t>, área que realiza las erogaciones por medio de transferencia o cheque, por medio de su Subdirección de Egresos</w:t>
      </w:r>
      <w:r w:rsidRPr="00AD63B4">
        <w:rPr>
          <w:color w:val="000000"/>
        </w:rPr>
        <w:t>.</w:t>
      </w:r>
      <w:r w:rsidR="00AE3566">
        <w:rPr>
          <w:color w:val="000000"/>
        </w:rPr>
        <w:t xml:space="preserve"> </w:t>
      </w:r>
    </w:p>
    <w:p w14:paraId="2F48E734" w14:textId="77777777" w:rsidR="006328FE" w:rsidRDefault="006328FE" w:rsidP="007153F3">
      <w:pPr>
        <w:spacing w:after="0" w:line="360" w:lineRule="auto"/>
        <w:rPr>
          <w:color w:val="000000"/>
        </w:rPr>
      </w:pPr>
    </w:p>
    <w:p w14:paraId="2A037A17" w14:textId="005B4CB4" w:rsidR="00AF2D4D" w:rsidRPr="00FA6505" w:rsidRDefault="00AF2D4D" w:rsidP="00AF2D4D">
      <w:pPr>
        <w:spacing w:after="0" w:line="360" w:lineRule="auto"/>
      </w:pPr>
      <w:r w:rsidRPr="00FA6505">
        <w:t xml:space="preserve">Ahora bien, dicha área mencionó que la información solicitada no podía ser proporcionada </w:t>
      </w:r>
      <w:r>
        <w:t xml:space="preserve">al contener </w:t>
      </w:r>
      <w:r w:rsidR="002957F2">
        <w:t>diversos datos</w:t>
      </w:r>
      <w:r>
        <w:t>; sobre el tema</w:t>
      </w:r>
      <w:r w:rsidRPr="00FA6505">
        <w:t xml:space="preserve">, según Trujillo, Humberto (2019), en el “Diccionario de Transparencia y Acceso a la Información Pública” (p. 201), </w:t>
      </w:r>
      <w:r w:rsidRPr="00FA6505">
        <w:rPr>
          <w:b/>
          <w:bCs/>
        </w:rPr>
        <w:t>la negativa de acceso a la información</w:t>
      </w:r>
      <w:r w:rsidRPr="00FA6505">
        <w:t xml:space="preserve"> ocurre cuanto de manera fundada y motivada, una autoridad la niega o la limita, por alguna de las siguientes razones:</w:t>
      </w:r>
    </w:p>
    <w:p w14:paraId="626F9C65" w14:textId="77777777" w:rsidR="00AF2D4D" w:rsidRPr="00FA6505" w:rsidRDefault="00AF2D4D" w:rsidP="00AF2D4D">
      <w:pPr>
        <w:spacing w:after="0" w:line="360" w:lineRule="auto"/>
        <w:rPr>
          <w:rFonts w:eastAsia="Times New Roman" w:cs="Tahoma"/>
          <w:iCs/>
          <w:color w:val="FF0000"/>
          <w:lang w:eastAsia="es-ES"/>
        </w:rPr>
      </w:pPr>
    </w:p>
    <w:p w14:paraId="6ECFB8F0" w14:textId="77777777" w:rsidR="00AF2D4D" w:rsidRPr="00FA6505" w:rsidRDefault="00AF2D4D" w:rsidP="00AF2D4D">
      <w:pPr>
        <w:numPr>
          <w:ilvl w:val="0"/>
          <w:numId w:val="22"/>
        </w:numPr>
        <w:spacing w:after="0" w:line="360" w:lineRule="auto"/>
        <w:contextualSpacing/>
        <w:rPr>
          <w:rFonts w:eastAsia="Times New Roman" w:cs="Times New Roman"/>
          <w:szCs w:val="24"/>
          <w:lang w:eastAsia="es-ES"/>
        </w:rPr>
      </w:pPr>
      <w:r w:rsidRPr="00FA6505">
        <w:rPr>
          <w:rFonts w:eastAsia="Times New Roman" w:cs="Times New Roman"/>
          <w:b/>
          <w:bCs/>
          <w:szCs w:val="24"/>
          <w:lang w:eastAsia="es-ES"/>
        </w:rPr>
        <w:t>La inexistencia de la información (p. 171):</w:t>
      </w:r>
      <w:r w:rsidRPr="00FA6505">
        <w:rPr>
          <w:rFonts w:eastAsia="Times New Roman" w:cs="Times New Roman"/>
          <w:szCs w:val="24"/>
          <w:lang w:eastAsia="es-ES"/>
        </w:rPr>
        <w:t xml:space="preserve"> Sucede cuando la información solicitada no se encuentra en los archivos públicos o clasificados de los entes sujetos a las Leyes de Transparencia.</w:t>
      </w:r>
    </w:p>
    <w:p w14:paraId="31F6BEC2" w14:textId="77777777" w:rsidR="00AF2D4D" w:rsidRPr="00FA6505" w:rsidRDefault="00AF2D4D" w:rsidP="00AF2D4D">
      <w:pPr>
        <w:spacing w:after="0" w:line="360" w:lineRule="auto"/>
      </w:pPr>
    </w:p>
    <w:p w14:paraId="6200DDC9" w14:textId="77777777" w:rsidR="00AF2D4D" w:rsidRPr="00FA6505" w:rsidRDefault="00AF2D4D" w:rsidP="00AF2D4D">
      <w:pPr>
        <w:numPr>
          <w:ilvl w:val="0"/>
          <w:numId w:val="22"/>
        </w:numPr>
        <w:spacing w:after="0" w:line="360" w:lineRule="auto"/>
        <w:contextualSpacing/>
        <w:rPr>
          <w:rFonts w:eastAsia="Times New Roman" w:cs="Times New Roman"/>
          <w:szCs w:val="24"/>
          <w:lang w:eastAsia="es-ES"/>
        </w:rPr>
      </w:pPr>
      <w:r w:rsidRPr="00FA6505">
        <w:rPr>
          <w:rFonts w:eastAsia="Times New Roman" w:cs="Times New Roman"/>
          <w:b/>
          <w:bCs/>
          <w:szCs w:val="24"/>
          <w:lang w:eastAsia="es-ES"/>
        </w:rPr>
        <w:t>La incompetencia del Sujeto Obligado (p. 171):</w:t>
      </w:r>
      <w:r w:rsidRPr="00FA6505">
        <w:rPr>
          <w:rFonts w:eastAsia="Times New Roman" w:cs="Times New Roman"/>
          <w:szCs w:val="24"/>
          <w:lang w:eastAsia="es-ES"/>
        </w:rPr>
        <w:t xml:space="preserve"> Ocurre cuando el Sujeto Obligado carece de atribuciones para poseer la información peticionada.</w:t>
      </w:r>
    </w:p>
    <w:p w14:paraId="56494288" w14:textId="77777777" w:rsidR="00AF2D4D" w:rsidRPr="00FA6505" w:rsidRDefault="00AF2D4D" w:rsidP="00AF2D4D">
      <w:pPr>
        <w:spacing w:after="0" w:line="360" w:lineRule="auto"/>
      </w:pPr>
    </w:p>
    <w:p w14:paraId="538A456E" w14:textId="77777777" w:rsidR="00AF2D4D" w:rsidRPr="00FA6505" w:rsidRDefault="00AF2D4D" w:rsidP="00AF2D4D">
      <w:pPr>
        <w:numPr>
          <w:ilvl w:val="0"/>
          <w:numId w:val="22"/>
        </w:numPr>
        <w:spacing w:after="0" w:line="360" w:lineRule="auto"/>
        <w:contextualSpacing/>
        <w:rPr>
          <w:rFonts w:eastAsia="Times New Roman" w:cs="Tahoma"/>
          <w:iCs/>
          <w:szCs w:val="24"/>
          <w:lang w:eastAsia="es-ES"/>
        </w:rPr>
      </w:pPr>
      <w:r w:rsidRPr="00FA6505">
        <w:rPr>
          <w:rFonts w:eastAsia="Times New Roman" w:cs="Times New Roman"/>
          <w:b/>
          <w:bCs/>
          <w:szCs w:val="24"/>
          <w:lang w:eastAsia="es-ES"/>
        </w:rPr>
        <w:t>La clasificación de la información (p. 70):</w:t>
      </w:r>
      <w:r w:rsidRPr="00FA6505">
        <w:rPr>
          <w:rFonts w:eastAsia="Times New Roman" w:cs="Times New Roman"/>
          <w:szCs w:val="24"/>
          <w:lang w:eastAsia="es-ES"/>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7A96679F" w14:textId="77777777" w:rsidR="00AF2D4D" w:rsidRPr="00FA6505" w:rsidRDefault="00AF2D4D" w:rsidP="00AF2D4D">
      <w:pPr>
        <w:spacing w:after="0" w:line="360" w:lineRule="auto"/>
      </w:pPr>
    </w:p>
    <w:p w14:paraId="771236B8" w14:textId="77777777" w:rsidR="00AF2D4D" w:rsidRPr="00FA6505" w:rsidRDefault="00AF2D4D" w:rsidP="00AF2D4D">
      <w:pPr>
        <w:spacing w:after="0" w:line="360" w:lineRule="auto"/>
        <w:rPr>
          <w:b/>
          <w:bCs/>
        </w:rPr>
      </w:pPr>
      <w:r>
        <w:t>Así</w:t>
      </w:r>
      <w:r w:rsidRPr="00FA6505">
        <w:t xml:space="preserve">, es de señalar que las excepciones al derecho de acceso a la </w:t>
      </w:r>
      <w:proofErr w:type="gramStart"/>
      <w:r w:rsidRPr="00FA6505">
        <w:t>información,</w:t>
      </w:r>
      <w:proofErr w:type="gramEnd"/>
      <w:r w:rsidRPr="00FA6505">
        <w:t xml:space="preserve"> consisten en que </w:t>
      </w:r>
      <w:r w:rsidRPr="00FA6505">
        <w:rPr>
          <w:b/>
          <w:bCs/>
        </w:rPr>
        <w:t xml:space="preserve">la documentación sea inexistente, obre en los archivos, pero se encuentre clasificada, o </w:t>
      </w:r>
      <w:r w:rsidRPr="00FA6505">
        <w:rPr>
          <w:b/>
          <w:bCs/>
        </w:rPr>
        <w:lastRenderedPageBreak/>
        <w:t>bien, el Sujeto Obligado sea incompetente</w:t>
      </w:r>
      <w:r w:rsidRPr="00FA6505">
        <w:t xml:space="preserve"> para contar con esta; esto es, la negativa de acceso a la </w:t>
      </w:r>
      <w:proofErr w:type="gramStart"/>
      <w:r w:rsidRPr="00FA6505">
        <w:t>información,</w:t>
      </w:r>
      <w:proofErr w:type="gramEnd"/>
      <w:r w:rsidRPr="00FA6505">
        <w:t xml:space="preserve"> recae cuando la documentación no se encuentre en los archivos del sujeto obligado, o bien exista, pero no pueda proporcionarse por contener datos </w:t>
      </w:r>
      <w:r w:rsidRPr="00FA6505">
        <w:rPr>
          <w:b/>
          <w:bCs/>
        </w:rPr>
        <w:t>confidenciales o reservados.</w:t>
      </w:r>
    </w:p>
    <w:p w14:paraId="10CA29B5" w14:textId="77777777" w:rsidR="00AF2D4D" w:rsidRPr="00FA6505" w:rsidRDefault="00AF2D4D" w:rsidP="00AF2D4D">
      <w:pPr>
        <w:spacing w:after="0" w:line="360" w:lineRule="auto"/>
      </w:pPr>
    </w:p>
    <w:p w14:paraId="36AEB7C8" w14:textId="77777777" w:rsidR="00AF2D4D" w:rsidRPr="00FA6505" w:rsidRDefault="00AF2D4D" w:rsidP="00AF2D4D">
      <w:pPr>
        <w:spacing w:after="0" w:line="360" w:lineRule="auto"/>
      </w:pPr>
      <w:r w:rsidRPr="00FA6505">
        <w:t xml:space="preserve">En ese contexto, es de referir que el Sujeto Obligado, precisó que no podía entregar la información al </w:t>
      </w:r>
      <w:r>
        <w:t>contener</w:t>
      </w:r>
      <w:r w:rsidRPr="00FA6505">
        <w:t xml:space="preserve"> información confidencial</w:t>
      </w:r>
      <w:r>
        <w:t>, es decir, aludió a una clasificación</w:t>
      </w:r>
      <w:r w:rsidRPr="00FA6505">
        <w:t xml:space="preserve">; sobre el tema, en los artículos 122, 128 y 130 de la Ley Transparencia y Acceso a la Información Pública del Estado de México y Municipios, se prevé que la clasificación es el proceso mediante el cual los sujetos obligados determinan que la información en su poder, actualiza alguno de los supuestos de </w:t>
      </w:r>
      <w:r w:rsidRPr="00FA6505">
        <w:rPr>
          <w:b/>
          <w:bCs/>
        </w:rPr>
        <w:t>reserva o confidencialidad</w:t>
      </w:r>
      <w:r w:rsidRPr="00FA6505">
        <w:t>. Además, que dichos entes deberán aplicar de manera restrictiva y limitada, las excepciones al derecho de acceso a la información, por lo que, tendrán que acreditar la procedencia.</w:t>
      </w:r>
    </w:p>
    <w:p w14:paraId="67CD41E1" w14:textId="77777777" w:rsidR="00AF2D4D" w:rsidRPr="00FA6505" w:rsidRDefault="00AF2D4D" w:rsidP="00AF2D4D">
      <w:pPr>
        <w:spacing w:after="0" w:line="360" w:lineRule="auto"/>
      </w:pPr>
    </w:p>
    <w:p w14:paraId="486546DB" w14:textId="77777777" w:rsidR="00AF2D4D" w:rsidRPr="00FA6505" w:rsidRDefault="00AF2D4D" w:rsidP="00AF2D4D">
      <w:pPr>
        <w:spacing w:after="0" w:line="360" w:lineRule="auto"/>
      </w:pPr>
      <w:r w:rsidRPr="00FA6505">
        <w:t xml:space="preserve">Por lo cual, en los casos en que se niegue el acceso a la información, por actualizarse alguno de los supuestos de clasificación, </w:t>
      </w:r>
      <w:r w:rsidRPr="00FA6505">
        <w:rPr>
          <w:b/>
          <w:bCs/>
        </w:rPr>
        <w:t>el Comité de Transparencia deberá confirmar, modificar o revocar la decisión;</w:t>
      </w:r>
      <w:r w:rsidRPr="00FA6505">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705C0B89" w14:textId="77777777" w:rsidR="00AF2D4D" w:rsidRPr="00FA6505" w:rsidRDefault="00AF2D4D" w:rsidP="00AF2D4D">
      <w:pPr>
        <w:spacing w:after="0" w:line="360" w:lineRule="auto"/>
      </w:pPr>
    </w:p>
    <w:p w14:paraId="163367A8" w14:textId="77777777" w:rsidR="00AF2D4D" w:rsidRPr="00FA6505" w:rsidRDefault="00AF2D4D" w:rsidP="00AF2D4D">
      <w:pPr>
        <w:spacing w:after="0" w:line="360" w:lineRule="auto"/>
        <w:rPr>
          <w:b/>
          <w:bCs/>
        </w:rPr>
      </w:pPr>
      <w:r w:rsidRPr="00FA6505">
        <w:t xml:space="preserve">En ese contexto, de la interpretación del artículo 134 de la Ley de Transparencia y Acceso a la Información Pública del Estado de México y Municipios, se logra observar que </w:t>
      </w:r>
      <w:r w:rsidRPr="00FA6505">
        <w:rPr>
          <w:b/>
          <w:bCs/>
        </w:rPr>
        <w:t>la clasificación depende del contenido de los documentos, pues de su análisis se establece si corresponde a una clasificación total o parcial.</w:t>
      </w:r>
    </w:p>
    <w:p w14:paraId="4D1C4643" w14:textId="77777777" w:rsidR="00AF2D4D" w:rsidRPr="00FA6505" w:rsidRDefault="00AF2D4D" w:rsidP="00AF2D4D">
      <w:pPr>
        <w:spacing w:after="0" w:line="360" w:lineRule="auto"/>
      </w:pPr>
    </w:p>
    <w:p w14:paraId="50C054F3" w14:textId="77777777" w:rsidR="00AF2D4D" w:rsidRPr="00FA6505" w:rsidRDefault="00AF2D4D" w:rsidP="00AF2D4D">
      <w:pPr>
        <w:spacing w:after="0" w:line="360" w:lineRule="auto"/>
      </w:pPr>
      <w:r w:rsidRPr="00FA6505">
        <w:lastRenderedPageBreak/>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7D87DB98" w14:textId="77777777" w:rsidR="00AF2D4D" w:rsidRPr="00FA6505" w:rsidRDefault="00AF2D4D" w:rsidP="00AF2D4D">
      <w:pPr>
        <w:spacing w:after="0" w:line="360" w:lineRule="auto"/>
        <w:rPr>
          <w:b/>
          <w:bCs/>
        </w:rPr>
      </w:pPr>
    </w:p>
    <w:p w14:paraId="600056F2" w14:textId="77777777" w:rsidR="00AF2D4D" w:rsidRPr="00FA6505" w:rsidRDefault="00AF2D4D" w:rsidP="00AF2D4D">
      <w:pPr>
        <w:spacing w:after="0" w:line="360" w:lineRule="auto"/>
        <w:rPr>
          <w:b/>
          <w:bCs/>
        </w:rPr>
      </w:pPr>
      <w:r w:rsidRPr="00FA6505">
        <w:t xml:space="preserve">En ese contexto, según Bonifaz, Leticia (2016), en la “Ley General de Transparencia y Acceso a la Información Pública Comentada” (p. 342), la </w:t>
      </w:r>
      <w:r w:rsidRPr="00FA6505">
        <w:rPr>
          <w:b/>
          <w:bCs/>
        </w:rPr>
        <w:t xml:space="preserve">clasificación de la </w:t>
      </w:r>
      <w:proofErr w:type="gramStart"/>
      <w:r w:rsidRPr="00FA6505">
        <w:rPr>
          <w:b/>
          <w:bCs/>
        </w:rPr>
        <w:t>información</w:t>
      </w:r>
      <w:r w:rsidRPr="00FA6505">
        <w:t>,</w:t>
      </w:r>
      <w:proofErr w:type="gramEnd"/>
      <w:r w:rsidRPr="00FA6505">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FA6505">
        <w:rPr>
          <w:b/>
          <w:bCs/>
        </w:rPr>
        <w:t>de manera adecuada la negativa de información.</w:t>
      </w:r>
    </w:p>
    <w:p w14:paraId="08145E28" w14:textId="77777777" w:rsidR="00AF2D4D" w:rsidRPr="00FA6505" w:rsidRDefault="00AF2D4D" w:rsidP="00AF2D4D">
      <w:pPr>
        <w:spacing w:after="0" w:line="360" w:lineRule="auto"/>
        <w:rPr>
          <w:b/>
          <w:bCs/>
        </w:rPr>
      </w:pPr>
    </w:p>
    <w:p w14:paraId="106CC8A6" w14:textId="77777777" w:rsidR="00AF2D4D" w:rsidRPr="00FA6505" w:rsidRDefault="00AF2D4D" w:rsidP="00AF2D4D">
      <w:pPr>
        <w:spacing w:after="0" w:line="360" w:lineRule="auto"/>
        <w:rPr>
          <w:rFonts w:cs="Tahoma"/>
          <w:b/>
          <w:bCs/>
          <w:iCs/>
        </w:rPr>
      </w:pPr>
      <w:r w:rsidRPr="00FA6505">
        <w:t xml:space="preserve">Además, conforme al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FA6505">
        <w:rPr>
          <w:b/>
          <w:bCs/>
        </w:rPr>
        <w:t>análisis caso por caso.</w:t>
      </w:r>
    </w:p>
    <w:p w14:paraId="385A50E9" w14:textId="77777777" w:rsidR="00AF2D4D" w:rsidRPr="00FA6505" w:rsidRDefault="00AF2D4D" w:rsidP="00AF2D4D">
      <w:pPr>
        <w:spacing w:after="0" w:line="360" w:lineRule="auto"/>
      </w:pPr>
    </w:p>
    <w:p w14:paraId="7BDED4DB" w14:textId="77777777" w:rsidR="00AF2D4D" w:rsidRPr="00FA6505" w:rsidRDefault="00AF2D4D" w:rsidP="00AF2D4D">
      <w:pPr>
        <w:spacing w:after="0" w:line="360" w:lineRule="auto"/>
      </w:pPr>
      <w:r w:rsidRPr="00FA6505">
        <w:t>Sobre lo anterior, el artículo 131 de la Ley referida, así como el Quinto de los Lineamientos Generales, establecen que los sujetos obligados deberán fundar y motivar debidamente la clasificación de la información.</w:t>
      </w:r>
    </w:p>
    <w:p w14:paraId="2E98CA13" w14:textId="77777777" w:rsidR="00AF2D4D" w:rsidRPr="00FA6505" w:rsidRDefault="00AF2D4D" w:rsidP="00AF2D4D">
      <w:pPr>
        <w:spacing w:after="0" w:line="360" w:lineRule="auto"/>
      </w:pPr>
    </w:p>
    <w:p w14:paraId="368CFFC3" w14:textId="77777777" w:rsidR="00AF2D4D" w:rsidRPr="00FA6505" w:rsidRDefault="00AF2D4D" w:rsidP="00AF2D4D">
      <w:pPr>
        <w:spacing w:after="0" w:line="360" w:lineRule="auto"/>
      </w:pPr>
      <w:r w:rsidRPr="00FA6505">
        <w:t>Al respecto, el Octavo de los Lineamientos Generales, precisa lo siguiente:</w:t>
      </w:r>
    </w:p>
    <w:p w14:paraId="5A3CB2E8" w14:textId="77777777" w:rsidR="00AF2D4D" w:rsidRPr="00FA6505" w:rsidRDefault="00AF2D4D" w:rsidP="00AF2D4D">
      <w:pPr>
        <w:spacing w:after="0" w:line="360" w:lineRule="auto"/>
      </w:pPr>
    </w:p>
    <w:p w14:paraId="65A84AAA" w14:textId="77777777" w:rsidR="00AF2D4D" w:rsidRPr="00FA6505" w:rsidRDefault="00AF2D4D" w:rsidP="00AF2D4D">
      <w:pPr>
        <w:numPr>
          <w:ilvl w:val="0"/>
          <w:numId w:val="23"/>
        </w:numPr>
        <w:spacing w:after="0" w:line="360" w:lineRule="auto"/>
        <w:contextualSpacing/>
        <w:rPr>
          <w:rFonts w:eastAsia="Times New Roman" w:cs="Times New Roman"/>
          <w:szCs w:val="24"/>
          <w:u w:val="single"/>
          <w:lang w:eastAsia="es-ES"/>
        </w:rPr>
      </w:pPr>
      <w:r w:rsidRPr="00FA6505">
        <w:rPr>
          <w:rFonts w:eastAsia="Times New Roman" w:cs="Times New Roman"/>
          <w:b/>
          <w:bCs/>
          <w:szCs w:val="24"/>
          <w:lang w:eastAsia="es-ES"/>
        </w:rPr>
        <w:t>Para fundar la clasificación</w:t>
      </w:r>
      <w:r w:rsidRPr="00FA6505">
        <w:rPr>
          <w:rFonts w:eastAsia="Times New Roman" w:cs="Times New Roman"/>
          <w:szCs w:val="24"/>
          <w:lang w:eastAsia="es-ES"/>
        </w:rPr>
        <w:t xml:space="preserve"> de la información se deberán </w:t>
      </w:r>
      <w:r w:rsidRPr="00FA6505">
        <w:rPr>
          <w:rFonts w:eastAsia="Times New Roman" w:cs="Times New Roman"/>
          <w:szCs w:val="24"/>
          <w:u w:val="single"/>
          <w:lang w:eastAsia="es-ES"/>
        </w:rPr>
        <w:t>señalar el artículo, fracción, inciso, párrafo o numeral de la Ley aplicable.</w:t>
      </w:r>
    </w:p>
    <w:p w14:paraId="04455A8A" w14:textId="77777777" w:rsidR="00AF2D4D" w:rsidRPr="00FA6505" w:rsidRDefault="00AF2D4D" w:rsidP="00AF2D4D">
      <w:pPr>
        <w:spacing w:after="0" w:line="360" w:lineRule="auto"/>
        <w:ind w:left="720"/>
        <w:contextualSpacing/>
        <w:rPr>
          <w:rFonts w:eastAsia="Times New Roman" w:cs="Times New Roman"/>
          <w:szCs w:val="24"/>
          <w:u w:val="single"/>
          <w:lang w:eastAsia="es-ES"/>
        </w:rPr>
      </w:pPr>
    </w:p>
    <w:p w14:paraId="73AF207E" w14:textId="77777777" w:rsidR="00AF2D4D" w:rsidRPr="00FA6505" w:rsidRDefault="00AF2D4D" w:rsidP="00AF2D4D">
      <w:pPr>
        <w:numPr>
          <w:ilvl w:val="0"/>
          <w:numId w:val="23"/>
        </w:numPr>
        <w:spacing w:after="0" w:line="360" w:lineRule="auto"/>
        <w:contextualSpacing/>
        <w:rPr>
          <w:rFonts w:eastAsia="Times New Roman" w:cs="Tahoma"/>
          <w:iCs/>
          <w:szCs w:val="24"/>
          <w:lang w:eastAsia="es-ES"/>
        </w:rPr>
      </w:pPr>
      <w:r w:rsidRPr="00FA6505">
        <w:rPr>
          <w:rFonts w:eastAsia="Times New Roman" w:cs="Times New Roman"/>
          <w:b/>
          <w:bCs/>
          <w:szCs w:val="24"/>
          <w:lang w:eastAsia="es-ES"/>
        </w:rPr>
        <w:t>Para motivar la clasificación</w:t>
      </w:r>
      <w:r w:rsidRPr="00FA6505">
        <w:rPr>
          <w:rFonts w:eastAsia="Times New Roman" w:cs="Times New Roman"/>
          <w:szCs w:val="24"/>
          <w:lang w:eastAsia="es-ES"/>
        </w:rPr>
        <w:t xml:space="preserve"> se deberán </w:t>
      </w:r>
      <w:r w:rsidRPr="00FA6505">
        <w:rPr>
          <w:rFonts w:eastAsia="Times New Roman" w:cs="Times New Roman"/>
          <w:szCs w:val="24"/>
          <w:u w:val="single"/>
          <w:lang w:eastAsia="es-ES"/>
        </w:rPr>
        <w:t>indicar las razones y circunstancias</w:t>
      </w:r>
      <w:r w:rsidRPr="00FA6505">
        <w:rPr>
          <w:rFonts w:eastAsia="Times New Roman" w:cs="Times New Roman"/>
          <w:szCs w:val="24"/>
          <w:lang w:eastAsia="es-ES"/>
        </w:rPr>
        <w:t xml:space="preserve"> especiales que lo llevaron a concluir que el caso particular se ajusta al supuesto previsto por la norma legal invocada.</w:t>
      </w:r>
    </w:p>
    <w:p w14:paraId="207E831A" w14:textId="77777777" w:rsidR="00AF2D4D" w:rsidRPr="00FA6505" w:rsidRDefault="00AF2D4D" w:rsidP="00AF2D4D">
      <w:pPr>
        <w:spacing w:after="0" w:line="360" w:lineRule="auto"/>
        <w:ind w:left="720"/>
        <w:contextualSpacing/>
        <w:rPr>
          <w:rFonts w:ascii="Times New Roman" w:eastAsia="Times New Roman" w:hAnsi="Times New Roman" w:cs="Tahoma"/>
          <w:iCs/>
          <w:szCs w:val="24"/>
          <w:lang w:eastAsia="es-ES"/>
        </w:rPr>
      </w:pPr>
    </w:p>
    <w:p w14:paraId="307843B4" w14:textId="77777777" w:rsidR="00AF2D4D" w:rsidRPr="00FA6505" w:rsidRDefault="00AF2D4D" w:rsidP="00AF2D4D">
      <w:pPr>
        <w:spacing w:after="0" w:line="360" w:lineRule="auto"/>
      </w:pPr>
      <w:r w:rsidRPr="00FA6505">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10CA2044" w14:textId="77777777" w:rsidR="00AF2D4D" w:rsidRPr="00FA6505" w:rsidRDefault="00AF2D4D" w:rsidP="00AF2D4D">
      <w:pPr>
        <w:spacing w:after="0" w:line="360" w:lineRule="auto"/>
      </w:pPr>
    </w:p>
    <w:p w14:paraId="35449C4F" w14:textId="77777777" w:rsidR="00AF2D4D" w:rsidRPr="00FA6505" w:rsidRDefault="00AF2D4D" w:rsidP="00AF2D4D">
      <w:pPr>
        <w:spacing w:after="0" w:line="360" w:lineRule="auto"/>
        <w:ind w:left="567" w:right="567"/>
        <w:rPr>
          <w:i/>
          <w:iCs/>
          <w:sz w:val="20"/>
          <w:szCs w:val="20"/>
        </w:rPr>
      </w:pPr>
      <w:r w:rsidRPr="00FA6505">
        <w:rPr>
          <w:b/>
          <w:bCs/>
          <w:i/>
          <w:iCs/>
          <w:sz w:val="20"/>
          <w:szCs w:val="20"/>
        </w:rPr>
        <w:t>“FUNDAMENTACION Y MOTIVACION, CONCEPTO DE.</w:t>
      </w:r>
      <w:r w:rsidRPr="00FA6505">
        <w:rPr>
          <w:i/>
          <w:iCs/>
          <w:sz w:val="20"/>
          <w:szCs w:val="20"/>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42D40BE" w14:textId="77777777" w:rsidR="00AF2D4D" w:rsidRPr="00FA6505" w:rsidRDefault="00AF2D4D" w:rsidP="00AF2D4D">
      <w:pPr>
        <w:spacing w:after="0" w:line="360" w:lineRule="auto"/>
        <w:rPr>
          <w:rFonts w:cs="Tahoma"/>
          <w:iCs/>
        </w:rPr>
      </w:pPr>
    </w:p>
    <w:p w14:paraId="77197BC8" w14:textId="77777777" w:rsidR="00AF2D4D" w:rsidRPr="00FA6505" w:rsidRDefault="00AF2D4D" w:rsidP="00AF2D4D">
      <w:pPr>
        <w:spacing w:after="0" w:line="360" w:lineRule="auto"/>
      </w:pPr>
      <w:r w:rsidRPr="00FA6505">
        <w:t>Conforme a lo anterior, se advierte lo siguiente:</w:t>
      </w:r>
    </w:p>
    <w:p w14:paraId="27AEA1CB" w14:textId="77777777" w:rsidR="00AF2D4D" w:rsidRPr="00FA6505" w:rsidRDefault="00AF2D4D" w:rsidP="00AF2D4D">
      <w:pPr>
        <w:spacing w:after="0" w:line="360" w:lineRule="auto"/>
      </w:pPr>
    </w:p>
    <w:p w14:paraId="71819F37" w14:textId="77777777" w:rsidR="00AF2D4D" w:rsidRPr="00FA6505" w:rsidRDefault="00AF2D4D" w:rsidP="00AF2D4D">
      <w:pPr>
        <w:numPr>
          <w:ilvl w:val="0"/>
          <w:numId w:val="24"/>
        </w:numPr>
        <w:spacing w:after="0" w:line="360" w:lineRule="auto"/>
        <w:contextualSpacing/>
        <w:rPr>
          <w:rFonts w:eastAsia="Times New Roman" w:cs="Times New Roman"/>
          <w:szCs w:val="24"/>
          <w:lang w:eastAsia="es-ES"/>
        </w:rPr>
      </w:pPr>
      <w:r w:rsidRPr="00FA6505">
        <w:rPr>
          <w:rFonts w:eastAsia="Times New Roman" w:cs="Times New Roman"/>
          <w:b/>
          <w:bCs/>
          <w:szCs w:val="24"/>
          <w:lang w:eastAsia="es-ES"/>
        </w:rPr>
        <w:t>Fundamentación:</w:t>
      </w:r>
      <w:r w:rsidRPr="00FA6505">
        <w:rPr>
          <w:rFonts w:eastAsia="Times New Roman" w:cs="Times New Roman"/>
          <w:szCs w:val="24"/>
          <w:lang w:eastAsia="es-ES"/>
        </w:rPr>
        <w:t xml:space="preserve"> Obligación de la autoridad que emite un acto, para citar los preceptos legales, sustantivos y adjetivos, en que se apoye para la determinación tomada. </w:t>
      </w:r>
    </w:p>
    <w:p w14:paraId="0B75D668" w14:textId="77777777" w:rsidR="00AF2D4D" w:rsidRPr="00FA6505" w:rsidRDefault="00AF2D4D" w:rsidP="00AF2D4D">
      <w:pPr>
        <w:numPr>
          <w:ilvl w:val="0"/>
          <w:numId w:val="24"/>
        </w:numPr>
        <w:spacing w:after="0" w:line="360" w:lineRule="auto"/>
        <w:contextualSpacing/>
        <w:rPr>
          <w:rFonts w:eastAsia="Times New Roman" w:cs="Times New Roman"/>
          <w:szCs w:val="24"/>
          <w:lang w:eastAsia="es-ES"/>
        </w:rPr>
      </w:pPr>
      <w:r w:rsidRPr="00FA6505">
        <w:rPr>
          <w:rFonts w:eastAsia="Times New Roman" w:cs="Times New Roman"/>
          <w:b/>
          <w:bCs/>
          <w:szCs w:val="24"/>
          <w:lang w:eastAsia="es-ES"/>
        </w:rPr>
        <w:t>Motivación:</w:t>
      </w:r>
      <w:r w:rsidRPr="00FA6505">
        <w:rPr>
          <w:rFonts w:eastAsia="Times New Roman" w:cs="Times New Roman"/>
          <w:szCs w:val="24"/>
          <w:lang w:eastAsia="es-ES"/>
        </w:rPr>
        <w:t xml:space="preserve"> Razonamientos lógico-jurídicos sobre porque se consideró en el caso en concreto, que se ajusta a la hipótesis normativa.</w:t>
      </w:r>
    </w:p>
    <w:p w14:paraId="1F648671" w14:textId="3D2A5A41" w:rsidR="00AF2D4D" w:rsidRPr="00FA6505" w:rsidRDefault="00AF2D4D" w:rsidP="00AF2D4D">
      <w:pPr>
        <w:spacing w:after="0" w:line="360" w:lineRule="auto"/>
      </w:pPr>
      <w:r w:rsidRPr="00FA6505">
        <w:lastRenderedPageBreak/>
        <w:t xml:space="preserve">En ese contexto, es de señalar que Ayuntamiento de </w:t>
      </w:r>
      <w:r>
        <w:t>Chalco</w:t>
      </w:r>
      <w:r w:rsidRPr="00FA6505">
        <w:t xml:space="preserve">, no precisó de manera fundada y motivada las razones por las cuales, consideraba que los documentos solicitados eran clasificados; ni el Comité de Transparencia emitió el acuerdo que confirmará dicha circunstancia, pues únicamente refirió que no podía entregar la información al </w:t>
      </w:r>
      <w:r w:rsidR="00D9594A">
        <w:t>contener datos susceptibles a clasificación.</w:t>
      </w:r>
    </w:p>
    <w:p w14:paraId="6E864EBA" w14:textId="77777777" w:rsidR="00AF2D4D" w:rsidRDefault="00AF2D4D" w:rsidP="00AF2D4D">
      <w:pPr>
        <w:spacing w:after="0" w:line="360" w:lineRule="auto"/>
      </w:pPr>
    </w:p>
    <w:p w14:paraId="31871FD2" w14:textId="77777777" w:rsidR="00AF2D4D" w:rsidRPr="00FA6505" w:rsidRDefault="00AF2D4D" w:rsidP="00AF2D4D">
      <w:pPr>
        <w:spacing w:after="0" w:line="360" w:lineRule="auto"/>
        <w:rPr>
          <w:rFonts w:eastAsia="Times New Roman" w:cs="Arial"/>
          <w:lang w:val="x-none" w:eastAsia="es-ES"/>
        </w:rPr>
      </w:pPr>
      <w:r>
        <w:t xml:space="preserve">Además, se considera que los documentos rinden cuentas </w:t>
      </w:r>
      <w:r w:rsidRPr="00FA6505">
        <w:rPr>
          <w:rFonts w:eastAsia="Calibri" w:cs="Tahoma"/>
          <w:bCs/>
        </w:rPr>
        <w:t>de la forma en que utiliza el Ayuntamiento los recursos públicos</w:t>
      </w:r>
      <w:r w:rsidRPr="00FA6505">
        <w:rPr>
          <w:rFonts w:eastAsia="Times New Roman" w:cs="Tahoma"/>
          <w:bCs/>
          <w:iCs/>
          <w:lang w:val="es-ES_tradnl" w:eastAsia="es-ES"/>
        </w:rPr>
        <w:t>; sobre</w:t>
      </w:r>
      <w:r w:rsidRPr="00FA6505">
        <w:rPr>
          <w:rFonts w:eastAsia="Times New Roman" w:cs="Tahoma"/>
          <w:lang w:val="es-ES" w:eastAsia="es-ES"/>
        </w:rPr>
        <w:t xml:space="preserve"> el tema, </w:t>
      </w:r>
      <w:r w:rsidRPr="00FA6505">
        <w:rPr>
          <w:rFonts w:eastAsia="Times New Roman" w:cs="Arial"/>
          <w:bCs/>
          <w:lang w:eastAsia="es-ES"/>
        </w:rPr>
        <w:t xml:space="preserve">según Arizmendi, Guillermo (2016), en la “Ley General de Transparencia y Acceso a la Información Pública Comentada” (p. 240 y 241), los recursos públicos, deber ser administrado con responsabilidad y transparencia. </w:t>
      </w:r>
      <w:r w:rsidRPr="00FA6505">
        <w:rPr>
          <w:rFonts w:eastAsia="Times New Roman" w:cs="Tahoma"/>
          <w:lang w:val="es-ES" w:eastAsia="es-ES"/>
        </w:rPr>
        <w:t xml:space="preserve">En ese orden de ideas, según Trujillo, Humberto (2019), en el “Diccionario de Transparencia y Acceso a la Información Pública” (p. 276), </w:t>
      </w:r>
      <w:r w:rsidRPr="00FA6505">
        <w:rPr>
          <w:rFonts w:eastAsia="Times New Roman" w:cs="Tahoma"/>
          <w:b/>
          <w:lang w:val="es-ES" w:eastAsia="es-ES"/>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14:paraId="27DC84A5" w14:textId="77777777" w:rsidR="00AF2D4D" w:rsidRPr="00FA6505" w:rsidRDefault="00AF2D4D" w:rsidP="00AF2D4D">
      <w:pPr>
        <w:spacing w:after="0" w:line="360" w:lineRule="auto"/>
        <w:rPr>
          <w:rFonts w:eastAsia="Times New Roman" w:cs="Tahoma"/>
          <w:b/>
          <w:lang w:val="es-ES" w:eastAsia="es-ES"/>
        </w:rPr>
      </w:pPr>
    </w:p>
    <w:p w14:paraId="51D9811C" w14:textId="77777777" w:rsidR="00AF2D4D" w:rsidRPr="00FA6505" w:rsidRDefault="00AF2D4D" w:rsidP="00AF2D4D">
      <w:pPr>
        <w:spacing w:after="0" w:line="360" w:lineRule="auto"/>
        <w:rPr>
          <w:rFonts w:eastAsia="Times New Roman" w:cs="Tahoma"/>
          <w:lang w:eastAsia="es-ES"/>
        </w:rPr>
      </w:pPr>
      <w:r w:rsidRPr="00FA6505">
        <w:rPr>
          <w:rFonts w:eastAsia="Times New Roman" w:cs="Tahoma"/>
          <w:lang w:val="es-ES" w:eastAsia="es-ES"/>
        </w:rPr>
        <w:t xml:space="preserve">Además,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sidRPr="00FA6505">
        <w:rPr>
          <w:rFonts w:eastAsia="Times New Roman" w:cs="Tahoma"/>
          <w:b/>
          <w:lang w:val="es-ES" w:eastAsia="es-ES"/>
        </w:rPr>
        <w:t xml:space="preserve">transparencia </w:t>
      </w:r>
      <w:r w:rsidRPr="00FA6505">
        <w:rPr>
          <w:rFonts w:eastAsia="Times New Roman" w:cs="Tahoma"/>
          <w:lang w:val="es-ES" w:eastAsia="es-ES"/>
        </w:rPr>
        <w:t xml:space="preserve">y honradez; sobre lo referido,  </w:t>
      </w:r>
      <w:r w:rsidRPr="00FA6505">
        <w:rPr>
          <w:rFonts w:eastAsia="Times New Roman" w:cs="Tahoma"/>
          <w:lang w:eastAsia="es-ES"/>
        </w:rPr>
        <w:t>la Tesis número 1a.CXLV/2009, Novena Época, publicada en el Semanario Judicial de la Federación, Tomo XXX, de septiembre de dos mil nueve, (p. 2712), establece lo siguiente:</w:t>
      </w:r>
    </w:p>
    <w:p w14:paraId="203B00D7" w14:textId="77777777" w:rsidR="00AF2D4D" w:rsidRPr="00FA6505" w:rsidRDefault="00AF2D4D" w:rsidP="00AF2D4D">
      <w:pPr>
        <w:spacing w:after="0" w:line="360" w:lineRule="auto"/>
        <w:rPr>
          <w:rFonts w:eastAsia="Times New Roman" w:cs="Tahoma"/>
          <w:lang w:val="es-ES" w:eastAsia="es-ES"/>
        </w:rPr>
      </w:pPr>
    </w:p>
    <w:p w14:paraId="129C00A4" w14:textId="77777777" w:rsidR="00AF2D4D" w:rsidRPr="00FA6505" w:rsidRDefault="00AF2D4D" w:rsidP="00AF2D4D">
      <w:pPr>
        <w:spacing w:after="0" w:line="360" w:lineRule="auto"/>
        <w:ind w:left="567" w:right="567"/>
        <w:rPr>
          <w:rFonts w:eastAsia="Times New Roman" w:cs="Tahoma"/>
          <w:bCs/>
          <w:i/>
          <w:iCs/>
          <w:sz w:val="20"/>
          <w:szCs w:val="20"/>
          <w:lang w:val="es-ES" w:eastAsia="es-ES"/>
        </w:rPr>
      </w:pPr>
      <w:r w:rsidRPr="00FA6505">
        <w:rPr>
          <w:rFonts w:eastAsia="Times New Roman" w:cs="Tahoma"/>
          <w:b/>
          <w:bCs/>
          <w:i/>
          <w:iCs/>
          <w:sz w:val="20"/>
          <w:szCs w:val="20"/>
          <w:lang w:val="es-ES" w:eastAsia="es-ES"/>
        </w:rPr>
        <w:t>“</w:t>
      </w:r>
      <w:r w:rsidRPr="00FA6505">
        <w:rPr>
          <w:rFonts w:eastAsia="Times New Roman" w:cs="Tahoma"/>
          <w:b/>
          <w:bCs/>
          <w:i/>
          <w:iCs/>
          <w:sz w:val="20"/>
          <w:szCs w:val="20"/>
          <w:lang w:eastAsia="es-ES"/>
        </w:rPr>
        <w:t xml:space="preserve">GASTO PÚBLICO. EL ARTÍCULO 134 DE LA CONSTITUCIÓN POLÍTICA DE LOS ESTADOS UNIDOS MEXICANOS ELEVA A RANGO CONSTITUCIONAL LOS PRINCIPIOS DE LEGALIDAD, EFICIENCIA, EFICACIA, ECONOMÍA, </w:t>
      </w:r>
      <w:r w:rsidRPr="00FA6505">
        <w:rPr>
          <w:rFonts w:eastAsia="Times New Roman" w:cs="Tahoma"/>
          <w:b/>
          <w:bCs/>
          <w:i/>
          <w:iCs/>
          <w:sz w:val="20"/>
          <w:szCs w:val="20"/>
          <w:lang w:eastAsia="es-ES"/>
        </w:rPr>
        <w:lastRenderedPageBreak/>
        <w:t xml:space="preserve">TRANSPARENCIA Y HONRADEZ EN ESTA MATERIA. </w:t>
      </w:r>
      <w:r w:rsidRPr="00FA6505">
        <w:rPr>
          <w:rFonts w:eastAsia="Times New Roman" w:cs="Tahoma"/>
          <w:bCs/>
          <w:i/>
          <w:iCs/>
          <w:sz w:val="20"/>
          <w:szCs w:val="20"/>
          <w:lang w:eastAsia="es-ES"/>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sidRPr="00FA6505">
        <w:rPr>
          <w:rFonts w:eastAsia="Times New Roman" w:cs="Tahoma"/>
          <w:bCs/>
          <w:i/>
          <w:iCs/>
          <w:sz w:val="20"/>
          <w:szCs w:val="20"/>
          <w:lang w:val="es-ES" w:eastAsia="es-ES"/>
        </w:rPr>
        <w:t>”</w:t>
      </w:r>
    </w:p>
    <w:p w14:paraId="05D14077" w14:textId="77777777" w:rsidR="00AF2D4D" w:rsidRPr="00FA6505" w:rsidRDefault="00AF2D4D" w:rsidP="00AF2D4D">
      <w:pPr>
        <w:spacing w:after="0" w:line="360" w:lineRule="auto"/>
        <w:rPr>
          <w:rFonts w:eastAsia="Times New Roman" w:cs="Tahoma"/>
          <w:bCs/>
          <w:iCs/>
          <w:lang w:val="es-ES" w:eastAsia="es-ES"/>
        </w:rPr>
      </w:pPr>
    </w:p>
    <w:p w14:paraId="47A2C123" w14:textId="77777777" w:rsidR="00AF2D4D" w:rsidRPr="00FA6505" w:rsidRDefault="00AF2D4D" w:rsidP="00AF2D4D">
      <w:pPr>
        <w:spacing w:after="0" w:line="360" w:lineRule="auto"/>
        <w:rPr>
          <w:rFonts w:eastAsia="Times New Roman" w:cs="Tahoma"/>
          <w:bCs/>
          <w:iCs/>
          <w:lang w:val="es-ES" w:eastAsia="es-ES"/>
        </w:rPr>
      </w:pPr>
      <w:r w:rsidRPr="00FA6505">
        <w:rPr>
          <w:rFonts w:eastAsia="Times New Roman" w:cs="Tahoma"/>
          <w:bCs/>
          <w:iCs/>
          <w:lang w:val="es-ES" w:eastAsia="es-ES"/>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14:paraId="49D8467D" w14:textId="77777777" w:rsidR="00AF2D4D" w:rsidRPr="00FA6505" w:rsidRDefault="00AF2D4D" w:rsidP="00AF2D4D">
      <w:pPr>
        <w:spacing w:after="0" w:line="360" w:lineRule="auto"/>
        <w:rPr>
          <w:rFonts w:eastAsia="Times New Roman" w:cs="Tahoma"/>
          <w:bCs/>
          <w:iCs/>
          <w:lang w:val="es-ES" w:eastAsia="es-ES"/>
        </w:rPr>
      </w:pPr>
    </w:p>
    <w:p w14:paraId="0914FD09" w14:textId="77777777" w:rsidR="00AF2D4D" w:rsidRDefault="00AF2D4D" w:rsidP="00AF2D4D">
      <w:pPr>
        <w:spacing w:after="0" w:line="360" w:lineRule="auto"/>
        <w:rPr>
          <w:rFonts w:eastAsia="Times New Roman" w:cs="Tahoma"/>
          <w:lang w:val="es-ES" w:eastAsia="es-ES"/>
        </w:rPr>
      </w:pPr>
      <w:r w:rsidRPr="00FA6505">
        <w:rPr>
          <w:rFonts w:eastAsia="Times New Roman" w:cs="Tahoma"/>
          <w:bCs/>
          <w:iCs/>
          <w:lang w:val="es-ES" w:eastAsia="es-ES"/>
        </w:rPr>
        <w:t xml:space="preserve">Al respecto, </w:t>
      </w:r>
      <w:r w:rsidRPr="00FA6505">
        <w:rPr>
          <w:rFonts w:eastAsia="Times New Roman" w:cs="Tahoma"/>
          <w:lang w:val="es-ES" w:eastAsia="es-ES"/>
        </w:rPr>
        <w:t xml:space="preserve">según Merino, Mauricio (2019), en el “Diccionario de Transparencia y Acceso a la Información Pública” (p. 276), </w:t>
      </w:r>
      <w:r w:rsidRPr="00FA6505">
        <w:rPr>
          <w:rFonts w:eastAsia="Times New Roman" w:cs="Tahoma"/>
          <w:b/>
          <w:lang w:val="es-ES" w:eastAsia="es-ES"/>
        </w:rPr>
        <w:t xml:space="preserve">la rendición de </w:t>
      </w:r>
      <w:proofErr w:type="gramStart"/>
      <w:r w:rsidRPr="00FA6505">
        <w:rPr>
          <w:rFonts w:eastAsia="Times New Roman" w:cs="Tahoma"/>
          <w:b/>
          <w:lang w:val="es-ES" w:eastAsia="es-ES"/>
        </w:rPr>
        <w:t>cuentas,</w:t>
      </w:r>
      <w:proofErr w:type="gramEnd"/>
      <w:r w:rsidRPr="00FA6505">
        <w:rPr>
          <w:rFonts w:eastAsia="Times New Roman" w:cs="Tahoma"/>
          <w:b/>
          <w:lang w:val="es-ES" w:eastAsia="es-ES"/>
        </w:rPr>
        <w:t xml:space="preserve"> </w:t>
      </w:r>
      <w:r w:rsidRPr="00FA6505">
        <w:rPr>
          <w:rFonts w:eastAsia="Times New Roman" w:cs="Tahoma"/>
          <w:lang w:val="es-ES" w:eastAsia="es-ES"/>
        </w:rPr>
        <w:t xml:space="preserve">es un ejercicio de transparencia e información pública; es un medio a través del cual los gobiernos informan al público de sus actividades, </w:t>
      </w:r>
      <w:r w:rsidRPr="00FA6505">
        <w:rPr>
          <w:rFonts w:eastAsia="Times New Roman" w:cs="Tahoma"/>
          <w:b/>
          <w:lang w:val="es-ES" w:eastAsia="es-ES"/>
        </w:rPr>
        <w:t>de los recursos que han ejercido</w:t>
      </w:r>
      <w:r w:rsidRPr="00FA6505">
        <w:rPr>
          <w:rFonts w:eastAsia="Times New Roman" w:cs="Tahoma"/>
          <w:lang w:val="es-ES" w:eastAsia="es-ES"/>
        </w:rPr>
        <w:t xml:space="preserve"> y de los resultados obtenidos.</w:t>
      </w:r>
    </w:p>
    <w:p w14:paraId="3F2D44C4" w14:textId="77777777" w:rsidR="00D9594A" w:rsidRPr="00FA6505" w:rsidRDefault="00D9594A" w:rsidP="00AF2D4D">
      <w:pPr>
        <w:spacing w:after="0" w:line="360" w:lineRule="auto"/>
        <w:rPr>
          <w:rFonts w:eastAsia="Times New Roman" w:cs="Tahoma"/>
          <w:lang w:val="es-ES" w:eastAsia="es-ES"/>
        </w:rPr>
      </w:pPr>
    </w:p>
    <w:p w14:paraId="053BEAA9" w14:textId="77777777" w:rsidR="00AF2D4D" w:rsidRPr="00FA6505" w:rsidRDefault="00AF2D4D" w:rsidP="00AF2D4D">
      <w:pPr>
        <w:spacing w:after="0" w:line="360" w:lineRule="auto"/>
        <w:rPr>
          <w:rFonts w:eastAsia="Times New Roman" w:cs="Tahoma"/>
          <w:bCs/>
          <w:iCs/>
          <w:lang w:val="es-ES" w:eastAsia="es-ES"/>
        </w:rPr>
      </w:pPr>
      <w:r w:rsidRPr="00FA6505">
        <w:rPr>
          <w:rFonts w:eastAsia="Times New Roman" w:cs="Tahoma"/>
          <w:bCs/>
          <w:iCs/>
          <w:lang w:val="es-ES" w:eastAsia="es-ES"/>
        </w:rPr>
        <w:t xml:space="preserve">Además, de manera de referencia, el artículo 6°, fracción XXXVIII, de la Ley de Transparencia, Acceso a la Información Pública y Rendición de Cuentas de la Ciudad de México, establece que la rendición de cuentas, vista desde la perspectiva de la transparencia y acceso a la información, consiste en la potestad del individuo para exigir al poder público, informe y ponga a disposición, las acciones y decisiones emprendidas, así como los </w:t>
      </w:r>
      <w:r w:rsidRPr="00FA6505">
        <w:rPr>
          <w:rFonts w:eastAsia="Times New Roman" w:cs="Tahoma"/>
          <w:bCs/>
          <w:iCs/>
          <w:lang w:val="es-ES" w:eastAsia="es-ES"/>
        </w:rPr>
        <w:lastRenderedPageBreak/>
        <w:t>indicadores que permitan el conocimiento y la forma en que se llevaron a cabo, que incluya los resultados obtenidos.</w:t>
      </w:r>
    </w:p>
    <w:p w14:paraId="66A60532" w14:textId="77777777" w:rsidR="00AF2D4D" w:rsidRPr="00FA6505" w:rsidRDefault="00AF2D4D" w:rsidP="00AF2D4D">
      <w:pPr>
        <w:spacing w:after="0" w:line="360" w:lineRule="auto"/>
        <w:rPr>
          <w:rFonts w:eastAsia="Times New Roman" w:cs="Tahoma"/>
          <w:bCs/>
          <w:iCs/>
          <w:lang w:val="es-ES" w:eastAsia="es-ES"/>
        </w:rPr>
      </w:pPr>
    </w:p>
    <w:p w14:paraId="0A224B06" w14:textId="77777777" w:rsidR="00AF2D4D" w:rsidRPr="00FA6505" w:rsidRDefault="00AF2D4D" w:rsidP="00AF2D4D">
      <w:pPr>
        <w:spacing w:after="0" w:line="360" w:lineRule="auto"/>
        <w:rPr>
          <w:rFonts w:eastAsia="Times New Roman" w:cs="Tahoma"/>
          <w:bCs/>
          <w:iCs/>
          <w:lang w:val="es-ES" w:eastAsia="es-ES"/>
        </w:rPr>
      </w:pPr>
      <w:r w:rsidRPr="00FA6505">
        <w:rPr>
          <w:rFonts w:eastAsia="Times New Roman" w:cs="Tahoma"/>
          <w:bCs/>
          <w:iCs/>
          <w:lang w:val="es-ES" w:eastAsia="es-ES"/>
        </w:rPr>
        <w:t xml:space="preserve">Toma relevancia lo anterior, pues conforme al artículo 2°, fracción VII de la Ley General de Transparencia y Acceso a la Información Pública y 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 </w:t>
      </w:r>
    </w:p>
    <w:p w14:paraId="60A4E252" w14:textId="77777777" w:rsidR="00AF2D4D" w:rsidRPr="00FA6505" w:rsidRDefault="00AF2D4D" w:rsidP="00AF2D4D">
      <w:pPr>
        <w:spacing w:after="0" w:line="360" w:lineRule="auto"/>
        <w:rPr>
          <w:rFonts w:eastAsia="Times New Roman" w:cs="Tahoma"/>
          <w:bCs/>
          <w:iCs/>
          <w:lang w:val="es-ES" w:eastAsia="es-ES"/>
        </w:rPr>
      </w:pPr>
    </w:p>
    <w:p w14:paraId="308B4605" w14:textId="77777777" w:rsidR="00AF2D4D" w:rsidRPr="00FA6505" w:rsidRDefault="00AF2D4D" w:rsidP="00AF2D4D">
      <w:pPr>
        <w:spacing w:after="0" w:line="360" w:lineRule="auto"/>
        <w:rPr>
          <w:rFonts w:eastAsia="Times New Roman" w:cs="Tahoma"/>
          <w:b/>
          <w:iCs/>
          <w:lang w:eastAsia="es-ES"/>
        </w:rPr>
      </w:pPr>
      <w:r w:rsidRPr="00FA6505">
        <w:rPr>
          <w:rFonts w:eastAsia="Times New Roman" w:cs="Tahoma"/>
          <w:bCs/>
          <w:iCs/>
          <w:lang w:eastAsia="es-ES"/>
        </w:rPr>
        <w:t>Conforme a lo anterior, se logra vislumbrar que, en el presente caso, la información solicitada, rinde cuentas de la forma de utilización de los recursos públicos con los que contaba el Sujeto Obligado; por lo que, no procede su clasificación en su totalidad</w:t>
      </w:r>
      <w:r>
        <w:rPr>
          <w:rFonts w:eastAsia="Times New Roman" w:cs="Tahoma"/>
          <w:bCs/>
          <w:iCs/>
          <w:lang w:eastAsia="es-ES"/>
        </w:rPr>
        <w:t xml:space="preserve">, lo cual da como resultado que el agravio sea </w:t>
      </w:r>
      <w:r>
        <w:rPr>
          <w:rFonts w:eastAsia="Times New Roman" w:cs="Tahoma"/>
          <w:b/>
          <w:iCs/>
          <w:lang w:eastAsia="es-ES"/>
        </w:rPr>
        <w:t>FUNDADO.</w:t>
      </w:r>
    </w:p>
    <w:p w14:paraId="6A0A0CAC" w14:textId="77777777" w:rsidR="00AF2D4D" w:rsidRPr="00FA6505" w:rsidRDefault="00AF2D4D" w:rsidP="00AF2D4D">
      <w:pPr>
        <w:spacing w:line="360" w:lineRule="auto"/>
        <w:contextualSpacing/>
        <w:rPr>
          <w:rFonts w:eastAsia="Calibri" w:cs="Tahoma"/>
          <w:bCs/>
          <w:color w:val="0D0D0D" w:themeColor="text1" w:themeTint="F2"/>
          <w:lang w:val="es-ES_tradnl"/>
        </w:rPr>
      </w:pPr>
    </w:p>
    <w:p w14:paraId="1E95210A" w14:textId="77777777" w:rsidR="00AF2D4D" w:rsidRPr="00FA6505" w:rsidRDefault="00AF2D4D" w:rsidP="00AF2D4D">
      <w:pPr>
        <w:spacing w:after="0" w:line="360" w:lineRule="auto"/>
      </w:pPr>
      <w:r w:rsidRPr="00FA6505">
        <w:t xml:space="preserve">En ese contexto, el artículo 137 de la Ley de Transparencia y Acceso a la Información Pública del Estado de México y Municipios y los numerales Segundo, fracción XVIII, y Quincuagésimo sexto de los Lineamientos Generales, establecen que cuando un documento contenga información pública y reservada o confidencial, la Unidad de Transparencia para efectos de atender al requerimiento informativo, </w:t>
      </w:r>
      <w:r w:rsidRPr="00FA6505">
        <w:rPr>
          <w:b/>
          <w:bCs/>
        </w:rPr>
        <w:t xml:space="preserve">deberá elaborar una versión pública </w:t>
      </w:r>
      <w:r w:rsidRPr="00FA6505">
        <w:t>en la que se testen las partes o secciones clasificadas, indicando su contenido de manera genérica y fundando y motivando su clasificación; documento que deberá ser aprobado por el Comité de Transparencia.</w:t>
      </w:r>
    </w:p>
    <w:p w14:paraId="5A214E74" w14:textId="77777777" w:rsidR="00AF2D4D" w:rsidRPr="00FA6505" w:rsidRDefault="00AF2D4D" w:rsidP="00AF2D4D">
      <w:pPr>
        <w:spacing w:after="0" w:line="360" w:lineRule="auto"/>
      </w:pPr>
    </w:p>
    <w:p w14:paraId="4ACB9F77" w14:textId="77777777" w:rsidR="00AF2D4D" w:rsidRPr="00FA6505" w:rsidRDefault="00AF2D4D" w:rsidP="00AF2D4D">
      <w:pPr>
        <w:spacing w:after="0" w:line="360" w:lineRule="auto"/>
      </w:pPr>
      <w:r w:rsidRPr="00FA6505">
        <w:t xml:space="preserve">Como se logra observar, la clasificación total del documento no es la única forma de proteger información localizada en este, pues existe otro procedimiento, en el cual, solamente se testan </w:t>
      </w:r>
      <w:r w:rsidRPr="00FA6505">
        <w:lastRenderedPageBreak/>
        <w:t>las partes que contienen datos o información, denominado versión pública; con lo cual, el Sujeto Obligado podría testar los datos confidenciales y proporcionar el documento que da cuenta de la información solicitada.</w:t>
      </w:r>
    </w:p>
    <w:p w14:paraId="00B18495" w14:textId="77777777" w:rsidR="00AF2D4D" w:rsidRPr="00FA6505" w:rsidRDefault="00AF2D4D" w:rsidP="00AF2D4D">
      <w:pPr>
        <w:spacing w:after="0" w:line="360" w:lineRule="auto"/>
      </w:pPr>
    </w:p>
    <w:p w14:paraId="3537EE45" w14:textId="445A8E6A" w:rsidR="00AF2D4D" w:rsidRPr="00FA6505" w:rsidRDefault="00AF2D4D" w:rsidP="00AF2D4D">
      <w:pPr>
        <w:spacing w:after="0" w:line="360" w:lineRule="auto"/>
      </w:pPr>
      <w:r w:rsidRPr="00FA6505">
        <w:t xml:space="preserve">Así, este Instituto considera que para atender el requerimiento de información, el Sujeto Obligado deberá realizar una búsqueda exhaustiva y razonable en todas la áreas competentes, entre las cuales no podrá omitir a la </w:t>
      </w:r>
      <w:r w:rsidRPr="00FA6505">
        <w:rPr>
          <w:b/>
          <w:bCs/>
        </w:rPr>
        <w:t xml:space="preserve">Tesorería Municipal, </w:t>
      </w:r>
      <w:r w:rsidRPr="00FA6505">
        <w:t xml:space="preserve">a efecto de que proporcione </w:t>
      </w:r>
      <w:r>
        <w:t xml:space="preserve">los comprobantes de pago </w:t>
      </w:r>
      <w:r w:rsidR="002732E4">
        <w:t>solicitados</w:t>
      </w:r>
      <w:r w:rsidRPr="00FA6505">
        <w:t>;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3DBC9201" w14:textId="77777777" w:rsidR="00AF2D4D" w:rsidRPr="00FA6505" w:rsidRDefault="00AF2D4D" w:rsidP="00AF2D4D">
      <w:pPr>
        <w:spacing w:after="0" w:line="360" w:lineRule="auto"/>
      </w:pPr>
    </w:p>
    <w:p w14:paraId="0639F38A" w14:textId="77777777" w:rsidR="00AF2D4D" w:rsidRPr="00FA6505" w:rsidRDefault="00AF2D4D" w:rsidP="00AF2D4D">
      <w:pPr>
        <w:spacing w:after="0" w:line="360" w:lineRule="auto"/>
      </w:pPr>
      <w:r w:rsidRPr="00FA6505">
        <w:t xml:space="preserve">De esta manera, el derecho de acceso a la información pública se satisface en aquellos casos en que se entregue el soporte documental en el que conste la información solicitada, sin necesidad de elaborar documentos </w:t>
      </w:r>
      <w:r w:rsidRPr="00FA6505">
        <w:rPr>
          <w:i/>
          <w:iCs/>
        </w:rPr>
        <w:t>ad hoc</w:t>
      </w:r>
      <w:r w:rsidRPr="00FA6505">
        <w:t>; lo cual, de conformidad con en el artículo 160 de la Ley de Transparencia y Acceso a la Información Pública del Estado de México y Municipios, el cual refiere que los sujetos obligados deberán entregar la información que obre en sus archivos.</w:t>
      </w:r>
    </w:p>
    <w:p w14:paraId="7840B5B8" w14:textId="77777777" w:rsidR="00AF2D4D" w:rsidRPr="00FA6505" w:rsidRDefault="00AF2D4D" w:rsidP="00AF2D4D">
      <w:pPr>
        <w:spacing w:after="0" w:line="360" w:lineRule="auto"/>
      </w:pPr>
    </w:p>
    <w:p w14:paraId="0CC65D90" w14:textId="77777777" w:rsidR="00D9594A" w:rsidRDefault="00D9594A" w:rsidP="00D9594A">
      <w:pPr>
        <w:spacing w:after="0" w:line="360" w:lineRule="auto"/>
      </w:pPr>
      <w: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31001A3B" w14:textId="77777777" w:rsidR="00D9594A" w:rsidRDefault="00D9594A" w:rsidP="00D9594A">
      <w:pPr>
        <w:spacing w:after="0" w:line="360" w:lineRule="auto"/>
        <w:rPr>
          <w:color w:val="000000"/>
        </w:rPr>
      </w:pPr>
    </w:p>
    <w:p w14:paraId="6BFB16C2" w14:textId="77777777" w:rsidR="00D9594A" w:rsidRDefault="00D9594A" w:rsidP="00D9594A">
      <w:pPr>
        <w:numPr>
          <w:ilvl w:val="0"/>
          <w:numId w:val="29"/>
        </w:numPr>
        <w:spacing w:after="0" w:line="360" w:lineRule="auto"/>
        <w:ind w:left="993" w:hanging="426"/>
        <w:jc w:val="left"/>
        <w:rPr>
          <w:color w:val="000000"/>
        </w:rPr>
      </w:pPr>
      <w:r>
        <w:rPr>
          <w:color w:val="000000"/>
        </w:rPr>
        <w:t>Clave y cuenta interbancaria;</w:t>
      </w:r>
    </w:p>
    <w:p w14:paraId="1AA4FBB4" w14:textId="77777777" w:rsidR="00D9594A" w:rsidRDefault="00D9594A" w:rsidP="00D9594A">
      <w:pPr>
        <w:numPr>
          <w:ilvl w:val="0"/>
          <w:numId w:val="29"/>
        </w:numPr>
        <w:spacing w:after="0" w:line="360" w:lineRule="auto"/>
        <w:ind w:left="993" w:hanging="426"/>
        <w:jc w:val="left"/>
        <w:rPr>
          <w:color w:val="000000"/>
        </w:rPr>
      </w:pPr>
      <w:r>
        <w:rPr>
          <w:color w:val="000000"/>
        </w:rPr>
        <w:lastRenderedPageBreak/>
        <w:t>Nombre de beneficiarios;</w:t>
      </w:r>
    </w:p>
    <w:p w14:paraId="4658D92B" w14:textId="77777777" w:rsidR="00D9594A" w:rsidRDefault="00D9594A" w:rsidP="00D9594A">
      <w:pPr>
        <w:numPr>
          <w:ilvl w:val="0"/>
          <w:numId w:val="29"/>
        </w:numPr>
        <w:spacing w:after="0" w:line="360" w:lineRule="auto"/>
        <w:ind w:left="993" w:hanging="426"/>
        <w:jc w:val="left"/>
        <w:rPr>
          <w:color w:val="000000"/>
        </w:rPr>
      </w:pPr>
      <w:r>
        <w:rPr>
          <w:color w:val="000000"/>
        </w:rPr>
        <w:t>Registro Federal de Contribuyentes (RFC) de servidores públicos, proveedores o contratistas;</w:t>
      </w:r>
    </w:p>
    <w:p w14:paraId="599029FA" w14:textId="77777777" w:rsidR="00D9594A" w:rsidRDefault="00D9594A" w:rsidP="00D9594A">
      <w:pPr>
        <w:numPr>
          <w:ilvl w:val="0"/>
          <w:numId w:val="29"/>
        </w:numPr>
        <w:spacing w:after="0" w:line="360" w:lineRule="auto"/>
        <w:ind w:left="993" w:hanging="426"/>
        <w:jc w:val="left"/>
        <w:rPr>
          <w:color w:val="000000"/>
        </w:rPr>
      </w:pPr>
      <w:r>
        <w:rPr>
          <w:color w:val="000000"/>
        </w:rPr>
        <w:t xml:space="preserve">Firma (proveedor, contratista o representante legal), y </w:t>
      </w:r>
    </w:p>
    <w:p w14:paraId="0AA7301E" w14:textId="77777777" w:rsidR="00D9594A" w:rsidRDefault="00D9594A" w:rsidP="00D9594A">
      <w:pPr>
        <w:numPr>
          <w:ilvl w:val="0"/>
          <w:numId w:val="29"/>
        </w:numPr>
        <w:spacing w:after="0" w:line="360" w:lineRule="auto"/>
        <w:ind w:left="993" w:hanging="426"/>
        <w:jc w:val="left"/>
        <w:rPr>
          <w:color w:val="000000"/>
        </w:rPr>
      </w:pPr>
      <w:r>
        <w:rPr>
          <w:color w:val="000000"/>
        </w:rPr>
        <w:t>Domicilio Fiscal del proveedor o contratista.</w:t>
      </w:r>
    </w:p>
    <w:p w14:paraId="4AEDAFA3" w14:textId="77777777" w:rsidR="00D9594A" w:rsidRDefault="00D9594A" w:rsidP="00D9594A">
      <w:pPr>
        <w:spacing w:after="0" w:line="360" w:lineRule="auto"/>
        <w:rPr>
          <w:color w:val="FF0000"/>
        </w:rPr>
      </w:pPr>
    </w:p>
    <w:p w14:paraId="1B77D7A9" w14:textId="77777777" w:rsidR="00D9594A" w:rsidRDefault="00D9594A" w:rsidP="00D9594A">
      <w:pPr>
        <w:spacing w:after="0" w:line="360" w:lineRule="auto"/>
        <w:ind w:right="-28"/>
        <w:rPr>
          <w:color w:val="000000"/>
        </w:rPr>
      </w:pPr>
      <w:r>
        <w:rPr>
          <w:color w:val="000000"/>
        </w:rPr>
        <w:t>De lo anterior, resulta procedente analizar si dichos datos son públicos o privados; para lo cual, el artículo 143, fracción I, de la Ley previamente citada, establece que la información privada y los datos personales, concernientes a una persona física o jurídica colectiva identificada o identificable son confidenciales.</w:t>
      </w:r>
    </w:p>
    <w:p w14:paraId="5F9920E5" w14:textId="77777777" w:rsidR="00D9594A" w:rsidRDefault="00D9594A" w:rsidP="00D9594A">
      <w:pPr>
        <w:spacing w:after="0" w:line="360" w:lineRule="auto"/>
        <w:rPr>
          <w:color w:val="000000"/>
        </w:rPr>
      </w:pPr>
    </w:p>
    <w:p w14:paraId="108FDB5E" w14:textId="77777777" w:rsidR="00D9594A" w:rsidRDefault="00D9594A" w:rsidP="00D9594A">
      <w:pPr>
        <w:spacing w:after="0" w:line="360" w:lineRule="auto"/>
        <w:rPr>
          <w:color w:val="000000"/>
        </w:rPr>
      </w:pPr>
      <w:r>
        <w:rPr>
          <w:color w:val="000000"/>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Pr>
          <w:color w:val="000000"/>
        </w:rPr>
        <w:t>ii</w:t>
      </w:r>
      <w:proofErr w:type="spellEnd"/>
      <w:r>
        <w:rPr>
          <w:color w:val="000000"/>
        </w:rPr>
        <w:t xml:space="preserve">) por ley tenga el carácter de pública, </w:t>
      </w:r>
      <w:proofErr w:type="spellStart"/>
      <w:r>
        <w:rPr>
          <w:color w:val="000000"/>
        </w:rPr>
        <w:t>iii</w:t>
      </w:r>
      <w:proofErr w:type="spellEnd"/>
      <w:r>
        <w:rPr>
          <w:color w:val="000000"/>
        </w:rPr>
        <w:t xml:space="preserve">) exista una orden judicial, </w:t>
      </w:r>
      <w:proofErr w:type="spellStart"/>
      <w:r>
        <w:rPr>
          <w:color w:val="000000"/>
        </w:rPr>
        <w:t>iv</w:t>
      </w:r>
      <w:proofErr w:type="spellEnd"/>
      <w:r>
        <w:rPr>
          <w:color w:val="000000"/>
        </w:rPr>
        <w:t>) por razones de seguridad nacional y salubridad general o v) para proteger los derechos de terceros o cuando se transmita entre sujetos obligados en términos de los tratados y los acuerdos interinstitucionales.</w:t>
      </w:r>
    </w:p>
    <w:p w14:paraId="79DF6762" w14:textId="77777777" w:rsidR="00D9594A" w:rsidRDefault="00D9594A" w:rsidP="00D9594A">
      <w:pPr>
        <w:spacing w:after="0" w:line="360" w:lineRule="auto"/>
        <w:rPr>
          <w:color w:val="000000"/>
        </w:rPr>
      </w:pPr>
    </w:p>
    <w:p w14:paraId="0A8E0A53" w14:textId="77777777" w:rsidR="00D9594A" w:rsidRDefault="00D9594A" w:rsidP="00D9594A">
      <w:pPr>
        <w:spacing w:after="0" w:line="360" w:lineRule="auto"/>
        <w:rPr>
          <w:color w:val="000000"/>
        </w:rPr>
      </w:pPr>
      <w:r>
        <w:rPr>
          <w:color w:val="000000"/>
        </w:rPr>
        <w:t>En términos de lo expuesto, la documentación y aquellos datos que se consideren confidenciales, serán una limitante del derecho de acceso a la información, siempre y cuando:</w:t>
      </w:r>
    </w:p>
    <w:p w14:paraId="062EBF0A" w14:textId="77777777" w:rsidR="00D9594A" w:rsidRDefault="00D9594A" w:rsidP="00D9594A">
      <w:pPr>
        <w:spacing w:after="0" w:line="360" w:lineRule="auto"/>
        <w:rPr>
          <w:color w:val="000000"/>
        </w:rPr>
      </w:pPr>
    </w:p>
    <w:p w14:paraId="4A638E8A" w14:textId="77777777" w:rsidR="00D9594A" w:rsidRDefault="00D9594A" w:rsidP="00D9594A">
      <w:pPr>
        <w:numPr>
          <w:ilvl w:val="0"/>
          <w:numId w:val="30"/>
        </w:numPr>
        <w:spacing w:after="0" w:line="360" w:lineRule="auto"/>
        <w:rPr>
          <w:color w:val="000000"/>
        </w:rPr>
      </w:pPr>
      <w:r>
        <w:rPr>
          <w:color w:val="000000"/>
        </w:rPr>
        <w:t xml:space="preserve">Se trate de datos personales o información privada; esto es, información concerniente a una persona física o jurídico colectiva y que esta sea identificada o identificable. </w:t>
      </w:r>
    </w:p>
    <w:p w14:paraId="68602EE7" w14:textId="77777777" w:rsidR="00D9594A" w:rsidRDefault="00D9594A" w:rsidP="00D9594A">
      <w:pPr>
        <w:numPr>
          <w:ilvl w:val="0"/>
          <w:numId w:val="30"/>
        </w:numPr>
        <w:spacing w:after="0" w:line="360" w:lineRule="auto"/>
        <w:jc w:val="left"/>
        <w:rPr>
          <w:color w:val="000000"/>
        </w:rPr>
      </w:pPr>
      <w:r>
        <w:rPr>
          <w:color w:val="000000"/>
        </w:rPr>
        <w:t xml:space="preserve">Para la difusión de los datos, se requiera el consentimiento del titular. </w:t>
      </w:r>
    </w:p>
    <w:p w14:paraId="4CF44DE7" w14:textId="77777777" w:rsidR="00D9594A" w:rsidRDefault="00D9594A" w:rsidP="00D9594A">
      <w:pPr>
        <w:spacing w:after="0" w:line="360" w:lineRule="auto"/>
        <w:rPr>
          <w:color w:val="000000"/>
        </w:rPr>
      </w:pPr>
    </w:p>
    <w:p w14:paraId="535D65AB" w14:textId="77777777" w:rsidR="00D9594A" w:rsidRDefault="00D9594A" w:rsidP="00D9594A">
      <w:pPr>
        <w:spacing w:after="0" w:line="360" w:lineRule="auto"/>
        <w:rPr>
          <w:color w:val="000000"/>
        </w:rPr>
      </w:pPr>
      <w:r>
        <w:rPr>
          <w:color w:val="000000"/>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112274A" w14:textId="77777777" w:rsidR="00D9594A" w:rsidRDefault="00D9594A" w:rsidP="00D9594A">
      <w:pPr>
        <w:spacing w:after="0" w:line="360" w:lineRule="auto"/>
        <w:rPr>
          <w:color w:val="000000"/>
        </w:rPr>
      </w:pPr>
    </w:p>
    <w:p w14:paraId="707A1760" w14:textId="77777777" w:rsidR="00D9594A" w:rsidRDefault="00D9594A" w:rsidP="00D9594A">
      <w:pPr>
        <w:spacing w:after="0" w:line="360" w:lineRule="auto"/>
        <w:rPr>
          <w:color w:val="000000"/>
        </w:rPr>
      </w:pPr>
      <w:r>
        <w:rPr>
          <w:color w:val="000000"/>
        </w:rPr>
        <w:t>Además, en el artículo 5° de dicho ordenamiento jurídico, establece que es la Ley aplicable para todo tratamiento de datos personales.</w:t>
      </w:r>
    </w:p>
    <w:p w14:paraId="16DFA162" w14:textId="77777777" w:rsidR="00D9594A" w:rsidRDefault="00D9594A" w:rsidP="00D9594A">
      <w:pPr>
        <w:spacing w:after="0" w:line="360" w:lineRule="auto"/>
        <w:rPr>
          <w:color w:val="000000"/>
        </w:rPr>
      </w:pPr>
    </w:p>
    <w:p w14:paraId="1C3EE879" w14:textId="77777777" w:rsidR="00D9594A" w:rsidRDefault="00D9594A" w:rsidP="00D9594A">
      <w:pPr>
        <w:spacing w:after="0" w:line="360" w:lineRule="auto"/>
        <w:rPr>
          <w:color w:val="000000"/>
        </w:rPr>
      </w:pPr>
      <w:r>
        <w:rPr>
          <w:color w:val="000000"/>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4692274" w14:textId="77777777" w:rsidR="00D9594A" w:rsidRDefault="00D9594A" w:rsidP="00D9594A">
      <w:pPr>
        <w:spacing w:after="0" w:line="360" w:lineRule="auto"/>
        <w:rPr>
          <w:color w:val="000000"/>
        </w:rPr>
      </w:pPr>
    </w:p>
    <w:p w14:paraId="405B9455" w14:textId="77777777" w:rsidR="00D9594A" w:rsidRDefault="00D9594A" w:rsidP="00D9594A">
      <w:pPr>
        <w:spacing w:after="0" w:line="360" w:lineRule="auto"/>
        <w:rPr>
          <w:color w:val="000000"/>
        </w:rPr>
      </w:pPr>
      <w:r>
        <w:rPr>
          <w:color w:val="000000"/>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145652B4" w14:textId="77777777" w:rsidR="00D9594A" w:rsidRDefault="00D9594A" w:rsidP="00D9594A">
      <w:pPr>
        <w:spacing w:after="0" w:line="360" w:lineRule="auto"/>
        <w:rPr>
          <w:color w:val="000000"/>
        </w:rPr>
      </w:pPr>
    </w:p>
    <w:p w14:paraId="4EAF845A" w14:textId="77777777" w:rsidR="00D9594A" w:rsidRDefault="00D9594A" w:rsidP="00D9594A">
      <w:pPr>
        <w:numPr>
          <w:ilvl w:val="0"/>
          <w:numId w:val="31"/>
        </w:numPr>
        <w:spacing w:after="0" w:line="360" w:lineRule="auto"/>
        <w:contextualSpacing/>
        <w:rPr>
          <w:rFonts w:eastAsia="Times New Roman" w:cs="Times New Roman"/>
          <w:b/>
          <w:color w:val="0D0D0D"/>
          <w:szCs w:val="24"/>
          <w:lang w:eastAsia="es-ES"/>
        </w:rPr>
      </w:pPr>
      <w:r>
        <w:rPr>
          <w:rFonts w:eastAsia="Times New Roman" w:cs="Times New Roman"/>
          <w:b/>
          <w:color w:val="0D0D0D"/>
          <w:szCs w:val="24"/>
          <w:lang w:eastAsia="es-ES"/>
        </w:rPr>
        <w:lastRenderedPageBreak/>
        <w:t>Nombre de personas físicas empleados, proveedores, contratistas y que recibieron recursos públicos por cualquier motivo (beneficiarios).</w:t>
      </w:r>
    </w:p>
    <w:p w14:paraId="3E755D0B" w14:textId="77777777" w:rsidR="00D9594A" w:rsidRDefault="00D9594A" w:rsidP="00D9594A">
      <w:pPr>
        <w:spacing w:after="0" w:line="360" w:lineRule="auto"/>
        <w:rPr>
          <w:color w:val="0D0D0D"/>
        </w:rPr>
      </w:pPr>
    </w:p>
    <w:p w14:paraId="377F3B80" w14:textId="77777777" w:rsidR="00D9594A" w:rsidRDefault="00D9594A" w:rsidP="00D9594A">
      <w:pPr>
        <w:spacing w:after="0" w:line="360" w:lineRule="auto"/>
        <w:rPr>
          <w:color w:val="0D0D0D"/>
        </w:rPr>
      </w:pPr>
      <w:r>
        <w:rPr>
          <w:color w:val="0D0D0D"/>
        </w:rPr>
        <w:t>Al respecto, cabe precisar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w:t>
      </w:r>
    </w:p>
    <w:p w14:paraId="271A6270" w14:textId="77777777" w:rsidR="00D9594A" w:rsidRDefault="00D9594A" w:rsidP="00D9594A">
      <w:pPr>
        <w:spacing w:after="0" w:line="360" w:lineRule="auto"/>
        <w:rPr>
          <w:color w:val="0D0D0D"/>
        </w:rPr>
      </w:pPr>
    </w:p>
    <w:p w14:paraId="3A3F1A5C" w14:textId="77777777" w:rsidR="00D9594A" w:rsidRDefault="00D9594A" w:rsidP="00D9594A">
      <w:pPr>
        <w:spacing w:after="0" w:line="360" w:lineRule="auto"/>
        <w:rPr>
          <w:color w:val="0D0D0D"/>
        </w:rPr>
      </w:pPr>
      <w:r>
        <w:rPr>
          <w:color w:val="0D0D0D"/>
        </w:rPr>
        <w:t>En ese contexto,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los nombres de servidores públicos (empleados) o de aquellos que reciben recursos públicos (proveedores y que brindaron apoyo dentro del Sujeto Obligado), ya que la difusión de dicho dato constituye una obligación de transparencia por parte de los sujetos obligados.</w:t>
      </w:r>
    </w:p>
    <w:p w14:paraId="21E313B1" w14:textId="77777777" w:rsidR="00D9594A" w:rsidRDefault="00D9594A" w:rsidP="00D9594A">
      <w:pPr>
        <w:spacing w:after="0" w:line="360" w:lineRule="auto"/>
        <w:rPr>
          <w:color w:val="0D0D0D"/>
        </w:rPr>
      </w:pPr>
    </w:p>
    <w:p w14:paraId="1F771FBB" w14:textId="77777777" w:rsidR="00D9594A" w:rsidRDefault="00D9594A" w:rsidP="00D9594A">
      <w:pPr>
        <w:spacing w:after="0" w:line="360" w:lineRule="auto"/>
        <w:rPr>
          <w:color w:val="0D0D0D"/>
        </w:rPr>
      </w:pPr>
      <w:r>
        <w:rPr>
          <w:color w:val="0D0D0D"/>
        </w:rPr>
        <w:t>Toma sustento con el artículo 92, fracciones VII, XXXI y XXXVI,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el nombre del servidor público; así como, el Padrón de proveedores y contratistas y el listado de personas físicas o jurídico-colectivas, que por cualquier motivo se les asignaron recursos públicos.</w:t>
      </w:r>
    </w:p>
    <w:p w14:paraId="380905C7" w14:textId="77777777" w:rsidR="00D9594A" w:rsidRDefault="00D9594A" w:rsidP="00D9594A">
      <w:pPr>
        <w:spacing w:after="0" w:line="360" w:lineRule="auto"/>
        <w:rPr>
          <w:color w:val="0D0D0D"/>
        </w:rPr>
      </w:pPr>
    </w:p>
    <w:p w14:paraId="4D2F69A6" w14:textId="77777777" w:rsidR="00D9594A" w:rsidRDefault="00D9594A" w:rsidP="00D9594A">
      <w:pPr>
        <w:spacing w:after="0" w:line="360" w:lineRule="auto"/>
        <w:rPr>
          <w:color w:val="0D0D0D"/>
        </w:rPr>
      </w:pPr>
      <w:r>
        <w:rPr>
          <w:color w:val="0D0D0D"/>
        </w:rPr>
        <w:lastRenderedPageBreak/>
        <w:t>Además, se robustece a manera de analogía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 a la fecha de la solicitud, que deben de difundir los sujetos obligados en los portales de Internet y en la Plataforma Nacional de Transparencia, tal como se muestran a continuación:</w:t>
      </w:r>
    </w:p>
    <w:p w14:paraId="2EF4F4A6" w14:textId="77777777" w:rsidR="00D9594A" w:rsidRDefault="00D9594A" w:rsidP="00D9594A">
      <w:pPr>
        <w:spacing w:after="0" w:line="360" w:lineRule="auto"/>
        <w:rPr>
          <w:color w:val="0D0D0D"/>
        </w:rPr>
      </w:pPr>
    </w:p>
    <w:p w14:paraId="065A5B00" w14:textId="03CF0B2A" w:rsidR="00D9594A" w:rsidRDefault="00D9594A" w:rsidP="00D9594A">
      <w:pPr>
        <w:spacing w:after="0" w:line="360" w:lineRule="auto"/>
        <w:jc w:val="center"/>
        <w:rPr>
          <w:color w:val="0D0D0D"/>
        </w:rPr>
      </w:pPr>
      <w:r>
        <w:rPr>
          <w:noProof/>
        </w:rPr>
        <w:drawing>
          <wp:inline distT="0" distB="0" distL="0" distR="0" wp14:anchorId="6DF546DD" wp14:editId="0EFC6583">
            <wp:extent cx="5353050" cy="1123950"/>
            <wp:effectExtent l="0" t="0" r="0" b="0"/>
            <wp:docPr id="1435055661" name="Imagen 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Tabl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t="4538"/>
                    <a:stretch>
                      <a:fillRect/>
                    </a:stretch>
                  </pic:blipFill>
                  <pic:spPr bwMode="auto">
                    <a:xfrm>
                      <a:off x="0" y="0"/>
                      <a:ext cx="5353050" cy="1123950"/>
                    </a:xfrm>
                    <a:prstGeom prst="rect">
                      <a:avLst/>
                    </a:prstGeom>
                    <a:noFill/>
                    <a:ln>
                      <a:noFill/>
                    </a:ln>
                  </pic:spPr>
                </pic:pic>
              </a:graphicData>
            </a:graphic>
          </wp:inline>
        </w:drawing>
      </w:r>
    </w:p>
    <w:p w14:paraId="5361C88B" w14:textId="77777777" w:rsidR="00D9594A" w:rsidRDefault="00D9594A" w:rsidP="00D9594A">
      <w:pPr>
        <w:spacing w:after="0" w:line="360" w:lineRule="auto"/>
        <w:rPr>
          <w:color w:val="0D0D0D"/>
        </w:rPr>
      </w:pPr>
    </w:p>
    <w:p w14:paraId="69576984" w14:textId="52CFFCEC" w:rsidR="00D9594A" w:rsidRDefault="00D9594A" w:rsidP="00D9594A">
      <w:pPr>
        <w:spacing w:after="0" w:line="360" w:lineRule="auto"/>
        <w:jc w:val="center"/>
        <w:rPr>
          <w:color w:val="0D0D0D"/>
        </w:rPr>
      </w:pPr>
      <w:r>
        <w:rPr>
          <w:noProof/>
        </w:rPr>
        <w:drawing>
          <wp:inline distT="0" distB="0" distL="0" distR="0" wp14:anchorId="75AC7987" wp14:editId="243CFD59">
            <wp:extent cx="5486400" cy="714375"/>
            <wp:effectExtent l="0" t="0" r="0" b="9525"/>
            <wp:docPr id="7391516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b="84505"/>
                    <a:stretch>
                      <a:fillRect/>
                    </a:stretch>
                  </pic:blipFill>
                  <pic:spPr bwMode="auto">
                    <a:xfrm>
                      <a:off x="0" y="0"/>
                      <a:ext cx="5486400" cy="714375"/>
                    </a:xfrm>
                    <a:prstGeom prst="rect">
                      <a:avLst/>
                    </a:prstGeom>
                    <a:noFill/>
                    <a:ln>
                      <a:noFill/>
                    </a:ln>
                  </pic:spPr>
                </pic:pic>
              </a:graphicData>
            </a:graphic>
          </wp:inline>
        </w:drawing>
      </w:r>
    </w:p>
    <w:p w14:paraId="5977D1CE" w14:textId="33778400" w:rsidR="00D9594A" w:rsidRDefault="00D9594A" w:rsidP="00D9594A">
      <w:pPr>
        <w:spacing w:after="0" w:line="360" w:lineRule="auto"/>
        <w:jc w:val="center"/>
        <w:rPr>
          <w:color w:val="0D0D0D"/>
        </w:rPr>
      </w:pPr>
      <w:r>
        <w:rPr>
          <w:noProof/>
        </w:rPr>
        <w:drawing>
          <wp:inline distT="0" distB="0" distL="0" distR="0" wp14:anchorId="74BF29F3" wp14:editId="038F81E9">
            <wp:extent cx="5400675" cy="466725"/>
            <wp:effectExtent l="0" t="0" r="9525" b="9525"/>
            <wp:docPr id="188375843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0">
                      <a:extLst>
                        <a:ext uri="{28A0092B-C50C-407E-A947-70E740481C1C}">
                          <a14:useLocalDpi xmlns:a14="http://schemas.microsoft.com/office/drawing/2010/main" val="0"/>
                        </a:ext>
                      </a:extLst>
                    </a:blip>
                    <a:srcRect t="89838" b="-38"/>
                    <a:stretch>
                      <a:fillRect/>
                    </a:stretch>
                  </pic:blipFill>
                  <pic:spPr bwMode="auto">
                    <a:xfrm>
                      <a:off x="0" y="0"/>
                      <a:ext cx="5400675" cy="466725"/>
                    </a:xfrm>
                    <a:prstGeom prst="rect">
                      <a:avLst/>
                    </a:prstGeom>
                    <a:noFill/>
                    <a:ln>
                      <a:noFill/>
                    </a:ln>
                  </pic:spPr>
                </pic:pic>
              </a:graphicData>
            </a:graphic>
          </wp:inline>
        </w:drawing>
      </w:r>
    </w:p>
    <w:p w14:paraId="64B8B868" w14:textId="77777777" w:rsidR="00D9594A" w:rsidRDefault="00D9594A" w:rsidP="00D9594A">
      <w:pPr>
        <w:spacing w:after="0" w:line="360" w:lineRule="auto"/>
        <w:rPr>
          <w:color w:val="0D0D0D"/>
        </w:rPr>
      </w:pPr>
    </w:p>
    <w:p w14:paraId="1D874F31" w14:textId="1B738AEF" w:rsidR="00D9594A" w:rsidRDefault="00D9594A" w:rsidP="00D9594A">
      <w:pPr>
        <w:spacing w:after="0" w:line="360" w:lineRule="auto"/>
        <w:jc w:val="center"/>
        <w:rPr>
          <w:color w:val="0D0D0D"/>
        </w:rPr>
      </w:pPr>
      <w:r>
        <w:rPr>
          <w:noProof/>
        </w:rPr>
        <w:drawing>
          <wp:inline distT="0" distB="0" distL="0" distR="0" wp14:anchorId="64B93D7F" wp14:editId="23309FEA">
            <wp:extent cx="5372100" cy="1590675"/>
            <wp:effectExtent l="0" t="0" r="0" b="9525"/>
            <wp:docPr id="34889557"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Tabl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72100" cy="1590675"/>
                    </a:xfrm>
                    <a:prstGeom prst="rect">
                      <a:avLst/>
                    </a:prstGeom>
                    <a:noFill/>
                    <a:ln>
                      <a:noFill/>
                    </a:ln>
                  </pic:spPr>
                </pic:pic>
              </a:graphicData>
            </a:graphic>
          </wp:inline>
        </w:drawing>
      </w:r>
    </w:p>
    <w:p w14:paraId="6AF5C35F" w14:textId="77777777" w:rsidR="00D9594A" w:rsidRDefault="00D9594A" w:rsidP="00D9594A">
      <w:pPr>
        <w:spacing w:after="0" w:line="360" w:lineRule="auto"/>
        <w:rPr>
          <w:color w:val="0D0D0D"/>
        </w:rPr>
      </w:pPr>
      <w:r>
        <w:rPr>
          <w:color w:val="0D0D0D"/>
        </w:rPr>
        <w:t xml:space="preserve"> </w:t>
      </w:r>
    </w:p>
    <w:p w14:paraId="7154F2AB" w14:textId="77777777" w:rsidR="00D9594A" w:rsidRDefault="00D9594A" w:rsidP="00D9594A">
      <w:pPr>
        <w:spacing w:after="0" w:line="360" w:lineRule="auto"/>
        <w:rPr>
          <w:color w:val="0D0D0D"/>
        </w:rPr>
      </w:pPr>
      <w:r>
        <w:rPr>
          <w:color w:val="0D0D0D"/>
        </w:rPr>
        <w:t xml:space="preserve">Por lo tanto, la Ley de Transparencia y Acceso a la Información Pública del Estado de México y Municipios, considera que los datos de servidores públicos y de aquellas personas que </w:t>
      </w:r>
      <w:r>
        <w:rPr>
          <w:color w:val="0D0D0D"/>
        </w:rPr>
        <w:lastRenderedPageBreak/>
        <w:t>recibieron recursos públicos, por regla general, son de naturaleza pública, ya que su publicidad orienta a cumplir los objetivos que persigue la Ley; toda vez, que ayuda a transparentar a quienes se les han otorgado recursos públicos, así como, porque razones se les otorgaron dichos montos.</w:t>
      </w:r>
    </w:p>
    <w:p w14:paraId="62EE7E55" w14:textId="77777777" w:rsidR="00D9594A" w:rsidRDefault="00D9594A" w:rsidP="00D9594A">
      <w:pPr>
        <w:spacing w:after="0" w:line="360" w:lineRule="auto"/>
        <w:rPr>
          <w:color w:val="0D0D0D"/>
        </w:rPr>
      </w:pPr>
    </w:p>
    <w:p w14:paraId="72717897" w14:textId="77777777" w:rsidR="00D9594A" w:rsidRDefault="00D9594A" w:rsidP="00D9594A">
      <w:pPr>
        <w:spacing w:after="0" w:line="360" w:lineRule="auto"/>
        <w:rPr>
          <w:color w:val="0D0D0D"/>
        </w:rPr>
      </w:pPr>
      <w:r>
        <w:rPr>
          <w:color w:val="0D0D0D"/>
        </w:rPr>
        <w:t>Por lo que, se considera que no procede la clasificación del nombre de los proveedores, contratistas, empleados y personas que recibieron recursos públicos (beneficiarios), en términos del artículo 143, fracción I de la Ley de Transparencia y Acceso a la Información Pública del Estado de México y Municipios.</w:t>
      </w:r>
    </w:p>
    <w:p w14:paraId="062C2069" w14:textId="77777777" w:rsidR="00D9594A" w:rsidRDefault="00D9594A" w:rsidP="00D9594A">
      <w:pPr>
        <w:spacing w:after="0" w:line="360" w:lineRule="auto"/>
        <w:rPr>
          <w:color w:val="0D0D0D"/>
        </w:rPr>
      </w:pPr>
    </w:p>
    <w:p w14:paraId="65E410D1" w14:textId="77777777" w:rsidR="00D9594A" w:rsidRDefault="00D9594A" w:rsidP="00D9594A">
      <w:pPr>
        <w:numPr>
          <w:ilvl w:val="0"/>
          <w:numId w:val="32"/>
        </w:numPr>
        <w:spacing w:after="0" w:line="360" w:lineRule="auto"/>
        <w:contextualSpacing/>
        <w:rPr>
          <w:rFonts w:eastAsia="Times New Roman" w:cs="Times New Roman"/>
          <w:b/>
          <w:color w:val="0D0D0D"/>
          <w:szCs w:val="24"/>
          <w:lang w:eastAsia="es-ES"/>
        </w:rPr>
      </w:pPr>
      <w:r>
        <w:rPr>
          <w:rFonts w:eastAsia="Times New Roman" w:cs="Times New Roman"/>
          <w:b/>
          <w:color w:val="0D0D0D"/>
          <w:szCs w:val="24"/>
          <w:lang w:eastAsia="es-ES"/>
        </w:rPr>
        <w:t>Cuenta bancaria y clave interbancaria de personas físicas o morales (particulares, servidores públicos, proveedores, contratistas, entre otros)</w:t>
      </w:r>
    </w:p>
    <w:p w14:paraId="7966165C" w14:textId="77777777" w:rsidR="00D9594A" w:rsidRDefault="00D9594A" w:rsidP="00D9594A">
      <w:pPr>
        <w:spacing w:after="0" w:line="360" w:lineRule="auto"/>
        <w:rPr>
          <w:color w:val="0D0D0D"/>
        </w:rPr>
      </w:pPr>
    </w:p>
    <w:p w14:paraId="5C74D1F6" w14:textId="77777777" w:rsidR="00D9594A" w:rsidRDefault="00D9594A" w:rsidP="00D9594A">
      <w:pPr>
        <w:spacing w:after="0" w:line="360" w:lineRule="auto"/>
        <w:rPr>
          <w:color w:val="0D0D0D"/>
        </w:rPr>
      </w:pPr>
      <w:r>
        <w:rPr>
          <w:color w:val="0D0D0D"/>
        </w:rPr>
        <w:t>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08A7C507" w14:textId="77777777" w:rsidR="00D9594A" w:rsidRDefault="00D9594A" w:rsidP="00D9594A">
      <w:pPr>
        <w:spacing w:after="0" w:line="360" w:lineRule="auto"/>
        <w:rPr>
          <w:color w:val="0D0D0D"/>
        </w:rPr>
      </w:pPr>
      <w:r>
        <w:rPr>
          <w:color w:val="0D0D0D"/>
        </w:rPr>
        <w:t xml:space="preserve"> </w:t>
      </w:r>
    </w:p>
    <w:p w14:paraId="273E5E48" w14:textId="77777777" w:rsidR="00D9594A" w:rsidRDefault="00D9594A" w:rsidP="00D9594A">
      <w:pPr>
        <w:spacing w:after="0" w:line="360" w:lineRule="auto"/>
        <w:rPr>
          <w:color w:val="0D0D0D"/>
        </w:rPr>
      </w:pPr>
      <w:r>
        <w:rPr>
          <w:color w:val="0D0D0D"/>
        </w:rPr>
        <w:t>A mayor abundamiento, resulta necesario traer a colación el Criterio Orientador, de la Segunda Época, con número de registro SO/010/2017, emitido por el Instituto Nacional de Transparencia, Acceso a la Información y Protección de Datos Personales, mismo que establece lo siguiente:</w:t>
      </w:r>
    </w:p>
    <w:p w14:paraId="1EB3C79A" w14:textId="77777777" w:rsidR="00D9594A" w:rsidRDefault="00D9594A" w:rsidP="00D9594A">
      <w:pPr>
        <w:spacing w:after="0" w:line="360" w:lineRule="auto"/>
        <w:rPr>
          <w:b/>
          <w:bCs/>
          <w:color w:val="0D0D0D"/>
        </w:rPr>
      </w:pPr>
    </w:p>
    <w:p w14:paraId="71FD1172" w14:textId="77777777" w:rsidR="00D9594A" w:rsidRDefault="00D9594A" w:rsidP="00D9594A">
      <w:pPr>
        <w:spacing w:after="0" w:line="360" w:lineRule="auto"/>
        <w:ind w:left="720"/>
        <w:rPr>
          <w:i/>
          <w:color w:val="0D0D0D"/>
          <w:sz w:val="20"/>
        </w:rPr>
      </w:pPr>
      <w:r>
        <w:rPr>
          <w:b/>
          <w:bCs/>
          <w:i/>
          <w:color w:val="0D0D0D"/>
          <w:sz w:val="20"/>
        </w:rPr>
        <w:lastRenderedPageBreak/>
        <w:t>“Cuentas bancarias y/o CLABE interbancaria de personas físicas y morales privadas.</w:t>
      </w:r>
      <w:r>
        <w:rPr>
          <w:i/>
          <w:color w:val="0D0D0D"/>
          <w:sz w:val="20"/>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4932C97" w14:textId="77777777" w:rsidR="00D9594A" w:rsidRDefault="00D9594A" w:rsidP="00D9594A">
      <w:pPr>
        <w:spacing w:after="0" w:line="360" w:lineRule="auto"/>
        <w:rPr>
          <w:color w:val="0D0D0D"/>
        </w:rPr>
      </w:pPr>
      <w:r>
        <w:rPr>
          <w:color w:val="0D0D0D"/>
        </w:rPr>
        <w:t xml:space="preserve"> </w:t>
      </w:r>
    </w:p>
    <w:p w14:paraId="6D225F2A" w14:textId="77777777" w:rsidR="00D9594A" w:rsidRDefault="00D9594A" w:rsidP="00D9594A">
      <w:pPr>
        <w:spacing w:after="0" w:line="360" w:lineRule="auto"/>
        <w:rPr>
          <w:color w:val="0D0D0D"/>
        </w:rPr>
      </w:pPr>
      <w:r>
        <w:rPr>
          <w:color w:val="0D0D0D"/>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y procede su eliminación de conformidad con el artículo 143, fracción I, de la Ley de Transparencia y Acceso a la Información Pública del Estado de México y Municipios.</w:t>
      </w:r>
    </w:p>
    <w:p w14:paraId="5AA9C4F1" w14:textId="77777777" w:rsidR="00D9594A" w:rsidRDefault="00D9594A" w:rsidP="00D9594A">
      <w:pPr>
        <w:spacing w:after="0" w:line="360" w:lineRule="auto"/>
        <w:rPr>
          <w:color w:val="0D0D0D"/>
        </w:rPr>
      </w:pPr>
    </w:p>
    <w:p w14:paraId="3DF546F7" w14:textId="77777777" w:rsidR="00D9594A" w:rsidRDefault="00D9594A" w:rsidP="00D9594A">
      <w:pPr>
        <w:numPr>
          <w:ilvl w:val="0"/>
          <w:numId w:val="32"/>
        </w:numPr>
        <w:spacing w:after="0" w:line="360" w:lineRule="auto"/>
        <w:contextualSpacing/>
        <w:rPr>
          <w:rFonts w:eastAsia="Times New Roman" w:cs="Times New Roman"/>
          <w:b/>
          <w:color w:val="0D0D0D"/>
          <w:szCs w:val="24"/>
          <w:lang w:eastAsia="es-ES"/>
        </w:rPr>
      </w:pPr>
      <w:r>
        <w:rPr>
          <w:rFonts w:eastAsia="Times New Roman" w:cs="Times New Roman"/>
          <w:b/>
          <w:color w:val="0D0D0D"/>
          <w:szCs w:val="24"/>
          <w:lang w:eastAsia="es-ES"/>
        </w:rPr>
        <w:t>Cuenta bancaria y clave interbancaria de instituciones públicas</w:t>
      </w:r>
    </w:p>
    <w:p w14:paraId="05B03D69" w14:textId="77777777" w:rsidR="00D9594A" w:rsidRDefault="00D9594A" w:rsidP="00D9594A">
      <w:pPr>
        <w:spacing w:after="0" w:line="360" w:lineRule="auto"/>
        <w:ind w:right="-28"/>
        <w:rPr>
          <w:color w:val="auto"/>
        </w:rPr>
      </w:pPr>
    </w:p>
    <w:p w14:paraId="5530AA27" w14:textId="77777777" w:rsidR="00D9594A" w:rsidRDefault="00D9594A" w:rsidP="00D9594A">
      <w:pPr>
        <w:spacing w:line="360" w:lineRule="auto"/>
        <w:contextualSpacing/>
        <w:rPr>
          <w:rFonts w:eastAsia="Calibri" w:cs="Tahoma"/>
          <w:bCs/>
          <w:lang w:eastAsia="es-ES"/>
        </w:rPr>
      </w:pPr>
      <w:r>
        <w:rPr>
          <w:rFonts w:eastAsia="Calibri" w:cs="Tahoma"/>
          <w:bCs/>
          <w:lang w:eastAsia="es-ES"/>
        </w:rPr>
        <w:t>En relación con el número de cuenta de instituciones públicas, en donde reciben o transfieren recursos públicos, debe señalarse que la misma es considerada como información pública, pues su difusión favorece la rendición de cuentas al transparentar la forma en que se administran los recursos públicos, razón por la cual no pueden considerarse como información clasificada. Lo anterior se robustece con el Criterio SO/011/2017, emitido por el Instituto Nacional de Transparencia, Acceso a la Información y Protección de Datos Personales, mismo que a la letra señala:</w:t>
      </w:r>
    </w:p>
    <w:p w14:paraId="46FC7F2C" w14:textId="77777777" w:rsidR="00D9594A" w:rsidRDefault="00D9594A" w:rsidP="00D9594A">
      <w:pPr>
        <w:spacing w:line="360" w:lineRule="auto"/>
        <w:contextualSpacing/>
        <w:rPr>
          <w:rFonts w:eastAsia="Calibri" w:cs="Tahoma"/>
          <w:bCs/>
          <w:i/>
          <w:lang w:eastAsia="es-ES"/>
        </w:rPr>
      </w:pPr>
    </w:p>
    <w:p w14:paraId="5FA78F21" w14:textId="77777777" w:rsidR="00D9594A" w:rsidRDefault="00D9594A" w:rsidP="00D9594A">
      <w:pPr>
        <w:spacing w:after="0" w:line="360" w:lineRule="auto"/>
        <w:ind w:left="567" w:right="567"/>
        <w:contextualSpacing/>
        <w:rPr>
          <w:rFonts w:eastAsia="Calibri" w:cs="Tahoma"/>
          <w:bCs/>
          <w:i/>
          <w:sz w:val="20"/>
          <w:szCs w:val="20"/>
          <w:lang w:eastAsia="es-ES"/>
        </w:rPr>
      </w:pPr>
      <w:r>
        <w:rPr>
          <w:rFonts w:eastAsia="Calibri" w:cs="Tahoma"/>
          <w:b/>
          <w:bCs/>
          <w:i/>
          <w:sz w:val="20"/>
          <w:szCs w:val="20"/>
          <w:lang w:eastAsia="es-ES"/>
        </w:rPr>
        <w:t>“Cuentas bancarias y/o CLABE interbancaria de sujetos obligados que reciben y/o transfieren recursos públicos, son información pública.</w:t>
      </w:r>
      <w:r>
        <w:rPr>
          <w:rFonts w:eastAsia="Calibri" w:cs="Tahoma"/>
          <w:bCs/>
          <w:i/>
          <w:sz w:val="20"/>
          <w:szCs w:val="20"/>
          <w:lang w:eastAsia="es-ES"/>
        </w:rPr>
        <w:t xml:space="preserve"> La difusión de las cuentas bancarias y claves interbancarias pertenecientes a un sujeto obligado favorece la rendición de cuentas al </w:t>
      </w:r>
      <w:r>
        <w:rPr>
          <w:rFonts w:eastAsia="Calibri" w:cs="Tahoma"/>
          <w:bCs/>
          <w:i/>
          <w:sz w:val="20"/>
          <w:szCs w:val="20"/>
          <w:lang w:eastAsia="es-ES"/>
        </w:rPr>
        <w:lastRenderedPageBreak/>
        <w:t xml:space="preserve">transparentar la forma en que se administran los recursos públicos, </w:t>
      </w:r>
      <w:r>
        <w:rPr>
          <w:rFonts w:eastAsia="Calibri" w:cs="Tahoma"/>
          <w:bCs/>
          <w:i/>
          <w:sz w:val="20"/>
          <w:szCs w:val="20"/>
          <w:u w:val="single"/>
          <w:lang w:eastAsia="es-ES"/>
        </w:rPr>
        <w:t>razón por la cual no pueden considerarse como información clasificada.</w:t>
      </w:r>
      <w:r>
        <w:rPr>
          <w:rFonts w:eastAsia="Calibri" w:cs="Tahoma"/>
          <w:bCs/>
          <w:i/>
          <w:sz w:val="20"/>
          <w:szCs w:val="20"/>
          <w:lang w:eastAsia="es-ES"/>
        </w:rPr>
        <w:t>”</w:t>
      </w:r>
    </w:p>
    <w:p w14:paraId="3A2ABE27" w14:textId="77777777" w:rsidR="00D9594A" w:rsidRDefault="00D9594A" w:rsidP="00D9594A">
      <w:pPr>
        <w:spacing w:line="360" w:lineRule="auto"/>
        <w:contextualSpacing/>
        <w:rPr>
          <w:rFonts w:eastAsia="Calibri" w:cs="Tahoma"/>
          <w:b/>
          <w:bCs/>
          <w:lang w:eastAsia="es-ES"/>
        </w:rPr>
      </w:pPr>
    </w:p>
    <w:p w14:paraId="14CDBDDB" w14:textId="77777777" w:rsidR="00D9594A" w:rsidRDefault="00D9594A" w:rsidP="00D9594A">
      <w:pPr>
        <w:spacing w:line="360" w:lineRule="auto"/>
        <w:contextualSpacing/>
        <w:rPr>
          <w:rFonts w:eastAsia="Calibri" w:cs="Tahoma"/>
          <w:bCs/>
          <w:lang w:eastAsia="es-ES"/>
        </w:rPr>
      </w:pPr>
      <w:r>
        <w:rPr>
          <w:rFonts w:eastAsia="Calibri" w:cs="Tahoma"/>
          <w:bCs/>
          <w:lang w:eastAsia="es-ES"/>
        </w:rPr>
        <w:t>Por tales circunstancias, no puede ser considera como información confidencial el número de cuenta de las instituciones públicas y, por lo tanto, no procede su clasificación en términos del artículo 143, fracción I, de la Ley de Transparencia y Acceso a la Información Pública del Estado de México y Municipios.</w:t>
      </w:r>
    </w:p>
    <w:p w14:paraId="33F92C50" w14:textId="77777777" w:rsidR="00D9594A" w:rsidRDefault="00D9594A" w:rsidP="00D9594A">
      <w:pPr>
        <w:spacing w:after="0" w:line="360" w:lineRule="auto"/>
        <w:rPr>
          <w:color w:val="000000"/>
        </w:rPr>
      </w:pPr>
    </w:p>
    <w:p w14:paraId="7925C3EA" w14:textId="77777777" w:rsidR="00D9594A" w:rsidRDefault="00D9594A" w:rsidP="00D9594A">
      <w:pPr>
        <w:numPr>
          <w:ilvl w:val="0"/>
          <w:numId w:val="32"/>
        </w:numPr>
        <w:spacing w:after="0" w:line="360" w:lineRule="auto"/>
        <w:contextualSpacing/>
        <w:rPr>
          <w:b/>
          <w:color w:val="000000"/>
        </w:rPr>
      </w:pPr>
      <w:r>
        <w:rPr>
          <w:b/>
          <w:color w:val="000000"/>
        </w:rPr>
        <w:t xml:space="preserve">Registro Federal de Contribuyentes </w:t>
      </w:r>
    </w:p>
    <w:p w14:paraId="38D9D375" w14:textId="77777777" w:rsidR="00D9594A" w:rsidRDefault="00D9594A" w:rsidP="00D9594A">
      <w:pPr>
        <w:spacing w:after="0" w:line="360" w:lineRule="auto"/>
        <w:rPr>
          <w:color w:val="000000"/>
        </w:rPr>
      </w:pPr>
    </w:p>
    <w:p w14:paraId="19531AFD" w14:textId="74BC695C" w:rsidR="003913EE" w:rsidRPr="003913EE" w:rsidRDefault="003913EE" w:rsidP="00D9594A">
      <w:pPr>
        <w:spacing w:after="0" w:line="360" w:lineRule="auto"/>
        <w:rPr>
          <w:b/>
          <w:bCs/>
          <w:color w:val="000000"/>
        </w:rPr>
      </w:pPr>
      <w:r>
        <w:rPr>
          <w:b/>
          <w:bCs/>
          <w:color w:val="000000"/>
        </w:rPr>
        <w:t>Persona física (empleado)</w:t>
      </w:r>
    </w:p>
    <w:p w14:paraId="21EABE64" w14:textId="77777777" w:rsidR="003913EE" w:rsidRDefault="003913EE" w:rsidP="00D9594A">
      <w:pPr>
        <w:spacing w:after="0" w:line="360" w:lineRule="auto"/>
        <w:rPr>
          <w:color w:val="000000"/>
        </w:rPr>
      </w:pPr>
    </w:p>
    <w:p w14:paraId="13072FB2" w14:textId="77777777" w:rsidR="003913EE" w:rsidRPr="003913EE" w:rsidRDefault="003913EE" w:rsidP="003913EE">
      <w:pPr>
        <w:spacing w:after="0" w:line="360" w:lineRule="auto"/>
        <w:rPr>
          <w:color w:val="000000"/>
        </w:rPr>
      </w:pPr>
      <w:r w:rsidRPr="003913EE">
        <w:rPr>
          <w:color w:val="000000"/>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5BD7E75" w14:textId="77777777" w:rsidR="003913EE" w:rsidRPr="003913EE" w:rsidRDefault="003913EE" w:rsidP="003913EE">
      <w:pPr>
        <w:spacing w:after="0" w:line="360" w:lineRule="auto"/>
        <w:rPr>
          <w:color w:val="000000"/>
        </w:rPr>
      </w:pPr>
    </w:p>
    <w:p w14:paraId="21A90A39" w14:textId="77777777" w:rsidR="003913EE" w:rsidRPr="003913EE" w:rsidRDefault="003913EE" w:rsidP="003913EE">
      <w:pPr>
        <w:spacing w:after="0" w:line="360" w:lineRule="auto"/>
        <w:rPr>
          <w:color w:val="000000"/>
        </w:rPr>
      </w:pPr>
      <w:proofErr w:type="gramStart"/>
      <w:r w:rsidRPr="003913EE">
        <w:rPr>
          <w:color w:val="000000"/>
        </w:rPr>
        <w:t>De acuerdo a</w:t>
      </w:r>
      <w:proofErr w:type="gramEnd"/>
      <w:r w:rsidRPr="003913EE">
        <w:rPr>
          <w:color w:val="000000"/>
        </w:rPr>
        <w:t xml:space="preserve"> lo establecido en el artículo en comento, esta clave se compone de trece caracteres alfanuméricos, con datos obtenidos de los apellidos, nombre(s), fecha de nacimiento del titular, más una </w:t>
      </w:r>
      <w:proofErr w:type="spellStart"/>
      <w:r w:rsidRPr="003913EE">
        <w:rPr>
          <w:color w:val="000000"/>
        </w:rPr>
        <w:t>homoclave</w:t>
      </w:r>
      <w:proofErr w:type="spellEnd"/>
      <w:r w:rsidRPr="003913EE">
        <w:rPr>
          <w:color w:val="000000"/>
        </w:rPr>
        <w:t xml:space="preserve"> que establece el sistema automático del Servicio de Administración Tributaria.</w:t>
      </w:r>
    </w:p>
    <w:p w14:paraId="6CF9FDA1" w14:textId="77777777" w:rsidR="003913EE" w:rsidRPr="003913EE" w:rsidRDefault="003913EE" w:rsidP="003913EE">
      <w:pPr>
        <w:spacing w:after="0" w:line="360" w:lineRule="auto"/>
        <w:rPr>
          <w:color w:val="000000"/>
        </w:rPr>
      </w:pPr>
    </w:p>
    <w:p w14:paraId="4D83E9EC" w14:textId="77777777" w:rsidR="003913EE" w:rsidRPr="003913EE" w:rsidRDefault="003913EE" w:rsidP="003913EE">
      <w:pPr>
        <w:spacing w:after="0" w:line="360" w:lineRule="auto"/>
        <w:rPr>
          <w:color w:val="000000"/>
        </w:rPr>
      </w:pPr>
      <w:r w:rsidRPr="003913EE">
        <w:rPr>
          <w:color w:val="000000"/>
        </w:rPr>
        <w:t xml:space="preserve">Ahora bien, la clave del Registro Federal de </w:t>
      </w:r>
      <w:proofErr w:type="gramStart"/>
      <w:r w:rsidRPr="003913EE">
        <w:rPr>
          <w:color w:val="000000"/>
        </w:rPr>
        <w:t>Contribuyentes,</w:t>
      </w:r>
      <w:proofErr w:type="gramEnd"/>
      <w:r w:rsidRPr="003913EE">
        <w:rPr>
          <w:color w:val="000000"/>
        </w:rPr>
        <w:t xml:space="preserve"> es el medio de control que tiene la Secretaría de Hacienda y Crédito Público, a través del Servicio de Administración Tributaria, para exigir y vigilar el cumplimiento de las obligaciones fiscales de los </w:t>
      </w:r>
      <w:r w:rsidRPr="003913EE">
        <w:rPr>
          <w:color w:val="000000"/>
        </w:rPr>
        <w:lastRenderedPageBreak/>
        <w:t>contribuyentes; mientras que los particulares tramitan dicho dato, con el único propósito de realizar mediante esa clave de identificación, operaciones o actividades de naturaleza fiscal.</w:t>
      </w:r>
    </w:p>
    <w:p w14:paraId="58B1D3E1" w14:textId="77777777" w:rsidR="003913EE" w:rsidRPr="003913EE" w:rsidRDefault="003913EE" w:rsidP="003913EE">
      <w:pPr>
        <w:spacing w:after="0" w:line="360" w:lineRule="auto"/>
        <w:rPr>
          <w:color w:val="000000"/>
        </w:rPr>
      </w:pPr>
    </w:p>
    <w:p w14:paraId="391A5414" w14:textId="77777777" w:rsidR="003913EE" w:rsidRPr="003913EE" w:rsidRDefault="003913EE" w:rsidP="003913EE">
      <w:pPr>
        <w:spacing w:after="0" w:line="360" w:lineRule="auto"/>
        <w:rPr>
          <w:color w:val="000000"/>
        </w:rPr>
      </w:pPr>
      <w:r w:rsidRPr="003913EE">
        <w:rPr>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21847FA" w14:textId="77777777" w:rsidR="003913EE" w:rsidRPr="003913EE" w:rsidRDefault="003913EE" w:rsidP="003913EE">
      <w:pPr>
        <w:spacing w:after="0" w:line="360" w:lineRule="auto"/>
        <w:rPr>
          <w:color w:val="000000"/>
        </w:rPr>
      </w:pPr>
    </w:p>
    <w:p w14:paraId="388E0AF3" w14:textId="77777777" w:rsidR="003913EE" w:rsidRPr="003913EE" w:rsidRDefault="003913EE" w:rsidP="003913EE">
      <w:pPr>
        <w:spacing w:after="0" w:line="360" w:lineRule="auto"/>
        <w:rPr>
          <w:color w:val="000000"/>
        </w:rPr>
      </w:pPr>
      <w:r w:rsidRPr="003913EE">
        <w:rPr>
          <w:color w:val="000000"/>
        </w:rPr>
        <w:t>Lo anterior, resulta congruente con el Criterio Orientador, de la Segunda Época, con número de registro SO/019/2017, emitido por el entonces Instituto Nacional de Transparencia, Acceso a la Información y Protección de Datos Personales, en el cual se señala lo siguiente:</w:t>
      </w:r>
    </w:p>
    <w:p w14:paraId="3C46F0E8" w14:textId="77777777" w:rsidR="003913EE" w:rsidRPr="003913EE" w:rsidRDefault="003913EE" w:rsidP="003913EE">
      <w:pPr>
        <w:spacing w:after="0" w:line="360" w:lineRule="auto"/>
        <w:rPr>
          <w:color w:val="000000"/>
        </w:rPr>
      </w:pPr>
    </w:p>
    <w:p w14:paraId="0894CBF3" w14:textId="77777777" w:rsidR="003913EE" w:rsidRPr="003913EE" w:rsidRDefault="003913EE" w:rsidP="003913EE">
      <w:pPr>
        <w:spacing w:after="0" w:line="360" w:lineRule="auto"/>
        <w:ind w:left="567" w:right="567"/>
        <w:rPr>
          <w:i/>
          <w:color w:val="000000"/>
          <w:sz w:val="20"/>
          <w:szCs w:val="20"/>
        </w:rPr>
      </w:pPr>
      <w:r w:rsidRPr="003913EE">
        <w:rPr>
          <w:b/>
          <w:i/>
          <w:color w:val="000000"/>
          <w:sz w:val="20"/>
          <w:szCs w:val="20"/>
        </w:rPr>
        <w:t>“Registro Federal de Contribuyentes (RFC) de personas físicas.</w:t>
      </w:r>
      <w:r w:rsidRPr="003913EE">
        <w:rPr>
          <w:i/>
          <w:color w:val="000000"/>
          <w:sz w:val="20"/>
          <w:szCs w:val="20"/>
        </w:rPr>
        <w:t xml:space="preserve"> El RFC es una clave de carácter fiscal, única e irrepetible, que permite identificar al titular, su edad y fecha de nacimiento, por lo que es un dato personal de carácter confidencial.”</w:t>
      </w:r>
    </w:p>
    <w:p w14:paraId="4F60F0AF" w14:textId="77777777" w:rsidR="003913EE" w:rsidRPr="003913EE" w:rsidRDefault="003913EE" w:rsidP="003913EE">
      <w:pPr>
        <w:spacing w:after="0" w:line="360" w:lineRule="auto"/>
        <w:rPr>
          <w:color w:val="000000"/>
        </w:rPr>
      </w:pPr>
    </w:p>
    <w:p w14:paraId="54FE4762" w14:textId="77777777" w:rsidR="003913EE" w:rsidRPr="003913EE" w:rsidRDefault="003913EE" w:rsidP="003913EE">
      <w:pPr>
        <w:spacing w:after="0" w:line="360" w:lineRule="auto"/>
        <w:rPr>
          <w:color w:val="000000"/>
        </w:rPr>
      </w:pPr>
      <w:r w:rsidRPr="003913EE">
        <w:rPr>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A137852" w14:textId="77777777" w:rsidR="003913EE" w:rsidRDefault="003913EE" w:rsidP="00D9594A">
      <w:pPr>
        <w:spacing w:after="0" w:line="360" w:lineRule="auto"/>
        <w:rPr>
          <w:color w:val="000000"/>
        </w:rPr>
      </w:pPr>
    </w:p>
    <w:p w14:paraId="1791F544" w14:textId="77777777" w:rsidR="00D9594A" w:rsidRDefault="00D9594A" w:rsidP="00D9594A">
      <w:pPr>
        <w:spacing w:after="0" w:line="360" w:lineRule="auto"/>
        <w:rPr>
          <w:b/>
          <w:color w:val="000000"/>
        </w:rPr>
      </w:pPr>
      <w:r>
        <w:rPr>
          <w:b/>
          <w:color w:val="000000"/>
        </w:rPr>
        <w:t>Persona física (proveedor o contratista)</w:t>
      </w:r>
    </w:p>
    <w:p w14:paraId="557AE94D" w14:textId="77777777" w:rsidR="00D9594A" w:rsidRDefault="00D9594A" w:rsidP="00D9594A">
      <w:pPr>
        <w:spacing w:after="0" w:line="360" w:lineRule="auto"/>
        <w:rPr>
          <w:color w:val="000000"/>
        </w:rPr>
      </w:pPr>
    </w:p>
    <w:p w14:paraId="67550045" w14:textId="77777777" w:rsidR="00D9594A" w:rsidRDefault="00D9594A" w:rsidP="00D9594A">
      <w:pPr>
        <w:spacing w:after="0" w:line="360" w:lineRule="auto"/>
        <w:rPr>
          <w:color w:val="000000"/>
        </w:rPr>
      </w:pPr>
      <w:r>
        <w:rPr>
          <w:color w:val="000000"/>
        </w:rPr>
        <w:lastRenderedPageBreak/>
        <w:t>Al respecto, es necesario precisar que el proveedor de cualquier Sujeto Obligado de la Ley de la materia, que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la cédula de identificación fiscal (Registro Federal de Contribuyentes); por lo que la entrega de dicho dato permite verificar cumplimiento de esta disposición legal.</w:t>
      </w:r>
    </w:p>
    <w:p w14:paraId="42F833FA" w14:textId="77777777" w:rsidR="00D9594A" w:rsidRDefault="00D9594A" w:rsidP="00D9594A">
      <w:pPr>
        <w:spacing w:after="0" w:line="360" w:lineRule="auto"/>
        <w:rPr>
          <w:color w:val="000000"/>
        </w:rPr>
      </w:pPr>
    </w:p>
    <w:p w14:paraId="46EEE0A7" w14:textId="77777777" w:rsidR="00D9594A" w:rsidRDefault="00D9594A" w:rsidP="00D9594A">
      <w:pPr>
        <w:spacing w:after="0" w:line="360" w:lineRule="auto"/>
        <w:rPr>
          <w:color w:val="000000"/>
        </w:rPr>
      </w:pPr>
      <w:r>
        <w:rPr>
          <w:color w:val="000000"/>
        </w:rPr>
        <w:t>Por lo tanto, en el presente caso, si bien el Registro Federal de Contribuyentes de personas físicas es un dato personal, también lo es, que corresponde a un requisito indispensable para ser proveedor y poder llevar a cabo actividades comerciales con la Entidad, ya que, sin este, no se pueden realizar dichas acciones, por lo que su entrega es un elemento adicional que respalda la legalidad de los procesos adquisitivos.</w:t>
      </w:r>
    </w:p>
    <w:p w14:paraId="552D308C" w14:textId="77777777" w:rsidR="00D9594A" w:rsidRDefault="00D9594A" w:rsidP="00D9594A">
      <w:pPr>
        <w:spacing w:after="0" w:line="360" w:lineRule="auto"/>
        <w:rPr>
          <w:color w:val="000000"/>
        </w:rPr>
      </w:pPr>
    </w:p>
    <w:p w14:paraId="41AC4872" w14:textId="77777777" w:rsidR="00D9594A" w:rsidRDefault="00D9594A" w:rsidP="00D9594A">
      <w:pPr>
        <w:spacing w:after="0" w:line="360" w:lineRule="auto"/>
        <w:rPr>
          <w:color w:val="000000"/>
        </w:rPr>
      </w:pPr>
      <w:r>
        <w:rPr>
          <w:color w:val="000000"/>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0964123D" w14:textId="77777777" w:rsidR="00D9594A" w:rsidRDefault="00D9594A" w:rsidP="00D9594A">
      <w:pPr>
        <w:spacing w:after="0" w:line="360" w:lineRule="auto"/>
        <w:rPr>
          <w:color w:val="000000"/>
        </w:rPr>
      </w:pPr>
    </w:p>
    <w:p w14:paraId="5F1C52F3" w14:textId="77777777" w:rsidR="00D9594A" w:rsidRDefault="00D9594A" w:rsidP="00D9594A">
      <w:pPr>
        <w:tabs>
          <w:tab w:val="center" w:pos="4522"/>
        </w:tabs>
        <w:spacing w:after="0" w:line="360" w:lineRule="auto"/>
        <w:rPr>
          <w:color w:val="000000"/>
        </w:rPr>
      </w:pPr>
      <w:r>
        <w:rPr>
          <w:color w:val="000000"/>
        </w:rPr>
        <w:t>Lo anterior, se robustece con el Criterio Orientador, de la Segunda Época, con número de registro SO/004/2021, emitido por el entonces Instituto Nacional de Transparencia, Acceso a la Información y Protección de Datos Personales, vigente a la fecha de la solicitud, en el cual se señala lo siguiente:</w:t>
      </w:r>
    </w:p>
    <w:p w14:paraId="5CA7153C" w14:textId="77777777" w:rsidR="00D9594A" w:rsidRDefault="00D9594A" w:rsidP="00D9594A">
      <w:pPr>
        <w:tabs>
          <w:tab w:val="center" w:pos="4522"/>
        </w:tabs>
        <w:spacing w:after="0" w:line="360" w:lineRule="auto"/>
        <w:rPr>
          <w:color w:val="000000"/>
        </w:rPr>
      </w:pPr>
    </w:p>
    <w:p w14:paraId="10E67A4A" w14:textId="77777777" w:rsidR="00D9594A" w:rsidRDefault="00D9594A" w:rsidP="00D9594A">
      <w:pPr>
        <w:tabs>
          <w:tab w:val="center" w:pos="4522"/>
        </w:tabs>
        <w:spacing w:after="0" w:line="360" w:lineRule="auto"/>
        <w:ind w:left="567" w:right="567"/>
        <w:rPr>
          <w:i/>
          <w:color w:val="000000"/>
          <w:sz w:val="20"/>
          <w:szCs w:val="20"/>
        </w:rPr>
      </w:pPr>
      <w:r>
        <w:rPr>
          <w:b/>
          <w:i/>
          <w:color w:val="000000"/>
          <w:sz w:val="20"/>
          <w:szCs w:val="20"/>
        </w:rPr>
        <w:lastRenderedPageBreak/>
        <w:t xml:space="preserve">“Registro Federal de Contribuyentes (RFC) de personas físicas proveedores o contratistas. </w:t>
      </w:r>
      <w:r>
        <w:rPr>
          <w:i/>
          <w:color w:val="000000"/>
          <w:sz w:val="20"/>
          <w:szCs w:val="20"/>
        </w:rPr>
        <w:t xml:space="preserve">El RFC de contratistas o proveedores de sujetos obligados debe ser público, </w:t>
      </w:r>
      <w:proofErr w:type="gramStart"/>
      <w:r>
        <w:rPr>
          <w:i/>
          <w:color w:val="000000"/>
          <w:sz w:val="20"/>
          <w:szCs w:val="20"/>
        </w:rPr>
        <w:t>ya que</w:t>
      </w:r>
      <w:proofErr w:type="gramEnd"/>
      <w:r>
        <w:rPr>
          <w:i/>
          <w:color w:val="000000"/>
          <w:sz w:val="20"/>
          <w:szCs w:val="20"/>
        </w:rPr>
        <w:t xml:space="preserve"> al tratarse de personas relacionadas con contrataciones públicas, su difusión favorece la transparencia con la que deben administrarse los recursos públicos, en términos del artículo 134 de la Constitución Política de los Estados Unidos Mexicanos. “</w:t>
      </w:r>
    </w:p>
    <w:p w14:paraId="74EE140A" w14:textId="77777777" w:rsidR="00D9594A" w:rsidRDefault="00D9594A" w:rsidP="00D9594A">
      <w:pPr>
        <w:tabs>
          <w:tab w:val="center" w:pos="4522"/>
        </w:tabs>
        <w:spacing w:after="0" w:line="360" w:lineRule="auto"/>
        <w:rPr>
          <w:color w:val="000000"/>
        </w:rPr>
      </w:pPr>
    </w:p>
    <w:p w14:paraId="6C83B572" w14:textId="77777777" w:rsidR="00D9594A" w:rsidRDefault="00D9594A" w:rsidP="00D9594A">
      <w:pPr>
        <w:tabs>
          <w:tab w:val="center" w:pos="4522"/>
        </w:tabs>
        <w:spacing w:after="0" w:line="360" w:lineRule="auto"/>
        <w:rPr>
          <w:b/>
          <w:color w:val="000000"/>
          <w:u w:val="single"/>
        </w:rPr>
      </w:pPr>
      <w:r>
        <w:rPr>
          <w:color w:val="000000"/>
        </w:rPr>
        <w:t>En conclusión, toda vez, que el Registro Federal de Contribuyentes de proveedores o contratistas, es un requisito indispensable, para poder participar en adquisiciones públicas y contracción de servicios y que abona a la transparencia con la que deben administrarse los recursos públicos, no actualiza la causal de clasificación prevista en el artículo 143, fracción I de la Ley de Transparencia y Acceso a la Información Pública del Estado de México y Municipios.</w:t>
      </w:r>
    </w:p>
    <w:p w14:paraId="13D4D353" w14:textId="77777777" w:rsidR="00D9594A" w:rsidRDefault="00D9594A" w:rsidP="00D9594A">
      <w:pPr>
        <w:tabs>
          <w:tab w:val="center" w:pos="4522"/>
        </w:tabs>
        <w:spacing w:after="0" w:line="360" w:lineRule="auto"/>
        <w:rPr>
          <w:b/>
          <w:color w:val="000000"/>
        </w:rPr>
      </w:pPr>
    </w:p>
    <w:p w14:paraId="66BBC2D5" w14:textId="77777777" w:rsidR="00D9594A" w:rsidRDefault="00D9594A" w:rsidP="00D9594A">
      <w:pPr>
        <w:tabs>
          <w:tab w:val="center" w:pos="4522"/>
        </w:tabs>
        <w:spacing w:after="0" w:line="360" w:lineRule="auto"/>
        <w:rPr>
          <w:b/>
          <w:color w:val="000000"/>
        </w:rPr>
      </w:pPr>
      <w:r>
        <w:rPr>
          <w:b/>
          <w:color w:val="000000"/>
        </w:rPr>
        <w:t>Persona Moral</w:t>
      </w:r>
    </w:p>
    <w:p w14:paraId="4C2E619C" w14:textId="77777777" w:rsidR="00D9594A" w:rsidRDefault="00D9594A" w:rsidP="00D9594A">
      <w:pPr>
        <w:tabs>
          <w:tab w:val="center" w:pos="4522"/>
        </w:tabs>
        <w:spacing w:after="0" w:line="360" w:lineRule="auto"/>
        <w:rPr>
          <w:color w:val="000000"/>
        </w:rPr>
      </w:pPr>
    </w:p>
    <w:p w14:paraId="2A637DA8" w14:textId="77777777" w:rsidR="00D9594A" w:rsidRDefault="00D9594A" w:rsidP="00D9594A">
      <w:pPr>
        <w:tabs>
          <w:tab w:val="center" w:pos="4522"/>
        </w:tabs>
        <w:spacing w:after="0" w:line="360" w:lineRule="auto"/>
        <w:rPr>
          <w:color w:val="000000"/>
        </w:rPr>
      </w:pPr>
      <w:r>
        <w:rPr>
          <w:color w:val="000000"/>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cédula de identificación fiscal o constancia de registro.</w:t>
      </w:r>
    </w:p>
    <w:p w14:paraId="45D863A8" w14:textId="77777777" w:rsidR="00D9594A" w:rsidRDefault="00D9594A" w:rsidP="00D9594A">
      <w:pPr>
        <w:tabs>
          <w:tab w:val="center" w:pos="4522"/>
        </w:tabs>
        <w:spacing w:after="0" w:line="360" w:lineRule="auto"/>
        <w:rPr>
          <w:color w:val="000000"/>
        </w:rPr>
      </w:pPr>
    </w:p>
    <w:p w14:paraId="197404C4" w14:textId="77777777" w:rsidR="00D9594A" w:rsidRDefault="00D9594A" w:rsidP="00D9594A">
      <w:pPr>
        <w:tabs>
          <w:tab w:val="center" w:pos="4522"/>
        </w:tabs>
        <w:spacing w:after="0" w:line="360" w:lineRule="auto"/>
        <w:rPr>
          <w:color w:val="000000"/>
        </w:rPr>
      </w:pPr>
      <w:r>
        <w:rPr>
          <w:color w:val="000000"/>
        </w:rPr>
        <w:lastRenderedPageBreak/>
        <w:t>Por ende, la información correspondiente al Registro Federal de Contribuyentes de una persona moral da cuenta del cumplimiento o no en sus obligaciones fiscales; por tanto, no se actualiza su clasificación como confidencial.</w:t>
      </w:r>
    </w:p>
    <w:p w14:paraId="12E799CA" w14:textId="77777777" w:rsidR="00D9594A" w:rsidRDefault="00D9594A" w:rsidP="00D9594A">
      <w:pPr>
        <w:tabs>
          <w:tab w:val="center" w:pos="4522"/>
        </w:tabs>
        <w:spacing w:after="0" w:line="360" w:lineRule="auto"/>
        <w:rPr>
          <w:color w:val="000000"/>
        </w:rPr>
      </w:pPr>
    </w:p>
    <w:p w14:paraId="5A0391E7" w14:textId="77777777" w:rsidR="00D9594A" w:rsidRDefault="00D9594A" w:rsidP="00D9594A">
      <w:pPr>
        <w:tabs>
          <w:tab w:val="center" w:pos="4522"/>
        </w:tabs>
        <w:spacing w:after="0" w:line="360" w:lineRule="auto"/>
        <w:rPr>
          <w:color w:val="000000"/>
        </w:rPr>
      </w:pPr>
      <w:r>
        <w:rPr>
          <w:color w:val="000000"/>
        </w:rPr>
        <w:t>Además, resulta aplicable por analogía el Criterio Orientador, de la Segunda Época, con número de registro SO/008/2019, emitido por el entonces Instituto Nacional de Transparencia, Acceso a la Información y Protección de Datos Personales, vigente a la fecha de la solicitud, que precisa que el Registro Federal de Contribuyentes de personas morales, es público, al no referir a hechos o actos de carácter económico, contable, jurídico o administrativo que sean útiles o representen una ventaja a sus competidores.</w:t>
      </w:r>
    </w:p>
    <w:p w14:paraId="56013B9C" w14:textId="77777777" w:rsidR="00D9594A" w:rsidRDefault="00D9594A" w:rsidP="00D9594A">
      <w:pPr>
        <w:tabs>
          <w:tab w:val="center" w:pos="4522"/>
        </w:tabs>
        <w:spacing w:after="0" w:line="360" w:lineRule="auto"/>
        <w:rPr>
          <w:color w:val="000000"/>
        </w:rPr>
      </w:pPr>
      <w:r>
        <w:rPr>
          <w:color w:val="000000"/>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0858B0B5" w14:textId="77777777" w:rsidR="00D9594A" w:rsidRDefault="00D9594A" w:rsidP="00D9594A">
      <w:pPr>
        <w:spacing w:after="0" w:line="360" w:lineRule="auto"/>
        <w:jc w:val="left"/>
        <w:rPr>
          <w:b/>
          <w:color w:val="000000"/>
        </w:rPr>
      </w:pPr>
    </w:p>
    <w:p w14:paraId="4D7FCBD9" w14:textId="77777777" w:rsidR="00D9594A" w:rsidRDefault="00D9594A" w:rsidP="00D9594A">
      <w:pPr>
        <w:numPr>
          <w:ilvl w:val="0"/>
          <w:numId w:val="32"/>
        </w:numPr>
        <w:spacing w:after="0" w:line="360" w:lineRule="auto"/>
        <w:contextualSpacing/>
        <w:rPr>
          <w:b/>
          <w:color w:val="000000"/>
        </w:rPr>
      </w:pPr>
      <w:r>
        <w:rPr>
          <w:b/>
          <w:color w:val="000000"/>
        </w:rPr>
        <w:t>Número de teléfono y correo electrónico de proveedor o contratista</w:t>
      </w:r>
    </w:p>
    <w:p w14:paraId="3ABC113C" w14:textId="77777777" w:rsidR="00D9594A" w:rsidRDefault="00D9594A" w:rsidP="00D9594A">
      <w:pPr>
        <w:tabs>
          <w:tab w:val="center" w:pos="4522"/>
        </w:tabs>
        <w:spacing w:after="0" w:line="360" w:lineRule="auto"/>
        <w:rPr>
          <w:b/>
          <w:color w:val="000000"/>
        </w:rPr>
      </w:pPr>
    </w:p>
    <w:p w14:paraId="5BEDF69F" w14:textId="77777777" w:rsidR="00D9594A" w:rsidRDefault="00D9594A" w:rsidP="00D9594A">
      <w:pPr>
        <w:tabs>
          <w:tab w:val="center" w:pos="4522"/>
        </w:tabs>
        <w:spacing w:after="0" w:line="360" w:lineRule="auto"/>
        <w:rPr>
          <w:color w:val="000000"/>
        </w:rPr>
      </w:pPr>
      <w:r>
        <w:rPr>
          <w:color w:val="000000"/>
        </w:rPr>
        <w:t xml:space="preserve">El número asignado a un </w:t>
      </w:r>
      <w:proofErr w:type="gramStart"/>
      <w:r>
        <w:rPr>
          <w:color w:val="000000"/>
        </w:rPr>
        <w:t>teléfono,</w:t>
      </w:r>
      <w:proofErr w:type="gramEnd"/>
      <w:r>
        <w:rPr>
          <w:color w:val="000000"/>
        </w:rPr>
        <w:t xml:space="preserve"> permite localizar, en el presente caso, de un proveedor, ya sea a través de un dispositivo móvil o bien, en un lugar como el domicilio; mientras que correo electrónico es un sistema de transmisión de mensajes por computadora a través de redes informáticas. Dicho dato se puede asimilar al teléfono o domicilio, toda vez que es un medio para comunicarse con un proveedor, en el presente caso.</w:t>
      </w:r>
    </w:p>
    <w:p w14:paraId="531B2B12" w14:textId="77777777" w:rsidR="00D9594A" w:rsidRDefault="00D9594A" w:rsidP="00D9594A">
      <w:pPr>
        <w:tabs>
          <w:tab w:val="center" w:pos="4522"/>
        </w:tabs>
        <w:spacing w:after="0" w:line="360" w:lineRule="auto"/>
        <w:rPr>
          <w:color w:val="000000"/>
        </w:rPr>
      </w:pPr>
    </w:p>
    <w:p w14:paraId="54502E4D" w14:textId="77777777" w:rsidR="00D9594A" w:rsidRDefault="00D9594A" w:rsidP="00D9594A">
      <w:pPr>
        <w:tabs>
          <w:tab w:val="center" w:pos="4522"/>
        </w:tabs>
        <w:spacing w:after="0" w:line="360" w:lineRule="auto"/>
        <w:rPr>
          <w:color w:val="000000"/>
        </w:rPr>
      </w:pPr>
      <w:r>
        <w:rPr>
          <w:color w:val="000000"/>
        </w:rPr>
        <w:t xml:space="preserve">Como se refirió, en el presente caso, los datos en </w:t>
      </w:r>
      <w:proofErr w:type="gramStart"/>
      <w:r>
        <w:rPr>
          <w:color w:val="000000"/>
        </w:rPr>
        <w:t>comento,</w:t>
      </w:r>
      <w:proofErr w:type="gramEnd"/>
      <w:r>
        <w:rPr>
          <w:color w:val="000000"/>
        </w:rPr>
        <w:t xml:space="preserve"> se tratan de los medios de contacto de los proveedores que tiene la Secretaría de Cultura y Turismo, los cuales, si bien hacen identificable a una persona, en el presente caso, se trata de una persona proveedora que </w:t>
      </w:r>
      <w:r>
        <w:rPr>
          <w:color w:val="000000"/>
        </w:rPr>
        <w:lastRenderedPageBreak/>
        <w:t>recibe recursos públicos, derivado de los contratos celebrados con la Dependencia y, por lo tanto, dichos datos guardan la naturaleza de públicos.</w:t>
      </w:r>
    </w:p>
    <w:p w14:paraId="230D14DE" w14:textId="77777777" w:rsidR="00D9594A" w:rsidRDefault="00D9594A" w:rsidP="00D9594A">
      <w:pPr>
        <w:tabs>
          <w:tab w:val="center" w:pos="4522"/>
        </w:tabs>
        <w:spacing w:after="0" w:line="360" w:lineRule="auto"/>
        <w:rPr>
          <w:color w:val="000000"/>
        </w:rPr>
      </w:pPr>
    </w:p>
    <w:p w14:paraId="47E65AC5" w14:textId="77777777" w:rsidR="00D9594A" w:rsidRDefault="00D9594A" w:rsidP="00D9594A">
      <w:pPr>
        <w:tabs>
          <w:tab w:val="center" w:pos="4522"/>
        </w:tabs>
        <w:spacing w:after="0" w:line="360" w:lineRule="auto"/>
        <w:rPr>
          <w:color w:val="000000"/>
        </w:rPr>
      </w:pPr>
      <w:r>
        <w:rPr>
          <w:color w:val="000000"/>
        </w:rPr>
        <w:t>Como se logra observar, el correo electrónico y teléfono de los proveedores son públicos y deben ser publicados por los Sujetos Obligados, al cumplir con sus obligaciones comunes de transparencia y, por lo tanto, no actualizan la causal de clasificación en términos del artículo 143, fracción I, de la Ley de Transparencia y Acceso a la Información Pública del Estado de México y Municipios.</w:t>
      </w:r>
    </w:p>
    <w:p w14:paraId="042B0A82" w14:textId="77777777" w:rsidR="003913EE" w:rsidRDefault="003913EE" w:rsidP="00D9594A">
      <w:pPr>
        <w:tabs>
          <w:tab w:val="center" w:pos="4522"/>
        </w:tabs>
        <w:spacing w:after="0" w:line="360" w:lineRule="auto"/>
        <w:rPr>
          <w:color w:val="000000"/>
        </w:rPr>
      </w:pPr>
    </w:p>
    <w:p w14:paraId="6B351466" w14:textId="7E06AE95" w:rsidR="00D9594A" w:rsidRDefault="00D9594A" w:rsidP="00D9594A">
      <w:pPr>
        <w:numPr>
          <w:ilvl w:val="0"/>
          <w:numId w:val="32"/>
        </w:numPr>
        <w:spacing w:after="0" w:line="360" w:lineRule="auto"/>
        <w:contextualSpacing/>
        <w:rPr>
          <w:color w:val="000000"/>
        </w:rPr>
      </w:pPr>
      <w:r>
        <w:rPr>
          <w:b/>
          <w:color w:val="000000"/>
        </w:rPr>
        <w:t>Firma de</w:t>
      </w:r>
      <w:r w:rsidR="003913EE">
        <w:rPr>
          <w:b/>
          <w:color w:val="000000"/>
        </w:rPr>
        <w:t xml:space="preserve"> empleado, </w:t>
      </w:r>
      <w:r>
        <w:rPr>
          <w:b/>
          <w:color w:val="000000"/>
        </w:rPr>
        <w:t>proveedor, contratista o representante legal</w:t>
      </w:r>
    </w:p>
    <w:p w14:paraId="6E5C8F47" w14:textId="77777777" w:rsidR="00D9594A" w:rsidRDefault="00D9594A" w:rsidP="00D9594A">
      <w:pPr>
        <w:spacing w:after="0" w:line="360" w:lineRule="auto"/>
        <w:jc w:val="left"/>
        <w:rPr>
          <w:color w:val="000000"/>
        </w:rPr>
      </w:pPr>
    </w:p>
    <w:p w14:paraId="6FF18B4E" w14:textId="52842576" w:rsidR="00D9594A" w:rsidRDefault="00D9594A" w:rsidP="00D9594A">
      <w:pPr>
        <w:spacing w:after="0" w:line="360" w:lineRule="auto"/>
        <w:rPr>
          <w:color w:val="000000"/>
        </w:rPr>
      </w:pPr>
      <w:r>
        <w:rPr>
          <w:color w:val="000000"/>
        </w:rPr>
        <w:t>Al respecto, la firma es considerada un dato personal, al tratarse de información gráfica a través de la cual su titular exterioriza su voluntad en actos públicos y privados; dicho dato exterioriza la voluntad en un acto público y que lo realiza una persona física identificada o identificable, en su calidad de</w:t>
      </w:r>
      <w:r w:rsidR="003913EE">
        <w:rPr>
          <w:color w:val="000000"/>
        </w:rPr>
        <w:t xml:space="preserve"> empleado,</w:t>
      </w:r>
      <w:r>
        <w:rPr>
          <w:color w:val="000000"/>
        </w:rPr>
        <w:t xml:space="preserve"> proveedor</w:t>
      </w:r>
      <w:r w:rsidR="003913EE">
        <w:rPr>
          <w:color w:val="000000"/>
        </w:rPr>
        <w:t>, contratista</w:t>
      </w:r>
      <w:r>
        <w:rPr>
          <w:color w:val="000000"/>
        </w:rPr>
        <w:t xml:space="preserve"> o representante legal, por lo que, expresa el consentimiento d</w:t>
      </w:r>
      <w:r w:rsidR="003913EE">
        <w:rPr>
          <w:color w:val="000000"/>
        </w:rPr>
        <w:t>e recibir determinados recursos públicos.</w:t>
      </w:r>
    </w:p>
    <w:p w14:paraId="207A1A90" w14:textId="77777777" w:rsidR="00D9594A" w:rsidRDefault="00D9594A" w:rsidP="00D9594A">
      <w:pPr>
        <w:spacing w:after="0" w:line="360" w:lineRule="auto"/>
        <w:jc w:val="left"/>
        <w:rPr>
          <w:color w:val="000000"/>
        </w:rPr>
      </w:pPr>
    </w:p>
    <w:p w14:paraId="0759B718" w14:textId="2DA9165F" w:rsidR="00D9594A" w:rsidRDefault="00D9594A" w:rsidP="00D9594A">
      <w:pPr>
        <w:spacing w:after="0" w:line="360" w:lineRule="auto"/>
        <w:rPr>
          <w:color w:val="000000"/>
        </w:rPr>
      </w:pPr>
      <w:r>
        <w:rPr>
          <w:color w:val="000000"/>
        </w:rPr>
        <w:t>Conforme a lo anterior, no procede la clasificación de la firma, localizados en los documentos que den cuenta de la información solicitada, en términos del artículo 143, fracción I de la Ley de Transparencia y Acceso a la Información Pública del Estado de México y Municipios</w:t>
      </w:r>
      <w:r w:rsidR="003913EE">
        <w:rPr>
          <w:color w:val="000000"/>
        </w:rPr>
        <w:t>, pues en el presente caso, externan su voluntad de recibir determinados recursos públicos.</w:t>
      </w:r>
    </w:p>
    <w:p w14:paraId="17D1D0B7" w14:textId="77777777" w:rsidR="00D9594A" w:rsidRDefault="00D9594A" w:rsidP="00D9594A">
      <w:pPr>
        <w:spacing w:after="0" w:line="360" w:lineRule="auto"/>
        <w:jc w:val="left"/>
        <w:rPr>
          <w:b/>
          <w:color w:val="000000"/>
        </w:rPr>
      </w:pPr>
    </w:p>
    <w:p w14:paraId="54802A50" w14:textId="77777777" w:rsidR="00D9594A" w:rsidRDefault="00D9594A" w:rsidP="00D9594A">
      <w:pPr>
        <w:numPr>
          <w:ilvl w:val="0"/>
          <w:numId w:val="32"/>
        </w:numPr>
        <w:spacing w:after="0" w:line="360" w:lineRule="auto"/>
        <w:contextualSpacing/>
        <w:rPr>
          <w:b/>
          <w:color w:val="000000"/>
        </w:rPr>
      </w:pPr>
      <w:r>
        <w:rPr>
          <w:b/>
          <w:color w:val="000000"/>
        </w:rPr>
        <w:t>Nombre de institución bancaria</w:t>
      </w:r>
    </w:p>
    <w:p w14:paraId="53E41F58" w14:textId="77777777" w:rsidR="00D9594A" w:rsidRDefault="00D9594A" w:rsidP="00D9594A">
      <w:pPr>
        <w:tabs>
          <w:tab w:val="center" w:pos="4522"/>
        </w:tabs>
        <w:spacing w:after="0" w:line="360" w:lineRule="auto"/>
        <w:rPr>
          <w:color w:val="000000"/>
        </w:rPr>
      </w:pPr>
    </w:p>
    <w:p w14:paraId="71935C77" w14:textId="77777777" w:rsidR="00D9594A" w:rsidRDefault="00D9594A" w:rsidP="00D9594A">
      <w:pPr>
        <w:tabs>
          <w:tab w:val="center" w:pos="4522"/>
        </w:tabs>
        <w:spacing w:after="0" w:line="360" w:lineRule="auto"/>
        <w:rPr>
          <w:color w:val="000000"/>
        </w:rPr>
      </w:pPr>
      <w:r>
        <w:rPr>
          <w:color w:val="000000"/>
        </w:rPr>
        <w:t xml:space="preserve">En principio, es necesario señalar que conforme al artículo 2°, fracción IV  de la Ley de Protección y Defensa al Usuario de Servicios Financieros, establece que una institución financiera, se le denomina a las sociedades controladoras, instituciones de crédito, sociedades </w:t>
      </w:r>
      <w:r>
        <w:rPr>
          <w:color w:val="000000"/>
        </w:rPr>
        <w:lastRenderedPageBreak/>
        <w:t>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3D4F37D8" w14:textId="77777777" w:rsidR="00D9594A" w:rsidRDefault="00D9594A" w:rsidP="00D9594A">
      <w:pPr>
        <w:tabs>
          <w:tab w:val="center" w:pos="4522"/>
        </w:tabs>
        <w:spacing w:after="0" w:line="360" w:lineRule="auto"/>
        <w:rPr>
          <w:color w:val="000000"/>
        </w:rPr>
      </w:pPr>
    </w:p>
    <w:p w14:paraId="231E21A0" w14:textId="099AB13E" w:rsidR="00D9594A" w:rsidRDefault="00D9594A" w:rsidP="00D9594A">
      <w:pPr>
        <w:tabs>
          <w:tab w:val="center" w:pos="4522"/>
        </w:tabs>
        <w:spacing w:after="0" w:line="360" w:lineRule="auto"/>
        <w:rPr>
          <w:color w:val="000000"/>
        </w:rPr>
      </w:pPr>
      <w:r>
        <w:rPr>
          <w:color w:val="000000"/>
        </w:rPr>
        <w:t>En ese orden de ideas, en el portal de la Comisión Nacional para la Protección y Defensa de los Usuarios de Servicios Financieros, se establece que los bancos son instituciones financieras; conforme a lo anterior, se puede advertir que las instituciones bancarias, son personas morales.</w:t>
      </w:r>
    </w:p>
    <w:p w14:paraId="55FCCDE4" w14:textId="77777777" w:rsidR="00D9594A" w:rsidRDefault="00D9594A" w:rsidP="00D9594A">
      <w:pPr>
        <w:tabs>
          <w:tab w:val="center" w:pos="4522"/>
        </w:tabs>
        <w:spacing w:after="0" w:line="360" w:lineRule="auto"/>
        <w:rPr>
          <w:color w:val="000000"/>
        </w:rPr>
      </w:pPr>
    </w:p>
    <w:p w14:paraId="5E738AB4" w14:textId="77777777" w:rsidR="00D9594A" w:rsidRDefault="00D9594A" w:rsidP="00D9594A">
      <w:pPr>
        <w:tabs>
          <w:tab w:val="center" w:pos="4522"/>
        </w:tabs>
        <w:spacing w:after="0" w:line="360" w:lineRule="auto"/>
        <w:rPr>
          <w:color w:val="000000"/>
        </w:rPr>
      </w:pPr>
      <w:r>
        <w:rPr>
          <w:color w:val="000000"/>
        </w:rPr>
        <w:t>En ese orden de ideas, se considera que la denominación o razón social de una persona moral, es pública, pues dichos datos se encuentran inscritos en el Registro Público del Comercio; lo anterior, toma sustento en el Criterio Orientador, de la Segunda Época, con número de registro SO/008/2019, emitido por el entonces Instituto Nacional de Transparencia, Acceso a la Información y Protección de Datos Personales, previamente referido.</w:t>
      </w:r>
    </w:p>
    <w:p w14:paraId="119D044B" w14:textId="77777777" w:rsidR="00D9594A" w:rsidRDefault="00D9594A" w:rsidP="00D9594A">
      <w:pPr>
        <w:tabs>
          <w:tab w:val="center" w:pos="4522"/>
        </w:tabs>
        <w:spacing w:after="0" w:line="360" w:lineRule="auto"/>
        <w:rPr>
          <w:color w:val="000000"/>
        </w:rPr>
      </w:pPr>
    </w:p>
    <w:p w14:paraId="4FBA701C" w14:textId="0E8E4934" w:rsidR="00D9594A" w:rsidRDefault="00D9594A" w:rsidP="00D9594A">
      <w:pPr>
        <w:tabs>
          <w:tab w:val="center" w:pos="4522"/>
        </w:tabs>
        <w:spacing w:after="0" w:line="360" w:lineRule="auto"/>
        <w:rPr>
          <w:color w:val="000000"/>
        </w:rPr>
      </w:pPr>
      <w:r>
        <w:rPr>
          <w:color w:val="000000"/>
        </w:rPr>
        <w:t xml:space="preserve">Lo anterior, se robustece con el hecho de que existe el Sistema de Registro de Prestadores de Servicios Financieros, que es un registro de </w:t>
      </w:r>
      <w:r>
        <w:rPr>
          <w:b/>
          <w:color w:val="000000"/>
        </w:rPr>
        <w:t xml:space="preserve">carácter público, </w:t>
      </w:r>
      <w:r>
        <w:rPr>
          <w:color w:val="000000"/>
        </w:rPr>
        <w:t>cuyo objetivo principal, consiste en proporcionar información corporativa y general de las instituciones financieras</w:t>
      </w:r>
      <w:r>
        <w:rPr>
          <w:b/>
          <w:color w:val="000000"/>
        </w:rPr>
        <w:t xml:space="preserve">; además, que permite conocer al público general, información de dichos entes, </w:t>
      </w:r>
      <w:r>
        <w:rPr>
          <w:color w:val="000000"/>
        </w:rPr>
        <w:t xml:space="preserve">se muestra un ejemplo a continuación: </w:t>
      </w:r>
    </w:p>
    <w:p w14:paraId="48601682" w14:textId="5374A077" w:rsidR="00D9594A" w:rsidRDefault="00D9594A" w:rsidP="00D9594A">
      <w:pPr>
        <w:tabs>
          <w:tab w:val="center" w:pos="4522"/>
        </w:tabs>
        <w:spacing w:after="0" w:line="360" w:lineRule="auto"/>
        <w:jc w:val="center"/>
        <w:rPr>
          <w:color w:val="000000"/>
        </w:rPr>
      </w:pPr>
      <w:r>
        <w:rPr>
          <w:noProof/>
          <w:color w:val="000000"/>
        </w:rPr>
        <w:lastRenderedPageBreak/>
        <w:drawing>
          <wp:inline distT="0" distB="0" distL="0" distR="0" wp14:anchorId="31791278" wp14:editId="3C5CE972">
            <wp:extent cx="4772025" cy="2476500"/>
            <wp:effectExtent l="0" t="0" r="9525" b="0"/>
            <wp:docPr id="2034922017" name="Imagen 1"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Imagen que contiene Escala de tiempo&#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t="2" b="378"/>
                    <a:stretch>
                      <a:fillRect/>
                    </a:stretch>
                  </pic:blipFill>
                  <pic:spPr bwMode="auto">
                    <a:xfrm>
                      <a:off x="0" y="0"/>
                      <a:ext cx="4772025" cy="2476500"/>
                    </a:xfrm>
                    <a:prstGeom prst="rect">
                      <a:avLst/>
                    </a:prstGeom>
                    <a:noFill/>
                    <a:ln>
                      <a:noFill/>
                    </a:ln>
                  </pic:spPr>
                </pic:pic>
              </a:graphicData>
            </a:graphic>
          </wp:inline>
        </w:drawing>
      </w:r>
    </w:p>
    <w:p w14:paraId="294C5A09" w14:textId="77777777" w:rsidR="00D9594A" w:rsidRDefault="00D9594A" w:rsidP="00D9594A">
      <w:pPr>
        <w:tabs>
          <w:tab w:val="center" w:pos="4522"/>
        </w:tabs>
        <w:spacing w:after="0" w:line="360" w:lineRule="auto"/>
        <w:rPr>
          <w:color w:val="000000"/>
        </w:rPr>
      </w:pPr>
    </w:p>
    <w:p w14:paraId="7126D8D1" w14:textId="77777777" w:rsidR="00D9594A" w:rsidRDefault="00D9594A" w:rsidP="00D9594A">
      <w:pPr>
        <w:tabs>
          <w:tab w:val="center" w:pos="4522"/>
        </w:tabs>
        <w:spacing w:after="0" w:line="360" w:lineRule="auto"/>
        <w:rPr>
          <w:color w:val="000000"/>
        </w:rPr>
      </w:pPr>
      <w:r>
        <w:rPr>
          <w:color w:val="000000"/>
        </w:rPr>
        <w:t>Conforme a lo anterior, se logra vislumbrar que el nombre de las instituciones bancarias en primera instancia es de naturaleza pública; sin embargo, en el presente caso, se relacionada con el hecho de que corresponde al banco en el cual un proveedor o contratista decidió recibir el pago de sus servicios; es decir, daría cuenta de la decisión voluntaria de recibir el pago de sus servicios en una determinada institución; lo cual se relaciona con la cuenta y clave interbancaria, mismos que son confidenciales.</w:t>
      </w:r>
    </w:p>
    <w:p w14:paraId="7A58CA0D" w14:textId="77777777" w:rsidR="00D9594A" w:rsidRDefault="00D9594A" w:rsidP="00D9594A">
      <w:pPr>
        <w:tabs>
          <w:tab w:val="center" w:pos="4522"/>
        </w:tabs>
        <w:spacing w:after="0" w:line="360" w:lineRule="auto"/>
        <w:rPr>
          <w:color w:val="000000"/>
        </w:rPr>
      </w:pPr>
    </w:p>
    <w:p w14:paraId="3B4C45F1" w14:textId="77777777" w:rsidR="00D9594A" w:rsidRDefault="00D9594A" w:rsidP="00D9594A">
      <w:pPr>
        <w:tabs>
          <w:tab w:val="center" w:pos="4522"/>
        </w:tabs>
        <w:spacing w:after="0" w:line="360" w:lineRule="auto"/>
        <w:rPr>
          <w:color w:val="000000"/>
        </w:rPr>
      </w:pPr>
      <w:r>
        <w:rPr>
          <w:color w:val="000000"/>
        </w:rPr>
        <w:t xml:space="preserve">Además, revelaría el lugar en donde el proveedor recibió los recursos por prestar sus servicios, lo cual únicamente está relacionado a su vida íntima o privada de la persona moral; por lo que, este Instituto considera que el nombre de la institución </w:t>
      </w:r>
      <w:proofErr w:type="gramStart"/>
      <w:r>
        <w:rPr>
          <w:color w:val="000000"/>
        </w:rPr>
        <w:t>bancaria,</w:t>
      </w:r>
      <w:proofErr w:type="gramEnd"/>
      <w:r>
        <w:rPr>
          <w:color w:val="000000"/>
        </w:rPr>
        <w:t xml:space="preserve"> actualiza la causal de clasificación prevista en el artículo 143, fracción I, de la Ley de Transparencia y Acceso a la Información Pública del Estado de México y Municipios.</w:t>
      </w:r>
    </w:p>
    <w:p w14:paraId="7823F3B5" w14:textId="77777777" w:rsidR="00D9594A" w:rsidRDefault="00D9594A" w:rsidP="00D9594A">
      <w:pPr>
        <w:tabs>
          <w:tab w:val="center" w:pos="4522"/>
        </w:tabs>
        <w:spacing w:after="0" w:line="360" w:lineRule="auto"/>
        <w:rPr>
          <w:color w:val="000000"/>
        </w:rPr>
      </w:pPr>
    </w:p>
    <w:p w14:paraId="164959B2"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 xml:space="preserve">Ahora bien, se procede analizar de manera oficiosa, si procede la clasificación del nombre de los elementos operativos adscritos a la </w:t>
      </w:r>
      <w:r>
        <w:t>Dirección de Seguridad Pública, Tránsito y Bomberos;</w:t>
      </w:r>
      <w:r>
        <w:rPr>
          <w:rFonts w:eastAsia="Calibri" w:cs="Times New Roman"/>
          <w:color w:val="000000"/>
          <w:lang w:eastAsia="en-US"/>
        </w:rPr>
        <w:t xml:space="preserve"> por lo que, el artículo 140, fracción IV, de la Ley de Transparencia y Acceso a la Información Pública del Estado de México y Municipios, prevé lo siguiente:</w:t>
      </w:r>
    </w:p>
    <w:p w14:paraId="1702CDB8" w14:textId="77777777" w:rsidR="00D9594A" w:rsidRDefault="00D9594A" w:rsidP="00D9594A">
      <w:pPr>
        <w:spacing w:after="0" w:line="360" w:lineRule="auto"/>
        <w:rPr>
          <w:rFonts w:eastAsia="Calibri" w:cs="Times New Roman"/>
          <w:color w:val="000000"/>
          <w:lang w:eastAsia="en-US"/>
        </w:rPr>
      </w:pPr>
    </w:p>
    <w:p w14:paraId="619ACD54" w14:textId="77777777" w:rsidR="00D9594A" w:rsidRDefault="00D9594A" w:rsidP="00D9594A">
      <w:pPr>
        <w:tabs>
          <w:tab w:val="left" w:pos="4962"/>
        </w:tabs>
        <w:spacing w:after="0" w:line="360" w:lineRule="auto"/>
        <w:ind w:left="567" w:right="567"/>
        <w:rPr>
          <w:rFonts w:eastAsia="Calibri" w:cs="Times New Roman"/>
          <w:i/>
          <w:color w:val="000000"/>
          <w:sz w:val="20"/>
          <w:szCs w:val="20"/>
          <w:lang w:eastAsia="en-US"/>
        </w:rPr>
      </w:pPr>
      <w:r>
        <w:rPr>
          <w:rFonts w:eastAsia="Calibri" w:cs="Times New Roman"/>
          <w:i/>
          <w:color w:val="000000"/>
          <w:sz w:val="20"/>
          <w:szCs w:val="20"/>
          <w:lang w:eastAsia="en-US"/>
        </w:rPr>
        <w:t>“</w:t>
      </w:r>
      <w:r>
        <w:rPr>
          <w:rFonts w:eastAsia="Calibri" w:cs="Times New Roman"/>
          <w:b/>
          <w:i/>
          <w:color w:val="000000"/>
          <w:sz w:val="20"/>
          <w:szCs w:val="20"/>
          <w:lang w:eastAsia="en-US"/>
        </w:rPr>
        <w:t>Artículo 140.</w:t>
      </w:r>
      <w:r>
        <w:rPr>
          <w:rFonts w:eastAsia="Calibri" w:cs="Times New Roman"/>
          <w:i/>
          <w:color w:val="000000"/>
          <w:sz w:val="20"/>
          <w:szCs w:val="20"/>
          <w:lang w:eastAsia="en-US"/>
        </w:rPr>
        <w:t xml:space="preserve"> El acceso a la información pública será restringido excepcionalmente, cuando por razones de interés público, ésta sea clasificada como reservada, conforme a los criterios siguientes: </w:t>
      </w:r>
    </w:p>
    <w:p w14:paraId="0AC40648" w14:textId="77777777" w:rsidR="00D9594A" w:rsidRDefault="00D9594A" w:rsidP="00D9594A">
      <w:pPr>
        <w:tabs>
          <w:tab w:val="left" w:pos="4962"/>
        </w:tabs>
        <w:spacing w:after="0" w:line="360" w:lineRule="auto"/>
        <w:ind w:left="567" w:right="567"/>
        <w:rPr>
          <w:rFonts w:eastAsia="Calibri" w:cs="Times New Roman"/>
          <w:i/>
          <w:color w:val="000000"/>
          <w:sz w:val="20"/>
          <w:szCs w:val="20"/>
          <w:lang w:eastAsia="en-US"/>
        </w:rPr>
      </w:pPr>
      <w:r>
        <w:rPr>
          <w:rFonts w:eastAsia="Calibri" w:cs="Times New Roman"/>
          <w:i/>
          <w:color w:val="000000"/>
          <w:sz w:val="20"/>
          <w:szCs w:val="20"/>
          <w:lang w:eastAsia="en-US"/>
        </w:rPr>
        <w:t>…</w:t>
      </w:r>
    </w:p>
    <w:p w14:paraId="1D31A7D0" w14:textId="77777777" w:rsidR="00D9594A" w:rsidRDefault="00D9594A" w:rsidP="00D9594A">
      <w:pPr>
        <w:tabs>
          <w:tab w:val="left" w:pos="4962"/>
        </w:tabs>
        <w:spacing w:after="0" w:line="360" w:lineRule="auto"/>
        <w:ind w:left="567" w:right="567"/>
        <w:rPr>
          <w:rFonts w:eastAsia="Calibri" w:cs="Times New Roman"/>
          <w:i/>
          <w:color w:val="000000"/>
          <w:sz w:val="20"/>
          <w:szCs w:val="20"/>
          <w:lang w:eastAsia="en-US"/>
        </w:rPr>
      </w:pPr>
      <w:r>
        <w:rPr>
          <w:rFonts w:eastAsia="Calibri" w:cs="Times New Roman"/>
          <w:i/>
          <w:color w:val="000000"/>
          <w:sz w:val="20"/>
          <w:szCs w:val="20"/>
          <w:lang w:eastAsia="en-US"/>
        </w:rPr>
        <w:t>IV. Ponga en riesgo la vida, la seguridad o la salud de una persona física;</w:t>
      </w:r>
    </w:p>
    <w:p w14:paraId="14FF9E1F" w14:textId="77777777" w:rsidR="00D9594A" w:rsidRDefault="00D9594A" w:rsidP="00D9594A">
      <w:pPr>
        <w:tabs>
          <w:tab w:val="left" w:pos="4962"/>
        </w:tabs>
        <w:spacing w:after="0" w:line="360" w:lineRule="auto"/>
        <w:ind w:left="567" w:right="567"/>
        <w:rPr>
          <w:rFonts w:eastAsia="Calibri" w:cs="Times New Roman"/>
          <w:i/>
          <w:color w:val="000000"/>
          <w:sz w:val="20"/>
          <w:szCs w:val="20"/>
          <w:lang w:eastAsia="en-US"/>
        </w:rPr>
      </w:pPr>
      <w:r>
        <w:rPr>
          <w:rFonts w:eastAsia="Calibri" w:cs="Times New Roman"/>
          <w:i/>
          <w:color w:val="000000"/>
          <w:sz w:val="20"/>
          <w:szCs w:val="20"/>
          <w:lang w:eastAsia="en-US"/>
        </w:rPr>
        <w:t xml:space="preserve">…” </w:t>
      </w:r>
    </w:p>
    <w:p w14:paraId="2D61D0A6" w14:textId="77777777" w:rsidR="00D9594A" w:rsidRDefault="00D9594A" w:rsidP="00D9594A">
      <w:pPr>
        <w:spacing w:after="0" w:line="360" w:lineRule="auto"/>
        <w:rPr>
          <w:rFonts w:eastAsia="Calibri" w:cs="Times New Roman"/>
          <w:color w:val="000000"/>
          <w:lang w:eastAsia="en-US"/>
        </w:rPr>
      </w:pPr>
    </w:p>
    <w:p w14:paraId="1C8E2B6D"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14:paraId="1524B424" w14:textId="77777777" w:rsidR="00D9594A" w:rsidRDefault="00D9594A" w:rsidP="00D9594A">
      <w:pPr>
        <w:spacing w:after="0" w:line="360" w:lineRule="auto"/>
        <w:rPr>
          <w:rFonts w:eastAsia="Calibri" w:cs="Times New Roman"/>
          <w:color w:val="000000"/>
          <w:lang w:eastAsia="en-US"/>
        </w:rPr>
      </w:pPr>
    </w:p>
    <w:p w14:paraId="3C1F7DC1" w14:textId="77777777" w:rsidR="00D9594A" w:rsidRDefault="00D9594A" w:rsidP="00D9594A">
      <w:pPr>
        <w:spacing w:after="0" w:line="360" w:lineRule="auto"/>
        <w:ind w:left="567" w:right="567"/>
        <w:rPr>
          <w:rFonts w:eastAsia="Calibri" w:cs="Times New Roman"/>
          <w:i/>
          <w:color w:val="000000"/>
          <w:sz w:val="20"/>
          <w:szCs w:val="20"/>
          <w:lang w:eastAsia="en-US"/>
        </w:rPr>
      </w:pPr>
      <w:r>
        <w:rPr>
          <w:rFonts w:eastAsia="Calibri" w:cs="Times New Roman"/>
          <w:b/>
          <w:i/>
          <w:color w:val="000000"/>
          <w:sz w:val="20"/>
          <w:szCs w:val="20"/>
          <w:lang w:eastAsia="en-US"/>
        </w:rPr>
        <w:t xml:space="preserve">“Vigésimo tercero. </w:t>
      </w:r>
      <w:r>
        <w:rPr>
          <w:rFonts w:eastAsia="Calibri" w:cs="Times New Roman"/>
          <w:i/>
          <w:color w:val="000000"/>
          <w:sz w:val="20"/>
          <w:szCs w:val="20"/>
          <w:lang w:eastAsia="en-US"/>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1F282331" w14:textId="77777777" w:rsidR="00D9594A" w:rsidRDefault="00D9594A" w:rsidP="00D9594A">
      <w:pPr>
        <w:spacing w:after="0" w:line="360" w:lineRule="auto"/>
        <w:ind w:left="567" w:right="567"/>
        <w:rPr>
          <w:rFonts w:eastAsia="Calibri" w:cs="Times New Roman"/>
          <w:i/>
          <w:color w:val="000000"/>
          <w:lang w:eastAsia="en-US"/>
        </w:rPr>
      </w:pPr>
    </w:p>
    <w:p w14:paraId="61DACC9D"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 xml:space="preserve">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 </w:t>
      </w:r>
    </w:p>
    <w:p w14:paraId="21E89D9F" w14:textId="77777777" w:rsidR="00D9594A" w:rsidRDefault="00D9594A" w:rsidP="00D9594A">
      <w:pPr>
        <w:spacing w:after="0" w:line="360" w:lineRule="auto"/>
        <w:rPr>
          <w:rFonts w:eastAsia="Calibri" w:cs="Times New Roman"/>
          <w:color w:val="000000"/>
          <w:lang w:eastAsia="en-US"/>
        </w:rPr>
      </w:pPr>
    </w:p>
    <w:p w14:paraId="73F39687"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62E2BAF8" w14:textId="77777777" w:rsidR="00D9594A" w:rsidRDefault="00D9594A" w:rsidP="00D9594A">
      <w:pPr>
        <w:spacing w:after="0" w:line="360" w:lineRule="auto"/>
        <w:rPr>
          <w:rFonts w:eastAsia="Calibri" w:cs="Times New Roman"/>
          <w:color w:val="000000"/>
          <w:lang w:eastAsia="en-US"/>
        </w:rPr>
      </w:pPr>
    </w:p>
    <w:p w14:paraId="2F2B94BC"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 xml:space="preserve">En ese contexto, es de señalar que los datos de servidores públicos, entre los que se encuentran el nombre de los trabajadores, por regla general, son de naturaleza pública, de conformidad con el artículo 70, fracción VII de la Ley General de Transparencia y Acceso a </w:t>
      </w:r>
      <w:r>
        <w:rPr>
          <w:rFonts w:eastAsia="Calibri" w:cs="Times New Roman"/>
          <w:color w:val="000000"/>
          <w:lang w:eastAsia="en-US"/>
        </w:rPr>
        <w:lastRenderedPageBreak/>
        <w:t>la Información Pública del Estado de México, y 92, fracción VII, de la Ley de Transparencia y Acceso a la Información Pública del Estado de México y Municipios.</w:t>
      </w:r>
    </w:p>
    <w:p w14:paraId="35F5C591" w14:textId="77777777" w:rsidR="00D9594A" w:rsidRDefault="00D9594A" w:rsidP="00D9594A">
      <w:pPr>
        <w:spacing w:after="0" w:line="360" w:lineRule="auto"/>
        <w:rPr>
          <w:rFonts w:eastAsia="Calibri" w:cs="Times New Roman"/>
          <w:color w:val="000000"/>
          <w:lang w:eastAsia="en-US"/>
        </w:rPr>
      </w:pPr>
    </w:p>
    <w:p w14:paraId="30A91A47"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También, resulta necesario traer a colación por analogía, el Criterio Orientador, con número de registro SO/006/2009, de la Segunda Época, emitido por el entonces Instituto Federal de Acceso a la Información y Protección de Datos ahora Instituto Nacional de Transparencia, Acceso a la Información y Protección de Datos Personales, que establece lo siguiente:</w:t>
      </w:r>
    </w:p>
    <w:p w14:paraId="6261DE06" w14:textId="77777777" w:rsidR="00D9594A" w:rsidRDefault="00D9594A" w:rsidP="00D9594A">
      <w:pPr>
        <w:spacing w:after="0" w:line="360" w:lineRule="auto"/>
        <w:rPr>
          <w:rFonts w:eastAsia="Calibri" w:cs="Times New Roman"/>
          <w:i/>
          <w:color w:val="000000"/>
          <w:lang w:eastAsia="en-US"/>
        </w:rPr>
      </w:pPr>
    </w:p>
    <w:p w14:paraId="5F8F69EA" w14:textId="77777777" w:rsidR="00D9594A" w:rsidRDefault="00D9594A" w:rsidP="00D9594A">
      <w:pPr>
        <w:tabs>
          <w:tab w:val="left" w:pos="4962"/>
        </w:tabs>
        <w:spacing w:after="0" w:line="360" w:lineRule="auto"/>
        <w:ind w:left="567" w:right="567"/>
        <w:rPr>
          <w:rFonts w:eastAsia="Calibri" w:cs="Times New Roman"/>
          <w:i/>
          <w:color w:val="000000"/>
          <w:sz w:val="20"/>
          <w:szCs w:val="20"/>
          <w:lang w:eastAsia="en-US"/>
        </w:rPr>
      </w:pPr>
      <w:r>
        <w:rPr>
          <w:rFonts w:eastAsia="Calibri" w:cs="Times New Roman"/>
          <w:b/>
          <w:i/>
          <w:color w:val="000000"/>
          <w:sz w:val="20"/>
          <w:szCs w:val="20"/>
          <w:lang w:eastAsia="en-US"/>
        </w:rPr>
        <w:t>“Nombres de servidores públicos dedicados a actividades en materia de seguridad, por excepción pueden considerarse información reservada.</w:t>
      </w:r>
      <w:r>
        <w:rPr>
          <w:rFonts w:eastAsia="Calibri" w:cs="Times New Roman"/>
          <w:i/>
          <w:color w:val="000000"/>
          <w:sz w:val="20"/>
          <w:szCs w:val="20"/>
          <w:lang w:eastAsia="en-US"/>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Pr>
          <w:rFonts w:eastAsia="Calibri" w:cs="Times New Roman"/>
          <w:i/>
          <w:color w:val="000000"/>
          <w:sz w:val="20"/>
          <w:szCs w:val="20"/>
          <w:lang w:eastAsia="en-US"/>
        </w:rPr>
        <w:t>obstante</w:t>
      </w:r>
      <w:proofErr w:type="gramEnd"/>
      <w:r>
        <w:rPr>
          <w:rFonts w:eastAsia="Calibri" w:cs="Times New Roman"/>
          <w:i/>
          <w:color w:val="000000"/>
          <w:sz w:val="20"/>
          <w:szCs w:val="20"/>
          <w:lang w:eastAsia="en-US"/>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BDF18C4" w14:textId="77777777" w:rsidR="00D9594A" w:rsidRDefault="00D9594A" w:rsidP="00D9594A">
      <w:pPr>
        <w:spacing w:after="0" w:line="360" w:lineRule="auto"/>
        <w:rPr>
          <w:rFonts w:eastAsia="Calibri" w:cs="Times New Roman"/>
          <w:color w:val="000000"/>
          <w:lang w:eastAsia="en-US"/>
        </w:rPr>
      </w:pPr>
    </w:p>
    <w:p w14:paraId="58C5DA1D"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lastRenderedPageBreak/>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394D6C3E" w14:textId="77777777" w:rsidR="00D9594A" w:rsidRDefault="00D9594A" w:rsidP="00D9594A">
      <w:pPr>
        <w:spacing w:after="0" w:line="360" w:lineRule="auto"/>
        <w:rPr>
          <w:rFonts w:eastAsia="Calibri" w:cs="Times New Roman"/>
          <w:color w:val="000000"/>
          <w:lang w:eastAsia="en-US"/>
        </w:rPr>
      </w:pPr>
    </w:p>
    <w:p w14:paraId="6A3E5AF7"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7534AAC4" w14:textId="77777777" w:rsidR="00D9594A" w:rsidRDefault="00D9594A" w:rsidP="00D9594A">
      <w:pPr>
        <w:spacing w:after="0" w:line="360" w:lineRule="auto"/>
        <w:rPr>
          <w:rFonts w:eastAsia="Calibri" w:cs="Times New Roman"/>
          <w:color w:val="000000"/>
          <w:lang w:eastAsia="en-US"/>
        </w:rPr>
      </w:pPr>
    </w:p>
    <w:p w14:paraId="008816C5"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 xml:space="preserve">En ese orden de ideas, si bien por regla general los nombres de los trabajadores gubernamentales son información pública de oficio, existe una excepción relativa a </w:t>
      </w:r>
      <w:r>
        <w:rPr>
          <w:rFonts w:eastAsia="Calibri" w:cs="Times New Roman"/>
          <w:b/>
          <w:color w:val="000000"/>
          <w:lang w:eastAsia="en-US"/>
        </w:rPr>
        <w:t>aquellos que realicen actividades operativas en materia de seguridad,</w:t>
      </w:r>
      <w:r>
        <w:rPr>
          <w:rFonts w:eastAsia="Calibri" w:cs="Times New Roman"/>
          <w:color w:val="000000"/>
          <w:lang w:eastAsia="en-US"/>
        </w:rPr>
        <w:t xml:space="preserve"> como es el caso de los elementos operativos y la policía municipal.</w:t>
      </w:r>
    </w:p>
    <w:p w14:paraId="7FDE36E4" w14:textId="77777777" w:rsidR="00D9594A" w:rsidRDefault="00D9594A" w:rsidP="00D9594A">
      <w:pPr>
        <w:spacing w:after="0" w:line="360" w:lineRule="auto"/>
        <w:rPr>
          <w:rFonts w:eastAsia="Calibri" w:cs="Times New Roman"/>
          <w:color w:val="000000"/>
          <w:lang w:eastAsia="en-US"/>
        </w:rPr>
      </w:pPr>
    </w:p>
    <w:p w14:paraId="0AECB2EE"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5991B45" w14:textId="77777777" w:rsidR="00D9594A" w:rsidRDefault="00D9594A" w:rsidP="00D9594A">
      <w:pPr>
        <w:spacing w:after="0" w:line="360" w:lineRule="auto"/>
        <w:rPr>
          <w:rFonts w:eastAsia="Calibri" w:cs="Times New Roman"/>
          <w:color w:val="000000"/>
          <w:lang w:eastAsia="en-US"/>
        </w:rPr>
      </w:pPr>
    </w:p>
    <w:p w14:paraId="11A6F797" w14:textId="77777777" w:rsidR="00FA31F5" w:rsidRDefault="00FA31F5" w:rsidP="00D9594A">
      <w:pPr>
        <w:spacing w:after="0" w:line="360" w:lineRule="auto"/>
        <w:rPr>
          <w:rFonts w:eastAsia="Calibri" w:cs="Times New Roman"/>
          <w:color w:val="000000"/>
          <w:lang w:eastAsia="en-US"/>
        </w:rPr>
      </w:pPr>
    </w:p>
    <w:p w14:paraId="1DFCAB83" w14:textId="77777777" w:rsidR="00FA31F5" w:rsidRDefault="00FA31F5" w:rsidP="00D9594A">
      <w:pPr>
        <w:spacing w:after="0" w:line="360" w:lineRule="auto"/>
        <w:rPr>
          <w:rFonts w:eastAsia="Calibri" w:cs="Times New Roman"/>
          <w:color w:val="000000"/>
          <w:lang w:eastAsia="en-US"/>
        </w:rPr>
      </w:pPr>
    </w:p>
    <w:p w14:paraId="4DB7F27E"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En ese contexto, el artículo 6°, fracciones XI y XII de dicho ordenamiento jurídico, establece los siguientes conceptos:</w:t>
      </w:r>
    </w:p>
    <w:p w14:paraId="24DEB01B" w14:textId="77777777" w:rsidR="00D9594A" w:rsidRDefault="00D9594A" w:rsidP="00D9594A">
      <w:pPr>
        <w:spacing w:after="0" w:line="360" w:lineRule="auto"/>
        <w:rPr>
          <w:rFonts w:eastAsia="Calibri" w:cs="Times New Roman"/>
          <w:color w:val="000000"/>
          <w:lang w:eastAsia="en-US"/>
        </w:rPr>
      </w:pPr>
    </w:p>
    <w:p w14:paraId="0E16B79B" w14:textId="77777777" w:rsidR="00D9594A" w:rsidRDefault="00D9594A" w:rsidP="00D9594A">
      <w:pPr>
        <w:numPr>
          <w:ilvl w:val="0"/>
          <w:numId w:val="34"/>
        </w:numPr>
        <w:spacing w:after="0" w:line="360" w:lineRule="auto"/>
        <w:rPr>
          <w:rFonts w:eastAsia="Calibri" w:cs="Times New Roman"/>
          <w:b/>
          <w:color w:val="000000"/>
          <w:lang w:eastAsia="en-US"/>
        </w:rPr>
      </w:pPr>
      <w:r>
        <w:rPr>
          <w:rFonts w:eastAsia="Calibri" w:cs="Times New Roman"/>
          <w:b/>
          <w:color w:val="000000"/>
          <w:lang w:eastAsia="en-US"/>
        </w:rPr>
        <w:t xml:space="preserve">Instituciones Policiales: </w:t>
      </w:r>
      <w:r>
        <w:rPr>
          <w:rFonts w:eastAsia="Calibri" w:cs="Times New Roman"/>
          <w:color w:val="000000"/>
          <w:lang w:eastAsia="en-US"/>
        </w:rPr>
        <w:t xml:space="preserve">Son los cuerpos de policía, de vigilancia y custodia de los establecimientos penitenciarios, detención preventiva, centros de arraigo y en general, </w:t>
      </w:r>
      <w:r>
        <w:rPr>
          <w:rFonts w:eastAsia="Calibri" w:cs="Times New Roman"/>
          <w:b/>
          <w:color w:val="000000"/>
          <w:lang w:eastAsia="en-US"/>
        </w:rPr>
        <w:t>todas las dependencias encargadas de la seguridad pública a nivel</w:t>
      </w:r>
      <w:r>
        <w:rPr>
          <w:rFonts w:eastAsia="Calibri" w:cs="Times New Roman"/>
          <w:color w:val="000000"/>
          <w:lang w:eastAsia="en-US"/>
        </w:rPr>
        <w:t xml:space="preserve"> estatal y </w:t>
      </w:r>
      <w:r>
        <w:rPr>
          <w:rFonts w:eastAsia="Calibri" w:cs="Times New Roman"/>
          <w:b/>
          <w:color w:val="000000"/>
          <w:lang w:eastAsia="en-US"/>
        </w:rPr>
        <w:t>municipal.</w:t>
      </w:r>
    </w:p>
    <w:p w14:paraId="188E66D7" w14:textId="77777777" w:rsidR="00D9594A" w:rsidRDefault="00D9594A" w:rsidP="00D9594A">
      <w:pPr>
        <w:spacing w:after="0" w:line="360" w:lineRule="auto"/>
        <w:ind w:left="720"/>
        <w:rPr>
          <w:rFonts w:eastAsia="Calibri" w:cs="Times New Roman"/>
          <w:color w:val="000000"/>
          <w:lang w:eastAsia="en-US"/>
        </w:rPr>
      </w:pPr>
    </w:p>
    <w:p w14:paraId="2A0BFC0E" w14:textId="77777777" w:rsidR="00D9594A" w:rsidRDefault="00D9594A" w:rsidP="00D9594A">
      <w:pPr>
        <w:numPr>
          <w:ilvl w:val="0"/>
          <w:numId w:val="34"/>
        </w:numPr>
        <w:spacing w:after="0" w:line="360" w:lineRule="auto"/>
        <w:rPr>
          <w:rFonts w:eastAsia="Calibri" w:cs="Times New Roman"/>
          <w:b/>
          <w:color w:val="000000"/>
          <w:lang w:eastAsia="en-US"/>
        </w:rPr>
      </w:pPr>
      <w:r>
        <w:rPr>
          <w:rFonts w:eastAsia="Calibri" w:cs="Times New Roman"/>
          <w:b/>
          <w:color w:val="000000"/>
          <w:lang w:eastAsia="en-US"/>
        </w:rPr>
        <w:t xml:space="preserve">Instituciones de Seguridad Pública: </w:t>
      </w:r>
      <w:r>
        <w:rPr>
          <w:rFonts w:eastAsia="Calibri" w:cs="Times New Roman"/>
          <w:color w:val="000000"/>
          <w:lang w:eastAsia="en-US"/>
        </w:rPr>
        <w:t xml:space="preserve">Instituciones Policiales, Procuración de Justicia, Sistema Penitenciario y </w:t>
      </w:r>
      <w:r>
        <w:rPr>
          <w:rFonts w:eastAsia="Calibri" w:cs="Times New Roman"/>
          <w:b/>
          <w:color w:val="000000"/>
          <w:lang w:eastAsia="en-US"/>
        </w:rPr>
        <w:t xml:space="preserve">dependencias encargadas de la seguridad pública a nivel </w:t>
      </w:r>
      <w:r>
        <w:rPr>
          <w:rFonts w:eastAsia="Calibri" w:cs="Times New Roman"/>
          <w:color w:val="000000"/>
          <w:lang w:eastAsia="en-US"/>
        </w:rPr>
        <w:t xml:space="preserve">estatal y </w:t>
      </w:r>
      <w:r>
        <w:rPr>
          <w:rFonts w:eastAsia="Calibri" w:cs="Times New Roman"/>
          <w:b/>
          <w:color w:val="000000"/>
          <w:lang w:eastAsia="en-US"/>
        </w:rPr>
        <w:t>municipal.</w:t>
      </w:r>
    </w:p>
    <w:p w14:paraId="28D17689" w14:textId="77777777" w:rsidR="00D9594A" w:rsidRDefault="00D9594A" w:rsidP="00D9594A">
      <w:pPr>
        <w:spacing w:after="0" w:line="360" w:lineRule="auto"/>
        <w:ind w:left="720"/>
        <w:rPr>
          <w:rFonts w:eastAsia="Calibri" w:cs="Times New Roman"/>
          <w:b/>
          <w:color w:val="000000"/>
          <w:lang w:eastAsia="en-US"/>
        </w:rPr>
      </w:pPr>
    </w:p>
    <w:p w14:paraId="06BD2A42"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 xml:space="preserve">Conforme a lo anterior, se puede deducir que la </w:t>
      </w:r>
      <w:r>
        <w:t>Dirección de Seguridad Pública, Tránsito y Bomberos</w:t>
      </w:r>
      <w:r>
        <w:rPr>
          <w:rFonts w:eastAsia="Calibri" w:cs="Times New Roman"/>
          <w:color w:val="000000"/>
          <w:lang w:eastAsia="en-US"/>
        </w:rPr>
        <w:t>, es una institución de seguridad pública, pues tiene como atribución principal, la prevención de delitos y proteger a las personas, sus propiedades, posesiones y derechos.</w:t>
      </w:r>
    </w:p>
    <w:p w14:paraId="220ADA34" w14:textId="77777777" w:rsidR="00D9594A" w:rsidRDefault="00D9594A" w:rsidP="00D9594A">
      <w:pPr>
        <w:spacing w:after="0" w:line="360" w:lineRule="auto"/>
        <w:rPr>
          <w:rFonts w:eastAsia="Calibri" w:cs="Times New Roman"/>
          <w:color w:val="000000"/>
          <w:lang w:eastAsia="en-US"/>
        </w:rPr>
      </w:pPr>
    </w:p>
    <w:p w14:paraId="1561C786" w14:textId="77777777" w:rsidR="00D9594A" w:rsidRDefault="00D9594A" w:rsidP="00D9594A">
      <w:pPr>
        <w:spacing w:after="0" w:line="360" w:lineRule="auto"/>
        <w:rPr>
          <w:rFonts w:eastAsia="Calibri" w:cs="Times New Roman"/>
          <w:b/>
          <w:color w:val="000000"/>
          <w:lang w:eastAsia="en-US"/>
        </w:rPr>
      </w:pPr>
      <w:r>
        <w:rPr>
          <w:rFonts w:eastAsia="Calibri" w:cs="Times New Roman"/>
          <w:color w:val="000000"/>
          <w:lang w:eastAsia="en-US"/>
        </w:rPr>
        <w:t xml:space="preserve">Además, el Instructivo de llenado del Formato “Personal de Seguridad Pública”, del Secretariado Ejecutivo del Sistema Nacional de Seguridad Pública, establece que los elementos operativos de seguridad </w:t>
      </w:r>
      <w:proofErr w:type="gramStart"/>
      <w:r>
        <w:rPr>
          <w:rFonts w:eastAsia="Calibri" w:cs="Times New Roman"/>
          <w:color w:val="000000"/>
          <w:lang w:eastAsia="en-US"/>
        </w:rPr>
        <w:t>pública,</w:t>
      </w:r>
      <w:proofErr w:type="gramEnd"/>
      <w:r>
        <w:rPr>
          <w:rFonts w:eastAsia="Calibri" w:cs="Times New Roman"/>
          <w:color w:val="000000"/>
          <w:lang w:eastAsia="en-US"/>
        </w:rPr>
        <w:t xml:space="preserve"> son aquellos que desempeñan funciones de campo (policiacas, especializadas o equivalentes y que no </w:t>
      </w:r>
      <w:r>
        <w:rPr>
          <w:rFonts w:eastAsia="Calibri" w:cs="Times New Roman"/>
          <w:b/>
          <w:color w:val="000000"/>
          <w:lang w:eastAsia="en-US"/>
        </w:rPr>
        <w:t>desempeña funciones de mando</w:t>
      </w:r>
      <w:r>
        <w:rPr>
          <w:rFonts w:eastAsia="Calibri" w:cs="Times New Roman"/>
          <w:color w:val="000000"/>
          <w:lang w:eastAsia="en-US"/>
        </w:rPr>
        <w:t xml:space="preserve">), entre los cuales, se encuentra la </w:t>
      </w:r>
      <w:r>
        <w:rPr>
          <w:rFonts w:eastAsia="Calibri" w:cs="Times New Roman"/>
          <w:b/>
          <w:color w:val="000000"/>
          <w:lang w:eastAsia="en-US"/>
        </w:rPr>
        <w:t>Policía Municipal.</w:t>
      </w:r>
    </w:p>
    <w:p w14:paraId="63300FDB" w14:textId="77777777" w:rsidR="00D9594A" w:rsidRDefault="00D9594A" w:rsidP="00D9594A">
      <w:pPr>
        <w:tabs>
          <w:tab w:val="left" w:pos="4962"/>
        </w:tabs>
        <w:spacing w:after="0" w:line="360" w:lineRule="auto"/>
        <w:ind w:right="-28"/>
        <w:rPr>
          <w:rFonts w:eastAsia="Calibri" w:cs="Times New Roman"/>
          <w:color w:val="000000"/>
          <w:lang w:eastAsia="en-US"/>
        </w:rPr>
      </w:pPr>
    </w:p>
    <w:p w14:paraId="45DD3CE5"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 xml:space="preserve">Asimismo, se advierte que las Instituciones Policiales, se conforman del personal </w:t>
      </w:r>
      <w:r>
        <w:rPr>
          <w:rFonts w:eastAsia="Calibri" w:cs="Times New Roman"/>
          <w:b/>
          <w:color w:val="000000"/>
          <w:lang w:eastAsia="en-US"/>
        </w:rPr>
        <w:t>administrativo,</w:t>
      </w:r>
      <w:r>
        <w:rPr>
          <w:rFonts w:eastAsia="Calibri" w:cs="Times New Roman"/>
          <w:color w:val="000000"/>
          <w:lang w:eastAsia="en-US"/>
        </w:rPr>
        <w:t xml:space="preserve"> que son los trabajadores de apoyo (chofer, personal de mantenimiento, servicios generales y área secretaria); </w:t>
      </w:r>
      <w:r>
        <w:rPr>
          <w:rFonts w:eastAsia="Calibri" w:cs="Times New Roman"/>
          <w:b/>
          <w:color w:val="000000"/>
          <w:lang w:eastAsia="en-US"/>
        </w:rPr>
        <w:t>así como, el personal de mando</w:t>
      </w:r>
      <w:r>
        <w:rPr>
          <w:rFonts w:eastAsia="Calibri" w:cs="Times New Roman"/>
          <w:color w:val="000000"/>
          <w:lang w:eastAsia="en-US"/>
        </w:rPr>
        <w:t xml:space="preserve"> (alto, medio y </w:t>
      </w:r>
      <w:r>
        <w:rPr>
          <w:rFonts w:eastAsia="Calibri" w:cs="Times New Roman"/>
          <w:color w:val="000000"/>
          <w:lang w:eastAsia="en-US"/>
        </w:rPr>
        <w:lastRenderedPageBreak/>
        <w:t>superior), que es aquel que realiza funciones de dirección, coordinación y supervisión, por lo cual, corresponde a aquel que tenga trabajadores a su cargo.</w:t>
      </w:r>
    </w:p>
    <w:p w14:paraId="5375EC17" w14:textId="77777777" w:rsidR="00D9594A" w:rsidRDefault="00D9594A" w:rsidP="00D9594A">
      <w:pPr>
        <w:tabs>
          <w:tab w:val="left" w:pos="4962"/>
        </w:tabs>
        <w:spacing w:after="0" w:line="360" w:lineRule="auto"/>
        <w:ind w:right="-28"/>
        <w:rPr>
          <w:rFonts w:eastAsia="Calibri" w:cs="Times New Roman"/>
          <w:color w:val="000000"/>
          <w:lang w:eastAsia="en-US"/>
        </w:rPr>
      </w:pPr>
    </w:p>
    <w:p w14:paraId="6DEF1275"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De tales circunstancias, se puede observar que la Comisaría General de Seguridad Pública y Tránsito Municipal, tiene dos clases de servidores públicos, por una parte, los operativos (policía municipal) y por otra, los administrativos, de apoyo y personal de mando, los cuales no realizan funciones operativas.</w:t>
      </w:r>
    </w:p>
    <w:p w14:paraId="07A4061F" w14:textId="77777777" w:rsidR="00D9594A" w:rsidRDefault="00D9594A" w:rsidP="00D9594A">
      <w:pPr>
        <w:spacing w:after="0" w:line="360" w:lineRule="auto"/>
        <w:rPr>
          <w:rFonts w:eastAsia="Calibri" w:cs="Times New Roman"/>
          <w:color w:val="000000"/>
          <w:lang w:eastAsia="en-US"/>
        </w:rPr>
      </w:pPr>
    </w:p>
    <w:p w14:paraId="3A8B913A"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74F403B" w14:textId="77777777" w:rsidR="00D9594A" w:rsidRDefault="00D9594A" w:rsidP="00D9594A">
      <w:pPr>
        <w:tabs>
          <w:tab w:val="left" w:pos="4962"/>
        </w:tabs>
        <w:spacing w:after="0" w:line="360" w:lineRule="auto"/>
        <w:ind w:right="-28"/>
        <w:rPr>
          <w:rFonts w:eastAsia="Calibri" w:cs="Times New Roman"/>
          <w:color w:val="000000"/>
          <w:lang w:eastAsia="en-US"/>
        </w:rPr>
      </w:pPr>
    </w:p>
    <w:p w14:paraId="565FC8F6"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33AD61AE" w14:textId="77777777" w:rsidR="00D9594A" w:rsidRDefault="00D9594A" w:rsidP="00D9594A">
      <w:pPr>
        <w:tabs>
          <w:tab w:val="left" w:pos="4962"/>
        </w:tabs>
        <w:spacing w:after="0" w:line="360" w:lineRule="auto"/>
        <w:ind w:right="-28"/>
        <w:rPr>
          <w:rFonts w:eastAsia="Calibri" w:cs="Times New Roman"/>
          <w:color w:val="000000"/>
          <w:lang w:eastAsia="en-US"/>
        </w:rPr>
      </w:pPr>
    </w:p>
    <w:p w14:paraId="1D8921A9"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 xml:space="preserve">De tal situación, se considera que dar a conocer el nombre de los elementos operativos, puede poner en riesgo la vida, seguridad y salud de estos, de sus familias e incluso su entorno social, </w:t>
      </w:r>
      <w:r>
        <w:rPr>
          <w:rFonts w:eastAsia="Calibri" w:cs="Times New Roman"/>
          <w:color w:val="000000"/>
          <w:lang w:eastAsia="en-US"/>
        </w:rPr>
        <w:lastRenderedPageBreak/>
        <w:t>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30DD14E1" w14:textId="77777777" w:rsidR="00D9594A" w:rsidRDefault="00D9594A" w:rsidP="00D9594A">
      <w:pPr>
        <w:spacing w:after="0" w:line="360" w:lineRule="auto"/>
        <w:rPr>
          <w:rFonts w:eastAsia="Calibri" w:cs="Times New Roman"/>
          <w:color w:val="000000"/>
          <w:lang w:eastAsia="en-US"/>
        </w:rPr>
      </w:pPr>
    </w:p>
    <w:p w14:paraId="2C76D654"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14:paraId="66091F24" w14:textId="77777777" w:rsidR="00D9594A" w:rsidRDefault="00D9594A" w:rsidP="00D9594A">
      <w:pPr>
        <w:spacing w:after="0" w:line="360" w:lineRule="auto"/>
        <w:ind w:left="720"/>
        <w:rPr>
          <w:rFonts w:eastAsia="Calibri" w:cs="Times New Roman"/>
          <w:color w:val="000000"/>
          <w:lang w:eastAsia="en-US"/>
        </w:rPr>
      </w:pPr>
    </w:p>
    <w:p w14:paraId="06FCA4FD"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 xml:space="preserve">Por tales consideraciones, resulta procedente la reserva del nombre de los elementos operativos de la </w:t>
      </w:r>
      <w:r>
        <w:t>Dirección de Seguridad Pública, Tránsito y Bomberos</w:t>
      </w:r>
      <w:r>
        <w:rPr>
          <w:rFonts w:eastAsia="Calibri" w:cs="Times New Roman"/>
          <w:color w:val="000000"/>
          <w:lang w:eastAsia="en-US"/>
        </w:rPr>
        <w:t>, lo cual incluye a los policías municipales, en términos del artículo 140, fracción IV, de la Ley de Transparencia y Acceso a la Información Pública del Estado de México y Municipios.</w:t>
      </w:r>
    </w:p>
    <w:p w14:paraId="25522985" w14:textId="77777777" w:rsidR="00D9594A" w:rsidRDefault="00D9594A" w:rsidP="00D9594A">
      <w:pPr>
        <w:spacing w:after="0" w:line="360" w:lineRule="auto"/>
        <w:rPr>
          <w:rFonts w:eastAsia="Calibri" w:cs="Times New Roman"/>
          <w:color w:val="000000"/>
          <w:lang w:eastAsia="en-US"/>
        </w:rPr>
      </w:pPr>
    </w:p>
    <w:p w14:paraId="5C0FA237" w14:textId="77777777" w:rsidR="00D9594A" w:rsidRDefault="00D9594A" w:rsidP="00D9594A">
      <w:pPr>
        <w:tabs>
          <w:tab w:val="left" w:pos="4962"/>
        </w:tabs>
        <w:spacing w:after="0" w:line="360" w:lineRule="auto"/>
        <w:rPr>
          <w:rFonts w:eastAsia="Calibri" w:cs="Times New Roman"/>
          <w:color w:val="000000"/>
          <w:lang w:eastAsia="en-US"/>
        </w:rPr>
      </w:pPr>
      <w:r>
        <w:rPr>
          <w:rFonts w:eastAsia="Calibri" w:cs="Times New Roman"/>
          <w:color w:val="000000"/>
          <w:lang w:eastAsia="en-US"/>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5ECEFC15" w14:textId="77777777" w:rsidR="00D9594A" w:rsidRDefault="00D9594A" w:rsidP="00D9594A">
      <w:pPr>
        <w:tabs>
          <w:tab w:val="left" w:pos="4962"/>
        </w:tabs>
        <w:spacing w:after="0" w:line="360" w:lineRule="auto"/>
        <w:rPr>
          <w:rFonts w:eastAsia="Calibri" w:cs="Times New Roman"/>
          <w:color w:val="000000"/>
          <w:lang w:eastAsia="en-US"/>
        </w:rPr>
      </w:pPr>
    </w:p>
    <w:p w14:paraId="45A9A53E" w14:textId="77777777" w:rsidR="00D9594A" w:rsidRDefault="00D9594A" w:rsidP="00D9594A">
      <w:pPr>
        <w:numPr>
          <w:ilvl w:val="0"/>
          <w:numId w:val="28"/>
        </w:numPr>
        <w:tabs>
          <w:tab w:val="left" w:pos="4962"/>
        </w:tabs>
        <w:spacing w:after="0" w:line="360" w:lineRule="auto"/>
        <w:ind w:left="709" w:hanging="436"/>
        <w:rPr>
          <w:rFonts w:eastAsia="Calibri" w:cs="Times New Roman"/>
          <w:color w:val="000000"/>
          <w:lang w:eastAsia="en-US"/>
        </w:rPr>
      </w:pPr>
      <w:r>
        <w:rPr>
          <w:rFonts w:eastAsia="Calibri" w:cs="Times New Roman"/>
          <w:color w:val="000000"/>
          <w:lang w:eastAsia="en-US"/>
        </w:rPr>
        <w:t>La divulgación de la información representa un riesgo real, demostrable e identificable de perjuicio significativo al interés público o a la seguridad nacional.</w:t>
      </w:r>
    </w:p>
    <w:p w14:paraId="18351FC8" w14:textId="77777777" w:rsidR="00D9594A" w:rsidRDefault="00D9594A" w:rsidP="00D9594A">
      <w:pPr>
        <w:tabs>
          <w:tab w:val="left" w:pos="4962"/>
        </w:tabs>
        <w:spacing w:after="0" w:line="360" w:lineRule="auto"/>
        <w:ind w:left="709" w:hanging="436"/>
        <w:rPr>
          <w:rFonts w:eastAsia="Calibri" w:cs="Times New Roman"/>
          <w:color w:val="000000"/>
          <w:lang w:eastAsia="en-US"/>
        </w:rPr>
      </w:pPr>
    </w:p>
    <w:p w14:paraId="4910F07B" w14:textId="77777777" w:rsidR="00D9594A" w:rsidRDefault="00D9594A" w:rsidP="00D9594A">
      <w:pPr>
        <w:numPr>
          <w:ilvl w:val="0"/>
          <w:numId w:val="28"/>
        </w:numPr>
        <w:tabs>
          <w:tab w:val="left" w:pos="4962"/>
        </w:tabs>
        <w:spacing w:after="0" w:line="360" w:lineRule="auto"/>
        <w:ind w:left="709" w:hanging="436"/>
        <w:jc w:val="left"/>
        <w:rPr>
          <w:rFonts w:eastAsia="Calibri" w:cs="Times New Roman"/>
          <w:color w:val="000000"/>
          <w:lang w:eastAsia="en-US"/>
        </w:rPr>
      </w:pPr>
      <w:r>
        <w:rPr>
          <w:rFonts w:eastAsia="Calibri" w:cs="Times New Roman"/>
          <w:color w:val="000000"/>
          <w:lang w:eastAsia="en-US"/>
        </w:rPr>
        <w:t>El riesgo de perjuicio supera el interés público general de que se difunda.</w:t>
      </w:r>
    </w:p>
    <w:p w14:paraId="29E67AB2" w14:textId="77777777" w:rsidR="00D9594A" w:rsidRDefault="00D9594A" w:rsidP="00D9594A">
      <w:pPr>
        <w:tabs>
          <w:tab w:val="left" w:pos="4962"/>
        </w:tabs>
        <w:spacing w:after="0" w:line="360" w:lineRule="auto"/>
        <w:ind w:left="709" w:hanging="436"/>
        <w:rPr>
          <w:rFonts w:eastAsia="Calibri" w:cs="Times New Roman"/>
          <w:color w:val="000000"/>
          <w:lang w:eastAsia="en-US"/>
        </w:rPr>
      </w:pPr>
    </w:p>
    <w:p w14:paraId="6E8BD0A5" w14:textId="77777777" w:rsidR="00FA31F5" w:rsidRDefault="00FA31F5" w:rsidP="00D9594A">
      <w:pPr>
        <w:tabs>
          <w:tab w:val="left" w:pos="4962"/>
        </w:tabs>
        <w:spacing w:after="0" w:line="360" w:lineRule="auto"/>
        <w:ind w:left="709" w:hanging="436"/>
        <w:rPr>
          <w:rFonts w:eastAsia="Calibri" w:cs="Times New Roman"/>
          <w:color w:val="000000"/>
          <w:lang w:eastAsia="en-US"/>
        </w:rPr>
      </w:pPr>
    </w:p>
    <w:p w14:paraId="09FDDA9B" w14:textId="77777777" w:rsidR="00D9594A" w:rsidRDefault="00D9594A" w:rsidP="00D9594A">
      <w:pPr>
        <w:numPr>
          <w:ilvl w:val="0"/>
          <w:numId w:val="28"/>
        </w:numPr>
        <w:tabs>
          <w:tab w:val="left" w:pos="4962"/>
        </w:tabs>
        <w:spacing w:after="0" w:line="360" w:lineRule="auto"/>
        <w:ind w:left="709" w:hanging="436"/>
        <w:rPr>
          <w:rFonts w:eastAsia="Calibri" w:cs="Times New Roman"/>
          <w:color w:val="000000"/>
          <w:lang w:eastAsia="en-US"/>
        </w:rPr>
      </w:pPr>
      <w:r>
        <w:rPr>
          <w:rFonts w:eastAsia="Calibri" w:cs="Times New Roman"/>
          <w:color w:val="000000"/>
          <w:lang w:eastAsia="en-US"/>
        </w:rPr>
        <w:t>Que la limitación se adecua al principio de proporcionalidad y representa el medio menos restrictivo disponible para evitar el perjuicio.</w:t>
      </w:r>
    </w:p>
    <w:p w14:paraId="6AB81AE9" w14:textId="77777777" w:rsidR="00D9594A" w:rsidRDefault="00D9594A" w:rsidP="00D9594A">
      <w:pPr>
        <w:spacing w:after="0" w:line="360" w:lineRule="auto"/>
        <w:jc w:val="left"/>
        <w:rPr>
          <w:rFonts w:eastAsia="Calibri" w:cs="Times New Roman"/>
          <w:color w:val="000000"/>
          <w:lang w:eastAsia="en-US"/>
        </w:rPr>
      </w:pPr>
    </w:p>
    <w:p w14:paraId="33ED5C19" w14:textId="77777777" w:rsidR="00D9594A" w:rsidRDefault="00D9594A" w:rsidP="00D9594A">
      <w:pPr>
        <w:spacing w:after="0" w:line="360" w:lineRule="auto"/>
        <w:rPr>
          <w:rFonts w:eastAsia="Calibri" w:cs="Times New Roman"/>
          <w:color w:val="000000"/>
          <w:lang w:eastAsia="en-US"/>
        </w:rPr>
      </w:pPr>
      <w:r>
        <w:rPr>
          <w:rFonts w:eastAsia="Calibri" w:cs="Times New Roman"/>
          <w:color w:val="000000"/>
          <w:lang w:eastAsia="en-US"/>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y cargo de los elementos operativos de la </w:t>
      </w:r>
      <w:r>
        <w:t>Dirección de Seguridad Pública, Tránsito y Bomberos</w:t>
      </w:r>
      <w:r>
        <w:rPr>
          <w:rFonts w:eastAsia="Calibri" w:cs="Times New Roman"/>
          <w:color w:val="000000"/>
          <w:lang w:eastAsia="en-US"/>
        </w:rPr>
        <w:t>, de manera fundada y motivada, mediante la respectiva prueba de daño.</w:t>
      </w:r>
    </w:p>
    <w:p w14:paraId="33F303CC" w14:textId="77777777" w:rsidR="00D9594A" w:rsidRDefault="00D9594A" w:rsidP="00D9594A">
      <w:pPr>
        <w:tabs>
          <w:tab w:val="center" w:pos="4522"/>
        </w:tabs>
        <w:spacing w:after="0" w:line="360" w:lineRule="auto"/>
        <w:rPr>
          <w:rFonts w:eastAsia="Calibri" w:cs="Times New Roman"/>
          <w:color w:val="000000"/>
          <w:lang w:eastAsia="en-US"/>
        </w:rPr>
      </w:pPr>
    </w:p>
    <w:p w14:paraId="0CE58559" w14:textId="77777777" w:rsidR="00D9594A" w:rsidRDefault="00D9594A" w:rsidP="00D9594A">
      <w:pPr>
        <w:spacing w:after="0" w:line="360" w:lineRule="auto"/>
        <w:ind w:right="-28"/>
        <w:rPr>
          <w:rFonts w:eastAsia="Calibri" w:cs="Times New Roman"/>
          <w:color w:val="000000"/>
          <w:lang w:eastAsia="en-US"/>
        </w:rPr>
      </w:pPr>
      <w:r>
        <w:rPr>
          <w:rFonts w:eastAsia="Calibri" w:cs="Times New Roman"/>
          <w:color w:val="000000"/>
          <w:lang w:eastAsia="en-US"/>
        </w:rPr>
        <w:t>Por lo que, para atender el requerimiento deberá proporcionar los documentos solicitados en versión pública; 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14:paraId="0FB136B8" w14:textId="77777777" w:rsidR="004B0B23" w:rsidRDefault="004B0B23" w:rsidP="007153F3">
      <w:pPr>
        <w:spacing w:after="0" w:line="360" w:lineRule="auto"/>
        <w:rPr>
          <w:color w:val="FF0000"/>
        </w:rPr>
      </w:pPr>
    </w:p>
    <w:p w14:paraId="269E772A" w14:textId="77777777" w:rsidR="00023BBD" w:rsidRPr="004B0B23" w:rsidRDefault="00023BBD" w:rsidP="007153F3">
      <w:pPr>
        <w:pStyle w:val="Ttulo2"/>
        <w:spacing w:before="0" w:after="0" w:line="360" w:lineRule="auto"/>
        <w:rPr>
          <w:color w:val="auto"/>
          <w:sz w:val="22"/>
          <w:szCs w:val="22"/>
        </w:rPr>
      </w:pPr>
      <w:bookmarkStart w:id="13" w:name="_Toc198156991"/>
      <w:r w:rsidRPr="004B0B23">
        <w:rPr>
          <w:color w:val="auto"/>
          <w:sz w:val="22"/>
          <w:szCs w:val="22"/>
        </w:rPr>
        <w:t>SEXTO. Decisión</w:t>
      </w:r>
      <w:bookmarkEnd w:id="13"/>
    </w:p>
    <w:p w14:paraId="284E5323" w14:textId="77777777" w:rsidR="00023BBD" w:rsidRDefault="00023BBD" w:rsidP="007153F3">
      <w:pPr>
        <w:spacing w:after="0" w:line="360" w:lineRule="auto"/>
        <w:contextualSpacing/>
        <w:rPr>
          <w:rFonts w:eastAsia="Calibri" w:cs="Tahoma"/>
          <w:b/>
          <w:color w:val="FF0000"/>
        </w:rPr>
      </w:pPr>
    </w:p>
    <w:p w14:paraId="039858D9" w14:textId="77777777" w:rsidR="00FA31F5" w:rsidRPr="00B2261F" w:rsidRDefault="00FA31F5" w:rsidP="007153F3">
      <w:pPr>
        <w:spacing w:after="0" w:line="360" w:lineRule="auto"/>
        <w:contextualSpacing/>
        <w:rPr>
          <w:rFonts w:eastAsia="Calibri" w:cs="Tahoma"/>
          <w:b/>
          <w:color w:val="FF0000"/>
        </w:rPr>
      </w:pPr>
    </w:p>
    <w:p w14:paraId="5B09EF77" w14:textId="1FE3215D" w:rsidR="00B03A57" w:rsidRDefault="00B03A57" w:rsidP="007153F3">
      <w:pPr>
        <w:spacing w:after="0" w:line="360" w:lineRule="auto"/>
        <w:rPr>
          <w:rFonts w:cs="Tahoma"/>
          <w:color w:val="auto"/>
        </w:rPr>
      </w:pPr>
      <w:r w:rsidRPr="004B0B23">
        <w:rPr>
          <w:rFonts w:cs="Tahoma"/>
          <w:color w:val="auto"/>
        </w:rPr>
        <w:t xml:space="preserve">Con fundamento en el artículo 186, fracción III, de la Ley de Transparencia y Acceso a la Información Pública del Estado de México y Municipios, este Instituto considera procedente </w:t>
      </w:r>
      <w:r w:rsidR="00FB4BCE" w:rsidRPr="004B0B23">
        <w:rPr>
          <w:b/>
          <w:bCs/>
          <w:color w:val="auto"/>
        </w:rPr>
        <w:t>REVO</w:t>
      </w:r>
      <w:r w:rsidRPr="004B0B23">
        <w:rPr>
          <w:b/>
          <w:bCs/>
          <w:color w:val="auto"/>
        </w:rPr>
        <w:t>CAR</w:t>
      </w:r>
      <w:r w:rsidRPr="004B0B23">
        <w:rPr>
          <w:rFonts w:cs="Tahoma"/>
          <w:color w:val="auto"/>
        </w:rPr>
        <w:t xml:space="preserve"> la respuesta otorgada por el Sujeto Obligado a la solicitud de información </w:t>
      </w:r>
      <w:r w:rsidR="005F3522">
        <w:rPr>
          <w:rFonts w:cs="Tahoma"/>
          <w:color w:val="auto"/>
        </w:rPr>
        <w:t>00</w:t>
      </w:r>
      <w:r w:rsidR="00BF6DE4">
        <w:rPr>
          <w:rFonts w:cs="Tahoma"/>
          <w:color w:val="auto"/>
        </w:rPr>
        <w:t>238</w:t>
      </w:r>
      <w:r w:rsidR="005F3522">
        <w:rPr>
          <w:rFonts w:cs="Tahoma"/>
          <w:color w:val="auto"/>
        </w:rPr>
        <w:t>/CHALCO/IP/2025</w:t>
      </w:r>
      <w:r w:rsidR="000E2DFF">
        <w:rPr>
          <w:rFonts w:cs="Tahoma"/>
          <w:color w:val="auto"/>
        </w:rPr>
        <w:t xml:space="preserve">, </w:t>
      </w:r>
      <w:r w:rsidRPr="004B0B23">
        <w:rPr>
          <w:rFonts w:cs="Tahoma"/>
          <w:color w:val="auto"/>
        </w:rPr>
        <w:t>a efecto de que entregue</w:t>
      </w:r>
      <w:r w:rsidR="002A6495" w:rsidRPr="004B0B23">
        <w:rPr>
          <w:rFonts w:cs="Tahoma"/>
          <w:color w:val="auto"/>
        </w:rPr>
        <w:t xml:space="preserve"> </w:t>
      </w:r>
      <w:r w:rsidRPr="004B0B23">
        <w:rPr>
          <w:rFonts w:cs="Tahoma"/>
          <w:color w:val="auto"/>
        </w:rPr>
        <w:t xml:space="preserve">la información </w:t>
      </w:r>
      <w:r w:rsidR="002D7CDE" w:rsidRPr="004B0B23">
        <w:rPr>
          <w:rFonts w:cs="Tahoma"/>
          <w:color w:val="auto"/>
        </w:rPr>
        <w:t>solicitada.</w:t>
      </w:r>
    </w:p>
    <w:p w14:paraId="3AADF9CE" w14:textId="77777777" w:rsidR="00791DF5" w:rsidRPr="004B0B23" w:rsidRDefault="00791DF5" w:rsidP="007153F3">
      <w:pPr>
        <w:spacing w:after="0" w:line="360" w:lineRule="auto"/>
        <w:rPr>
          <w:rFonts w:cs="Tahoma"/>
          <w:color w:val="auto"/>
        </w:rPr>
      </w:pPr>
    </w:p>
    <w:p w14:paraId="7DE94745" w14:textId="243A0B20" w:rsidR="00023BBD" w:rsidRDefault="00023BBD" w:rsidP="007153F3">
      <w:pPr>
        <w:spacing w:after="0" w:line="360" w:lineRule="auto"/>
        <w:contextualSpacing/>
        <w:rPr>
          <w:rFonts w:eastAsia="Calibri" w:cs="Tahoma"/>
          <w:b/>
          <w:bCs/>
          <w:color w:val="auto"/>
        </w:rPr>
      </w:pPr>
      <w:r w:rsidRPr="004B0B23">
        <w:rPr>
          <w:rFonts w:eastAsia="Calibri" w:cs="Tahoma"/>
          <w:b/>
          <w:bCs/>
          <w:color w:val="auto"/>
        </w:rPr>
        <w:t>Términos de la Resolución para conocimiento del Particular</w:t>
      </w:r>
    </w:p>
    <w:p w14:paraId="53338602" w14:textId="77777777" w:rsidR="00903E50" w:rsidRPr="004B0B23" w:rsidRDefault="00903E50" w:rsidP="007153F3">
      <w:pPr>
        <w:spacing w:after="0" w:line="360" w:lineRule="auto"/>
        <w:contextualSpacing/>
        <w:rPr>
          <w:rFonts w:eastAsia="Calibri" w:cs="Tahoma"/>
          <w:b/>
          <w:bCs/>
          <w:color w:val="auto"/>
        </w:rPr>
      </w:pPr>
    </w:p>
    <w:p w14:paraId="06951E41" w14:textId="7FA5520B" w:rsidR="00FA31F5" w:rsidRDefault="00FA31F5" w:rsidP="00FA31F5">
      <w:pPr>
        <w:spacing w:after="0" w:line="360" w:lineRule="auto"/>
        <w:rPr>
          <w:rFonts w:eastAsia="Calibri" w:cs="Times New Roman"/>
          <w:color w:val="000000"/>
          <w:lang w:eastAsia="en-US"/>
        </w:rPr>
      </w:pPr>
      <w:r w:rsidRPr="004B0B23">
        <w:rPr>
          <w:color w:val="auto"/>
        </w:rPr>
        <w:t>Se le hace del conocimiento a la persona Recurrente que, en el presente asunto, se le da la razón, pues si el Sujeto Obligado</w:t>
      </w:r>
      <w:r w:rsidRPr="00B2261F">
        <w:rPr>
          <w:color w:val="FF0000"/>
        </w:rPr>
        <w:t xml:space="preserve"> </w:t>
      </w:r>
      <w:r>
        <w:t xml:space="preserve">clasificó documentos que rinden cuentas de la erogación de recursos públicos, por lo que, deberá hacer entrega de la información. </w:t>
      </w:r>
    </w:p>
    <w:p w14:paraId="14D97D91" w14:textId="77777777" w:rsidR="00A2065A" w:rsidRDefault="00A2065A" w:rsidP="007153F3">
      <w:pPr>
        <w:spacing w:after="0" w:line="360" w:lineRule="auto"/>
      </w:pPr>
    </w:p>
    <w:p w14:paraId="55ACB932" w14:textId="77777777" w:rsidR="00A2065A" w:rsidRDefault="00A2065A" w:rsidP="00A2065A">
      <w:pPr>
        <w:spacing w:after="0" w:line="360" w:lineRule="auto"/>
        <w:rPr>
          <w:rFonts w:eastAsia="Calibri" w:cs="Times New Roman"/>
          <w:color w:val="000000"/>
          <w:lang w:eastAsia="en-US"/>
        </w:rPr>
      </w:pPr>
      <w:r>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14208C7A" w14:textId="77777777" w:rsidR="004B27E7" w:rsidRPr="002361FE" w:rsidRDefault="004B27E7" w:rsidP="007153F3">
      <w:pPr>
        <w:spacing w:after="0" w:line="360" w:lineRule="auto"/>
        <w:rPr>
          <w:color w:val="auto"/>
        </w:rPr>
      </w:pPr>
    </w:p>
    <w:p w14:paraId="2915D3C0" w14:textId="2028159D" w:rsidR="00023BBD" w:rsidRPr="002361FE" w:rsidRDefault="00023BBD" w:rsidP="007153F3">
      <w:pPr>
        <w:spacing w:after="0" w:line="360" w:lineRule="auto"/>
        <w:contextualSpacing/>
        <w:rPr>
          <w:rFonts w:eastAsia="Calibri"/>
          <w:color w:val="auto"/>
        </w:rPr>
      </w:pPr>
      <w:r w:rsidRPr="002361FE">
        <w:rPr>
          <w:rFonts w:eastAsia="Calibri"/>
          <w:color w:val="auto"/>
        </w:rPr>
        <w:t>Por lo expuesto y fundado, este Pleno:</w:t>
      </w:r>
    </w:p>
    <w:p w14:paraId="7D2C1D85" w14:textId="77777777" w:rsidR="00155642" w:rsidRPr="002361FE" w:rsidRDefault="00155642" w:rsidP="007153F3">
      <w:pPr>
        <w:spacing w:after="0" w:line="360" w:lineRule="auto"/>
        <w:contextualSpacing/>
        <w:rPr>
          <w:rFonts w:eastAsia="Calibri"/>
          <w:color w:val="auto"/>
        </w:rPr>
      </w:pPr>
    </w:p>
    <w:p w14:paraId="456932CF" w14:textId="77777777" w:rsidR="00023BBD" w:rsidRPr="002361FE" w:rsidRDefault="00023BBD" w:rsidP="007153F3">
      <w:pPr>
        <w:pStyle w:val="Ttulo1"/>
        <w:spacing w:before="0" w:after="0" w:line="360" w:lineRule="auto"/>
        <w:jc w:val="center"/>
        <w:rPr>
          <w:color w:val="auto"/>
          <w:sz w:val="22"/>
          <w:szCs w:val="22"/>
        </w:rPr>
      </w:pPr>
      <w:bookmarkStart w:id="14" w:name="_Toc198156992"/>
      <w:r w:rsidRPr="002361FE">
        <w:rPr>
          <w:color w:val="auto"/>
          <w:sz w:val="22"/>
          <w:szCs w:val="22"/>
        </w:rPr>
        <w:t>R E S U E L V E</w:t>
      </w:r>
      <w:bookmarkEnd w:id="14"/>
    </w:p>
    <w:p w14:paraId="5CA20C9A" w14:textId="77777777" w:rsidR="00A37912" w:rsidRPr="00B2261F" w:rsidRDefault="00A37912" w:rsidP="007153F3">
      <w:pPr>
        <w:spacing w:after="0" w:line="360" w:lineRule="auto"/>
        <w:contextualSpacing/>
        <w:rPr>
          <w:rFonts w:eastAsia="Calibri"/>
          <w:b/>
          <w:bCs/>
          <w:color w:val="FF0000"/>
        </w:rPr>
      </w:pPr>
    </w:p>
    <w:p w14:paraId="743E93C0" w14:textId="4048F4C5" w:rsidR="00B03A57" w:rsidRPr="002361FE" w:rsidRDefault="00B03A57" w:rsidP="007153F3">
      <w:pPr>
        <w:spacing w:after="0" w:line="360" w:lineRule="auto"/>
        <w:rPr>
          <w:color w:val="auto"/>
        </w:rPr>
      </w:pPr>
      <w:r w:rsidRPr="002361FE">
        <w:rPr>
          <w:b/>
          <w:color w:val="auto"/>
        </w:rPr>
        <w:t xml:space="preserve">PRIMERO. </w:t>
      </w:r>
      <w:r w:rsidRPr="002361FE">
        <w:rPr>
          <w:color w:val="auto"/>
        </w:rPr>
        <w:t xml:space="preserve">Se </w:t>
      </w:r>
      <w:r w:rsidR="00FB4BCE" w:rsidRPr="002361FE">
        <w:rPr>
          <w:b/>
          <w:color w:val="auto"/>
        </w:rPr>
        <w:t>REVO</w:t>
      </w:r>
      <w:r w:rsidRPr="002361FE">
        <w:rPr>
          <w:b/>
          <w:color w:val="auto"/>
        </w:rPr>
        <w:t xml:space="preserve">CA </w:t>
      </w:r>
      <w:r w:rsidRPr="002361FE">
        <w:rPr>
          <w:color w:val="auto"/>
        </w:rPr>
        <w:t>la respuesta entregada por el</w:t>
      </w:r>
      <w:r w:rsidR="002361FE" w:rsidRPr="002361FE">
        <w:rPr>
          <w:color w:val="auto"/>
        </w:rPr>
        <w:t xml:space="preserve"> </w:t>
      </w:r>
      <w:r w:rsidR="005F3522">
        <w:t>Ayuntamiento de Chalco</w:t>
      </w:r>
      <w:r w:rsidRPr="002361FE">
        <w:rPr>
          <w:color w:val="auto"/>
        </w:rPr>
        <w:t>, a la solicitud de información</w:t>
      </w:r>
      <w:r w:rsidR="003F2C8E" w:rsidRPr="002361FE">
        <w:rPr>
          <w:color w:val="auto"/>
        </w:rPr>
        <w:t xml:space="preserve"> </w:t>
      </w:r>
      <w:r w:rsidR="005F3522">
        <w:rPr>
          <w:rFonts w:cs="Tahoma"/>
          <w:color w:val="auto"/>
        </w:rPr>
        <w:t>00</w:t>
      </w:r>
      <w:r w:rsidR="00BF6DE4">
        <w:rPr>
          <w:rFonts w:cs="Tahoma"/>
          <w:color w:val="auto"/>
        </w:rPr>
        <w:t>238</w:t>
      </w:r>
      <w:r w:rsidR="005F3522">
        <w:rPr>
          <w:rFonts w:cs="Tahoma"/>
          <w:color w:val="auto"/>
        </w:rPr>
        <w:t>/CHALCO/IP/2025</w:t>
      </w:r>
      <w:r w:rsidRPr="002361FE">
        <w:rPr>
          <w:color w:val="auto"/>
        </w:rPr>
        <w:t xml:space="preserve">, por resultar </w:t>
      </w:r>
      <w:r w:rsidRPr="002361FE">
        <w:rPr>
          <w:b/>
          <w:bCs/>
          <w:color w:val="auto"/>
        </w:rPr>
        <w:t>FUNDADAS</w:t>
      </w:r>
      <w:r w:rsidRPr="002361FE">
        <w:rPr>
          <w:b/>
          <w:color w:val="auto"/>
        </w:rPr>
        <w:t xml:space="preserve"> </w:t>
      </w:r>
      <w:r w:rsidRPr="002361FE">
        <w:rPr>
          <w:color w:val="auto"/>
        </w:rPr>
        <w:t>las razones o motivos de inconformidad hechos valer por la persona Recurrente, en términos de los considerandos QUINTO y SEXTO de la presente Resolución.</w:t>
      </w:r>
    </w:p>
    <w:p w14:paraId="1AA3BB99" w14:textId="77777777" w:rsidR="007B4DAD" w:rsidRDefault="007B4DAD" w:rsidP="007153F3">
      <w:pPr>
        <w:spacing w:after="0" w:line="360" w:lineRule="auto"/>
        <w:rPr>
          <w:color w:val="FF0000"/>
        </w:rPr>
      </w:pPr>
    </w:p>
    <w:p w14:paraId="44017E70" w14:textId="77777777" w:rsidR="00FA31F5" w:rsidRDefault="00FA31F5" w:rsidP="007153F3">
      <w:pPr>
        <w:spacing w:after="0" w:line="360" w:lineRule="auto"/>
        <w:rPr>
          <w:color w:val="FF0000"/>
        </w:rPr>
      </w:pPr>
    </w:p>
    <w:p w14:paraId="5E6A5A76" w14:textId="77777777" w:rsidR="00FA31F5" w:rsidRPr="00B2261F" w:rsidRDefault="00FA31F5" w:rsidP="007153F3">
      <w:pPr>
        <w:spacing w:after="0" w:line="360" w:lineRule="auto"/>
        <w:rPr>
          <w:color w:val="FF0000"/>
        </w:rPr>
      </w:pPr>
    </w:p>
    <w:p w14:paraId="627233C5" w14:textId="049551C4" w:rsidR="002D7CDE" w:rsidRDefault="00B03A57" w:rsidP="007153F3">
      <w:pPr>
        <w:spacing w:after="0" w:line="360" w:lineRule="auto"/>
        <w:rPr>
          <w:rFonts w:cs="Tahoma"/>
          <w:bCs/>
          <w:color w:val="auto"/>
        </w:rPr>
      </w:pPr>
      <w:r w:rsidRPr="002361FE">
        <w:rPr>
          <w:b/>
          <w:color w:val="auto"/>
        </w:rPr>
        <w:t xml:space="preserve">SEGUNDO. </w:t>
      </w:r>
      <w:r w:rsidRPr="002361FE">
        <w:rPr>
          <w:color w:val="auto"/>
        </w:rPr>
        <w:t xml:space="preserve">Se </w:t>
      </w:r>
      <w:r w:rsidRPr="002361FE">
        <w:rPr>
          <w:b/>
          <w:color w:val="auto"/>
        </w:rPr>
        <w:t>ORDENA</w:t>
      </w:r>
      <w:r w:rsidRPr="002361FE">
        <w:rPr>
          <w:color w:val="auto"/>
        </w:rPr>
        <w:t xml:space="preserve"> al Sujeto Obligado</w:t>
      </w:r>
      <w:r w:rsidRPr="002361FE">
        <w:rPr>
          <w:b/>
          <w:color w:val="auto"/>
        </w:rPr>
        <w:t xml:space="preserve">, </w:t>
      </w:r>
      <w:r w:rsidRPr="002361FE">
        <w:rPr>
          <w:color w:val="auto"/>
        </w:rPr>
        <w:t>a efecto de que previa búsqueda exhaustiva y razonable en los archivos de las unidades administrativas competentes, entregue a través del Sistema de Acceso a la Información Mexiquense (SAIMEX),</w:t>
      </w:r>
      <w:r w:rsidRPr="002361FE">
        <w:rPr>
          <w:rFonts w:cs="Tahoma"/>
          <w:bCs/>
          <w:color w:val="auto"/>
        </w:rPr>
        <w:t xml:space="preserve"> </w:t>
      </w:r>
      <w:r w:rsidR="002D7CDE" w:rsidRPr="002361FE">
        <w:rPr>
          <w:rFonts w:cs="Tahoma"/>
          <w:bCs/>
          <w:color w:val="auto"/>
        </w:rPr>
        <w:t xml:space="preserve">en </w:t>
      </w:r>
      <w:r w:rsidR="006D4ADC">
        <w:rPr>
          <w:rFonts w:cs="Tahoma"/>
          <w:bCs/>
          <w:color w:val="auto"/>
        </w:rPr>
        <w:t xml:space="preserve">su caso, en </w:t>
      </w:r>
      <w:r w:rsidR="002D7CDE" w:rsidRPr="002361FE">
        <w:rPr>
          <w:rFonts w:cs="Tahoma"/>
          <w:bCs/>
          <w:color w:val="auto"/>
        </w:rPr>
        <w:t xml:space="preserve">versión pública, </w:t>
      </w:r>
      <w:r w:rsidR="002D7CDE" w:rsidRPr="00BF6DE4">
        <w:rPr>
          <w:rFonts w:cs="Tahoma"/>
          <w:bCs/>
          <w:color w:val="auto"/>
        </w:rPr>
        <w:t>lo</w:t>
      </w:r>
      <w:r w:rsidR="007E005F" w:rsidRPr="00BF6DE4">
        <w:rPr>
          <w:rFonts w:cs="Tahoma"/>
          <w:bCs/>
          <w:color w:val="auto"/>
        </w:rPr>
        <w:t>s documentos donde conste lo siguiente</w:t>
      </w:r>
      <w:r w:rsidR="002D7CDE" w:rsidRPr="00BF6DE4">
        <w:rPr>
          <w:rFonts w:cs="Tahoma"/>
          <w:bCs/>
          <w:color w:val="auto"/>
        </w:rPr>
        <w:t>:</w:t>
      </w:r>
    </w:p>
    <w:p w14:paraId="1ACD320B" w14:textId="77777777" w:rsidR="002361FE" w:rsidRPr="00974325" w:rsidRDefault="002361FE" w:rsidP="007153F3">
      <w:pPr>
        <w:spacing w:after="0" w:line="360" w:lineRule="auto"/>
        <w:rPr>
          <w:rFonts w:cs="Tahoma"/>
          <w:bCs/>
          <w:color w:val="auto"/>
        </w:rPr>
      </w:pPr>
    </w:p>
    <w:p w14:paraId="5C8A8D5D" w14:textId="08A842E1" w:rsidR="005A0A9C" w:rsidRPr="000E2DFF" w:rsidRDefault="007E005F" w:rsidP="000E2DFF">
      <w:pPr>
        <w:pStyle w:val="Prrafodelista"/>
        <w:numPr>
          <w:ilvl w:val="0"/>
          <w:numId w:val="11"/>
        </w:numPr>
        <w:spacing w:line="360" w:lineRule="auto"/>
        <w:rPr>
          <w:bCs/>
          <w:iCs/>
          <w:color w:val="auto"/>
          <w:szCs w:val="20"/>
          <w:lang w:val="es-ES"/>
        </w:rPr>
      </w:pPr>
      <w:r>
        <w:rPr>
          <w:color w:val="000000"/>
        </w:rPr>
        <w:t xml:space="preserve">Los comprobantes de los pagos realizados por </w:t>
      </w:r>
      <w:r w:rsidR="003913EE">
        <w:rPr>
          <w:color w:val="000000"/>
        </w:rPr>
        <w:t>la Tesorería Municipal</w:t>
      </w:r>
      <w:r>
        <w:rPr>
          <w:color w:val="000000"/>
        </w:rPr>
        <w:t xml:space="preserve"> </w:t>
      </w:r>
      <w:r w:rsidR="00BF6DE4">
        <w:rPr>
          <w:rFonts w:cs="Tahoma"/>
          <w:color w:val="auto"/>
        </w:rPr>
        <w:t>a personas físicas o jurídico colectivas</w:t>
      </w:r>
      <w:r w:rsidR="002732E4">
        <w:rPr>
          <w:rFonts w:cs="Tahoma"/>
          <w:color w:val="auto"/>
        </w:rPr>
        <w:t xml:space="preserve">, del primero de </w:t>
      </w:r>
      <w:r w:rsidR="00BF6DE4">
        <w:rPr>
          <w:rFonts w:cs="Tahoma"/>
          <w:color w:val="auto"/>
        </w:rPr>
        <w:t>septiembre</w:t>
      </w:r>
      <w:r w:rsidR="002732E4">
        <w:rPr>
          <w:rFonts w:cs="Tahoma"/>
          <w:color w:val="auto"/>
        </w:rPr>
        <w:t xml:space="preserve"> al </w:t>
      </w:r>
      <w:r w:rsidR="00BF6DE4">
        <w:rPr>
          <w:rFonts w:cs="Tahoma"/>
          <w:color w:val="auto"/>
        </w:rPr>
        <w:t>quince de octubre</w:t>
      </w:r>
      <w:r w:rsidR="002732E4">
        <w:rPr>
          <w:rFonts w:cs="Tahoma"/>
          <w:color w:val="auto"/>
        </w:rPr>
        <w:t xml:space="preserve"> de dos mil veinticinco.</w:t>
      </w:r>
    </w:p>
    <w:p w14:paraId="3D2431E3" w14:textId="77777777" w:rsidR="000E2DFF" w:rsidRPr="000E2DFF" w:rsidRDefault="000E2DFF" w:rsidP="000E2DFF">
      <w:pPr>
        <w:pStyle w:val="Prrafodelista"/>
        <w:spacing w:line="360" w:lineRule="auto"/>
        <w:jc w:val="left"/>
        <w:rPr>
          <w:bCs/>
          <w:iCs/>
          <w:color w:val="auto"/>
          <w:szCs w:val="20"/>
          <w:lang w:val="es-ES"/>
        </w:rPr>
      </w:pPr>
    </w:p>
    <w:p w14:paraId="5061FED0" w14:textId="178ABB88" w:rsidR="002D7CDE" w:rsidRPr="002361FE" w:rsidRDefault="002D7CDE" w:rsidP="007153F3">
      <w:pPr>
        <w:spacing w:after="0" w:line="360" w:lineRule="auto"/>
        <w:rPr>
          <w:rFonts w:cs="Tahoma"/>
          <w:color w:val="auto"/>
        </w:rPr>
      </w:pPr>
      <w:r w:rsidRPr="002361FE">
        <w:rPr>
          <w:color w:val="auto"/>
        </w:rPr>
        <w:t xml:space="preserve">Además, deberá proporcionar el Acuerdo de Clasificación donde el Comité de Transparencia, confirme la eliminación de los datos </w:t>
      </w:r>
      <w:r w:rsidR="00FB4BCE" w:rsidRPr="002361FE">
        <w:rPr>
          <w:color w:val="auto"/>
        </w:rPr>
        <w:t>o información</w:t>
      </w:r>
      <w:r w:rsidRPr="002361FE">
        <w:rPr>
          <w:color w:val="auto"/>
        </w:rPr>
        <w:t>, en la versión pública</w:t>
      </w:r>
      <w:r w:rsidR="003913EE">
        <w:rPr>
          <w:color w:val="auto"/>
        </w:rPr>
        <w:t>, tomando en cuenta lo analizado en el Considerando QUINTO</w:t>
      </w:r>
      <w:r w:rsidRPr="002361FE">
        <w:rPr>
          <w:color w:val="auto"/>
        </w:rPr>
        <w:t>, de conformidad con los artículos 49, fracciones II y VIII, 132, fracción II y 143, fracción I, de la Ley de Transparencia y Acceso a la Información Pública del Estado de México y Municipios.</w:t>
      </w:r>
    </w:p>
    <w:p w14:paraId="2014BDF5" w14:textId="77777777" w:rsidR="00B03A57" w:rsidRDefault="00B03A57" w:rsidP="007153F3">
      <w:pPr>
        <w:spacing w:after="0" w:line="360" w:lineRule="auto"/>
        <w:rPr>
          <w:color w:val="auto"/>
        </w:rPr>
      </w:pPr>
    </w:p>
    <w:p w14:paraId="56C81919" w14:textId="77777777" w:rsidR="00B03A57" w:rsidRPr="002361FE" w:rsidRDefault="00B03A57" w:rsidP="007153F3">
      <w:pPr>
        <w:spacing w:after="0" w:line="360" w:lineRule="auto"/>
        <w:ind w:right="-28"/>
        <w:rPr>
          <w:b/>
          <w:color w:val="auto"/>
        </w:rPr>
      </w:pPr>
      <w:r w:rsidRPr="002361FE">
        <w:rPr>
          <w:b/>
          <w:color w:val="auto"/>
        </w:rPr>
        <w:t xml:space="preserve">TERCERO. NOTIFÍQUESE POR SAIMEX </w:t>
      </w:r>
      <w:r w:rsidRPr="002361FE">
        <w:rPr>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5577BDA8" w14:textId="77777777" w:rsidR="00B03A57" w:rsidRDefault="00B03A57" w:rsidP="007153F3">
      <w:pPr>
        <w:spacing w:after="0" w:line="360" w:lineRule="auto"/>
        <w:ind w:right="-28"/>
        <w:rPr>
          <w:color w:val="auto"/>
        </w:rPr>
      </w:pPr>
    </w:p>
    <w:p w14:paraId="09AAA498" w14:textId="77777777" w:rsidR="00A2065A" w:rsidRDefault="00A2065A" w:rsidP="007153F3">
      <w:pPr>
        <w:spacing w:after="0" w:line="360" w:lineRule="auto"/>
        <w:ind w:right="-28"/>
        <w:rPr>
          <w:color w:val="auto"/>
        </w:rPr>
      </w:pPr>
    </w:p>
    <w:p w14:paraId="2735EB5C" w14:textId="77777777" w:rsidR="00A2065A" w:rsidRPr="002361FE" w:rsidRDefault="00A2065A" w:rsidP="007153F3">
      <w:pPr>
        <w:spacing w:after="0" w:line="360" w:lineRule="auto"/>
        <w:ind w:right="-28"/>
        <w:rPr>
          <w:color w:val="auto"/>
        </w:rPr>
      </w:pPr>
    </w:p>
    <w:p w14:paraId="6DB3AD3F" w14:textId="56B233DF" w:rsidR="00B03A57" w:rsidRPr="002361FE" w:rsidRDefault="00B03A57" w:rsidP="007153F3">
      <w:pPr>
        <w:spacing w:after="0" w:line="360" w:lineRule="auto"/>
        <w:rPr>
          <w:color w:val="auto"/>
        </w:rPr>
      </w:pPr>
      <w:r w:rsidRPr="002361FE">
        <w:rPr>
          <w:color w:val="auto"/>
        </w:rPr>
        <w:t xml:space="preserve">De conformidad con el artículo 198 de la </w:t>
      </w:r>
      <w:r w:rsidR="00A2065A" w:rsidRPr="002361FE">
        <w:rPr>
          <w:color w:val="auto"/>
        </w:rPr>
        <w:t>Ley de Transparencia y Acceso a la Información Pública del Estado de México y Municipios</w:t>
      </w:r>
      <w:r w:rsidRPr="002361FE">
        <w:rPr>
          <w:color w:val="auto"/>
        </w:rPr>
        <w:t>, de considerarlo procedente, el Sujeto Obligado de manera fundada y motivada, podrá solicitar una ampliación de plazo para el cumplimiento de la presente resolución.</w:t>
      </w:r>
    </w:p>
    <w:p w14:paraId="210A3436" w14:textId="77777777" w:rsidR="00B03A57" w:rsidRPr="002361FE" w:rsidRDefault="00B03A57" w:rsidP="007153F3">
      <w:pPr>
        <w:spacing w:after="0" w:line="360" w:lineRule="auto"/>
        <w:rPr>
          <w:color w:val="auto"/>
        </w:rPr>
      </w:pPr>
    </w:p>
    <w:p w14:paraId="1F81CBDE" w14:textId="77777777" w:rsidR="00B03A57" w:rsidRPr="002361FE" w:rsidRDefault="00B03A57" w:rsidP="007153F3">
      <w:pPr>
        <w:spacing w:after="0" w:line="360" w:lineRule="auto"/>
        <w:contextualSpacing/>
        <w:rPr>
          <w:color w:val="auto"/>
        </w:rPr>
      </w:pPr>
      <w:r w:rsidRPr="002361FE">
        <w:rPr>
          <w:b/>
          <w:bCs/>
          <w:color w:val="auto"/>
        </w:rPr>
        <w:t xml:space="preserve">CUARTO. </w:t>
      </w:r>
      <w:r w:rsidRPr="002361FE">
        <w:rPr>
          <w:b/>
          <w:color w:val="auto"/>
        </w:rPr>
        <w:t>NOTIFÍQUESE POR SAIMEX</w:t>
      </w:r>
      <w:r w:rsidRPr="002361FE">
        <w:rPr>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79B01C67" w14:textId="77777777" w:rsidR="00B03A57" w:rsidRPr="002361FE" w:rsidRDefault="00B03A57" w:rsidP="007153F3">
      <w:pPr>
        <w:spacing w:after="0" w:line="360" w:lineRule="auto"/>
        <w:contextualSpacing/>
        <w:rPr>
          <w:rFonts w:cs="Tahoma"/>
          <w:b/>
          <w:bCs/>
          <w:color w:val="auto"/>
        </w:rPr>
      </w:pPr>
    </w:p>
    <w:p w14:paraId="1A555613" w14:textId="3FD85846" w:rsidR="00023BBD" w:rsidRDefault="00023BBD" w:rsidP="007153F3">
      <w:pPr>
        <w:spacing w:after="0" w:line="360" w:lineRule="auto"/>
        <w:contextualSpacing/>
        <w:rPr>
          <w:rFonts w:cs="Tahoma"/>
          <w:b/>
          <w:bCs/>
          <w:color w:val="auto"/>
        </w:rPr>
      </w:pPr>
      <w:r w:rsidRPr="002361FE">
        <w:rPr>
          <w:rFonts w:eastAsia="Calibri" w:cs="Tahoma"/>
          <w:bCs/>
          <w:color w:val="auto"/>
        </w:rPr>
        <w:t>ASÍ LO RESUELVE, POR </w:t>
      </w:r>
      <w:r w:rsidRPr="002361FE">
        <w:rPr>
          <w:rFonts w:eastAsia="Calibri" w:cs="Tahoma"/>
          <w:b/>
          <w:bCs/>
          <w:color w:val="auto"/>
        </w:rPr>
        <w:t>UNANIMIDAD</w:t>
      </w:r>
      <w:r w:rsidRPr="002361FE">
        <w:rPr>
          <w:rFonts w:eastAsia="Calibri" w:cs="Tahoma"/>
          <w:bCs/>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A4ED9">
        <w:rPr>
          <w:rFonts w:eastAsia="Calibri" w:cs="Tahoma"/>
          <w:bCs/>
          <w:color w:val="auto"/>
        </w:rPr>
        <w:t>CUADRAGESIMA</w:t>
      </w:r>
      <w:r w:rsidR="002732E4">
        <w:rPr>
          <w:rFonts w:eastAsia="Calibri" w:cs="Tahoma"/>
          <w:bCs/>
          <w:color w:val="auto"/>
        </w:rPr>
        <w:t xml:space="preserve"> </w:t>
      </w:r>
      <w:r w:rsidR="00A2065A">
        <w:rPr>
          <w:rFonts w:eastAsia="Calibri" w:cs="Tahoma"/>
          <w:bCs/>
          <w:color w:val="auto"/>
        </w:rPr>
        <w:t xml:space="preserve">TERCERA </w:t>
      </w:r>
      <w:r w:rsidRPr="002361FE">
        <w:rPr>
          <w:rFonts w:eastAsia="Calibri" w:cs="Tahoma"/>
          <w:bCs/>
          <w:color w:val="auto"/>
        </w:rPr>
        <w:t xml:space="preserve">SESIÓN ORDINARIA, CELEBRADA EL </w:t>
      </w:r>
      <w:r w:rsidR="00A2065A">
        <w:rPr>
          <w:rFonts w:eastAsia="Calibri" w:cs="Tahoma"/>
          <w:bCs/>
          <w:color w:val="auto"/>
        </w:rPr>
        <w:t>TRES DE DICIEMBRE</w:t>
      </w:r>
      <w:r w:rsidR="006C1573" w:rsidRPr="002361FE">
        <w:rPr>
          <w:rFonts w:eastAsia="Calibri" w:cs="Tahoma"/>
          <w:bCs/>
          <w:color w:val="auto"/>
        </w:rPr>
        <w:t xml:space="preserve"> </w:t>
      </w:r>
      <w:r w:rsidRPr="002361FE">
        <w:rPr>
          <w:rFonts w:eastAsia="Calibri" w:cs="Tahoma"/>
          <w:bCs/>
          <w:color w:val="auto"/>
        </w:rPr>
        <w:t>DE DOS MIL VEINTIC</w:t>
      </w:r>
      <w:r w:rsidR="00E361ED" w:rsidRPr="002361FE">
        <w:rPr>
          <w:rFonts w:eastAsia="Calibri" w:cs="Tahoma"/>
          <w:bCs/>
          <w:color w:val="auto"/>
        </w:rPr>
        <w:t>INCO</w:t>
      </w:r>
      <w:r w:rsidRPr="002361FE">
        <w:rPr>
          <w:rFonts w:eastAsia="Calibri" w:cs="Tahoma"/>
          <w:bCs/>
          <w:color w:val="auto"/>
        </w:rPr>
        <w:t>, ANTE EL SECRETARIO TÉCNICO DEL PLENO, ALEXIS TAPIA RAMÍREZ.</w:t>
      </w:r>
    </w:p>
    <w:p w14:paraId="72186A79" w14:textId="77777777" w:rsidR="006C4CE5" w:rsidRDefault="006C4CE5" w:rsidP="007153F3">
      <w:pPr>
        <w:spacing w:after="0" w:line="360" w:lineRule="auto"/>
        <w:contextualSpacing/>
        <w:rPr>
          <w:rFonts w:cs="Tahoma"/>
          <w:b/>
          <w:bCs/>
          <w:color w:val="auto"/>
        </w:rPr>
      </w:pPr>
    </w:p>
    <w:p w14:paraId="2DB987C3" w14:textId="77777777" w:rsidR="006C4CE5" w:rsidRDefault="006C4CE5" w:rsidP="007153F3">
      <w:pPr>
        <w:spacing w:after="0" w:line="360" w:lineRule="auto"/>
        <w:contextualSpacing/>
        <w:rPr>
          <w:rFonts w:cs="Tahoma"/>
          <w:b/>
          <w:bCs/>
          <w:color w:val="auto"/>
        </w:rPr>
      </w:pPr>
    </w:p>
    <w:p w14:paraId="419A1B95" w14:textId="77777777" w:rsidR="006C4CE5" w:rsidRPr="006C4CE5" w:rsidRDefault="006C4CE5" w:rsidP="007153F3">
      <w:pPr>
        <w:spacing w:after="0" w:line="360" w:lineRule="auto"/>
        <w:contextualSpacing/>
        <w:rPr>
          <w:rFonts w:cs="Tahoma"/>
          <w:b/>
          <w:bCs/>
          <w:color w:val="auto"/>
        </w:rPr>
      </w:pPr>
    </w:p>
    <w:p w14:paraId="2DB71CAF" w14:textId="49BEE08C" w:rsidR="001D4F21" w:rsidRPr="002361FE" w:rsidRDefault="001D4F21" w:rsidP="007153F3">
      <w:pPr>
        <w:spacing w:after="0" w:line="360" w:lineRule="auto"/>
        <w:rPr>
          <w:color w:val="auto"/>
        </w:rPr>
      </w:pPr>
    </w:p>
    <w:p w14:paraId="38B4EF2E" w14:textId="77777777" w:rsidR="001D4F21" w:rsidRPr="002361FE" w:rsidRDefault="001D4F21" w:rsidP="007153F3">
      <w:pPr>
        <w:spacing w:after="0" w:line="360" w:lineRule="auto"/>
        <w:rPr>
          <w:color w:val="auto"/>
        </w:rPr>
      </w:pPr>
    </w:p>
    <w:p w14:paraId="4201A0A0" w14:textId="77777777" w:rsidR="00E864E9" w:rsidRPr="002361FE" w:rsidRDefault="00E864E9" w:rsidP="007153F3">
      <w:pPr>
        <w:tabs>
          <w:tab w:val="right" w:pos="8931"/>
        </w:tabs>
        <w:spacing w:after="0" w:line="360" w:lineRule="auto"/>
        <w:rPr>
          <w:color w:val="auto"/>
        </w:rPr>
      </w:pPr>
    </w:p>
    <w:p w14:paraId="543728D1" w14:textId="77777777" w:rsidR="00E864E9" w:rsidRPr="002361FE" w:rsidRDefault="00E864E9" w:rsidP="007153F3">
      <w:pPr>
        <w:tabs>
          <w:tab w:val="right" w:pos="8931"/>
        </w:tabs>
        <w:spacing w:after="0" w:line="360" w:lineRule="auto"/>
        <w:rPr>
          <w:color w:val="auto"/>
        </w:rPr>
      </w:pPr>
    </w:p>
    <w:p w14:paraId="0E4439D0" w14:textId="5248D3C9" w:rsidR="007B58B9" w:rsidRPr="00B2261F" w:rsidRDefault="007B58B9" w:rsidP="007153F3">
      <w:pPr>
        <w:spacing w:after="0" w:line="360" w:lineRule="auto"/>
        <w:rPr>
          <w:color w:val="FF0000"/>
        </w:rPr>
      </w:pPr>
    </w:p>
    <w:p w14:paraId="26916C77" w14:textId="77777777" w:rsidR="00A37EDE" w:rsidRPr="00B2261F" w:rsidRDefault="00A37EDE" w:rsidP="007153F3">
      <w:pPr>
        <w:spacing w:after="0" w:line="360" w:lineRule="auto"/>
        <w:rPr>
          <w:color w:val="FF0000"/>
        </w:rPr>
      </w:pPr>
    </w:p>
    <w:p w14:paraId="6C800ACF" w14:textId="77777777" w:rsidR="00C457EF" w:rsidRPr="00B2261F" w:rsidRDefault="00C457EF" w:rsidP="007153F3">
      <w:pPr>
        <w:spacing w:after="0" w:line="360" w:lineRule="auto"/>
        <w:rPr>
          <w:color w:val="FF0000"/>
        </w:rPr>
      </w:pPr>
    </w:p>
    <w:p w14:paraId="30D60B56" w14:textId="77777777" w:rsidR="00C457EF" w:rsidRPr="00B2261F" w:rsidRDefault="00C457EF" w:rsidP="007153F3">
      <w:pPr>
        <w:spacing w:after="0" w:line="360" w:lineRule="auto"/>
        <w:rPr>
          <w:color w:val="FF0000"/>
        </w:rPr>
      </w:pPr>
    </w:p>
    <w:p w14:paraId="5657FDD0" w14:textId="77777777" w:rsidR="00C457EF" w:rsidRPr="00B2261F" w:rsidRDefault="00C457EF" w:rsidP="007153F3">
      <w:pPr>
        <w:spacing w:after="0" w:line="360" w:lineRule="auto"/>
        <w:rPr>
          <w:color w:val="FF0000"/>
        </w:rPr>
      </w:pPr>
    </w:p>
    <w:p w14:paraId="06C51672" w14:textId="77777777" w:rsidR="00C457EF" w:rsidRPr="00B2261F" w:rsidRDefault="00C457EF" w:rsidP="007153F3">
      <w:pPr>
        <w:spacing w:after="0" w:line="360" w:lineRule="auto"/>
        <w:rPr>
          <w:color w:val="FF0000"/>
        </w:rPr>
      </w:pPr>
    </w:p>
    <w:p w14:paraId="1F44ECA1" w14:textId="77777777" w:rsidR="00C457EF" w:rsidRPr="00B2261F" w:rsidRDefault="00C457EF" w:rsidP="007153F3">
      <w:pPr>
        <w:spacing w:after="0" w:line="360" w:lineRule="auto"/>
        <w:rPr>
          <w:color w:val="FF0000"/>
        </w:rPr>
      </w:pPr>
    </w:p>
    <w:p w14:paraId="733D9CE4" w14:textId="77777777" w:rsidR="00C457EF" w:rsidRPr="00B2261F" w:rsidRDefault="00C457EF" w:rsidP="007153F3">
      <w:pPr>
        <w:spacing w:after="0" w:line="360" w:lineRule="auto"/>
        <w:rPr>
          <w:color w:val="FF0000"/>
        </w:rPr>
      </w:pPr>
    </w:p>
    <w:p w14:paraId="53D3E59F" w14:textId="77777777" w:rsidR="00C457EF" w:rsidRPr="00B2261F" w:rsidRDefault="00C457EF" w:rsidP="007153F3">
      <w:pPr>
        <w:spacing w:after="0" w:line="360" w:lineRule="auto"/>
        <w:rPr>
          <w:color w:val="FF0000"/>
        </w:rPr>
      </w:pPr>
    </w:p>
    <w:p w14:paraId="0494B722" w14:textId="77777777" w:rsidR="00C457EF" w:rsidRPr="00B2261F" w:rsidRDefault="00C457EF" w:rsidP="007153F3">
      <w:pPr>
        <w:spacing w:after="0" w:line="360" w:lineRule="auto"/>
        <w:rPr>
          <w:color w:val="FF0000"/>
        </w:rPr>
      </w:pPr>
    </w:p>
    <w:p w14:paraId="7F0C198D" w14:textId="77777777" w:rsidR="00C457EF" w:rsidRPr="00B2261F" w:rsidRDefault="00C457EF" w:rsidP="007153F3">
      <w:pPr>
        <w:spacing w:after="0" w:line="360" w:lineRule="auto"/>
        <w:rPr>
          <w:color w:val="FF0000"/>
        </w:rPr>
      </w:pPr>
    </w:p>
    <w:p w14:paraId="5E54FA39" w14:textId="77777777" w:rsidR="00C457EF" w:rsidRPr="00B2261F" w:rsidRDefault="00C457EF" w:rsidP="007153F3">
      <w:pPr>
        <w:spacing w:after="0" w:line="360" w:lineRule="auto"/>
        <w:rPr>
          <w:color w:val="FF0000"/>
        </w:rPr>
      </w:pPr>
    </w:p>
    <w:p w14:paraId="71A4CF0E" w14:textId="77777777" w:rsidR="00C457EF" w:rsidRPr="00B2261F" w:rsidRDefault="00C457EF" w:rsidP="007153F3">
      <w:pPr>
        <w:spacing w:after="0" w:line="360" w:lineRule="auto"/>
        <w:rPr>
          <w:color w:val="FF0000"/>
        </w:rPr>
      </w:pPr>
    </w:p>
    <w:p w14:paraId="04139530" w14:textId="77777777" w:rsidR="00C457EF" w:rsidRPr="00B2261F" w:rsidRDefault="00C457EF" w:rsidP="007153F3">
      <w:pPr>
        <w:spacing w:after="0" w:line="360" w:lineRule="auto"/>
        <w:rPr>
          <w:color w:val="FF0000"/>
        </w:rPr>
      </w:pPr>
    </w:p>
    <w:p w14:paraId="382CD8FC" w14:textId="77777777" w:rsidR="00C457EF" w:rsidRPr="00B2261F" w:rsidRDefault="00C457EF" w:rsidP="007153F3">
      <w:pPr>
        <w:spacing w:after="0" w:line="360" w:lineRule="auto"/>
        <w:rPr>
          <w:color w:val="FF0000"/>
        </w:rPr>
      </w:pPr>
    </w:p>
    <w:p w14:paraId="5AFF30BA" w14:textId="77777777" w:rsidR="00C457EF" w:rsidRPr="00B2261F" w:rsidRDefault="00C457EF" w:rsidP="007153F3">
      <w:pPr>
        <w:spacing w:after="0" w:line="360" w:lineRule="auto"/>
        <w:rPr>
          <w:color w:val="FF0000"/>
        </w:rPr>
      </w:pPr>
    </w:p>
    <w:p w14:paraId="4B0C09A4" w14:textId="77777777" w:rsidR="00C457EF" w:rsidRPr="00B2261F" w:rsidRDefault="00C457EF" w:rsidP="007153F3">
      <w:pPr>
        <w:spacing w:after="0" w:line="360" w:lineRule="auto"/>
        <w:rPr>
          <w:color w:val="FF0000"/>
        </w:rPr>
      </w:pPr>
    </w:p>
    <w:sectPr w:rsidR="00C457EF" w:rsidRPr="00B2261F"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ABA2" w14:textId="77777777" w:rsidR="0091282F" w:rsidRDefault="0091282F">
      <w:pPr>
        <w:spacing w:after="0" w:line="240" w:lineRule="auto"/>
      </w:pPr>
      <w:r>
        <w:separator/>
      </w:r>
    </w:p>
  </w:endnote>
  <w:endnote w:type="continuationSeparator" w:id="0">
    <w:p w14:paraId="4D4457FF" w14:textId="77777777" w:rsidR="0091282F" w:rsidRDefault="0091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58544CAB" w:rsidR="00431AC4" w:rsidRDefault="00431A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27778">
      <w:rPr>
        <w:b/>
        <w:noProof/>
        <w:color w:val="000000"/>
        <w:sz w:val="24"/>
        <w:szCs w:val="24"/>
      </w:rPr>
      <w:t>44</w:t>
    </w:r>
    <w:r>
      <w:rPr>
        <w:b/>
        <w:color w:val="000000"/>
        <w:sz w:val="24"/>
        <w:szCs w:val="24"/>
      </w:rPr>
      <w:fldChar w:fldCharType="end"/>
    </w:r>
  </w:p>
  <w:p w14:paraId="7EB9860B" w14:textId="77777777" w:rsidR="00431AC4" w:rsidRDefault="00431AC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431AC4" w:rsidRDefault="00431A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E42AC">
      <w:rPr>
        <w:b/>
        <w:noProof/>
        <w:color w:val="000000"/>
        <w:sz w:val="24"/>
        <w:szCs w:val="24"/>
      </w:rPr>
      <w:t>44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E42AC">
      <w:rPr>
        <w:b/>
        <w:noProof/>
        <w:color w:val="000000"/>
        <w:sz w:val="24"/>
        <w:szCs w:val="24"/>
      </w:rPr>
      <w:t>44</w:t>
    </w:r>
    <w:r>
      <w:rPr>
        <w:b/>
        <w:color w:val="000000"/>
        <w:sz w:val="24"/>
        <w:szCs w:val="24"/>
      </w:rPr>
      <w:fldChar w:fldCharType="end"/>
    </w:r>
  </w:p>
  <w:p w14:paraId="0D7FA8D9" w14:textId="77777777" w:rsidR="00431AC4" w:rsidRDefault="00431AC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431AC4" w:rsidRDefault="00431A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654A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654A3">
      <w:rPr>
        <w:b/>
        <w:noProof/>
        <w:color w:val="000000"/>
        <w:sz w:val="24"/>
        <w:szCs w:val="24"/>
      </w:rPr>
      <w:t>1</w:t>
    </w:r>
    <w:r>
      <w:rPr>
        <w:b/>
        <w:color w:val="000000"/>
        <w:sz w:val="24"/>
        <w:szCs w:val="24"/>
      </w:rPr>
      <w:fldChar w:fldCharType="end"/>
    </w:r>
  </w:p>
  <w:p w14:paraId="6796AF5F" w14:textId="77777777" w:rsidR="00431AC4" w:rsidRDefault="00431AC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C1BB" w14:textId="77777777" w:rsidR="0091282F" w:rsidRDefault="0091282F">
      <w:pPr>
        <w:spacing w:after="0" w:line="240" w:lineRule="auto"/>
      </w:pPr>
      <w:r>
        <w:separator/>
      </w:r>
    </w:p>
  </w:footnote>
  <w:footnote w:type="continuationSeparator" w:id="0">
    <w:p w14:paraId="2EAABDE8" w14:textId="77777777" w:rsidR="0091282F" w:rsidRDefault="00912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431AC4" w:rsidRDefault="00431AC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31AC4" w14:paraId="10C29E94" w14:textId="77777777">
      <w:trPr>
        <w:trHeight w:val="132"/>
      </w:trPr>
      <w:tc>
        <w:tcPr>
          <w:tcW w:w="2691" w:type="dxa"/>
        </w:tcPr>
        <w:p w14:paraId="7D85A4B8" w14:textId="77777777" w:rsidR="00431AC4" w:rsidRDefault="00431AC4">
          <w:pPr>
            <w:tabs>
              <w:tab w:val="right" w:pos="8838"/>
            </w:tabs>
            <w:ind w:right="-105"/>
            <w:rPr>
              <w:b/>
            </w:rPr>
          </w:pPr>
          <w:r>
            <w:rPr>
              <w:b/>
            </w:rPr>
            <w:t>Recurso de Revisión:</w:t>
          </w:r>
        </w:p>
      </w:tc>
      <w:tc>
        <w:tcPr>
          <w:tcW w:w="3405" w:type="dxa"/>
        </w:tcPr>
        <w:p w14:paraId="0B0D1A9D" w14:textId="77777777" w:rsidR="00431AC4" w:rsidRDefault="00431AC4">
          <w:pPr>
            <w:tabs>
              <w:tab w:val="right" w:pos="8838"/>
            </w:tabs>
            <w:ind w:left="-28" w:right="-32"/>
          </w:pPr>
          <w:r>
            <w:t>03846/INFOEM/IP/RR/2020</w:t>
          </w:r>
        </w:p>
      </w:tc>
    </w:tr>
    <w:tr w:rsidR="00431AC4" w14:paraId="2F47AC72" w14:textId="77777777">
      <w:trPr>
        <w:trHeight w:val="261"/>
      </w:trPr>
      <w:tc>
        <w:tcPr>
          <w:tcW w:w="2691" w:type="dxa"/>
        </w:tcPr>
        <w:p w14:paraId="154A4752" w14:textId="77777777" w:rsidR="00431AC4" w:rsidRDefault="00431AC4">
          <w:pPr>
            <w:tabs>
              <w:tab w:val="right" w:pos="8838"/>
            </w:tabs>
            <w:ind w:right="-105"/>
            <w:rPr>
              <w:b/>
            </w:rPr>
          </w:pPr>
          <w:r>
            <w:rPr>
              <w:b/>
            </w:rPr>
            <w:t>Sujeto Obligado:</w:t>
          </w:r>
        </w:p>
      </w:tc>
      <w:tc>
        <w:tcPr>
          <w:tcW w:w="3405" w:type="dxa"/>
        </w:tcPr>
        <w:p w14:paraId="5D9EC711" w14:textId="77777777" w:rsidR="00431AC4" w:rsidRDefault="00431AC4">
          <w:pPr>
            <w:tabs>
              <w:tab w:val="right" w:pos="8838"/>
            </w:tabs>
            <w:ind w:right="-32"/>
          </w:pPr>
          <w:r>
            <w:t>Ayuntamiento de Temascalcingo</w:t>
          </w:r>
        </w:p>
      </w:tc>
    </w:tr>
    <w:tr w:rsidR="00431AC4" w14:paraId="11FBB450" w14:textId="77777777">
      <w:trPr>
        <w:trHeight w:val="261"/>
      </w:trPr>
      <w:tc>
        <w:tcPr>
          <w:tcW w:w="2691" w:type="dxa"/>
        </w:tcPr>
        <w:p w14:paraId="6BAF6003" w14:textId="77777777" w:rsidR="00431AC4" w:rsidRDefault="00431AC4">
          <w:pPr>
            <w:tabs>
              <w:tab w:val="right" w:pos="8838"/>
            </w:tabs>
            <w:ind w:right="-105"/>
            <w:rPr>
              <w:b/>
            </w:rPr>
          </w:pPr>
          <w:r>
            <w:rPr>
              <w:b/>
            </w:rPr>
            <w:t>Comisionado Ponente:</w:t>
          </w:r>
        </w:p>
      </w:tc>
      <w:tc>
        <w:tcPr>
          <w:tcW w:w="3405" w:type="dxa"/>
        </w:tcPr>
        <w:p w14:paraId="420341AF" w14:textId="77777777" w:rsidR="00431AC4" w:rsidRDefault="00431AC4">
          <w:pPr>
            <w:tabs>
              <w:tab w:val="right" w:pos="8838"/>
            </w:tabs>
            <w:ind w:right="-32"/>
            <w:rPr>
              <w:b/>
            </w:rPr>
          </w:pPr>
          <w:r>
            <w:t>Luis Gustavo Parra Noriega</w:t>
          </w:r>
        </w:p>
      </w:tc>
    </w:tr>
  </w:tbl>
  <w:p w14:paraId="00411D75" w14:textId="77777777" w:rsidR="00431AC4"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431AC4"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78.3pt;margin-top:-128.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3"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268"/>
      <w:gridCol w:w="4395"/>
    </w:tblGrid>
    <w:tr w:rsidR="00431AC4" w14:paraId="40D5D5A3" w14:textId="77777777" w:rsidTr="009544D4">
      <w:trPr>
        <w:trHeight w:val="138"/>
      </w:trPr>
      <w:tc>
        <w:tcPr>
          <w:tcW w:w="2268" w:type="dxa"/>
          <w:vAlign w:val="center"/>
        </w:tcPr>
        <w:p w14:paraId="43377EBE" w14:textId="77777777" w:rsidR="00431AC4" w:rsidRDefault="00431AC4" w:rsidP="008C266D">
          <w:pPr>
            <w:tabs>
              <w:tab w:val="right" w:pos="8838"/>
            </w:tabs>
            <w:ind w:left="-108" w:right="-105"/>
            <w:jc w:val="left"/>
            <w:rPr>
              <w:b/>
            </w:rPr>
          </w:pPr>
        </w:p>
        <w:p w14:paraId="1DB5C8D0" w14:textId="7E98B3D2" w:rsidR="00431AC4" w:rsidRDefault="00431AC4" w:rsidP="008C266D">
          <w:pPr>
            <w:tabs>
              <w:tab w:val="right" w:pos="8838"/>
            </w:tabs>
            <w:ind w:left="-108" w:right="-105"/>
            <w:jc w:val="left"/>
            <w:rPr>
              <w:b/>
            </w:rPr>
          </w:pPr>
          <w:r>
            <w:rPr>
              <w:b/>
            </w:rPr>
            <w:t>Recurso de Revisión:</w:t>
          </w:r>
        </w:p>
      </w:tc>
      <w:tc>
        <w:tcPr>
          <w:tcW w:w="4395" w:type="dxa"/>
        </w:tcPr>
        <w:p w14:paraId="5BCC69C4" w14:textId="77777777" w:rsidR="00431AC4" w:rsidRPr="00EF0C39" w:rsidRDefault="00431AC4" w:rsidP="008C266D">
          <w:pPr>
            <w:tabs>
              <w:tab w:val="right" w:pos="8838"/>
            </w:tabs>
            <w:ind w:right="57"/>
          </w:pPr>
        </w:p>
        <w:p w14:paraId="61E59D71" w14:textId="3C766DF6" w:rsidR="00431AC4" w:rsidRPr="00EF0C39" w:rsidRDefault="00BF6DE4" w:rsidP="008C266D">
          <w:pPr>
            <w:tabs>
              <w:tab w:val="right" w:pos="8838"/>
            </w:tabs>
            <w:ind w:right="57"/>
          </w:pPr>
          <w:r>
            <w:t>12921</w:t>
          </w:r>
          <w:r w:rsidR="00431AC4">
            <w:t>/INFOEM/IP/RR/2025</w:t>
          </w:r>
        </w:p>
      </w:tc>
    </w:tr>
    <w:tr w:rsidR="00431AC4" w14:paraId="7A281F30" w14:textId="77777777" w:rsidTr="009544D4">
      <w:trPr>
        <w:trHeight w:val="273"/>
      </w:trPr>
      <w:tc>
        <w:tcPr>
          <w:tcW w:w="2268" w:type="dxa"/>
        </w:tcPr>
        <w:p w14:paraId="6671A308" w14:textId="77777777" w:rsidR="00431AC4" w:rsidRDefault="00431AC4" w:rsidP="008C266D">
          <w:pPr>
            <w:tabs>
              <w:tab w:val="right" w:pos="8838"/>
            </w:tabs>
            <w:ind w:left="-108" w:right="-105"/>
            <w:rPr>
              <w:b/>
            </w:rPr>
          </w:pPr>
          <w:r>
            <w:rPr>
              <w:b/>
            </w:rPr>
            <w:t>Sujeto Obligado:</w:t>
          </w:r>
        </w:p>
      </w:tc>
      <w:tc>
        <w:tcPr>
          <w:tcW w:w="4395" w:type="dxa"/>
        </w:tcPr>
        <w:p w14:paraId="30885B6D" w14:textId="6B3950B0" w:rsidR="00431AC4" w:rsidRPr="00EF0C39" w:rsidRDefault="005F3522" w:rsidP="00530177">
          <w:pPr>
            <w:tabs>
              <w:tab w:val="right" w:pos="8838"/>
            </w:tabs>
            <w:ind w:right="175"/>
          </w:pPr>
          <w:r>
            <w:t>Ayuntamiento de Chalco</w:t>
          </w:r>
        </w:p>
      </w:tc>
    </w:tr>
    <w:tr w:rsidR="00431AC4" w14:paraId="00C22F2F" w14:textId="77777777" w:rsidTr="009544D4">
      <w:trPr>
        <w:trHeight w:val="273"/>
      </w:trPr>
      <w:tc>
        <w:tcPr>
          <w:tcW w:w="2268" w:type="dxa"/>
        </w:tcPr>
        <w:p w14:paraId="70417649" w14:textId="77777777" w:rsidR="00431AC4" w:rsidRDefault="00431AC4" w:rsidP="008C266D">
          <w:pPr>
            <w:tabs>
              <w:tab w:val="right" w:pos="8838"/>
            </w:tabs>
            <w:ind w:left="-108" w:right="-105"/>
            <w:rPr>
              <w:b/>
            </w:rPr>
          </w:pPr>
          <w:r>
            <w:rPr>
              <w:b/>
            </w:rPr>
            <w:t>Comisionado Ponente:</w:t>
          </w:r>
        </w:p>
      </w:tc>
      <w:tc>
        <w:tcPr>
          <w:tcW w:w="4395" w:type="dxa"/>
        </w:tcPr>
        <w:p w14:paraId="5E6EB38B" w14:textId="77777777" w:rsidR="00431AC4" w:rsidRPr="00EF0C39" w:rsidRDefault="00431AC4" w:rsidP="008C266D">
          <w:pPr>
            <w:tabs>
              <w:tab w:val="right" w:pos="8838"/>
            </w:tabs>
            <w:ind w:right="-170"/>
          </w:pPr>
          <w:r w:rsidRPr="00EF0C39">
            <w:t>Luis Gustavo Parra Noriega</w:t>
          </w:r>
        </w:p>
        <w:p w14:paraId="1A63C67B" w14:textId="77777777" w:rsidR="00431AC4" w:rsidRPr="00754528" w:rsidRDefault="00431AC4" w:rsidP="008C266D">
          <w:pPr>
            <w:tabs>
              <w:tab w:val="right" w:pos="8838"/>
            </w:tabs>
            <w:ind w:right="-170"/>
            <w:rPr>
              <w:b/>
              <w:sz w:val="13"/>
              <w:szCs w:val="13"/>
            </w:rPr>
          </w:pPr>
        </w:p>
      </w:tc>
    </w:tr>
  </w:tbl>
  <w:p w14:paraId="3498D107" w14:textId="7E17876C" w:rsidR="00431AC4" w:rsidRDefault="00431AC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3A6A4493" w:rsidR="00431AC4" w:rsidRDefault="00431AC4">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31AC4" w14:paraId="6B3232BD" w14:textId="77777777" w:rsidTr="00BF6DE4">
      <w:trPr>
        <w:trHeight w:val="132"/>
      </w:trPr>
      <w:tc>
        <w:tcPr>
          <w:tcW w:w="2551" w:type="dxa"/>
        </w:tcPr>
        <w:p w14:paraId="38F16E2F" w14:textId="77777777" w:rsidR="00431AC4" w:rsidRDefault="00431AC4">
          <w:pPr>
            <w:tabs>
              <w:tab w:val="right" w:pos="8838"/>
            </w:tabs>
            <w:ind w:right="-105"/>
            <w:rPr>
              <w:b/>
            </w:rPr>
          </w:pPr>
          <w:r>
            <w:rPr>
              <w:b/>
            </w:rPr>
            <w:t>Recurso de Revisión:</w:t>
          </w:r>
        </w:p>
      </w:tc>
      <w:tc>
        <w:tcPr>
          <w:tcW w:w="4253" w:type="dxa"/>
        </w:tcPr>
        <w:p w14:paraId="211CDC0A" w14:textId="1680E16A" w:rsidR="00431AC4" w:rsidRPr="00026C6B" w:rsidRDefault="00BF6DE4" w:rsidP="00026C6B">
          <w:r>
            <w:t>12921</w:t>
          </w:r>
          <w:r w:rsidR="00431AC4">
            <w:t>/INFOEM/IP/RR/2025</w:t>
          </w:r>
        </w:p>
      </w:tc>
    </w:tr>
    <w:tr w:rsidR="00431AC4" w14:paraId="6AA3CC58" w14:textId="77777777" w:rsidTr="00BF6DE4">
      <w:trPr>
        <w:trHeight w:val="132"/>
      </w:trPr>
      <w:tc>
        <w:tcPr>
          <w:tcW w:w="2551" w:type="dxa"/>
        </w:tcPr>
        <w:p w14:paraId="7FD164F5" w14:textId="77777777" w:rsidR="00431AC4" w:rsidRDefault="00431AC4">
          <w:pPr>
            <w:tabs>
              <w:tab w:val="left" w:pos="1875"/>
            </w:tabs>
            <w:ind w:right="-105"/>
            <w:rPr>
              <w:b/>
            </w:rPr>
          </w:pPr>
          <w:r>
            <w:rPr>
              <w:b/>
            </w:rPr>
            <w:t>Recurrente:</w:t>
          </w:r>
          <w:r>
            <w:rPr>
              <w:b/>
            </w:rPr>
            <w:tab/>
          </w:r>
        </w:p>
      </w:tc>
      <w:tc>
        <w:tcPr>
          <w:tcW w:w="4253" w:type="dxa"/>
        </w:tcPr>
        <w:p w14:paraId="1F1B0537" w14:textId="36CC449C" w:rsidR="00431AC4" w:rsidRPr="00EF0C39" w:rsidRDefault="00653C69" w:rsidP="00530177">
          <w:r w:rsidRPr="00653C69">
            <w:rPr>
              <w:highlight w:val="black"/>
            </w:rPr>
            <w:t>XXXXXXXXXXXXXXXX</w:t>
          </w:r>
        </w:p>
      </w:tc>
    </w:tr>
    <w:tr w:rsidR="00431AC4" w14:paraId="5113CAA6" w14:textId="77777777" w:rsidTr="00BF6DE4">
      <w:trPr>
        <w:trHeight w:val="261"/>
      </w:trPr>
      <w:tc>
        <w:tcPr>
          <w:tcW w:w="2551" w:type="dxa"/>
        </w:tcPr>
        <w:p w14:paraId="28E3431B" w14:textId="30EC7C18" w:rsidR="00431AC4" w:rsidRDefault="00431AC4">
          <w:pPr>
            <w:tabs>
              <w:tab w:val="right" w:pos="8838"/>
            </w:tabs>
            <w:ind w:right="-105"/>
            <w:rPr>
              <w:b/>
            </w:rPr>
          </w:pPr>
          <w:r>
            <w:rPr>
              <w:b/>
            </w:rPr>
            <w:t>Sujeto Obligado:</w:t>
          </w:r>
        </w:p>
      </w:tc>
      <w:tc>
        <w:tcPr>
          <w:tcW w:w="4253" w:type="dxa"/>
        </w:tcPr>
        <w:p w14:paraId="3192354E" w14:textId="7F28F869" w:rsidR="00431AC4" w:rsidRPr="00026C6B" w:rsidRDefault="005F3522" w:rsidP="00530177">
          <w:r>
            <w:t>Ayuntamiento de Chalco</w:t>
          </w:r>
        </w:p>
      </w:tc>
    </w:tr>
    <w:tr w:rsidR="00431AC4" w14:paraId="5D4C2A35" w14:textId="77777777" w:rsidTr="00BF6DE4">
      <w:trPr>
        <w:trHeight w:val="261"/>
      </w:trPr>
      <w:tc>
        <w:tcPr>
          <w:tcW w:w="2551" w:type="dxa"/>
        </w:tcPr>
        <w:p w14:paraId="7F522FEC" w14:textId="77777777" w:rsidR="00431AC4" w:rsidRDefault="00431AC4">
          <w:pPr>
            <w:tabs>
              <w:tab w:val="right" w:pos="8838"/>
            </w:tabs>
            <w:ind w:right="-105"/>
            <w:rPr>
              <w:b/>
            </w:rPr>
          </w:pPr>
          <w:r>
            <w:rPr>
              <w:b/>
            </w:rPr>
            <w:t>Comisionado Ponente:</w:t>
          </w:r>
        </w:p>
      </w:tc>
      <w:tc>
        <w:tcPr>
          <w:tcW w:w="4253" w:type="dxa"/>
        </w:tcPr>
        <w:p w14:paraId="0F0566F9" w14:textId="77777777" w:rsidR="00431AC4" w:rsidRPr="00EF0C39" w:rsidRDefault="00431AC4" w:rsidP="00C46A25">
          <w:pPr>
            <w:tabs>
              <w:tab w:val="right" w:pos="8838"/>
            </w:tabs>
            <w:ind w:right="-32"/>
            <w:rPr>
              <w:b/>
            </w:rPr>
          </w:pPr>
          <w:r w:rsidRPr="00EF0C39">
            <w:t>Luis Gustavo Parra Noriega</w:t>
          </w:r>
        </w:p>
      </w:tc>
    </w:tr>
  </w:tbl>
  <w:p w14:paraId="4DFC2598" w14:textId="77777777" w:rsidR="00431AC4"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5045E1"/>
    <w:multiLevelType w:val="multilevel"/>
    <w:tmpl w:val="0DFE2D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2345DF"/>
    <w:multiLevelType w:val="multilevel"/>
    <w:tmpl w:val="A148C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A72A60"/>
    <w:multiLevelType w:val="multilevel"/>
    <w:tmpl w:val="DFCE67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164502"/>
    <w:multiLevelType w:val="multilevel"/>
    <w:tmpl w:val="66961B0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FF57862"/>
    <w:multiLevelType w:val="hybridMultilevel"/>
    <w:tmpl w:val="4D86962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291B33"/>
    <w:multiLevelType w:val="hybridMultilevel"/>
    <w:tmpl w:val="51BCF65C"/>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E046F81"/>
    <w:multiLevelType w:val="hybridMultilevel"/>
    <w:tmpl w:val="EEDAC6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3170B26"/>
    <w:multiLevelType w:val="hybridMultilevel"/>
    <w:tmpl w:val="9500C04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0B1C1E"/>
    <w:multiLevelType w:val="multilevel"/>
    <w:tmpl w:val="D6C28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8E297F"/>
    <w:multiLevelType w:val="hybridMultilevel"/>
    <w:tmpl w:val="4D4CB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BE0DBE"/>
    <w:multiLevelType w:val="hybridMultilevel"/>
    <w:tmpl w:val="D8A84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6F0A4F"/>
    <w:multiLevelType w:val="hybridMultilevel"/>
    <w:tmpl w:val="636CB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1372AB"/>
    <w:multiLevelType w:val="hybridMultilevel"/>
    <w:tmpl w:val="97F4FF36"/>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2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223953723">
    <w:abstractNumId w:val="14"/>
  </w:num>
  <w:num w:numId="2" w16cid:durableId="1208445086">
    <w:abstractNumId w:val="25"/>
  </w:num>
  <w:num w:numId="3" w16cid:durableId="523178396">
    <w:abstractNumId w:val="22"/>
  </w:num>
  <w:num w:numId="4" w16cid:durableId="1601793559">
    <w:abstractNumId w:val="24"/>
  </w:num>
  <w:num w:numId="5" w16cid:durableId="693926112">
    <w:abstractNumId w:val="0"/>
  </w:num>
  <w:num w:numId="6" w16cid:durableId="1869638043">
    <w:abstractNumId w:val="9"/>
  </w:num>
  <w:num w:numId="7" w16cid:durableId="251621415">
    <w:abstractNumId w:val="15"/>
  </w:num>
  <w:num w:numId="8" w16cid:durableId="1620800047">
    <w:abstractNumId w:val="18"/>
  </w:num>
  <w:num w:numId="9" w16cid:durableId="1558009353">
    <w:abstractNumId w:val="9"/>
  </w:num>
  <w:num w:numId="10" w16cid:durableId="7804890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480372">
    <w:abstractNumId w:val="19"/>
  </w:num>
  <w:num w:numId="12" w16cid:durableId="1709573589">
    <w:abstractNumId w:val="20"/>
  </w:num>
  <w:num w:numId="13" w16cid:durableId="216403114">
    <w:abstractNumId w:val="17"/>
  </w:num>
  <w:num w:numId="14" w16cid:durableId="1043597270">
    <w:abstractNumId w:val="8"/>
  </w:num>
  <w:num w:numId="15" w16cid:durableId="706029025">
    <w:abstractNumId w:val="3"/>
  </w:num>
  <w:num w:numId="16" w16cid:durableId="235555707">
    <w:abstractNumId w:val="12"/>
  </w:num>
  <w:num w:numId="17" w16cid:durableId="189420620">
    <w:abstractNumId w:val="23"/>
  </w:num>
  <w:num w:numId="18" w16cid:durableId="1565796245">
    <w:abstractNumId w:val="21"/>
  </w:num>
  <w:num w:numId="19" w16cid:durableId="1981499147">
    <w:abstractNumId w:val="5"/>
  </w:num>
  <w:num w:numId="20" w16cid:durableId="1751080628">
    <w:abstractNumId w:val="4"/>
  </w:num>
  <w:num w:numId="21" w16cid:durableId="650712909">
    <w:abstractNumId w:val="2"/>
  </w:num>
  <w:num w:numId="22" w16cid:durableId="511535842">
    <w:abstractNumId w:val="7"/>
  </w:num>
  <w:num w:numId="23" w16cid:durableId="1773015326">
    <w:abstractNumId w:val="10"/>
  </w:num>
  <w:num w:numId="24" w16cid:durableId="254751818">
    <w:abstractNumId w:val="6"/>
  </w:num>
  <w:num w:numId="25" w16cid:durableId="1158693568">
    <w:abstractNumId w:val="11"/>
  </w:num>
  <w:num w:numId="26" w16cid:durableId="1589535589">
    <w:abstractNumId w:val="13"/>
  </w:num>
  <w:num w:numId="27" w16cid:durableId="1805077293">
    <w:abstractNumId w:val="16"/>
  </w:num>
  <w:num w:numId="28" w16cid:durableId="549653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73255364">
    <w:abstractNumId w:val="5"/>
  </w:num>
  <w:num w:numId="30" w16cid:durableId="1281452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188708">
    <w:abstractNumId w:val="11"/>
  </w:num>
  <w:num w:numId="32" w16cid:durableId="1805268054">
    <w:abstractNumId w:val="13"/>
  </w:num>
  <w:num w:numId="33" w16cid:durableId="1178929074">
    <w:abstractNumId w:val="2"/>
  </w:num>
  <w:num w:numId="34" w16cid:durableId="204178110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3081"/>
    <w:rsid w:val="00004646"/>
    <w:rsid w:val="00004E81"/>
    <w:rsid w:val="000053EA"/>
    <w:rsid w:val="0000637C"/>
    <w:rsid w:val="00006A45"/>
    <w:rsid w:val="00010AA5"/>
    <w:rsid w:val="0001108B"/>
    <w:rsid w:val="00011477"/>
    <w:rsid w:val="00011608"/>
    <w:rsid w:val="00014169"/>
    <w:rsid w:val="00014EE2"/>
    <w:rsid w:val="00016290"/>
    <w:rsid w:val="000201B0"/>
    <w:rsid w:val="00020A2C"/>
    <w:rsid w:val="00021BE0"/>
    <w:rsid w:val="00023BBD"/>
    <w:rsid w:val="0002588C"/>
    <w:rsid w:val="00026B5A"/>
    <w:rsid w:val="00026C6B"/>
    <w:rsid w:val="0003084A"/>
    <w:rsid w:val="000316C2"/>
    <w:rsid w:val="00033026"/>
    <w:rsid w:val="0003318A"/>
    <w:rsid w:val="00033683"/>
    <w:rsid w:val="00033F2C"/>
    <w:rsid w:val="0003782D"/>
    <w:rsid w:val="0004134C"/>
    <w:rsid w:val="000417D0"/>
    <w:rsid w:val="000426D2"/>
    <w:rsid w:val="00043930"/>
    <w:rsid w:val="0004588A"/>
    <w:rsid w:val="000461C5"/>
    <w:rsid w:val="00050159"/>
    <w:rsid w:val="00050E2E"/>
    <w:rsid w:val="00057D14"/>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9167E"/>
    <w:rsid w:val="00092501"/>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2DFF"/>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79C0"/>
    <w:rsid w:val="00147F25"/>
    <w:rsid w:val="001502AB"/>
    <w:rsid w:val="001507E8"/>
    <w:rsid w:val="0015215C"/>
    <w:rsid w:val="00153139"/>
    <w:rsid w:val="0015453C"/>
    <w:rsid w:val="001548D6"/>
    <w:rsid w:val="00155642"/>
    <w:rsid w:val="001558BD"/>
    <w:rsid w:val="00155BD1"/>
    <w:rsid w:val="001566D4"/>
    <w:rsid w:val="001578F5"/>
    <w:rsid w:val="0016373E"/>
    <w:rsid w:val="00163D9F"/>
    <w:rsid w:val="00164F5C"/>
    <w:rsid w:val="00165AB2"/>
    <w:rsid w:val="00166452"/>
    <w:rsid w:val="00166907"/>
    <w:rsid w:val="00166A42"/>
    <w:rsid w:val="0016772E"/>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4AAB"/>
    <w:rsid w:val="00194EF6"/>
    <w:rsid w:val="00195EC3"/>
    <w:rsid w:val="00196026"/>
    <w:rsid w:val="0019787E"/>
    <w:rsid w:val="001A0321"/>
    <w:rsid w:val="001A2062"/>
    <w:rsid w:val="001A31A2"/>
    <w:rsid w:val="001A4374"/>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86C"/>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61FE"/>
    <w:rsid w:val="002422B8"/>
    <w:rsid w:val="00243764"/>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21D4"/>
    <w:rsid w:val="0026345D"/>
    <w:rsid w:val="00265B2F"/>
    <w:rsid w:val="00266E26"/>
    <w:rsid w:val="00267457"/>
    <w:rsid w:val="00267F8C"/>
    <w:rsid w:val="00271E85"/>
    <w:rsid w:val="002732E4"/>
    <w:rsid w:val="00273A4E"/>
    <w:rsid w:val="00274745"/>
    <w:rsid w:val="00275184"/>
    <w:rsid w:val="00280625"/>
    <w:rsid w:val="00280CF8"/>
    <w:rsid w:val="00282176"/>
    <w:rsid w:val="002822A3"/>
    <w:rsid w:val="0028403A"/>
    <w:rsid w:val="002862CA"/>
    <w:rsid w:val="002870D5"/>
    <w:rsid w:val="00287374"/>
    <w:rsid w:val="0029130B"/>
    <w:rsid w:val="00291318"/>
    <w:rsid w:val="0029310D"/>
    <w:rsid w:val="00293A22"/>
    <w:rsid w:val="00294300"/>
    <w:rsid w:val="00294C03"/>
    <w:rsid w:val="00295482"/>
    <w:rsid w:val="002957F2"/>
    <w:rsid w:val="0029784D"/>
    <w:rsid w:val="002A02CD"/>
    <w:rsid w:val="002A0C92"/>
    <w:rsid w:val="002A2731"/>
    <w:rsid w:val="002A376A"/>
    <w:rsid w:val="002A3A8E"/>
    <w:rsid w:val="002A5DEB"/>
    <w:rsid w:val="002A6335"/>
    <w:rsid w:val="002A6495"/>
    <w:rsid w:val="002B065D"/>
    <w:rsid w:val="002B17F0"/>
    <w:rsid w:val="002B2A1D"/>
    <w:rsid w:val="002B2FEA"/>
    <w:rsid w:val="002B5A2D"/>
    <w:rsid w:val="002B772B"/>
    <w:rsid w:val="002C0C3A"/>
    <w:rsid w:val="002C1B3C"/>
    <w:rsid w:val="002C1B55"/>
    <w:rsid w:val="002C24FC"/>
    <w:rsid w:val="002C4A39"/>
    <w:rsid w:val="002C516D"/>
    <w:rsid w:val="002C531D"/>
    <w:rsid w:val="002C7C43"/>
    <w:rsid w:val="002D2107"/>
    <w:rsid w:val="002D2619"/>
    <w:rsid w:val="002D28B2"/>
    <w:rsid w:val="002D2A77"/>
    <w:rsid w:val="002D2BA9"/>
    <w:rsid w:val="002D6439"/>
    <w:rsid w:val="002D7CDE"/>
    <w:rsid w:val="002D7D07"/>
    <w:rsid w:val="002E2627"/>
    <w:rsid w:val="002E34B7"/>
    <w:rsid w:val="002E47B1"/>
    <w:rsid w:val="002E5C60"/>
    <w:rsid w:val="002E6125"/>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1F8"/>
    <w:rsid w:val="00325B13"/>
    <w:rsid w:val="00325D1E"/>
    <w:rsid w:val="00327778"/>
    <w:rsid w:val="00330566"/>
    <w:rsid w:val="00330942"/>
    <w:rsid w:val="00333468"/>
    <w:rsid w:val="0033408C"/>
    <w:rsid w:val="003344EB"/>
    <w:rsid w:val="0033681E"/>
    <w:rsid w:val="00336E20"/>
    <w:rsid w:val="00341669"/>
    <w:rsid w:val="00342465"/>
    <w:rsid w:val="00345E3B"/>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13EE"/>
    <w:rsid w:val="0039615C"/>
    <w:rsid w:val="003A208C"/>
    <w:rsid w:val="003A2B31"/>
    <w:rsid w:val="003A47C4"/>
    <w:rsid w:val="003A4CF8"/>
    <w:rsid w:val="003A4EEC"/>
    <w:rsid w:val="003A6890"/>
    <w:rsid w:val="003B0AAF"/>
    <w:rsid w:val="003B29DB"/>
    <w:rsid w:val="003B3C6F"/>
    <w:rsid w:val="003B5A66"/>
    <w:rsid w:val="003B6F0C"/>
    <w:rsid w:val="003C0107"/>
    <w:rsid w:val="003C13CD"/>
    <w:rsid w:val="003C28F2"/>
    <w:rsid w:val="003C462B"/>
    <w:rsid w:val="003C5CE5"/>
    <w:rsid w:val="003C7338"/>
    <w:rsid w:val="003D0D51"/>
    <w:rsid w:val="003D1DC8"/>
    <w:rsid w:val="003D25DC"/>
    <w:rsid w:val="003D35DB"/>
    <w:rsid w:val="003D6C3F"/>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2F73"/>
    <w:rsid w:val="00417AAE"/>
    <w:rsid w:val="00417F3A"/>
    <w:rsid w:val="00420209"/>
    <w:rsid w:val="004214D5"/>
    <w:rsid w:val="00422311"/>
    <w:rsid w:val="00424041"/>
    <w:rsid w:val="00427D72"/>
    <w:rsid w:val="00431AC4"/>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EA5"/>
    <w:rsid w:val="00456B23"/>
    <w:rsid w:val="00461DF2"/>
    <w:rsid w:val="004649E0"/>
    <w:rsid w:val="004654A3"/>
    <w:rsid w:val="00467659"/>
    <w:rsid w:val="00471E99"/>
    <w:rsid w:val="004721AA"/>
    <w:rsid w:val="00473151"/>
    <w:rsid w:val="00473CBF"/>
    <w:rsid w:val="00474793"/>
    <w:rsid w:val="00475E62"/>
    <w:rsid w:val="00481F23"/>
    <w:rsid w:val="00483320"/>
    <w:rsid w:val="00484E27"/>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E0AD6"/>
    <w:rsid w:val="004E22FF"/>
    <w:rsid w:val="004E3063"/>
    <w:rsid w:val="004E47CC"/>
    <w:rsid w:val="004F0490"/>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47487"/>
    <w:rsid w:val="00550174"/>
    <w:rsid w:val="00550C0B"/>
    <w:rsid w:val="00550D62"/>
    <w:rsid w:val="005520E3"/>
    <w:rsid w:val="00552C67"/>
    <w:rsid w:val="005569DD"/>
    <w:rsid w:val="0056164D"/>
    <w:rsid w:val="00562D89"/>
    <w:rsid w:val="0056443F"/>
    <w:rsid w:val="005723B8"/>
    <w:rsid w:val="00572946"/>
    <w:rsid w:val="005732F8"/>
    <w:rsid w:val="00580345"/>
    <w:rsid w:val="005816DE"/>
    <w:rsid w:val="00582FC0"/>
    <w:rsid w:val="00583357"/>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E2CD3"/>
    <w:rsid w:val="005E3A0D"/>
    <w:rsid w:val="005F199D"/>
    <w:rsid w:val="005F3522"/>
    <w:rsid w:val="005F36FE"/>
    <w:rsid w:val="005F38B6"/>
    <w:rsid w:val="005F4074"/>
    <w:rsid w:val="005F4738"/>
    <w:rsid w:val="005F4B93"/>
    <w:rsid w:val="005F5498"/>
    <w:rsid w:val="005F728B"/>
    <w:rsid w:val="005F773E"/>
    <w:rsid w:val="005F785A"/>
    <w:rsid w:val="00600A20"/>
    <w:rsid w:val="006025BA"/>
    <w:rsid w:val="00602E5C"/>
    <w:rsid w:val="006033D0"/>
    <w:rsid w:val="006037C1"/>
    <w:rsid w:val="00603940"/>
    <w:rsid w:val="006059DA"/>
    <w:rsid w:val="00606B1A"/>
    <w:rsid w:val="0061069B"/>
    <w:rsid w:val="0061338D"/>
    <w:rsid w:val="006207EF"/>
    <w:rsid w:val="00621F2D"/>
    <w:rsid w:val="00622401"/>
    <w:rsid w:val="00622714"/>
    <w:rsid w:val="00622CFB"/>
    <w:rsid w:val="006241B8"/>
    <w:rsid w:val="006242F2"/>
    <w:rsid w:val="00624488"/>
    <w:rsid w:val="006245B4"/>
    <w:rsid w:val="006271E6"/>
    <w:rsid w:val="006272E2"/>
    <w:rsid w:val="00627513"/>
    <w:rsid w:val="00631035"/>
    <w:rsid w:val="00631EA9"/>
    <w:rsid w:val="006328FE"/>
    <w:rsid w:val="00632F61"/>
    <w:rsid w:val="00635A27"/>
    <w:rsid w:val="00635A3C"/>
    <w:rsid w:val="00637B1E"/>
    <w:rsid w:val="0064067B"/>
    <w:rsid w:val="006408E9"/>
    <w:rsid w:val="006409F3"/>
    <w:rsid w:val="00640A13"/>
    <w:rsid w:val="006418B3"/>
    <w:rsid w:val="006430B1"/>
    <w:rsid w:val="00644832"/>
    <w:rsid w:val="00644B2E"/>
    <w:rsid w:val="0065190E"/>
    <w:rsid w:val="00653C69"/>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657C"/>
    <w:rsid w:val="006A0CDD"/>
    <w:rsid w:val="006B083B"/>
    <w:rsid w:val="006B3839"/>
    <w:rsid w:val="006B4C0B"/>
    <w:rsid w:val="006C0BD7"/>
    <w:rsid w:val="006C1573"/>
    <w:rsid w:val="006C25E4"/>
    <w:rsid w:val="006C3470"/>
    <w:rsid w:val="006C43E9"/>
    <w:rsid w:val="006C4CE5"/>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42AC"/>
    <w:rsid w:val="006E72D4"/>
    <w:rsid w:val="006E7C4E"/>
    <w:rsid w:val="006E7CFC"/>
    <w:rsid w:val="006F134A"/>
    <w:rsid w:val="006F1838"/>
    <w:rsid w:val="006F272D"/>
    <w:rsid w:val="006F2A1D"/>
    <w:rsid w:val="006F4CC9"/>
    <w:rsid w:val="006F62BB"/>
    <w:rsid w:val="006F6A6E"/>
    <w:rsid w:val="006F79F1"/>
    <w:rsid w:val="006F7CBF"/>
    <w:rsid w:val="007001B2"/>
    <w:rsid w:val="00702D5F"/>
    <w:rsid w:val="00702D92"/>
    <w:rsid w:val="007041F9"/>
    <w:rsid w:val="00704B14"/>
    <w:rsid w:val="00705FBB"/>
    <w:rsid w:val="0070680E"/>
    <w:rsid w:val="00707035"/>
    <w:rsid w:val="00707ECD"/>
    <w:rsid w:val="0071036C"/>
    <w:rsid w:val="00710675"/>
    <w:rsid w:val="00712ED6"/>
    <w:rsid w:val="007153F3"/>
    <w:rsid w:val="00715B71"/>
    <w:rsid w:val="00716DFD"/>
    <w:rsid w:val="00717D87"/>
    <w:rsid w:val="007228F7"/>
    <w:rsid w:val="00722AD1"/>
    <w:rsid w:val="007248C4"/>
    <w:rsid w:val="007279D2"/>
    <w:rsid w:val="0073003B"/>
    <w:rsid w:val="00730D6D"/>
    <w:rsid w:val="00731FB9"/>
    <w:rsid w:val="007325C9"/>
    <w:rsid w:val="007331D2"/>
    <w:rsid w:val="00741DC7"/>
    <w:rsid w:val="007428C7"/>
    <w:rsid w:val="00743915"/>
    <w:rsid w:val="0074523A"/>
    <w:rsid w:val="00747CDF"/>
    <w:rsid w:val="00751A94"/>
    <w:rsid w:val="00754528"/>
    <w:rsid w:val="00754B31"/>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27"/>
    <w:rsid w:val="007823A6"/>
    <w:rsid w:val="00782D16"/>
    <w:rsid w:val="00783335"/>
    <w:rsid w:val="00783C84"/>
    <w:rsid w:val="00784CEA"/>
    <w:rsid w:val="00791DF5"/>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BE2"/>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05F"/>
    <w:rsid w:val="007E0603"/>
    <w:rsid w:val="007E172B"/>
    <w:rsid w:val="007E1EF5"/>
    <w:rsid w:val="007E25E4"/>
    <w:rsid w:val="007E3180"/>
    <w:rsid w:val="007E450B"/>
    <w:rsid w:val="007E5C7B"/>
    <w:rsid w:val="007E64DE"/>
    <w:rsid w:val="007E6532"/>
    <w:rsid w:val="007E65E1"/>
    <w:rsid w:val="007E79A0"/>
    <w:rsid w:val="007E7B3F"/>
    <w:rsid w:val="007F04A3"/>
    <w:rsid w:val="007F1D63"/>
    <w:rsid w:val="007F3967"/>
    <w:rsid w:val="007F4407"/>
    <w:rsid w:val="007F5B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26FEE"/>
    <w:rsid w:val="00830986"/>
    <w:rsid w:val="00836749"/>
    <w:rsid w:val="008416D9"/>
    <w:rsid w:val="008441D0"/>
    <w:rsid w:val="00844BF7"/>
    <w:rsid w:val="00846A92"/>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0B2E"/>
    <w:rsid w:val="008932E1"/>
    <w:rsid w:val="00893474"/>
    <w:rsid w:val="008956AA"/>
    <w:rsid w:val="00897A05"/>
    <w:rsid w:val="008A1159"/>
    <w:rsid w:val="008A1573"/>
    <w:rsid w:val="008A233A"/>
    <w:rsid w:val="008A460F"/>
    <w:rsid w:val="008A5F24"/>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282F"/>
    <w:rsid w:val="00913AC7"/>
    <w:rsid w:val="00913F43"/>
    <w:rsid w:val="00915E1E"/>
    <w:rsid w:val="00916347"/>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48BC"/>
    <w:rsid w:val="00945CB8"/>
    <w:rsid w:val="009502F9"/>
    <w:rsid w:val="00950D76"/>
    <w:rsid w:val="00950ED4"/>
    <w:rsid w:val="009544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7989"/>
    <w:rsid w:val="00983208"/>
    <w:rsid w:val="00983A37"/>
    <w:rsid w:val="00983F77"/>
    <w:rsid w:val="00986D91"/>
    <w:rsid w:val="0098781A"/>
    <w:rsid w:val="0099152B"/>
    <w:rsid w:val="00992530"/>
    <w:rsid w:val="00992901"/>
    <w:rsid w:val="009948FA"/>
    <w:rsid w:val="00995F75"/>
    <w:rsid w:val="00996BDA"/>
    <w:rsid w:val="009973CB"/>
    <w:rsid w:val="0099797E"/>
    <w:rsid w:val="009A312A"/>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564D"/>
    <w:rsid w:val="00A15E44"/>
    <w:rsid w:val="00A16D8E"/>
    <w:rsid w:val="00A2065A"/>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28BD"/>
    <w:rsid w:val="00A63444"/>
    <w:rsid w:val="00A63E30"/>
    <w:rsid w:val="00A6488A"/>
    <w:rsid w:val="00A660B5"/>
    <w:rsid w:val="00A718B9"/>
    <w:rsid w:val="00A73E9A"/>
    <w:rsid w:val="00A7487F"/>
    <w:rsid w:val="00A753B3"/>
    <w:rsid w:val="00A75C5D"/>
    <w:rsid w:val="00A805B7"/>
    <w:rsid w:val="00A8342D"/>
    <w:rsid w:val="00A84E9B"/>
    <w:rsid w:val="00A85D07"/>
    <w:rsid w:val="00A915DD"/>
    <w:rsid w:val="00A9286C"/>
    <w:rsid w:val="00A93910"/>
    <w:rsid w:val="00A94490"/>
    <w:rsid w:val="00A95E07"/>
    <w:rsid w:val="00A960F7"/>
    <w:rsid w:val="00A96794"/>
    <w:rsid w:val="00AA21E0"/>
    <w:rsid w:val="00AA345B"/>
    <w:rsid w:val="00AA407B"/>
    <w:rsid w:val="00AA5377"/>
    <w:rsid w:val="00AA556D"/>
    <w:rsid w:val="00AA6BA1"/>
    <w:rsid w:val="00AB0BA1"/>
    <w:rsid w:val="00AB1C9F"/>
    <w:rsid w:val="00AB2F72"/>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5058"/>
    <w:rsid w:val="00AF2D4D"/>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31EC"/>
    <w:rsid w:val="00B35F83"/>
    <w:rsid w:val="00B36A30"/>
    <w:rsid w:val="00B42B5B"/>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570D"/>
    <w:rsid w:val="00B7585F"/>
    <w:rsid w:val="00B83944"/>
    <w:rsid w:val="00B83FAF"/>
    <w:rsid w:val="00B84F6E"/>
    <w:rsid w:val="00B855F5"/>
    <w:rsid w:val="00B9500B"/>
    <w:rsid w:val="00B970C0"/>
    <w:rsid w:val="00BA1D80"/>
    <w:rsid w:val="00BA4221"/>
    <w:rsid w:val="00BA4E6F"/>
    <w:rsid w:val="00BA56A8"/>
    <w:rsid w:val="00BA784F"/>
    <w:rsid w:val="00BA7A1E"/>
    <w:rsid w:val="00BB0283"/>
    <w:rsid w:val="00BB43F7"/>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6DE4"/>
    <w:rsid w:val="00BF7869"/>
    <w:rsid w:val="00C02D6D"/>
    <w:rsid w:val="00C02F4E"/>
    <w:rsid w:val="00C06004"/>
    <w:rsid w:val="00C06389"/>
    <w:rsid w:val="00C07289"/>
    <w:rsid w:val="00C104C1"/>
    <w:rsid w:val="00C11279"/>
    <w:rsid w:val="00C11A18"/>
    <w:rsid w:val="00C12B98"/>
    <w:rsid w:val="00C13A67"/>
    <w:rsid w:val="00C13CD5"/>
    <w:rsid w:val="00C157A7"/>
    <w:rsid w:val="00C16F9A"/>
    <w:rsid w:val="00C20EB4"/>
    <w:rsid w:val="00C218B8"/>
    <w:rsid w:val="00C21961"/>
    <w:rsid w:val="00C2361A"/>
    <w:rsid w:val="00C26633"/>
    <w:rsid w:val="00C335A8"/>
    <w:rsid w:val="00C3407B"/>
    <w:rsid w:val="00C34810"/>
    <w:rsid w:val="00C35F05"/>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0FB2"/>
    <w:rsid w:val="00C71EE2"/>
    <w:rsid w:val="00C7208B"/>
    <w:rsid w:val="00C737F2"/>
    <w:rsid w:val="00C74467"/>
    <w:rsid w:val="00C75DFF"/>
    <w:rsid w:val="00C77D00"/>
    <w:rsid w:val="00C80532"/>
    <w:rsid w:val="00C8054F"/>
    <w:rsid w:val="00C8082A"/>
    <w:rsid w:val="00C8214A"/>
    <w:rsid w:val="00C825E5"/>
    <w:rsid w:val="00C8345C"/>
    <w:rsid w:val="00C849B4"/>
    <w:rsid w:val="00C85CD7"/>
    <w:rsid w:val="00C91A6F"/>
    <w:rsid w:val="00C91E33"/>
    <w:rsid w:val="00C930C8"/>
    <w:rsid w:val="00C956AF"/>
    <w:rsid w:val="00C96A34"/>
    <w:rsid w:val="00CA12C9"/>
    <w:rsid w:val="00CA4355"/>
    <w:rsid w:val="00CA45CB"/>
    <w:rsid w:val="00CA4C3A"/>
    <w:rsid w:val="00CA4D6A"/>
    <w:rsid w:val="00CA4E57"/>
    <w:rsid w:val="00CA7AA6"/>
    <w:rsid w:val="00CA7ADA"/>
    <w:rsid w:val="00CA7C07"/>
    <w:rsid w:val="00CA7F1D"/>
    <w:rsid w:val="00CB29F6"/>
    <w:rsid w:val="00CB5C38"/>
    <w:rsid w:val="00CB7075"/>
    <w:rsid w:val="00CC076A"/>
    <w:rsid w:val="00CC149A"/>
    <w:rsid w:val="00CC1C87"/>
    <w:rsid w:val="00CC1F8C"/>
    <w:rsid w:val="00CC22CD"/>
    <w:rsid w:val="00CC2546"/>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69F8"/>
    <w:rsid w:val="00D07E4B"/>
    <w:rsid w:val="00D12DB9"/>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EC1"/>
    <w:rsid w:val="00D55EDE"/>
    <w:rsid w:val="00D579E6"/>
    <w:rsid w:val="00D61FF9"/>
    <w:rsid w:val="00D62480"/>
    <w:rsid w:val="00D629E3"/>
    <w:rsid w:val="00D64273"/>
    <w:rsid w:val="00D64C4F"/>
    <w:rsid w:val="00D66306"/>
    <w:rsid w:val="00D66DDB"/>
    <w:rsid w:val="00D70766"/>
    <w:rsid w:val="00D7252C"/>
    <w:rsid w:val="00D7768F"/>
    <w:rsid w:val="00D77D03"/>
    <w:rsid w:val="00D802D0"/>
    <w:rsid w:val="00D81272"/>
    <w:rsid w:val="00D82691"/>
    <w:rsid w:val="00D837B0"/>
    <w:rsid w:val="00D83FBA"/>
    <w:rsid w:val="00D906B2"/>
    <w:rsid w:val="00D91F3E"/>
    <w:rsid w:val="00D92325"/>
    <w:rsid w:val="00D9594A"/>
    <w:rsid w:val="00D95A1B"/>
    <w:rsid w:val="00D97592"/>
    <w:rsid w:val="00DA1EA0"/>
    <w:rsid w:val="00DA23DC"/>
    <w:rsid w:val="00DA2E83"/>
    <w:rsid w:val="00DA3868"/>
    <w:rsid w:val="00DA3A68"/>
    <w:rsid w:val="00DA4D90"/>
    <w:rsid w:val="00DA4E7C"/>
    <w:rsid w:val="00DA781A"/>
    <w:rsid w:val="00DB277C"/>
    <w:rsid w:val="00DB3FB8"/>
    <w:rsid w:val="00DB5A7F"/>
    <w:rsid w:val="00DB7DC5"/>
    <w:rsid w:val="00DC0C32"/>
    <w:rsid w:val="00DC175C"/>
    <w:rsid w:val="00DC4565"/>
    <w:rsid w:val="00DC69D9"/>
    <w:rsid w:val="00DC7159"/>
    <w:rsid w:val="00DC7C06"/>
    <w:rsid w:val="00DC7E08"/>
    <w:rsid w:val="00DD0CD5"/>
    <w:rsid w:val="00DD1932"/>
    <w:rsid w:val="00DD2423"/>
    <w:rsid w:val="00DD3480"/>
    <w:rsid w:val="00DD4191"/>
    <w:rsid w:val="00DD732B"/>
    <w:rsid w:val="00DD77E3"/>
    <w:rsid w:val="00DE00CB"/>
    <w:rsid w:val="00DE02CA"/>
    <w:rsid w:val="00DE224D"/>
    <w:rsid w:val="00DE41C5"/>
    <w:rsid w:val="00DF10DE"/>
    <w:rsid w:val="00DF13A9"/>
    <w:rsid w:val="00DF143A"/>
    <w:rsid w:val="00DF43D9"/>
    <w:rsid w:val="00DF7F84"/>
    <w:rsid w:val="00E022A1"/>
    <w:rsid w:val="00E0245B"/>
    <w:rsid w:val="00E02A52"/>
    <w:rsid w:val="00E03374"/>
    <w:rsid w:val="00E03423"/>
    <w:rsid w:val="00E0447A"/>
    <w:rsid w:val="00E04759"/>
    <w:rsid w:val="00E052B8"/>
    <w:rsid w:val="00E10780"/>
    <w:rsid w:val="00E12804"/>
    <w:rsid w:val="00E134FA"/>
    <w:rsid w:val="00E135C6"/>
    <w:rsid w:val="00E1488B"/>
    <w:rsid w:val="00E14979"/>
    <w:rsid w:val="00E15091"/>
    <w:rsid w:val="00E2070E"/>
    <w:rsid w:val="00E22006"/>
    <w:rsid w:val="00E22393"/>
    <w:rsid w:val="00E22EA8"/>
    <w:rsid w:val="00E23058"/>
    <w:rsid w:val="00E23B8B"/>
    <w:rsid w:val="00E25D40"/>
    <w:rsid w:val="00E264B7"/>
    <w:rsid w:val="00E27A97"/>
    <w:rsid w:val="00E319EF"/>
    <w:rsid w:val="00E31CB8"/>
    <w:rsid w:val="00E332FF"/>
    <w:rsid w:val="00E354BF"/>
    <w:rsid w:val="00E361ED"/>
    <w:rsid w:val="00E372D8"/>
    <w:rsid w:val="00E40395"/>
    <w:rsid w:val="00E40CA6"/>
    <w:rsid w:val="00E41747"/>
    <w:rsid w:val="00E44D06"/>
    <w:rsid w:val="00E46240"/>
    <w:rsid w:val="00E466C2"/>
    <w:rsid w:val="00E4766E"/>
    <w:rsid w:val="00E51420"/>
    <w:rsid w:val="00E54144"/>
    <w:rsid w:val="00E547F7"/>
    <w:rsid w:val="00E57404"/>
    <w:rsid w:val="00E57A6E"/>
    <w:rsid w:val="00E610A8"/>
    <w:rsid w:val="00E64726"/>
    <w:rsid w:val="00E64BEF"/>
    <w:rsid w:val="00E64E18"/>
    <w:rsid w:val="00E66BEB"/>
    <w:rsid w:val="00E676E1"/>
    <w:rsid w:val="00E71771"/>
    <w:rsid w:val="00E73985"/>
    <w:rsid w:val="00E7452D"/>
    <w:rsid w:val="00E74CB0"/>
    <w:rsid w:val="00E76EE9"/>
    <w:rsid w:val="00E7748E"/>
    <w:rsid w:val="00E80135"/>
    <w:rsid w:val="00E81B7C"/>
    <w:rsid w:val="00E824C7"/>
    <w:rsid w:val="00E82991"/>
    <w:rsid w:val="00E85AC5"/>
    <w:rsid w:val="00E864E9"/>
    <w:rsid w:val="00E909E3"/>
    <w:rsid w:val="00E91D41"/>
    <w:rsid w:val="00E9742F"/>
    <w:rsid w:val="00EA30BE"/>
    <w:rsid w:val="00EA372C"/>
    <w:rsid w:val="00EB020F"/>
    <w:rsid w:val="00EB33A4"/>
    <w:rsid w:val="00EB5EC3"/>
    <w:rsid w:val="00EB6216"/>
    <w:rsid w:val="00EB6CF0"/>
    <w:rsid w:val="00EC0F23"/>
    <w:rsid w:val="00EC1274"/>
    <w:rsid w:val="00EC263E"/>
    <w:rsid w:val="00EC285A"/>
    <w:rsid w:val="00EC3047"/>
    <w:rsid w:val="00EC4067"/>
    <w:rsid w:val="00EC4AC6"/>
    <w:rsid w:val="00EC4F2E"/>
    <w:rsid w:val="00EC5785"/>
    <w:rsid w:val="00EC5C68"/>
    <w:rsid w:val="00EC6576"/>
    <w:rsid w:val="00ED3627"/>
    <w:rsid w:val="00ED37B8"/>
    <w:rsid w:val="00ED3C94"/>
    <w:rsid w:val="00ED5B5F"/>
    <w:rsid w:val="00ED67BB"/>
    <w:rsid w:val="00EE1B70"/>
    <w:rsid w:val="00EE2207"/>
    <w:rsid w:val="00EE3EC4"/>
    <w:rsid w:val="00EE53C1"/>
    <w:rsid w:val="00EF0C39"/>
    <w:rsid w:val="00EF36E1"/>
    <w:rsid w:val="00EF6C8B"/>
    <w:rsid w:val="00F028A5"/>
    <w:rsid w:val="00F02ACE"/>
    <w:rsid w:val="00F03463"/>
    <w:rsid w:val="00F03E2D"/>
    <w:rsid w:val="00F0508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34ECF"/>
    <w:rsid w:val="00F40343"/>
    <w:rsid w:val="00F41E9F"/>
    <w:rsid w:val="00F42088"/>
    <w:rsid w:val="00F42AD8"/>
    <w:rsid w:val="00F43789"/>
    <w:rsid w:val="00F50072"/>
    <w:rsid w:val="00F507C6"/>
    <w:rsid w:val="00F51CCB"/>
    <w:rsid w:val="00F51D19"/>
    <w:rsid w:val="00F530A8"/>
    <w:rsid w:val="00F53A54"/>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4008"/>
    <w:rsid w:val="00F955F5"/>
    <w:rsid w:val="00FA03D1"/>
    <w:rsid w:val="00FA0B83"/>
    <w:rsid w:val="00FA1E9B"/>
    <w:rsid w:val="00FA2ED3"/>
    <w:rsid w:val="00FA31F5"/>
    <w:rsid w:val="00FA3A0C"/>
    <w:rsid w:val="00FA3EA6"/>
    <w:rsid w:val="00FA4ED9"/>
    <w:rsid w:val="00FA694F"/>
    <w:rsid w:val="00FA6B8E"/>
    <w:rsid w:val="00FB0D59"/>
    <w:rsid w:val="00FB1BAA"/>
    <w:rsid w:val="00FB1BCD"/>
    <w:rsid w:val="00FB1D33"/>
    <w:rsid w:val="00FB3ABA"/>
    <w:rsid w:val="00FB4BCE"/>
    <w:rsid w:val="00FB5ED7"/>
    <w:rsid w:val="00FB61C1"/>
    <w:rsid w:val="00FB7C3A"/>
    <w:rsid w:val="00FC01D5"/>
    <w:rsid w:val="00FC2034"/>
    <w:rsid w:val="00FC2517"/>
    <w:rsid w:val="00FC387F"/>
    <w:rsid w:val="00FC6F1F"/>
    <w:rsid w:val="00FC6F27"/>
    <w:rsid w:val="00FD175C"/>
    <w:rsid w:val="00FD34DC"/>
    <w:rsid w:val="00FD5141"/>
    <w:rsid w:val="00FD5CCF"/>
    <w:rsid w:val="00FD667D"/>
    <w:rsid w:val="00FE58DC"/>
    <w:rsid w:val="00FE609B"/>
    <w:rsid w:val="00FE62B8"/>
    <w:rsid w:val="00FE74A8"/>
    <w:rsid w:val="00FE7639"/>
    <w:rsid w:val="00FF3AD4"/>
    <w:rsid w:val="00FF45F3"/>
    <w:rsid w:val="00FF73B1"/>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78833400">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08468851">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1707152">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34375248">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36150907">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2400116">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39226442">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D991CB7F-9A32-4766-93C7-9EAE2492548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11428</Words>
  <Characters>61830</Characters>
  <Application>Microsoft Office Word</Application>
  <DocSecurity>0</DocSecurity>
  <Lines>1189</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Roxana Lechuga</cp:lastModifiedBy>
  <cp:revision>4</cp:revision>
  <cp:lastPrinted>2025-12-05T06:39:00Z</cp:lastPrinted>
  <dcterms:created xsi:type="dcterms:W3CDTF">2025-12-05T06:39:00Z</dcterms:created>
  <dcterms:modified xsi:type="dcterms:W3CDTF">2026-02-24T02:30:00Z</dcterms:modified>
</cp:coreProperties>
</file>