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FE1" w:rsidRPr="003729AD" w:rsidRDefault="0010134C" w:rsidP="003729AD">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3729A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71A1B">
        <w:rPr>
          <w:rFonts w:ascii="Palatino Linotype" w:eastAsia="Palatino Linotype" w:hAnsi="Palatino Linotype" w:cs="Palatino Linotype"/>
          <w:b/>
          <w:color w:val="000000" w:themeColor="text1"/>
        </w:rPr>
        <w:t>de fecha quince</w:t>
      </w:r>
      <w:r w:rsidR="00BD63EE">
        <w:rPr>
          <w:rFonts w:ascii="Palatino Linotype" w:eastAsia="Palatino Linotype" w:hAnsi="Palatino Linotype" w:cs="Palatino Linotype"/>
          <w:b/>
          <w:color w:val="000000" w:themeColor="text1"/>
        </w:rPr>
        <w:t xml:space="preserve"> (15) </w:t>
      </w:r>
      <w:r w:rsidR="00171A1B">
        <w:rPr>
          <w:rFonts w:ascii="Palatino Linotype" w:eastAsia="Palatino Linotype" w:hAnsi="Palatino Linotype" w:cs="Palatino Linotype"/>
          <w:b/>
          <w:color w:val="000000" w:themeColor="text1"/>
        </w:rPr>
        <w:t>de octubre de dos mil veinticinco.</w:t>
      </w:r>
    </w:p>
    <w:p w:rsidR="00E40FE1" w:rsidRPr="003729AD" w:rsidRDefault="00E40FE1" w:rsidP="003729AD">
      <w:pPr>
        <w:tabs>
          <w:tab w:val="left" w:pos="0"/>
          <w:tab w:val="left" w:pos="567"/>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3729AD">
        <w:rPr>
          <w:rFonts w:ascii="Palatino Linotype" w:eastAsia="Palatino Linotype" w:hAnsi="Palatino Linotype" w:cs="Palatino Linotype"/>
          <w:b/>
          <w:color w:val="000000" w:themeColor="text1"/>
        </w:rPr>
        <w:t>VISTO</w:t>
      </w:r>
      <w:r w:rsidRPr="003729AD">
        <w:rPr>
          <w:rFonts w:ascii="Palatino Linotype" w:eastAsia="Palatino Linotype" w:hAnsi="Palatino Linotype" w:cs="Palatino Linotype"/>
          <w:color w:val="000000" w:themeColor="text1"/>
        </w:rPr>
        <w:t xml:space="preserve"> el expediente electrónico formado con motivo del recurso de revisión </w:t>
      </w:r>
      <w:r w:rsidR="009A24B8" w:rsidRPr="003729AD">
        <w:rPr>
          <w:rFonts w:ascii="Palatino Linotype" w:eastAsia="Palatino Linotype" w:hAnsi="Palatino Linotype" w:cs="Palatino Linotype"/>
          <w:b/>
          <w:color w:val="000000" w:themeColor="text1"/>
        </w:rPr>
        <w:t>05768</w:t>
      </w:r>
      <w:r w:rsidRPr="003729AD">
        <w:rPr>
          <w:rFonts w:ascii="Palatino Linotype" w:eastAsia="Palatino Linotype" w:hAnsi="Palatino Linotype" w:cs="Palatino Linotype"/>
          <w:b/>
          <w:color w:val="000000" w:themeColor="text1"/>
        </w:rPr>
        <w:t>/INFOEM/IP/RR/2025</w:t>
      </w:r>
      <w:r w:rsidRPr="003729AD">
        <w:rPr>
          <w:rFonts w:ascii="Palatino Linotype" w:eastAsia="Palatino Linotype" w:hAnsi="Palatino Linotype" w:cs="Palatino Linotype"/>
          <w:color w:val="000000" w:themeColor="text1"/>
        </w:rPr>
        <w:t>,</w:t>
      </w:r>
      <w:r w:rsidRP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 xml:space="preserve">promovido por </w:t>
      </w:r>
      <w:r w:rsidR="008F6F86">
        <w:rPr>
          <w:rFonts w:ascii="Palatino Linotype" w:eastAsia="Palatino Linotype" w:hAnsi="Palatino Linotype" w:cs="Palatino Linotype"/>
          <w:b/>
          <w:color w:val="000000" w:themeColor="text1"/>
        </w:rPr>
        <w:t>XXXX</w:t>
      </w:r>
      <w:r w:rsidRPr="003729AD">
        <w:rPr>
          <w:rFonts w:ascii="Palatino Linotype" w:eastAsia="Palatino Linotype" w:hAnsi="Palatino Linotype" w:cs="Palatino Linotype"/>
          <w:color w:val="000000" w:themeColor="text1"/>
        </w:rPr>
        <w:t>, a quien en lo sucesivo se le identificará como la parte</w:t>
      </w:r>
      <w:r w:rsidRPr="003729AD">
        <w:rPr>
          <w:rFonts w:ascii="Palatino Linotype" w:eastAsia="Palatino Linotype" w:hAnsi="Palatino Linotype" w:cs="Palatino Linotype"/>
          <w:b/>
          <w:color w:val="000000" w:themeColor="text1"/>
        </w:rPr>
        <w:t xml:space="preserve"> RECURRENTE</w:t>
      </w:r>
      <w:r w:rsidRPr="003729AD">
        <w:rPr>
          <w:rFonts w:ascii="Palatino Linotype" w:eastAsia="Palatino Linotype" w:hAnsi="Palatino Linotype" w:cs="Palatino Linotype"/>
          <w:color w:val="000000" w:themeColor="text1"/>
        </w:rPr>
        <w:t xml:space="preserve">, en contra de la respuesta del </w:t>
      </w:r>
      <w:r w:rsidR="007470D9" w:rsidRPr="003729AD">
        <w:rPr>
          <w:rFonts w:ascii="Palatino Linotype" w:eastAsia="Palatino Linotype" w:hAnsi="Palatino Linotype" w:cs="Palatino Linotype"/>
          <w:b/>
          <w:color w:val="000000" w:themeColor="text1"/>
        </w:rPr>
        <w:t xml:space="preserve">Ayuntamiento de </w:t>
      </w:r>
      <w:r w:rsidR="009A24B8" w:rsidRPr="003729AD">
        <w:rPr>
          <w:rFonts w:ascii="Palatino Linotype" w:eastAsia="Palatino Linotype" w:hAnsi="Palatino Linotype" w:cs="Palatino Linotype"/>
          <w:b/>
          <w:color w:val="000000" w:themeColor="text1"/>
        </w:rPr>
        <w:t>la Paz</w:t>
      </w:r>
      <w:r w:rsidRP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en adelante el</w:t>
      </w:r>
      <w:r w:rsidRPr="003729AD">
        <w:rPr>
          <w:rFonts w:ascii="Palatino Linotype" w:eastAsia="Palatino Linotype" w:hAnsi="Palatino Linotype" w:cs="Palatino Linotype"/>
          <w:b/>
          <w:color w:val="000000" w:themeColor="text1"/>
        </w:rPr>
        <w:t xml:space="preserve"> SUJETO OBLIGADO</w:t>
      </w:r>
      <w:r w:rsidRPr="003729AD">
        <w:rPr>
          <w:rFonts w:ascii="Palatino Linotype" w:eastAsia="Palatino Linotype" w:hAnsi="Palatino Linotype" w:cs="Palatino Linotype"/>
          <w:color w:val="000000" w:themeColor="text1"/>
        </w:rPr>
        <w:t>, se procede a dictar la presente resolución, con base en los siguientes:</w:t>
      </w:r>
    </w:p>
    <w:p w:rsidR="00E40FE1" w:rsidRPr="003729AD" w:rsidRDefault="00E40FE1" w:rsidP="003729AD">
      <w:pP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3729AD">
        <w:rPr>
          <w:color w:val="000000" w:themeColor="text1"/>
        </w:rPr>
        <w:t>A N T E C E D E N T E S</w:t>
      </w:r>
    </w:p>
    <w:p w:rsidR="00E40FE1" w:rsidRPr="003729AD" w:rsidRDefault="00E40FE1" w:rsidP="003729AD">
      <w:pPr>
        <w:pStyle w:val="Ttulo1"/>
        <w:tabs>
          <w:tab w:val="left" w:pos="0"/>
          <w:tab w:val="left" w:pos="567"/>
        </w:tabs>
        <w:spacing w:before="0" w:line="360" w:lineRule="auto"/>
        <w:jc w:val="center"/>
        <w:rPr>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El </w:t>
      </w:r>
      <w:r w:rsidR="009A24B8" w:rsidRPr="003729AD">
        <w:rPr>
          <w:rFonts w:ascii="Palatino Linotype" w:eastAsia="Palatino Linotype" w:hAnsi="Palatino Linotype" w:cs="Palatino Linotype"/>
          <w:b/>
          <w:color w:val="000000" w:themeColor="text1"/>
        </w:rPr>
        <w:t>siete</w:t>
      </w:r>
      <w:r w:rsidR="007470D9" w:rsidRPr="003729AD">
        <w:rPr>
          <w:rFonts w:ascii="Palatino Linotype" w:eastAsia="Palatino Linotype" w:hAnsi="Palatino Linotype" w:cs="Palatino Linotype"/>
          <w:b/>
          <w:color w:val="000000" w:themeColor="text1"/>
        </w:rPr>
        <w:t xml:space="preserve"> de mayo</w:t>
      </w:r>
      <w:r w:rsidRPr="003729AD">
        <w:rPr>
          <w:rFonts w:ascii="Palatino Linotype" w:eastAsia="Palatino Linotype" w:hAnsi="Palatino Linotype" w:cs="Palatino Linotype"/>
          <w:b/>
          <w:color w:val="000000" w:themeColor="text1"/>
        </w:rPr>
        <w:t xml:space="preserve"> de dos mil veinticinco, </w:t>
      </w:r>
      <w:r w:rsidRPr="003729AD">
        <w:rPr>
          <w:rFonts w:ascii="Palatino Linotype" w:eastAsia="Palatino Linotype" w:hAnsi="Palatino Linotype" w:cs="Palatino Linotype"/>
          <w:color w:val="000000" w:themeColor="text1"/>
        </w:rPr>
        <w:t xml:space="preserve">se presentó ante 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xml:space="preserve"> vía SAIMEX, la solicitud de información pública registrada con el número</w:t>
      </w:r>
      <w:r w:rsidR="009A24B8" w:rsidRPr="003729AD">
        <w:rPr>
          <w:rFonts w:ascii="Palatino Linotype" w:eastAsia="Palatino Linotype" w:hAnsi="Palatino Linotype" w:cs="Palatino Linotype"/>
          <w:b/>
          <w:color w:val="000000" w:themeColor="text1"/>
        </w:rPr>
        <w:t xml:space="preserve"> 00317/LAPAZ</w:t>
      </w:r>
      <w:r w:rsidRPr="003729AD">
        <w:rPr>
          <w:rFonts w:ascii="Palatino Linotype" w:eastAsia="Palatino Linotype" w:hAnsi="Palatino Linotype" w:cs="Palatino Linotype"/>
          <w:b/>
          <w:color w:val="000000" w:themeColor="text1"/>
        </w:rPr>
        <w:t xml:space="preserve">/IP/2025; </w:t>
      </w:r>
      <w:r w:rsidR="00BD63EE">
        <w:rPr>
          <w:rFonts w:ascii="Palatino Linotype" w:eastAsia="Palatino Linotype" w:hAnsi="Palatino Linotype" w:cs="Palatino Linotype"/>
          <w:color w:val="000000" w:themeColor="text1"/>
        </w:rPr>
        <w:t>en la que</w:t>
      </w:r>
      <w:r w:rsidRPr="003729AD">
        <w:rPr>
          <w:rFonts w:ascii="Palatino Linotype" w:eastAsia="Palatino Linotype" w:hAnsi="Palatino Linotype" w:cs="Palatino Linotype"/>
          <w:color w:val="000000" w:themeColor="text1"/>
        </w:rPr>
        <w:t xml:space="preserve"> se solicitó la siguiente información:</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E40FE1" w:rsidRPr="003729AD" w:rsidRDefault="007470D9" w:rsidP="003729AD">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i/>
          <w:color w:val="000000" w:themeColor="text1"/>
        </w:rPr>
        <w:t>“</w:t>
      </w:r>
      <w:r w:rsidR="009A24B8" w:rsidRPr="003729AD">
        <w:rPr>
          <w:rFonts w:ascii="Palatino Linotype" w:eastAsia="Palatino Linotype" w:hAnsi="Palatino Linotype" w:cs="Palatino Linotype"/>
          <w:i/>
          <w:color w:val="000000" w:themeColor="text1"/>
        </w:rPr>
        <w:t>s</w:t>
      </w:r>
      <w:r w:rsidR="009A24B8" w:rsidRPr="003729AD">
        <w:rPr>
          <w:rFonts w:ascii="Palatino Linotype" w:hAnsi="Palatino Linotype"/>
          <w:i/>
          <w:color w:val="000000" w:themeColor="text1"/>
        </w:rPr>
        <w:t>olicito copia simple digitalizada a través del sistema electrónico saimex de los comprobantes de todos los pagos realizados mediante cheque o transferencia electrónica a particulares durante el mes de abril de 2025.</w:t>
      </w:r>
      <w:r w:rsidR="0010134C" w:rsidRPr="003729AD">
        <w:rPr>
          <w:rFonts w:ascii="Palatino Linotype" w:eastAsia="Palatino Linotype" w:hAnsi="Palatino Linotype" w:cs="Palatino Linotype"/>
          <w:i/>
          <w:color w:val="000000" w:themeColor="text1"/>
        </w:rPr>
        <w:t>” (Sic)</w:t>
      </w:r>
    </w:p>
    <w:p w:rsidR="009A24B8" w:rsidRDefault="009A24B8" w:rsidP="003729AD">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p>
    <w:p w:rsidR="00BD63EE" w:rsidRPr="003729AD" w:rsidRDefault="00BD63EE" w:rsidP="003729AD">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p>
    <w:p w:rsidR="0010134C"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Se eligió como modalidad de entrega de la información: A través del </w:t>
      </w:r>
      <w:r w:rsidRPr="003729AD">
        <w:rPr>
          <w:rFonts w:ascii="Palatino Linotype" w:eastAsia="Palatino Linotype" w:hAnsi="Palatino Linotype" w:cs="Palatino Linotype"/>
          <w:b/>
          <w:color w:val="000000" w:themeColor="text1"/>
        </w:rPr>
        <w:t>SAIMEX.</w:t>
      </w:r>
    </w:p>
    <w:p w:rsidR="007470D9" w:rsidRPr="003729AD" w:rsidRDefault="007470D9" w:rsidP="003729AD">
      <w:pPr>
        <w:pBdr>
          <w:top w:val="nil"/>
          <w:left w:val="nil"/>
          <w:bottom w:val="nil"/>
          <w:right w:val="nil"/>
          <w:between w:val="nil"/>
        </w:pBdr>
        <w:tabs>
          <w:tab w:val="left" w:pos="0"/>
          <w:tab w:val="left" w:pos="2410"/>
        </w:tabs>
        <w:spacing w:line="360" w:lineRule="auto"/>
        <w:jc w:val="both"/>
        <w:rPr>
          <w:rFonts w:ascii="Palatino Linotype" w:eastAsia="Palatino Linotype" w:hAnsi="Palatino Linotype" w:cs="Palatino Linotype"/>
          <w:i/>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El </w:t>
      </w:r>
      <w:r w:rsidR="009A24B8" w:rsidRPr="003729AD">
        <w:rPr>
          <w:rFonts w:ascii="Palatino Linotype" w:eastAsia="Palatino Linotype" w:hAnsi="Palatino Linotype" w:cs="Palatino Linotype"/>
          <w:b/>
          <w:color w:val="000000" w:themeColor="text1"/>
        </w:rPr>
        <w:t>veintiuno de mayo</w:t>
      </w:r>
      <w:r w:rsidRPr="003729AD">
        <w:rPr>
          <w:rFonts w:ascii="Palatino Linotype" w:eastAsia="Palatino Linotype" w:hAnsi="Palatino Linotype" w:cs="Palatino Linotype"/>
          <w:b/>
          <w:color w:val="000000" w:themeColor="text1"/>
        </w:rPr>
        <w:t xml:space="preserve"> de dos mil veinticinco</w:t>
      </w:r>
      <w:r w:rsidRPr="003729AD">
        <w:rPr>
          <w:rFonts w:ascii="Palatino Linotype" w:eastAsia="Palatino Linotype" w:hAnsi="Palatino Linotype" w:cs="Palatino Linotype"/>
          <w:color w:val="000000" w:themeColor="text1"/>
        </w:rPr>
        <w:t xml:space="preserve">, 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xml:space="preserve"> dio respuesta a la solicitud de información en el tenor siguiente:</w:t>
      </w:r>
    </w:p>
    <w:p w:rsidR="007470D9" w:rsidRPr="003729AD" w:rsidRDefault="007470D9" w:rsidP="003729AD">
      <w:pPr>
        <w:pBdr>
          <w:top w:val="nil"/>
          <w:left w:val="nil"/>
          <w:bottom w:val="nil"/>
          <w:right w:val="nil"/>
          <w:between w:val="nil"/>
        </w:pBdr>
        <w:tabs>
          <w:tab w:val="left" w:pos="0"/>
          <w:tab w:val="left" w:pos="2410"/>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i/>
          <w:color w:val="000000" w:themeColor="text1"/>
        </w:rPr>
        <w:lastRenderedPageBreak/>
        <w:t>“</w:t>
      </w:r>
      <w:r w:rsidR="009A24B8" w:rsidRPr="003729AD">
        <w:rPr>
          <w:rFonts w:ascii="Palatino Linotype" w:hAnsi="Palatino Linotype"/>
          <w:i/>
          <w:color w:val="000000" w:themeColor="text1"/>
        </w:rPr>
        <w:t>Se anexa información</w:t>
      </w:r>
      <w:r w:rsidRPr="003729AD">
        <w:rPr>
          <w:rFonts w:ascii="Palatino Linotype" w:eastAsia="Palatino Linotype" w:hAnsi="Palatino Linotype" w:cs="Palatino Linotype"/>
          <w:i/>
          <w:color w:val="000000" w:themeColor="text1"/>
        </w:rPr>
        <w:t>” (Sic)</w:t>
      </w:r>
    </w:p>
    <w:p w:rsidR="00E40FE1" w:rsidRPr="003729AD" w:rsidRDefault="00E40FE1" w:rsidP="003729AD">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rsidR="00E40FE1" w:rsidRPr="003729AD" w:rsidRDefault="0010134C" w:rsidP="003729AD">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Archivos electrónicos adjuntos:</w:t>
      </w:r>
    </w:p>
    <w:p w:rsidR="00E40FE1" w:rsidRPr="003729AD" w:rsidRDefault="00E40FE1" w:rsidP="003729AD">
      <w:pPr>
        <w:tabs>
          <w:tab w:val="left" w:pos="0"/>
        </w:tabs>
        <w:rPr>
          <w:rFonts w:ascii="Palatino Linotype" w:eastAsia="Palatino Linotype" w:hAnsi="Palatino Linotype" w:cs="Palatino Linotype"/>
          <w:b/>
          <w:color w:val="000000" w:themeColor="text1"/>
        </w:rPr>
      </w:pPr>
    </w:p>
    <w:p w:rsidR="007470D9" w:rsidRPr="003729AD" w:rsidRDefault="00E44B70" w:rsidP="003729AD">
      <w:pPr>
        <w:tabs>
          <w:tab w:val="left" w:pos="0"/>
        </w:tabs>
        <w:ind w:left="567"/>
        <w:jc w:val="both"/>
        <w:rPr>
          <w:rFonts w:ascii="Palatino Linotype" w:hAnsi="Palatino Linotype"/>
          <w:color w:val="000000" w:themeColor="text1"/>
        </w:rPr>
      </w:pPr>
      <w:hyperlink r:id="rId8" w:tgtFrame="_blank" w:history="1">
        <w:r w:rsidR="009A24B8" w:rsidRPr="003729AD">
          <w:rPr>
            <w:rStyle w:val="Hipervnculo"/>
            <w:rFonts w:ascii="Palatino Linotype" w:hAnsi="Palatino Linotype" w:cs="Arial"/>
            <w:b/>
            <w:bCs/>
            <w:color w:val="000000" w:themeColor="text1"/>
            <w:u w:val="none"/>
          </w:rPr>
          <w:t>00317.pdf</w:t>
        </w:r>
      </w:hyperlink>
      <w:r w:rsidR="009A24B8" w:rsidRPr="003729AD">
        <w:rPr>
          <w:rFonts w:ascii="Palatino Linotype" w:hAnsi="Palatino Linotype"/>
          <w:color w:val="000000" w:themeColor="text1"/>
        </w:rPr>
        <w:t>: Oficio suscrito por la Directora de Egresos, por medio del cual, informó que la Dirección a su cargo no realizó pagos a particulares, toda vez que su marco de actuación y las atribuciones que le fueron conferidas, únicamente la faculta para efectuar pagos a proveedores debidamente registrados y/o a prestadores de servicios con los que se haya formalizado una relación contractual conforme a los procedimientos administrativos establecidos.</w:t>
      </w:r>
    </w:p>
    <w:p w:rsidR="009A24B8" w:rsidRPr="003729AD" w:rsidRDefault="009A24B8" w:rsidP="003729AD">
      <w:pPr>
        <w:tabs>
          <w:tab w:val="left" w:pos="0"/>
        </w:tabs>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El </w:t>
      </w:r>
      <w:r w:rsidR="009A24B8" w:rsidRPr="003729AD">
        <w:rPr>
          <w:rFonts w:ascii="Palatino Linotype" w:eastAsia="Palatino Linotype" w:hAnsi="Palatino Linotype" w:cs="Palatino Linotype"/>
          <w:b/>
          <w:color w:val="000000" w:themeColor="text1"/>
        </w:rPr>
        <w:t>veintidós</w:t>
      </w:r>
      <w:r w:rsidR="007470D9" w:rsidRPr="003729AD">
        <w:rPr>
          <w:rFonts w:ascii="Palatino Linotype" w:eastAsia="Palatino Linotype" w:hAnsi="Palatino Linotype" w:cs="Palatino Linotype"/>
          <w:b/>
          <w:color w:val="000000" w:themeColor="text1"/>
        </w:rPr>
        <w:t xml:space="preserve"> de mayo</w:t>
      </w:r>
      <w:r w:rsidRPr="003729AD">
        <w:rPr>
          <w:rFonts w:ascii="Palatino Linotype" w:eastAsia="Palatino Linotype" w:hAnsi="Palatino Linotype" w:cs="Palatino Linotype"/>
          <w:b/>
          <w:color w:val="000000" w:themeColor="text1"/>
        </w:rPr>
        <w:t xml:space="preserve"> de dos mil veinticinco</w:t>
      </w:r>
      <w:r w:rsidRPr="003729AD">
        <w:rPr>
          <w:rFonts w:ascii="Palatino Linotype" w:eastAsia="Palatino Linotype" w:hAnsi="Palatino Linotype" w:cs="Palatino Linotype"/>
          <w:color w:val="000000" w:themeColor="text1"/>
        </w:rPr>
        <w:t xml:space="preserve">, el </w:t>
      </w:r>
      <w:r w:rsidRPr="003729AD">
        <w:rPr>
          <w:rFonts w:ascii="Palatino Linotype" w:eastAsia="Palatino Linotype" w:hAnsi="Palatino Linotype" w:cs="Palatino Linotype"/>
          <w:b/>
          <w:color w:val="000000" w:themeColor="text1"/>
        </w:rPr>
        <w:t>RECURRENTE</w:t>
      </w:r>
      <w:r w:rsidRPr="003729AD">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9A24B8" w:rsidRPr="003729AD" w:rsidRDefault="009A24B8"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BD63EE" w:rsidRDefault="0010134C" w:rsidP="00BD63EE">
      <w:pPr>
        <w:pStyle w:val="Prrafodelista"/>
        <w:numPr>
          <w:ilvl w:val="0"/>
          <w:numId w:val="12"/>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BD63EE">
        <w:rPr>
          <w:rFonts w:ascii="Palatino Linotype" w:eastAsia="Palatino Linotype" w:hAnsi="Palatino Linotype" w:cs="Palatino Linotype"/>
          <w:b/>
          <w:color w:val="000000" w:themeColor="text1"/>
        </w:rPr>
        <w:t>Acto impugnado</w:t>
      </w:r>
      <w:r w:rsidRPr="00BD63EE">
        <w:rPr>
          <w:rFonts w:ascii="Palatino Linotype" w:eastAsia="Palatino Linotype" w:hAnsi="Palatino Linotype" w:cs="Palatino Linotype"/>
          <w:color w:val="000000" w:themeColor="text1"/>
        </w:rPr>
        <w:t xml:space="preserve">: </w:t>
      </w:r>
      <w:r w:rsidRPr="00BD63EE">
        <w:rPr>
          <w:rFonts w:ascii="Palatino Linotype" w:eastAsia="Palatino Linotype" w:hAnsi="Palatino Linotype" w:cs="Palatino Linotype"/>
          <w:i/>
          <w:color w:val="000000" w:themeColor="text1"/>
        </w:rPr>
        <w:t>“</w:t>
      </w:r>
      <w:r w:rsidR="009A24B8" w:rsidRPr="00BD63EE">
        <w:rPr>
          <w:rFonts w:ascii="Palatino Linotype" w:eastAsia="Palatino Linotype" w:hAnsi="Palatino Linotype" w:cs="Palatino Linotype"/>
          <w:i/>
          <w:color w:val="000000" w:themeColor="text1"/>
        </w:rPr>
        <w:t>0</w:t>
      </w:r>
      <w:r w:rsidR="009A24B8" w:rsidRPr="00BD63EE">
        <w:rPr>
          <w:rFonts w:ascii="Palatino Linotype" w:hAnsi="Palatino Linotype"/>
          <w:i/>
          <w:color w:val="000000" w:themeColor="text1"/>
        </w:rPr>
        <w:t>0317/LAPAZ/IP/2025</w:t>
      </w:r>
      <w:r w:rsidRPr="00BD63EE">
        <w:rPr>
          <w:rFonts w:ascii="Palatino Linotype" w:eastAsia="Palatino Linotype" w:hAnsi="Palatino Linotype" w:cs="Palatino Linotype"/>
          <w:i/>
          <w:color w:val="000000" w:themeColor="text1"/>
        </w:rPr>
        <w:t>” (Sic.)</w:t>
      </w:r>
    </w:p>
    <w:p w:rsidR="00E40FE1" w:rsidRPr="003729AD" w:rsidRDefault="00E40FE1" w:rsidP="003729AD">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E40FE1" w:rsidRPr="00BD63EE" w:rsidRDefault="0010134C" w:rsidP="00BD63EE">
      <w:pPr>
        <w:pStyle w:val="Prrafodelista"/>
        <w:numPr>
          <w:ilvl w:val="0"/>
          <w:numId w:val="12"/>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BD63EE">
        <w:rPr>
          <w:rFonts w:ascii="Palatino Linotype" w:eastAsia="Palatino Linotype" w:hAnsi="Palatino Linotype" w:cs="Palatino Linotype"/>
          <w:b/>
          <w:color w:val="000000" w:themeColor="text1"/>
        </w:rPr>
        <w:t>Razones o Motivos de inconformidad:</w:t>
      </w:r>
      <w:r w:rsidRPr="00BD63EE">
        <w:rPr>
          <w:rFonts w:ascii="Palatino Linotype" w:eastAsia="Palatino Linotype" w:hAnsi="Palatino Linotype" w:cs="Palatino Linotype"/>
          <w:b/>
          <w:i/>
          <w:color w:val="000000" w:themeColor="text1"/>
        </w:rPr>
        <w:t xml:space="preserve"> </w:t>
      </w:r>
      <w:r w:rsidR="009A24B8" w:rsidRPr="00BD63EE">
        <w:rPr>
          <w:rFonts w:ascii="Palatino Linotype" w:eastAsia="Palatino Linotype" w:hAnsi="Palatino Linotype" w:cs="Palatino Linotype"/>
          <w:i/>
          <w:color w:val="000000" w:themeColor="text1"/>
        </w:rPr>
        <w:t>“</w:t>
      </w:r>
      <w:r w:rsidR="009A24B8" w:rsidRPr="00BD63EE">
        <w:rPr>
          <w:rFonts w:ascii="Palatino Linotype" w:hAnsi="Palatino Linotype"/>
          <w:i/>
          <w:color w:val="000000" w:themeColor="text1"/>
        </w:rPr>
        <w:t>En su respuesta del sujeto obligado argumenta que solo realiza pagos a proveedores y prestadores de servicios con los que se haya formalizado una relación contractual, pues bienen ambos casos de trata de particulares independientemente de la denominación que el sujeto obligado quiera asignarles. Jurídicamente son personas particulares y por lo tanto se debe hacer pública la información de los pagos que reciben por parte del sujeto obligado.</w:t>
      </w:r>
      <w:r w:rsidRPr="00BD63EE">
        <w:rPr>
          <w:rFonts w:ascii="Palatino Linotype" w:eastAsia="Palatino Linotype" w:hAnsi="Palatino Linotype" w:cs="Palatino Linotype"/>
          <w:i/>
          <w:color w:val="000000" w:themeColor="text1"/>
        </w:rPr>
        <w:t>” (Sic.)</w:t>
      </w:r>
    </w:p>
    <w:p w:rsidR="00E40FE1" w:rsidRPr="003729AD" w:rsidRDefault="00E40FE1" w:rsidP="003729AD">
      <w:pPr>
        <w:tabs>
          <w:tab w:val="left" w:pos="0"/>
        </w:tabs>
        <w:spacing w:line="360" w:lineRule="auto"/>
        <w:rPr>
          <w:rFonts w:ascii="Palatino Linotype" w:eastAsia="Palatino Linotype" w:hAnsi="Palatino Linotype" w:cs="Palatino Linotype"/>
          <w:i/>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7470D9" w:rsidRPr="003729AD">
        <w:rPr>
          <w:rFonts w:ascii="Palatino Linotype" w:eastAsia="Palatino Linotype" w:hAnsi="Palatino Linotype" w:cs="Palatino Linotype"/>
          <w:b/>
          <w:color w:val="000000" w:themeColor="text1"/>
        </w:rPr>
        <w:t>v</w:t>
      </w:r>
      <w:r w:rsidR="009A24B8" w:rsidRPr="003729AD">
        <w:rPr>
          <w:rFonts w:ascii="Palatino Linotype" w:eastAsia="Palatino Linotype" w:hAnsi="Palatino Linotype" w:cs="Palatino Linotype"/>
          <w:b/>
          <w:color w:val="000000" w:themeColor="text1"/>
        </w:rPr>
        <w:t xml:space="preserve">eintisiete </w:t>
      </w:r>
      <w:r w:rsidR="007470D9" w:rsidRPr="003729AD">
        <w:rPr>
          <w:rFonts w:ascii="Palatino Linotype" w:eastAsia="Palatino Linotype" w:hAnsi="Palatino Linotype" w:cs="Palatino Linotype"/>
          <w:b/>
          <w:color w:val="000000" w:themeColor="text1"/>
        </w:rPr>
        <w:t>de mayo</w:t>
      </w:r>
      <w:r w:rsidRPr="003729AD">
        <w:rPr>
          <w:rFonts w:ascii="Palatino Linotype" w:eastAsia="Palatino Linotype" w:hAnsi="Palatino Linotype" w:cs="Palatino Linotype"/>
          <w:b/>
          <w:color w:val="000000" w:themeColor="text1"/>
        </w:rPr>
        <w:t xml:space="preserve"> de dos mil veinticinco</w:t>
      </w:r>
      <w:r w:rsidRPr="003729AD">
        <w:rPr>
          <w:rFonts w:ascii="Palatino Linotype" w:eastAsia="Palatino Linotype" w:hAnsi="Palatino Linotype" w:cs="Palatino Linotype"/>
          <w:color w:val="000000" w:themeColor="text1"/>
        </w:rPr>
        <w:t xml:space="preserve">, puso a disposición de las partes el expediente electrónico vía </w:t>
      </w:r>
      <w:r w:rsidRPr="003729AD">
        <w:rPr>
          <w:rFonts w:ascii="Palatino Linotype" w:eastAsia="Palatino Linotype" w:hAnsi="Palatino Linotype" w:cs="Palatino Linotype"/>
          <w:b/>
          <w:color w:val="000000" w:themeColor="text1"/>
        </w:rPr>
        <w:t xml:space="preserve">SAIMEX </w:t>
      </w:r>
      <w:r w:rsidRPr="003729AD">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xml:space="preserve"> presentará el Informe Justificado procedente.</w:t>
      </w:r>
    </w:p>
    <w:p w:rsidR="00E40FE1" w:rsidRPr="003729AD" w:rsidRDefault="00E40FE1" w:rsidP="003729AD">
      <w:pPr>
        <w:tabs>
          <w:tab w:val="left" w:pos="0"/>
        </w:tabs>
        <w:rPr>
          <w:rFonts w:ascii="Palatino Linotype" w:eastAsia="Palatino Linotype" w:hAnsi="Palatino Linotype" w:cs="Palatino Linotype"/>
          <w:color w:val="000000" w:themeColor="text1"/>
        </w:rPr>
      </w:pPr>
    </w:p>
    <w:p w:rsidR="0010134C" w:rsidRPr="003729AD" w:rsidRDefault="0010134C" w:rsidP="003729AD">
      <w:pPr>
        <w:numPr>
          <w:ilvl w:val="0"/>
          <w:numId w:val="2"/>
        </w:numPr>
        <w:tabs>
          <w:tab w:val="left" w:pos="0"/>
        </w:tabs>
        <w:spacing w:line="360" w:lineRule="auto"/>
        <w:jc w:val="both"/>
        <w:rPr>
          <w:rFonts w:ascii="Palatino Linotype" w:eastAsia="Palatino Linotype" w:hAnsi="Palatino Linotype" w:cs="Palatino Linotype"/>
          <w:color w:val="000000" w:themeColor="text1"/>
        </w:rPr>
      </w:pPr>
      <w:bookmarkStart w:id="6" w:name="_heading=h.2et92p0" w:colFirst="0" w:colLast="0"/>
      <w:bookmarkEnd w:id="6"/>
      <w:r w:rsidRPr="003729AD">
        <w:rPr>
          <w:rFonts w:ascii="Palatino Linotype" w:eastAsia="Palatino Linotype" w:hAnsi="Palatino Linotype" w:cs="Palatino Linotype"/>
          <w:color w:val="000000" w:themeColor="text1"/>
        </w:rPr>
        <w:lastRenderedPageBreak/>
        <w:t xml:space="preserve">El </w:t>
      </w:r>
      <w:r w:rsidR="000C6EA9" w:rsidRPr="003729AD">
        <w:rPr>
          <w:rFonts w:ascii="Palatino Linotype" w:eastAsia="Palatino Linotype" w:hAnsi="Palatino Linotype" w:cs="Palatino Linotype"/>
          <w:color w:val="000000" w:themeColor="text1"/>
        </w:rPr>
        <w:t>dos y cinco de junio</w:t>
      </w:r>
      <w:r w:rsidRPr="003729AD">
        <w:rPr>
          <w:rFonts w:ascii="Palatino Linotype" w:eastAsia="Palatino Linotype" w:hAnsi="Palatino Linotype" w:cs="Palatino Linotype"/>
          <w:color w:val="000000" w:themeColor="text1"/>
        </w:rPr>
        <w:t xml:space="preserve"> de dos mil veinticinco, el </w:t>
      </w:r>
      <w:r w:rsidRPr="003729AD">
        <w:rPr>
          <w:rFonts w:ascii="Palatino Linotype" w:eastAsia="Palatino Linotype" w:hAnsi="Palatino Linotype" w:cs="Palatino Linotype"/>
          <w:b/>
          <w:color w:val="000000" w:themeColor="text1"/>
        </w:rPr>
        <w:t xml:space="preserve">SUJETO OBLIGADO </w:t>
      </w:r>
      <w:r w:rsidRPr="003729AD">
        <w:rPr>
          <w:rFonts w:ascii="Palatino Linotype" w:eastAsia="Palatino Linotype" w:hAnsi="Palatino Linotype" w:cs="Palatino Linotype"/>
          <w:color w:val="000000" w:themeColor="text1"/>
        </w:rPr>
        <w:t>rindió el informe justificad</w:t>
      </w:r>
      <w:r w:rsidR="000C6EA9" w:rsidRPr="003729AD">
        <w:rPr>
          <w:rFonts w:ascii="Palatino Linotype" w:eastAsia="Palatino Linotype" w:hAnsi="Palatino Linotype" w:cs="Palatino Linotype"/>
          <w:color w:val="000000" w:themeColor="text1"/>
        </w:rPr>
        <w:t>o correspondiente por medio de los siguientes archivos electrónicos:</w:t>
      </w:r>
    </w:p>
    <w:p w:rsidR="000C6EA9" w:rsidRPr="003729AD" w:rsidRDefault="000C6EA9" w:rsidP="003729AD">
      <w:pPr>
        <w:tabs>
          <w:tab w:val="left" w:pos="0"/>
        </w:tabs>
        <w:ind w:left="567"/>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 xml:space="preserve">00317 (3).pdf: </w:t>
      </w:r>
      <w:r w:rsidRPr="003729AD">
        <w:rPr>
          <w:rFonts w:ascii="Palatino Linotype" w:eastAsia="Palatino Linotype" w:hAnsi="Palatino Linotype" w:cs="Palatino Linotype"/>
          <w:color w:val="000000" w:themeColor="text1"/>
        </w:rPr>
        <w:t>Oficio suscrito por el Titular del Departamento de Adquisiciones y Licitaciones, por medio del cual, refirió que el área a su cargo no está facultada para efectuar pagos de ningún tipo.</w:t>
      </w:r>
    </w:p>
    <w:p w:rsidR="000C6EA9" w:rsidRPr="003729AD" w:rsidRDefault="000C6EA9" w:rsidP="003729AD">
      <w:pPr>
        <w:tabs>
          <w:tab w:val="left" w:pos="0"/>
        </w:tabs>
        <w:ind w:left="567"/>
        <w:jc w:val="both"/>
        <w:rPr>
          <w:rFonts w:ascii="Palatino Linotype" w:eastAsia="Palatino Linotype" w:hAnsi="Palatino Linotype" w:cs="Palatino Linotype"/>
          <w:b/>
          <w:color w:val="000000" w:themeColor="text1"/>
        </w:rPr>
      </w:pPr>
    </w:p>
    <w:p w:rsidR="000C6EA9" w:rsidRPr="003729AD" w:rsidRDefault="000C6EA9" w:rsidP="003729AD">
      <w:pPr>
        <w:tabs>
          <w:tab w:val="left" w:pos="0"/>
        </w:tabs>
        <w:ind w:left="567"/>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 xml:space="preserve">00317 DAÑO.pdf: </w:t>
      </w:r>
      <w:r w:rsidRPr="003729AD">
        <w:rPr>
          <w:rFonts w:ascii="Palatino Linotype" w:eastAsia="Palatino Linotype" w:hAnsi="Palatino Linotype" w:cs="Palatino Linotype"/>
          <w:color w:val="000000" w:themeColor="text1"/>
        </w:rPr>
        <w:t>Prueba de daño relativa a la reserva de información que obra en la Tesorería Municipal y las Unidades Administrativas correspondientes, respecto a la información solicitada, suscrita por el Director de Administración y Finanzas.</w:t>
      </w:r>
    </w:p>
    <w:p w:rsidR="000C6EA9" w:rsidRPr="003729AD" w:rsidRDefault="000C6EA9" w:rsidP="003729AD">
      <w:pPr>
        <w:tabs>
          <w:tab w:val="left" w:pos="0"/>
        </w:tabs>
        <w:ind w:left="567"/>
        <w:jc w:val="both"/>
        <w:rPr>
          <w:rFonts w:ascii="Palatino Linotype" w:eastAsia="Palatino Linotype" w:hAnsi="Palatino Linotype" w:cs="Palatino Linotype"/>
          <w:b/>
          <w:color w:val="000000" w:themeColor="text1"/>
        </w:rPr>
      </w:pPr>
    </w:p>
    <w:p w:rsidR="000C6EA9" w:rsidRPr="003729AD" w:rsidRDefault="000C6EA9" w:rsidP="003729AD">
      <w:pPr>
        <w:tabs>
          <w:tab w:val="left" w:pos="0"/>
        </w:tabs>
        <w:ind w:left="567"/>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b/>
          <w:color w:val="000000" w:themeColor="text1"/>
        </w:rPr>
        <w:t xml:space="preserve">ACTA DECIMA CUARTA.pdf: </w:t>
      </w:r>
      <w:r w:rsidRPr="003729AD">
        <w:rPr>
          <w:rFonts w:ascii="Palatino Linotype" w:eastAsia="Palatino Linotype" w:hAnsi="Palatino Linotype" w:cs="Palatino Linotype"/>
          <w:color w:val="000000" w:themeColor="text1"/>
        </w:rPr>
        <w:t>Acta de la Décima Cuarta Sesión Extraordinaria del Comité de Transparencia de la Paz, por medio de la cual, se aprobó la clasificación de la información en su modalidad confidencial, para dar atención a la solicitud de información 00317/LAPAZ/IP/2025.</w:t>
      </w:r>
    </w:p>
    <w:p w:rsidR="0010134C" w:rsidRDefault="0010134C" w:rsidP="003729AD">
      <w:pPr>
        <w:tabs>
          <w:tab w:val="left" w:pos="0"/>
        </w:tabs>
        <w:rPr>
          <w:rFonts w:ascii="Palatino Linotype" w:eastAsia="Palatino Linotype" w:hAnsi="Palatino Linotype" w:cs="Palatino Linotype"/>
          <w:color w:val="000000" w:themeColor="text1"/>
        </w:rPr>
      </w:pPr>
    </w:p>
    <w:p w:rsidR="00BD63EE" w:rsidRPr="003729AD" w:rsidRDefault="00BD63EE" w:rsidP="003729AD">
      <w:pPr>
        <w:tabs>
          <w:tab w:val="left" w:pos="0"/>
        </w:tabs>
        <w:rPr>
          <w:rFonts w:ascii="Palatino Linotype" w:eastAsia="Palatino Linotype" w:hAnsi="Palatino Linotype" w:cs="Palatino Linotype"/>
          <w:color w:val="000000" w:themeColor="text1"/>
        </w:rPr>
      </w:pPr>
    </w:p>
    <w:p w:rsidR="00E40FE1" w:rsidRPr="003729AD" w:rsidRDefault="0010134C" w:rsidP="003729AD">
      <w:pPr>
        <w:numPr>
          <w:ilvl w:val="0"/>
          <w:numId w:val="2"/>
        </w:numP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Por su parte, el</w:t>
      </w:r>
      <w:r w:rsidRPr="003729AD">
        <w:rPr>
          <w:rFonts w:ascii="Palatino Linotype" w:eastAsia="Palatino Linotype" w:hAnsi="Palatino Linotype" w:cs="Palatino Linotype"/>
          <w:b/>
          <w:color w:val="000000" w:themeColor="text1"/>
        </w:rPr>
        <w:t xml:space="preserve"> RECURRENTE </w:t>
      </w:r>
      <w:r w:rsidRPr="003729AD">
        <w:rPr>
          <w:rFonts w:ascii="Palatino Linotype" w:eastAsia="Palatino Linotype" w:hAnsi="Palatino Linotype" w:cs="Palatino Linotype"/>
          <w:color w:val="000000" w:themeColor="text1"/>
        </w:rPr>
        <w:t xml:space="preserve">dejó de realizar manifestaciones que a su derecho conviniera y asistiera. </w:t>
      </w:r>
    </w:p>
    <w:p w:rsidR="00E40FE1" w:rsidRPr="003729AD" w:rsidRDefault="00E40FE1" w:rsidP="003729AD">
      <w:pP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Finalmente, mediante acuerdo del </w:t>
      </w:r>
      <w:r w:rsidR="00913AAE" w:rsidRPr="003729AD">
        <w:rPr>
          <w:rFonts w:ascii="Palatino Linotype" w:eastAsia="Palatino Linotype" w:hAnsi="Palatino Linotype" w:cs="Palatino Linotype"/>
          <w:b/>
          <w:color w:val="000000" w:themeColor="text1"/>
        </w:rPr>
        <w:t>ocho de octubre</w:t>
      </w:r>
      <w:r w:rsidRPr="003729AD">
        <w:rPr>
          <w:rFonts w:ascii="Palatino Linotype" w:eastAsia="Palatino Linotype" w:hAnsi="Palatino Linotype" w:cs="Palatino Linotype"/>
          <w:color w:val="000000" w:themeColor="text1"/>
        </w:rPr>
        <w:t xml:space="preserve"> </w:t>
      </w:r>
      <w:r w:rsidRPr="003729AD">
        <w:rPr>
          <w:rFonts w:ascii="Palatino Linotype" w:eastAsia="Palatino Linotype" w:hAnsi="Palatino Linotype" w:cs="Palatino Linotype"/>
          <w:b/>
          <w:color w:val="000000" w:themeColor="text1"/>
        </w:rPr>
        <w:t>de dos mil veinticinco</w:t>
      </w:r>
      <w:r w:rsidRPr="003729AD">
        <w:rPr>
          <w:rFonts w:ascii="Palatino Linotype" w:eastAsia="Palatino Linotype" w:hAnsi="Palatino Linotype" w:cs="Palatino Linotype"/>
          <w:color w:val="000000" w:themeColor="text1"/>
        </w:rPr>
        <w:t>, se decretó el cierre de instrucción, por lo que no habiendo más que hacer constar, y</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E40FE1" w:rsidRPr="003729AD" w:rsidRDefault="0010134C" w:rsidP="003729AD">
      <w:pPr>
        <w:pStyle w:val="Ttulo1"/>
        <w:tabs>
          <w:tab w:val="left" w:pos="0"/>
          <w:tab w:val="left" w:pos="567"/>
        </w:tabs>
        <w:spacing w:before="0" w:line="360" w:lineRule="auto"/>
        <w:jc w:val="center"/>
        <w:rPr>
          <w:color w:val="000000" w:themeColor="text1"/>
        </w:rPr>
      </w:pPr>
      <w:bookmarkStart w:id="7" w:name="_heading=h.tyjcwt" w:colFirst="0" w:colLast="0"/>
      <w:bookmarkEnd w:id="7"/>
      <w:r w:rsidRPr="003729AD">
        <w:rPr>
          <w:color w:val="000000" w:themeColor="text1"/>
        </w:rPr>
        <w:t>C O N S I D E R A N D O</w:t>
      </w:r>
    </w:p>
    <w:p w:rsidR="00E40FE1" w:rsidRPr="003729AD" w:rsidRDefault="00E40FE1" w:rsidP="003729AD">
      <w:pPr>
        <w:tabs>
          <w:tab w:val="left" w:pos="0"/>
        </w:tabs>
        <w:spacing w:line="360" w:lineRule="auto"/>
        <w:rPr>
          <w:rFonts w:ascii="Palatino Linotype" w:eastAsia="Palatino Linotype" w:hAnsi="Palatino Linotype" w:cs="Palatino Linotype"/>
          <w:color w:val="000000" w:themeColor="text1"/>
        </w:rPr>
      </w:pPr>
    </w:p>
    <w:p w:rsidR="00E40FE1" w:rsidRPr="003729AD" w:rsidRDefault="0010134C" w:rsidP="003729AD">
      <w:pPr>
        <w:pStyle w:val="Ttulo1"/>
        <w:tabs>
          <w:tab w:val="left" w:pos="0"/>
          <w:tab w:val="left" w:pos="567"/>
        </w:tabs>
        <w:spacing w:before="0" w:line="360" w:lineRule="auto"/>
        <w:rPr>
          <w:color w:val="000000" w:themeColor="text1"/>
        </w:rPr>
      </w:pPr>
      <w:bookmarkStart w:id="8" w:name="_heading=h.3dy6vkm" w:colFirst="0" w:colLast="0"/>
      <w:bookmarkEnd w:id="8"/>
      <w:r w:rsidRPr="003729AD">
        <w:rPr>
          <w:color w:val="000000" w:themeColor="text1"/>
        </w:rPr>
        <w:t>PRIMERO. De la competencia</w:t>
      </w:r>
    </w:p>
    <w:p w:rsidR="00E40FE1" w:rsidRPr="003729AD" w:rsidRDefault="0010134C" w:rsidP="003729AD">
      <w:pPr>
        <w:numPr>
          <w:ilvl w:val="0"/>
          <w:numId w:val="2"/>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w:t>
      </w:r>
      <w:r w:rsidRPr="003729AD">
        <w:rPr>
          <w:rFonts w:ascii="Palatino Linotype" w:eastAsia="Palatino Linotype" w:hAnsi="Palatino Linotype" w:cs="Palatino Linotype"/>
          <w:color w:val="000000" w:themeColor="text1"/>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40FE1" w:rsidRPr="003729AD" w:rsidRDefault="00E40FE1" w:rsidP="003729AD">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pStyle w:val="Ttulo2"/>
        <w:tabs>
          <w:tab w:val="left" w:pos="0"/>
        </w:tabs>
        <w:spacing w:before="0" w:line="360" w:lineRule="auto"/>
        <w:rPr>
          <w:color w:val="000000" w:themeColor="text1"/>
        </w:rPr>
      </w:pPr>
      <w:bookmarkStart w:id="9" w:name="_heading=h.1t3h5sf" w:colFirst="0" w:colLast="0"/>
      <w:bookmarkEnd w:id="9"/>
      <w:r w:rsidRPr="003729AD">
        <w:rPr>
          <w:color w:val="000000" w:themeColor="text1"/>
        </w:rPr>
        <w:t>SEGUNDO. De la oportunidad y procedencia.</w:t>
      </w: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 El medio de impugnación fue presentado a través del </w:t>
      </w:r>
      <w:r w:rsidRPr="003729AD">
        <w:rPr>
          <w:rFonts w:ascii="Palatino Linotype" w:eastAsia="Palatino Linotype" w:hAnsi="Palatino Linotype" w:cs="Palatino Linotype"/>
          <w:b/>
          <w:color w:val="000000" w:themeColor="text1"/>
        </w:rPr>
        <w:t>SAIMEX,</w:t>
      </w:r>
      <w:r w:rsidRPr="003729A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xml:space="preserve"> entregó su respuesta el </w:t>
      </w:r>
      <w:r w:rsidR="008F63C1" w:rsidRPr="003729AD">
        <w:rPr>
          <w:rFonts w:ascii="Palatino Linotype" w:eastAsia="Palatino Linotype" w:hAnsi="Palatino Linotype" w:cs="Palatino Linotype"/>
          <w:b/>
          <w:color w:val="000000" w:themeColor="text1"/>
        </w:rPr>
        <w:t>catorce de mayo</w:t>
      </w:r>
      <w:r w:rsidRPr="003729AD">
        <w:rPr>
          <w:rFonts w:ascii="Palatino Linotype" w:eastAsia="Palatino Linotype" w:hAnsi="Palatino Linotype" w:cs="Palatino Linotype"/>
          <w:b/>
          <w:color w:val="000000" w:themeColor="text1"/>
        </w:rPr>
        <w:t xml:space="preserve"> de dos mil veinticinco</w:t>
      </w:r>
      <w:r w:rsidRPr="003729AD">
        <w:rPr>
          <w:rFonts w:ascii="Palatino Linotype" w:eastAsia="Palatino Linotype" w:hAnsi="Palatino Linotype" w:cs="Palatino Linotype"/>
          <w:color w:val="000000" w:themeColor="text1"/>
        </w:rPr>
        <w:t xml:space="preserve">, de tal forma que el plazo para interponer el recurso de revisión transcurrió del </w:t>
      </w:r>
      <w:r w:rsidR="008F63C1" w:rsidRPr="003729AD">
        <w:rPr>
          <w:rFonts w:ascii="Palatino Linotype" w:eastAsia="Palatino Linotype" w:hAnsi="Palatino Linotype" w:cs="Palatino Linotype"/>
          <w:b/>
          <w:color w:val="000000" w:themeColor="text1"/>
        </w:rPr>
        <w:t>quince de mayo</w:t>
      </w:r>
      <w:r w:rsidRPr="003729AD">
        <w:rPr>
          <w:rFonts w:ascii="Palatino Linotype" w:eastAsia="Palatino Linotype" w:hAnsi="Palatino Linotype" w:cs="Palatino Linotype"/>
          <w:b/>
          <w:color w:val="000000" w:themeColor="text1"/>
        </w:rPr>
        <w:t xml:space="preserve"> al </w:t>
      </w:r>
      <w:r w:rsidR="008F63C1" w:rsidRPr="003729AD">
        <w:rPr>
          <w:rFonts w:ascii="Palatino Linotype" w:eastAsia="Palatino Linotype" w:hAnsi="Palatino Linotype" w:cs="Palatino Linotype"/>
          <w:b/>
          <w:color w:val="000000" w:themeColor="text1"/>
        </w:rPr>
        <w:t>cuatro de junio</w:t>
      </w:r>
      <w:r w:rsidRPr="003729AD">
        <w:rPr>
          <w:rFonts w:ascii="Palatino Linotype" w:eastAsia="Palatino Linotype" w:hAnsi="Palatino Linotype" w:cs="Palatino Linotype"/>
          <w:b/>
          <w:color w:val="000000" w:themeColor="text1"/>
        </w:rPr>
        <w:t xml:space="preserve"> de dos mil veinticinco</w:t>
      </w:r>
      <w:r w:rsidRPr="003729AD">
        <w:rPr>
          <w:rFonts w:ascii="Palatino Linotype" w:eastAsia="Palatino Linotype" w:hAnsi="Palatino Linotype" w:cs="Palatino Linotype"/>
          <w:color w:val="000000" w:themeColor="text1"/>
        </w:rPr>
        <w:t xml:space="preserve">; en consecuencia, el ahora </w:t>
      </w:r>
      <w:r w:rsidRPr="003729AD">
        <w:rPr>
          <w:rFonts w:ascii="Palatino Linotype" w:eastAsia="Palatino Linotype" w:hAnsi="Palatino Linotype" w:cs="Palatino Linotype"/>
          <w:b/>
          <w:color w:val="000000" w:themeColor="text1"/>
        </w:rPr>
        <w:t>RECURRENTE</w:t>
      </w:r>
      <w:r w:rsidRPr="003729AD">
        <w:rPr>
          <w:rFonts w:ascii="Palatino Linotype" w:eastAsia="Palatino Linotype" w:hAnsi="Palatino Linotype" w:cs="Palatino Linotype"/>
          <w:color w:val="000000" w:themeColor="text1"/>
        </w:rPr>
        <w:t xml:space="preserve"> presentó su inconformidad el </w:t>
      </w:r>
      <w:r w:rsidR="008F63C1" w:rsidRPr="003729AD">
        <w:rPr>
          <w:rFonts w:ascii="Palatino Linotype" w:eastAsia="Palatino Linotype" w:hAnsi="Palatino Linotype" w:cs="Palatino Linotype"/>
          <w:b/>
          <w:color w:val="000000" w:themeColor="text1"/>
        </w:rPr>
        <w:t>quince de mayo</w:t>
      </w:r>
      <w:r w:rsidRPr="003729AD">
        <w:rPr>
          <w:rFonts w:ascii="Palatino Linotype" w:eastAsia="Palatino Linotype" w:hAnsi="Palatino Linotype" w:cs="Palatino Linotype"/>
          <w:b/>
          <w:color w:val="000000" w:themeColor="text1"/>
        </w:rPr>
        <w:t xml:space="preserve"> de dos mil veinticinco</w:t>
      </w:r>
      <w:r w:rsidRPr="003729AD">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E40FE1" w:rsidRPr="003729AD" w:rsidRDefault="00E40FE1" w:rsidP="003729AD">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E40FE1" w:rsidRPr="003729AD" w:rsidRDefault="0010134C" w:rsidP="003729AD">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0FE1" w:rsidRPr="003729AD" w:rsidRDefault="00E40FE1" w:rsidP="003729AD">
      <w:pPr>
        <w:tabs>
          <w:tab w:val="left" w:pos="0"/>
        </w:tabs>
        <w:spacing w:line="360" w:lineRule="auto"/>
        <w:rPr>
          <w:rFonts w:ascii="Palatino Linotype" w:eastAsia="Palatino Linotype" w:hAnsi="Palatino Linotype" w:cs="Palatino Linotype"/>
          <w:color w:val="000000" w:themeColor="text1"/>
        </w:rPr>
      </w:pPr>
    </w:p>
    <w:p w:rsidR="00E40FE1" w:rsidRPr="003729AD" w:rsidRDefault="0010134C" w:rsidP="003729AD">
      <w:pPr>
        <w:pStyle w:val="Ttulo1"/>
        <w:tabs>
          <w:tab w:val="left" w:pos="0"/>
        </w:tabs>
        <w:spacing w:before="0" w:line="360" w:lineRule="auto"/>
        <w:rPr>
          <w:color w:val="000000" w:themeColor="text1"/>
        </w:rPr>
      </w:pPr>
      <w:r w:rsidRPr="003729AD">
        <w:rPr>
          <w:color w:val="000000" w:themeColor="text1"/>
        </w:rPr>
        <w:lastRenderedPageBreak/>
        <w:t xml:space="preserve">TERCERO. Del planteamiento de la </w:t>
      </w:r>
      <w:r w:rsidRPr="003729AD">
        <w:rPr>
          <w:i/>
          <w:color w:val="000000" w:themeColor="text1"/>
        </w:rPr>
        <w:t>Litis</w:t>
      </w:r>
      <w:r w:rsidRPr="003729AD">
        <w:rPr>
          <w:color w:val="000000" w:themeColor="text1"/>
        </w:rPr>
        <w:t>.</w:t>
      </w: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3729AD">
        <w:rPr>
          <w:rFonts w:ascii="Palatino Linotype" w:eastAsia="Palatino Linotype" w:hAnsi="Palatino Linotype" w:cs="Palatino Linotype"/>
          <w:color w:val="000000" w:themeColor="text1"/>
        </w:rPr>
        <w:t xml:space="preserve">La parte </w:t>
      </w:r>
      <w:r w:rsidRPr="003729AD">
        <w:rPr>
          <w:rFonts w:ascii="Palatino Linotype" w:eastAsia="Palatino Linotype" w:hAnsi="Palatino Linotype" w:cs="Palatino Linotype"/>
          <w:b/>
          <w:color w:val="000000" w:themeColor="text1"/>
        </w:rPr>
        <w:t>RECURRENTE</w:t>
      </w:r>
      <w:r w:rsidRPr="003729AD">
        <w:rPr>
          <w:rFonts w:ascii="Palatino Linotype" w:eastAsia="Palatino Linotype" w:hAnsi="Palatino Linotype" w:cs="Palatino Linotype"/>
          <w:color w:val="000000" w:themeColor="text1"/>
        </w:rPr>
        <w:t xml:space="preserve"> solicitó l</w:t>
      </w:r>
      <w:r w:rsidR="006F1C9E" w:rsidRPr="003729AD">
        <w:rPr>
          <w:rFonts w:ascii="Palatino Linotype" w:eastAsia="Palatino Linotype" w:hAnsi="Palatino Linotype" w:cs="Palatino Linotype"/>
          <w:color w:val="000000" w:themeColor="text1"/>
        </w:rPr>
        <w:t xml:space="preserve">a copia de las </w:t>
      </w:r>
      <w:r w:rsidR="006F1C9E" w:rsidRPr="003729AD">
        <w:rPr>
          <w:rFonts w:ascii="Palatino Linotype" w:eastAsia="Palatino Linotype" w:hAnsi="Palatino Linotype" w:cs="Palatino Linotype"/>
          <w:b/>
          <w:color w:val="000000" w:themeColor="text1"/>
        </w:rPr>
        <w:t>pólizas y/o comprobantes digitales de pagos realizados a particulares vía cheque o transferencia electrónica durante el mes de abril de 2025.</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E40FE1" w:rsidRPr="003729AD" w:rsidRDefault="007A03A6"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El </w:t>
      </w:r>
      <w:r w:rsidR="0010134C" w:rsidRPr="003729AD">
        <w:rPr>
          <w:rFonts w:ascii="Palatino Linotype" w:eastAsia="Palatino Linotype" w:hAnsi="Palatino Linotype" w:cs="Palatino Linotype"/>
          <w:b/>
          <w:color w:val="000000" w:themeColor="text1"/>
        </w:rPr>
        <w:t xml:space="preserve">SUJETO OBLIGADO </w:t>
      </w:r>
      <w:r w:rsidRPr="003729AD">
        <w:rPr>
          <w:rFonts w:ascii="Palatino Linotype" w:eastAsia="Palatino Linotype" w:hAnsi="Palatino Linotype" w:cs="Palatino Linotype"/>
          <w:color w:val="000000" w:themeColor="text1"/>
        </w:rPr>
        <w:t xml:space="preserve">emitió respuesta en términos del </w:t>
      </w:r>
      <w:r w:rsidRPr="003729AD">
        <w:rPr>
          <w:rFonts w:ascii="Palatino Linotype" w:eastAsia="Palatino Linotype" w:hAnsi="Palatino Linotype" w:cs="Palatino Linotype"/>
          <w:b/>
          <w:color w:val="000000" w:themeColor="text1"/>
        </w:rPr>
        <w:t>párrafo 3</w:t>
      </w:r>
      <w:r w:rsidRPr="003729AD">
        <w:rPr>
          <w:rFonts w:ascii="Palatino Linotype" w:eastAsia="Palatino Linotype" w:hAnsi="Palatino Linotype" w:cs="Palatino Linotype"/>
          <w:color w:val="000000" w:themeColor="text1"/>
        </w:rPr>
        <w:t xml:space="preserve"> de la presente resolución.</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color w:val="000000" w:themeColor="text1"/>
        </w:rPr>
        <w:t xml:space="preserve">Posteriormente, el </w:t>
      </w:r>
      <w:r w:rsidRPr="003729AD">
        <w:rPr>
          <w:rFonts w:ascii="Palatino Linotype" w:eastAsia="Palatino Linotype" w:hAnsi="Palatino Linotype" w:cs="Palatino Linotype"/>
          <w:b/>
          <w:color w:val="000000" w:themeColor="text1"/>
        </w:rPr>
        <w:t xml:space="preserve">RECURRENTE </w:t>
      </w:r>
      <w:r w:rsidRPr="003729AD">
        <w:rPr>
          <w:rFonts w:ascii="Palatino Linotype" w:eastAsia="Palatino Linotype" w:hAnsi="Palatino Linotype" w:cs="Palatino Linotype"/>
          <w:color w:val="000000" w:themeColor="text1"/>
        </w:rPr>
        <w:t xml:space="preserve">interpuso recurso de revisión en el que se inconformó por la </w:t>
      </w:r>
      <w:r w:rsidRPr="003729AD">
        <w:rPr>
          <w:rFonts w:ascii="Palatino Linotype" w:eastAsia="Palatino Linotype" w:hAnsi="Palatino Linotype" w:cs="Palatino Linotype"/>
          <w:b/>
          <w:color w:val="000000" w:themeColor="text1"/>
        </w:rPr>
        <w:t>negativa de la información solicitada.</w:t>
      </w:r>
    </w:p>
    <w:p w:rsidR="00E40FE1" w:rsidRPr="003729AD" w:rsidRDefault="00E40FE1" w:rsidP="003729AD">
      <w:pPr>
        <w:tabs>
          <w:tab w:val="left" w:pos="0"/>
        </w:tabs>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color w:val="000000" w:themeColor="text1"/>
        </w:rPr>
        <w:t xml:space="preserve">En dichas condiciones, la </w:t>
      </w:r>
      <w:r w:rsidRPr="003729AD">
        <w:rPr>
          <w:rFonts w:ascii="Palatino Linotype" w:eastAsia="Palatino Linotype" w:hAnsi="Palatino Linotype" w:cs="Palatino Linotype"/>
          <w:i/>
          <w:color w:val="000000" w:themeColor="text1"/>
        </w:rPr>
        <w:t>Litis</w:t>
      </w:r>
      <w:r w:rsidRPr="003729AD">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3729AD">
        <w:rPr>
          <w:rFonts w:ascii="Palatino Linotype" w:eastAsia="Palatino Linotype" w:hAnsi="Palatino Linotype" w:cs="Palatino Linotype"/>
          <w:b/>
          <w:color w:val="000000" w:themeColor="text1"/>
        </w:rPr>
        <w:t xml:space="preserve">fracción I </w:t>
      </w:r>
      <w:r w:rsidRPr="003729AD">
        <w:rPr>
          <w:rFonts w:ascii="Palatino Linotype" w:eastAsia="Palatino Linotype" w:hAnsi="Palatino Linotype" w:cs="Palatino Linotype"/>
          <w:color w:val="000000" w:themeColor="text1"/>
        </w:rPr>
        <w:t>de la Ley</w:t>
      </w:r>
      <w:r w:rsidRPr="003729AD">
        <w:rPr>
          <w:rFonts w:ascii="Palatino Linotype" w:eastAsia="Palatino Linotype" w:hAnsi="Palatino Linotype" w:cs="Palatino Linotype"/>
          <w:b/>
          <w:color w:val="000000" w:themeColor="text1"/>
        </w:rPr>
        <w:t xml:space="preserve"> de Transparencia y Acceso a la Información Pública del Estado de </w:t>
      </w:r>
      <w:r w:rsidRPr="003729AD">
        <w:rPr>
          <w:rFonts w:ascii="Palatino Linotype" w:eastAsia="Palatino Linotype" w:hAnsi="Palatino Linotype" w:cs="Palatino Linotype"/>
          <w:color w:val="000000" w:themeColor="text1"/>
        </w:rPr>
        <w:t>México</w:t>
      </w:r>
      <w:r w:rsidRPr="003729AD">
        <w:rPr>
          <w:rFonts w:ascii="Palatino Linotype" w:eastAsia="Palatino Linotype" w:hAnsi="Palatino Linotype" w:cs="Palatino Linotype"/>
          <w:b/>
          <w:color w:val="000000" w:themeColor="text1"/>
        </w:rPr>
        <w:t xml:space="preserve"> y Municipios</w:t>
      </w:r>
      <w:r w:rsidRPr="003729AD">
        <w:rPr>
          <w:rFonts w:ascii="Palatino Linotype" w:eastAsia="Palatino Linotype" w:hAnsi="Palatino Linotype" w:cs="Palatino Linotype"/>
          <w:color w:val="000000" w:themeColor="text1"/>
        </w:rPr>
        <w:t xml:space="preserve">; fracción que determina la hipótesis jurídica relativa a </w:t>
      </w:r>
      <w:r w:rsidRPr="003729AD">
        <w:rPr>
          <w:rFonts w:ascii="Palatino Linotype" w:eastAsia="Palatino Linotype" w:hAnsi="Palatino Linotype" w:cs="Palatino Linotype"/>
          <w:b/>
          <w:color w:val="000000" w:themeColor="text1"/>
        </w:rPr>
        <w:t>la negativa de la información solicitada.</w:t>
      </w:r>
    </w:p>
    <w:p w:rsidR="00E40FE1" w:rsidRPr="003729AD" w:rsidRDefault="00E40FE1" w:rsidP="003729AD">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themeColor="text1"/>
        </w:rPr>
      </w:pPr>
    </w:p>
    <w:p w:rsidR="00E40FE1" w:rsidRPr="003729AD" w:rsidRDefault="0010134C" w:rsidP="003729AD">
      <w:pPr>
        <w:pStyle w:val="Ttulo1"/>
        <w:tabs>
          <w:tab w:val="left" w:pos="0"/>
        </w:tabs>
        <w:spacing w:before="0" w:line="360" w:lineRule="auto"/>
        <w:rPr>
          <w:color w:val="000000" w:themeColor="text1"/>
        </w:rPr>
      </w:pPr>
      <w:r w:rsidRPr="003729AD">
        <w:rPr>
          <w:color w:val="000000" w:themeColor="text1"/>
        </w:rPr>
        <w:t>CUARTO. Del estudio y resolución del asunto.</w:t>
      </w: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Acotada la </w:t>
      </w:r>
      <w:r w:rsidRPr="003729AD">
        <w:rPr>
          <w:rFonts w:ascii="Palatino Linotype" w:eastAsia="Palatino Linotype" w:hAnsi="Palatino Linotype" w:cs="Palatino Linotype"/>
          <w:i/>
          <w:color w:val="000000" w:themeColor="text1"/>
        </w:rPr>
        <w:t>Litis</w:t>
      </w:r>
      <w:r w:rsidRPr="003729AD">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E40FE1" w:rsidRPr="003729AD" w:rsidRDefault="00E40FE1" w:rsidP="003729AD">
      <w:pP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F1C9E" w:rsidRPr="003729AD" w:rsidRDefault="006F1C9E"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lastRenderedPageBreak/>
        <w:t xml:space="preserve">Acotada la Litis del presente asunto, se reiterar la información solicitada por la parte </w:t>
      </w:r>
      <w:r w:rsidRPr="003729AD">
        <w:rPr>
          <w:rFonts w:ascii="Palatino Linotype" w:eastAsia="Palatino Linotype" w:hAnsi="Palatino Linotype" w:cs="Palatino Linotype"/>
          <w:b/>
          <w:color w:val="000000" w:themeColor="text1"/>
        </w:rPr>
        <w:t xml:space="preserve">RECURRENTE </w:t>
      </w:r>
      <w:r w:rsidRPr="003729AD">
        <w:rPr>
          <w:rFonts w:ascii="Palatino Linotype" w:eastAsia="Palatino Linotype" w:hAnsi="Palatino Linotype" w:cs="Palatino Linotype"/>
          <w:color w:val="000000" w:themeColor="text1"/>
        </w:rPr>
        <w:t xml:space="preserve">y la respuesta emitida por 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mediante el siguiente cuadro descriptivo</w:t>
      </w:r>
    </w:p>
    <w:p w:rsidR="00E40FE1" w:rsidRPr="003729AD" w:rsidRDefault="00E40FE1" w:rsidP="003729AD">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tbl>
      <w:tblPr>
        <w:tblStyle w:val="a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685"/>
        <w:gridCol w:w="2977"/>
      </w:tblGrid>
      <w:tr w:rsidR="003729AD" w:rsidRPr="003729AD" w:rsidTr="00BD63EE">
        <w:tc>
          <w:tcPr>
            <w:tcW w:w="2972" w:type="dxa"/>
            <w:shd w:val="clear" w:color="auto" w:fill="D9D9D9"/>
          </w:tcPr>
          <w:p w:rsidR="00E40FE1" w:rsidRPr="003729AD" w:rsidRDefault="0010134C" w:rsidP="003729AD">
            <w:pPr>
              <w:tabs>
                <w:tab w:val="left" w:pos="0"/>
              </w:tabs>
              <w:spacing w:line="360" w:lineRule="auto"/>
              <w:jc w:val="center"/>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Información solicitada</w:t>
            </w:r>
          </w:p>
        </w:tc>
        <w:tc>
          <w:tcPr>
            <w:tcW w:w="3685" w:type="dxa"/>
            <w:shd w:val="clear" w:color="auto" w:fill="D9D9D9"/>
          </w:tcPr>
          <w:p w:rsidR="00E40FE1" w:rsidRPr="003729AD" w:rsidRDefault="0010134C" w:rsidP="003729AD">
            <w:pPr>
              <w:tabs>
                <w:tab w:val="left" w:pos="0"/>
              </w:tabs>
              <w:spacing w:line="360" w:lineRule="auto"/>
              <w:jc w:val="center"/>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Respuesta</w:t>
            </w:r>
          </w:p>
        </w:tc>
        <w:tc>
          <w:tcPr>
            <w:tcW w:w="2977" w:type="dxa"/>
            <w:shd w:val="clear" w:color="auto" w:fill="D9D9D9"/>
          </w:tcPr>
          <w:p w:rsidR="00E40FE1" w:rsidRPr="003729AD" w:rsidRDefault="0010134C" w:rsidP="003729AD">
            <w:pPr>
              <w:tabs>
                <w:tab w:val="left" w:pos="0"/>
              </w:tabs>
              <w:spacing w:line="360" w:lineRule="auto"/>
              <w:jc w:val="center"/>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Comentario</w:t>
            </w:r>
          </w:p>
        </w:tc>
      </w:tr>
      <w:tr w:rsidR="00E40FE1" w:rsidRPr="003729AD" w:rsidTr="00BD63EE">
        <w:tc>
          <w:tcPr>
            <w:tcW w:w="2972" w:type="dxa"/>
          </w:tcPr>
          <w:p w:rsidR="006F1C9E" w:rsidRPr="003729AD" w:rsidRDefault="006F1C9E" w:rsidP="003729AD">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3729AD">
              <w:rPr>
                <w:rFonts w:ascii="Palatino Linotype" w:eastAsia="Palatino Linotype" w:hAnsi="Palatino Linotype" w:cs="Palatino Linotype"/>
                <w:b/>
                <w:color w:val="000000" w:themeColor="text1"/>
              </w:rPr>
              <w:t>Pólizas y/o comprobantes digitales de pagos realizados a particulares vía cheque o transferencia electrónica durante el mes de abril de 2025.</w:t>
            </w:r>
          </w:p>
          <w:p w:rsidR="00E40FE1" w:rsidRPr="003729AD" w:rsidRDefault="00E40FE1" w:rsidP="003729AD">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tc>
        <w:tc>
          <w:tcPr>
            <w:tcW w:w="3685" w:type="dxa"/>
          </w:tcPr>
          <w:p w:rsidR="00E40FE1" w:rsidRPr="003729AD" w:rsidRDefault="000C6EA9" w:rsidP="003729AD">
            <w:pPr>
              <w:tabs>
                <w:tab w:val="left" w:pos="0"/>
              </w:tabs>
              <w:jc w:val="both"/>
              <w:rPr>
                <w:rFonts w:ascii="Palatino Linotype" w:hAnsi="Palatino Linotype"/>
                <w:color w:val="000000" w:themeColor="text1"/>
              </w:rPr>
            </w:pPr>
            <w:r w:rsidRPr="003729AD">
              <w:rPr>
                <w:rFonts w:ascii="Palatino Linotype" w:hAnsi="Palatino Linotype"/>
                <w:color w:val="000000" w:themeColor="text1"/>
              </w:rPr>
              <w:t xml:space="preserve">La Directora de Egresos, informó que la Dirección a su cargo no realizó pagos a particulares, toda vez que su marco de actuación y las atribuciones que le fueron conferidas, </w:t>
            </w:r>
            <w:r w:rsidRPr="003729AD">
              <w:rPr>
                <w:rFonts w:ascii="Palatino Linotype" w:hAnsi="Palatino Linotype"/>
                <w:b/>
                <w:color w:val="000000" w:themeColor="text1"/>
              </w:rPr>
              <w:t>únicamente la faculta para efectuar pagos a proveedores</w:t>
            </w:r>
            <w:r w:rsidRPr="003729AD">
              <w:rPr>
                <w:rFonts w:ascii="Palatino Linotype" w:hAnsi="Palatino Linotype"/>
                <w:color w:val="000000" w:themeColor="text1"/>
              </w:rPr>
              <w:t xml:space="preserve"> debidamente registrados y/o a prestadores de servicios con los que se haya formalizado una relación contractual conforme a los procedimientos administrativos establecidos.</w:t>
            </w:r>
          </w:p>
        </w:tc>
        <w:tc>
          <w:tcPr>
            <w:tcW w:w="2977" w:type="dxa"/>
          </w:tcPr>
          <w:p w:rsidR="00E40FE1" w:rsidRPr="003729AD" w:rsidRDefault="00491D24" w:rsidP="003729AD">
            <w:pPr>
              <w:tabs>
                <w:tab w:val="left" w:pos="0"/>
              </w:tabs>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La respuesta emitida </w:t>
            </w:r>
            <w:r w:rsidRPr="003729AD">
              <w:rPr>
                <w:rFonts w:ascii="Palatino Linotype" w:eastAsia="Palatino Linotype" w:hAnsi="Palatino Linotype" w:cs="Palatino Linotype"/>
                <w:b/>
                <w:color w:val="000000" w:themeColor="text1"/>
              </w:rPr>
              <w:t xml:space="preserve">no colma </w:t>
            </w:r>
            <w:r w:rsidRPr="003729AD">
              <w:rPr>
                <w:rFonts w:ascii="Palatino Linotype" w:eastAsia="Palatino Linotype" w:hAnsi="Palatino Linotype" w:cs="Palatino Linotype"/>
                <w:color w:val="000000" w:themeColor="text1"/>
              </w:rPr>
              <w:t>el requerimiento de información, ya que no se proporcionó la información requerida.</w:t>
            </w:r>
          </w:p>
        </w:tc>
      </w:tr>
    </w:tbl>
    <w:p w:rsidR="00E40FE1" w:rsidRDefault="00E40FE1" w:rsidP="003729AD">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BD63EE" w:rsidRPr="003729AD" w:rsidRDefault="00BD63EE" w:rsidP="003729AD">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En consecuencia, el </w:t>
      </w:r>
      <w:r w:rsidRPr="003729AD">
        <w:rPr>
          <w:rFonts w:ascii="Palatino Linotype" w:eastAsia="Palatino Linotype" w:hAnsi="Palatino Linotype" w:cs="Palatino Linotype"/>
          <w:b/>
          <w:color w:val="000000" w:themeColor="text1"/>
        </w:rPr>
        <w:t xml:space="preserve">RECURRENTE </w:t>
      </w:r>
      <w:r w:rsidRPr="003729AD">
        <w:rPr>
          <w:rFonts w:ascii="Palatino Linotype" w:eastAsia="Palatino Linotype" w:hAnsi="Palatino Linotype" w:cs="Palatino Linotype"/>
          <w:color w:val="000000" w:themeColor="text1"/>
        </w:rPr>
        <w:t xml:space="preserve">interpuso recurso de revisión en el que se inconformó por </w:t>
      </w:r>
      <w:r w:rsidRPr="003729AD">
        <w:rPr>
          <w:rFonts w:ascii="Palatino Linotype" w:eastAsia="Palatino Linotype" w:hAnsi="Palatino Linotype" w:cs="Palatino Linotype"/>
          <w:b/>
          <w:color w:val="000000" w:themeColor="text1"/>
        </w:rPr>
        <w:t>la negativa de la información solicitada.</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B62AF" w:rsidRPr="003729AD" w:rsidRDefault="000C6EA9"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Así, mediante informe justificado 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xml:space="preserve"> remitió el Acta de la Décima Cuarta Sesión Extraordinaria del Comité de Transparencia de la Paz, por medio de la cual, se aprobó la clasificación de la información en su modalidad confidencial, para dar atención a la solicitud de información</w:t>
      </w:r>
      <w:r w:rsidR="007B62AF" w:rsidRPr="003729AD">
        <w:rPr>
          <w:rFonts w:ascii="Palatino Linotype" w:eastAsia="Palatino Linotype" w:hAnsi="Palatino Linotype" w:cs="Palatino Linotype"/>
          <w:color w:val="000000" w:themeColor="text1"/>
        </w:rPr>
        <w:t>. Por otro lado</w:t>
      </w:r>
      <w:r w:rsidRPr="003729AD">
        <w:rPr>
          <w:rFonts w:ascii="Palatino Linotype" w:eastAsia="Palatino Linotype" w:hAnsi="Palatino Linotype" w:cs="Palatino Linotype"/>
          <w:color w:val="000000" w:themeColor="text1"/>
        </w:rPr>
        <w:t>, remitió una prueba de daño</w:t>
      </w:r>
      <w:r w:rsidR="007B62AF" w:rsidRPr="003729AD">
        <w:rPr>
          <w:rFonts w:ascii="Palatino Linotype" w:eastAsia="Palatino Linotype" w:hAnsi="Palatino Linotype" w:cs="Palatino Linotype"/>
          <w:color w:val="000000" w:themeColor="text1"/>
        </w:rPr>
        <w:t xml:space="preserve"> relativa a la reserva de información que obra en la Tesorería Municipal y las Unidades </w:t>
      </w:r>
      <w:r w:rsidR="007B62AF" w:rsidRPr="003729AD">
        <w:rPr>
          <w:rFonts w:ascii="Palatino Linotype" w:eastAsia="Palatino Linotype" w:hAnsi="Palatino Linotype" w:cs="Palatino Linotype"/>
          <w:color w:val="000000" w:themeColor="text1"/>
        </w:rPr>
        <w:lastRenderedPageBreak/>
        <w:t>Administrativas correspondientes, respecto a la información solicitada, suscrita por el Director de Administración y Finanzas.</w:t>
      </w:r>
    </w:p>
    <w:p w:rsidR="000C6EA9" w:rsidRPr="003729AD" w:rsidRDefault="000C6EA9" w:rsidP="003729AD">
      <w:pPr>
        <w:tabs>
          <w:tab w:val="left" w:pos="0"/>
        </w:tabs>
        <w:rPr>
          <w:rFonts w:ascii="Palatino Linotype" w:eastAsia="Palatino Linotype" w:hAnsi="Palatino Linotype" w:cs="Palatino Linotype"/>
          <w:color w:val="000000" w:themeColor="text1"/>
        </w:rPr>
      </w:pPr>
    </w:p>
    <w:p w:rsidR="007B62AF"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En atención a lo expuesto, es necesario señalar que se obvia el análisis de la competencia por parte del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para generar, administrar o poseer la información solicitada, dado que éste ha a</w:t>
      </w:r>
      <w:r w:rsidR="007B62AF" w:rsidRPr="003729AD">
        <w:rPr>
          <w:rFonts w:ascii="Palatino Linotype" w:eastAsia="Palatino Linotype" w:hAnsi="Palatino Linotype" w:cs="Palatino Linotype"/>
          <w:color w:val="000000" w:themeColor="text1"/>
        </w:rPr>
        <w:t xml:space="preserve">sumido la misma, </w:t>
      </w:r>
      <w:r w:rsidR="007B62AF" w:rsidRPr="003729AD">
        <w:rPr>
          <w:rFonts w:ascii="Palatino Linotype" w:eastAsia="Palatino Linotype" w:hAnsi="Palatino Linotype" w:cs="Palatino Linotype"/>
          <w:b/>
          <w:color w:val="000000" w:themeColor="text1"/>
        </w:rPr>
        <w:t>tan es así que aprobó la clasificación de la información en su modalidad confidencial, para dar atención a la solicitud de información; no obstante, omitió hacer entrega de lo requerido.</w:t>
      </w:r>
    </w:p>
    <w:p w:rsidR="007B62AF" w:rsidRPr="003729AD" w:rsidRDefault="007B62AF"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Ahora bien, el hecho de que el</w:t>
      </w:r>
      <w:r w:rsidRPr="003729AD">
        <w:rPr>
          <w:rFonts w:ascii="Palatino Linotype" w:eastAsia="Palatino Linotype" w:hAnsi="Palatino Linotype" w:cs="Palatino Linotype"/>
          <w:b/>
          <w:color w:val="000000" w:themeColor="text1"/>
        </w:rPr>
        <w:t xml:space="preserve"> SUJETO OBLIGADO</w:t>
      </w:r>
      <w:r w:rsidRPr="003729AD">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40FE1" w:rsidRPr="003729AD" w:rsidRDefault="0010134C" w:rsidP="003729AD">
      <w:pPr>
        <w:shd w:val="clear" w:color="auto" w:fill="FFFFFF"/>
        <w:tabs>
          <w:tab w:val="left" w:pos="0"/>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i/>
          <w:color w:val="000000" w:themeColor="text1"/>
        </w:rPr>
        <w:t>“</w:t>
      </w:r>
      <w:r w:rsidRPr="003729AD">
        <w:rPr>
          <w:rFonts w:ascii="Palatino Linotype" w:eastAsia="Palatino Linotype" w:hAnsi="Palatino Linotype" w:cs="Palatino Linotype"/>
          <w:b/>
          <w:i/>
          <w:color w:val="000000" w:themeColor="text1"/>
        </w:rPr>
        <w:t>Artículo 12.</w:t>
      </w:r>
      <w:r w:rsidRPr="003729AD">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E40FE1" w:rsidRPr="003729AD" w:rsidRDefault="00E40FE1" w:rsidP="003729AD">
      <w:pPr>
        <w:shd w:val="clear" w:color="auto" w:fill="FFFFFF"/>
        <w:tabs>
          <w:tab w:val="left" w:pos="0"/>
        </w:tabs>
        <w:ind w:left="567"/>
        <w:jc w:val="both"/>
        <w:rPr>
          <w:rFonts w:ascii="Palatino Linotype" w:eastAsia="Palatino Linotype" w:hAnsi="Palatino Linotype" w:cs="Palatino Linotype"/>
          <w:color w:val="000000" w:themeColor="text1"/>
        </w:rPr>
      </w:pPr>
    </w:p>
    <w:p w:rsidR="00E40FE1" w:rsidRPr="003729AD" w:rsidRDefault="0010134C" w:rsidP="003729AD">
      <w:pPr>
        <w:shd w:val="clear" w:color="auto" w:fill="FFFFFF"/>
        <w:tabs>
          <w:tab w:val="left" w:pos="0"/>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F1C9E" w:rsidRPr="003729AD" w:rsidRDefault="006F1C9E" w:rsidP="003729AD">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rsidR="006F1C9E"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Precisado lo anterior, resulta conveniente mencionar que </w:t>
      </w:r>
      <w:r w:rsidR="006F1C9E" w:rsidRPr="003729AD">
        <w:rPr>
          <w:rFonts w:ascii="Palatino Linotype" w:hAnsi="Palatino Linotype"/>
          <w:color w:val="000000" w:themeColor="text1"/>
        </w:rPr>
        <w:t xml:space="preserve">los artículos 342, 343, 344 y 345, del Código Financiero del Estado de México y Municipios, disponen el sistema y las políticas que deben seguirse para llevar el registro contable y presupuestal de las </w:t>
      </w:r>
      <w:r w:rsidR="006F1C9E" w:rsidRPr="003729AD">
        <w:rPr>
          <w:rFonts w:ascii="Palatino Linotype" w:hAnsi="Palatino Linotype"/>
          <w:color w:val="000000" w:themeColor="text1"/>
        </w:rPr>
        <w:lastRenderedPageBreak/>
        <w:t>operaciones financieras que llevan a cabo los Municipios del Estado de México, en los siguientes términos:</w:t>
      </w:r>
    </w:p>
    <w:p w:rsidR="006F1C9E" w:rsidRPr="003729AD" w:rsidRDefault="006F1C9E" w:rsidP="003729AD">
      <w:pPr>
        <w:tabs>
          <w:tab w:val="left" w:pos="0"/>
        </w:tabs>
        <w:ind w:left="567"/>
        <w:contextualSpacing/>
        <w:jc w:val="both"/>
        <w:rPr>
          <w:rFonts w:ascii="Palatino Linotype" w:eastAsia="Arial Unicode MS" w:hAnsi="Palatino Linotype"/>
          <w:i/>
          <w:color w:val="000000" w:themeColor="text1"/>
          <w:kern w:val="28"/>
        </w:rPr>
      </w:pPr>
      <w:r w:rsidRPr="003729AD">
        <w:rPr>
          <w:rFonts w:ascii="Palatino Linotype" w:eastAsia="Arial Unicode MS" w:hAnsi="Palatino Linotype"/>
          <w:i/>
          <w:color w:val="000000" w:themeColor="text1"/>
          <w:kern w:val="28"/>
        </w:rPr>
        <w:t>“</w:t>
      </w:r>
      <w:r w:rsidRPr="003729AD">
        <w:rPr>
          <w:rFonts w:ascii="Palatino Linotype" w:eastAsia="Arial Unicode MS" w:hAnsi="Palatino Linotype"/>
          <w:b/>
          <w:i/>
          <w:color w:val="000000" w:themeColor="text1"/>
          <w:kern w:val="28"/>
        </w:rPr>
        <w:t>Artículo 342.-</w:t>
      </w:r>
      <w:r w:rsidRPr="003729AD">
        <w:rPr>
          <w:rFonts w:ascii="Palatino Linotype" w:eastAsia="Arial Unicode MS" w:hAnsi="Palatino Linotype"/>
          <w:i/>
          <w:color w:val="000000" w:themeColor="text1"/>
          <w:kern w:val="28"/>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6F1C9E" w:rsidRPr="003729AD" w:rsidRDefault="006F1C9E" w:rsidP="003729AD">
      <w:pPr>
        <w:tabs>
          <w:tab w:val="left" w:pos="0"/>
        </w:tabs>
        <w:ind w:left="567"/>
        <w:jc w:val="both"/>
        <w:rPr>
          <w:rFonts w:ascii="Palatino Linotype" w:eastAsia="Arial Unicode MS" w:hAnsi="Palatino Linotype"/>
          <w:color w:val="000000" w:themeColor="text1"/>
        </w:rPr>
      </w:pPr>
    </w:p>
    <w:p w:rsidR="006F1C9E" w:rsidRPr="003729AD" w:rsidRDefault="006F1C9E" w:rsidP="003729AD">
      <w:pPr>
        <w:tabs>
          <w:tab w:val="left" w:pos="0"/>
        </w:tabs>
        <w:ind w:left="567"/>
        <w:contextualSpacing/>
        <w:jc w:val="both"/>
        <w:rPr>
          <w:rFonts w:ascii="Palatino Linotype" w:eastAsia="Arial Unicode MS" w:hAnsi="Palatino Linotype"/>
          <w:b/>
          <w:i/>
          <w:color w:val="000000" w:themeColor="text1"/>
          <w:kern w:val="28"/>
        </w:rPr>
      </w:pPr>
      <w:r w:rsidRPr="003729AD">
        <w:rPr>
          <w:rFonts w:ascii="Palatino Linotype" w:eastAsia="Arial Unicode MS" w:hAnsi="Palatino Linotype"/>
          <w:b/>
          <w:i/>
          <w:color w:val="000000" w:themeColor="text1"/>
          <w:kern w:val="28"/>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rsidR="006F1C9E" w:rsidRPr="003729AD" w:rsidRDefault="006F1C9E" w:rsidP="003729AD">
      <w:pPr>
        <w:tabs>
          <w:tab w:val="left" w:pos="0"/>
        </w:tabs>
        <w:ind w:left="567"/>
        <w:jc w:val="both"/>
        <w:rPr>
          <w:rFonts w:ascii="Palatino Linotype" w:eastAsia="Arial Unicode MS" w:hAnsi="Palatino Linotype" w:cs="Arial"/>
          <w:b/>
          <w:i/>
          <w:color w:val="000000" w:themeColor="text1"/>
        </w:rPr>
      </w:pP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Artículo 343.-</w:t>
      </w:r>
      <w:r w:rsidRPr="003729AD">
        <w:rPr>
          <w:rFonts w:ascii="Palatino Linotype" w:hAnsi="Palatino Linotype"/>
          <w:i/>
          <w:color w:val="000000" w:themeColor="text1"/>
          <w:kern w:val="28"/>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6F1C9E" w:rsidRPr="003729AD" w:rsidRDefault="006F1C9E" w:rsidP="003729AD">
      <w:pPr>
        <w:tabs>
          <w:tab w:val="left" w:pos="0"/>
        </w:tabs>
        <w:ind w:left="567"/>
        <w:contextualSpacing/>
        <w:jc w:val="both"/>
        <w:rPr>
          <w:rFonts w:ascii="Palatino Linotype" w:eastAsia="Arial Unicode MS" w:hAnsi="Palatino Linotype" w:cs="Arial"/>
          <w:b/>
          <w:i/>
          <w:color w:val="000000" w:themeColor="text1"/>
          <w:kern w:val="28"/>
        </w:rPr>
      </w:pPr>
      <w:r w:rsidRPr="003729AD">
        <w:rPr>
          <w:rFonts w:ascii="Palatino Linotype" w:hAnsi="Palatino Linotype"/>
          <w:i/>
          <w:color w:val="000000" w:themeColor="text1"/>
          <w:kern w:val="28"/>
        </w:rPr>
        <w:t>El sistema de contabilidad sobre base acumulativa total, se sustentará en las normas emitidas por el Consejo Nacional de Armonización Contable.</w:t>
      </w:r>
    </w:p>
    <w:p w:rsidR="006F1C9E" w:rsidRPr="003729AD" w:rsidRDefault="006F1C9E" w:rsidP="003729AD">
      <w:pPr>
        <w:tabs>
          <w:tab w:val="left" w:pos="0"/>
        </w:tabs>
        <w:ind w:left="567"/>
        <w:contextualSpacing/>
        <w:jc w:val="both"/>
        <w:rPr>
          <w:rFonts w:ascii="Palatino Linotype" w:hAnsi="Palatino Linotype"/>
          <w:b/>
          <w:i/>
          <w:color w:val="000000" w:themeColor="text1"/>
          <w:kern w:val="28"/>
        </w:rPr>
      </w:pP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Artículo 344.-</w:t>
      </w:r>
      <w:r w:rsidRPr="003729AD">
        <w:rPr>
          <w:rFonts w:ascii="Palatino Linotype" w:hAnsi="Palatino Linotype"/>
          <w:i/>
          <w:color w:val="000000" w:themeColor="text1"/>
          <w:kern w:val="28"/>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rsidR="006F1C9E" w:rsidRPr="003729AD" w:rsidRDefault="006F1C9E" w:rsidP="003729AD">
      <w:pPr>
        <w:tabs>
          <w:tab w:val="left" w:pos="0"/>
        </w:tabs>
        <w:ind w:left="567"/>
        <w:contextualSpacing/>
        <w:jc w:val="both"/>
        <w:rPr>
          <w:rFonts w:ascii="Palatino Linotype" w:eastAsia="Arial Unicode MS" w:hAnsi="Palatino Linotype" w:cs="Arial"/>
          <w:i/>
          <w:color w:val="000000" w:themeColor="text1"/>
          <w:kern w:val="28"/>
        </w:rPr>
      </w:pPr>
      <w:r w:rsidRPr="003729AD">
        <w:rPr>
          <w:rFonts w:ascii="Palatino Linotype" w:hAnsi="Palatino Linotype"/>
          <w:i/>
          <w:color w:val="000000" w:themeColor="text1"/>
          <w:kern w:val="28"/>
        </w:rPr>
        <w:t>En el caso de los Municipios, dicha obligación corresponderá a la Tesorería.</w:t>
      </w:r>
      <w:r w:rsidRPr="003729AD">
        <w:rPr>
          <w:rFonts w:ascii="Palatino Linotype" w:eastAsia="Arial Unicode MS" w:hAnsi="Palatino Linotype" w:cs="Arial"/>
          <w:i/>
          <w:color w:val="000000" w:themeColor="text1"/>
          <w:kern w:val="28"/>
        </w:rPr>
        <w:t xml:space="preserve">Tratándose de documentos de carácter histórico, se estará a lo dispuesto por la legislación de la materia. </w:t>
      </w:r>
    </w:p>
    <w:p w:rsidR="006F1C9E" w:rsidRPr="003729AD" w:rsidRDefault="006F1C9E" w:rsidP="003729AD">
      <w:pPr>
        <w:tabs>
          <w:tab w:val="left" w:pos="0"/>
        </w:tabs>
        <w:ind w:left="567"/>
        <w:jc w:val="both"/>
        <w:rPr>
          <w:rFonts w:ascii="Palatino Linotype" w:eastAsia="Arial Unicode MS" w:hAnsi="Palatino Linotype" w:cs="Arial"/>
          <w:b/>
          <w:i/>
          <w:color w:val="000000" w:themeColor="text1"/>
        </w:rPr>
      </w:pP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Artículo 345.-</w:t>
      </w:r>
      <w:r w:rsidRPr="003729AD">
        <w:rPr>
          <w:rFonts w:ascii="Palatino Linotype" w:hAnsi="Palatino Linotype"/>
          <w:i/>
          <w:color w:val="000000" w:themeColor="text1"/>
          <w:kern w:val="28"/>
        </w:rPr>
        <w:t xml:space="preserve"> Las Dependencias y sus unidades administrativas; deberán conservar la documentación contable del año en curso y la de ejercicios anteriores, cuyas cuentas públicas </w:t>
      </w:r>
      <w:r w:rsidRPr="003729AD">
        <w:rPr>
          <w:rFonts w:ascii="Palatino Linotype" w:hAnsi="Palatino Linotype"/>
          <w:i/>
          <w:color w:val="000000" w:themeColor="text1"/>
          <w:kern w:val="28"/>
        </w:rPr>
        <w:lastRenderedPageBreak/>
        <w:t xml:space="preserve">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6F1C9E" w:rsidRPr="003729AD" w:rsidRDefault="006F1C9E" w:rsidP="003729AD">
      <w:pPr>
        <w:tabs>
          <w:tab w:val="left" w:pos="0"/>
        </w:tabs>
        <w:ind w:left="567"/>
        <w:jc w:val="both"/>
        <w:rPr>
          <w:rFonts w:ascii="Palatino Linotype" w:hAnsi="Palatino Linotype"/>
          <w:color w:val="000000" w:themeColor="text1"/>
        </w:rPr>
      </w:pPr>
    </w:p>
    <w:p w:rsidR="006F1C9E" w:rsidRPr="003729AD" w:rsidRDefault="006F1C9E" w:rsidP="003729AD">
      <w:pPr>
        <w:tabs>
          <w:tab w:val="left" w:pos="0"/>
        </w:tabs>
        <w:ind w:left="567"/>
        <w:contextualSpacing/>
        <w:jc w:val="both"/>
        <w:rPr>
          <w:rFonts w:ascii="Palatino Linotype" w:eastAsia="Arial Unicode MS" w:hAnsi="Palatino Linotype"/>
          <w:i/>
          <w:color w:val="000000" w:themeColor="text1"/>
          <w:kern w:val="28"/>
        </w:rPr>
      </w:pPr>
      <w:r w:rsidRPr="003729AD">
        <w:rPr>
          <w:rFonts w:ascii="Palatino Linotype" w:hAnsi="Palatino Linotype"/>
          <w:i/>
          <w:color w:val="000000" w:themeColor="text1"/>
          <w:kern w:val="28"/>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3729AD">
        <w:rPr>
          <w:rFonts w:ascii="Palatino Linotype" w:eastAsia="Arial Unicode MS" w:hAnsi="Palatino Linotype"/>
          <w:i/>
          <w:color w:val="000000" w:themeColor="text1"/>
          <w:kern w:val="28"/>
        </w:rPr>
        <w:t xml:space="preserve"> (Énfasis añadido)</w:t>
      </w:r>
    </w:p>
    <w:p w:rsidR="006F1C9E" w:rsidRPr="003729AD" w:rsidRDefault="006F1C9E" w:rsidP="003729AD">
      <w:pPr>
        <w:tabs>
          <w:tab w:val="left" w:pos="0"/>
        </w:tabs>
        <w:rPr>
          <w:rFonts w:ascii="Palatino Linotype" w:eastAsia="Arial Unicode MS" w:hAnsi="Palatino Linotype" w:cs="Arial"/>
          <w:i/>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color w:val="000000" w:themeColor="text1"/>
        </w:rPr>
      </w:pPr>
      <w:r w:rsidRPr="003729AD">
        <w:rPr>
          <w:rFonts w:ascii="Palatino Linotype" w:hAnsi="Palatino Linotype" w:cs="Arial"/>
          <w:color w:val="000000" w:themeColor="text1"/>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rsidR="006F1C9E" w:rsidRPr="003729AD" w:rsidRDefault="006F1C9E" w:rsidP="003729AD">
      <w:pPr>
        <w:tabs>
          <w:tab w:val="left" w:pos="0"/>
        </w:tabs>
        <w:spacing w:line="360" w:lineRule="auto"/>
        <w:jc w:val="both"/>
        <w:rPr>
          <w:rFonts w:ascii="Palatino Linotype" w:hAnsi="Palatino Linotype" w:cs="Arial"/>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color w:val="000000" w:themeColor="text1"/>
        </w:rPr>
      </w:pPr>
      <w:r w:rsidRPr="003729AD">
        <w:rPr>
          <w:rFonts w:ascii="Palatino Linotype" w:hAnsi="Palatino Linotype" w:cs="Arial"/>
          <w:color w:val="000000" w:themeColor="text1"/>
        </w:rPr>
        <w:t>Asimismo, se establece que el sistema de contabilidad sobre base acumulativa total se sustentará en las normas emitidas por el Consejo Nacional de Armonización Contable.</w:t>
      </w:r>
    </w:p>
    <w:p w:rsidR="006F1C9E" w:rsidRPr="003729AD" w:rsidRDefault="006F1C9E" w:rsidP="003729AD">
      <w:pPr>
        <w:tabs>
          <w:tab w:val="left" w:pos="0"/>
        </w:tabs>
        <w:spacing w:line="360" w:lineRule="auto"/>
        <w:jc w:val="both"/>
        <w:rPr>
          <w:rFonts w:ascii="Palatino Linotype" w:hAnsi="Palatino Linotype" w:cs="Arial"/>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b/>
          <w:color w:val="000000" w:themeColor="text1"/>
        </w:rPr>
      </w:pPr>
      <w:r w:rsidRPr="003729AD">
        <w:rPr>
          <w:rFonts w:ascii="Palatino Linotype" w:hAnsi="Palatino Linotype" w:cs="Arial"/>
          <w:color w:val="000000" w:themeColor="text1"/>
        </w:rPr>
        <w:t xml:space="preserve">Igualmente, los preceptos legales citados señalan que en el caso de los Municipios es la </w:t>
      </w:r>
      <w:r w:rsidRPr="003729AD">
        <w:rPr>
          <w:rFonts w:ascii="Palatino Linotype" w:hAnsi="Palatino Linotype" w:cs="Arial"/>
          <w:b/>
          <w:color w:val="000000" w:themeColor="text1"/>
        </w:rPr>
        <w:t>Tesorería Municipal</w:t>
      </w:r>
      <w:r w:rsidRPr="003729AD">
        <w:rPr>
          <w:rFonts w:ascii="Palatino Linotype" w:hAnsi="Palatino Linotype" w:cs="Arial"/>
          <w:color w:val="000000" w:themeColor="text1"/>
        </w:rPr>
        <w:t xml:space="preserve"> la unidad administrativa que registra contablemente el efecto patrimonial y presupuestal de las operaciones financieras que realizan, en </w:t>
      </w:r>
      <w:r w:rsidRPr="003729AD">
        <w:rPr>
          <w:rFonts w:ascii="Palatino Linotype" w:hAnsi="Palatino Linotype" w:cs="Arial"/>
          <w:b/>
          <w:color w:val="000000" w:themeColor="text1"/>
        </w:rPr>
        <w:t>el momento en que ocurran, con base en el sistema y políticas de registro establecidas</w:t>
      </w:r>
      <w:r w:rsidRPr="003729AD">
        <w:rPr>
          <w:rFonts w:ascii="Palatino Linotype" w:hAnsi="Palatino Linotype" w:cs="Arial"/>
          <w:color w:val="000000" w:themeColor="text1"/>
        </w:rPr>
        <w:t>.</w:t>
      </w:r>
    </w:p>
    <w:p w:rsidR="006F1C9E" w:rsidRPr="003729AD" w:rsidRDefault="006F1C9E" w:rsidP="003729AD">
      <w:pPr>
        <w:tabs>
          <w:tab w:val="left" w:pos="0"/>
        </w:tabs>
        <w:spacing w:line="360" w:lineRule="auto"/>
        <w:jc w:val="both"/>
        <w:rPr>
          <w:rFonts w:ascii="Palatino Linotype" w:hAnsi="Palatino Linotype" w:cs="Arial"/>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color w:val="000000" w:themeColor="text1"/>
        </w:rPr>
      </w:pPr>
      <w:r w:rsidRPr="003729AD">
        <w:rPr>
          <w:rFonts w:ascii="Palatino Linotype" w:hAnsi="Palatino Linotype" w:cs="Arial"/>
          <w:color w:val="000000" w:themeColor="text1"/>
        </w:rPr>
        <w:t xml:space="preserve">Cabe destacar, que el ordenamiento legal en cita establece que todo registro contable y presupuestal deberá estar soportado con los </w:t>
      </w:r>
      <w:r w:rsidRPr="003729AD">
        <w:rPr>
          <w:rFonts w:ascii="Palatino Linotype" w:hAnsi="Palatino Linotype" w:cs="Arial"/>
          <w:b/>
          <w:color w:val="000000" w:themeColor="text1"/>
        </w:rPr>
        <w:t xml:space="preserve">documentos comprobatorios originales, </w:t>
      </w:r>
      <w:r w:rsidRPr="003729AD">
        <w:rPr>
          <w:rFonts w:ascii="Palatino Linotype" w:hAnsi="Palatino Linotype" w:cs="Arial"/>
          <w:b/>
          <w:color w:val="000000" w:themeColor="text1"/>
        </w:rPr>
        <w:lastRenderedPageBreak/>
        <w:t>copias certificadas o en medios electrónicos, según corresponda, como lo son las facturas o comprobantes fiscales digitales por internet, los que deberán permanecer en custodia y conservación de la Tesorería Municipal</w:t>
      </w:r>
      <w:r w:rsidRPr="003729AD">
        <w:rPr>
          <w:rFonts w:ascii="Palatino Linotype" w:hAnsi="Palatino Linotype" w:cs="Arial"/>
          <w:color w:val="000000" w:themeColor="text1"/>
        </w:rPr>
        <w:t xml:space="preserve">, en el caso de los municipios, y a disposición del Órgano Superior de Fiscalización del Estado de México y de los Órganos de Control Interno, por un término de </w:t>
      </w:r>
      <w:r w:rsidRPr="003729AD">
        <w:rPr>
          <w:rFonts w:ascii="Palatino Linotype" w:hAnsi="Palatino Linotype" w:cs="Arial"/>
          <w:b/>
          <w:color w:val="000000" w:themeColor="text1"/>
        </w:rPr>
        <w:t>seis años</w:t>
      </w:r>
      <w:r w:rsidRPr="003729AD">
        <w:rPr>
          <w:rFonts w:ascii="Palatino Linotype" w:hAnsi="Palatino Linotype" w:cs="Arial"/>
          <w:color w:val="000000" w:themeColor="text1"/>
        </w:rPr>
        <w:t xml:space="preserve"> contados a partir del ejercicio presupuestal siguiente al que corresponda.</w:t>
      </w:r>
    </w:p>
    <w:p w:rsidR="006F1C9E" w:rsidRPr="003729AD" w:rsidRDefault="006F1C9E" w:rsidP="003729AD">
      <w:pPr>
        <w:tabs>
          <w:tab w:val="left" w:pos="0"/>
        </w:tabs>
        <w:spacing w:line="360" w:lineRule="auto"/>
        <w:jc w:val="both"/>
        <w:rPr>
          <w:rFonts w:ascii="Palatino Linotype" w:hAnsi="Palatino Linotype"/>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color w:val="000000" w:themeColor="text1"/>
        </w:rPr>
      </w:pPr>
      <w:r w:rsidRPr="003729AD">
        <w:rPr>
          <w:rFonts w:ascii="Palatino Linotype" w:hAnsi="Palatino Linotype" w:cs="Arial"/>
          <w:color w:val="000000" w:themeColor="text1"/>
        </w:rPr>
        <w:t xml:space="preserve">Respecto al tema materia de la solicitud,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6F1C9E" w:rsidRPr="003729AD" w:rsidRDefault="006F1C9E" w:rsidP="003729AD">
      <w:pPr>
        <w:tabs>
          <w:tab w:val="left" w:pos="0"/>
        </w:tabs>
        <w:ind w:left="567"/>
        <w:contextualSpacing/>
        <w:rPr>
          <w:rFonts w:ascii="Palatino Linotype" w:eastAsia="Arial Unicode MS" w:hAnsi="Palatino Linotype"/>
          <w:i/>
          <w:color w:val="000000" w:themeColor="text1"/>
          <w:kern w:val="28"/>
        </w:rPr>
      </w:pPr>
      <w:r w:rsidRPr="003729AD">
        <w:rPr>
          <w:rFonts w:ascii="Palatino Linotype" w:eastAsia="Arial Unicode MS" w:hAnsi="Palatino Linotype"/>
          <w:i/>
          <w:color w:val="000000" w:themeColor="text1"/>
          <w:kern w:val="28"/>
        </w:rPr>
        <w:t>“</w:t>
      </w:r>
      <w:r w:rsidRPr="003729AD">
        <w:rPr>
          <w:rFonts w:ascii="Palatino Linotype" w:eastAsia="Arial Unicode MS" w:hAnsi="Palatino Linotype"/>
          <w:b/>
          <w:i/>
          <w:color w:val="000000" w:themeColor="text1"/>
          <w:kern w:val="28"/>
        </w:rPr>
        <w:t>REGISTRO CONTABLE</w:t>
      </w:r>
      <w:r w:rsidRPr="003729AD">
        <w:rPr>
          <w:rFonts w:ascii="Palatino Linotype" w:eastAsia="Arial Unicode MS" w:hAnsi="Palatino Linotype"/>
          <w:i/>
          <w:color w:val="000000" w:themeColor="text1"/>
          <w:kern w:val="28"/>
        </w:rPr>
        <w:t xml:space="preserve"> </w:t>
      </w:r>
    </w:p>
    <w:p w:rsidR="006F1C9E" w:rsidRPr="003729AD" w:rsidRDefault="006F1C9E" w:rsidP="003729AD">
      <w:pPr>
        <w:tabs>
          <w:tab w:val="left" w:pos="0"/>
        </w:tabs>
        <w:ind w:left="567"/>
        <w:contextualSpacing/>
        <w:rPr>
          <w:rFonts w:ascii="Palatino Linotype" w:eastAsia="Arial Unicode MS" w:hAnsi="Palatino Linotype"/>
          <w:i/>
          <w:color w:val="000000" w:themeColor="text1"/>
          <w:kern w:val="28"/>
        </w:rPr>
      </w:pPr>
      <w:r w:rsidRPr="003729AD">
        <w:rPr>
          <w:rFonts w:ascii="Palatino Linotype" w:eastAsia="Arial Unicode MS" w:hAnsi="Palatino Linotype"/>
          <w:i/>
          <w:color w:val="000000" w:themeColor="text1"/>
          <w:kern w:val="28"/>
        </w:rPr>
        <w:t>Asiento que se realiza en los libros de contabilidad de las actividades relacionadas con el ingreso y egresos de un ente económico.”</w:t>
      </w:r>
    </w:p>
    <w:p w:rsidR="006F1C9E" w:rsidRPr="003729AD" w:rsidRDefault="006F1C9E" w:rsidP="003729AD">
      <w:pPr>
        <w:tabs>
          <w:tab w:val="left" w:pos="0"/>
        </w:tabs>
        <w:ind w:left="567"/>
        <w:contextualSpacing/>
        <w:rPr>
          <w:rFonts w:ascii="Palatino Linotype" w:eastAsia="Arial Unicode MS" w:hAnsi="Palatino Linotype"/>
          <w:i/>
          <w:color w:val="000000" w:themeColor="text1"/>
          <w:kern w:val="28"/>
        </w:rPr>
      </w:pPr>
      <w:r w:rsidRPr="003729AD">
        <w:rPr>
          <w:rFonts w:ascii="Palatino Linotype" w:eastAsia="Arial Unicode MS" w:hAnsi="Palatino Linotype"/>
          <w:i/>
          <w:color w:val="000000" w:themeColor="text1"/>
          <w:kern w:val="28"/>
        </w:rPr>
        <w:t>“</w:t>
      </w:r>
      <w:r w:rsidRPr="003729AD">
        <w:rPr>
          <w:rFonts w:ascii="Palatino Linotype" w:eastAsia="Arial Unicode MS" w:hAnsi="Palatino Linotype"/>
          <w:b/>
          <w:i/>
          <w:color w:val="000000" w:themeColor="text1"/>
          <w:kern w:val="28"/>
        </w:rPr>
        <w:t>REGISTRO PRESUPUESTARIO</w:t>
      </w:r>
    </w:p>
    <w:p w:rsidR="006F1C9E" w:rsidRPr="003729AD" w:rsidRDefault="006F1C9E" w:rsidP="003729AD">
      <w:pPr>
        <w:tabs>
          <w:tab w:val="left" w:pos="0"/>
        </w:tabs>
        <w:ind w:left="567"/>
        <w:contextualSpacing/>
        <w:rPr>
          <w:rFonts w:ascii="Palatino Linotype" w:eastAsia="Arial Unicode MS" w:hAnsi="Palatino Linotype"/>
          <w:i/>
          <w:color w:val="000000" w:themeColor="text1"/>
          <w:kern w:val="28"/>
        </w:rPr>
      </w:pPr>
      <w:r w:rsidRPr="003729AD">
        <w:rPr>
          <w:rFonts w:ascii="Palatino Linotype" w:eastAsia="Arial Unicode MS" w:hAnsi="Palatino Linotype"/>
          <w:i/>
          <w:color w:val="000000" w:themeColor="text1"/>
          <w:kern w:val="28"/>
        </w:rPr>
        <w:t>Asiento contable de las erogaciones realizadas por las dependencias y entidades con relación a la asignación, modificación y ejercicio de los recursos presupuestarios que se les hayan autorizado.”</w:t>
      </w:r>
    </w:p>
    <w:p w:rsidR="006F1C9E" w:rsidRPr="003729AD" w:rsidRDefault="006F1C9E" w:rsidP="003729AD">
      <w:pPr>
        <w:tabs>
          <w:tab w:val="left" w:pos="0"/>
        </w:tabs>
        <w:rPr>
          <w:rFonts w:ascii="Palatino Linotype" w:eastAsia="Arial Unicode MS" w:hAnsi="Palatino Linotype" w:cs="Arial"/>
          <w:i/>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color w:val="000000" w:themeColor="text1"/>
        </w:rPr>
      </w:pPr>
      <w:r w:rsidRPr="003729AD">
        <w:rPr>
          <w:rFonts w:ascii="Palatino Linotype" w:hAnsi="Palatino Linotype" w:cs="Arial"/>
          <w:color w:val="000000" w:themeColor="text1"/>
        </w:rPr>
        <w:lastRenderedPageBreak/>
        <w:t>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rsidR="006F1C9E" w:rsidRPr="003729AD" w:rsidRDefault="006F1C9E" w:rsidP="003729AD">
      <w:pPr>
        <w:tabs>
          <w:tab w:val="left" w:pos="0"/>
        </w:tabs>
        <w:ind w:left="567"/>
        <w:contextualSpacing/>
        <w:rPr>
          <w:rFonts w:ascii="Palatino Linotype" w:eastAsia="Arial Unicode MS" w:hAnsi="Palatino Linotype"/>
          <w:b/>
          <w:i/>
          <w:color w:val="000000" w:themeColor="text1"/>
          <w:kern w:val="28"/>
        </w:rPr>
      </w:pPr>
      <w:r w:rsidRPr="003729AD">
        <w:rPr>
          <w:rFonts w:ascii="Palatino Linotype" w:eastAsia="Arial Unicode MS" w:hAnsi="Palatino Linotype"/>
          <w:i/>
          <w:color w:val="000000" w:themeColor="text1"/>
          <w:kern w:val="28"/>
        </w:rPr>
        <w:t>“</w:t>
      </w:r>
      <w:r w:rsidRPr="003729AD">
        <w:rPr>
          <w:rFonts w:ascii="Palatino Linotype" w:eastAsia="Arial Unicode MS" w:hAnsi="Palatino Linotype"/>
          <w:b/>
          <w:i/>
          <w:color w:val="000000" w:themeColor="text1"/>
          <w:kern w:val="28"/>
        </w:rPr>
        <w:t>PÓLIZA CONTABLE</w:t>
      </w:r>
    </w:p>
    <w:p w:rsidR="006F1C9E" w:rsidRPr="003729AD" w:rsidRDefault="006F1C9E" w:rsidP="003729AD">
      <w:pPr>
        <w:tabs>
          <w:tab w:val="left" w:pos="0"/>
        </w:tabs>
        <w:ind w:left="567"/>
        <w:contextualSpacing/>
        <w:rPr>
          <w:rFonts w:ascii="Palatino Linotype" w:eastAsia="Arial Unicode MS" w:hAnsi="Palatino Linotype"/>
          <w:i/>
          <w:color w:val="000000" w:themeColor="text1"/>
          <w:kern w:val="28"/>
        </w:rPr>
      </w:pPr>
      <w:r w:rsidRPr="003729AD">
        <w:rPr>
          <w:rFonts w:ascii="Palatino Linotype" w:eastAsia="Arial Unicode MS" w:hAnsi="Palatino Linotype"/>
          <w:i/>
          <w:color w:val="000000" w:themeColor="text1"/>
          <w:kern w:val="28"/>
        </w:rPr>
        <w:t>Documento en el cual se asientan en forma individual todas y cada una de las operaciones desarrolladas por una institución, así como la información necesaria para la identificación necesaria para la identificación de dichas operaciones.”</w:t>
      </w:r>
    </w:p>
    <w:p w:rsidR="006F1C9E" w:rsidRDefault="006F1C9E" w:rsidP="003729AD">
      <w:pPr>
        <w:tabs>
          <w:tab w:val="left" w:pos="0"/>
        </w:tabs>
        <w:ind w:left="851"/>
        <w:rPr>
          <w:rFonts w:ascii="Palatino Linotype" w:eastAsia="Arial Unicode MS" w:hAnsi="Palatino Linotype" w:cs="Arial"/>
          <w:i/>
          <w:color w:val="000000" w:themeColor="text1"/>
        </w:rPr>
      </w:pPr>
    </w:p>
    <w:p w:rsidR="00BD63EE" w:rsidRPr="003729AD" w:rsidRDefault="00BD63EE" w:rsidP="003729AD">
      <w:pPr>
        <w:tabs>
          <w:tab w:val="left" w:pos="0"/>
        </w:tabs>
        <w:ind w:left="851"/>
        <w:rPr>
          <w:rFonts w:ascii="Palatino Linotype" w:eastAsia="Arial Unicode MS" w:hAnsi="Palatino Linotype" w:cs="Arial"/>
          <w:i/>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color w:val="000000" w:themeColor="text1"/>
        </w:rPr>
      </w:pPr>
      <w:r w:rsidRPr="003729AD">
        <w:rPr>
          <w:rFonts w:ascii="Palatino Linotype" w:hAnsi="Palatino Linotype" w:cs="Arial"/>
          <w:color w:val="000000" w:themeColor="text1"/>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6F1C9E" w:rsidRPr="003729AD" w:rsidRDefault="006F1C9E" w:rsidP="003729AD">
      <w:pPr>
        <w:tabs>
          <w:tab w:val="left" w:pos="0"/>
        </w:tabs>
        <w:spacing w:line="360" w:lineRule="auto"/>
        <w:jc w:val="both"/>
        <w:rPr>
          <w:rFonts w:ascii="Palatino Linotype" w:eastAsia="MS Mincho" w:hAnsi="Palatino Linotype"/>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eastAsiaTheme="majorEastAsia" w:hAnsi="Palatino Linotype" w:cs="Arial"/>
          <w:b/>
          <w:bCs/>
          <w:color w:val="000000" w:themeColor="text1"/>
        </w:rPr>
      </w:pPr>
      <w:r w:rsidRPr="003729AD">
        <w:rPr>
          <w:rFonts w:ascii="Palatino Linotype" w:hAnsi="Palatino Linotype" w:cs="Arial"/>
          <w:color w:val="000000" w:themeColor="text1"/>
        </w:rPr>
        <w:t xml:space="preserve">Ahora bien, existen diversos tipos de pólizas de acuerdo a las operaciones realizadas, así encontramos que los pagos efectuados con cheque son controlados en “pólizas de cheque”, las cuales permiten registrar una </w:t>
      </w:r>
      <w:r w:rsidRPr="003729AD">
        <w:rPr>
          <w:rFonts w:ascii="Palatino Linotype" w:eastAsiaTheme="majorEastAsia" w:hAnsi="Palatino Linotype" w:cs="Arial"/>
          <w:b/>
          <w:bCs/>
          <w:color w:val="000000" w:themeColor="text1"/>
        </w:rPr>
        <w:t xml:space="preserve">salida de dinero de la </w:t>
      </w:r>
      <w:hyperlink r:id="rId9" w:history="1">
        <w:r w:rsidRPr="003729AD">
          <w:rPr>
            <w:rFonts w:ascii="Palatino Linotype" w:eastAsiaTheme="majorEastAsia" w:hAnsi="Palatino Linotype"/>
            <w:b/>
            <w:bCs/>
            <w:color w:val="000000" w:themeColor="text1"/>
            <w:u w:val="single"/>
          </w:rPr>
          <w:t>cuenta bancaria</w:t>
        </w:r>
      </w:hyperlink>
      <w:r w:rsidRPr="003729AD">
        <w:rPr>
          <w:rFonts w:ascii="Palatino Linotype" w:eastAsiaTheme="majorEastAsia" w:hAnsi="Palatino Linotype" w:cs="Arial"/>
          <w:b/>
          <w:bCs/>
          <w:color w:val="000000" w:themeColor="text1"/>
          <w:u w:val="single"/>
        </w:rPr>
        <w:t xml:space="preserve"> </w:t>
      </w:r>
      <w:r w:rsidRPr="003729AD">
        <w:rPr>
          <w:rFonts w:ascii="Palatino Linotype" w:eastAsiaTheme="majorEastAsia" w:hAnsi="Palatino Linotype" w:cs="Arial"/>
          <w:b/>
          <w:bCs/>
          <w:color w:val="000000" w:themeColor="text1"/>
        </w:rPr>
        <w:t xml:space="preserve">propia, a través de la </w:t>
      </w:r>
      <w:hyperlink r:id="rId10" w:history="1">
        <w:r w:rsidRPr="003729AD">
          <w:rPr>
            <w:rFonts w:ascii="Palatino Linotype" w:eastAsiaTheme="majorEastAsia" w:hAnsi="Palatino Linotype"/>
            <w:b/>
            <w:bCs/>
            <w:color w:val="000000" w:themeColor="text1"/>
            <w:u w:val="single"/>
          </w:rPr>
          <w:t>emisión de un cheque</w:t>
        </w:r>
      </w:hyperlink>
      <w:r w:rsidRPr="003729AD">
        <w:rPr>
          <w:rFonts w:ascii="Palatino Linotype" w:eastAsiaTheme="majorEastAsia" w:hAnsi="Palatino Linotype"/>
          <w:b/>
          <w:bCs/>
          <w:color w:val="000000" w:themeColor="text1"/>
          <w:u w:val="single"/>
        </w:rPr>
        <w:t>,</w:t>
      </w:r>
      <w:r w:rsidRPr="003729AD">
        <w:rPr>
          <w:rFonts w:ascii="Palatino Linotype" w:hAnsi="Palatino Linotype" w:cs="Arial"/>
          <w:color w:val="000000" w:themeColor="text1"/>
        </w:rPr>
        <w:t xml:space="preserve"> por lo que las dependencias públicas al librar un cheque, </w:t>
      </w:r>
      <w:r w:rsidRPr="003729AD">
        <w:rPr>
          <w:rFonts w:ascii="Palatino Linotype" w:eastAsiaTheme="majorEastAsia" w:hAnsi="Palatino Linotype" w:cs="Arial"/>
          <w:b/>
          <w:bCs/>
          <w:color w:val="000000" w:themeColor="text1"/>
        </w:rPr>
        <w:t xml:space="preserve">adhieren una fotocopia del mismo con una póliza que sirve </w:t>
      </w:r>
      <w:r w:rsidRPr="003729AD">
        <w:rPr>
          <w:rFonts w:ascii="Palatino Linotype" w:eastAsiaTheme="majorEastAsia" w:hAnsi="Palatino Linotype" w:cs="Arial"/>
          <w:b/>
          <w:bCs/>
          <w:color w:val="000000" w:themeColor="text1"/>
        </w:rPr>
        <w:lastRenderedPageBreak/>
        <w:t>para fines contables</w:t>
      </w:r>
      <w:r w:rsidRPr="003729AD">
        <w:rPr>
          <w:rFonts w:ascii="Palatino Linotype" w:hAnsi="Palatino Linotype" w:cs="Arial"/>
          <w:color w:val="000000" w:themeColor="text1"/>
        </w:rPr>
        <w:t xml:space="preserve">, porque describe cuánto y para qué se expidió el título de crédito, la cual sirve a su vez, </w:t>
      </w:r>
      <w:r w:rsidRPr="003729AD">
        <w:rPr>
          <w:rFonts w:ascii="Palatino Linotype" w:eastAsiaTheme="majorEastAsia" w:hAnsi="Palatino Linotype" w:cs="Arial"/>
          <w:b/>
          <w:bCs/>
          <w:color w:val="000000" w:themeColor="text1"/>
        </w:rPr>
        <w:t>como un recibo del cheque entregado al beneficiario.</w:t>
      </w:r>
    </w:p>
    <w:p w:rsidR="006F1C9E" w:rsidRPr="003729AD" w:rsidRDefault="006F1C9E" w:rsidP="003729AD">
      <w:pPr>
        <w:tabs>
          <w:tab w:val="left" w:pos="0"/>
        </w:tabs>
        <w:spacing w:line="360" w:lineRule="auto"/>
        <w:jc w:val="both"/>
        <w:rPr>
          <w:rFonts w:ascii="Palatino Linotype" w:hAnsi="Palatino Linotype" w:cs="Arial"/>
          <w:color w:val="000000" w:themeColor="text1"/>
        </w:rPr>
      </w:pPr>
    </w:p>
    <w:p w:rsidR="006F1C9E" w:rsidRPr="003729AD" w:rsidRDefault="006F1C9E" w:rsidP="003729AD">
      <w:pPr>
        <w:pStyle w:val="Prrafodelista"/>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hAnsi="Palatino Linotype" w:cs="Arial"/>
          <w:color w:val="000000" w:themeColor="text1"/>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rsidR="006F1C9E" w:rsidRPr="003729AD" w:rsidRDefault="006F1C9E" w:rsidP="003729AD">
      <w:pPr>
        <w:pStyle w:val="Prrafodelista"/>
        <w:tabs>
          <w:tab w:val="left" w:pos="0"/>
        </w:tabs>
        <w:rPr>
          <w:rFonts w:ascii="Palatino Linotype" w:eastAsia="Palatino Linotype" w:hAnsi="Palatino Linotype" w:cs="Palatino Linotype"/>
          <w:color w:val="000000" w:themeColor="text1"/>
        </w:rPr>
      </w:pPr>
    </w:p>
    <w:p w:rsidR="00913AAE" w:rsidRPr="00BD63EE" w:rsidRDefault="006F1C9E" w:rsidP="003729AD">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En consecuencia, </w:t>
      </w:r>
      <w:r w:rsidRPr="003729AD">
        <w:rPr>
          <w:rFonts w:ascii="Palatino Linotype" w:hAnsi="Palatino Linotype" w:cs="Tahoma"/>
          <w:bCs/>
          <w:iCs/>
          <w:color w:val="000000" w:themeColor="text1"/>
          <w:lang w:eastAsia="es-ES"/>
        </w:rPr>
        <w:t xml:space="preserve">es dable ordenar al </w:t>
      </w:r>
      <w:r w:rsidRPr="003729AD">
        <w:rPr>
          <w:rFonts w:ascii="Palatino Linotype" w:hAnsi="Palatino Linotype" w:cs="Tahoma"/>
          <w:b/>
          <w:bCs/>
          <w:iCs/>
          <w:color w:val="000000" w:themeColor="text1"/>
          <w:lang w:eastAsia="es-ES"/>
        </w:rPr>
        <w:t>SUJETO OBLIGADO</w:t>
      </w:r>
      <w:r w:rsidR="00913AAE" w:rsidRPr="003729AD">
        <w:rPr>
          <w:rFonts w:ascii="Palatino Linotype" w:hAnsi="Palatino Linotype" w:cs="Tahoma"/>
          <w:bCs/>
          <w:iCs/>
          <w:color w:val="000000" w:themeColor="text1"/>
          <w:lang w:eastAsia="es-ES"/>
        </w:rPr>
        <w:t xml:space="preserve">, en versión pública, </w:t>
      </w:r>
      <w:r w:rsidR="00913AAE" w:rsidRPr="003729AD">
        <w:rPr>
          <w:rFonts w:ascii="Palatino Linotype" w:hAnsi="Palatino Linotype" w:cs="Tahoma"/>
          <w:b/>
          <w:bCs/>
          <w:iCs/>
          <w:color w:val="000000" w:themeColor="text1"/>
          <w:lang w:eastAsia="es-ES"/>
        </w:rPr>
        <w:t>l</w:t>
      </w:r>
      <w:r w:rsidR="00913AAE" w:rsidRPr="003729AD">
        <w:rPr>
          <w:rFonts w:ascii="Palatino Linotype" w:hAnsi="Palatino Linotype"/>
          <w:b/>
          <w:color w:val="000000" w:themeColor="text1"/>
        </w:rPr>
        <w:t xml:space="preserve">as </w:t>
      </w:r>
      <w:r w:rsidR="00913AAE" w:rsidRPr="003729AD">
        <w:rPr>
          <w:rFonts w:ascii="Palatino Linotype" w:eastAsia="Calibri" w:hAnsi="Palatino Linotype"/>
          <w:b/>
          <w:color w:val="000000" w:themeColor="text1"/>
          <w:lang w:eastAsia="es-ES_tradnl"/>
        </w:rPr>
        <w:t>pólizas y/o comprobantes digitales de pagos realizados a particulares vía cheque o transferencia electrónica durante el mes de abril de 2025.</w:t>
      </w:r>
    </w:p>
    <w:p w:rsidR="00BD63EE" w:rsidRPr="003729AD" w:rsidRDefault="00BD63EE" w:rsidP="00BD63EE">
      <w:pPr>
        <w:tabs>
          <w:tab w:val="left" w:pos="0"/>
        </w:tabs>
        <w:spacing w:line="360" w:lineRule="auto"/>
        <w:jc w:val="both"/>
        <w:rPr>
          <w:rFonts w:ascii="Palatino Linotype" w:eastAsia="Palatino Linotype" w:hAnsi="Palatino Linotype" w:cs="Palatino Linotype"/>
          <w:b/>
          <w:color w:val="000000" w:themeColor="text1"/>
        </w:rPr>
      </w:pPr>
    </w:p>
    <w:p w:rsidR="006F1C9E" w:rsidRPr="003729AD" w:rsidRDefault="006F1C9E"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i/>
          <w:color w:val="000000" w:themeColor="text1"/>
        </w:rPr>
        <w:t>“</w:t>
      </w:r>
      <w:r w:rsidRPr="003729AD">
        <w:rPr>
          <w:rFonts w:ascii="Palatino Linotype" w:eastAsia="Palatino Linotype" w:hAnsi="Palatino Linotype" w:cs="Palatino Linotype"/>
          <w:b/>
          <w:i/>
          <w:color w:val="000000" w:themeColor="text1"/>
        </w:rPr>
        <w:t>Artículo 4.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F1C9E" w:rsidRPr="003729AD" w:rsidRDefault="006F1C9E" w:rsidP="003729AD">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w:t>
      </w:r>
      <w:r w:rsidRPr="003729AD">
        <w:rPr>
          <w:rFonts w:ascii="Palatino Linotype" w:eastAsia="Palatino Linotype" w:hAnsi="Palatino Linotype" w:cs="Palatino Linotype"/>
          <w:color w:val="000000" w:themeColor="text1"/>
        </w:rPr>
        <w:lastRenderedPageBreak/>
        <w:t>permanente a cualquier persona, privilegiando el principio de máxima publicidad de la información.</w:t>
      </w:r>
    </w:p>
    <w:p w:rsidR="006F1C9E" w:rsidRPr="003729AD" w:rsidRDefault="006F1C9E" w:rsidP="003729AD">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3729AD" w:rsidRDefault="006F1C9E" w:rsidP="003729AD">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6F1C9E" w:rsidRPr="003729AD" w:rsidRDefault="006F1C9E" w:rsidP="003729AD">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3729AD" w:rsidRDefault="006F1C9E" w:rsidP="003729AD">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3729AD">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i/>
          <w:color w:val="000000" w:themeColor="text1"/>
        </w:rPr>
        <w:t xml:space="preserve">Resoluciones: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r w:rsidRPr="003729AD">
        <w:rPr>
          <w:rFonts w:ascii="Palatino Linotype" w:eastAsia="Symbol" w:hAnsi="Palatino Linotype" w:cs="Symbol"/>
          <w:i/>
          <w:color w:val="000000" w:themeColor="text1"/>
        </w:rPr>
        <w:t>∙</w:t>
      </w:r>
      <w:r w:rsidRPr="003729AD">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r w:rsidRPr="003729AD">
        <w:rPr>
          <w:rFonts w:ascii="Palatino Linotype" w:eastAsia="Symbol" w:hAnsi="Palatino Linotype" w:cs="Symbol"/>
          <w:i/>
          <w:color w:val="000000" w:themeColor="text1"/>
        </w:rPr>
        <w:t>∙</w:t>
      </w:r>
      <w:r w:rsidRPr="003729AD">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color w:val="000000" w:themeColor="text1"/>
        </w:rPr>
      </w:pPr>
      <w:r w:rsidRPr="003729AD">
        <w:rPr>
          <w:rFonts w:ascii="Palatino Linotype" w:eastAsia="Symbol" w:hAnsi="Palatino Linotype" w:cs="Symbol"/>
          <w:i/>
          <w:color w:val="000000" w:themeColor="text1"/>
        </w:rPr>
        <w:lastRenderedPageBreak/>
        <w:t>∙</w:t>
      </w:r>
      <w:r w:rsidRPr="003729AD">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6F1C9E" w:rsidRPr="003729AD" w:rsidRDefault="006F1C9E" w:rsidP="003729AD">
      <w:pPr>
        <w:tabs>
          <w:tab w:val="left" w:pos="0"/>
        </w:tabs>
        <w:spacing w:line="360" w:lineRule="auto"/>
        <w:jc w:val="both"/>
        <w:rPr>
          <w:rFonts w:ascii="Palatino Linotype" w:eastAsia="Palatino Linotype" w:hAnsi="Palatino Linotype" w:cs="Palatino Linotype"/>
          <w:color w:val="000000" w:themeColor="text1"/>
        </w:rPr>
      </w:pPr>
    </w:p>
    <w:p w:rsidR="006F1C9E" w:rsidRPr="003729AD" w:rsidRDefault="006F1C9E" w:rsidP="003729AD">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6F1C9E" w:rsidRPr="003729AD" w:rsidRDefault="006F1C9E" w:rsidP="003729AD">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3729AD" w:rsidRDefault="006F1C9E" w:rsidP="003729AD">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b/>
          <w:i/>
          <w:color w:val="000000" w:themeColor="text1"/>
        </w:rPr>
        <w:t>“Artículo 3.</w:t>
      </w:r>
      <w:r w:rsidRPr="003729AD">
        <w:rPr>
          <w:rFonts w:ascii="Palatino Linotype" w:eastAsia="Palatino Linotype" w:hAnsi="Palatino Linotype" w:cs="Palatino Linotype"/>
          <w:i/>
          <w:color w:val="000000" w:themeColor="text1"/>
        </w:rPr>
        <w:t xml:space="preserve"> Para los efectos de la presente Ley se entenderá por: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i/>
          <w:color w:val="000000" w:themeColor="text1"/>
        </w:rPr>
      </w:pPr>
      <w:r w:rsidRPr="003729AD">
        <w:rPr>
          <w:rFonts w:ascii="Palatino Linotype" w:eastAsia="Palatino Linotype" w:hAnsi="Palatino Linotype" w:cs="Palatino Linotype"/>
          <w:i/>
          <w:color w:val="000000" w:themeColor="text1"/>
        </w:rPr>
        <w:t xml:space="preserve">(…)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b/>
          <w:i/>
          <w:color w:val="000000" w:themeColor="text1"/>
        </w:rPr>
      </w:pPr>
      <w:r w:rsidRPr="003729AD">
        <w:rPr>
          <w:rFonts w:ascii="Palatino Linotype" w:eastAsia="Palatino Linotype" w:hAnsi="Palatino Linotype" w:cs="Palatino Linotype"/>
          <w:b/>
          <w:i/>
          <w:color w:val="000000" w:themeColor="text1"/>
        </w:rPr>
        <w:t>XI. Documento:</w:t>
      </w:r>
      <w:r w:rsidRPr="003729A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729AD">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6F1C9E" w:rsidRPr="003729AD" w:rsidRDefault="006F1C9E" w:rsidP="003729AD">
      <w:pPr>
        <w:tabs>
          <w:tab w:val="left" w:pos="0"/>
          <w:tab w:val="left" w:pos="426"/>
          <w:tab w:val="left" w:pos="567"/>
        </w:tabs>
        <w:ind w:left="567"/>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i/>
          <w:color w:val="000000" w:themeColor="text1"/>
        </w:rPr>
        <w:t>(…)”</w:t>
      </w:r>
    </w:p>
    <w:p w:rsidR="006F1C9E" w:rsidRPr="003729AD" w:rsidRDefault="006F1C9E" w:rsidP="003729AD">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lastRenderedPageBreak/>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40FE1" w:rsidRPr="003729AD" w:rsidRDefault="006F1C9E" w:rsidP="003729AD">
      <w:pPr>
        <w:tabs>
          <w:tab w:val="left" w:pos="0"/>
        </w:tabs>
        <w:ind w:left="567"/>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6F1C9E" w:rsidRPr="003729AD" w:rsidRDefault="006F1C9E" w:rsidP="003729AD">
      <w:pPr>
        <w:tabs>
          <w:tab w:val="left" w:pos="0"/>
        </w:tabs>
        <w:jc w:val="both"/>
        <w:rPr>
          <w:rFonts w:ascii="Palatino Linotype" w:eastAsia="Palatino Linotype" w:hAnsi="Palatino Linotype" w:cs="Palatino Linotype"/>
          <w:color w:val="000000" w:themeColor="text1"/>
        </w:rPr>
      </w:pPr>
    </w:p>
    <w:p w:rsidR="00E40FE1" w:rsidRPr="003729AD" w:rsidRDefault="0010134C" w:rsidP="003729AD">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QUINTO. VERSIÓN PÚBLICA.</w:t>
      </w:r>
    </w:p>
    <w:p w:rsidR="00E40FE1" w:rsidRPr="003729AD" w:rsidRDefault="0010134C" w:rsidP="003729AD">
      <w:pPr>
        <w:keepNext/>
        <w:keepLines/>
        <w:numPr>
          <w:ilvl w:val="0"/>
          <w:numId w:val="5"/>
        </w:numPr>
        <w:tabs>
          <w:tab w:val="left" w:pos="0"/>
        </w:tabs>
        <w:spacing w:line="360" w:lineRule="auto"/>
        <w:ind w:left="284" w:firstLine="0"/>
        <w:rPr>
          <w:rFonts w:ascii="Palatino Linotype" w:eastAsia="Palatino Linotype" w:hAnsi="Palatino Linotype" w:cs="Palatino Linotype"/>
          <w:b/>
          <w:color w:val="000000" w:themeColor="text1"/>
        </w:rPr>
      </w:pPr>
      <w:bookmarkStart w:id="10" w:name="_heading=h.3zdbcjghuwan" w:colFirst="0" w:colLast="0"/>
      <w:bookmarkEnd w:id="10"/>
      <w:r w:rsidRPr="003729AD">
        <w:rPr>
          <w:rFonts w:ascii="Palatino Linotype" w:eastAsia="Palatino Linotype" w:hAnsi="Palatino Linotype" w:cs="Palatino Linotype"/>
          <w:b/>
          <w:color w:val="000000" w:themeColor="text1"/>
        </w:rPr>
        <w:t xml:space="preserve">Nociones generales. </w:t>
      </w: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Debe destacarse que, debido a la naturaleza de la información solicitada</w:t>
      </w:r>
      <w:r w:rsidRP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 xml:space="preserve">eventualmente pudiera obrar datos personales susceptibles de protegerse, el </w:t>
      </w:r>
      <w:r w:rsidRPr="003729AD">
        <w:rPr>
          <w:rFonts w:ascii="Palatino Linotype" w:eastAsia="Palatino Linotype" w:hAnsi="Palatino Linotype" w:cs="Palatino Linotype"/>
          <w:b/>
          <w:color w:val="000000" w:themeColor="text1"/>
        </w:rPr>
        <w:t xml:space="preserve">Sujeto Obligado </w:t>
      </w:r>
      <w:r w:rsidRPr="003729A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lastRenderedPageBreak/>
        <w:t>No pasa desapercibido para este Órgano Garante que los Sujetos Obligados</w:t>
      </w:r>
      <w:r w:rsidRP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40FE1" w:rsidRPr="003729AD" w:rsidRDefault="00E40FE1" w:rsidP="003729AD">
      <w:pPr>
        <w:tabs>
          <w:tab w:val="left" w:pos="0"/>
        </w:tabs>
        <w:spacing w:line="360" w:lineRule="auto"/>
        <w:jc w:val="both"/>
        <w:rPr>
          <w:rFonts w:ascii="Palatino Linotype" w:eastAsia="Palatino Linotype" w:hAnsi="Palatino Linotype" w:cs="Palatino Linotype"/>
          <w:color w:val="000000" w:themeColor="text1"/>
        </w:rPr>
      </w:pPr>
    </w:p>
    <w:tbl>
      <w:tblPr>
        <w:tblStyle w:val="a9"/>
        <w:tblW w:w="949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30"/>
        <w:gridCol w:w="6663"/>
      </w:tblGrid>
      <w:tr w:rsidR="003729AD" w:rsidRPr="003729AD" w:rsidTr="00BD6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E40FE1" w:rsidRPr="003729AD" w:rsidRDefault="0010134C" w:rsidP="003729AD">
            <w:pPr>
              <w:tabs>
                <w:tab w:val="left" w:pos="0"/>
              </w:tabs>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a) Requisitos previos.</w:t>
            </w:r>
          </w:p>
        </w:tc>
        <w:tc>
          <w:tcPr>
            <w:tcW w:w="6663" w:type="dxa"/>
          </w:tcPr>
          <w:p w:rsidR="00E40FE1" w:rsidRPr="003729AD" w:rsidRDefault="0010134C" w:rsidP="003729AD">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b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40FE1" w:rsidRPr="003729AD" w:rsidRDefault="0010134C" w:rsidP="003729AD">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b w:val="0"/>
                <w:color w:val="000000" w:themeColor="text1"/>
                <w:sz w:val="24"/>
                <w:szCs w:val="24"/>
              </w:rPr>
              <w:t>Al hacerlo tienen que precisar de qué información se trata, señalando el supuesto de clasificación (confidencialidad o reserva).</w:t>
            </w:r>
          </w:p>
          <w:p w:rsidR="00E40FE1" w:rsidRPr="003729AD" w:rsidRDefault="0010134C" w:rsidP="003729AD">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b w:val="0"/>
                <w:color w:val="000000" w:themeColor="text1"/>
                <w:sz w:val="24"/>
                <w:szCs w:val="24"/>
              </w:rPr>
              <w:t>Además, se debe señalar el procedimiento, de los tres que establecen los artículos 132 y 106 de la Ley Estatal y General, respectivamente.</w:t>
            </w:r>
          </w:p>
          <w:p w:rsidR="00E40FE1" w:rsidRPr="003729AD" w:rsidRDefault="0010134C" w:rsidP="003729AD">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b w:val="0"/>
                <w:color w:val="000000" w:themeColor="text1"/>
                <w:sz w:val="24"/>
                <w:szCs w:val="24"/>
              </w:rPr>
              <w:t xml:space="preserve">El último de estos requisitos previos consiste en que no se pueden emitir acuerdos de carácter general ni particular, esto es, </w:t>
            </w:r>
            <w:r w:rsidRPr="003729AD">
              <w:rPr>
                <w:rFonts w:ascii="Palatino Linotype" w:eastAsia="Palatino Linotype" w:hAnsi="Palatino Linotype" w:cs="Palatino Linotype"/>
                <w:b w:val="0"/>
                <w:color w:val="000000" w:themeColor="text1"/>
                <w:sz w:val="24"/>
                <w:szCs w:val="24"/>
                <w:u w:val="single"/>
              </w:rPr>
              <w:t>no se puede hacer un acuerdo para clasificar de manera general todos los documentos de un expediente o área, sin</w:t>
            </w:r>
            <w:r w:rsidRPr="003729AD">
              <w:rPr>
                <w:rFonts w:ascii="Palatino Linotype" w:eastAsia="Palatino Linotype" w:hAnsi="Palatino Linotype" w:cs="Palatino Linotype"/>
                <w:b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3729AD" w:rsidRPr="003729AD" w:rsidTr="00BD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E40FE1" w:rsidRPr="003729AD" w:rsidRDefault="0010134C" w:rsidP="003729AD">
            <w:pPr>
              <w:tabs>
                <w:tab w:val="left" w:pos="0"/>
              </w:tabs>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b) Supuestos de clasificación.</w:t>
            </w:r>
          </w:p>
        </w:tc>
        <w:tc>
          <w:tcPr>
            <w:tcW w:w="6663" w:type="dxa"/>
          </w:tcPr>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Los artículos 116 y 143 de la Ley Estatal y de la Ley General, respectivamente, señalan los supuestos para que la información pueda ser clasificada como confidencial. </w:t>
            </w:r>
            <w:r w:rsidRPr="003729AD">
              <w:rPr>
                <w:rFonts w:ascii="Palatino Linotype" w:eastAsia="Palatino Linotype" w:hAnsi="Palatino Linotype" w:cs="Palatino Linotype"/>
                <w:color w:val="000000" w:themeColor="text1"/>
                <w:sz w:val="24"/>
                <w:szCs w:val="24"/>
              </w:rPr>
              <w:lastRenderedPageBreak/>
              <w:t>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El </w:t>
            </w:r>
            <w:r w:rsidRPr="003729AD">
              <w:rPr>
                <w:rFonts w:ascii="Palatino Linotype" w:eastAsia="Palatino Linotype" w:hAnsi="Palatino Linotype" w:cs="Palatino Linotype"/>
                <w:b/>
                <w:color w:val="000000" w:themeColor="text1"/>
                <w:sz w:val="24"/>
                <w:szCs w:val="24"/>
              </w:rPr>
              <w:t>Sujeto Obligado</w:t>
            </w:r>
            <w:r w:rsidRPr="003729AD">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729AD" w:rsidRPr="003729AD" w:rsidTr="00BD63EE">
        <w:tc>
          <w:tcPr>
            <w:cnfStyle w:val="001000000000" w:firstRow="0" w:lastRow="0" w:firstColumn="1" w:lastColumn="0" w:oddVBand="0" w:evenVBand="0" w:oddHBand="0" w:evenHBand="0" w:firstRowFirstColumn="0" w:firstRowLastColumn="0" w:lastRowFirstColumn="0" w:lastRowLastColumn="0"/>
            <w:tcW w:w="2830" w:type="dxa"/>
          </w:tcPr>
          <w:p w:rsidR="00E40FE1" w:rsidRPr="003729AD" w:rsidRDefault="0010134C" w:rsidP="003729AD">
            <w:pPr>
              <w:tabs>
                <w:tab w:val="left" w:pos="0"/>
              </w:tabs>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663" w:type="dxa"/>
          </w:tcPr>
          <w:p w:rsidR="00E40FE1" w:rsidRPr="003729AD" w:rsidRDefault="0010134C" w:rsidP="003729AD">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E40FE1" w:rsidRPr="003729AD" w:rsidRDefault="0010134C" w:rsidP="003729AD">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Es necesario que </w:t>
            </w:r>
            <w:r w:rsidRPr="003729AD">
              <w:rPr>
                <w:rFonts w:ascii="Palatino Linotype" w:eastAsia="Palatino Linotype" w:hAnsi="Palatino Linotype" w:cs="Palatino Linotype"/>
                <w:b/>
                <w:color w:val="000000" w:themeColor="text1"/>
                <w:sz w:val="24"/>
                <w:szCs w:val="24"/>
                <w:u w:val="single"/>
              </w:rPr>
              <w:t>el acto reúna con los requisitos elementales</w:t>
            </w:r>
            <w:r w:rsidRPr="003729AD">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E40FE1" w:rsidRPr="003729AD" w:rsidRDefault="0010134C" w:rsidP="003729AD">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729AD" w:rsidRPr="003729AD" w:rsidTr="00BD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E40FE1" w:rsidRPr="003729AD" w:rsidRDefault="00E40FE1" w:rsidP="003729AD">
            <w:pPr>
              <w:tabs>
                <w:tab w:val="left" w:pos="0"/>
              </w:tabs>
              <w:rPr>
                <w:rFonts w:ascii="Palatino Linotype" w:eastAsia="Palatino Linotype" w:hAnsi="Palatino Linotype" w:cs="Palatino Linotype"/>
                <w:color w:val="000000" w:themeColor="text1"/>
                <w:sz w:val="24"/>
                <w:szCs w:val="24"/>
              </w:rPr>
            </w:pPr>
          </w:p>
          <w:p w:rsidR="00E40FE1" w:rsidRPr="003729AD" w:rsidRDefault="0010134C" w:rsidP="003729AD">
            <w:pPr>
              <w:tabs>
                <w:tab w:val="left" w:pos="0"/>
              </w:tabs>
              <w:jc w:val="both"/>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d) Requisitos de fondo del acuerdo de clasificación. </w:t>
            </w:r>
          </w:p>
        </w:tc>
        <w:tc>
          <w:tcPr>
            <w:tcW w:w="6663" w:type="dxa"/>
          </w:tcPr>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729AD">
              <w:rPr>
                <w:rFonts w:ascii="Palatino Linotype" w:eastAsia="Palatino Linotype" w:hAnsi="Palatino Linotype" w:cs="Palatino Linotype"/>
                <w:b/>
                <w:color w:val="000000" w:themeColor="text1"/>
                <w:sz w:val="24"/>
                <w:szCs w:val="24"/>
              </w:rPr>
              <w:t>Sujetos Obligados</w:t>
            </w:r>
            <w:r w:rsidRPr="003729AD">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lastRenderedPageBreak/>
              <w:t xml:space="preserve">De lo anterior, se desprende que para una correcta </w:t>
            </w:r>
            <w:r w:rsidRPr="003729AD">
              <w:rPr>
                <w:rFonts w:ascii="Palatino Linotype" w:eastAsia="Palatino Linotype" w:hAnsi="Palatino Linotype" w:cs="Palatino Linotype"/>
                <w:b/>
                <w:color w:val="000000" w:themeColor="text1"/>
                <w:sz w:val="24"/>
                <w:szCs w:val="24"/>
              </w:rPr>
              <w:t>clasificación total o parcial</w:t>
            </w:r>
            <w:r w:rsidRPr="003729AD">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E40FE1" w:rsidRPr="003729AD" w:rsidRDefault="0010134C" w:rsidP="003729AD">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Ahora bien, </w:t>
            </w:r>
            <w:r w:rsidRPr="003729AD">
              <w:rPr>
                <w:rFonts w:ascii="Palatino Linotype" w:eastAsia="Palatino Linotype" w:hAnsi="Palatino Linotype" w:cs="Palatino Linotype"/>
                <w:b/>
                <w:color w:val="000000" w:themeColor="text1"/>
                <w:sz w:val="24"/>
                <w:szCs w:val="24"/>
                <w:u w:val="single"/>
              </w:rPr>
              <w:t>para cada caso además de fundar y motivar</w:t>
            </w:r>
            <w:r w:rsidRPr="003729AD">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729AD" w:rsidRPr="003729AD" w:rsidTr="00BD63EE">
        <w:tc>
          <w:tcPr>
            <w:cnfStyle w:val="001000000000" w:firstRow="0" w:lastRow="0" w:firstColumn="1" w:lastColumn="0" w:oddVBand="0" w:evenVBand="0" w:oddHBand="0" w:evenHBand="0" w:firstRowFirstColumn="0" w:firstRowLastColumn="0" w:lastRowFirstColumn="0" w:lastRowLastColumn="0"/>
            <w:tcW w:w="2830" w:type="dxa"/>
          </w:tcPr>
          <w:p w:rsidR="00E40FE1" w:rsidRPr="003729AD" w:rsidRDefault="0010134C" w:rsidP="003729AD">
            <w:pPr>
              <w:tabs>
                <w:tab w:val="left" w:pos="0"/>
              </w:tabs>
              <w:jc w:val="both"/>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b w:val="0"/>
                <w:color w:val="000000" w:themeColor="text1"/>
                <w:sz w:val="24"/>
                <w:szCs w:val="24"/>
              </w:rPr>
              <w:lastRenderedPageBreak/>
              <w:t>e</w:t>
            </w:r>
            <w:r w:rsidRPr="003729AD">
              <w:rPr>
                <w:rFonts w:ascii="Palatino Linotype" w:eastAsia="Palatino Linotype" w:hAnsi="Palatino Linotype" w:cs="Palatino Linotype"/>
                <w:color w:val="000000" w:themeColor="text1"/>
                <w:sz w:val="24"/>
                <w:szCs w:val="24"/>
              </w:rPr>
              <w:t xml:space="preserve">) Condiciones especiales de la clasificación de la información como confidencial. </w:t>
            </w:r>
          </w:p>
        </w:tc>
        <w:tc>
          <w:tcPr>
            <w:tcW w:w="6663" w:type="dxa"/>
          </w:tcPr>
          <w:p w:rsidR="00E40FE1" w:rsidRPr="003729AD" w:rsidRDefault="0010134C" w:rsidP="003729AD">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E40FE1" w:rsidRPr="003729AD" w:rsidRDefault="0010134C" w:rsidP="003729AD">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w:t>
            </w:r>
            <w:r w:rsidRPr="003729AD">
              <w:rPr>
                <w:rFonts w:ascii="Palatino Linotype" w:eastAsia="Palatino Linotype" w:hAnsi="Palatino Linotype" w:cs="Palatino Linotype"/>
                <w:color w:val="000000" w:themeColor="text1"/>
                <w:sz w:val="24"/>
                <w:szCs w:val="24"/>
              </w:rPr>
              <w:lastRenderedPageBreak/>
              <w:t xml:space="preserve">Corte de Justicia de la Nación, los servidores públicos nos encontramos sujetos a un régimen menor de protección. </w:t>
            </w:r>
          </w:p>
          <w:p w:rsidR="00E40FE1" w:rsidRPr="003729AD" w:rsidRDefault="0010134C" w:rsidP="003729AD">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40FE1" w:rsidRPr="003729AD" w:rsidRDefault="00E40FE1" w:rsidP="003729AD">
      <w:pPr>
        <w:tabs>
          <w:tab w:val="left" w:pos="0"/>
          <w:tab w:val="left" w:pos="426"/>
        </w:tabs>
        <w:spacing w:line="360" w:lineRule="auto"/>
        <w:jc w:val="both"/>
        <w:rPr>
          <w:rFonts w:ascii="Palatino Linotype" w:eastAsia="Palatino Linotype" w:hAnsi="Palatino Linotype" w:cs="Palatino Linotype"/>
          <w:b/>
          <w:color w:val="000000" w:themeColor="text1"/>
        </w:rPr>
      </w:pPr>
    </w:p>
    <w:p w:rsidR="006F1C9E" w:rsidRPr="003729AD" w:rsidRDefault="0010134C" w:rsidP="003729A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b/>
          <w:color w:val="000000" w:themeColor="text1"/>
        </w:rPr>
        <w:t>Del análisis de los datos</w:t>
      </w:r>
      <w:r w:rsidR="006F1C9E" w:rsidRPr="003729AD">
        <w:rPr>
          <w:rFonts w:ascii="Palatino Linotype" w:eastAsia="Palatino Linotype" w:hAnsi="Palatino Linotype" w:cs="Palatino Linotype"/>
          <w:b/>
          <w:color w:val="000000" w:themeColor="text1"/>
        </w:rPr>
        <w:t xml:space="preserve"> susceptibles de ser protegidos.</w:t>
      </w:r>
    </w:p>
    <w:p w:rsidR="00913AAE" w:rsidRPr="003729AD" w:rsidRDefault="006F1C9E" w:rsidP="003729AD">
      <w:pPr>
        <w:pStyle w:val="Prrafodelista"/>
        <w:numPr>
          <w:ilvl w:val="0"/>
          <w:numId w:val="10"/>
        </w:numPr>
        <w:tabs>
          <w:tab w:val="left" w:pos="0"/>
        </w:tabs>
        <w:spacing w:line="360" w:lineRule="auto"/>
        <w:ind w:left="567" w:firstLine="0"/>
        <w:jc w:val="both"/>
        <w:rPr>
          <w:rFonts w:ascii="Palatino Linotype" w:eastAsia="Palatino Linotype" w:hAnsi="Palatino Linotype" w:cs="Palatino Linotype"/>
          <w:b/>
          <w:bCs/>
          <w:color w:val="000000" w:themeColor="text1"/>
        </w:rPr>
      </w:pPr>
      <w:r w:rsidRPr="003729AD">
        <w:rPr>
          <w:rFonts w:ascii="Palatino Linotype" w:eastAsia="Palatino Linotype" w:hAnsi="Palatino Linotype" w:cs="Palatino Linotype"/>
          <w:b/>
          <w:bCs/>
          <w:color w:val="000000" w:themeColor="text1"/>
        </w:rPr>
        <w:t>Nombre de proveedores y contratistas</w:t>
      </w:r>
      <w:r w:rsidR="00913AAE" w:rsidRPr="003729AD">
        <w:rPr>
          <w:rFonts w:ascii="Palatino Linotype" w:eastAsia="Palatino Linotype" w:hAnsi="Palatino Linotype" w:cs="Palatino Linotype"/>
          <w:b/>
          <w:bCs/>
          <w:color w:val="000000" w:themeColor="text1"/>
        </w:rPr>
        <w:t>.</w:t>
      </w:r>
    </w:p>
    <w:p w:rsidR="006F1C9E" w:rsidRPr="003729AD" w:rsidRDefault="006F1C9E" w:rsidP="003729AD">
      <w:pPr>
        <w:pStyle w:val="Prrafodelista"/>
        <w:numPr>
          <w:ilvl w:val="0"/>
          <w:numId w:val="2"/>
        </w:numP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hAnsi="Palatino Linotype" w:cs="Arial"/>
          <w:color w:val="000000" w:themeColor="text1"/>
        </w:rPr>
        <w:t xml:space="preserve">El  nombre de los proveedores y contratistas es de naturaleza pública, al existir la </w:t>
      </w:r>
      <w:r w:rsidRPr="003729AD">
        <w:rPr>
          <w:rFonts w:ascii="Palatino Linotype" w:eastAsia="Palatino Linotype" w:hAnsi="Palatino Linotype" w:cs="Palatino Linotype"/>
          <w:color w:val="000000" w:themeColor="text1"/>
        </w:rPr>
        <w:t>obligación de difundir toda aquella información relativa a los montos y las personas a quienes entreguen, por cualquier motivo, recursos públicos, así como los informes que dichas personas entreguen sobre el uso y destino de dichos recursos, ello conforme al contenido del penúltimo párrafo del artículo 23 de la Ley de Transparencia y Acceso a la Información Pública del Estado de México y Municipios, como se muestra a continuación:</w:t>
      </w:r>
    </w:p>
    <w:p w:rsidR="006F1C9E" w:rsidRPr="003729AD" w:rsidRDefault="006F1C9E" w:rsidP="003729AD">
      <w:pPr>
        <w:tabs>
          <w:tab w:val="left" w:pos="0"/>
        </w:tabs>
        <w:ind w:left="567"/>
        <w:contextualSpacing/>
        <w:jc w:val="both"/>
        <w:rPr>
          <w:rFonts w:ascii="Palatino Linotype" w:hAnsi="Palatino Linotype"/>
          <w:b/>
          <w:bCs/>
          <w:i/>
          <w:color w:val="000000" w:themeColor="text1"/>
          <w:kern w:val="28"/>
        </w:rPr>
      </w:pPr>
      <w:r w:rsidRPr="003729AD">
        <w:rPr>
          <w:rFonts w:ascii="Palatino Linotype" w:hAnsi="Palatino Linotype"/>
          <w:i/>
          <w:color w:val="000000" w:themeColor="text1"/>
          <w:kern w:val="28"/>
        </w:rPr>
        <w:t>“</w:t>
      </w:r>
      <w:r w:rsidRPr="003729AD">
        <w:rPr>
          <w:rFonts w:ascii="Palatino Linotype" w:hAnsi="Palatino Linotype"/>
          <w:b/>
          <w:bCs/>
          <w:i/>
          <w:color w:val="000000" w:themeColor="text1"/>
          <w:kern w:val="28"/>
        </w:rPr>
        <w:t>Artículo 23.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bCs/>
          <w:i/>
          <w:color w:val="000000" w:themeColor="text1"/>
          <w:kern w:val="28"/>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3729AD">
        <w:rPr>
          <w:rFonts w:ascii="Palatino Linotype" w:hAnsi="Palatino Linotype"/>
          <w:i/>
          <w:color w:val="000000" w:themeColor="text1"/>
          <w:kern w:val="28"/>
        </w:rPr>
        <w:t>.”</w:t>
      </w:r>
    </w:p>
    <w:p w:rsidR="006F1C9E" w:rsidRPr="003729AD" w:rsidRDefault="006F1C9E" w:rsidP="003729AD">
      <w:pPr>
        <w:tabs>
          <w:tab w:val="left" w:pos="0"/>
        </w:tabs>
        <w:spacing w:line="360" w:lineRule="auto"/>
        <w:contextualSpacing/>
        <w:jc w:val="both"/>
        <w:rPr>
          <w:rFonts w:ascii="Palatino Linotype" w:eastAsia="Palatino Linotype" w:hAnsi="Palatino Linotype" w:cs="Arial"/>
          <w:color w:val="000000" w:themeColor="text1"/>
          <w:lang w:val="es-ES"/>
        </w:rPr>
      </w:pPr>
    </w:p>
    <w:p w:rsidR="006F1C9E" w:rsidRPr="003729AD" w:rsidRDefault="006F1C9E" w:rsidP="003729AD">
      <w:pPr>
        <w:pStyle w:val="Prrafodelista"/>
        <w:numPr>
          <w:ilvl w:val="0"/>
          <w:numId w:val="2"/>
        </w:numPr>
        <w:tabs>
          <w:tab w:val="left" w:pos="0"/>
        </w:tabs>
        <w:spacing w:line="360" w:lineRule="auto"/>
        <w:jc w:val="both"/>
        <w:rPr>
          <w:rFonts w:ascii="Palatino Linotype" w:eastAsia="Palatino Linotype" w:hAnsi="Palatino Linotype" w:cs="Arial"/>
          <w:color w:val="000000" w:themeColor="text1"/>
        </w:rPr>
      </w:pPr>
      <w:r w:rsidRPr="003729AD">
        <w:rPr>
          <w:rFonts w:ascii="Palatino Linotype" w:eastAsia="Palatino Linotype" w:hAnsi="Palatino Linotype" w:cs="Arial"/>
          <w:color w:val="000000" w:themeColor="text1"/>
        </w:rPr>
        <w:t xml:space="preserve">Asimismo, resulta necesario referir que el nombre de proveedores y contratistas, corresponde a información que se encuentra considerada como una de las obligaciones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w:t>
      </w:r>
      <w:r w:rsidRPr="003729AD">
        <w:rPr>
          <w:rFonts w:ascii="Palatino Linotype" w:eastAsia="Palatino Linotype" w:hAnsi="Palatino Linotype" w:cs="Arial"/>
          <w:color w:val="000000" w:themeColor="text1"/>
        </w:rPr>
        <w:lastRenderedPageBreak/>
        <w:t xml:space="preserve">92 de la de la Ley de Transparencia y Acceso a la Información Pública del Estado de México y Municipios, en su fracción XXXII, dispone lo siguiente: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“Artículo 92.</w:t>
      </w:r>
      <w:r w:rsidRPr="003729AD">
        <w:rPr>
          <w:rFonts w:ascii="Palatino Linotype" w:hAnsi="Palatino Linotype"/>
          <w:i/>
          <w:color w:val="000000" w:themeColor="text1"/>
          <w:kern w:val="28"/>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w:t>
      </w:r>
      <w:r w:rsidRPr="003729AD">
        <w:rPr>
          <w:rFonts w:ascii="Palatino Linotype" w:hAnsi="Palatino Linotype"/>
          <w:i/>
          <w:color w:val="000000" w:themeColor="text1"/>
          <w:kern w:val="28"/>
        </w:rPr>
        <w:t>)</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bCs/>
          <w:i/>
          <w:color w:val="000000" w:themeColor="text1"/>
          <w:kern w:val="28"/>
        </w:rPr>
        <w:t>XXXII.</w:t>
      </w:r>
      <w:r w:rsidRPr="003729AD">
        <w:rPr>
          <w:rFonts w:ascii="Palatino Linotype" w:hAnsi="Palatino Linotype"/>
          <w:i/>
          <w:color w:val="000000" w:themeColor="text1"/>
          <w:kern w:val="28"/>
        </w:rPr>
        <w:t xml:space="preserve"> Las concesiones, </w:t>
      </w:r>
      <w:r w:rsidRPr="003729AD">
        <w:rPr>
          <w:rFonts w:ascii="Palatino Linotype" w:hAnsi="Palatino Linotype"/>
          <w:i/>
          <w:color w:val="000000" w:themeColor="text1"/>
          <w:kern w:val="28"/>
          <w:u w:val="single"/>
        </w:rPr>
        <w:t>contratos</w:t>
      </w:r>
      <w:r w:rsidRPr="003729AD">
        <w:rPr>
          <w:rFonts w:ascii="Palatino Linotype" w:hAnsi="Palatino Linotype"/>
          <w:i/>
          <w:color w:val="000000" w:themeColor="text1"/>
          <w:kern w:val="28"/>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6F1C9E" w:rsidRPr="003729AD" w:rsidRDefault="006F1C9E" w:rsidP="003729AD">
      <w:pPr>
        <w:tabs>
          <w:tab w:val="left" w:pos="0"/>
        </w:tabs>
        <w:spacing w:line="360" w:lineRule="auto"/>
        <w:contextualSpacing/>
        <w:jc w:val="both"/>
        <w:rPr>
          <w:rFonts w:ascii="Palatino Linotype" w:eastAsia="Palatino Linotype" w:hAnsi="Palatino Linotype" w:cs="Palatino Linotype"/>
          <w:i/>
          <w:color w:val="000000" w:themeColor="text1"/>
          <w:kern w:val="28"/>
        </w:rPr>
      </w:pPr>
    </w:p>
    <w:p w:rsidR="006F1C9E" w:rsidRPr="003729AD" w:rsidRDefault="006F1C9E" w:rsidP="003729AD">
      <w:pPr>
        <w:pStyle w:val="Prrafodelista"/>
        <w:numPr>
          <w:ilvl w:val="0"/>
          <w:numId w:val="2"/>
        </w:numPr>
        <w:tabs>
          <w:tab w:val="left" w:pos="0"/>
        </w:tabs>
        <w:spacing w:line="360" w:lineRule="auto"/>
        <w:jc w:val="both"/>
        <w:rPr>
          <w:rFonts w:ascii="Palatino Linotype" w:eastAsia="Palatino Linotype" w:hAnsi="Palatino Linotype" w:cs="Palatino Linotype"/>
          <w:color w:val="000000" w:themeColor="text1"/>
          <w:kern w:val="28"/>
        </w:rPr>
      </w:pPr>
      <w:r w:rsidRPr="003729AD">
        <w:rPr>
          <w:rFonts w:ascii="Palatino Linotype" w:eastAsia="Palatino Linotype" w:hAnsi="Palatino Linotype" w:cs="Palatino Linotype"/>
          <w:color w:val="000000" w:themeColor="text1"/>
          <w:kern w:val="28"/>
        </w:rPr>
        <w:t xml:space="preserve">Del análisis realizado a las documentales remitidas por el </w:t>
      </w:r>
      <w:r w:rsidRPr="003729AD">
        <w:rPr>
          <w:rFonts w:ascii="Palatino Linotype" w:eastAsia="Palatino Linotype" w:hAnsi="Palatino Linotype" w:cs="Palatino Linotype"/>
          <w:b/>
          <w:color w:val="000000" w:themeColor="text1"/>
          <w:kern w:val="28"/>
        </w:rPr>
        <w:t xml:space="preserve">SUJETO OBLIGADO </w:t>
      </w:r>
      <w:r w:rsidRPr="003729AD">
        <w:rPr>
          <w:rFonts w:ascii="Palatino Linotype" w:eastAsia="Palatino Linotype" w:hAnsi="Palatino Linotype" w:cs="Palatino Linotype"/>
          <w:color w:val="000000" w:themeColor="text1"/>
          <w:kern w:val="28"/>
        </w:rPr>
        <w:t xml:space="preserve">se advierte que dejó visible el nombre </w:t>
      </w:r>
      <w:r w:rsidRPr="003729AD">
        <w:rPr>
          <w:rFonts w:ascii="Palatino Linotype" w:hAnsi="Palatino Linotype" w:cs="Arial"/>
          <w:color w:val="000000" w:themeColor="text1"/>
        </w:rPr>
        <w:t>proveedores</w:t>
      </w:r>
      <w:r w:rsidRPr="003729AD">
        <w:rPr>
          <w:rFonts w:ascii="Palatino Linotype" w:eastAsia="Palatino Linotype" w:hAnsi="Palatino Linotype" w:cs="Palatino Linotype"/>
          <w:color w:val="000000" w:themeColor="text1"/>
          <w:kern w:val="28"/>
        </w:rPr>
        <w:t xml:space="preserve"> y contratistas.  </w:t>
      </w:r>
    </w:p>
    <w:p w:rsidR="006F1C9E" w:rsidRPr="003729AD" w:rsidRDefault="006F1C9E" w:rsidP="003729AD">
      <w:pPr>
        <w:tabs>
          <w:tab w:val="left" w:pos="0"/>
        </w:tabs>
        <w:spacing w:line="360" w:lineRule="auto"/>
        <w:contextualSpacing/>
        <w:jc w:val="both"/>
        <w:rPr>
          <w:rFonts w:ascii="Palatino Linotype" w:eastAsia="Palatino Linotype" w:hAnsi="Palatino Linotype" w:cs="Palatino Linotype"/>
          <w:color w:val="000000" w:themeColor="text1"/>
          <w:kern w:val="28"/>
        </w:rPr>
      </w:pPr>
    </w:p>
    <w:p w:rsidR="006F1C9E" w:rsidRPr="003729AD" w:rsidRDefault="006F1C9E" w:rsidP="003729AD">
      <w:pPr>
        <w:numPr>
          <w:ilvl w:val="0"/>
          <w:numId w:val="9"/>
        </w:numPr>
        <w:tabs>
          <w:tab w:val="left" w:pos="0"/>
        </w:tabs>
        <w:spacing w:line="360" w:lineRule="auto"/>
        <w:ind w:left="567" w:firstLine="0"/>
        <w:contextualSpacing/>
        <w:jc w:val="both"/>
        <w:rPr>
          <w:rFonts w:ascii="Palatino Linotype" w:hAnsi="Palatino Linotype"/>
          <w:color w:val="000000" w:themeColor="text1"/>
        </w:rPr>
      </w:pPr>
      <w:r w:rsidRPr="003729AD">
        <w:rPr>
          <w:rFonts w:ascii="Palatino Linotype" w:hAnsi="Palatino Linotype" w:cs="Arial"/>
          <w:b/>
          <w:color w:val="000000" w:themeColor="text1"/>
        </w:rPr>
        <w:t>Registro Federal de Contribuyentes</w:t>
      </w:r>
      <w:r w:rsidRPr="003729AD">
        <w:rPr>
          <w:rFonts w:ascii="Palatino Linotype" w:hAnsi="Palatino Linotype" w:cs="Arial"/>
          <w:color w:val="000000" w:themeColor="text1"/>
        </w:rPr>
        <w:t xml:space="preserve"> </w:t>
      </w:r>
      <w:r w:rsidRPr="003729AD">
        <w:rPr>
          <w:rFonts w:ascii="Palatino Linotype" w:hAnsi="Palatino Linotype" w:cs="Arial"/>
          <w:b/>
          <w:color w:val="000000" w:themeColor="text1"/>
        </w:rPr>
        <w:t>de las personas físicas</w:t>
      </w:r>
      <w:r w:rsidR="00913AAE" w:rsidRPr="003729AD">
        <w:rPr>
          <w:rFonts w:ascii="Palatino Linotype" w:hAnsi="Palatino Linotype" w:cs="Arial"/>
          <w:b/>
          <w:color w:val="000000" w:themeColor="text1"/>
        </w:rPr>
        <w:t>.</w:t>
      </w: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olor w:val="000000" w:themeColor="text1"/>
        </w:rPr>
      </w:pPr>
      <w:r w:rsidRPr="003729AD">
        <w:rPr>
          <w:rFonts w:ascii="Palatino Linotype" w:hAnsi="Palatino Linotype" w:cs="Arial"/>
          <w:color w:val="000000" w:themeColor="text1"/>
        </w:rPr>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3729AD">
        <w:rPr>
          <w:rFonts w:ascii="Palatino Linotype" w:eastAsia="Arial Unicode MS" w:hAnsi="Palatino Linotype" w:cs="Arial"/>
          <w:color w:val="000000" w:themeColor="text1"/>
        </w:rPr>
        <w:t>seguida</w:t>
      </w:r>
      <w:r w:rsidRPr="003729AD">
        <w:rPr>
          <w:rFonts w:ascii="Palatino Linotype" w:hAnsi="Palatino Linotype" w:cs="Arial"/>
          <w:color w:val="000000" w:themeColor="text1"/>
        </w:rPr>
        <w:t xml:space="preserve"> de la primera letra del segundo apellido y por último la primera letra del nombre, posterior la fecha de nacimiento año/mes/día</w:t>
      </w:r>
      <w:r w:rsidRPr="003729AD">
        <w:rPr>
          <w:rFonts w:ascii="Palatino Linotype" w:hAnsi="Palatino Linotype"/>
          <w:color w:val="000000" w:themeColor="text1"/>
        </w:rPr>
        <w:t xml:space="preserve"> y finalmente la homoclave; la cual, para su obtención es necesario acreditar personalidad, fecha de nacimiento entre otros con documentos oficiales.</w:t>
      </w:r>
    </w:p>
    <w:p w:rsidR="006F1C9E" w:rsidRPr="003729AD" w:rsidRDefault="006F1C9E" w:rsidP="003729AD">
      <w:pPr>
        <w:tabs>
          <w:tab w:val="left" w:pos="0"/>
        </w:tabs>
        <w:spacing w:line="360" w:lineRule="auto"/>
        <w:jc w:val="both"/>
        <w:rPr>
          <w:rFonts w:ascii="Palatino Linotype" w:hAnsi="Palatino Linotype"/>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b/>
          <w:bCs/>
          <w:color w:val="000000" w:themeColor="text1"/>
        </w:rPr>
      </w:pPr>
      <w:r w:rsidRPr="003729AD">
        <w:rPr>
          <w:rFonts w:ascii="Palatino Linotype" w:hAnsi="Palatino Linotype" w:cs="Arial"/>
          <w:color w:val="000000" w:themeColor="text1"/>
        </w:rPr>
        <w:t xml:space="preserve">Al respecto, es aplicable el Criterio 19/17 de la Segunda Época, emitido por </w:t>
      </w:r>
      <w:r w:rsidRPr="003729AD">
        <w:rPr>
          <w:rFonts w:ascii="Palatino Linotype" w:eastAsia="Arial Unicode MS" w:hAnsi="Palatino Linotype" w:cs="Arial"/>
          <w:color w:val="000000" w:themeColor="text1"/>
        </w:rPr>
        <w:t xml:space="preserve">el Instituto Nacional de </w:t>
      </w:r>
      <w:r w:rsidRPr="003729AD">
        <w:rPr>
          <w:rFonts w:ascii="Palatino Linotype" w:hAnsi="Palatino Linotype"/>
          <w:bCs/>
          <w:color w:val="000000" w:themeColor="text1"/>
        </w:rPr>
        <w:t>Transparencia</w:t>
      </w:r>
      <w:r w:rsidRPr="003729AD">
        <w:rPr>
          <w:rFonts w:ascii="Palatino Linotype" w:eastAsia="Arial Unicode MS" w:hAnsi="Palatino Linotype" w:cs="Arial"/>
          <w:color w:val="000000" w:themeColor="text1"/>
        </w:rPr>
        <w:t xml:space="preserve">, Acceso a la </w:t>
      </w:r>
      <w:r w:rsidRPr="003729AD">
        <w:rPr>
          <w:rFonts w:ascii="Palatino Linotype" w:hAnsi="Palatino Linotype" w:cs="Arial"/>
          <w:color w:val="000000" w:themeColor="text1"/>
        </w:rPr>
        <w:t>Información</w:t>
      </w:r>
      <w:r w:rsidRPr="003729AD">
        <w:rPr>
          <w:rFonts w:ascii="Palatino Linotype" w:eastAsia="Arial Unicode MS" w:hAnsi="Palatino Linotype" w:cs="Arial"/>
          <w:color w:val="000000" w:themeColor="text1"/>
        </w:rPr>
        <w:t xml:space="preserve"> y Protección de Datos Personales,</w:t>
      </w:r>
      <w:r w:rsidRPr="003729AD">
        <w:rPr>
          <w:rFonts w:ascii="Palatino Linotype" w:hAnsi="Palatino Linotype"/>
          <w:bCs/>
          <w:color w:val="000000" w:themeColor="text1"/>
        </w:rPr>
        <w:t xml:space="preserve"> que dice:</w:t>
      </w:r>
      <w:r w:rsidRPr="003729AD">
        <w:rPr>
          <w:rFonts w:ascii="Palatino Linotype" w:hAnsi="Palatino Linotype"/>
          <w:b/>
          <w:bCs/>
          <w:color w:val="000000" w:themeColor="text1"/>
        </w:rPr>
        <w:t xml:space="preserve">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i/>
          <w:color w:val="000000" w:themeColor="text1"/>
          <w:kern w:val="28"/>
        </w:rPr>
        <w:lastRenderedPageBreak/>
        <w:t>“</w:t>
      </w:r>
      <w:r w:rsidRPr="003729AD">
        <w:rPr>
          <w:rFonts w:ascii="Palatino Linotype" w:hAnsi="Palatino Linotype"/>
          <w:b/>
          <w:i/>
          <w:color w:val="000000" w:themeColor="text1"/>
          <w:kern w:val="28"/>
        </w:rPr>
        <w:t>Registro Federal de Contribuyentes (RFC) de personas físicas.</w:t>
      </w:r>
      <w:r w:rsidRPr="003729AD">
        <w:rPr>
          <w:rFonts w:ascii="Palatino Linotype" w:hAnsi="Palatino Linotype"/>
          <w:i/>
          <w:color w:val="000000" w:themeColor="text1"/>
          <w:kern w:val="28"/>
        </w:rPr>
        <w:t xml:space="preserve"> El RFC es una clave de carácter fiscal, única e irrepetible, que permite identificar al titular, su edad y fecha de nacimiento, por lo que es un dato personal de carácter confidencial.</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i/>
          <w:color w:val="000000" w:themeColor="text1"/>
          <w:kern w:val="28"/>
        </w:rPr>
        <w:t xml:space="preserve"> (Énfasis añadido)</w:t>
      </w:r>
    </w:p>
    <w:p w:rsidR="006F1C9E" w:rsidRPr="003729AD" w:rsidRDefault="006F1C9E" w:rsidP="003729AD">
      <w:pPr>
        <w:tabs>
          <w:tab w:val="left" w:pos="0"/>
        </w:tabs>
        <w:autoSpaceDE w:val="0"/>
        <w:autoSpaceDN w:val="0"/>
        <w:adjustRightInd w:val="0"/>
        <w:spacing w:line="360" w:lineRule="auto"/>
        <w:ind w:left="851"/>
        <w:jc w:val="both"/>
        <w:rPr>
          <w:rFonts w:ascii="Palatino Linotype" w:hAnsi="Palatino Linotype" w:cs="Arial"/>
          <w:color w:val="000000" w:themeColor="text1"/>
        </w:rPr>
      </w:pP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s="Arial"/>
          <w:color w:val="000000" w:themeColor="text1"/>
        </w:rPr>
      </w:pPr>
      <w:r w:rsidRPr="003729AD">
        <w:rPr>
          <w:rFonts w:ascii="Palatino Linotype" w:hAnsi="Palatino Linotype" w:cs="Arial"/>
          <w:color w:val="000000" w:themeColor="text1"/>
        </w:rPr>
        <w:t xml:space="preserve">De lo anterior, se desprende que el Registro Federal de Contribuyentes se vincula al nombre de su </w:t>
      </w:r>
      <w:r w:rsidRPr="003729AD">
        <w:rPr>
          <w:rFonts w:ascii="Palatino Linotype" w:hAnsi="Palatino Linotype"/>
          <w:bCs/>
          <w:color w:val="000000" w:themeColor="text1"/>
        </w:rPr>
        <w:t>titular</w:t>
      </w:r>
      <w:r w:rsidRPr="003729AD">
        <w:rPr>
          <w:rFonts w:ascii="Palatino Linotype" w:hAnsi="Palatino Linotype" w:cs="Arial"/>
          <w:color w:val="000000" w:themeColor="text1"/>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3729AD">
        <w:rPr>
          <w:rFonts w:ascii="Palatino Linotype" w:hAnsi="Palatino Linotype"/>
          <w:color w:val="000000" w:themeColor="text1"/>
        </w:rPr>
        <w:t>Municipios</w:t>
      </w:r>
      <w:r w:rsidRPr="003729AD">
        <w:rPr>
          <w:rFonts w:ascii="Palatino Linotype" w:hAnsi="Palatino Linotype" w:cs="Arial"/>
          <w:color w:val="000000" w:themeColor="text1"/>
        </w:rPr>
        <w:t xml:space="preserve"> y 4 fracción XI de la Ley de Protección de Datos Personales en Posesión de Sujetos Obligados del Estado de México y Municipios.</w:t>
      </w:r>
    </w:p>
    <w:p w:rsidR="006F1C9E" w:rsidRPr="003729AD" w:rsidRDefault="006F1C9E" w:rsidP="003729AD">
      <w:pPr>
        <w:tabs>
          <w:tab w:val="left" w:pos="0"/>
        </w:tabs>
        <w:spacing w:line="360" w:lineRule="auto"/>
        <w:jc w:val="both"/>
        <w:rPr>
          <w:rFonts w:ascii="Palatino Linotype" w:hAnsi="Palatino Linotype" w:cs="Tahoma"/>
          <w:color w:val="000000" w:themeColor="text1"/>
        </w:rPr>
      </w:pPr>
    </w:p>
    <w:p w:rsidR="006F1C9E" w:rsidRPr="003729AD" w:rsidRDefault="006F1C9E" w:rsidP="003729AD">
      <w:pPr>
        <w:pStyle w:val="Prrafodelista"/>
        <w:numPr>
          <w:ilvl w:val="0"/>
          <w:numId w:val="10"/>
        </w:numPr>
        <w:tabs>
          <w:tab w:val="left" w:pos="0"/>
        </w:tabs>
        <w:spacing w:line="360" w:lineRule="auto"/>
        <w:ind w:left="567" w:firstLine="0"/>
        <w:jc w:val="both"/>
        <w:rPr>
          <w:rFonts w:ascii="Palatino Linotype" w:eastAsia="Palatino Linotype" w:hAnsi="Palatino Linotype" w:cs="Palatino Linotype"/>
          <w:b/>
          <w:bCs/>
          <w:color w:val="000000" w:themeColor="text1"/>
        </w:rPr>
      </w:pPr>
      <w:r w:rsidRPr="003729AD">
        <w:rPr>
          <w:rFonts w:ascii="Palatino Linotype" w:eastAsia="Palatino Linotype" w:hAnsi="Palatino Linotype" w:cs="Palatino Linotype"/>
          <w:b/>
          <w:bCs/>
          <w:color w:val="000000" w:themeColor="text1"/>
        </w:rPr>
        <w:t xml:space="preserve">Nombre y RFC de personas a las que se les depositó montos por concepto de pensión alimenticia. </w:t>
      </w:r>
    </w:p>
    <w:p w:rsidR="006F1C9E" w:rsidRPr="003729AD" w:rsidRDefault="006F1C9E" w:rsidP="003729AD">
      <w:pPr>
        <w:pStyle w:val="Prrafodelista"/>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Al corresponder el monto depositado a descuentos realizados a los trabajadores, corresponde a información confidencial; por lo que se actualiza el supuesto previsto en el artículo 143 de la Ley en la materia</w:t>
      </w:r>
      <w:r w:rsidRPr="003729AD">
        <w:rPr>
          <w:rFonts w:ascii="Palatino Linotype" w:eastAsia="Palatino Linotype" w:hAnsi="Palatino Linotype" w:cs="Palatino Linotype"/>
          <w:b/>
          <w:color w:val="000000" w:themeColor="text1"/>
        </w:rPr>
        <w:t xml:space="preserve">. </w:t>
      </w:r>
    </w:p>
    <w:p w:rsidR="006F1C9E" w:rsidRPr="003729AD" w:rsidRDefault="006F1C9E" w:rsidP="003729AD">
      <w:pPr>
        <w:tabs>
          <w:tab w:val="left" w:pos="0"/>
        </w:tabs>
        <w:spacing w:line="360" w:lineRule="auto"/>
        <w:jc w:val="both"/>
        <w:rPr>
          <w:rFonts w:ascii="Palatino Linotype" w:hAnsi="Palatino Linotype" w:cs="Arial"/>
          <w:color w:val="000000" w:themeColor="text1"/>
        </w:rPr>
      </w:pPr>
    </w:p>
    <w:p w:rsidR="006F1C9E" w:rsidRPr="003729AD" w:rsidRDefault="006F1C9E" w:rsidP="003729AD">
      <w:pPr>
        <w:numPr>
          <w:ilvl w:val="0"/>
          <w:numId w:val="11"/>
        </w:numPr>
        <w:tabs>
          <w:tab w:val="left" w:pos="0"/>
        </w:tabs>
        <w:autoSpaceDE w:val="0"/>
        <w:autoSpaceDN w:val="0"/>
        <w:adjustRightInd w:val="0"/>
        <w:spacing w:after="160" w:line="360" w:lineRule="auto"/>
        <w:ind w:left="567" w:firstLine="0"/>
        <w:contextualSpacing/>
        <w:jc w:val="both"/>
        <w:rPr>
          <w:rFonts w:ascii="Palatino Linotype" w:hAnsi="Palatino Linotype"/>
          <w:b/>
          <w:color w:val="000000" w:themeColor="text1"/>
        </w:rPr>
      </w:pPr>
      <w:r w:rsidRPr="003729AD">
        <w:rPr>
          <w:rFonts w:ascii="Palatino Linotype" w:hAnsi="Palatino Linotype"/>
          <w:b/>
          <w:color w:val="000000" w:themeColor="text1"/>
        </w:rPr>
        <w:t xml:space="preserve">Cuentas bancarias de particulares </w:t>
      </w:r>
    </w:p>
    <w:p w:rsidR="006F1C9E" w:rsidRPr="003729AD" w:rsidRDefault="006F1C9E" w:rsidP="003729AD">
      <w:pPr>
        <w:pStyle w:val="Prrafodelista"/>
        <w:numPr>
          <w:ilvl w:val="0"/>
          <w:numId w:val="2"/>
        </w:numPr>
        <w:tabs>
          <w:tab w:val="left" w:pos="0"/>
        </w:tabs>
        <w:spacing w:line="360" w:lineRule="auto"/>
        <w:jc w:val="both"/>
        <w:rPr>
          <w:rFonts w:ascii="Palatino Linotype" w:hAnsi="Palatino Linotype"/>
          <w:color w:val="000000" w:themeColor="text1"/>
        </w:rPr>
      </w:pPr>
      <w:r w:rsidRPr="003729AD">
        <w:rPr>
          <w:rFonts w:ascii="Palatino Linotype" w:hAnsi="Palatino Linotype" w:cs="Arial"/>
          <w:color w:val="000000" w:themeColor="text1"/>
        </w:rPr>
        <w:t xml:space="preserve">Es importante señalar que </w:t>
      </w:r>
      <w:r w:rsidRPr="003729AD">
        <w:rPr>
          <w:rFonts w:ascii="Palatino Linotype" w:hAnsi="Palatino Linotype"/>
          <w:color w:val="000000" w:themeColor="text1"/>
        </w:rPr>
        <w:t xml:space="preserve">por cuanto hace al </w:t>
      </w:r>
      <w:r w:rsidRPr="003729AD">
        <w:rPr>
          <w:rFonts w:ascii="Palatino Linotype" w:hAnsi="Palatino Linotype"/>
          <w:b/>
          <w:bCs/>
          <w:color w:val="000000" w:themeColor="text1"/>
        </w:rPr>
        <w:t>número de cuenta bancaria</w:t>
      </w:r>
      <w:r w:rsidRPr="003729AD">
        <w:rPr>
          <w:rFonts w:ascii="Palatino Linotype" w:hAnsi="Palatino Linotype"/>
          <w:color w:val="000000" w:themeColor="text1"/>
        </w:rPr>
        <w:t xml:space="preserve"> </w:t>
      </w:r>
      <w:r w:rsidRPr="003729AD">
        <w:rPr>
          <w:rFonts w:ascii="Palatino Linotype" w:hAnsi="Palatino Linotype"/>
          <w:b/>
          <w:bCs/>
          <w:color w:val="000000" w:themeColor="text1"/>
        </w:rPr>
        <w:t>de los particulares</w:t>
      </w:r>
      <w:r w:rsidRPr="003729AD">
        <w:rPr>
          <w:rFonts w:ascii="Palatino Linotype" w:hAnsi="Palatino Linotype"/>
          <w:color w:val="000000" w:themeColor="text1"/>
        </w:rPr>
        <w:t xml:space="preserve"> debe ser clasificado como confidencial con fundamento en las fracciones I y II del artículo 143 de la Ley de la Materia de la Entidad; en razón de que, con su difusión se estaría poniendo en riesgo la seguridad de su titular.</w:t>
      </w:r>
    </w:p>
    <w:p w:rsidR="00913AAE" w:rsidRPr="003729AD" w:rsidRDefault="006F1C9E" w:rsidP="003729AD">
      <w:pPr>
        <w:pStyle w:val="Prrafodelista"/>
        <w:numPr>
          <w:ilvl w:val="0"/>
          <w:numId w:val="2"/>
        </w:numPr>
        <w:tabs>
          <w:tab w:val="left" w:pos="0"/>
        </w:tabs>
        <w:autoSpaceDE w:val="0"/>
        <w:autoSpaceDN w:val="0"/>
        <w:adjustRightInd w:val="0"/>
        <w:spacing w:line="360" w:lineRule="auto"/>
        <w:jc w:val="both"/>
        <w:rPr>
          <w:rFonts w:ascii="Palatino Linotype" w:hAnsi="Palatino Linotype"/>
          <w:color w:val="000000" w:themeColor="text1"/>
        </w:rPr>
      </w:pPr>
      <w:r w:rsidRPr="003729AD">
        <w:rPr>
          <w:rFonts w:ascii="Palatino Linotype" w:hAnsi="Palatino Linotype"/>
          <w:color w:val="000000" w:themeColor="text1"/>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913AAE" w:rsidRPr="003729AD" w:rsidRDefault="00913AAE" w:rsidP="003729AD">
      <w:pPr>
        <w:pStyle w:val="Prrafodelista"/>
        <w:tabs>
          <w:tab w:val="left" w:pos="0"/>
        </w:tabs>
        <w:autoSpaceDE w:val="0"/>
        <w:autoSpaceDN w:val="0"/>
        <w:adjustRightInd w:val="0"/>
        <w:spacing w:line="360" w:lineRule="auto"/>
        <w:ind w:left="0"/>
        <w:jc w:val="both"/>
        <w:rPr>
          <w:rFonts w:ascii="Palatino Linotype" w:hAnsi="Palatino Linotype"/>
          <w:color w:val="000000" w:themeColor="text1"/>
        </w:rPr>
      </w:pPr>
    </w:p>
    <w:p w:rsidR="006F1C9E" w:rsidRPr="003729AD" w:rsidRDefault="006F1C9E" w:rsidP="003729AD">
      <w:pPr>
        <w:pStyle w:val="Prrafodelista"/>
        <w:numPr>
          <w:ilvl w:val="0"/>
          <w:numId w:val="2"/>
        </w:numPr>
        <w:tabs>
          <w:tab w:val="left" w:pos="0"/>
        </w:tabs>
        <w:autoSpaceDE w:val="0"/>
        <w:autoSpaceDN w:val="0"/>
        <w:adjustRightInd w:val="0"/>
        <w:spacing w:line="360" w:lineRule="auto"/>
        <w:jc w:val="both"/>
        <w:rPr>
          <w:rFonts w:ascii="Palatino Linotype" w:hAnsi="Palatino Linotype"/>
          <w:color w:val="000000" w:themeColor="text1"/>
        </w:rPr>
      </w:pPr>
      <w:r w:rsidRPr="003729AD">
        <w:rPr>
          <w:rFonts w:ascii="Palatino Linotype" w:hAnsi="Palatino Linotype"/>
          <w:color w:val="000000" w:themeColor="text1"/>
        </w:rPr>
        <w:t>Lo anterior encuentra sustento en el criterio 10/17 emitido por el Instituto Nacional de Transparencia y Acceso a la Información Pública del Estado de México y Municipios, que a la letra dicen:</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“Cuentas bancarias y/o CLABE interbancaria de personas físicas y morales privadas.</w:t>
      </w:r>
      <w:r w:rsidRPr="003729AD">
        <w:rPr>
          <w:rFonts w:ascii="Palatino Linotype" w:hAnsi="Palatino Linotype"/>
          <w:i/>
          <w:color w:val="000000" w:themeColor="text1"/>
          <w:kern w:val="28"/>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p>
    <w:p w:rsidR="006F1C9E" w:rsidRPr="003729AD" w:rsidRDefault="006F1C9E" w:rsidP="003729AD">
      <w:pPr>
        <w:tabs>
          <w:tab w:val="left" w:pos="0"/>
        </w:tabs>
        <w:ind w:left="567"/>
        <w:contextualSpacing/>
        <w:jc w:val="both"/>
        <w:rPr>
          <w:rFonts w:ascii="Palatino Linotype" w:hAnsi="Palatino Linotype"/>
          <w:b/>
          <w:bCs/>
          <w:i/>
          <w:color w:val="000000" w:themeColor="text1"/>
          <w:kern w:val="28"/>
        </w:rPr>
      </w:pPr>
      <w:r w:rsidRPr="003729AD">
        <w:rPr>
          <w:rFonts w:ascii="Palatino Linotype" w:hAnsi="Palatino Linotype"/>
          <w:b/>
          <w:bCs/>
          <w:i/>
          <w:color w:val="000000" w:themeColor="text1"/>
          <w:kern w:val="28"/>
        </w:rPr>
        <w:t xml:space="preserve"> Resoluciones: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bCs/>
          <w:i/>
          <w:color w:val="000000" w:themeColor="text1"/>
          <w:kern w:val="28"/>
        </w:rPr>
        <w:t xml:space="preserve">RRA 1276/16 </w:t>
      </w:r>
      <w:r w:rsidRPr="003729AD">
        <w:rPr>
          <w:rFonts w:ascii="Palatino Linotype" w:hAnsi="Palatino Linotype"/>
          <w:i/>
          <w:color w:val="000000" w:themeColor="text1"/>
          <w:kern w:val="28"/>
        </w:rPr>
        <w:t xml:space="preserve">Grupo Aeroportuario de la Ciudad de México. S.A. de C.V. 01 de noviembre de 2016. Por unanimidad. Comisionada Ponente Areli Cano Guadiana.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bCs/>
          <w:i/>
          <w:color w:val="000000" w:themeColor="text1"/>
          <w:kern w:val="28"/>
        </w:rPr>
        <w:t>RRA 3527/16</w:t>
      </w:r>
      <w:r w:rsidRPr="003729AD">
        <w:rPr>
          <w:rFonts w:ascii="Palatino Linotype" w:hAnsi="Palatino Linotype"/>
          <w:i/>
          <w:color w:val="000000" w:themeColor="text1"/>
          <w:kern w:val="28"/>
        </w:rPr>
        <w:t xml:space="preserve"> Servicio de Administración Tributaria. 07 de diciembre de 2016. Por unanimidad. Comisionada Ponente Ximena Puente de la Mora.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bCs/>
          <w:i/>
          <w:color w:val="000000" w:themeColor="text1"/>
          <w:kern w:val="28"/>
        </w:rPr>
        <w:t>RRA 4404/16</w:t>
      </w:r>
      <w:r w:rsidRPr="003729AD">
        <w:rPr>
          <w:rFonts w:ascii="Palatino Linotype" w:hAnsi="Palatino Linotype"/>
          <w:i/>
          <w:color w:val="000000" w:themeColor="text1"/>
          <w:kern w:val="28"/>
        </w:rPr>
        <w:t xml:space="preserve"> Partido del Trabajo. 01 de febrero de 2017. Por unanimidad. Comisionado Ponente Francisco Acuña Llamas.”</w:t>
      </w:r>
    </w:p>
    <w:p w:rsidR="006F1C9E" w:rsidRDefault="006F1C9E" w:rsidP="003729AD">
      <w:pPr>
        <w:tabs>
          <w:tab w:val="left" w:pos="0"/>
        </w:tabs>
        <w:autoSpaceDE w:val="0"/>
        <w:autoSpaceDN w:val="0"/>
        <w:adjustRightInd w:val="0"/>
        <w:spacing w:line="360" w:lineRule="auto"/>
        <w:ind w:left="851"/>
        <w:jc w:val="both"/>
        <w:rPr>
          <w:rFonts w:ascii="Palatino Linotype" w:hAnsi="Palatino Linotype"/>
          <w:b/>
          <w:i/>
          <w:color w:val="000000" w:themeColor="text1"/>
        </w:rPr>
      </w:pPr>
    </w:p>
    <w:p w:rsidR="00BD63EE" w:rsidRPr="003729AD" w:rsidRDefault="00BD63EE" w:rsidP="003729AD">
      <w:pPr>
        <w:tabs>
          <w:tab w:val="left" w:pos="0"/>
        </w:tabs>
        <w:autoSpaceDE w:val="0"/>
        <w:autoSpaceDN w:val="0"/>
        <w:adjustRightInd w:val="0"/>
        <w:spacing w:line="360" w:lineRule="auto"/>
        <w:ind w:left="851"/>
        <w:jc w:val="both"/>
        <w:rPr>
          <w:rFonts w:ascii="Palatino Linotype" w:hAnsi="Palatino Linotype"/>
          <w:b/>
          <w:i/>
          <w:color w:val="000000" w:themeColor="text1"/>
        </w:rPr>
      </w:pPr>
    </w:p>
    <w:p w:rsidR="006F1C9E" w:rsidRPr="003729AD" w:rsidRDefault="006F1C9E" w:rsidP="003729AD">
      <w:pPr>
        <w:numPr>
          <w:ilvl w:val="0"/>
          <w:numId w:val="11"/>
        </w:numPr>
        <w:tabs>
          <w:tab w:val="left" w:pos="0"/>
        </w:tabs>
        <w:autoSpaceDE w:val="0"/>
        <w:autoSpaceDN w:val="0"/>
        <w:adjustRightInd w:val="0"/>
        <w:spacing w:after="160" w:line="360" w:lineRule="auto"/>
        <w:ind w:left="567" w:firstLine="0"/>
        <w:contextualSpacing/>
        <w:jc w:val="both"/>
        <w:rPr>
          <w:rFonts w:ascii="Palatino Linotype" w:hAnsi="Palatino Linotype"/>
          <w:b/>
          <w:color w:val="000000" w:themeColor="text1"/>
        </w:rPr>
      </w:pPr>
      <w:r w:rsidRPr="003729AD">
        <w:rPr>
          <w:rFonts w:ascii="Palatino Linotype" w:hAnsi="Palatino Linotype"/>
          <w:b/>
          <w:color w:val="000000" w:themeColor="text1"/>
        </w:rPr>
        <w:lastRenderedPageBreak/>
        <w:t>Cuentas bancarias de los Sujetos Obligados</w:t>
      </w:r>
    </w:p>
    <w:p w:rsidR="006F1C9E" w:rsidRPr="003729AD" w:rsidRDefault="006F1C9E" w:rsidP="003729AD">
      <w:pPr>
        <w:pStyle w:val="Prrafodelista"/>
        <w:numPr>
          <w:ilvl w:val="0"/>
          <w:numId w:val="2"/>
        </w:numPr>
        <w:tabs>
          <w:tab w:val="left" w:pos="0"/>
        </w:tabs>
        <w:autoSpaceDE w:val="0"/>
        <w:autoSpaceDN w:val="0"/>
        <w:adjustRightInd w:val="0"/>
        <w:spacing w:line="360" w:lineRule="auto"/>
        <w:jc w:val="both"/>
        <w:rPr>
          <w:rFonts w:ascii="Palatino Linotype" w:hAnsi="Palatino Linotype"/>
          <w:color w:val="000000" w:themeColor="text1"/>
        </w:rPr>
      </w:pPr>
      <w:r w:rsidRPr="003729AD">
        <w:rPr>
          <w:rFonts w:ascii="Palatino Linotype" w:hAnsi="Palatino Linotype"/>
          <w:color w:val="000000" w:themeColor="text1"/>
        </w:rPr>
        <w:t xml:space="preserve">Por cuanto hace a las </w:t>
      </w:r>
      <w:r w:rsidRPr="003729AD">
        <w:rPr>
          <w:rFonts w:ascii="Palatino Linotype" w:hAnsi="Palatino Linotype"/>
          <w:b/>
          <w:bCs/>
          <w:color w:val="000000" w:themeColor="text1"/>
        </w:rPr>
        <w:t>cuentas bancarias de los Sujetos obligados</w:t>
      </w:r>
      <w:r w:rsidRPr="003729AD">
        <w:rPr>
          <w:rFonts w:ascii="Palatino Linotype" w:hAnsi="Palatino Linotype"/>
          <w:color w:val="000000" w:themeColor="text1"/>
        </w:rPr>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i/>
          <w:color w:val="000000" w:themeColor="text1"/>
          <w:kern w:val="28"/>
        </w:rPr>
        <w:t>“</w:t>
      </w:r>
      <w:r w:rsidRPr="003729AD">
        <w:rPr>
          <w:rFonts w:ascii="Palatino Linotype" w:hAnsi="Palatino Linotype"/>
          <w:b/>
          <w:bCs/>
          <w:i/>
          <w:color w:val="000000" w:themeColor="text1"/>
          <w:kern w:val="28"/>
        </w:rPr>
        <w:t>Cuentas bancarias y/o CLABE interbancaria de sujetos obligados que reciben y/o transfieren recursos públicos, son información pública</w:t>
      </w:r>
      <w:r w:rsidRPr="003729AD">
        <w:rPr>
          <w:rFonts w:ascii="Palatino Linotype" w:hAnsi="Palatino Linotype"/>
          <w:i/>
          <w:color w:val="000000" w:themeColor="text1"/>
          <w:kern w:val="28"/>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p>
    <w:p w:rsidR="006F1C9E" w:rsidRPr="003729AD" w:rsidRDefault="006F1C9E" w:rsidP="003729AD">
      <w:pPr>
        <w:tabs>
          <w:tab w:val="left" w:pos="0"/>
        </w:tabs>
        <w:ind w:left="567"/>
        <w:contextualSpacing/>
        <w:jc w:val="both"/>
        <w:rPr>
          <w:rFonts w:ascii="Palatino Linotype" w:hAnsi="Palatino Linotype"/>
          <w:b/>
          <w:i/>
          <w:color w:val="000000" w:themeColor="text1"/>
          <w:kern w:val="28"/>
        </w:rPr>
      </w:pPr>
      <w:r w:rsidRPr="003729AD">
        <w:rPr>
          <w:rFonts w:ascii="Palatino Linotype" w:hAnsi="Palatino Linotype"/>
          <w:b/>
          <w:i/>
          <w:color w:val="000000" w:themeColor="text1"/>
          <w:kern w:val="28"/>
        </w:rPr>
        <w:t xml:space="preserve"> Resoluciones: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RRA 0448/16.</w:t>
      </w:r>
      <w:r w:rsidRPr="003729AD">
        <w:rPr>
          <w:rFonts w:ascii="Palatino Linotype" w:hAnsi="Palatino Linotype"/>
          <w:i/>
          <w:color w:val="000000" w:themeColor="text1"/>
          <w:kern w:val="28"/>
        </w:rPr>
        <w:t xml:space="preserve"> NOTIMEX, Agencia de Noticias del Estado Mexicano. 24 de agosto de 2016. Por unanimidad. Comisionado Ponente Joel Salas Suárez.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RRA 2787/16.</w:t>
      </w:r>
      <w:r w:rsidRPr="003729AD">
        <w:rPr>
          <w:rFonts w:ascii="Palatino Linotype" w:hAnsi="Palatino Linotype"/>
          <w:i/>
          <w:color w:val="000000" w:themeColor="text1"/>
          <w:kern w:val="28"/>
        </w:rPr>
        <w:t xml:space="preserve"> Colegio de Postgraduados. 01 de noviembre de 2016. Por unanimidad. Comisionado Ponente Francisco Javier Acuña Llamas. </w:t>
      </w:r>
    </w:p>
    <w:p w:rsidR="006F1C9E" w:rsidRPr="003729AD" w:rsidRDefault="006F1C9E" w:rsidP="003729AD">
      <w:pPr>
        <w:tabs>
          <w:tab w:val="left" w:pos="0"/>
        </w:tabs>
        <w:ind w:left="567"/>
        <w:contextualSpacing/>
        <w:jc w:val="both"/>
        <w:rPr>
          <w:rFonts w:ascii="Palatino Linotype" w:hAnsi="Palatino Linotype"/>
          <w:i/>
          <w:color w:val="000000" w:themeColor="text1"/>
          <w:kern w:val="28"/>
        </w:rPr>
      </w:pPr>
      <w:r w:rsidRPr="003729AD">
        <w:rPr>
          <w:rFonts w:ascii="Palatino Linotype" w:hAnsi="Palatino Linotype"/>
          <w:b/>
          <w:i/>
          <w:color w:val="000000" w:themeColor="text1"/>
          <w:kern w:val="28"/>
        </w:rPr>
        <w:t>RRA 4756/16.</w:t>
      </w:r>
      <w:r w:rsidRPr="003729AD">
        <w:rPr>
          <w:rFonts w:ascii="Palatino Linotype" w:hAnsi="Palatino Linotype"/>
          <w:i/>
          <w:color w:val="000000" w:themeColor="text1"/>
          <w:kern w:val="28"/>
        </w:rPr>
        <w:t xml:space="preserve"> Instituto Mexicano del Seguro Social. 08 de febrero de 2017. Por unanimidad. Comisionado Ponente Oscar Mauricio Guerra Ford. “</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91D24" w:rsidRPr="003729AD" w:rsidRDefault="00491D24"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3729AD">
        <w:rPr>
          <w:rFonts w:ascii="Palatino Linotype" w:eastAsia="Palatino Linotype" w:hAnsi="Palatino Linotype" w:cs="Palatino Linotype"/>
          <w:b/>
          <w:color w:val="000000" w:themeColor="text1"/>
        </w:rPr>
        <w:t xml:space="preserve"> RECURRENTE</w:t>
      </w:r>
      <w:r w:rsidRPr="003729AD">
        <w:rPr>
          <w:rFonts w:ascii="Palatino Linotype" w:eastAsia="Palatino Linotype" w:hAnsi="Palatino Linotype" w:cs="Palatino Linotype"/>
          <w:color w:val="000000" w:themeColor="text1"/>
        </w:rPr>
        <w:t xml:space="preserve">, determinando </w:t>
      </w:r>
      <w:r w:rsidR="00491D24" w:rsidRPr="003729AD">
        <w:rPr>
          <w:rFonts w:ascii="Palatino Linotype" w:eastAsia="Palatino Linotype" w:hAnsi="Palatino Linotype" w:cs="Palatino Linotype"/>
          <w:b/>
          <w:color w:val="000000" w:themeColor="text1"/>
        </w:rPr>
        <w:t>REVOCAR</w:t>
      </w:r>
      <w:r w:rsidRP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 xml:space="preserve">la respuesta del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xml:space="preserve">, por lo que con fundamento en lo prescrito en los </w:t>
      </w:r>
      <w:r w:rsidRPr="003729AD">
        <w:rPr>
          <w:rFonts w:ascii="Palatino Linotype" w:eastAsia="Palatino Linotype" w:hAnsi="Palatino Linotype" w:cs="Palatino Linotype"/>
          <w:color w:val="000000" w:themeColor="text1"/>
        </w:rPr>
        <w:lastRenderedPageBreak/>
        <w:t xml:space="preserve">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3729AD">
        <w:rPr>
          <w:rFonts w:ascii="Palatino Linotype" w:eastAsia="Palatino Linotype" w:hAnsi="Palatino Linotype" w:cs="Palatino Linotype"/>
          <w:b/>
          <w:color w:val="000000" w:themeColor="text1"/>
        </w:rPr>
        <w:t>ÓRGANO GARANTE</w:t>
      </w:r>
      <w:r w:rsidRPr="003729AD">
        <w:rPr>
          <w:rFonts w:ascii="Palatino Linotype" w:eastAsia="Palatino Linotype" w:hAnsi="Palatino Linotype" w:cs="Palatino Linotype"/>
          <w:color w:val="000000" w:themeColor="text1"/>
        </w:rPr>
        <w:t xml:space="preserve"> emite los siguientes.</w:t>
      </w:r>
    </w:p>
    <w:p w:rsidR="003729AD" w:rsidRPr="003729AD" w:rsidRDefault="003729AD"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pStyle w:val="Ttulo1"/>
        <w:tabs>
          <w:tab w:val="left" w:pos="0"/>
        </w:tabs>
        <w:spacing w:before="0" w:line="360" w:lineRule="auto"/>
        <w:jc w:val="center"/>
        <w:rPr>
          <w:b w:val="0"/>
          <w:color w:val="000000" w:themeColor="text1"/>
        </w:rPr>
      </w:pPr>
      <w:r w:rsidRPr="003729AD">
        <w:rPr>
          <w:color w:val="000000" w:themeColor="text1"/>
        </w:rPr>
        <w:t>R E S O L U T I V O S</w:t>
      </w:r>
    </w:p>
    <w:p w:rsidR="00E40FE1" w:rsidRPr="003729AD" w:rsidRDefault="00E40FE1" w:rsidP="003729AD">
      <w:pPr>
        <w:tabs>
          <w:tab w:val="left" w:pos="0"/>
        </w:tabs>
        <w:spacing w:line="360" w:lineRule="auto"/>
        <w:rPr>
          <w:rFonts w:ascii="Palatino Linotype" w:eastAsia="Palatino Linotype" w:hAnsi="Palatino Linotype" w:cs="Palatino Linotype"/>
          <w:color w:val="000000" w:themeColor="text1"/>
        </w:rPr>
      </w:pPr>
    </w:p>
    <w:p w:rsidR="00E40FE1" w:rsidRPr="003729AD" w:rsidRDefault="0010134C" w:rsidP="003729AD">
      <w:pP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b/>
          <w:color w:val="000000" w:themeColor="text1"/>
        </w:rPr>
        <w:t>PRIMERO</w:t>
      </w:r>
      <w:r w:rsidRPr="003729AD">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7B62AF" w:rsidRPr="003729AD">
        <w:rPr>
          <w:rFonts w:ascii="Palatino Linotype" w:eastAsia="Palatino Linotype" w:hAnsi="Palatino Linotype" w:cs="Palatino Linotype"/>
          <w:b/>
          <w:color w:val="000000" w:themeColor="text1"/>
        </w:rPr>
        <w:t>05768</w:t>
      </w:r>
      <w:r w:rsidRPr="003729AD">
        <w:rPr>
          <w:rFonts w:ascii="Palatino Linotype" w:eastAsia="Palatino Linotype" w:hAnsi="Palatino Linotype" w:cs="Palatino Linotype"/>
          <w:b/>
          <w:color w:val="000000" w:themeColor="text1"/>
        </w:rPr>
        <w:t xml:space="preserve">/INFOEM/IP/RR/2025 </w:t>
      </w:r>
      <w:r w:rsidRPr="003729AD">
        <w:rPr>
          <w:rFonts w:ascii="Palatino Linotype" w:eastAsia="Palatino Linotype" w:hAnsi="Palatino Linotype" w:cs="Palatino Linotype"/>
          <w:color w:val="000000" w:themeColor="text1"/>
        </w:rPr>
        <w:t xml:space="preserve">en términos del Considerando </w:t>
      </w:r>
      <w:r w:rsidRPr="003729AD">
        <w:rPr>
          <w:rFonts w:ascii="Palatino Linotype" w:eastAsia="Palatino Linotype" w:hAnsi="Palatino Linotype" w:cs="Palatino Linotype"/>
          <w:b/>
          <w:color w:val="000000" w:themeColor="text1"/>
        </w:rPr>
        <w:t xml:space="preserve">CUARTO y QUINTO </w:t>
      </w:r>
      <w:r w:rsidRPr="003729AD">
        <w:rPr>
          <w:rFonts w:ascii="Palatino Linotype" w:eastAsia="Palatino Linotype" w:hAnsi="Palatino Linotype" w:cs="Palatino Linotype"/>
          <w:color w:val="000000" w:themeColor="text1"/>
        </w:rPr>
        <w:t xml:space="preserve">de la presente resolución. </w:t>
      </w:r>
    </w:p>
    <w:p w:rsidR="00E40FE1" w:rsidRPr="003729AD" w:rsidRDefault="00E40FE1" w:rsidP="003729AD">
      <w:pPr>
        <w:tabs>
          <w:tab w:val="left" w:pos="0"/>
        </w:tabs>
        <w:spacing w:line="360" w:lineRule="auto"/>
        <w:jc w:val="both"/>
        <w:rPr>
          <w:rFonts w:ascii="Palatino Linotype" w:eastAsia="Palatino Linotype" w:hAnsi="Palatino Linotype" w:cs="Palatino Linotype"/>
          <w:color w:val="000000" w:themeColor="text1"/>
        </w:rPr>
      </w:pPr>
    </w:p>
    <w:p w:rsidR="00913AAE" w:rsidRPr="003729AD" w:rsidRDefault="0010134C" w:rsidP="003729AD">
      <w:pPr>
        <w:tabs>
          <w:tab w:val="left" w:pos="0"/>
        </w:tabs>
        <w:spacing w:line="360" w:lineRule="auto"/>
        <w:jc w:val="both"/>
        <w:rPr>
          <w:rFonts w:ascii="Palatino Linotype" w:eastAsia="Palatino Linotype" w:hAnsi="Palatino Linotype" w:cs="Palatino Linotype"/>
          <w:b/>
          <w:color w:val="000000" w:themeColor="text1"/>
        </w:rPr>
      </w:pPr>
      <w:bookmarkStart w:id="11" w:name="_heading=h.26in1rg" w:colFirst="0" w:colLast="0"/>
      <w:bookmarkEnd w:id="11"/>
      <w:r w:rsidRPr="003729AD">
        <w:rPr>
          <w:rFonts w:ascii="Palatino Linotype" w:eastAsia="Palatino Linotype" w:hAnsi="Palatino Linotype" w:cs="Palatino Linotype"/>
          <w:b/>
          <w:color w:val="000000" w:themeColor="text1"/>
        </w:rPr>
        <w:t xml:space="preserve">SEGUNDO. </w:t>
      </w:r>
      <w:r w:rsidRPr="003729AD">
        <w:rPr>
          <w:rFonts w:ascii="Palatino Linotype" w:eastAsia="Palatino Linotype" w:hAnsi="Palatino Linotype" w:cs="Palatino Linotype"/>
          <w:color w:val="000000" w:themeColor="text1"/>
        </w:rPr>
        <w:t xml:space="preserve">Se </w:t>
      </w:r>
      <w:r w:rsidR="00491D24" w:rsidRPr="003729AD">
        <w:rPr>
          <w:rFonts w:ascii="Palatino Linotype" w:eastAsia="Palatino Linotype" w:hAnsi="Palatino Linotype" w:cs="Palatino Linotype"/>
          <w:b/>
          <w:color w:val="000000" w:themeColor="text1"/>
        </w:rPr>
        <w:t>REVOCA</w:t>
      </w:r>
      <w:r w:rsidRP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 xml:space="preserve">la respuesta emitida por el </w:t>
      </w:r>
      <w:r w:rsidR="00491D24" w:rsidRPr="003729AD">
        <w:rPr>
          <w:rFonts w:ascii="Palatino Linotype" w:eastAsia="Palatino Linotype" w:hAnsi="Palatino Linotype" w:cs="Palatino Linotype"/>
          <w:b/>
          <w:color w:val="000000" w:themeColor="text1"/>
        </w:rPr>
        <w:t xml:space="preserve">Ayuntamiento de </w:t>
      </w:r>
      <w:r w:rsidR="003729AD">
        <w:rPr>
          <w:rFonts w:ascii="Palatino Linotype" w:eastAsia="Palatino Linotype" w:hAnsi="Palatino Linotype" w:cs="Palatino Linotype"/>
          <w:b/>
          <w:color w:val="000000" w:themeColor="text1"/>
        </w:rPr>
        <w:t>la Paz</w:t>
      </w:r>
      <w:r w:rsidRP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a la solicitud de información pública registrada con el número</w:t>
      </w:r>
      <w:r w:rsidRPr="003729AD">
        <w:rPr>
          <w:rFonts w:ascii="Palatino Linotype" w:eastAsia="Palatino Linotype" w:hAnsi="Palatino Linotype" w:cs="Palatino Linotype"/>
          <w:b/>
          <w:color w:val="000000" w:themeColor="text1"/>
        </w:rPr>
        <w:t xml:space="preserve"> </w:t>
      </w:r>
      <w:r w:rsidR="007B62AF" w:rsidRPr="003729AD">
        <w:rPr>
          <w:rFonts w:ascii="Palatino Linotype" w:eastAsia="Palatino Linotype" w:hAnsi="Palatino Linotype" w:cs="Palatino Linotype"/>
          <w:b/>
          <w:color w:val="000000" w:themeColor="text1"/>
        </w:rPr>
        <w:t>00317</w:t>
      </w:r>
      <w:r w:rsidRPr="003729AD">
        <w:rPr>
          <w:rFonts w:ascii="Palatino Linotype" w:eastAsia="Palatino Linotype" w:hAnsi="Palatino Linotype" w:cs="Palatino Linotype"/>
          <w:b/>
          <w:color w:val="000000" w:themeColor="text1"/>
        </w:rPr>
        <w:t>/</w:t>
      </w:r>
      <w:r w:rsidR="007B62AF" w:rsidRPr="003729AD">
        <w:rPr>
          <w:rFonts w:ascii="Palatino Linotype" w:eastAsia="Palatino Linotype" w:hAnsi="Palatino Linotype" w:cs="Palatino Linotype"/>
          <w:b/>
          <w:color w:val="000000" w:themeColor="text1"/>
        </w:rPr>
        <w:t>LAPAZ</w:t>
      </w:r>
      <w:r w:rsidRPr="003729AD">
        <w:rPr>
          <w:rFonts w:ascii="Palatino Linotype" w:eastAsia="Palatino Linotype" w:hAnsi="Palatino Linotype" w:cs="Palatino Linotype"/>
          <w:b/>
          <w:color w:val="000000" w:themeColor="text1"/>
        </w:rPr>
        <w:t>/IP/2025</w:t>
      </w:r>
      <w:r w:rsidR="003729AD">
        <w:rPr>
          <w:rFonts w:ascii="Palatino Linotype" w:eastAsia="Palatino Linotype" w:hAnsi="Palatino Linotype" w:cs="Palatino Linotype"/>
          <w:b/>
          <w:color w:val="000000" w:themeColor="text1"/>
        </w:rPr>
        <w:t xml:space="preserve"> </w:t>
      </w:r>
      <w:r w:rsidRPr="003729AD">
        <w:rPr>
          <w:rFonts w:ascii="Palatino Linotype" w:eastAsia="Palatino Linotype" w:hAnsi="Palatino Linotype" w:cs="Palatino Linotype"/>
          <w:color w:val="000000" w:themeColor="text1"/>
        </w:rPr>
        <w:t xml:space="preserve">y se </w:t>
      </w:r>
      <w:r w:rsidRPr="003729AD">
        <w:rPr>
          <w:rFonts w:ascii="Palatino Linotype" w:eastAsia="Palatino Linotype" w:hAnsi="Palatino Linotype" w:cs="Palatino Linotype"/>
          <w:b/>
          <w:color w:val="000000" w:themeColor="text1"/>
        </w:rPr>
        <w:t>ORDENA</w:t>
      </w:r>
      <w:r w:rsidRPr="003729AD">
        <w:rPr>
          <w:rFonts w:ascii="Palatino Linotype" w:eastAsia="Palatino Linotype" w:hAnsi="Palatino Linotype" w:cs="Palatino Linotype"/>
          <w:color w:val="000000" w:themeColor="text1"/>
        </w:rPr>
        <w:t xml:space="preserve"> entregar vía Sistema de Acceso a la Información Mexiquense (SAIMEX), en versión pública,</w:t>
      </w:r>
      <w:r w:rsidRPr="003729AD">
        <w:rPr>
          <w:rFonts w:ascii="Palatino Linotype" w:eastAsia="Palatino Linotype" w:hAnsi="Palatino Linotype" w:cs="Palatino Linotype"/>
          <w:b/>
          <w:color w:val="000000" w:themeColor="text1"/>
        </w:rPr>
        <w:t xml:space="preserve"> </w:t>
      </w:r>
      <w:r w:rsidR="00913AAE" w:rsidRPr="003729AD">
        <w:rPr>
          <w:rFonts w:ascii="Palatino Linotype" w:hAnsi="Palatino Linotype" w:cs="Tahoma"/>
          <w:b/>
          <w:bCs/>
          <w:iCs/>
          <w:color w:val="000000" w:themeColor="text1"/>
          <w:lang w:eastAsia="es-ES"/>
        </w:rPr>
        <w:t>l</w:t>
      </w:r>
      <w:r w:rsidR="00913AAE" w:rsidRPr="003729AD">
        <w:rPr>
          <w:rFonts w:ascii="Palatino Linotype" w:hAnsi="Palatino Linotype"/>
          <w:b/>
          <w:color w:val="000000" w:themeColor="text1"/>
        </w:rPr>
        <w:t xml:space="preserve">as </w:t>
      </w:r>
      <w:r w:rsidR="00913AAE" w:rsidRPr="003729AD">
        <w:rPr>
          <w:rFonts w:ascii="Palatino Linotype" w:eastAsia="Calibri" w:hAnsi="Palatino Linotype"/>
          <w:b/>
          <w:color w:val="000000" w:themeColor="text1"/>
          <w:lang w:eastAsia="es-ES_tradnl"/>
        </w:rPr>
        <w:t>pólizas y/o comprobantes digitales de pagos realizados a particulares vía cheque o transferencia electrónica durante el mes de abril de 2025.</w:t>
      </w:r>
    </w:p>
    <w:p w:rsidR="00E40FE1" w:rsidRPr="003729AD" w:rsidRDefault="00E40FE1" w:rsidP="003729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E40FE1" w:rsidRPr="003729AD" w:rsidRDefault="0010134C" w:rsidP="003729AD">
      <w:pPr>
        <w:tabs>
          <w:tab w:val="left" w:pos="0"/>
        </w:tabs>
        <w:spacing w:line="360" w:lineRule="auto"/>
        <w:jc w:val="both"/>
        <w:rPr>
          <w:rFonts w:ascii="Palatino Linotype" w:eastAsia="Palatino Linotype" w:hAnsi="Palatino Linotype" w:cs="Palatino Linotype"/>
          <w:b/>
          <w:color w:val="000000" w:themeColor="text1"/>
        </w:rPr>
      </w:pPr>
      <w:r w:rsidRPr="003729AD">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729AD">
        <w:rPr>
          <w:rFonts w:ascii="Palatino Linotype" w:eastAsia="Palatino Linotype" w:hAnsi="Palatino Linotype" w:cs="Palatino Linotype"/>
          <w:b/>
          <w:color w:val="000000" w:themeColor="text1"/>
        </w:rPr>
        <w:t>RECURRENTE.</w:t>
      </w:r>
    </w:p>
    <w:p w:rsidR="00E40FE1" w:rsidRPr="003729AD" w:rsidRDefault="0010134C" w:rsidP="003729AD">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2" w:name="_heading=h.4d34og8" w:colFirst="0" w:colLast="0"/>
      <w:bookmarkStart w:id="13" w:name="_heading=h.lnxbz9" w:colFirst="0" w:colLast="0"/>
      <w:bookmarkEnd w:id="12"/>
      <w:bookmarkEnd w:id="13"/>
      <w:r w:rsidRPr="003729AD">
        <w:rPr>
          <w:rFonts w:ascii="Palatino Linotype" w:eastAsia="Palatino Linotype" w:hAnsi="Palatino Linotype" w:cs="Palatino Linotype"/>
          <w:b/>
          <w:color w:val="000000" w:themeColor="text1"/>
        </w:rPr>
        <w:lastRenderedPageBreak/>
        <w:t xml:space="preserve">TERCERO. NOTIFÍQUESE </w:t>
      </w:r>
      <w:r w:rsidRPr="003729A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729AD">
        <w:rPr>
          <w:rFonts w:ascii="Palatino Linotype" w:eastAsia="Palatino Linotype" w:hAnsi="Palatino Linotype" w:cs="Palatino Linotype"/>
          <w:b/>
          <w:color w:val="000000" w:themeColor="text1"/>
        </w:rPr>
        <w:t>dé cumplimiento a lo ordenado dentro del plazo de diez días hábiles,</w:t>
      </w:r>
      <w:r w:rsidRPr="003729A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40FE1" w:rsidRPr="003729AD" w:rsidRDefault="00E40FE1" w:rsidP="003729AD">
      <w:pPr>
        <w:tabs>
          <w:tab w:val="left" w:pos="0"/>
          <w:tab w:val="left" w:pos="8080"/>
        </w:tabs>
        <w:spacing w:line="360" w:lineRule="auto"/>
        <w:jc w:val="both"/>
        <w:rPr>
          <w:rFonts w:ascii="Palatino Linotype" w:eastAsia="Palatino Linotype" w:hAnsi="Palatino Linotype" w:cs="Palatino Linotype"/>
          <w:color w:val="000000" w:themeColor="text1"/>
        </w:rPr>
      </w:pPr>
    </w:p>
    <w:p w:rsidR="00E40FE1" w:rsidRPr="003729AD" w:rsidRDefault="0010134C" w:rsidP="003729AD">
      <w:pPr>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b/>
          <w:color w:val="000000" w:themeColor="text1"/>
        </w:rPr>
        <w:t xml:space="preserve">CUARTO. </w:t>
      </w:r>
      <w:r w:rsidRPr="003729A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729AD">
        <w:rPr>
          <w:rFonts w:ascii="Palatino Linotype" w:eastAsia="Palatino Linotype" w:hAnsi="Palatino Linotype" w:cs="Palatino Linotype"/>
          <w:b/>
          <w:color w:val="000000" w:themeColor="text1"/>
        </w:rPr>
        <w:t>SUJETO OBLIGADO</w:t>
      </w:r>
      <w:r w:rsidRPr="003729A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40FE1" w:rsidRPr="003729AD" w:rsidRDefault="00E40FE1" w:rsidP="003729AD">
      <w:pPr>
        <w:tabs>
          <w:tab w:val="left" w:pos="0"/>
        </w:tabs>
        <w:spacing w:line="360" w:lineRule="auto"/>
        <w:jc w:val="both"/>
        <w:rPr>
          <w:rFonts w:ascii="Palatino Linotype" w:eastAsia="Palatino Linotype" w:hAnsi="Palatino Linotype" w:cs="Palatino Linotype"/>
          <w:color w:val="000000" w:themeColor="text1"/>
        </w:rPr>
      </w:pPr>
    </w:p>
    <w:p w:rsidR="00913AAE" w:rsidRPr="003729AD" w:rsidRDefault="0010134C" w:rsidP="003729AD">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4" w:name="_heading=h.35nkun2" w:colFirst="0" w:colLast="0"/>
      <w:bookmarkEnd w:id="14"/>
      <w:r w:rsidRPr="003729AD">
        <w:rPr>
          <w:rFonts w:ascii="Palatino Linotype" w:eastAsia="Palatino Linotype" w:hAnsi="Palatino Linotype" w:cs="Palatino Linotype"/>
          <w:b/>
          <w:color w:val="000000" w:themeColor="text1"/>
        </w:rPr>
        <w:t xml:space="preserve">QUINTO. </w:t>
      </w:r>
      <w:r w:rsidRPr="003729AD">
        <w:rPr>
          <w:rFonts w:ascii="Palatino Linotype" w:eastAsia="Palatino Linotype" w:hAnsi="Palatino Linotype" w:cs="Palatino Linotype"/>
          <w:color w:val="000000" w:themeColor="text1"/>
        </w:rPr>
        <w:t>Notifíquese al</w:t>
      </w:r>
      <w:r w:rsidRPr="003729AD">
        <w:rPr>
          <w:rFonts w:ascii="Palatino Linotype" w:eastAsia="Palatino Linotype" w:hAnsi="Palatino Linotype" w:cs="Palatino Linotype"/>
          <w:b/>
          <w:color w:val="000000" w:themeColor="text1"/>
        </w:rPr>
        <w:t xml:space="preserve"> RECURRENTE</w:t>
      </w:r>
      <w:r w:rsidRPr="003729AD">
        <w:rPr>
          <w:rFonts w:ascii="Palatino Linotype" w:eastAsia="Palatino Linotype" w:hAnsi="Palatino Linotype" w:cs="Palatino Linotype"/>
          <w:color w:val="000000" w:themeColor="text1"/>
        </w:rPr>
        <w:t xml:space="preserve"> la presente resolución, vía </w:t>
      </w:r>
      <w:r w:rsidRPr="003729AD">
        <w:rPr>
          <w:rFonts w:ascii="Palatino Linotype" w:eastAsia="Palatino Linotype" w:hAnsi="Palatino Linotype" w:cs="Palatino Linotype"/>
          <w:b/>
          <w:color w:val="000000" w:themeColor="text1"/>
        </w:rPr>
        <w:t>SAIMEX.</w:t>
      </w:r>
    </w:p>
    <w:p w:rsidR="00913AAE" w:rsidRPr="003729AD" w:rsidRDefault="00913AAE" w:rsidP="003729AD">
      <w:pPr>
        <w:tabs>
          <w:tab w:val="left" w:pos="0"/>
          <w:tab w:val="left" w:pos="8080"/>
        </w:tabs>
        <w:spacing w:line="360" w:lineRule="auto"/>
        <w:jc w:val="both"/>
        <w:rPr>
          <w:rFonts w:ascii="Palatino Linotype" w:eastAsia="Palatino Linotype" w:hAnsi="Palatino Linotype" w:cs="Palatino Linotype"/>
          <w:b/>
          <w:color w:val="000000" w:themeColor="text1"/>
        </w:rPr>
      </w:pPr>
    </w:p>
    <w:p w:rsidR="00E40FE1" w:rsidRPr="003729AD" w:rsidRDefault="0010134C" w:rsidP="003729AD">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3729AD">
        <w:rPr>
          <w:rFonts w:ascii="Palatino Linotype" w:eastAsia="Palatino Linotype" w:hAnsi="Palatino Linotype" w:cs="Palatino Linotype"/>
          <w:b/>
          <w:color w:val="000000" w:themeColor="text1"/>
        </w:rPr>
        <w:t>SEXTO.</w:t>
      </w:r>
      <w:r w:rsidRPr="003729AD">
        <w:rPr>
          <w:rFonts w:ascii="Palatino Linotype" w:eastAsia="Palatino Linotype" w:hAnsi="Palatino Linotype" w:cs="Palatino Linotype"/>
          <w:color w:val="000000" w:themeColor="text1"/>
        </w:rPr>
        <w:t xml:space="preserve"> Se hace del conocimiento del </w:t>
      </w:r>
      <w:r w:rsidRPr="003729AD">
        <w:rPr>
          <w:rFonts w:ascii="Palatino Linotype" w:eastAsia="Palatino Linotype" w:hAnsi="Palatino Linotype" w:cs="Palatino Linotype"/>
          <w:b/>
          <w:color w:val="000000" w:themeColor="text1"/>
        </w:rPr>
        <w:t>RECURRENTE</w:t>
      </w:r>
      <w:r w:rsidRPr="003729A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40FE1" w:rsidRDefault="00E40FE1" w:rsidP="003729AD">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4B1F0B" w:rsidRPr="00444783" w:rsidRDefault="004B1F0B" w:rsidP="004B1F0B">
      <w:pPr>
        <w:tabs>
          <w:tab w:val="left" w:pos="5387"/>
        </w:tabs>
        <w:spacing w:line="360" w:lineRule="auto"/>
        <w:ind w:right="49"/>
        <w:jc w:val="both"/>
        <w:rPr>
          <w:rFonts w:ascii="Palatino Linotype" w:eastAsia="Palatino Linotype" w:hAnsi="Palatino Linotype" w:cs="Palatino Linotype"/>
        </w:rPr>
      </w:pPr>
      <w:bookmarkStart w:id="15" w:name="_heading=h.udolic8t2yzx" w:colFirst="0" w:colLast="0"/>
      <w:bookmarkEnd w:id="15"/>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40FE1" w:rsidRPr="003729AD" w:rsidRDefault="00E40FE1"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3729AD" w:rsidRDefault="00E40FE1"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Default="00E40FE1"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BD63EE" w:rsidRDefault="00BD63EE"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BD63EE" w:rsidRDefault="00BD63EE"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BD63EE" w:rsidRDefault="00BD63EE"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BD63EE" w:rsidRPr="003729AD" w:rsidRDefault="00BD63EE"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3729AD" w:rsidRDefault="00E40FE1"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3729AD" w:rsidRDefault="00E40FE1" w:rsidP="003729AD">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3729AD" w:rsidRDefault="00E40FE1" w:rsidP="003729AD">
      <w:pPr>
        <w:pStyle w:val="Ttulo2"/>
        <w:tabs>
          <w:tab w:val="left" w:pos="0"/>
        </w:tabs>
        <w:spacing w:before="0" w:line="360" w:lineRule="auto"/>
        <w:rPr>
          <w:b w:val="0"/>
          <w:color w:val="000000" w:themeColor="text1"/>
        </w:rPr>
      </w:pPr>
    </w:p>
    <w:p w:rsidR="00433A7B" w:rsidRDefault="00433A7B" w:rsidP="003729AD">
      <w:pPr>
        <w:tabs>
          <w:tab w:val="left" w:pos="0"/>
        </w:tabs>
        <w:rPr>
          <w:rFonts w:ascii="Palatino Linotype" w:hAnsi="Palatino Linotype"/>
          <w:color w:val="000000" w:themeColor="text1"/>
        </w:rPr>
      </w:pPr>
    </w:p>
    <w:p w:rsidR="000E4589" w:rsidRDefault="000E4589" w:rsidP="003729AD">
      <w:pPr>
        <w:tabs>
          <w:tab w:val="left" w:pos="0"/>
        </w:tabs>
        <w:rPr>
          <w:rFonts w:ascii="Palatino Linotype" w:hAnsi="Palatino Linotype"/>
          <w:color w:val="000000" w:themeColor="text1"/>
        </w:rPr>
      </w:pPr>
    </w:p>
    <w:p w:rsidR="000E4589" w:rsidRDefault="000E4589" w:rsidP="003729AD">
      <w:pPr>
        <w:tabs>
          <w:tab w:val="left" w:pos="0"/>
        </w:tabs>
        <w:rPr>
          <w:rFonts w:ascii="Palatino Linotype" w:hAnsi="Palatino Linotype"/>
          <w:color w:val="000000" w:themeColor="text1"/>
        </w:rPr>
      </w:pPr>
    </w:p>
    <w:p w:rsidR="000E4589" w:rsidRDefault="000E4589" w:rsidP="003729AD">
      <w:pPr>
        <w:tabs>
          <w:tab w:val="left" w:pos="0"/>
        </w:tabs>
        <w:rPr>
          <w:rFonts w:ascii="Palatino Linotype" w:hAnsi="Palatino Linotype"/>
          <w:color w:val="000000" w:themeColor="text1"/>
        </w:rPr>
      </w:pPr>
    </w:p>
    <w:p w:rsidR="000E4589" w:rsidRDefault="000E4589" w:rsidP="003729AD">
      <w:pPr>
        <w:tabs>
          <w:tab w:val="left" w:pos="0"/>
        </w:tabs>
        <w:rPr>
          <w:rFonts w:ascii="Palatino Linotype" w:hAnsi="Palatino Linotype"/>
          <w:color w:val="000000" w:themeColor="text1"/>
        </w:rPr>
      </w:pPr>
    </w:p>
    <w:p w:rsidR="000E4589" w:rsidRDefault="000E4589" w:rsidP="003729AD">
      <w:pPr>
        <w:tabs>
          <w:tab w:val="left" w:pos="0"/>
        </w:tabs>
        <w:rPr>
          <w:rFonts w:ascii="Palatino Linotype" w:hAnsi="Palatino Linotype"/>
          <w:color w:val="000000" w:themeColor="text1"/>
        </w:rPr>
      </w:pPr>
    </w:p>
    <w:p w:rsidR="000E4589" w:rsidRDefault="000E4589" w:rsidP="003729AD">
      <w:pPr>
        <w:tabs>
          <w:tab w:val="left" w:pos="0"/>
        </w:tabs>
        <w:rPr>
          <w:rFonts w:ascii="Palatino Linotype" w:hAnsi="Palatino Linotype"/>
          <w:color w:val="000000" w:themeColor="text1"/>
        </w:rPr>
      </w:pPr>
    </w:p>
    <w:p w:rsidR="00BB65B5" w:rsidRPr="003729AD" w:rsidRDefault="00BB65B5" w:rsidP="003729AD">
      <w:pPr>
        <w:tabs>
          <w:tab w:val="left" w:pos="0"/>
        </w:tabs>
        <w:rPr>
          <w:rFonts w:ascii="Palatino Linotype" w:hAnsi="Palatino Linotype"/>
          <w:color w:val="000000" w:themeColor="text1"/>
        </w:rPr>
      </w:pPr>
    </w:p>
    <w:sectPr w:rsidR="00BB65B5" w:rsidRPr="003729AD" w:rsidSect="00BD63EE">
      <w:headerReference w:type="default" r:id="rId11"/>
      <w:footerReference w:type="default" r:id="rId12"/>
      <w:headerReference w:type="first" r:id="rId13"/>
      <w:footerReference w:type="first" r:id="rId14"/>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B70" w:rsidRDefault="00E44B70">
      <w:r>
        <w:separator/>
      </w:r>
    </w:p>
  </w:endnote>
  <w:endnote w:type="continuationSeparator" w:id="0">
    <w:p w:rsidR="00E44B70" w:rsidRDefault="00E4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EA9" w:rsidRDefault="000C6E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F6F86">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F6F86">
      <w:rPr>
        <w:rFonts w:ascii="Palatino Linotype" w:eastAsia="Palatino Linotype" w:hAnsi="Palatino Linotype" w:cs="Palatino Linotype"/>
        <w:b/>
        <w:noProof/>
        <w:color w:val="000000"/>
        <w:sz w:val="22"/>
        <w:szCs w:val="22"/>
      </w:rPr>
      <w:t>28</w:t>
    </w:r>
    <w:r>
      <w:rPr>
        <w:rFonts w:ascii="Palatino Linotype" w:eastAsia="Palatino Linotype" w:hAnsi="Palatino Linotype" w:cs="Palatino Linotype"/>
        <w:b/>
        <w:color w:val="000000"/>
        <w:sz w:val="22"/>
        <w:szCs w:val="22"/>
      </w:rPr>
      <w:fldChar w:fldCharType="end"/>
    </w:r>
  </w:p>
  <w:p w:rsidR="000C6EA9" w:rsidRDefault="000C6EA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0C6EA9" w:rsidRDefault="000C6E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EA9" w:rsidRDefault="000C6E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F6F8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F6F86">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p w:rsidR="000C6EA9" w:rsidRDefault="000C6EA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0C6EA9" w:rsidRDefault="000C6E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B70" w:rsidRDefault="00E44B70">
      <w:r>
        <w:separator/>
      </w:r>
    </w:p>
  </w:footnote>
  <w:footnote w:type="continuationSeparator" w:id="0">
    <w:p w:rsidR="00E44B70" w:rsidRDefault="00E44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845"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92"/>
      <w:gridCol w:w="4253"/>
    </w:tblGrid>
    <w:tr w:rsidR="000C6EA9" w:rsidTr="00BD63EE">
      <w:trPr>
        <w:trHeight w:val="138"/>
      </w:trPr>
      <w:tc>
        <w:tcPr>
          <w:tcW w:w="2592" w:type="dxa"/>
          <w:vAlign w:val="center"/>
        </w:tcPr>
        <w:p w:rsidR="000C6EA9" w:rsidRPr="003729AD" w:rsidRDefault="000C6EA9" w:rsidP="003729AD">
          <w:pPr>
            <w:ind w:right="-150"/>
            <w:rPr>
              <w:rFonts w:ascii="Palatino Linotype" w:eastAsia="Palatino Linotype" w:hAnsi="Palatino Linotype" w:cs="Palatino Linotype"/>
              <w:b/>
              <w:color w:val="000000" w:themeColor="text1"/>
              <w:sz w:val="24"/>
              <w:szCs w:val="24"/>
            </w:rPr>
          </w:pPr>
          <w:r w:rsidRPr="003729AD">
            <w:rPr>
              <w:rFonts w:ascii="Palatino Linotype" w:eastAsia="Palatino Linotype" w:hAnsi="Palatino Linotype" w:cs="Palatino Linotype"/>
              <w:b/>
              <w:color w:val="000000" w:themeColor="text1"/>
              <w:sz w:val="24"/>
              <w:szCs w:val="24"/>
            </w:rPr>
            <w:t>Recurso de Revisión:</w:t>
          </w:r>
        </w:p>
      </w:tc>
      <w:tc>
        <w:tcPr>
          <w:tcW w:w="4253" w:type="dxa"/>
          <w:vAlign w:val="center"/>
        </w:tcPr>
        <w:p w:rsidR="000C6EA9" w:rsidRPr="003729AD" w:rsidRDefault="000C6EA9" w:rsidP="003729A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highlight w:val="yellow"/>
            </w:rPr>
          </w:pPr>
          <w:r w:rsidRPr="003729AD">
            <w:rPr>
              <w:rFonts w:ascii="Palatino Linotype" w:eastAsia="Palatino Linotype" w:hAnsi="Palatino Linotype" w:cs="Palatino Linotype"/>
              <w:color w:val="000000" w:themeColor="text1"/>
              <w:sz w:val="24"/>
              <w:szCs w:val="24"/>
            </w:rPr>
            <w:t>05768/INFOEM/IP/RR/2025</w:t>
          </w:r>
        </w:p>
      </w:tc>
    </w:tr>
    <w:tr w:rsidR="000C6EA9" w:rsidTr="00BD63EE">
      <w:trPr>
        <w:trHeight w:val="321"/>
      </w:trPr>
      <w:tc>
        <w:tcPr>
          <w:tcW w:w="2592" w:type="dxa"/>
          <w:vAlign w:val="center"/>
        </w:tcPr>
        <w:p w:rsidR="000C6EA9" w:rsidRPr="003729AD" w:rsidRDefault="000C6EA9" w:rsidP="003729AD">
          <w:pPr>
            <w:ind w:right="-150"/>
            <w:rPr>
              <w:rFonts w:ascii="Palatino Linotype" w:eastAsia="Palatino Linotype" w:hAnsi="Palatino Linotype" w:cs="Palatino Linotype"/>
              <w:b/>
              <w:color w:val="000000" w:themeColor="text1"/>
              <w:sz w:val="24"/>
              <w:szCs w:val="24"/>
            </w:rPr>
          </w:pPr>
          <w:r w:rsidRPr="003729AD">
            <w:rPr>
              <w:rFonts w:ascii="Palatino Linotype" w:eastAsia="Palatino Linotype" w:hAnsi="Palatino Linotype" w:cs="Palatino Linotype"/>
              <w:b/>
              <w:color w:val="000000" w:themeColor="text1"/>
              <w:sz w:val="24"/>
              <w:szCs w:val="24"/>
            </w:rPr>
            <w:t>Sujeto Obligado:</w:t>
          </w:r>
        </w:p>
      </w:tc>
      <w:tc>
        <w:tcPr>
          <w:tcW w:w="4253" w:type="dxa"/>
          <w:vAlign w:val="center"/>
        </w:tcPr>
        <w:p w:rsidR="000C6EA9" w:rsidRPr="003729AD" w:rsidRDefault="000C6EA9" w:rsidP="003729AD">
          <w:pPr>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Ayuntamiento de la Paz</w:t>
          </w:r>
        </w:p>
      </w:tc>
    </w:tr>
    <w:tr w:rsidR="000C6EA9" w:rsidTr="00BD63EE">
      <w:trPr>
        <w:trHeight w:val="321"/>
      </w:trPr>
      <w:tc>
        <w:tcPr>
          <w:tcW w:w="2592" w:type="dxa"/>
          <w:vAlign w:val="center"/>
        </w:tcPr>
        <w:p w:rsidR="000C6EA9" w:rsidRPr="003729AD" w:rsidRDefault="000C6EA9" w:rsidP="003729AD">
          <w:pPr>
            <w:ind w:right="-150"/>
            <w:rPr>
              <w:rFonts w:ascii="Palatino Linotype" w:eastAsia="Palatino Linotype" w:hAnsi="Palatino Linotype" w:cs="Palatino Linotype"/>
              <w:b/>
              <w:color w:val="000000" w:themeColor="text1"/>
              <w:sz w:val="24"/>
              <w:szCs w:val="24"/>
            </w:rPr>
          </w:pPr>
          <w:r w:rsidRPr="003729AD">
            <w:rPr>
              <w:rFonts w:ascii="Palatino Linotype" w:eastAsia="Palatino Linotype" w:hAnsi="Palatino Linotype" w:cs="Palatino Linotype"/>
              <w:b/>
              <w:color w:val="000000" w:themeColor="text1"/>
              <w:sz w:val="24"/>
              <w:szCs w:val="24"/>
            </w:rPr>
            <w:t>Comisionada Ponente:</w:t>
          </w:r>
        </w:p>
      </w:tc>
      <w:tc>
        <w:tcPr>
          <w:tcW w:w="4253" w:type="dxa"/>
          <w:vAlign w:val="center"/>
        </w:tcPr>
        <w:p w:rsidR="000C6EA9" w:rsidRPr="003729AD" w:rsidRDefault="000C6EA9" w:rsidP="003729A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María del Rosario Mejía Ayala</w:t>
          </w:r>
        </w:p>
      </w:tc>
    </w:tr>
  </w:tbl>
  <w:p w:rsidR="000C6EA9" w:rsidRDefault="00BD63EE">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page">
            <wp:posOffset>189781</wp:posOffset>
          </wp:positionH>
          <wp:positionV relativeFrom="paragraph">
            <wp:posOffset>-1243510</wp:posOffset>
          </wp:positionV>
          <wp:extent cx="7809876" cy="10165823"/>
          <wp:effectExtent l="0" t="0" r="635" b="6985"/>
          <wp:wrapNone/>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0C6EA9" w:rsidRDefault="000C6E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402"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677"/>
    </w:tblGrid>
    <w:tr w:rsidR="003729AD" w:rsidTr="00BD63EE">
      <w:trPr>
        <w:trHeight w:val="138"/>
      </w:trPr>
      <w:tc>
        <w:tcPr>
          <w:tcW w:w="2725" w:type="dxa"/>
          <w:vAlign w:val="center"/>
        </w:tcPr>
        <w:p w:rsidR="003729AD" w:rsidRPr="003729AD" w:rsidRDefault="003729AD" w:rsidP="003729AD">
          <w:pPr>
            <w:ind w:right="-156"/>
            <w:rPr>
              <w:rFonts w:ascii="Palatino Linotype" w:eastAsia="Palatino Linotype" w:hAnsi="Palatino Linotype" w:cs="Palatino Linotype"/>
              <w:b/>
              <w:color w:val="000000" w:themeColor="text1"/>
              <w:sz w:val="24"/>
              <w:szCs w:val="24"/>
            </w:rPr>
          </w:pPr>
          <w:r w:rsidRPr="003729AD">
            <w:rPr>
              <w:rFonts w:ascii="Palatino Linotype" w:eastAsia="Palatino Linotype" w:hAnsi="Palatino Linotype" w:cs="Palatino Linotype"/>
              <w:b/>
              <w:color w:val="000000" w:themeColor="text1"/>
              <w:sz w:val="24"/>
              <w:szCs w:val="24"/>
            </w:rPr>
            <w:t>Recurso de Revisión:</w:t>
          </w:r>
        </w:p>
      </w:tc>
      <w:tc>
        <w:tcPr>
          <w:tcW w:w="4677" w:type="dxa"/>
          <w:vAlign w:val="center"/>
        </w:tcPr>
        <w:p w:rsidR="003729AD" w:rsidRPr="003729AD" w:rsidRDefault="003729AD" w:rsidP="003729A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05768/INFOEM/IP/RR/2025</w:t>
          </w:r>
        </w:p>
      </w:tc>
    </w:tr>
    <w:tr w:rsidR="003729AD" w:rsidTr="00BD63EE">
      <w:trPr>
        <w:trHeight w:val="227"/>
      </w:trPr>
      <w:tc>
        <w:tcPr>
          <w:tcW w:w="2725" w:type="dxa"/>
          <w:vAlign w:val="center"/>
        </w:tcPr>
        <w:p w:rsidR="003729AD" w:rsidRPr="003729AD" w:rsidRDefault="003729AD" w:rsidP="003729AD">
          <w:pPr>
            <w:ind w:right="-156"/>
            <w:rPr>
              <w:rFonts w:ascii="Palatino Linotype" w:eastAsia="Palatino Linotype" w:hAnsi="Palatino Linotype" w:cs="Palatino Linotype"/>
              <w:b/>
              <w:color w:val="000000" w:themeColor="text1"/>
              <w:sz w:val="24"/>
              <w:szCs w:val="24"/>
            </w:rPr>
          </w:pPr>
          <w:r w:rsidRPr="003729AD">
            <w:rPr>
              <w:rFonts w:ascii="Palatino Linotype" w:eastAsia="Palatino Linotype" w:hAnsi="Palatino Linotype" w:cs="Palatino Linotype"/>
              <w:b/>
              <w:color w:val="000000" w:themeColor="text1"/>
              <w:sz w:val="24"/>
              <w:szCs w:val="24"/>
            </w:rPr>
            <w:t>Recurrente:</w:t>
          </w:r>
        </w:p>
      </w:tc>
      <w:tc>
        <w:tcPr>
          <w:tcW w:w="4677" w:type="dxa"/>
          <w:vAlign w:val="center"/>
        </w:tcPr>
        <w:p w:rsidR="003729AD" w:rsidRPr="003729AD" w:rsidRDefault="008F6F86" w:rsidP="003729A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3729AD" w:rsidTr="00BD63EE">
      <w:trPr>
        <w:trHeight w:val="232"/>
      </w:trPr>
      <w:tc>
        <w:tcPr>
          <w:tcW w:w="2725" w:type="dxa"/>
          <w:vAlign w:val="center"/>
        </w:tcPr>
        <w:p w:rsidR="003729AD" w:rsidRPr="003729AD" w:rsidRDefault="003729AD" w:rsidP="003729AD">
          <w:pPr>
            <w:ind w:right="-156"/>
            <w:rPr>
              <w:rFonts w:ascii="Palatino Linotype" w:eastAsia="Palatino Linotype" w:hAnsi="Palatino Linotype" w:cs="Palatino Linotype"/>
              <w:b/>
              <w:color w:val="000000" w:themeColor="text1"/>
              <w:sz w:val="24"/>
              <w:szCs w:val="24"/>
            </w:rPr>
          </w:pPr>
          <w:r w:rsidRPr="003729AD">
            <w:rPr>
              <w:rFonts w:ascii="Palatino Linotype" w:eastAsia="Palatino Linotype" w:hAnsi="Palatino Linotype" w:cs="Palatino Linotype"/>
              <w:b/>
              <w:color w:val="000000" w:themeColor="text1"/>
              <w:sz w:val="24"/>
              <w:szCs w:val="24"/>
            </w:rPr>
            <w:t>Sujeto Obligado:</w:t>
          </w:r>
        </w:p>
      </w:tc>
      <w:tc>
        <w:tcPr>
          <w:tcW w:w="4677" w:type="dxa"/>
          <w:vAlign w:val="center"/>
        </w:tcPr>
        <w:p w:rsidR="003729AD" w:rsidRPr="003729AD" w:rsidRDefault="003729AD" w:rsidP="003729AD">
          <w:pPr>
            <w:ind w:right="-73"/>
            <w:jc w:val="both"/>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Ayuntamiento de la Paz</w:t>
          </w:r>
        </w:p>
      </w:tc>
    </w:tr>
    <w:tr w:rsidR="003729AD" w:rsidTr="00BD63EE">
      <w:trPr>
        <w:trHeight w:val="320"/>
      </w:trPr>
      <w:tc>
        <w:tcPr>
          <w:tcW w:w="2725" w:type="dxa"/>
          <w:vAlign w:val="center"/>
        </w:tcPr>
        <w:p w:rsidR="003729AD" w:rsidRPr="003729AD" w:rsidRDefault="003729AD" w:rsidP="003729AD">
          <w:pPr>
            <w:ind w:right="-156"/>
            <w:rPr>
              <w:rFonts w:ascii="Palatino Linotype" w:eastAsia="Palatino Linotype" w:hAnsi="Palatino Linotype" w:cs="Palatino Linotype"/>
              <w:b/>
              <w:color w:val="000000" w:themeColor="text1"/>
              <w:sz w:val="24"/>
              <w:szCs w:val="24"/>
            </w:rPr>
          </w:pPr>
          <w:r w:rsidRPr="003729AD">
            <w:rPr>
              <w:rFonts w:ascii="Palatino Linotype" w:eastAsia="Palatino Linotype" w:hAnsi="Palatino Linotype" w:cs="Palatino Linotype"/>
              <w:b/>
              <w:color w:val="000000" w:themeColor="text1"/>
              <w:sz w:val="24"/>
              <w:szCs w:val="24"/>
            </w:rPr>
            <w:t>Comisionada Ponente:</w:t>
          </w:r>
        </w:p>
      </w:tc>
      <w:tc>
        <w:tcPr>
          <w:tcW w:w="4677" w:type="dxa"/>
          <w:vAlign w:val="center"/>
        </w:tcPr>
        <w:p w:rsidR="003729AD" w:rsidRPr="003729AD" w:rsidRDefault="003729AD" w:rsidP="003729A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3729AD">
            <w:rPr>
              <w:rFonts w:ascii="Palatino Linotype" w:eastAsia="Palatino Linotype" w:hAnsi="Palatino Linotype" w:cs="Palatino Linotype"/>
              <w:color w:val="000000" w:themeColor="text1"/>
              <w:sz w:val="24"/>
              <w:szCs w:val="24"/>
            </w:rPr>
            <w:t>María del Rosario Mejía Ayala</w:t>
          </w:r>
        </w:p>
      </w:tc>
    </w:tr>
  </w:tbl>
  <w:p w:rsidR="000C6EA9" w:rsidRDefault="00BD63EE">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left</wp:align>
          </wp:positionH>
          <wp:positionV relativeFrom="paragraph">
            <wp:posOffset>-1367322</wp:posOffset>
          </wp:positionV>
          <wp:extent cx="7809865" cy="10165715"/>
          <wp:effectExtent l="0" t="0" r="635" b="6985"/>
          <wp:wrapNone/>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rsidR="000C6EA9" w:rsidRDefault="000C6E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033B"/>
    <w:multiLevelType w:val="multilevel"/>
    <w:tmpl w:val="3E86FB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00504E"/>
    <w:multiLevelType w:val="multilevel"/>
    <w:tmpl w:val="1C4A988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7935A9"/>
    <w:multiLevelType w:val="hybridMultilevel"/>
    <w:tmpl w:val="B06A6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480D5A"/>
    <w:multiLevelType w:val="multilevel"/>
    <w:tmpl w:val="B74C7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0374B"/>
    <w:multiLevelType w:val="hybridMultilevel"/>
    <w:tmpl w:val="5C4E7F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884059"/>
    <w:multiLevelType w:val="multilevel"/>
    <w:tmpl w:val="954AE3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75E24C7"/>
    <w:multiLevelType w:val="multilevel"/>
    <w:tmpl w:val="5D1A0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6"/>
  </w:num>
  <w:num w:numId="3">
    <w:abstractNumId w:val="2"/>
  </w:num>
  <w:num w:numId="4">
    <w:abstractNumId w:val="10"/>
  </w:num>
  <w:num w:numId="5">
    <w:abstractNumId w:val="0"/>
  </w:num>
  <w:num w:numId="6">
    <w:abstractNumId w:val="5"/>
  </w:num>
  <w:num w:numId="7">
    <w:abstractNumId w:val="8"/>
  </w:num>
  <w:num w:numId="8">
    <w:abstractNumId w:val="11"/>
  </w:num>
  <w:num w:numId="9">
    <w:abstractNumId w:val="7"/>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E1"/>
    <w:rsid w:val="00024120"/>
    <w:rsid w:val="000C6EA9"/>
    <w:rsid w:val="000E4589"/>
    <w:rsid w:val="0010134C"/>
    <w:rsid w:val="00171A1B"/>
    <w:rsid w:val="00197831"/>
    <w:rsid w:val="0024453A"/>
    <w:rsid w:val="003729AD"/>
    <w:rsid w:val="003D189A"/>
    <w:rsid w:val="00433A7B"/>
    <w:rsid w:val="00471DAF"/>
    <w:rsid w:val="00491D24"/>
    <w:rsid w:val="004B1F0B"/>
    <w:rsid w:val="0054529F"/>
    <w:rsid w:val="00567CBC"/>
    <w:rsid w:val="005E47EC"/>
    <w:rsid w:val="006F1C9E"/>
    <w:rsid w:val="007470D9"/>
    <w:rsid w:val="007A03A6"/>
    <w:rsid w:val="007B62AF"/>
    <w:rsid w:val="008F63C1"/>
    <w:rsid w:val="008F6F86"/>
    <w:rsid w:val="00913AAE"/>
    <w:rsid w:val="009472F9"/>
    <w:rsid w:val="009A24B8"/>
    <w:rsid w:val="00A71123"/>
    <w:rsid w:val="00BB65B5"/>
    <w:rsid w:val="00BD63EE"/>
    <w:rsid w:val="00D13A56"/>
    <w:rsid w:val="00D506BF"/>
    <w:rsid w:val="00E40FE1"/>
    <w:rsid w:val="00E44B70"/>
    <w:rsid w:val="00EF4DEF"/>
    <w:rsid w:val="00F259D8"/>
    <w:rsid w:val="00F97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71BE9-5073-43D0-AE47-3193366B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link w:val="PuestoC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rPr>
      <w:sz w:val="22"/>
      <w:szCs w:val="22"/>
    </w:rPr>
    <w:tblPr>
      <w:tblStyleRowBandSize w:val="1"/>
      <w:tblStyleColBandSize w:val="1"/>
      <w:tblCellMar>
        <w:left w:w="108" w:type="dxa"/>
        <w:right w:w="108" w:type="dxa"/>
      </w:tblCellMar>
    </w:tblPr>
  </w:style>
  <w:style w:type="table" w:customStyle="1" w:styleId="1">
    <w:name w:val="1"/>
    <w:basedOn w:val="TableNormal2"/>
    <w:rPr>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08" w:type="dxa"/>
        <w:right w:w="108" w:type="dxa"/>
      </w:tblCellMar>
    </w:tblPr>
  </w:style>
  <w:style w:type="table" w:customStyle="1" w:styleId="a3">
    <w:basedOn w:val="TableNormal2"/>
    <w:rPr>
      <w:sz w:val="22"/>
      <w:szCs w:val="22"/>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rPr>
      <w:sz w:val="22"/>
      <w:szCs w:val="22"/>
    </w:rPr>
    <w:tblPr>
      <w:tblStyleRowBandSize w:val="1"/>
      <w:tblStyleColBandSize w:val="1"/>
      <w:tblCellMar>
        <w:left w:w="108" w:type="dxa"/>
        <w:right w:w="108" w:type="dxa"/>
      </w:tblCellMar>
    </w:tblPr>
  </w:style>
  <w:style w:type="table" w:customStyle="1" w:styleId="a7">
    <w:basedOn w:val="TableNormal1"/>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rPr>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0"/>
    <w:rPr>
      <w:sz w:val="22"/>
      <w:szCs w:val="22"/>
    </w:rPr>
    <w:tblPr>
      <w:tblStyleRowBandSize w:val="1"/>
      <w:tblStyleColBandSize w:val="1"/>
      <w:tblCellMar>
        <w:left w:w="108" w:type="dxa"/>
        <w:right w:w="108" w:type="dxa"/>
      </w:tblCellMar>
    </w:tblPr>
  </w:style>
  <w:style w:type="table" w:customStyle="1" w:styleId="ab">
    <w:basedOn w:val="TableNormal0"/>
    <w:rPr>
      <w:sz w:val="22"/>
      <w:szCs w:val="22"/>
    </w:r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rsid w:val="00913AAE"/>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35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4758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economia.com.mx/cheque-sin-fondo-que-hacer/" TargetMode="External"/><Relationship Id="rId4" Type="http://schemas.openxmlformats.org/officeDocument/2006/relationships/settings" Target="settings.xml"/><Relationship Id="rId9" Type="http://schemas.openxmlformats.org/officeDocument/2006/relationships/hyperlink" Target="http://cuentasahorro.com.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Ij4nHz72JwnTJAeTbmKo7cAtA==">CgMxLjAyDmguc3JlOWgwNXE0djBiMghoLmdqZGd4czIJaC4zMGowemxsMgloLjFmb2I5dGUyCWguM3pueXNoNzIJaC4yZXQ5MnAwMghoLnR5amN3dDIJaC4zZHk2dmttMgloLjF0M2g1c2YyDmguM3pkYmNqZ2h1d2FuMgloLjI2aW4xcmcyCWguNGQzNG9nODIIaC5sbnhiejkyCWguMzVua3VuMjIOaC51ZG9saWM4dDJ5eng4AHIhMWhQeVFQeGV5VDRrajFrTVVOUWtsM1h1MG40UndOaG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7204</Words>
  <Characters>39626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12</cp:revision>
  <cp:lastPrinted>2025-10-17T17:31:00Z</cp:lastPrinted>
  <dcterms:created xsi:type="dcterms:W3CDTF">2025-10-02T20:51:00Z</dcterms:created>
  <dcterms:modified xsi:type="dcterms:W3CDTF">2025-11-10T19:34:00Z</dcterms:modified>
</cp:coreProperties>
</file>