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255AAB72" w14:textId="39AB33AB" w:rsidR="00D526FB" w:rsidRPr="0099684E" w:rsidRDefault="00D526FB" w:rsidP="009E7481">
          <w:pPr>
            <w:pStyle w:val="TtulodeTDC"/>
            <w:spacing w:before="0" w:line="360" w:lineRule="auto"/>
            <w:jc w:val="center"/>
            <w:rPr>
              <w:rFonts w:ascii="Palatino Linotype" w:hAnsi="Palatino Linotype"/>
              <w:color w:val="000000" w:themeColor="text1"/>
              <w:sz w:val="22"/>
              <w:szCs w:val="22"/>
              <w:lang w:val="es-ES"/>
            </w:rPr>
          </w:pPr>
          <w:r w:rsidRPr="0099684E">
            <w:rPr>
              <w:rFonts w:ascii="Palatino Linotype" w:hAnsi="Palatino Linotype"/>
              <w:color w:val="000000" w:themeColor="text1"/>
              <w:sz w:val="22"/>
              <w:szCs w:val="22"/>
              <w:lang w:val="es-ES"/>
            </w:rPr>
            <w:t xml:space="preserve">RESOLUCIÓN DEL RECURSO DE REVISIÓN </w:t>
          </w:r>
          <w:r w:rsidR="006A025A" w:rsidRPr="0099684E">
            <w:rPr>
              <w:rFonts w:ascii="Palatino Linotype" w:hAnsi="Palatino Linotype"/>
              <w:color w:val="000000" w:themeColor="text1"/>
              <w:sz w:val="22"/>
              <w:szCs w:val="22"/>
              <w:lang w:val="es-ES"/>
            </w:rPr>
            <w:t>02726</w:t>
          </w:r>
          <w:r w:rsidRPr="0099684E">
            <w:rPr>
              <w:rFonts w:ascii="Palatino Linotype" w:hAnsi="Palatino Linotype"/>
              <w:color w:val="000000" w:themeColor="text1"/>
              <w:sz w:val="22"/>
              <w:szCs w:val="22"/>
              <w:lang w:val="es-ES"/>
            </w:rPr>
            <w:t>/INFOEM/IP/RR/</w:t>
          </w:r>
          <w:r w:rsidR="00BC52FA" w:rsidRPr="0099684E">
            <w:rPr>
              <w:rFonts w:ascii="Palatino Linotype" w:hAnsi="Palatino Linotype"/>
              <w:color w:val="000000" w:themeColor="text1"/>
              <w:sz w:val="22"/>
              <w:szCs w:val="22"/>
              <w:lang w:val="es-ES"/>
            </w:rPr>
            <w:t>2025</w:t>
          </w:r>
        </w:p>
        <w:p w14:paraId="7CF4A363" w14:textId="77777777" w:rsidR="008F5DC2" w:rsidRPr="0099684E" w:rsidRDefault="008F5DC2" w:rsidP="009E7481">
          <w:pPr>
            <w:spacing w:after="0" w:line="360" w:lineRule="auto"/>
            <w:rPr>
              <w:lang w:val="es-ES" w:eastAsia="es-MX"/>
            </w:rPr>
          </w:pPr>
        </w:p>
        <w:p w14:paraId="41B71234" w14:textId="77777777" w:rsidR="0099684E" w:rsidRPr="0099684E" w:rsidRDefault="00D526FB">
          <w:pPr>
            <w:pStyle w:val="TDC1"/>
            <w:rPr>
              <w:rFonts w:ascii="Palatino Linotype" w:eastAsiaTheme="minorEastAsia" w:hAnsi="Palatino Linotype" w:cstheme="minorBidi"/>
              <w:noProof/>
              <w:sz w:val="22"/>
              <w:szCs w:val="22"/>
              <w:lang w:eastAsia="es-MX"/>
            </w:rPr>
          </w:pPr>
          <w:r w:rsidRPr="0099684E">
            <w:rPr>
              <w:rFonts w:ascii="Palatino Linotype" w:hAnsi="Palatino Linotype"/>
              <w:sz w:val="22"/>
              <w:szCs w:val="22"/>
            </w:rPr>
            <w:fldChar w:fldCharType="begin"/>
          </w:r>
          <w:r w:rsidRPr="0099684E">
            <w:rPr>
              <w:rFonts w:ascii="Palatino Linotype" w:hAnsi="Palatino Linotype"/>
              <w:sz w:val="22"/>
              <w:szCs w:val="22"/>
            </w:rPr>
            <w:instrText xml:space="preserve"> TOC \o "1-3" \h \z \u </w:instrText>
          </w:r>
          <w:r w:rsidRPr="0099684E">
            <w:rPr>
              <w:rFonts w:ascii="Palatino Linotype" w:hAnsi="Palatino Linotype"/>
              <w:sz w:val="22"/>
              <w:szCs w:val="22"/>
            </w:rPr>
            <w:fldChar w:fldCharType="separate"/>
          </w:r>
          <w:hyperlink w:anchor="_Toc194593771" w:history="1">
            <w:r w:rsidR="0099684E" w:rsidRPr="0099684E">
              <w:rPr>
                <w:rStyle w:val="Hipervnculo"/>
                <w:rFonts w:ascii="Palatino Linotype" w:eastAsia="Calibri" w:hAnsi="Palatino Linotype"/>
                <w:bCs/>
                <w:noProof/>
                <w:sz w:val="22"/>
                <w:szCs w:val="22"/>
              </w:rPr>
              <w:t>A N T E C E D E N T E S</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_Toc194593771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2</w:t>
            </w:r>
            <w:r w:rsidR="0099684E" w:rsidRPr="0099684E">
              <w:rPr>
                <w:rFonts w:ascii="Palatino Linotype" w:hAnsi="Palatino Linotype"/>
                <w:noProof/>
                <w:webHidden/>
                <w:sz w:val="22"/>
                <w:szCs w:val="22"/>
              </w:rPr>
              <w:fldChar w:fldCharType="end"/>
            </w:r>
          </w:hyperlink>
        </w:p>
        <w:p w14:paraId="27422271"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72" w:history="1">
            <w:r w:rsidR="0099684E" w:rsidRPr="0099684E">
              <w:rPr>
                <w:rStyle w:val="Hipervnculo"/>
                <w:rFonts w:ascii="Palatino Linotype" w:hAnsi="Palatino Linotype"/>
                <w:bCs/>
                <w:noProof/>
                <w:sz w:val="22"/>
                <w:szCs w:val="22"/>
              </w:rPr>
              <w:t>I. Presentación de la solicitud de información</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_Toc194593772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2</w:t>
            </w:r>
            <w:r w:rsidR="0099684E" w:rsidRPr="0099684E">
              <w:rPr>
                <w:rFonts w:ascii="Palatino Linotype" w:hAnsi="Palatino Linotype"/>
                <w:noProof/>
                <w:webHidden/>
                <w:sz w:val="22"/>
                <w:szCs w:val="22"/>
              </w:rPr>
              <w:fldChar w:fldCharType="end"/>
            </w:r>
          </w:hyperlink>
        </w:p>
        <w:p w14:paraId="2F3022D1"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73" w:history="1">
            <w:r w:rsidR="0099684E" w:rsidRPr="0099684E">
              <w:rPr>
                <w:rStyle w:val="Hipervnculo"/>
                <w:rFonts w:ascii="Palatino Linotype" w:hAnsi="Palatino Linotype" w:cs="Tahoma"/>
                <w:bCs/>
                <w:noProof/>
                <w:sz w:val="22"/>
                <w:szCs w:val="22"/>
              </w:rPr>
              <w:t>II.</w:t>
            </w:r>
            <w:r w:rsidR="0099684E" w:rsidRPr="0099684E">
              <w:rPr>
                <w:rStyle w:val="Hipervnculo"/>
                <w:rFonts w:ascii="Palatino Linotype" w:hAnsi="Palatino Linotype"/>
                <w:bCs/>
                <w:noProof/>
                <w:sz w:val="22"/>
                <w:szCs w:val="22"/>
              </w:rPr>
              <w:t xml:space="preserve"> Respuesta del Sujeto Obligado</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_Toc194593773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3</w:t>
            </w:r>
            <w:r w:rsidR="0099684E" w:rsidRPr="0099684E">
              <w:rPr>
                <w:rFonts w:ascii="Palatino Linotype" w:hAnsi="Palatino Linotype"/>
                <w:noProof/>
                <w:webHidden/>
                <w:sz w:val="22"/>
                <w:szCs w:val="22"/>
              </w:rPr>
              <w:fldChar w:fldCharType="end"/>
            </w:r>
          </w:hyperlink>
        </w:p>
        <w:p w14:paraId="64B476A1"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74" w:history="1">
            <w:r w:rsidR="0099684E" w:rsidRPr="0099684E">
              <w:rPr>
                <w:rStyle w:val="Hipervnculo"/>
                <w:rFonts w:ascii="Palatino Linotype" w:hAnsi="Palatino Linotype"/>
                <w:bCs/>
                <w:noProof/>
                <w:sz w:val="22"/>
                <w:szCs w:val="22"/>
              </w:rPr>
              <w:t>III. Interposición del Recurso de Revisión</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_Toc194593774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3</w:t>
            </w:r>
            <w:r w:rsidR="0099684E" w:rsidRPr="0099684E">
              <w:rPr>
                <w:rFonts w:ascii="Palatino Linotype" w:hAnsi="Palatino Linotype"/>
                <w:noProof/>
                <w:webHidden/>
                <w:sz w:val="22"/>
                <w:szCs w:val="22"/>
              </w:rPr>
              <w:fldChar w:fldCharType="end"/>
            </w:r>
          </w:hyperlink>
        </w:p>
        <w:p w14:paraId="7A37DBFF"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75" w:history="1">
            <w:r w:rsidR="0099684E" w:rsidRPr="0099684E">
              <w:rPr>
                <w:rStyle w:val="Hipervnculo"/>
                <w:rFonts w:ascii="Palatino Linotype" w:hAnsi="Palatino Linotype"/>
                <w:bCs/>
                <w:noProof/>
                <w:sz w:val="22"/>
                <w:szCs w:val="22"/>
              </w:rPr>
              <w:t>IV. Trámite del Recurso de Revisión ante este Instituto</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_Toc194593775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4</w:t>
            </w:r>
            <w:r w:rsidR="0099684E" w:rsidRPr="0099684E">
              <w:rPr>
                <w:rFonts w:ascii="Palatino Linotype" w:hAnsi="Palatino Linotype"/>
                <w:noProof/>
                <w:webHidden/>
                <w:sz w:val="22"/>
                <w:szCs w:val="22"/>
              </w:rPr>
              <w:fldChar w:fldCharType="end"/>
            </w:r>
          </w:hyperlink>
        </w:p>
        <w:p w14:paraId="4BFFB9DA"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76" w:history="1">
            <w:r w:rsidR="0099684E" w:rsidRPr="0099684E">
              <w:rPr>
                <w:rStyle w:val="Hipervnculo"/>
                <w:rFonts w:ascii="Palatino Linotype" w:hAnsi="Palatino Linotype"/>
                <w:bCs/>
                <w:noProof/>
                <w:sz w:val="22"/>
                <w:szCs w:val="22"/>
              </w:rPr>
              <w:t>a) Turno del Medio de Impugnación.</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_Toc194593776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4</w:t>
            </w:r>
            <w:r w:rsidR="0099684E" w:rsidRPr="0099684E">
              <w:rPr>
                <w:rFonts w:ascii="Palatino Linotype" w:hAnsi="Palatino Linotype"/>
                <w:noProof/>
                <w:webHidden/>
                <w:sz w:val="22"/>
                <w:szCs w:val="22"/>
              </w:rPr>
              <w:fldChar w:fldCharType="end"/>
            </w:r>
          </w:hyperlink>
        </w:p>
        <w:p w14:paraId="2C89AF8C"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77" w:history="1">
            <w:r w:rsidR="0099684E" w:rsidRPr="0099684E">
              <w:rPr>
                <w:rStyle w:val="Hipervnculo"/>
                <w:rFonts w:ascii="Palatino Linotype" w:hAnsi="Palatino Linotype"/>
                <w:bCs/>
                <w:noProof/>
                <w:sz w:val="22"/>
                <w:szCs w:val="22"/>
              </w:rPr>
              <w:t>b) Admisión del Recurso de Revisión.</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_Toc194593777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4</w:t>
            </w:r>
            <w:r w:rsidR="0099684E" w:rsidRPr="0099684E">
              <w:rPr>
                <w:rFonts w:ascii="Palatino Linotype" w:hAnsi="Palatino Linotype"/>
                <w:noProof/>
                <w:webHidden/>
                <w:sz w:val="22"/>
                <w:szCs w:val="22"/>
              </w:rPr>
              <w:fldChar w:fldCharType="end"/>
            </w:r>
          </w:hyperlink>
        </w:p>
        <w:p w14:paraId="39204F0C"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78" w:history="1">
            <w:r w:rsidR="0099684E" w:rsidRPr="0099684E">
              <w:rPr>
                <w:rStyle w:val="Hipervnculo"/>
                <w:rFonts w:ascii="Palatino Linotype" w:hAnsi="Palatino Linotype"/>
                <w:bCs/>
                <w:noProof/>
                <w:sz w:val="22"/>
                <w:szCs w:val="22"/>
              </w:rPr>
              <w:t>d) Cierre de instrucción.</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_Toc194593778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5</w:t>
            </w:r>
            <w:r w:rsidR="0099684E" w:rsidRPr="0099684E">
              <w:rPr>
                <w:rFonts w:ascii="Palatino Linotype" w:hAnsi="Palatino Linotype"/>
                <w:noProof/>
                <w:webHidden/>
                <w:sz w:val="22"/>
                <w:szCs w:val="22"/>
              </w:rPr>
              <w:fldChar w:fldCharType="end"/>
            </w:r>
          </w:hyperlink>
        </w:p>
        <w:p w14:paraId="27855A40" w14:textId="77777777" w:rsidR="0099684E" w:rsidRPr="0099684E" w:rsidRDefault="00992A1B">
          <w:pPr>
            <w:pStyle w:val="TDC1"/>
            <w:rPr>
              <w:rFonts w:ascii="Palatino Linotype" w:eastAsiaTheme="minorEastAsia" w:hAnsi="Palatino Linotype" w:cstheme="minorBidi"/>
              <w:noProof/>
              <w:sz w:val="22"/>
              <w:szCs w:val="22"/>
              <w:lang w:eastAsia="es-MX"/>
            </w:rPr>
          </w:pPr>
          <w:hyperlink w:anchor="_Toc194593779" w:history="1">
            <w:r w:rsidR="0099684E" w:rsidRPr="0099684E">
              <w:rPr>
                <w:rStyle w:val="Hipervnculo"/>
                <w:rFonts w:ascii="Palatino Linotype" w:hAnsi="Palatino Linotype"/>
                <w:bCs/>
                <w:noProof/>
                <w:sz w:val="22"/>
                <w:szCs w:val="22"/>
                <w:lang w:val="es-ES"/>
              </w:rPr>
              <w:t>C O N S I D E R A N D O S</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_Toc194593779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5</w:t>
            </w:r>
            <w:r w:rsidR="0099684E" w:rsidRPr="0099684E">
              <w:rPr>
                <w:rFonts w:ascii="Palatino Linotype" w:hAnsi="Palatino Linotype"/>
                <w:noProof/>
                <w:webHidden/>
                <w:sz w:val="22"/>
                <w:szCs w:val="22"/>
              </w:rPr>
              <w:fldChar w:fldCharType="end"/>
            </w:r>
          </w:hyperlink>
        </w:p>
        <w:p w14:paraId="41E40964"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80" w:history="1">
            <w:r w:rsidR="0099684E" w:rsidRPr="0099684E">
              <w:rPr>
                <w:rStyle w:val="Hipervnculo"/>
                <w:rFonts w:ascii="Palatino Linotype" w:eastAsia="Calibri" w:hAnsi="Palatino Linotype"/>
                <w:bCs/>
                <w:noProof/>
                <w:sz w:val="22"/>
                <w:szCs w:val="22"/>
                <w:lang w:val="es-ES" w:eastAsia="es-MX"/>
              </w:rPr>
              <w:t xml:space="preserve">PRIMERO. </w:t>
            </w:r>
            <w:r w:rsidR="0099684E" w:rsidRPr="0099684E">
              <w:rPr>
                <w:rStyle w:val="Hipervnculo"/>
                <w:rFonts w:ascii="Palatino Linotype" w:hAnsi="Palatino Linotype"/>
                <w:bCs/>
                <w:noProof/>
                <w:sz w:val="22"/>
                <w:szCs w:val="22"/>
                <w:lang w:val="es-ES"/>
              </w:rPr>
              <w:t>Competencia</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_Toc194593780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5</w:t>
            </w:r>
            <w:r w:rsidR="0099684E" w:rsidRPr="0099684E">
              <w:rPr>
                <w:rFonts w:ascii="Palatino Linotype" w:hAnsi="Palatino Linotype"/>
                <w:noProof/>
                <w:webHidden/>
                <w:sz w:val="22"/>
                <w:szCs w:val="22"/>
              </w:rPr>
              <w:fldChar w:fldCharType="end"/>
            </w:r>
          </w:hyperlink>
        </w:p>
        <w:p w14:paraId="64490762"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81" w:history="1">
            <w:r w:rsidR="0099684E" w:rsidRPr="0099684E">
              <w:rPr>
                <w:rStyle w:val="Hipervnculo"/>
                <w:rFonts w:ascii="Palatino Linotype" w:eastAsia="Calibri" w:hAnsi="Palatino Linotype"/>
                <w:bCs/>
                <w:noProof/>
                <w:sz w:val="22"/>
                <w:szCs w:val="22"/>
                <w:lang w:val="es-ES" w:eastAsia="es-MX"/>
              </w:rPr>
              <w:t xml:space="preserve">SEGUNDO. </w:t>
            </w:r>
            <w:r w:rsidR="0099684E" w:rsidRPr="0099684E">
              <w:rPr>
                <w:rStyle w:val="Hipervnculo"/>
                <w:rFonts w:ascii="Palatino Linotype" w:hAnsi="Palatino Linotype"/>
                <w:bCs/>
                <w:noProof/>
                <w:sz w:val="22"/>
                <w:szCs w:val="22"/>
                <w:lang w:val="es-ES"/>
              </w:rPr>
              <w:t>Causales de improcedencia y sobreseimiento</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_Toc194593781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6</w:t>
            </w:r>
            <w:r w:rsidR="0099684E" w:rsidRPr="0099684E">
              <w:rPr>
                <w:rFonts w:ascii="Palatino Linotype" w:hAnsi="Palatino Linotype"/>
                <w:noProof/>
                <w:webHidden/>
                <w:sz w:val="22"/>
                <w:szCs w:val="22"/>
              </w:rPr>
              <w:fldChar w:fldCharType="end"/>
            </w:r>
          </w:hyperlink>
        </w:p>
        <w:p w14:paraId="60AD346F"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82" w:history="1">
            <w:r w:rsidR="0099684E" w:rsidRPr="0099684E">
              <w:rPr>
                <w:rStyle w:val="Hipervnculo"/>
                <w:rFonts w:ascii="Palatino Linotype" w:hAnsi="Palatino Linotype"/>
                <w:bCs/>
                <w:noProof/>
                <w:sz w:val="22"/>
                <w:szCs w:val="22"/>
                <w:lang w:val="es-ES"/>
              </w:rPr>
              <w:t>TERCERO. Determinación de la Controversia</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_Toc194593782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7</w:t>
            </w:r>
            <w:r w:rsidR="0099684E" w:rsidRPr="0099684E">
              <w:rPr>
                <w:rFonts w:ascii="Palatino Linotype" w:hAnsi="Palatino Linotype"/>
                <w:noProof/>
                <w:webHidden/>
                <w:sz w:val="22"/>
                <w:szCs w:val="22"/>
              </w:rPr>
              <w:fldChar w:fldCharType="end"/>
            </w:r>
          </w:hyperlink>
        </w:p>
        <w:p w14:paraId="6FC16D7F"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83" w:history="1">
            <w:r w:rsidR="0099684E" w:rsidRPr="0099684E">
              <w:rPr>
                <w:rStyle w:val="Hipervnculo"/>
                <w:rFonts w:ascii="Palatino Linotype" w:hAnsi="Palatino Linotype"/>
                <w:bCs/>
                <w:noProof/>
                <w:sz w:val="22"/>
                <w:szCs w:val="22"/>
                <w:lang w:val="es-ES"/>
              </w:rPr>
              <w:t xml:space="preserve">CUARTO. </w:t>
            </w:r>
            <w:r w:rsidR="0099684E" w:rsidRPr="0099684E">
              <w:rPr>
                <w:rStyle w:val="Hipervnculo"/>
                <w:rFonts w:ascii="Palatino Linotype" w:hAnsi="Palatino Linotype"/>
                <w:bCs/>
                <w:noProof/>
                <w:sz w:val="22"/>
                <w:szCs w:val="22"/>
              </w:rPr>
              <w:t>Marco normativo aplicable en materia de transparencia y acceso a la información pública</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_Toc194593783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9</w:t>
            </w:r>
            <w:r w:rsidR="0099684E" w:rsidRPr="0099684E">
              <w:rPr>
                <w:rFonts w:ascii="Palatino Linotype" w:hAnsi="Palatino Linotype"/>
                <w:noProof/>
                <w:webHidden/>
                <w:sz w:val="22"/>
                <w:szCs w:val="22"/>
              </w:rPr>
              <w:fldChar w:fldCharType="end"/>
            </w:r>
          </w:hyperlink>
        </w:p>
        <w:p w14:paraId="6A92A5E8"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84" w:history="1">
            <w:r w:rsidR="0099684E" w:rsidRPr="0099684E">
              <w:rPr>
                <w:rStyle w:val="Hipervnculo"/>
                <w:rFonts w:ascii="Palatino Linotype" w:hAnsi="Palatino Linotype"/>
                <w:bCs/>
                <w:noProof/>
                <w:sz w:val="22"/>
                <w:szCs w:val="22"/>
                <w:lang w:val="es-ES"/>
              </w:rPr>
              <w:t>QUINTO. Estudio de Fondo</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_Toc194593784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11</w:t>
            </w:r>
            <w:r w:rsidR="0099684E" w:rsidRPr="0099684E">
              <w:rPr>
                <w:rFonts w:ascii="Palatino Linotype" w:hAnsi="Palatino Linotype"/>
                <w:noProof/>
                <w:webHidden/>
                <w:sz w:val="22"/>
                <w:szCs w:val="22"/>
              </w:rPr>
              <w:fldChar w:fldCharType="end"/>
            </w:r>
          </w:hyperlink>
        </w:p>
        <w:p w14:paraId="16F3B064" w14:textId="77777777" w:rsidR="0099684E" w:rsidRPr="0099684E" w:rsidRDefault="00992A1B">
          <w:pPr>
            <w:pStyle w:val="TDC2"/>
            <w:tabs>
              <w:tab w:val="right" w:leader="dot" w:pos="9111"/>
            </w:tabs>
            <w:rPr>
              <w:rFonts w:ascii="Palatino Linotype" w:eastAsiaTheme="minorEastAsia" w:hAnsi="Palatino Linotype" w:cstheme="minorBidi"/>
              <w:noProof/>
              <w:sz w:val="22"/>
              <w:szCs w:val="22"/>
              <w:lang w:eastAsia="es-MX"/>
            </w:rPr>
          </w:pPr>
          <w:hyperlink w:anchor="_Toc194593785" w:history="1">
            <w:r w:rsidR="0099684E" w:rsidRPr="0099684E">
              <w:rPr>
                <w:rStyle w:val="Hipervnculo"/>
                <w:rFonts w:ascii="Palatino Linotype" w:eastAsia="Palatino Linotype" w:hAnsi="Palatino Linotype"/>
                <w:bCs/>
                <w:noProof/>
                <w:sz w:val="22"/>
                <w:szCs w:val="22"/>
                <w:lang w:eastAsia="es-MX"/>
              </w:rPr>
              <w:t>SEXTO. Decisión.</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_Toc194593785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29</w:t>
            </w:r>
            <w:r w:rsidR="0099684E" w:rsidRPr="0099684E">
              <w:rPr>
                <w:rFonts w:ascii="Palatino Linotype" w:hAnsi="Palatino Linotype"/>
                <w:noProof/>
                <w:webHidden/>
                <w:sz w:val="22"/>
                <w:szCs w:val="22"/>
              </w:rPr>
              <w:fldChar w:fldCharType="end"/>
            </w:r>
          </w:hyperlink>
        </w:p>
        <w:p w14:paraId="1DC2B084" w14:textId="77777777" w:rsidR="0099684E" w:rsidRPr="0099684E" w:rsidRDefault="00992A1B">
          <w:pPr>
            <w:pStyle w:val="TDC1"/>
            <w:rPr>
              <w:rFonts w:ascii="Palatino Linotype" w:eastAsiaTheme="minorEastAsia" w:hAnsi="Palatino Linotype" w:cstheme="minorBidi"/>
              <w:noProof/>
              <w:sz w:val="22"/>
              <w:szCs w:val="22"/>
              <w:lang w:eastAsia="es-MX"/>
            </w:rPr>
          </w:pPr>
          <w:hyperlink w:anchor="_Toc194593786" w:history="1">
            <w:r w:rsidR="0099684E" w:rsidRPr="0099684E">
              <w:rPr>
                <w:rStyle w:val="Hipervnculo"/>
                <w:rFonts w:ascii="Palatino Linotype" w:eastAsia="Calibri" w:hAnsi="Palatino Linotype"/>
                <w:bCs/>
                <w:noProof/>
                <w:sz w:val="22"/>
                <w:szCs w:val="22"/>
              </w:rPr>
              <w:t>R E S U E L V E</w:t>
            </w:r>
            <w:r w:rsidR="0099684E" w:rsidRPr="0099684E">
              <w:rPr>
                <w:rFonts w:ascii="Palatino Linotype" w:hAnsi="Palatino Linotype"/>
                <w:noProof/>
                <w:webHidden/>
                <w:sz w:val="22"/>
                <w:szCs w:val="22"/>
              </w:rPr>
              <w:tab/>
            </w:r>
            <w:r w:rsidR="0099684E" w:rsidRPr="0099684E">
              <w:rPr>
                <w:rFonts w:ascii="Palatino Linotype" w:hAnsi="Palatino Linotype"/>
                <w:noProof/>
                <w:webHidden/>
                <w:sz w:val="22"/>
                <w:szCs w:val="22"/>
              </w:rPr>
              <w:fldChar w:fldCharType="begin"/>
            </w:r>
            <w:r w:rsidR="0099684E" w:rsidRPr="0099684E">
              <w:rPr>
                <w:rFonts w:ascii="Palatino Linotype" w:hAnsi="Palatino Linotype"/>
                <w:noProof/>
                <w:webHidden/>
                <w:sz w:val="22"/>
                <w:szCs w:val="22"/>
              </w:rPr>
              <w:instrText xml:space="preserve"> PAGEREF _Toc194593786 \h </w:instrText>
            </w:r>
            <w:r w:rsidR="0099684E" w:rsidRPr="0099684E">
              <w:rPr>
                <w:rFonts w:ascii="Palatino Linotype" w:hAnsi="Palatino Linotype"/>
                <w:noProof/>
                <w:webHidden/>
                <w:sz w:val="22"/>
                <w:szCs w:val="22"/>
              </w:rPr>
            </w:r>
            <w:r w:rsidR="0099684E" w:rsidRPr="0099684E">
              <w:rPr>
                <w:rFonts w:ascii="Palatino Linotype" w:hAnsi="Palatino Linotype"/>
                <w:noProof/>
                <w:webHidden/>
                <w:sz w:val="22"/>
                <w:szCs w:val="22"/>
              </w:rPr>
              <w:fldChar w:fldCharType="separate"/>
            </w:r>
            <w:r w:rsidR="00621FBC">
              <w:rPr>
                <w:rFonts w:ascii="Palatino Linotype" w:hAnsi="Palatino Linotype"/>
                <w:noProof/>
                <w:webHidden/>
                <w:sz w:val="22"/>
                <w:szCs w:val="22"/>
              </w:rPr>
              <w:t>29</w:t>
            </w:r>
            <w:r w:rsidR="0099684E" w:rsidRPr="0099684E">
              <w:rPr>
                <w:rFonts w:ascii="Palatino Linotype" w:hAnsi="Palatino Linotype"/>
                <w:noProof/>
                <w:webHidden/>
                <w:sz w:val="22"/>
                <w:szCs w:val="22"/>
              </w:rPr>
              <w:fldChar w:fldCharType="end"/>
            </w:r>
          </w:hyperlink>
        </w:p>
        <w:p w14:paraId="7EEDECDD" w14:textId="7B521531" w:rsidR="00D526FB" w:rsidRPr="0099684E" w:rsidRDefault="00D526FB" w:rsidP="009E7481">
          <w:pPr>
            <w:spacing w:after="0" w:line="360" w:lineRule="auto"/>
            <w:rPr>
              <w:lang w:val="es-ES"/>
            </w:rPr>
          </w:pPr>
          <w:r w:rsidRPr="0099684E">
            <w:rPr>
              <w:lang w:val="es-ES"/>
            </w:rPr>
            <w:fldChar w:fldCharType="end"/>
          </w:r>
        </w:p>
      </w:sdtContent>
    </w:sdt>
    <w:p w14:paraId="385D98A5" w14:textId="77777777" w:rsidR="00D526FB" w:rsidRPr="0099684E" w:rsidRDefault="00D526FB" w:rsidP="009E7481">
      <w:pPr>
        <w:spacing w:after="0" w:line="360" w:lineRule="auto"/>
        <w:rPr>
          <w:rFonts w:eastAsia="Calibri" w:cs="Tahoma"/>
          <w:color w:val="000000"/>
        </w:rPr>
      </w:pPr>
    </w:p>
    <w:p w14:paraId="620ADDC4" w14:textId="77777777" w:rsidR="00DF6D0F" w:rsidRPr="0099684E" w:rsidRDefault="00DF6D0F" w:rsidP="009E7481">
      <w:pPr>
        <w:spacing w:after="0" w:line="360" w:lineRule="auto"/>
        <w:jc w:val="left"/>
        <w:rPr>
          <w:rFonts w:eastAsia="Calibri" w:cs="Tahoma"/>
          <w:bCs/>
          <w:color w:val="000000"/>
        </w:rPr>
      </w:pPr>
      <w:r w:rsidRPr="0099684E">
        <w:rPr>
          <w:rFonts w:eastAsia="Calibri" w:cs="Tahoma"/>
          <w:bCs/>
          <w:color w:val="000000"/>
        </w:rPr>
        <w:br w:type="page"/>
      </w:r>
    </w:p>
    <w:p w14:paraId="1DF6BBF6" w14:textId="3B3A0626" w:rsidR="00C853D1" w:rsidRPr="0099684E" w:rsidRDefault="00C853D1" w:rsidP="009E7481">
      <w:pPr>
        <w:spacing w:after="0" w:line="360" w:lineRule="auto"/>
        <w:rPr>
          <w:rFonts w:eastAsia="Times New Roman" w:cs="Tahoma"/>
          <w:bCs/>
          <w:color w:val="auto"/>
          <w:lang w:eastAsia="es-ES"/>
        </w:rPr>
      </w:pPr>
      <w:r w:rsidRPr="0099684E">
        <w:rPr>
          <w:rFonts w:eastAsia="Calibri" w:cs="Tahoma"/>
          <w:bCs/>
          <w:color w:val="000000"/>
        </w:rPr>
        <w:lastRenderedPageBreak/>
        <w:t xml:space="preserve">Resolución del Pleno del Instituto de Transparencia, Acceso a la Información Pública y </w:t>
      </w:r>
      <w:r w:rsidRPr="0099684E">
        <w:rPr>
          <w:rFonts w:eastAsia="Times New Roman" w:cs="Tahoma"/>
          <w:bCs/>
          <w:color w:val="auto"/>
          <w:lang w:eastAsia="es-ES"/>
        </w:rPr>
        <w:t xml:space="preserve">Protección de Datos Personales del Estado de México y Municipios, con domicilio en Metepec, Estado de México, de fecha </w:t>
      </w:r>
      <w:r w:rsidR="006A025A" w:rsidRPr="0099684E">
        <w:rPr>
          <w:rFonts w:eastAsia="Times New Roman" w:cs="Tahoma"/>
          <w:bCs/>
          <w:color w:val="auto"/>
          <w:lang w:eastAsia="es-ES"/>
        </w:rPr>
        <w:t>dos</w:t>
      </w:r>
      <w:r w:rsidR="00D9561F" w:rsidRPr="0099684E">
        <w:rPr>
          <w:rFonts w:eastAsia="Times New Roman" w:cs="Tahoma"/>
          <w:bCs/>
          <w:color w:val="auto"/>
          <w:lang w:eastAsia="es-ES"/>
        </w:rPr>
        <w:t xml:space="preserve"> de </w:t>
      </w:r>
      <w:r w:rsidR="006A025A" w:rsidRPr="0099684E">
        <w:rPr>
          <w:rFonts w:eastAsia="Times New Roman" w:cs="Tahoma"/>
          <w:bCs/>
          <w:color w:val="auto"/>
          <w:lang w:eastAsia="es-ES"/>
        </w:rPr>
        <w:t>abril</w:t>
      </w:r>
      <w:r w:rsidR="00D9561F" w:rsidRPr="0099684E">
        <w:rPr>
          <w:rFonts w:eastAsia="Times New Roman" w:cs="Tahoma"/>
          <w:bCs/>
          <w:color w:val="auto"/>
          <w:lang w:eastAsia="es-ES"/>
        </w:rPr>
        <w:t xml:space="preserve"> de dos mil veinti</w:t>
      </w:r>
      <w:r w:rsidR="00702180" w:rsidRPr="0099684E">
        <w:rPr>
          <w:rFonts w:eastAsia="Times New Roman" w:cs="Tahoma"/>
          <w:bCs/>
          <w:color w:val="auto"/>
          <w:lang w:eastAsia="es-ES"/>
        </w:rPr>
        <w:t>cinco</w:t>
      </w:r>
      <w:r w:rsidR="00D9561F" w:rsidRPr="0099684E">
        <w:rPr>
          <w:rFonts w:eastAsia="Times New Roman" w:cs="Tahoma"/>
          <w:bCs/>
          <w:color w:val="auto"/>
          <w:lang w:eastAsia="es-ES"/>
        </w:rPr>
        <w:t>.</w:t>
      </w:r>
    </w:p>
    <w:p w14:paraId="1D95A1A3" w14:textId="77777777" w:rsidR="00C853D1" w:rsidRPr="0099684E" w:rsidRDefault="00C853D1" w:rsidP="009E7481">
      <w:pPr>
        <w:tabs>
          <w:tab w:val="left" w:pos="2839"/>
        </w:tabs>
        <w:spacing w:after="0" w:line="360" w:lineRule="auto"/>
        <w:rPr>
          <w:rFonts w:eastAsia="Times New Roman" w:cs="Tahoma"/>
          <w:bCs/>
          <w:color w:val="auto"/>
          <w:lang w:eastAsia="es-ES"/>
        </w:rPr>
      </w:pPr>
    </w:p>
    <w:p w14:paraId="1066B8D1" w14:textId="5CB55975" w:rsidR="00C853D1" w:rsidRPr="0099684E" w:rsidRDefault="00C853D1" w:rsidP="009E7481">
      <w:pPr>
        <w:spacing w:after="0" w:line="360" w:lineRule="auto"/>
        <w:rPr>
          <w:rFonts w:eastAsia="Calibri" w:cs="Tahoma"/>
          <w:color w:val="0D0D0D"/>
        </w:rPr>
      </w:pPr>
      <w:r w:rsidRPr="0099684E">
        <w:rPr>
          <w:rFonts w:eastAsia="Times New Roman" w:cs="Tahoma"/>
          <w:b/>
          <w:bCs/>
          <w:color w:val="auto"/>
          <w:lang w:eastAsia="es-ES"/>
        </w:rPr>
        <w:t>VISTO</w:t>
      </w:r>
      <w:r w:rsidRPr="0099684E">
        <w:rPr>
          <w:rFonts w:eastAsia="Calibri" w:cs="Tahoma"/>
          <w:bCs/>
          <w:color w:val="0D0D0D"/>
        </w:rPr>
        <w:t xml:space="preserve"> el expediente conformado con motivo del Recurso de Revisión </w:t>
      </w:r>
      <w:r w:rsidR="006A025A" w:rsidRPr="00C62653">
        <w:rPr>
          <w:rFonts w:eastAsia="Calibri" w:cs="Tahoma"/>
          <w:b/>
          <w:color w:val="000000"/>
        </w:rPr>
        <w:t>02726</w:t>
      </w:r>
      <w:r w:rsidR="00BC52FA" w:rsidRPr="00C62653">
        <w:rPr>
          <w:rFonts w:eastAsia="Calibri" w:cs="Tahoma"/>
          <w:b/>
          <w:color w:val="000000"/>
        </w:rPr>
        <w:t>/INFOEM/IP/RR/</w:t>
      </w:r>
      <w:r w:rsidR="00BC52FA" w:rsidRPr="0099684E">
        <w:rPr>
          <w:rFonts w:eastAsia="Calibri" w:cs="Tahoma"/>
          <w:color w:val="000000"/>
        </w:rPr>
        <w:t>2025</w:t>
      </w:r>
      <w:r w:rsidRPr="0099684E">
        <w:rPr>
          <w:rFonts w:eastAsia="Calibri" w:cs="Tahoma"/>
          <w:color w:val="000000"/>
        </w:rPr>
        <w:t>, interpuesto</w:t>
      </w:r>
      <w:r w:rsidR="00BC52FA" w:rsidRPr="0099684E">
        <w:rPr>
          <w:rFonts w:eastAsia="Calibri" w:cs="Tahoma"/>
          <w:color w:val="000000"/>
        </w:rPr>
        <w:t xml:space="preserve"> por la persona Recurrente o Particular</w:t>
      </w:r>
      <w:r w:rsidRPr="0099684E">
        <w:rPr>
          <w:rFonts w:eastAsia="Calibri" w:cs="Tahoma"/>
          <w:color w:val="0D0D0D"/>
        </w:rPr>
        <w:t>, en contra de la respuesta del Sujeto Obligado,</w:t>
      </w:r>
      <w:r w:rsidRPr="0099684E">
        <w:rPr>
          <w:rFonts w:eastAsia="Calibri" w:cs="Tahoma"/>
          <w:color w:val="000000"/>
        </w:rPr>
        <w:t xml:space="preserve"> </w:t>
      </w:r>
      <w:r w:rsidR="00484642" w:rsidRPr="00C62653">
        <w:rPr>
          <w:rFonts w:eastAsia="Calibri" w:cs="Tahoma"/>
          <w:b/>
          <w:bCs/>
          <w:color w:val="000000"/>
        </w:rPr>
        <w:t>Organismo Público Descentralizado Municipal para la Prestación de los Servicios de Agua Potable Alcantarillado y Saneamiento de Cuautitlán Izcalli</w:t>
      </w:r>
      <w:r w:rsidRPr="0099684E">
        <w:rPr>
          <w:rFonts w:eastAsia="Calibri" w:cs="Tahoma"/>
          <w:color w:val="000000"/>
        </w:rPr>
        <w:t xml:space="preserve">, a la solicitud de acceso a la información </w:t>
      </w:r>
      <w:r w:rsidR="006A025A" w:rsidRPr="0099684E">
        <w:rPr>
          <w:rFonts w:eastAsia="Calibri" w:cs="Tahoma"/>
          <w:color w:val="000000"/>
        </w:rPr>
        <w:t>00022</w:t>
      </w:r>
      <w:r w:rsidR="00702180" w:rsidRPr="0099684E">
        <w:rPr>
          <w:rFonts w:eastAsia="Calibri" w:cs="Tahoma"/>
          <w:color w:val="000000"/>
        </w:rPr>
        <w:t>/</w:t>
      </w:r>
      <w:r w:rsidR="006A025A" w:rsidRPr="0099684E">
        <w:rPr>
          <w:rFonts w:eastAsia="Calibri" w:cs="Tahoma"/>
          <w:color w:val="000000"/>
        </w:rPr>
        <w:t>OASCUATIZC</w:t>
      </w:r>
      <w:r w:rsidR="00702180" w:rsidRPr="0099684E">
        <w:rPr>
          <w:rFonts w:eastAsia="Calibri" w:cs="Tahoma"/>
          <w:color w:val="000000"/>
        </w:rPr>
        <w:t>/IP/</w:t>
      </w:r>
      <w:r w:rsidR="00BC52FA" w:rsidRPr="0099684E">
        <w:rPr>
          <w:rFonts w:eastAsia="Calibri" w:cs="Tahoma"/>
          <w:color w:val="000000"/>
        </w:rPr>
        <w:t>2025</w:t>
      </w:r>
      <w:r w:rsidRPr="0099684E">
        <w:rPr>
          <w:rFonts w:eastAsia="Calibri" w:cs="Tahoma"/>
          <w:color w:val="000000"/>
        </w:rPr>
        <w:t>, se emite la presente Resolución, con base en los Antecedentes y Considerandos que se exponen a continuación:</w:t>
      </w:r>
    </w:p>
    <w:p w14:paraId="4FCCF228" w14:textId="77777777" w:rsidR="00C853D1" w:rsidRPr="0099684E" w:rsidRDefault="00C853D1" w:rsidP="009E7481">
      <w:pPr>
        <w:spacing w:after="0" w:line="360" w:lineRule="auto"/>
        <w:rPr>
          <w:rFonts w:eastAsia="Calibri" w:cs="Tahoma"/>
          <w:color w:val="000000"/>
        </w:rPr>
      </w:pPr>
    </w:p>
    <w:p w14:paraId="0472C645" w14:textId="29651AA2" w:rsidR="00C853D1" w:rsidRPr="0099684E" w:rsidRDefault="00C853D1" w:rsidP="009E7481">
      <w:pPr>
        <w:pStyle w:val="Ttulo1"/>
        <w:spacing w:before="0" w:line="360" w:lineRule="auto"/>
        <w:jc w:val="center"/>
        <w:rPr>
          <w:rFonts w:ascii="Palatino Linotype" w:eastAsia="Calibri" w:hAnsi="Palatino Linotype"/>
          <w:b/>
          <w:bCs/>
          <w:color w:val="auto"/>
          <w:sz w:val="22"/>
          <w:szCs w:val="22"/>
        </w:rPr>
      </w:pPr>
      <w:bookmarkStart w:id="0" w:name="_Toc194593771"/>
      <w:r w:rsidRPr="0099684E">
        <w:rPr>
          <w:rFonts w:ascii="Palatino Linotype" w:eastAsia="Calibri" w:hAnsi="Palatino Linotype"/>
          <w:b/>
          <w:bCs/>
          <w:color w:val="auto"/>
          <w:sz w:val="22"/>
          <w:szCs w:val="22"/>
        </w:rPr>
        <w:t>A N T E C E D E N T E S</w:t>
      </w:r>
      <w:bookmarkEnd w:id="0"/>
    </w:p>
    <w:p w14:paraId="422D0175" w14:textId="77777777" w:rsidR="00C853D1" w:rsidRPr="0099684E" w:rsidRDefault="00C853D1" w:rsidP="009E7481">
      <w:pPr>
        <w:spacing w:after="0" w:line="360" w:lineRule="auto"/>
      </w:pPr>
    </w:p>
    <w:p w14:paraId="539DCEC7" w14:textId="78CA44F8" w:rsidR="00C853D1" w:rsidRPr="0099684E" w:rsidRDefault="00C853D1" w:rsidP="009E7481">
      <w:pPr>
        <w:pStyle w:val="Ttulo2"/>
        <w:spacing w:before="0" w:line="360" w:lineRule="auto"/>
        <w:rPr>
          <w:rFonts w:ascii="Palatino Linotype" w:eastAsia="Times New Roman" w:hAnsi="Palatino Linotype"/>
          <w:b/>
          <w:bCs/>
          <w:color w:val="auto"/>
          <w:sz w:val="22"/>
          <w:szCs w:val="22"/>
          <w:lang w:eastAsia="es-ES"/>
        </w:rPr>
      </w:pPr>
      <w:bookmarkStart w:id="1" w:name="_Toc194593772"/>
      <w:r w:rsidRPr="0099684E">
        <w:rPr>
          <w:rFonts w:ascii="Palatino Linotype" w:eastAsia="Times New Roman" w:hAnsi="Palatino Linotype"/>
          <w:b/>
          <w:bCs/>
          <w:color w:val="auto"/>
          <w:sz w:val="22"/>
          <w:szCs w:val="22"/>
          <w:lang w:eastAsia="es-ES"/>
        </w:rPr>
        <w:t>I. Presentación de la solicitud de información</w:t>
      </w:r>
      <w:bookmarkEnd w:id="1"/>
    </w:p>
    <w:p w14:paraId="681289FF" w14:textId="77777777" w:rsidR="00C853D1" w:rsidRPr="0099684E" w:rsidRDefault="00C853D1" w:rsidP="009E7481">
      <w:pPr>
        <w:tabs>
          <w:tab w:val="left" w:pos="567"/>
        </w:tabs>
        <w:spacing w:after="0" w:line="360" w:lineRule="auto"/>
        <w:rPr>
          <w:rFonts w:eastAsia="Times New Roman" w:cs="Tahoma"/>
          <w:color w:val="auto"/>
          <w:lang w:eastAsia="es-ES"/>
        </w:rPr>
      </w:pPr>
    </w:p>
    <w:p w14:paraId="2A44F672" w14:textId="0B997EB7" w:rsidR="00C853D1" w:rsidRPr="0099684E" w:rsidRDefault="00C853D1" w:rsidP="009E7481">
      <w:pPr>
        <w:spacing w:after="0" w:line="360" w:lineRule="auto"/>
        <w:rPr>
          <w:rFonts w:eastAsia="Times New Roman" w:cs="Tahoma"/>
          <w:color w:val="auto"/>
          <w:lang w:eastAsia="es-ES"/>
        </w:rPr>
      </w:pPr>
      <w:r w:rsidRPr="0099684E">
        <w:rPr>
          <w:rFonts w:eastAsia="Times New Roman" w:cs="Tahoma"/>
          <w:color w:val="auto"/>
          <w:lang w:eastAsia="es-ES"/>
        </w:rPr>
        <w:t xml:space="preserve">Con fecha </w:t>
      </w:r>
      <w:r w:rsidR="006A025A" w:rsidRPr="0099684E">
        <w:rPr>
          <w:rFonts w:eastAsia="Times New Roman" w:cs="Tahoma"/>
          <w:color w:val="auto"/>
          <w:lang w:eastAsia="es-ES"/>
        </w:rPr>
        <w:t>treinta y uno</w:t>
      </w:r>
      <w:r w:rsidR="00702180" w:rsidRPr="0099684E">
        <w:rPr>
          <w:rFonts w:eastAsia="Times New Roman" w:cs="Tahoma"/>
          <w:color w:val="auto"/>
          <w:lang w:eastAsia="es-ES"/>
        </w:rPr>
        <w:t xml:space="preserve"> </w:t>
      </w:r>
      <w:r w:rsidR="00BC52FA" w:rsidRPr="0099684E">
        <w:rPr>
          <w:rFonts w:eastAsia="Times New Roman" w:cs="Tahoma"/>
          <w:color w:val="auto"/>
          <w:lang w:eastAsia="es-ES"/>
        </w:rPr>
        <w:t xml:space="preserve">de </w:t>
      </w:r>
      <w:r w:rsidR="006A025A" w:rsidRPr="0099684E">
        <w:rPr>
          <w:rFonts w:eastAsia="Times New Roman" w:cs="Tahoma"/>
          <w:color w:val="auto"/>
          <w:lang w:eastAsia="es-ES"/>
        </w:rPr>
        <w:t>enero</w:t>
      </w:r>
      <w:r w:rsidR="00702180" w:rsidRPr="0099684E">
        <w:rPr>
          <w:rFonts w:eastAsia="Times New Roman" w:cs="Tahoma"/>
          <w:color w:val="auto"/>
          <w:lang w:eastAsia="es-ES"/>
        </w:rPr>
        <w:t xml:space="preserve"> de dos mil </w:t>
      </w:r>
      <w:r w:rsidR="00BC52FA" w:rsidRPr="0099684E">
        <w:rPr>
          <w:rFonts w:eastAsia="Times New Roman" w:cs="Tahoma"/>
          <w:color w:val="auto"/>
          <w:lang w:eastAsia="es-ES"/>
        </w:rPr>
        <w:t>veinticinco</w:t>
      </w:r>
      <w:r w:rsidRPr="0099684E">
        <w:rPr>
          <w:rFonts w:eastAsia="Times New Roman" w:cs="Tahoma"/>
          <w:color w:val="auto"/>
          <w:lang w:eastAsia="es-ES"/>
        </w:rPr>
        <w:t>,</w:t>
      </w:r>
      <w:r w:rsidR="00005E7C" w:rsidRPr="0099684E">
        <w:rPr>
          <w:rFonts w:eastAsia="Times New Roman" w:cs="Tahoma"/>
          <w:color w:val="auto"/>
          <w:lang w:eastAsia="es-ES"/>
        </w:rPr>
        <w:t xml:space="preserve"> </w:t>
      </w:r>
      <w:r w:rsidR="00702180" w:rsidRPr="0099684E">
        <w:rPr>
          <w:rFonts w:eastAsia="Times New Roman" w:cs="Tahoma"/>
          <w:color w:val="auto"/>
          <w:lang w:eastAsia="es-ES"/>
        </w:rPr>
        <w:t xml:space="preserve">el </w:t>
      </w:r>
      <w:r w:rsidRPr="0099684E">
        <w:rPr>
          <w:rFonts w:eastAsia="Times New Roman" w:cs="Tahoma"/>
          <w:color w:val="auto"/>
          <w:lang w:eastAsia="es-ES"/>
        </w:rPr>
        <w:t xml:space="preserve">Particular presentó una solicitud de acceso a la información pública, a través del Sistema de Acceso a la Información Mexiquense (SAIMEX), ante el </w:t>
      </w:r>
      <w:r w:rsidR="00484642" w:rsidRPr="0099684E">
        <w:rPr>
          <w:rFonts w:eastAsia="Calibri" w:cs="Tahoma"/>
          <w:color w:val="000000"/>
        </w:rPr>
        <w:t>Organismo Público Descentralizado Municipal para la Prestación de los Servicios de Agua Potable Alcantarillado y Saneamiento de Cuautitlán Izcalli,</w:t>
      </w:r>
      <w:r w:rsidRPr="0099684E">
        <w:rPr>
          <w:rFonts w:eastAsia="Calibri" w:cs="Tahoma"/>
        </w:rPr>
        <w:t xml:space="preserve"> en los siguientes términos: </w:t>
      </w:r>
    </w:p>
    <w:p w14:paraId="32AF4217" w14:textId="77777777" w:rsidR="00C853D1" w:rsidRPr="0099684E" w:rsidRDefault="00C853D1" w:rsidP="009E7481">
      <w:pPr>
        <w:spacing w:after="0" w:line="360" w:lineRule="auto"/>
        <w:rPr>
          <w:rFonts w:eastAsia="Calibri" w:cs="Tahoma"/>
        </w:rPr>
      </w:pPr>
    </w:p>
    <w:p w14:paraId="08873B8F" w14:textId="77777777" w:rsidR="00C853D1" w:rsidRPr="0099684E" w:rsidRDefault="00C853D1" w:rsidP="009E7481">
      <w:pPr>
        <w:tabs>
          <w:tab w:val="left" w:pos="4667"/>
        </w:tabs>
        <w:spacing w:after="0" w:line="360" w:lineRule="auto"/>
        <w:ind w:left="567" w:right="567"/>
        <w:rPr>
          <w:rFonts w:eastAsia="Times New Roman" w:cs="Tahoma"/>
          <w:b/>
          <w:i/>
          <w:iCs/>
          <w:color w:val="auto"/>
          <w:sz w:val="20"/>
          <w:szCs w:val="20"/>
          <w:lang w:eastAsia="es-ES"/>
        </w:rPr>
      </w:pPr>
      <w:r w:rsidRPr="0099684E">
        <w:rPr>
          <w:rFonts w:eastAsia="Times New Roman" w:cs="Tahoma"/>
          <w:b/>
          <w:i/>
          <w:iCs/>
          <w:color w:val="auto"/>
          <w:sz w:val="20"/>
          <w:szCs w:val="20"/>
          <w:lang w:eastAsia="es-ES"/>
        </w:rPr>
        <w:t>“DESCRIPCIÓN CLARA Y PRECISA DE LA INFORMACIÓN SOLICITADA.</w:t>
      </w:r>
    </w:p>
    <w:p w14:paraId="47049033" w14:textId="695C071E" w:rsidR="00C853D1" w:rsidRPr="0099684E" w:rsidRDefault="006A025A" w:rsidP="009E7481">
      <w:pPr>
        <w:tabs>
          <w:tab w:val="left" w:pos="4667"/>
        </w:tabs>
        <w:spacing w:after="0" w:line="360" w:lineRule="auto"/>
        <w:ind w:left="567" w:right="567"/>
        <w:rPr>
          <w:rFonts w:eastAsia="Times New Roman" w:cs="Tahoma"/>
          <w:bCs/>
          <w:i/>
          <w:iCs/>
          <w:color w:val="auto"/>
          <w:sz w:val="20"/>
          <w:szCs w:val="20"/>
          <w:lang w:eastAsia="es-ES"/>
        </w:rPr>
      </w:pPr>
      <w:r w:rsidRPr="0099684E">
        <w:rPr>
          <w:i/>
          <w:color w:val="000000"/>
          <w:sz w:val="20"/>
          <w:szCs w:val="20"/>
        </w:rPr>
        <w:t>Por medio de la presente solicito: copia del comprobante de dispersión de nómina así como los recibos de nómina correspondientes a la primera y segunda quincena del mes de enero de 2025.</w:t>
      </w:r>
      <w:r w:rsidR="00C853D1" w:rsidRPr="0099684E">
        <w:rPr>
          <w:rFonts w:eastAsia="Times New Roman" w:cs="Tahoma"/>
          <w:bCs/>
          <w:i/>
          <w:iCs/>
          <w:color w:val="auto"/>
          <w:sz w:val="20"/>
          <w:szCs w:val="20"/>
          <w:lang w:eastAsia="es-ES"/>
        </w:rPr>
        <w:t xml:space="preserve">” (Sic) </w:t>
      </w:r>
    </w:p>
    <w:p w14:paraId="151CD7A9" w14:textId="77777777" w:rsidR="00C853D1" w:rsidRPr="0099684E" w:rsidRDefault="00C853D1" w:rsidP="009E7481">
      <w:pPr>
        <w:tabs>
          <w:tab w:val="left" w:pos="4667"/>
        </w:tabs>
        <w:spacing w:after="0" w:line="360" w:lineRule="auto"/>
        <w:ind w:left="567" w:right="567"/>
        <w:rPr>
          <w:rFonts w:eastAsia="Times New Roman" w:cs="Tahoma"/>
          <w:b/>
          <w:bCs/>
          <w:i/>
          <w:iCs/>
          <w:color w:val="auto"/>
          <w:sz w:val="20"/>
          <w:lang w:eastAsia="es-ES"/>
        </w:rPr>
      </w:pPr>
    </w:p>
    <w:p w14:paraId="0E8A2DCA" w14:textId="77777777" w:rsidR="00C853D1" w:rsidRPr="0099684E" w:rsidRDefault="00C853D1" w:rsidP="009E7481">
      <w:pPr>
        <w:tabs>
          <w:tab w:val="left" w:pos="4667"/>
        </w:tabs>
        <w:spacing w:after="0" w:line="360" w:lineRule="auto"/>
        <w:ind w:left="567" w:right="567"/>
        <w:rPr>
          <w:rFonts w:eastAsia="Times New Roman" w:cs="Tahoma"/>
          <w:b/>
          <w:bCs/>
          <w:i/>
          <w:iCs/>
          <w:color w:val="auto"/>
          <w:sz w:val="20"/>
          <w:lang w:eastAsia="es-ES"/>
        </w:rPr>
      </w:pPr>
      <w:r w:rsidRPr="0099684E">
        <w:rPr>
          <w:rFonts w:eastAsia="Times New Roman" w:cs="Tahoma"/>
          <w:b/>
          <w:bCs/>
          <w:i/>
          <w:iCs/>
          <w:color w:val="auto"/>
          <w:sz w:val="20"/>
          <w:lang w:eastAsia="es-ES"/>
        </w:rPr>
        <w:t>“MODALIDAD DE ENTREGA</w:t>
      </w:r>
    </w:p>
    <w:p w14:paraId="59678C94" w14:textId="1E32CB35" w:rsidR="00C853D1" w:rsidRPr="0099684E" w:rsidRDefault="00C853D1" w:rsidP="009E7481">
      <w:pPr>
        <w:spacing w:after="0" w:line="360" w:lineRule="auto"/>
        <w:ind w:left="567" w:right="567"/>
        <w:rPr>
          <w:rFonts w:eastAsia="Times New Roman" w:cs="Arial"/>
          <w:bCs/>
          <w:i/>
          <w:iCs/>
          <w:color w:val="auto"/>
          <w:sz w:val="20"/>
          <w:lang w:eastAsia="es-ES"/>
        </w:rPr>
      </w:pPr>
      <w:r w:rsidRPr="0099684E">
        <w:rPr>
          <w:rFonts w:eastAsia="Times New Roman" w:cs="Arial"/>
          <w:bCs/>
          <w:i/>
          <w:iCs/>
          <w:color w:val="auto"/>
          <w:sz w:val="20"/>
          <w:lang w:eastAsia="es-ES"/>
        </w:rPr>
        <w:lastRenderedPageBreak/>
        <w:t>A través del SAIMEX”</w:t>
      </w:r>
    </w:p>
    <w:p w14:paraId="1DAA8380" w14:textId="77777777" w:rsidR="00682222" w:rsidRPr="0099684E" w:rsidRDefault="00682222" w:rsidP="009E7481">
      <w:pPr>
        <w:spacing w:after="0" w:line="360" w:lineRule="auto"/>
        <w:ind w:left="567" w:right="567"/>
        <w:rPr>
          <w:rFonts w:eastAsia="Times New Roman" w:cs="Arial"/>
          <w:bCs/>
          <w:i/>
          <w:iCs/>
          <w:color w:val="auto"/>
          <w:sz w:val="20"/>
          <w:lang w:eastAsia="es-ES"/>
        </w:rPr>
      </w:pPr>
    </w:p>
    <w:p w14:paraId="7488ED31" w14:textId="54FE41E0" w:rsidR="00C853D1" w:rsidRPr="0099684E" w:rsidRDefault="00C853D1" w:rsidP="009E7481">
      <w:pPr>
        <w:pStyle w:val="Ttulo2"/>
        <w:spacing w:before="0" w:line="360" w:lineRule="auto"/>
        <w:rPr>
          <w:rFonts w:ascii="Palatino Linotype" w:hAnsi="Palatino Linotype"/>
          <w:b/>
          <w:bCs/>
          <w:color w:val="auto"/>
          <w:sz w:val="22"/>
          <w:szCs w:val="22"/>
        </w:rPr>
      </w:pPr>
      <w:bookmarkStart w:id="2" w:name="_Toc194593773"/>
      <w:r w:rsidRPr="0099684E">
        <w:rPr>
          <w:rFonts w:ascii="Palatino Linotype" w:hAnsi="Palatino Linotype" w:cs="Tahoma"/>
          <w:b/>
          <w:bCs/>
          <w:color w:val="auto"/>
          <w:sz w:val="22"/>
          <w:szCs w:val="22"/>
        </w:rPr>
        <w:t>II.</w:t>
      </w:r>
      <w:r w:rsidRPr="0099684E">
        <w:rPr>
          <w:rFonts w:ascii="Palatino Linotype" w:hAnsi="Palatino Linotype"/>
          <w:b/>
          <w:bCs/>
          <w:color w:val="auto"/>
          <w:sz w:val="22"/>
          <w:szCs w:val="22"/>
        </w:rPr>
        <w:t xml:space="preserve"> Respuesta del Sujeto Obligado</w:t>
      </w:r>
      <w:bookmarkEnd w:id="2"/>
    </w:p>
    <w:p w14:paraId="4BBF47A5" w14:textId="77777777" w:rsidR="00EC7345" w:rsidRPr="0099684E" w:rsidRDefault="00EC7345" w:rsidP="009E7481">
      <w:pPr>
        <w:autoSpaceDE w:val="0"/>
        <w:autoSpaceDN w:val="0"/>
        <w:adjustRightInd w:val="0"/>
        <w:spacing w:after="0" w:line="360" w:lineRule="auto"/>
        <w:rPr>
          <w:b/>
          <w:bCs/>
        </w:rPr>
      </w:pPr>
    </w:p>
    <w:p w14:paraId="3AE2F83E" w14:textId="47F5597D" w:rsidR="008F5DC2" w:rsidRPr="0099684E" w:rsidRDefault="00C853D1" w:rsidP="009E7481">
      <w:pPr>
        <w:spacing w:after="0" w:line="360" w:lineRule="auto"/>
      </w:pPr>
      <w:r w:rsidRPr="0099684E">
        <w:t>Con fecha</w:t>
      </w:r>
      <w:r w:rsidR="002F68E2" w:rsidRPr="0099684E">
        <w:t xml:space="preserve"> </w:t>
      </w:r>
      <w:r w:rsidR="006A025A" w:rsidRPr="0099684E">
        <w:t>veinticuatro</w:t>
      </w:r>
      <w:r w:rsidR="00702180" w:rsidRPr="0099684E">
        <w:t xml:space="preserve"> de </w:t>
      </w:r>
      <w:r w:rsidR="00BC52FA" w:rsidRPr="0099684E">
        <w:t>febrero</w:t>
      </w:r>
      <w:r w:rsidR="00702180" w:rsidRPr="0099684E">
        <w:t xml:space="preserve"> de dos mil </w:t>
      </w:r>
      <w:r w:rsidR="00BC52FA" w:rsidRPr="0099684E">
        <w:t>veinticinco</w:t>
      </w:r>
      <w:r w:rsidR="002F68E2" w:rsidRPr="0099684E">
        <w:t xml:space="preserve">, el Sujeto Obligado notificó, a través del Sistema de Acceso a la Información Mexiquense (SAIMEX), la respuesta a la solicitud de acceso a la información pública, mediante </w:t>
      </w:r>
      <w:r w:rsidR="008F5DC2" w:rsidRPr="0099684E">
        <w:t xml:space="preserve">la digitalización de los siguientes documentos: </w:t>
      </w:r>
    </w:p>
    <w:p w14:paraId="6D83AB41" w14:textId="6F4DCC07" w:rsidR="008F5DC2" w:rsidRPr="0099684E" w:rsidRDefault="008F5DC2" w:rsidP="009E7481">
      <w:pPr>
        <w:spacing w:after="0" w:line="360" w:lineRule="auto"/>
      </w:pPr>
    </w:p>
    <w:p w14:paraId="16992CA5" w14:textId="4E40530A" w:rsidR="008F5DC2" w:rsidRPr="0099684E" w:rsidRDefault="00326B21" w:rsidP="009E7481">
      <w:pPr>
        <w:spacing w:after="0" w:line="360" w:lineRule="auto"/>
      </w:pPr>
      <w:r w:rsidRPr="0099684E">
        <w:t xml:space="preserve">i) Oficio </w:t>
      </w:r>
      <w:r w:rsidR="008F5DC2" w:rsidRPr="0099684E">
        <w:t>número</w:t>
      </w:r>
      <w:r w:rsidRPr="0099684E">
        <w:t xml:space="preserve"> DAF/192/JEQA/2025 </w:t>
      </w:r>
      <w:r w:rsidR="008F5DC2" w:rsidRPr="0099684E">
        <w:t xml:space="preserve">del </w:t>
      </w:r>
      <w:r w:rsidRPr="0099684E">
        <w:t>veinticuatro</w:t>
      </w:r>
      <w:r w:rsidR="008F5DC2" w:rsidRPr="0099684E">
        <w:t xml:space="preserve"> de febrero de dos mil veinticinco, suscrito por el </w:t>
      </w:r>
      <w:r w:rsidRPr="0099684E">
        <w:t>Director de Administración y Finanzas y dirigido al Titular de la Coordinación de Transparencia y Archivo</w:t>
      </w:r>
      <w:r w:rsidR="00C74363" w:rsidRPr="0099684E">
        <w:t>, en el cual remite el oficio SBA/RH/037/AGV/2025.</w:t>
      </w:r>
    </w:p>
    <w:p w14:paraId="0F7A3C97" w14:textId="77777777" w:rsidR="008F5DC2" w:rsidRPr="0099684E" w:rsidRDefault="008F5DC2" w:rsidP="009E7481">
      <w:pPr>
        <w:spacing w:after="0" w:line="360" w:lineRule="auto"/>
      </w:pPr>
    </w:p>
    <w:p w14:paraId="08BA7E31" w14:textId="48F190DB" w:rsidR="00C078CA" w:rsidRPr="0099684E" w:rsidRDefault="008F5DC2" w:rsidP="009E7481">
      <w:pPr>
        <w:spacing w:after="0" w:line="360" w:lineRule="auto"/>
      </w:pPr>
      <w:r w:rsidRPr="0099684E">
        <w:t>ii) O</w:t>
      </w:r>
      <w:r w:rsidR="002F68E2" w:rsidRPr="0099684E">
        <w:t>ficio</w:t>
      </w:r>
      <w:r w:rsidR="00005E7C" w:rsidRPr="0099684E">
        <w:t xml:space="preserve"> </w:t>
      </w:r>
      <w:r w:rsidR="003523BD" w:rsidRPr="0099684E">
        <w:t xml:space="preserve">número </w:t>
      </w:r>
      <w:r w:rsidR="00C74363" w:rsidRPr="0099684E">
        <w:t>SBA/RH/037/AGV/2025</w:t>
      </w:r>
      <w:r w:rsidR="00472F9D" w:rsidRPr="0099684E">
        <w:t xml:space="preserve">, </w:t>
      </w:r>
      <w:r w:rsidR="00AF693E" w:rsidRPr="0099684E">
        <w:t xml:space="preserve">del </w:t>
      </w:r>
      <w:r w:rsidR="00C74363" w:rsidRPr="0099684E">
        <w:t>veinticuatro</w:t>
      </w:r>
      <w:r w:rsidR="003523BD" w:rsidRPr="0099684E">
        <w:t xml:space="preserve"> de </w:t>
      </w:r>
      <w:r w:rsidR="00BC52FA" w:rsidRPr="0099684E">
        <w:t>febrero</w:t>
      </w:r>
      <w:r w:rsidR="003523BD" w:rsidRPr="0099684E">
        <w:t xml:space="preserve"> de dos mil </w:t>
      </w:r>
      <w:r w:rsidR="00BC52FA" w:rsidRPr="0099684E">
        <w:t>veinticinco</w:t>
      </w:r>
      <w:r w:rsidR="00472F9D" w:rsidRPr="0099684E">
        <w:t xml:space="preserve">, suscrito por </w:t>
      </w:r>
      <w:r w:rsidR="00BC52FA" w:rsidRPr="0099684E">
        <w:t xml:space="preserve">la </w:t>
      </w:r>
      <w:r w:rsidR="00C74363" w:rsidRPr="0099684E">
        <w:t xml:space="preserve">Titular de la Coordinación de Recursos Humanos </w:t>
      </w:r>
      <w:r w:rsidR="00D50475" w:rsidRPr="0099684E">
        <w:t xml:space="preserve">y dirigido al Titular de la </w:t>
      </w:r>
      <w:r w:rsidR="00C74363" w:rsidRPr="0099684E">
        <w:t>Dirección</w:t>
      </w:r>
      <w:r w:rsidR="004A104A" w:rsidRPr="0099684E">
        <w:t xml:space="preserve"> de Administración y Finanza</w:t>
      </w:r>
      <w:r w:rsidR="00D50475" w:rsidRPr="0099684E">
        <w:t>,</w:t>
      </w:r>
      <w:r w:rsidR="0027410D" w:rsidRPr="0099684E">
        <w:t xml:space="preserve"> </w:t>
      </w:r>
      <w:r w:rsidR="00D50475" w:rsidRPr="0099684E">
        <w:t xml:space="preserve">por medio del cual precisó lo siguiente: </w:t>
      </w:r>
    </w:p>
    <w:p w14:paraId="26E84CB3" w14:textId="77777777" w:rsidR="00D50475" w:rsidRPr="0099684E" w:rsidRDefault="00D50475" w:rsidP="009E7481">
      <w:pPr>
        <w:spacing w:after="0" w:line="360" w:lineRule="auto"/>
      </w:pPr>
    </w:p>
    <w:p w14:paraId="4025CADA" w14:textId="1A9EDAB8" w:rsidR="00065090" w:rsidRPr="0099684E" w:rsidRDefault="00C078CA" w:rsidP="004A104A">
      <w:pPr>
        <w:spacing w:after="0" w:line="360" w:lineRule="auto"/>
        <w:ind w:left="567" w:right="567"/>
        <w:rPr>
          <w:bCs/>
          <w:i/>
          <w:iCs/>
          <w:sz w:val="20"/>
          <w:szCs w:val="20"/>
        </w:rPr>
      </w:pPr>
      <w:r w:rsidRPr="0099684E">
        <w:rPr>
          <w:i/>
          <w:iCs/>
          <w:sz w:val="20"/>
          <w:szCs w:val="20"/>
        </w:rPr>
        <w:t>“</w:t>
      </w:r>
      <w:r w:rsidR="00D50475" w:rsidRPr="0099684E">
        <w:rPr>
          <w:i/>
          <w:iCs/>
          <w:sz w:val="20"/>
          <w:szCs w:val="20"/>
        </w:rPr>
        <w:t>…</w:t>
      </w:r>
      <w:r w:rsidR="004A104A" w:rsidRPr="0099684E">
        <w:rPr>
          <w:bCs/>
          <w:i/>
          <w:iCs/>
          <w:sz w:val="20"/>
          <w:szCs w:val="20"/>
        </w:rPr>
        <w:t>Se adjunta respuesta a su solicitud de información, tratándose de un archivo digital que contiene los recibos de nómina correspondiente a la primer y segunda quincena de enero 2025 en versión pública.</w:t>
      </w:r>
      <w:r w:rsidR="00065090" w:rsidRPr="0099684E">
        <w:rPr>
          <w:bCs/>
          <w:i/>
          <w:iCs/>
          <w:sz w:val="20"/>
          <w:szCs w:val="20"/>
        </w:rPr>
        <w:t>” (Sic.)</w:t>
      </w:r>
    </w:p>
    <w:p w14:paraId="4A00442D" w14:textId="77777777" w:rsidR="009E7481" w:rsidRPr="0099684E" w:rsidRDefault="009E7481" w:rsidP="009E7481">
      <w:pPr>
        <w:spacing w:after="0" w:line="360" w:lineRule="auto"/>
      </w:pPr>
    </w:p>
    <w:p w14:paraId="12239813" w14:textId="021C2ECB" w:rsidR="00127FD5" w:rsidRPr="0099684E" w:rsidRDefault="00D50475" w:rsidP="009E7481">
      <w:pPr>
        <w:spacing w:after="0" w:line="360" w:lineRule="auto"/>
      </w:pPr>
      <w:r w:rsidRPr="0099684E">
        <w:t xml:space="preserve">iii) </w:t>
      </w:r>
      <w:r w:rsidR="00484642" w:rsidRPr="0099684E">
        <w:t>M</w:t>
      </w:r>
      <w:r w:rsidR="00AA5036" w:rsidRPr="0099684E">
        <w:t xml:space="preserve">il trecientos diez </w:t>
      </w:r>
      <w:r w:rsidRPr="0099684E">
        <w:t>recibos de nómina</w:t>
      </w:r>
      <w:r w:rsidR="00484642" w:rsidRPr="0099684E">
        <w:t>.</w:t>
      </w:r>
    </w:p>
    <w:p w14:paraId="1AF8276B" w14:textId="77777777" w:rsidR="00AA5036" w:rsidRPr="0099684E" w:rsidRDefault="00AA5036" w:rsidP="009E7481">
      <w:pPr>
        <w:spacing w:after="0" w:line="360" w:lineRule="auto"/>
      </w:pPr>
    </w:p>
    <w:p w14:paraId="5B98A94F" w14:textId="26B9D881" w:rsidR="00AA5036" w:rsidRPr="0099684E" w:rsidRDefault="00AA5036" w:rsidP="00AA5036">
      <w:pPr>
        <w:spacing w:after="0" w:line="360" w:lineRule="auto"/>
      </w:pPr>
      <w:r w:rsidRPr="0099684E">
        <w:t>i</w:t>
      </w:r>
      <w:r w:rsidR="00791C4A" w:rsidRPr="0099684E">
        <w:t xml:space="preserve">v) Acta de la </w:t>
      </w:r>
      <w:r w:rsidR="00484642" w:rsidRPr="0099684E">
        <w:t>S</w:t>
      </w:r>
      <w:r w:rsidR="00791C4A" w:rsidRPr="0099684E">
        <w:t xml:space="preserve">esión Extraordinaria del Comité de Transparencia con número </w:t>
      </w:r>
      <w:r w:rsidRPr="0099684E">
        <w:t>DG/</w:t>
      </w:r>
      <w:proofErr w:type="spellStart"/>
      <w:r w:rsidRPr="0099684E">
        <w:t>CTyA</w:t>
      </w:r>
      <w:proofErr w:type="spellEnd"/>
      <w:r w:rsidRPr="0099684E">
        <w:t>/0057/2025</w:t>
      </w:r>
      <w:r w:rsidR="00484642" w:rsidRPr="0099684E">
        <w:t>.</w:t>
      </w:r>
      <w:r w:rsidRPr="0099684E">
        <w:t xml:space="preserve"> </w:t>
      </w:r>
    </w:p>
    <w:p w14:paraId="7ACCF426" w14:textId="77777777" w:rsidR="0008287D" w:rsidRPr="0099684E" w:rsidRDefault="0008287D" w:rsidP="009E7481">
      <w:pPr>
        <w:pStyle w:val="Ttulo2"/>
        <w:spacing w:before="0" w:line="360" w:lineRule="auto"/>
        <w:rPr>
          <w:rFonts w:ascii="Palatino Linotype" w:hAnsi="Palatino Linotype"/>
          <w:b/>
          <w:bCs/>
          <w:color w:val="auto"/>
          <w:sz w:val="22"/>
          <w:szCs w:val="22"/>
        </w:rPr>
      </w:pPr>
    </w:p>
    <w:p w14:paraId="2B803E22" w14:textId="52210FBF" w:rsidR="00C853D1" w:rsidRPr="0099684E" w:rsidRDefault="00C853D1" w:rsidP="009E7481">
      <w:pPr>
        <w:pStyle w:val="Ttulo2"/>
        <w:spacing w:before="0" w:line="360" w:lineRule="auto"/>
        <w:rPr>
          <w:rFonts w:ascii="Palatino Linotype" w:hAnsi="Palatino Linotype"/>
          <w:b/>
          <w:bCs/>
          <w:color w:val="auto"/>
          <w:sz w:val="22"/>
          <w:szCs w:val="22"/>
        </w:rPr>
      </w:pPr>
      <w:bookmarkStart w:id="3" w:name="_Toc194593774"/>
      <w:r w:rsidRPr="0099684E">
        <w:rPr>
          <w:rFonts w:ascii="Palatino Linotype" w:hAnsi="Palatino Linotype"/>
          <w:b/>
          <w:bCs/>
          <w:color w:val="auto"/>
          <w:sz w:val="22"/>
          <w:szCs w:val="22"/>
        </w:rPr>
        <w:t>III. Interposición del Recurso de Revisión</w:t>
      </w:r>
      <w:bookmarkEnd w:id="3"/>
    </w:p>
    <w:p w14:paraId="71DC67DA" w14:textId="77777777" w:rsidR="00C853D1" w:rsidRPr="0099684E" w:rsidRDefault="00C853D1" w:rsidP="009E7481">
      <w:pPr>
        <w:spacing w:after="0" w:line="360" w:lineRule="auto"/>
        <w:rPr>
          <w:bCs/>
        </w:rPr>
      </w:pPr>
    </w:p>
    <w:p w14:paraId="2F891DAB" w14:textId="5C16F3AE" w:rsidR="00C853D1" w:rsidRPr="0099684E" w:rsidRDefault="00C853D1" w:rsidP="009E7481">
      <w:pPr>
        <w:spacing w:after="0" w:line="360" w:lineRule="auto"/>
        <w:rPr>
          <w:bCs/>
        </w:rPr>
      </w:pPr>
      <w:r w:rsidRPr="0099684E">
        <w:rPr>
          <w:bCs/>
        </w:rPr>
        <w:lastRenderedPageBreak/>
        <w:t>Con fecha</w:t>
      </w:r>
      <w:r w:rsidR="00827B0C" w:rsidRPr="0099684E">
        <w:rPr>
          <w:bCs/>
        </w:rPr>
        <w:t xml:space="preserve"> </w:t>
      </w:r>
      <w:r w:rsidR="0008287D" w:rsidRPr="0099684E">
        <w:rPr>
          <w:bCs/>
        </w:rPr>
        <w:t>diez</w:t>
      </w:r>
      <w:r w:rsidR="0024748E" w:rsidRPr="0099684E">
        <w:rPr>
          <w:bCs/>
        </w:rPr>
        <w:t xml:space="preserve"> de </w:t>
      </w:r>
      <w:r w:rsidR="0008287D" w:rsidRPr="0099684E">
        <w:rPr>
          <w:bCs/>
        </w:rPr>
        <w:t>marzo</w:t>
      </w:r>
      <w:r w:rsidR="000A6926" w:rsidRPr="0099684E">
        <w:rPr>
          <w:bCs/>
        </w:rPr>
        <w:t xml:space="preserve"> de dos mil veintic</w:t>
      </w:r>
      <w:r w:rsidR="00675D6B" w:rsidRPr="0099684E">
        <w:rPr>
          <w:bCs/>
        </w:rPr>
        <w:t>inco</w:t>
      </w:r>
      <w:r w:rsidRPr="0099684E">
        <w:rPr>
          <w:bCs/>
        </w:rPr>
        <w:t xml:space="preserve">, se recibió en este Instituto, a través del </w:t>
      </w:r>
      <w:r w:rsidRPr="0099684E">
        <w:rPr>
          <w:bCs/>
          <w:lang w:val="es-ES"/>
        </w:rPr>
        <w:t>Sistema de Acceso a la Información Mexiquense (SAIMEX)</w:t>
      </w:r>
      <w:r w:rsidRPr="0099684E">
        <w:rPr>
          <w:bCs/>
        </w:rPr>
        <w:t>, Recurso de Revisión interpuesto por la parte Recurrente, en contra de la respuesta por el Sujeto Obligado, a la solicitud de información, en los siguientes términos:</w:t>
      </w:r>
    </w:p>
    <w:p w14:paraId="3A43EC2F" w14:textId="77777777" w:rsidR="00C853D1" w:rsidRPr="0099684E" w:rsidRDefault="00C853D1" w:rsidP="009E7481">
      <w:pPr>
        <w:spacing w:after="0" w:line="360" w:lineRule="auto"/>
        <w:rPr>
          <w:bCs/>
        </w:rPr>
      </w:pPr>
    </w:p>
    <w:p w14:paraId="5AC8905A" w14:textId="77777777" w:rsidR="00C853D1" w:rsidRPr="0099684E" w:rsidRDefault="00C853D1" w:rsidP="009E7481">
      <w:pPr>
        <w:spacing w:after="0" w:line="360" w:lineRule="auto"/>
        <w:ind w:left="567" w:right="567"/>
        <w:rPr>
          <w:bCs/>
          <w:i/>
          <w:sz w:val="20"/>
          <w:szCs w:val="20"/>
        </w:rPr>
      </w:pPr>
      <w:r w:rsidRPr="0099684E">
        <w:rPr>
          <w:b/>
          <w:bCs/>
          <w:i/>
          <w:sz w:val="20"/>
          <w:szCs w:val="20"/>
        </w:rPr>
        <w:t>“ACTO IMPUGNADO</w:t>
      </w:r>
    </w:p>
    <w:p w14:paraId="5B56BF42" w14:textId="5B992242" w:rsidR="00C853D1" w:rsidRPr="0099684E" w:rsidRDefault="0008287D" w:rsidP="009E7481">
      <w:pPr>
        <w:spacing w:after="0" w:line="360" w:lineRule="auto"/>
        <w:ind w:left="567" w:right="567"/>
        <w:rPr>
          <w:i/>
          <w:sz w:val="20"/>
          <w:szCs w:val="20"/>
        </w:rPr>
      </w:pPr>
      <w:r w:rsidRPr="0099684E">
        <w:rPr>
          <w:i/>
          <w:sz w:val="20"/>
          <w:szCs w:val="20"/>
        </w:rPr>
        <w:t>Respuesta</w:t>
      </w:r>
      <w:r w:rsidR="004D5266" w:rsidRPr="0099684E">
        <w:rPr>
          <w:i/>
          <w:sz w:val="20"/>
          <w:szCs w:val="20"/>
        </w:rPr>
        <w:t xml:space="preserve">” </w:t>
      </w:r>
      <w:r w:rsidR="00C853D1" w:rsidRPr="0099684E">
        <w:rPr>
          <w:i/>
          <w:sz w:val="20"/>
          <w:szCs w:val="20"/>
        </w:rPr>
        <w:t>(Sic.)</w:t>
      </w:r>
    </w:p>
    <w:p w14:paraId="29F43CC4" w14:textId="77777777" w:rsidR="00C853D1" w:rsidRPr="0099684E" w:rsidRDefault="00C853D1" w:rsidP="009E7481">
      <w:pPr>
        <w:spacing w:after="0" w:line="360" w:lineRule="auto"/>
        <w:ind w:left="567" w:right="567"/>
        <w:rPr>
          <w:i/>
          <w:sz w:val="20"/>
          <w:szCs w:val="20"/>
        </w:rPr>
      </w:pPr>
    </w:p>
    <w:p w14:paraId="19CBF35D" w14:textId="77777777" w:rsidR="00C853D1" w:rsidRPr="0099684E" w:rsidRDefault="00C853D1" w:rsidP="009E7481">
      <w:pPr>
        <w:spacing w:after="0" w:line="360" w:lineRule="auto"/>
        <w:ind w:left="567" w:right="567"/>
        <w:rPr>
          <w:b/>
          <w:i/>
          <w:sz w:val="20"/>
          <w:szCs w:val="20"/>
        </w:rPr>
      </w:pPr>
      <w:r w:rsidRPr="0099684E">
        <w:rPr>
          <w:b/>
          <w:i/>
          <w:sz w:val="20"/>
          <w:szCs w:val="20"/>
        </w:rPr>
        <w:t>“RAZONES O MOTIVOS DE LA INCONFORMIDAD</w:t>
      </w:r>
    </w:p>
    <w:p w14:paraId="4043E730" w14:textId="1418AD57" w:rsidR="00C853D1" w:rsidRPr="0099684E" w:rsidRDefault="0008287D" w:rsidP="009E7481">
      <w:pPr>
        <w:spacing w:after="0" w:line="360" w:lineRule="auto"/>
        <w:ind w:left="567" w:right="567"/>
        <w:rPr>
          <w:i/>
          <w:sz w:val="20"/>
          <w:szCs w:val="20"/>
        </w:rPr>
      </w:pPr>
      <w:r w:rsidRPr="0099684E">
        <w:rPr>
          <w:i/>
          <w:sz w:val="20"/>
          <w:szCs w:val="20"/>
        </w:rPr>
        <w:t>Testan datos públicos, como el número del trabajador, certificados y números del SAT etc.</w:t>
      </w:r>
      <w:r w:rsidR="00C853D1" w:rsidRPr="0099684E">
        <w:rPr>
          <w:i/>
          <w:sz w:val="20"/>
          <w:szCs w:val="20"/>
        </w:rPr>
        <w:t>” (Sic.)</w:t>
      </w:r>
    </w:p>
    <w:p w14:paraId="08852F84" w14:textId="61722B8B" w:rsidR="00682222" w:rsidRPr="0099684E" w:rsidRDefault="00682222" w:rsidP="009E7481">
      <w:pPr>
        <w:spacing w:after="0" w:line="360" w:lineRule="auto"/>
      </w:pPr>
    </w:p>
    <w:p w14:paraId="5CD0FCF6" w14:textId="5965EF39" w:rsidR="00C853D1" w:rsidRPr="0099684E" w:rsidRDefault="00C853D1" w:rsidP="009E7481">
      <w:pPr>
        <w:pStyle w:val="Ttulo2"/>
        <w:spacing w:before="0" w:line="360" w:lineRule="auto"/>
        <w:rPr>
          <w:rFonts w:ascii="Palatino Linotype" w:hAnsi="Palatino Linotype"/>
          <w:b/>
          <w:bCs/>
          <w:color w:val="auto"/>
          <w:sz w:val="22"/>
          <w:szCs w:val="22"/>
        </w:rPr>
      </w:pPr>
      <w:bookmarkStart w:id="4" w:name="_Toc194593775"/>
      <w:r w:rsidRPr="0099684E">
        <w:rPr>
          <w:rFonts w:ascii="Palatino Linotype" w:hAnsi="Palatino Linotype"/>
          <w:b/>
          <w:bCs/>
          <w:color w:val="auto"/>
          <w:sz w:val="22"/>
          <w:szCs w:val="22"/>
        </w:rPr>
        <w:t>IV. Trámite del Recurso de Revisión ante este Instituto</w:t>
      </w:r>
      <w:bookmarkEnd w:id="4"/>
    </w:p>
    <w:p w14:paraId="58854E98" w14:textId="77777777" w:rsidR="00C853D1" w:rsidRPr="0099684E" w:rsidRDefault="00C853D1" w:rsidP="009E7481">
      <w:pPr>
        <w:spacing w:after="0" w:line="360" w:lineRule="auto"/>
        <w:rPr>
          <w:b/>
          <w:bCs/>
        </w:rPr>
      </w:pPr>
    </w:p>
    <w:p w14:paraId="606E51DE" w14:textId="159FA208" w:rsidR="00C853D1" w:rsidRPr="0099684E" w:rsidRDefault="00C853D1" w:rsidP="009E7481">
      <w:pPr>
        <w:spacing w:after="0" w:line="360" w:lineRule="auto"/>
        <w:rPr>
          <w:bCs/>
        </w:rPr>
      </w:pPr>
      <w:bookmarkStart w:id="5" w:name="_Toc193363645"/>
      <w:bookmarkStart w:id="6" w:name="_Toc194593776"/>
      <w:r w:rsidRPr="0099684E">
        <w:rPr>
          <w:rStyle w:val="Ttulo2Car"/>
          <w:rFonts w:ascii="Palatino Linotype" w:hAnsi="Palatino Linotype"/>
          <w:b/>
          <w:bCs/>
          <w:color w:val="auto"/>
          <w:sz w:val="22"/>
          <w:szCs w:val="22"/>
        </w:rPr>
        <w:t>a) Turno del Medio de Impugnación.</w:t>
      </w:r>
      <w:bookmarkEnd w:id="5"/>
      <w:bookmarkEnd w:id="6"/>
      <w:r w:rsidRPr="0099684E">
        <w:rPr>
          <w:b/>
          <w:bCs/>
          <w:color w:val="auto"/>
        </w:rPr>
        <w:t xml:space="preserve"> </w:t>
      </w:r>
      <w:r w:rsidRPr="0099684E">
        <w:rPr>
          <w:bCs/>
        </w:rPr>
        <w:t xml:space="preserve">El </w:t>
      </w:r>
      <w:r w:rsidR="0008287D" w:rsidRPr="0099684E">
        <w:rPr>
          <w:bCs/>
        </w:rPr>
        <w:t>diez</w:t>
      </w:r>
      <w:r w:rsidR="00675D6B" w:rsidRPr="0099684E">
        <w:rPr>
          <w:bCs/>
        </w:rPr>
        <w:t xml:space="preserve"> de </w:t>
      </w:r>
      <w:r w:rsidR="0008287D" w:rsidRPr="0099684E">
        <w:rPr>
          <w:bCs/>
        </w:rPr>
        <w:t>marzo</w:t>
      </w:r>
      <w:r w:rsidR="002D759F" w:rsidRPr="0099684E">
        <w:rPr>
          <w:bCs/>
        </w:rPr>
        <w:t xml:space="preserve"> de dos mil veintic</w:t>
      </w:r>
      <w:r w:rsidR="00675D6B" w:rsidRPr="0099684E">
        <w:rPr>
          <w:bCs/>
        </w:rPr>
        <w:t>inco</w:t>
      </w:r>
      <w:r w:rsidRPr="0099684E">
        <w:rPr>
          <w:bCs/>
        </w:rPr>
        <w:t xml:space="preserve">, el </w:t>
      </w:r>
      <w:r w:rsidRPr="0099684E">
        <w:rPr>
          <w:lang w:val="es-ES"/>
        </w:rPr>
        <w:t>Sistema de Acceso a la Información Mexiquense (SAIMEX),</w:t>
      </w:r>
      <w:r w:rsidRPr="0099684E">
        <w:rPr>
          <w:bCs/>
        </w:rPr>
        <w:t xml:space="preserve"> asignó el número de expediente </w:t>
      </w:r>
      <w:r w:rsidR="0008287D" w:rsidRPr="0099684E">
        <w:rPr>
          <w:b/>
          <w:bCs/>
        </w:rPr>
        <w:t>02726</w:t>
      </w:r>
      <w:r w:rsidR="00675D6B" w:rsidRPr="0099684E">
        <w:rPr>
          <w:b/>
          <w:bCs/>
        </w:rPr>
        <w:t>/INFOEM/IP/RR/2025</w:t>
      </w:r>
      <w:r w:rsidRPr="0099684E">
        <w:rPr>
          <w:bCs/>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5F3FB31F" w14:textId="77777777" w:rsidR="00061A69" w:rsidRPr="0099684E" w:rsidRDefault="00061A69" w:rsidP="009E7481">
      <w:pPr>
        <w:spacing w:after="0" w:line="360" w:lineRule="auto"/>
        <w:rPr>
          <w:b/>
          <w:bCs/>
        </w:rPr>
      </w:pPr>
    </w:p>
    <w:p w14:paraId="6BCA600D" w14:textId="760EAFB6" w:rsidR="00C853D1" w:rsidRPr="0099684E" w:rsidRDefault="00C853D1" w:rsidP="009E7481">
      <w:pPr>
        <w:spacing w:after="0" w:line="360" w:lineRule="auto"/>
      </w:pPr>
      <w:bookmarkStart w:id="7" w:name="_Toc193363646"/>
      <w:bookmarkStart w:id="8" w:name="_Toc194593777"/>
      <w:r w:rsidRPr="0099684E">
        <w:rPr>
          <w:rStyle w:val="Ttulo2Car"/>
          <w:rFonts w:ascii="Palatino Linotype" w:hAnsi="Palatino Linotype"/>
          <w:b/>
          <w:bCs/>
          <w:color w:val="auto"/>
          <w:sz w:val="22"/>
          <w:szCs w:val="22"/>
        </w:rPr>
        <w:t>b) Admisión del Recurso de Revisión.</w:t>
      </w:r>
      <w:bookmarkEnd w:id="7"/>
      <w:bookmarkEnd w:id="8"/>
      <w:r w:rsidRPr="0099684E">
        <w:rPr>
          <w:b/>
          <w:bCs/>
          <w:color w:val="auto"/>
          <w:lang w:val="es-ES_tradnl"/>
        </w:rPr>
        <w:t xml:space="preserve"> </w:t>
      </w:r>
      <w:r w:rsidRPr="0099684E">
        <w:rPr>
          <w:bCs/>
          <w:lang w:val="es-ES_tradnl"/>
        </w:rPr>
        <w:t xml:space="preserve">El </w:t>
      </w:r>
      <w:r w:rsidR="0008287D" w:rsidRPr="0099684E">
        <w:rPr>
          <w:bCs/>
          <w:lang w:val="es-ES_tradnl"/>
        </w:rPr>
        <w:t>trece</w:t>
      </w:r>
      <w:r w:rsidR="00413B5A" w:rsidRPr="0099684E">
        <w:rPr>
          <w:bCs/>
          <w:lang w:val="es-ES_tradnl"/>
        </w:rPr>
        <w:t xml:space="preserve"> de </w:t>
      </w:r>
      <w:r w:rsidR="0008287D" w:rsidRPr="0099684E">
        <w:rPr>
          <w:bCs/>
          <w:lang w:val="es-ES_tradnl"/>
        </w:rPr>
        <w:t>marzo</w:t>
      </w:r>
      <w:r w:rsidR="007B7122" w:rsidRPr="0099684E">
        <w:rPr>
          <w:bCs/>
          <w:lang w:val="es-ES_tradnl"/>
        </w:rPr>
        <w:t xml:space="preserve"> </w:t>
      </w:r>
      <w:r w:rsidR="002D759F" w:rsidRPr="0099684E">
        <w:rPr>
          <w:bCs/>
          <w:lang w:val="es-ES_tradnl"/>
        </w:rPr>
        <w:t>de dos mil veinticinco</w:t>
      </w:r>
      <w:r w:rsidRPr="0099684E">
        <w:rPr>
          <w:bCs/>
          <w:lang w:val="es-ES_tradnl"/>
        </w:rPr>
        <w:t xml:space="preserve">, se acordó la admisión del Recurso de Revisión interpuesto por </w:t>
      </w:r>
      <w:r w:rsidR="005B1631" w:rsidRPr="0099684E">
        <w:rPr>
          <w:bCs/>
          <w:lang w:val="es-ES_tradnl"/>
        </w:rPr>
        <w:t>la</w:t>
      </w:r>
      <w:r w:rsidRPr="0099684E">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el </w:t>
      </w:r>
      <w:r w:rsidR="002D759F" w:rsidRPr="0099684E">
        <w:rPr>
          <w:bCs/>
          <w:lang w:val="es-ES_tradnl"/>
        </w:rPr>
        <w:t>mismo día</w:t>
      </w:r>
      <w:r w:rsidRPr="0099684E">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CA1ACD" w14:textId="641AC0EB" w:rsidR="003C3862" w:rsidRPr="0099684E" w:rsidRDefault="0008287D" w:rsidP="009E7481">
      <w:pPr>
        <w:spacing w:after="0" w:line="360" w:lineRule="auto"/>
        <w:rPr>
          <w:rFonts w:eastAsia="Palatino Linotype" w:cs="Palatino Linotype"/>
          <w:color w:val="000000"/>
          <w:lang w:eastAsia="es-MX"/>
        </w:rPr>
      </w:pPr>
      <w:r w:rsidRPr="0099684E">
        <w:rPr>
          <w:rFonts w:eastAsia="Palatino Linotype" w:cs="Palatino Linotype"/>
          <w:b/>
          <w:color w:val="000000"/>
          <w:lang w:eastAsia="es-MX"/>
        </w:rPr>
        <w:lastRenderedPageBreak/>
        <w:t xml:space="preserve">c) Informe Justificado o Manifestaciones. </w:t>
      </w:r>
      <w:r w:rsidRPr="0099684E">
        <w:rPr>
          <w:rFonts w:eastAsia="Palatino Linotype" w:cs="Palatino Linotype"/>
          <w:color w:val="000000"/>
          <w:lang w:eastAsia="es-MX"/>
        </w:rPr>
        <w:t>Las partes fueron omisas en emitir manifestaciones o alegatos.</w:t>
      </w:r>
    </w:p>
    <w:p w14:paraId="3BD9A7D1" w14:textId="77777777" w:rsidR="0008287D" w:rsidRPr="0099684E" w:rsidRDefault="0008287D" w:rsidP="009E7481">
      <w:pPr>
        <w:spacing w:after="0" w:line="360" w:lineRule="auto"/>
        <w:rPr>
          <w:rFonts w:eastAsia="Palatino Linotype" w:cs="Palatino Linotype"/>
          <w:b/>
          <w:bCs/>
        </w:rPr>
      </w:pPr>
    </w:p>
    <w:p w14:paraId="39328222" w14:textId="7FFF6FBF" w:rsidR="004548CD" w:rsidRPr="0099684E" w:rsidRDefault="0008287D" w:rsidP="009E7481">
      <w:pPr>
        <w:spacing w:after="0" w:line="360" w:lineRule="auto"/>
        <w:rPr>
          <w:rFonts w:eastAsia="Palatino Linotype" w:cs="Palatino Linotype"/>
          <w:b/>
          <w:bCs/>
        </w:rPr>
      </w:pPr>
      <w:bookmarkStart w:id="9" w:name="_Toc193363647"/>
      <w:bookmarkStart w:id="10" w:name="_Toc194593778"/>
      <w:r w:rsidRPr="0099684E">
        <w:rPr>
          <w:rStyle w:val="Ttulo2Car"/>
          <w:rFonts w:ascii="Palatino Linotype" w:hAnsi="Palatino Linotype"/>
          <w:b/>
          <w:bCs/>
          <w:color w:val="auto"/>
          <w:sz w:val="22"/>
          <w:szCs w:val="22"/>
        </w:rPr>
        <w:t>d</w:t>
      </w:r>
      <w:r w:rsidR="004548CD" w:rsidRPr="0099684E">
        <w:rPr>
          <w:rStyle w:val="Ttulo2Car"/>
          <w:rFonts w:ascii="Palatino Linotype" w:hAnsi="Palatino Linotype"/>
          <w:b/>
          <w:bCs/>
          <w:color w:val="auto"/>
          <w:sz w:val="22"/>
          <w:szCs w:val="22"/>
        </w:rPr>
        <w:t>) Cierre de instrucción.</w:t>
      </w:r>
      <w:bookmarkEnd w:id="9"/>
      <w:bookmarkEnd w:id="10"/>
      <w:r w:rsidR="004548CD" w:rsidRPr="0099684E">
        <w:rPr>
          <w:rFonts w:eastAsia="Times New Roman" w:cs="Tahoma"/>
          <w:color w:val="auto"/>
          <w:szCs w:val="24"/>
          <w:lang w:eastAsia="es-ES"/>
        </w:rPr>
        <w:t xml:space="preserve"> El</w:t>
      </w:r>
      <w:r w:rsidR="00430DF1" w:rsidRPr="0099684E">
        <w:rPr>
          <w:rFonts w:eastAsia="Times New Roman" w:cs="Tahoma"/>
          <w:color w:val="auto"/>
          <w:szCs w:val="24"/>
          <w:lang w:eastAsia="es-ES"/>
        </w:rPr>
        <w:t xml:space="preserve"> </w:t>
      </w:r>
      <w:r w:rsidR="00C10742" w:rsidRPr="0099684E">
        <w:rPr>
          <w:rFonts w:eastAsia="Times New Roman" w:cs="Tahoma"/>
          <w:color w:val="auto"/>
          <w:szCs w:val="24"/>
          <w:lang w:eastAsia="es-ES"/>
        </w:rPr>
        <w:t xml:space="preserve">treinta y uno de marzo </w:t>
      </w:r>
      <w:r w:rsidR="003C3862" w:rsidRPr="0099684E">
        <w:rPr>
          <w:rFonts w:eastAsia="Times New Roman" w:cs="Tahoma"/>
          <w:color w:val="auto"/>
          <w:szCs w:val="24"/>
          <w:lang w:eastAsia="es-ES"/>
        </w:rPr>
        <w:t>de marzo</w:t>
      </w:r>
      <w:r w:rsidR="00D41ED1" w:rsidRPr="0099684E">
        <w:rPr>
          <w:rFonts w:eastAsia="Times New Roman" w:cs="Tahoma"/>
          <w:color w:val="auto"/>
          <w:szCs w:val="24"/>
          <w:lang w:eastAsia="es-ES"/>
        </w:rPr>
        <w:t xml:space="preserve"> </w:t>
      </w:r>
      <w:r w:rsidR="00D41ED1" w:rsidRPr="0099684E">
        <w:rPr>
          <w:rFonts w:eastAsia="Times New Roman" w:cs="Tahoma"/>
          <w:color w:val="auto"/>
          <w:szCs w:val="24"/>
          <w:lang w:val="es-ES" w:eastAsia="es-ES"/>
        </w:rPr>
        <w:t>de dos mil veinticinco</w:t>
      </w:r>
      <w:r w:rsidR="004548CD" w:rsidRPr="0099684E">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4548CD" w:rsidRPr="0099684E">
        <w:rPr>
          <w:rFonts w:eastAsia="Palatino Linotype" w:cs="Palatino Linotype"/>
          <w:lang w:val="es-ES"/>
        </w:rPr>
        <w:t>acto que fue notificado a las partes, mediante el Sistema de Acceso a la Información Mexiquense (SAIMEX), el mismo día.</w:t>
      </w:r>
    </w:p>
    <w:p w14:paraId="61B73302" w14:textId="77777777" w:rsidR="004548CD" w:rsidRPr="0099684E" w:rsidRDefault="004548CD" w:rsidP="009E7481">
      <w:pPr>
        <w:spacing w:after="0" w:line="360" w:lineRule="auto"/>
        <w:rPr>
          <w:rFonts w:eastAsia="Times New Roman" w:cs="Tahoma"/>
          <w:color w:val="auto"/>
          <w:szCs w:val="24"/>
          <w:lang w:eastAsia="es-ES"/>
        </w:rPr>
      </w:pPr>
    </w:p>
    <w:p w14:paraId="5795BBB6" w14:textId="77777777" w:rsidR="00C853D1" w:rsidRPr="0099684E" w:rsidRDefault="00C853D1" w:rsidP="009E7481">
      <w:pPr>
        <w:spacing w:after="0" w:line="360" w:lineRule="auto"/>
        <w:rPr>
          <w:rFonts w:eastAsia="Times New Roman" w:cs="Tahoma"/>
          <w:color w:val="auto"/>
          <w:szCs w:val="24"/>
          <w:lang w:eastAsia="es-ES"/>
        </w:rPr>
      </w:pPr>
      <w:r w:rsidRPr="0099684E">
        <w:rPr>
          <w:rFonts w:eastAsia="Times New Roman" w:cs="Tahoma"/>
          <w:color w:val="auto"/>
          <w:szCs w:val="24"/>
          <w:lang w:eastAsia="es-ES"/>
        </w:rPr>
        <w:t xml:space="preserve">En razón de que fue debidamente sustanciado e integrado el expediente electrónico y no existe diligencia pendiente de desahogo, se emite la resolución que conforme a Derecho proceda, de acuerdo a los siguientes: </w:t>
      </w:r>
    </w:p>
    <w:p w14:paraId="264F2B95" w14:textId="77777777" w:rsidR="00C853D1" w:rsidRPr="0099684E" w:rsidRDefault="00C853D1" w:rsidP="009E7481">
      <w:pPr>
        <w:spacing w:after="0" w:line="360" w:lineRule="auto"/>
        <w:rPr>
          <w:rFonts w:eastAsia="Times New Roman" w:cs="Tahoma"/>
          <w:bCs/>
          <w:iCs/>
          <w:color w:val="auto"/>
          <w:lang w:val="es-ES" w:eastAsia="es-ES"/>
        </w:rPr>
      </w:pPr>
    </w:p>
    <w:p w14:paraId="4647AD46" w14:textId="26BB85BB" w:rsidR="00C853D1" w:rsidRPr="0099684E" w:rsidRDefault="00C853D1" w:rsidP="009E7481">
      <w:pPr>
        <w:pStyle w:val="Ttulo1"/>
        <w:spacing w:before="0" w:line="360" w:lineRule="auto"/>
        <w:jc w:val="center"/>
        <w:rPr>
          <w:rFonts w:ascii="Palatino Linotype" w:eastAsia="Times New Roman" w:hAnsi="Palatino Linotype"/>
          <w:b/>
          <w:bCs/>
          <w:color w:val="auto"/>
          <w:sz w:val="22"/>
          <w:szCs w:val="22"/>
          <w:lang w:val="es-ES" w:eastAsia="es-ES"/>
        </w:rPr>
      </w:pPr>
      <w:bookmarkStart w:id="11" w:name="_Toc194593779"/>
      <w:r w:rsidRPr="0099684E">
        <w:rPr>
          <w:rFonts w:ascii="Palatino Linotype" w:eastAsia="Times New Roman" w:hAnsi="Palatino Linotype"/>
          <w:b/>
          <w:bCs/>
          <w:color w:val="auto"/>
          <w:sz w:val="22"/>
          <w:szCs w:val="22"/>
          <w:lang w:val="es-ES" w:eastAsia="es-ES"/>
        </w:rPr>
        <w:t>C O N S I D E R A N D O S</w:t>
      </w:r>
      <w:bookmarkEnd w:id="11"/>
    </w:p>
    <w:p w14:paraId="46CF2E78" w14:textId="77777777" w:rsidR="00C853D1" w:rsidRPr="0099684E" w:rsidRDefault="00C853D1" w:rsidP="009E7481">
      <w:pPr>
        <w:spacing w:after="0" w:line="360" w:lineRule="auto"/>
        <w:rPr>
          <w:b/>
        </w:rPr>
      </w:pPr>
    </w:p>
    <w:p w14:paraId="15369BD8" w14:textId="056EE6E7" w:rsidR="00C853D1" w:rsidRPr="0099684E"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2" w:name="_Toc194593780"/>
      <w:r w:rsidRPr="0099684E">
        <w:rPr>
          <w:rFonts w:ascii="Palatino Linotype" w:eastAsia="Calibri" w:hAnsi="Palatino Linotype"/>
          <w:b/>
          <w:bCs/>
          <w:color w:val="auto"/>
          <w:sz w:val="22"/>
          <w:szCs w:val="22"/>
          <w:lang w:val="es-ES" w:eastAsia="es-MX"/>
        </w:rPr>
        <w:t xml:space="preserve">PRIMERO. </w:t>
      </w:r>
      <w:r w:rsidRPr="0099684E">
        <w:rPr>
          <w:rFonts w:ascii="Palatino Linotype" w:eastAsia="Times New Roman" w:hAnsi="Palatino Linotype"/>
          <w:b/>
          <w:bCs/>
          <w:color w:val="auto"/>
          <w:sz w:val="22"/>
          <w:szCs w:val="22"/>
          <w:lang w:val="es-ES" w:eastAsia="es-ES"/>
        </w:rPr>
        <w:t>Competencia</w:t>
      </w:r>
      <w:bookmarkEnd w:id="12"/>
    </w:p>
    <w:p w14:paraId="6B0576AC" w14:textId="77777777" w:rsidR="00C853D1" w:rsidRPr="0099684E" w:rsidRDefault="00C853D1" w:rsidP="009E7481">
      <w:pPr>
        <w:autoSpaceDE w:val="0"/>
        <w:autoSpaceDN w:val="0"/>
        <w:adjustRightInd w:val="0"/>
        <w:spacing w:after="0" w:line="360" w:lineRule="auto"/>
        <w:rPr>
          <w:rFonts w:eastAsia="Times New Roman" w:cs="Tahoma"/>
          <w:b/>
          <w:color w:val="auto"/>
          <w:szCs w:val="24"/>
          <w:lang w:val="es-ES" w:eastAsia="es-ES"/>
        </w:rPr>
      </w:pPr>
    </w:p>
    <w:p w14:paraId="4FF2492C" w14:textId="0C85945D" w:rsidR="00C853D1" w:rsidRPr="0099684E" w:rsidRDefault="006F70AF" w:rsidP="006F70AF">
      <w:pPr>
        <w:spacing w:after="0" w:line="360" w:lineRule="auto"/>
        <w:rPr>
          <w:rFonts w:eastAsia="Times New Roman" w:cs="Tahoma"/>
          <w:bCs/>
          <w:color w:val="auto"/>
          <w:lang w:eastAsia="es-ES"/>
        </w:rPr>
      </w:pPr>
      <w:r w:rsidRPr="0099684E">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w:t>
      </w:r>
      <w:r w:rsidR="00484642" w:rsidRPr="0099684E">
        <w:rPr>
          <w:rFonts w:eastAsia="Times New Roman" w:cs="Tahoma"/>
          <w:bCs/>
          <w:color w:val="auto"/>
          <w:lang w:eastAsia="es-ES"/>
        </w:rPr>
        <w:t>,</w:t>
      </w:r>
      <w:r w:rsidRPr="0099684E">
        <w:rPr>
          <w:rFonts w:eastAsia="Times New Roman" w:cs="Tahoma"/>
          <w:bCs/>
          <w:color w:val="auto"/>
          <w:lang w:eastAsia="es-ES"/>
        </w:rPr>
        <w:t xml:space="preserve"> 36, fracciones I y II; 176, 178, 179, 181 párrafo tercero, 185, 188 y 189 de la Ley Transparencia y Acceso a la Información Pública del Estado de México y Municipios: 7°, 9°, </w:t>
      </w:r>
      <w:r w:rsidRPr="0099684E">
        <w:rPr>
          <w:rFonts w:eastAsia="Times New Roman" w:cs="Tahoma"/>
          <w:bCs/>
          <w:color w:val="auto"/>
          <w:lang w:eastAsia="es-ES"/>
        </w:rPr>
        <w:lastRenderedPageBreak/>
        <w:t>fracciones I y XXIII y 11 del Reglamento Interior del Instituto de Transparencia, Acceso a la Información Pública y Protección de Datos Personales del Estado de México y Municipios.</w:t>
      </w:r>
    </w:p>
    <w:p w14:paraId="5FB29C72" w14:textId="77777777" w:rsidR="006F70AF" w:rsidRPr="0099684E" w:rsidRDefault="006F70AF" w:rsidP="006F70AF">
      <w:pPr>
        <w:spacing w:after="0" w:line="360" w:lineRule="auto"/>
        <w:rPr>
          <w:rFonts w:eastAsia="Times New Roman" w:cs="Tahoma"/>
          <w:bCs/>
          <w:color w:val="auto"/>
          <w:lang w:eastAsia="es-ES"/>
        </w:rPr>
      </w:pPr>
    </w:p>
    <w:p w14:paraId="1CEE0B22" w14:textId="41CDD95C" w:rsidR="00C853D1" w:rsidRPr="0099684E"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3" w:name="_Toc194593781"/>
      <w:r w:rsidRPr="0099684E">
        <w:rPr>
          <w:rFonts w:ascii="Palatino Linotype" w:eastAsia="Calibri" w:hAnsi="Palatino Linotype"/>
          <w:b/>
          <w:bCs/>
          <w:color w:val="auto"/>
          <w:sz w:val="22"/>
          <w:szCs w:val="22"/>
          <w:lang w:val="es-ES" w:eastAsia="es-MX"/>
        </w:rPr>
        <w:t xml:space="preserve">SEGUNDO. </w:t>
      </w:r>
      <w:r w:rsidRPr="0099684E">
        <w:rPr>
          <w:rFonts w:ascii="Palatino Linotype" w:eastAsia="Times New Roman" w:hAnsi="Palatino Linotype"/>
          <w:b/>
          <w:bCs/>
          <w:color w:val="auto"/>
          <w:sz w:val="22"/>
          <w:szCs w:val="22"/>
          <w:lang w:val="es-ES" w:eastAsia="es-ES"/>
        </w:rPr>
        <w:t>Causales de improcedencia y sobreseimiento</w:t>
      </w:r>
      <w:bookmarkEnd w:id="13"/>
    </w:p>
    <w:p w14:paraId="732DCB46" w14:textId="77777777" w:rsidR="00C853D1" w:rsidRPr="0099684E" w:rsidRDefault="00C853D1" w:rsidP="009E7481">
      <w:pPr>
        <w:autoSpaceDE w:val="0"/>
        <w:autoSpaceDN w:val="0"/>
        <w:adjustRightInd w:val="0"/>
        <w:spacing w:after="0" w:line="360" w:lineRule="auto"/>
        <w:rPr>
          <w:rFonts w:eastAsia="Times New Roman" w:cs="Tahoma"/>
          <w:color w:val="auto"/>
          <w:szCs w:val="24"/>
          <w:lang w:val="es-ES" w:eastAsia="es-ES"/>
        </w:rPr>
      </w:pPr>
    </w:p>
    <w:p w14:paraId="3EDC37E9" w14:textId="77777777" w:rsidR="00C853D1" w:rsidRPr="0099684E" w:rsidRDefault="00C853D1" w:rsidP="009E7481">
      <w:pPr>
        <w:autoSpaceDE w:val="0"/>
        <w:autoSpaceDN w:val="0"/>
        <w:adjustRightInd w:val="0"/>
        <w:spacing w:after="0" w:line="360" w:lineRule="auto"/>
        <w:rPr>
          <w:rFonts w:eastAsia="Times New Roman" w:cs="Tahoma"/>
          <w:color w:val="auto"/>
          <w:szCs w:val="24"/>
          <w:lang w:val="es-ES" w:eastAsia="es-ES"/>
        </w:rPr>
      </w:pPr>
      <w:r w:rsidRPr="0099684E">
        <w:rPr>
          <w:rFonts w:eastAsia="Times New Roman" w:cs="Tahoma"/>
          <w:color w:val="auto"/>
          <w:szCs w:val="24"/>
          <w:lang w:val="es-ES" w:eastAsia="es-ES"/>
        </w:rPr>
        <w:t xml:space="preserve">De las constancias que forma parte del Recurso de Revisión que se analiza, se advierte que previo al estudio del fondo de la </w:t>
      </w:r>
      <w:r w:rsidRPr="0099684E">
        <w:rPr>
          <w:rFonts w:eastAsia="Times New Roman" w:cs="Tahoma"/>
          <w:i/>
          <w:color w:val="auto"/>
          <w:szCs w:val="24"/>
          <w:lang w:val="es-ES" w:eastAsia="es-ES"/>
        </w:rPr>
        <w:t>litis</w:t>
      </w:r>
      <w:r w:rsidRPr="0099684E">
        <w:rPr>
          <w:rFonts w:eastAsia="Times New Roman" w:cs="Tahoma"/>
          <w:color w:val="auto"/>
          <w:szCs w:val="24"/>
          <w:lang w:val="es-ES" w:eastAsia="es-ES"/>
        </w:rPr>
        <w:t>, es necesario estudiar las causales de improcedencia y sobreseimiento que se adviertan, para determinar lo que en Derecho proceda.</w:t>
      </w:r>
    </w:p>
    <w:p w14:paraId="2159CCAC" w14:textId="77777777" w:rsidR="00C853D1" w:rsidRPr="0099684E" w:rsidRDefault="00C853D1" w:rsidP="009E7481">
      <w:pPr>
        <w:autoSpaceDE w:val="0"/>
        <w:autoSpaceDN w:val="0"/>
        <w:adjustRightInd w:val="0"/>
        <w:spacing w:after="0" w:line="360" w:lineRule="auto"/>
        <w:rPr>
          <w:rFonts w:eastAsia="Times New Roman" w:cs="Tahoma"/>
          <w:color w:val="auto"/>
          <w:szCs w:val="24"/>
          <w:lang w:val="es-ES" w:eastAsia="es-ES"/>
        </w:rPr>
      </w:pPr>
    </w:p>
    <w:p w14:paraId="0D0DB2F6" w14:textId="012B80C4" w:rsidR="00C853D1" w:rsidRPr="0099684E" w:rsidRDefault="00C10742" w:rsidP="009E7481">
      <w:pPr>
        <w:autoSpaceDE w:val="0"/>
        <w:autoSpaceDN w:val="0"/>
        <w:adjustRightInd w:val="0"/>
        <w:spacing w:after="0" w:line="360" w:lineRule="auto"/>
        <w:rPr>
          <w:rFonts w:eastAsia="Calibri" w:cs="Tahoma"/>
          <w:color w:val="000000"/>
          <w:szCs w:val="24"/>
          <w:lang w:val="es-ES" w:eastAsia="es-MX"/>
        </w:rPr>
      </w:pPr>
      <w:r w:rsidRPr="0099684E">
        <w:rPr>
          <w:rFonts w:eastAsia="Calibri" w:cs="Tahoma"/>
          <w:b/>
          <w:color w:val="000000"/>
          <w:szCs w:val="24"/>
          <w:lang w:val="es-ES" w:eastAsia="es-MX"/>
        </w:rPr>
        <w:t>Causales de improcedencia</w:t>
      </w:r>
    </w:p>
    <w:p w14:paraId="61973DFD" w14:textId="77777777" w:rsidR="00C853D1" w:rsidRPr="0099684E" w:rsidRDefault="00C853D1" w:rsidP="009E7481">
      <w:pPr>
        <w:autoSpaceDE w:val="0"/>
        <w:autoSpaceDN w:val="0"/>
        <w:adjustRightInd w:val="0"/>
        <w:spacing w:after="0" w:line="360" w:lineRule="auto"/>
        <w:rPr>
          <w:rFonts w:eastAsia="Calibri" w:cs="Tahoma"/>
          <w:color w:val="000000"/>
          <w:szCs w:val="24"/>
          <w:lang w:val="es-ES" w:eastAsia="es-MX"/>
        </w:rPr>
      </w:pPr>
    </w:p>
    <w:p w14:paraId="0231FCB7" w14:textId="77777777" w:rsidR="00C853D1" w:rsidRPr="0099684E" w:rsidRDefault="00C853D1" w:rsidP="009E7481">
      <w:pPr>
        <w:autoSpaceDE w:val="0"/>
        <w:autoSpaceDN w:val="0"/>
        <w:adjustRightInd w:val="0"/>
        <w:spacing w:after="0" w:line="360" w:lineRule="auto"/>
        <w:rPr>
          <w:rFonts w:eastAsia="Calibri" w:cs="Tahoma"/>
          <w:color w:val="000000"/>
          <w:lang w:val="es-ES" w:eastAsia="es-MX"/>
        </w:rPr>
      </w:pPr>
      <w:r w:rsidRPr="0099684E">
        <w:rPr>
          <w:rFonts w:eastAsia="Calibri" w:cs="Tahoma"/>
          <w:color w:val="000000"/>
          <w:lang w:eastAsia="es-MX"/>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99684E">
        <w:rPr>
          <w:rFonts w:eastAsia="Calibri" w:cs="Tahoma"/>
          <w:b/>
          <w:bCs/>
          <w:color w:val="000000"/>
          <w:lang w:eastAsia="es-MX"/>
        </w:rPr>
        <w:t xml:space="preserve"> </w:t>
      </w:r>
      <w:r w:rsidRPr="0099684E">
        <w:rPr>
          <w:rFonts w:eastAsia="Calibri" w:cs="Tahoma"/>
          <w:color w:val="000000"/>
          <w:lang w:eastAsia="es-MX"/>
        </w:rP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52B897E0" w14:textId="77777777" w:rsidR="00C853D1" w:rsidRPr="0099684E" w:rsidRDefault="00C853D1" w:rsidP="009E7481">
      <w:pPr>
        <w:autoSpaceDE w:val="0"/>
        <w:autoSpaceDN w:val="0"/>
        <w:adjustRightInd w:val="0"/>
        <w:spacing w:after="0" w:line="360" w:lineRule="auto"/>
        <w:rPr>
          <w:rFonts w:eastAsia="Calibri" w:cs="Tahoma"/>
          <w:color w:val="000000"/>
          <w:lang w:eastAsia="es-MX"/>
        </w:rPr>
      </w:pPr>
    </w:p>
    <w:p w14:paraId="42DBAD8B" w14:textId="1C879A30" w:rsidR="00C853D1" w:rsidRPr="0099684E" w:rsidRDefault="00C853D1" w:rsidP="009E7481">
      <w:pPr>
        <w:autoSpaceDE w:val="0"/>
        <w:autoSpaceDN w:val="0"/>
        <w:adjustRightInd w:val="0"/>
        <w:spacing w:after="0" w:line="360" w:lineRule="auto"/>
        <w:rPr>
          <w:rFonts w:eastAsia="Calibri" w:cs="Tahoma"/>
          <w:color w:val="000000"/>
          <w:lang w:eastAsia="es-MX"/>
        </w:rPr>
      </w:pPr>
      <w:r w:rsidRPr="0099684E">
        <w:rPr>
          <w:rFonts w:eastAsia="Calibri" w:cs="Tahoma"/>
          <w:color w:val="000000"/>
          <w:lang w:eastAsia="es-MX"/>
        </w:rPr>
        <w:t xml:space="preserve">En el presente caso, </w:t>
      </w:r>
      <w:r w:rsidRPr="0099684E">
        <w:rPr>
          <w:rFonts w:eastAsia="Calibri" w:cs="Tahoma"/>
          <w:b/>
          <w:color w:val="000000"/>
          <w:lang w:eastAsia="es-MX"/>
        </w:rPr>
        <w:t>no se actualiza ninguna de las causales de improcedencia</w:t>
      </w:r>
      <w:r w:rsidRPr="0099684E">
        <w:rPr>
          <w:rFonts w:eastAsia="Calibri" w:cs="Tahoma"/>
          <w:color w:val="000000"/>
          <w:lang w:eastAsia="es-MX"/>
        </w:rPr>
        <w:t xml:space="preserve"> establecidas en el ordenamiento jurídico previamente señalado, toda vez que este Instituto no tiene conocimiento de que se encuentre en trámite algún medio de defensa presentado por </w:t>
      </w:r>
      <w:r w:rsidR="005B1631" w:rsidRPr="0099684E">
        <w:rPr>
          <w:rFonts w:eastAsia="Calibri" w:cs="Tahoma"/>
          <w:color w:val="000000"/>
          <w:lang w:eastAsia="es-MX"/>
        </w:rPr>
        <w:t xml:space="preserve">la </w:t>
      </w:r>
      <w:r w:rsidRPr="0099684E">
        <w:rPr>
          <w:rFonts w:eastAsia="Calibri" w:cs="Tahoma"/>
          <w:color w:val="000000"/>
          <w:lang w:eastAsia="es-MX"/>
        </w:rPr>
        <w:t>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3577CA43" w14:textId="3DEC3BB0" w:rsidR="00C853D1" w:rsidRPr="0099684E" w:rsidRDefault="00DD116F" w:rsidP="009E7481">
      <w:pPr>
        <w:spacing w:after="0" w:line="360" w:lineRule="auto"/>
        <w:rPr>
          <w:rFonts w:eastAsia="Calibri" w:cs="Tahoma"/>
          <w:color w:val="000000"/>
          <w:lang w:eastAsia="es-MX"/>
        </w:rPr>
      </w:pPr>
      <w:r w:rsidRPr="0099684E">
        <w:rPr>
          <w:rFonts w:eastAsia="Times New Roman" w:cs="Tahoma"/>
          <w:color w:val="auto"/>
          <w:lang w:eastAsia="es-ES"/>
        </w:rPr>
        <w:lastRenderedPageBreak/>
        <w:t xml:space="preserve">Asimismo, </w:t>
      </w:r>
      <w:r w:rsidR="00C853D1" w:rsidRPr="0099684E">
        <w:rPr>
          <w:rFonts w:eastAsia="Times New Roman" w:cs="Tahoma"/>
          <w:color w:val="auto"/>
          <w:lang w:eastAsia="es-ES"/>
        </w:rPr>
        <w:t>se actualiza la causal de procedencia del Recurso de Revisión señalada en el artículo 179, fracc</w:t>
      </w:r>
      <w:r w:rsidR="00A364DB" w:rsidRPr="0099684E">
        <w:rPr>
          <w:rFonts w:eastAsia="Times New Roman" w:cs="Tahoma"/>
          <w:color w:val="auto"/>
          <w:lang w:eastAsia="es-ES"/>
        </w:rPr>
        <w:t xml:space="preserve">ión </w:t>
      </w:r>
      <w:r w:rsidR="00F14049" w:rsidRPr="0099684E">
        <w:rPr>
          <w:rFonts w:eastAsia="Times New Roman" w:cs="Tahoma"/>
          <w:color w:val="auto"/>
          <w:lang w:eastAsia="es-ES"/>
        </w:rPr>
        <w:tab/>
        <w:t>II</w:t>
      </w:r>
      <w:r w:rsidR="00682222" w:rsidRPr="0099684E">
        <w:rPr>
          <w:rFonts w:eastAsia="Times New Roman" w:cs="Tahoma"/>
          <w:color w:val="auto"/>
          <w:lang w:eastAsia="es-ES"/>
        </w:rPr>
        <w:t>,</w:t>
      </w:r>
      <w:r w:rsidR="00C853D1" w:rsidRPr="0099684E">
        <w:rPr>
          <w:rFonts w:eastAsia="Times New Roman" w:cs="Tahoma"/>
          <w:color w:val="auto"/>
          <w:lang w:eastAsia="es-ES"/>
        </w:rPr>
        <w:t xml:space="preserve"> de la Ley en cita, </w:t>
      </w:r>
      <w:r w:rsidR="00C853D1" w:rsidRPr="0099684E">
        <w:rPr>
          <w:rFonts w:eastAsia="Calibri" w:cs="Tahoma"/>
          <w:color w:val="000000"/>
          <w:lang w:eastAsia="es-MX"/>
        </w:rPr>
        <w:t>pues la Recurrente se inconformó</w:t>
      </w:r>
      <w:r w:rsidR="00D85A7D" w:rsidRPr="0099684E">
        <w:rPr>
          <w:rFonts w:eastAsia="Calibri" w:cs="Tahoma"/>
          <w:color w:val="000000"/>
          <w:lang w:eastAsia="es-MX"/>
        </w:rPr>
        <w:t xml:space="preserve"> </w:t>
      </w:r>
      <w:r w:rsidR="00F80F48" w:rsidRPr="0099684E">
        <w:rPr>
          <w:rFonts w:eastAsia="Calibri" w:cs="Tahoma"/>
          <w:color w:val="000000"/>
          <w:lang w:eastAsia="es-MX"/>
        </w:rPr>
        <w:t xml:space="preserve">con </w:t>
      </w:r>
      <w:r w:rsidR="00F14049" w:rsidRPr="0099684E">
        <w:rPr>
          <w:rFonts w:eastAsia="Calibri" w:cs="Tahoma"/>
          <w:color w:val="000000"/>
          <w:lang w:eastAsia="es-MX"/>
        </w:rPr>
        <w:t>la clasificación de información.</w:t>
      </w:r>
    </w:p>
    <w:p w14:paraId="4F68954C" w14:textId="77777777" w:rsidR="006A0724" w:rsidRPr="0099684E" w:rsidRDefault="006A0724" w:rsidP="009E7481">
      <w:pPr>
        <w:spacing w:after="0" w:line="360" w:lineRule="auto"/>
        <w:rPr>
          <w:rFonts w:eastAsia="Calibri" w:cs="Tahoma"/>
          <w:color w:val="000000"/>
          <w:lang w:eastAsia="es-MX"/>
        </w:rPr>
      </w:pPr>
    </w:p>
    <w:p w14:paraId="4F973625" w14:textId="40F0ECD1" w:rsidR="00C853D1" w:rsidRPr="0099684E" w:rsidRDefault="00C10742" w:rsidP="009E7481">
      <w:pPr>
        <w:spacing w:after="0" w:line="360" w:lineRule="auto"/>
        <w:rPr>
          <w:rFonts w:eastAsia="Times New Roman" w:cs="Tahoma"/>
          <w:b/>
          <w:bCs/>
          <w:color w:val="auto"/>
          <w:lang w:eastAsia="es-ES"/>
        </w:rPr>
      </w:pPr>
      <w:r w:rsidRPr="0099684E">
        <w:rPr>
          <w:rFonts w:eastAsia="Times New Roman" w:cs="Tahoma"/>
          <w:b/>
          <w:bCs/>
          <w:color w:val="auto"/>
          <w:lang w:eastAsia="es-ES"/>
        </w:rPr>
        <w:t>Causales de sobreseimiento</w:t>
      </w:r>
    </w:p>
    <w:p w14:paraId="3FF75C55" w14:textId="77777777" w:rsidR="00CD573E" w:rsidRPr="0099684E" w:rsidRDefault="00CD573E" w:rsidP="009E7481">
      <w:pPr>
        <w:spacing w:after="0" w:line="360" w:lineRule="auto"/>
        <w:rPr>
          <w:rFonts w:eastAsia="Times New Roman" w:cs="Tahoma"/>
          <w:b/>
          <w:bCs/>
          <w:color w:val="auto"/>
          <w:lang w:eastAsia="es-ES"/>
        </w:rPr>
      </w:pPr>
    </w:p>
    <w:p w14:paraId="77050B85" w14:textId="77777777" w:rsidR="00C853D1" w:rsidRPr="0099684E" w:rsidRDefault="00C853D1" w:rsidP="009E7481">
      <w:pPr>
        <w:spacing w:after="0" w:line="360" w:lineRule="auto"/>
        <w:rPr>
          <w:rFonts w:eastAsia="Times New Roman" w:cs="Tahoma"/>
          <w:color w:val="auto"/>
          <w:szCs w:val="24"/>
          <w:lang w:eastAsia="es-ES"/>
        </w:rPr>
      </w:pPr>
      <w:r w:rsidRPr="0099684E">
        <w:rPr>
          <w:rFonts w:eastAsia="Times New Roman" w:cs="Tahoma"/>
          <w:color w:val="auto"/>
          <w:szCs w:val="24"/>
          <w:lang w:eastAsia="es-ES"/>
        </w:rPr>
        <w:t>Por ser de previo y especial pronunciamiento, este Instituto analiza si se actualiza alguna causal de sobreseimiento.</w:t>
      </w:r>
    </w:p>
    <w:p w14:paraId="1797E49B" w14:textId="77777777" w:rsidR="00C853D1" w:rsidRPr="0099684E" w:rsidRDefault="00C853D1" w:rsidP="009E7481">
      <w:pPr>
        <w:spacing w:after="0" w:line="360" w:lineRule="auto"/>
        <w:rPr>
          <w:rFonts w:eastAsia="Times New Roman" w:cs="Tahoma"/>
          <w:color w:val="auto"/>
          <w:szCs w:val="24"/>
          <w:lang w:eastAsia="es-ES"/>
        </w:rPr>
      </w:pPr>
    </w:p>
    <w:p w14:paraId="57EF14AF" w14:textId="7F7B22F7" w:rsidR="00F14049" w:rsidRPr="0099684E" w:rsidRDefault="00C853D1" w:rsidP="009E7481">
      <w:pPr>
        <w:spacing w:after="0" w:line="360" w:lineRule="auto"/>
        <w:rPr>
          <w:rFonts w:eastAsia="Times New Roman" w:cs="Tahoma"/>
          <w:color w:val="auto"/>
          <w:szCs w:val="24"/>
          <w:lang w:eastAsia="es-ES"/>
        </w:rPr>
      </w:pPr>
      <w:r w:rsidRPr="0099684E">
        <w:rPr>
          <w:rFonts w:eastAsia="Times New Roman" w:cs="Tahoma"/>
          <w:color w:val="auto"/>
          <w:szCs w:val="24"/>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w:t>
      </w:r>
      <w:r w:rsidR="005B1631" w:rsidRPr="0099684E">
        <w:rPr>
          <w:rFonts w:eastAsia="Times New Roman" w:cs="Tahoma"/>
          <w:color w:val="auto"/>
          <w:szCs w:val="24"/>
          <w:lang w:eastAsia="es-ES"/>
        </w:rPr>
        <w:t>la</w:t>
      </w:r>
      <w:r w:rsidRPr="0099684E">
        <w:rPr>
          <w:rFonts w:eastAsia="Times New Roman" w:cs="Tahoma"/>
          <w:color w:val="auto"/>
          <w:szCs w:val="24"/>
          <w:lang w:eastAsia="es-ES"/>
        </w:rPr>
        <w:t xml:space="preserve"> Recurrente se haya desistido del recurso, haya fallecido, sobreviniera alguna causal de improcedencia, que el Sujeto Obligado hubiese modificado o revocado el acto impugnado o bien, haya quedado sin materia.</w:t>
      </w:r>
    </w:p>
    <w:p w14:paraId="31F952FF" w14:textId="77777777" w:rsidR="00314F1E" w:rsidRPr="0099684E" w:rsidRDefault="00314F1E" w:rsidP="009E7481">
      <w:pPr>
        <w:spacing w:after="0" w:line="360" w:lineRule="auto"/>
        <w:rPr>
          <w:rFonts w:eastAsia="Times New Roman" w:cs="Tahoma"/>
          <w:color w:val="auto"/>
          <w:szCs w:val="24"/>
          <w:lang w:eastAsia="es-ES"/>
        </w:rPr>
      </w:pPr>
    </w:p>
    <w:p w14:paraId="44F1BE74" w14:textId="011AD853" w:rsidR="00314F1E" w:rsidRPr="0099684E" w:rsidRDefault="00314F1E" w:rsidP="009E7481">
      <w:pPr>
        <w:spacing w:after="0" w:line="360" w:lineRule="auto"/>
        <w:rPr>
          <w:rFonts w:eastAsia="Times New Roman" w:cs="Tahoma"/>
          <w:color w:val="auto"/>
          <w:szCs w:val="24"/>
          <w:lang w:eastAsia="es-ES"/>
        </w:rPr>
      </w:pPr>
      <w:r w:rsidRPr="0099684E">
        <w:rPr>
          <w:rFonts w:eastAsia="Times New Roman" w:cs="Tahoma"/>
          <w:color w:val="auto"/>
          <w:szCs w:val="24"/>
          <w:lang w:eastAsia="es-ES"/>
        </w:rPr>
        <w:t>Por tales motivos, se considera procedente entrar al fondo del presente asunto.</w:t>
      </w:r>
    </w:p>
    <w:p w14:paraId="72D24133" w14:textId="77777777" w:rsidR="00277ADF" w:rsidRPr="0099684E" w:rsidRDefault="00277ADF" w:rsidP="009E7481">
      <w:pPr>
        <w:spacing w:after="0" w:line="360" w:lineRule="auto"/>
      </w:pPr>
    </w:p>
    <w:p w14:paraId="554D6B44" w14:textId="7584B853" w:rsidR="00C853D1" w:rsidRPr="0099684E" w:rsidRDefault="00C853D1" w:rsidP="009E7481">
      <w:pPr>
        <w:pStyle w:val="Ttulo2"/>
        <w:spacing w:before="0" w:line="360" w:lineRule="auto"/>
        <w:rPr>
          <w:rFonts w:ascii="Palatino Linotype" w:eastAsia="Times New Roman" w:hAnsi="Palatino Linotype"/>
          <w:b/>
          <w:bCs/>
          <w:color w:val="auto"/>
          <w:sz w:val="22"/>
          <w:szCs w:val="22"/>
          <w:lang w:val="es-ES" w:eastAsia="es-ES"/>
        </w:rPr>
      </w:pPr>
      <w:bookmarkStart w:id="14" w:name="_Toc194593782"/>
      <w:r w:rsidRPr="0099684E">
        <w:rPr>
          <w:rFonts w:ascii="Palatino Linotype" w:eastAsia="Times New Roman" w:hAnsi="Palatino Linotype"/>
          <w:b/>
          <w:bCs/>
          <w:color w:val="auto"/>
          <w:sz w:val="22"/>
          <w:szCs w:val="22"/>
          <w:lang w:val="es-ES" w:eastAsia="es-ES"/>
        </w:rPr>
        <w:t>TERCERO. Determinación de la Controversia</w:t>
      </w:r>
      <w:bookmarkEnd w:id="14"/>
    </w:p>
    <w:p w14:paraId="1618F7DB" w14:textId="77777777" w:rsidR="00C853D1" w:rsidRPr="0099684E" w:rsidRDefault="00C853D1" w:rsidP="009E7481">
      <w:pPr>
        <w:autoSpaceDE w:val="0"/>
        <w:autoSpaceDN w:val="0"/>
        <w:adjustRightInd w:val="0"/>
        <w:spacing w:after="0" w:line="360" w:lineRule="auto"/>
        <w:rPr>
          <w:rFonts w:eastAsia="Calibri" w:cs="Tahoma"/>
          <w:color w:val="000000"/>
          <w:szCs w:val="24"/>
          <w:lang w:val="es-ES" w:eastAsia="es-MX"/>
        </w:rPr>
      </w:pPr>
    </w:p>
    <w:p w14:paraId="06990D1A" w14:textId="703CF36C" w:rsidR="00F96A7D" w:rsidRPr="0099684E" w:rsidRDefault="00026479" w:rsidP="009E7481">
      <w:pPr>
        <w:autoSpaceDE w:val="0"/>
        <w:autoSpaceDN w:val="0"/>
        <w:adjustRightInd w:val="0"/>
        <w:spacing w:after="0" w:line="360" w:lineRule="auto"/>
        <w:rPr>
          <w:rFonts w:eastAsia="Calibri" w:cs="Tahoma"/>
          <w:color w:val="000000"/>
          <w:szCs w:val="24"/>
          <w:lang w:val="es-ES" w:eastAsia="es-MX"/>
        </w:rPr>
      </w:pPr>
      <w:r w:rsidRPr="0099684E">
        <w:rPr>
          <w:rFonts w:eastAsia="Calibri" w:cs="Tahoma"/>
          <w:color w:val="000000"/>
          <w:szCs w:val="24"/>
          <w:lang w:val="es-ES" w:eastAsia="es-MX"/>
        </w:rPr>
        <w:t xml:space="preserve">Una vez realizado el estudio de las constancias que integran el expediente en que se actúa, se desprende que el Particular requirió de todo el personal adscrito al Sujeto Obligado, de la </w:t>
      </w:r>
      <w:r w:rsidR="00484642" w:rsidRPr="0099684E">
        <w:rPr>
          <w:rFonts w:eastAsia="Calibri" w:cs="Tahoma"/>
          <w:color w:val="000000"/>
          <w:szCs w:val="24"/>
          <w:lang w:val="es-ES" w:eastAsia="es-MX"/>
        </w:rPr>
        <w:t>primera y</w:t>
      </w:r>
      <w:r w:rsidRPr="0099684E">
        <w:rPr>
          <w:rFonts w:eastAsia="Calibri" w:cs="Tahoma"/>
          <w:color w:val="000000"/>
          <w:szCs w:val="24"/>
          <w:lang w:val="es-ES" w:eastAsia="es-MX"/>
        </w:rPr>
        <w:t xml:space="preserve"> segunda quincena de enero de dos mil veinticinco, lo siguiente:</w:t>
      </w:r>
    </w:p>
    <w:p w14:paraId="1D575E1E" w14:textId="77777777" w:rsidR="00026479" w:rsidRPr="0099684E" w:rsidRDefault="00026479" w:rsidP="009E7481">
      <w:pPr>
        <w:autoSpaceDE w:val="0"/>
        <w:autoSpaceDN w:val="0"/>
        <w:adjustRightInd w:val="0"/>
        <w:spacing w:after="0" w:line="360" w:lineRule="auto"/>
        <w:rPr>
          <w:rFonts w:eastAsia="Calibri" w:cs="Tahoma"/>
          <w:color w:val="000000"/>
          <w:szCs w:val="24"/>
          <w:lang w:val="es-ES" w:eastAsia="es-MX"/>
        </w:rPr>
      </w:pPr>
    </w:p>
    <w:p w14:paraId="3BC25C1F" w14:textId="590BD799" w:rsidR="00026479" w:rsidRPr="0099684E" w:rsidRDefault="00484642" w:rsidP="00ED13E2">
      <w:pPr>
        <w:pStyle w:val="Prrafodelista"/>
        <w:numPr>
          <w:ilvl w:val="0"/>
          <w:numId w:val="7"/>
        </w:numPr>
        <w:autoSpaceDE w:val="0"/>
        <w:autoSpaceDN w:val="0"/>
        <w:adjustRightInd w:val="0"/>
        <w:spacing w:line="360" w:lineRule="auto"/>
        <w:rPr>
          <w:rFonts w:eastAsia="Calibri" w:cs="Tahoma"/>
          <w:color w:val="000000"/>
          <w:lang w:val="es-ES" w:eastAsia="es-MX"/>
        </w:rPr>
      </w:pPr>
      <w:r w:rsidRPr="0099684E">
        <w:rPr>
          <w:rFonts w:eastAsia="Calibri" w:cs="Tahoma"/>
          <w:color w:val="000000"/>
          <w:lang w:val="es-ES" w:eastAsia="es-MX"/>
        </w:rPr>
        <w:t>La</w:t>
      </w:r>
      <w:r w:rsidR="00026479" w:rsidRPr="0099684E">
        <w:rPr>
          <w:rFonts w:eastAsia="Calibri" w:cs="Tahoma"/>
          <w:color w:val="000000"/>
          <w:lang w:val="es-ES" w:eastAsia="es-MX"/>
        </w:rPr>
        <w:t xml:space="preserve"> dispersión de nómina</w:t>
      </w:r>
      <w:r w:rsidRPr="0099684E">
        <w:rPr>
          <w:rFonts w:eastAsia="Calibri" w:cs="Tahoma"/>
          <w:color w:val="000000"/>
          <w:lang w:val="es-ES" w:eastAsia="es-MX"/>
        </w:rPr>
        <w:t>, y</w:t>
      </w:r>
      <w:r w:rsidR="00026479" w:rsidRPr="0099684E">
        <w:rPr>
          <w:rFonts w:eastAsia="Calibri" w:cs="Tahoma"/>
          <w:color w:val="000000"/>
          <w:lang w:val="es-ES" w:eastAsia="es-MX"/>
        </w:rPr>
        <w:t xml:space="preserve"> </w:t>
      </w:r>
    </w:p>
    <w:p w14:paraId="480D1D2E" w14:textId="5395D3AD" w:rsidR="00026479" w:rsidRPr="0099684E" w:rsidRDefault="00026479" w:rsidP="00ED13E2">
      <w:pPr>
        <w:pStyle w:val="Prrafodelista"/>
        <w:numPr>
          <w:ilvl w:val="0"/>
          <w:numId w:val="7"/>
        </w:numPr>
        <w:autoSpaceDE w:val="0"/>
        <w:autoSpaceDN w:val="0"/>
        <w:adjustRightInd w:val="0"/>
        <w:spacing w:line="360" w:lineRule="auto"/>
        <w:rPr>
          <w:rFonts w:eastAsia="Calibri" w:cs="Tahoma"/>
          <w:color w:val="000000"/>
          <w:lang w:val="es-ES" w:eastAsia="es-MX"/>
        </w:rPr>
      </w:pPr>
      <w:r w:rsidRPr="0099684E">
        <w:rPr>
          <w:rFonts w:eastAsia="Calibri" w:cs="Tahoma"/>
          <w:color w:val="000000"/>
          <w:lang w:val="es-ES" w:eastAsia="es-MX"/>
        </w:rPr>
        <w:lastRenderedPageBreak/>
        <w:t xml:space="preserve">Los recibos de nómina </w:t>
      </w:r>
    </w:p>
    <w:p w14:paraId="31A7428C" w14:textId="77777777" w:rsidR="00026479" w:rsidRPr="0099684E" w:rsidRDefault="00026479" w:rsidP="009E7481">
      <w:pPr>
        <w:autoSpaceDE w:val="0"/>
        <w:autoSpaceDN w:val="0"/>
        <w:adjustRightInd w:val="0"/>
        <w:spacing w:after="0" w:line="360" w:lineRule="auto"/>
        <w:rPr>
          <w:rFonts w:eastAsia="Calibri" w:cs="Tahoma"/>
          <w:color w:val="000000"/>
          <w:szCs w:val="24"/>
          <w:lang w:val="es-ES" w:eastAsia="es-MX"/>
        </w:rPr>
      </w:pPr>
    </w:p>
    <w:p w14:paraId="535B6B6B" w14:textId="259EE554" w:rsidR="005E117C" w:rsidRPr="0099684E" w:rsidRDefault="003E283D" w:rsidP="009E7481">
      <w:pPr>
        <w:widowControl w:val="0"/>
        <w:spacing w:after="0" w:line="360" w:lineRule="auto"/>
        <w:rPr>
          <w:rFonts w:eastAsia="Palatino Linotype" w:cs="Palatino Linotype"/>
          <w:color w:val="000000"/>
          <w:lang w:eastAsia="es-MX"/>
        </w:rPr>
      </w:pPr>
      <w:r w:rsidRPr="0099684E">
        <w:rPr>
          <w:rFonts w:eastAsia="Palatino Linotype" w:cs="Palatino Linotype"/>
          <w:color w:val="000000"/>
          <w:lang w:eastAsia="es-MX"/>
        </w:rPr>
        <w:t xml:space="preserve">En respuesta, el Sujeto Obligado, proporcionó a través de la </w:t>
      </w:r>
      <w:r w:rsidR="005E117C" w:rsidRPr="0099684E">
        <w:rPr>
          <w:rFonts w:eastAsia="Palatino Linotype" w:cs="Palatino Linotype"/>
          <w:color w:val="000000"/>
          <w:lang w:eastAsia="es-MX"/>
        </w:rPr>
        <w:t>Dirección de la Administración y Finanzas</w:t>
      </w:r>
      <w:r w:rsidR="00484642" w:rsidRPr="0099684E">
        <w:rPr>
          <w:rFonts w:eastAsia="Palatino Linotype" w:cs="Palatino Linotype"/>
          <w:color w:val="000000"/>
          <w:lang w:eastAsia="es-MX"/>
        </w:rPr>
        <w:t>, los recibos de nómina de la primera y segunda quincena de enero de dos mil veinticinco, en versión pública;</w:t>
      </w:r>
      <w:r w:rsidR="005E117C" w:rsidRPr="0099684E">
        <w:rPr>
          <w:rFonts w:eastAsia="Palatino Linotype" w:cs="Palatino Linotype"/>
          <w:color w:val="000000"/>
          <w:lang w:eastAsia="es-MX"/>
        </w:rPr>
        <w:t xml:space="preserve"> ante dicha circunstancia, el Particular se inconformó </w:t>
      </w:r>
      <w:r w:rsidR="00484642" w:rsidRPr="0099684E">
        <w:rPr>
          <w:rFonts w:eastAsia="Palatino Linotype" w:cs="Palatino Linotype"/>
          <w:color w:val="000000"/>
          <w:lang w:eastAsia="es-MX"/>
        </w:rPr>
        <w:t>del testado de datos que a su consideración eran de naturaleza pública</w:t>
      </w:r>
      <w:r w:rsidR="005E117C" w:rsidRPr="0099684E">
        <w:rPr>
          <w:rFonts w:eastAsia="Palatino Linotype" w:cs="Palatino Linotype"/>
          <w:color w:val="000000"/>
          <w:lang w:eastAsia="es-MX"/>
        </w:rPr>
        <w:t>, lo cual actualiza el supuesto de procedencia establecido en el artículo 179, fracción II, de la Ley General de Transparencia y Acceso a la Información Pública del</w:t>
      </w:r>
      <w:r w:rsidR="00314F1E" w:rsidRPr="0099684E">
        <w:rPr>
          <w:rFonts w:eastAsia="Palatino Linotype" w:cs="Palatino Linotype"/>
          <w:color w:val="000000"/>
          <w:lang w:eastAsia="es-MX"/>
        </w:rPr>
        <w:t xml:space="preserve"> Estado de México y Municipios. </w:t>
      </w:r>
    </w:p>
    <w:p w14:paraId="6214EF0E" w14:textId="77777777" w:rsidR="00996D93" w:rsidRPr="0099684E" w:rsidRDefault="00996D93" w:rsidP="009E7481">
      <w:pPr>
        <w:spacing w:after="0" w:line="360" w:lineRule="auto"/>
        <w:ind w:right="-28"/>
        <w:rPr>
          <w:rFonts w:eastAsia="Palatino Linotype" w:cs="Palatino Linotype"/>
          <w:color w:val="000000"/>
        </w:rPr>
      </w:pPr>
    </w:p>
    <w:p w14:paraId="6F1F4A42" w14:textId="2539DC65" w:rsidR="00996D93" w:rsidRPr="0099684E" w:rsidRDefault="00314F1E" w:rsidP="009E7481">
      <w:pPr>
        <w:spacing w:after="0" w:line="360" w:lineRule="auto"/>
        <w:rPr>
          <w:rFonts w:eastAsia="Times New Roman" w:cs="Times New Roman"/>
          <w:color w:val="000000"/>
          <w:lang w:eastAsia="es-ES_tradnl"/>
        </w:rPr>
      </w:pPr>
      <w:r w:rsidRPr="0099684E">
        <w:rPr>
          <w:rFonts w:eastAsia="Times New Roman" w:cs="Times New Roman"/>
          <w:color w:val="000000"/>
          <w:lang w:eastAsia="es-ES_tradnl"/>
        </w:rPr>
        <w:t xml:space="preserve">Conforme a lo anterior, se logra vislumbrar que la persona Recurrente no se agravió de la falta de entrega del comprobante de dispersión de nómina, ni de los recibos de nómina entregados, sino del testado de datos en estos, por lo que, no se hará pronunciamiento alguno, respecto a dicha información,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w:t>
      </w:r>
      <w:r w:rsidRPr="0099684E">
        <w:rPr>
          <w:rFonts w:eastAsia="Times New Roman" w:cs="Times New Roman"/>
          <w:b/>
          <w:color w:val="000000"/>
          <w:lang w:eastAsia="es-ES_tradnl"/>
        </w:rPr>
        <w:t>actos que se hayan consentido tácitamente</w:t>
      </w:r>
      <w:r w:rsidRPr="0099684E">
        <w:rPr>
          <w:rFonts w:eastAsia="Times New Roman" w:cs="Times New Roman"/>
          <w:color w:val="000000"/>
          <w:lang w:eastAsia="es-ES_tradnl"/>
        </w:rPr>
        <w:t>, entendiéndose por estos cuando el agravio no se haya promovido en el plazo señalado para el efecto.</w:t>
      </w:r>
      <w:r w:rsidR="00996D93" w:rsidRPr="0099684E">
        <w:rPr>
          <w:rFonts w:eastAsia="Times New Roman" w:cs="Times New Roman"/>
          <w:color w:val="000000"/>
          <w:lang w:eastAsia="es-ES_tradnl"/>
        </w:rPr>
        <w:t> </w:t>
      </w:r>
    </w:p>
    <w:p w14:paraId="37C8CB3C" w14:textId="77777777" w:rsidR="00314F1E" w:rsidRPr="0099684E" w:rsidRDefault="00314F1E" w:rsidP="009E7481">
      <w:pPr>
        <w:spacing w:after="0" w:line="360" w:lineRule="auto"/>
        <w:rPr>
          <w:rFonts w:eastAsia="Times New Roman" w:cs="Times New Roman"/>
          <w:color w:val="000000"/>
          <w:lang w:eastAsia="es-ES_tradnl"/>
        </w:rPr>
      </w:pPr>
    </w:p>
    <w:p w14:paraId="1E70C1E9" w14:textId="77777777" w:rsidR="00996D93" w:rsidRPr="0099684E" w:rsidRDefault="00996D93" w:rsidP="009E7481">
      <w:pPr>
        <w:spacing w:after="0" w:line="360" w:lineRule="auto"/>
        <w:rPr>
          <w:rFonts w:eastAsia="Times New Roman" w:cs="Times New Roman"/>
          <w:color w:val="000000"/>
          <w:lang w:eastAsia="es-ES_tradnl"/>
        </w:rPr>
      </w:pPr>
      <w:r w:rsidRPr="0099684E">
        <w:rPr>
          <w:rFonts w:eastAsia="Times New Roman" w:cs="Times New Roman"/>
          <w:color w:val="000000"/>
          <w:lang w:eastAsia="es-ES_tradnl"/>
        </w:rPr>
        <w:t>De la misma manera resulta aplicable el criterio sostenido por el Poder Judicial de la Federación de rubro </w:t>
      </w:r>
      <w:r w:rsidRPr="0099684E">
        <w:rPr>
          <w:rFonts w:eastAsia="Times New Roman" w:cs="Times New Roman"/>
          <w:b/>
          <w:bCs/>
          <w:color w:val="000000"/>
          <w:lang w:eastAsia="es-ES_tradnl"/>
        </w:rPr>
        <w:t>ACTOS CONSENTIDOS TÁCITAMENTE</w:t>
      </w:r>
      <w:r w:rsidRPr="0099684E">
        <w:rPr>
          <w:rFonts w:eastAsia="Times New Roman" w:cs="Times New Roman"/>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66CBCBE7" w14:textId="77777777" w:rsidR="00996D93" w:rsidRPr="0099684E" w:rsidRDefault="00996D93" w:rsidP="009E7481">
      <w:pPr>
        <w:spacing w:after="0" w:line="360" w:lineRule="auto"/>
        <w:rPr>
          <w:rFonts w:eastAsia="Times New Roman" w:cs="Times New Roman"/>
          <w:color w:val="000000"/>
          <w:lang w:eastAsia="es-ES_tradnl"/>
        </w:rPr>
      </w:pPr>
      <w:r w:rsidRPr="0099684E">
        <w:rPr>
          <w:rFonts w:eastAsia="Times New Roman" w:cs="Times New Roman"/>
          <w:color w:val="000000"/>
          <w:lang w:eastAsia="es-ES_tradnl"/>
        </w:rPr>
        <w:t> </w:t>
      </w:r>
    </w:p>
    <w:p w14:paraId="5AB40E0C" w14:textId="77777777" w:rsidR="00314F1E" w:rsidRPr="0099684E" w:rsidRDefault="00314F1E" w:rsidP="00314F1E">
      <w:pPr>
        <w:spacing w:after="0" w:line="360" w:lineRule="auto"/>
        <w:rPr>
          <w:rFonts w:eastAsia="Times New Roman" w:cs="Times New Roman"/>
          <w:color w:val="000000"/>
          <w:lang w:eastAsia="es-ES_tradnl"/>
        </w:rPr>
      </w:pPr>
      <w:r w:rsidRPr="0099684E">
        <w:rPr>
          <w:rFonts w:eastAsia="Times New Roman" w:cs="Times New Roman"/>
          <w:color w:val="000000"/>
          <w:lang w:eastAsia="es-ES_tradnl"/>
        </w:rPr>
        <w:lastRenderedPageBreak/>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w:t>
      </w:r>
    </w:p>
    <w:p w14:paraId="488BCA0F" w14:textId="77777777" w:rsidR="00314F1E" w:rsidRPr="0099684E" w:rsidRDefault="00314F1E" w:rsidP="00314F1E">
      <w:pPr>
        <w:spacing w:after="0" w:line="360" w:lineRule="auto"/>
        <w:rPr>
          <w:rFonts w:eastAsia="Times New Roman" w:cs="Times New Roman"/>
          <w:color w:val="000000"/>
          <w:lang w:eastAsia="es-ES_tradnl"/>
        </w:rPr>
      </w:pPr>
      <w:r w:rsidRPr="0099684E">
        <w:rPr>
          <w:rFonts w:eastAsia="Times New Roman" w:cs="Times New Roman"/>
          <w:color w:val="000000"/>
          <w:lang w:eastAsia="es-ES_tradnl"/>
        </w:rPr>
        <w:tab/>
      </w:r>
    </w:p>
    <w:p w14:paraId="5AEDA17D" w14:textId="77777777" w:rsidR="00484642" w:rsidRPr="0099684E" w:rsidRDefault="00314F1E" w:rsidP="00484642">
      <w:pPr>
        <w:widowControl w:val="0"/>
        <w:spacing w:after="0" w:line="360" w:lineRule="auto"/>
        <w:rPr>
          <w:rFonts w:eastAsia="Palatino Linotype" w:cs="Palatino Linotype"/>
          <w:color w:val="000000"/>
          <w:lang w:eastAsia="es-MX"/>
        </w:rPr>
      </w:pPr>
      <w:r w:rsidRPr="0099684E">
        <w:rPr>
          <w:rFonts w:eastAsia="Times New Roman" w:cs="Times New Roman"/>
          <w:color w:val="000000"/>
          <w:lang w:eastAsia="es-ES_tradnl"/>
        </w:rPr>
        <w:t xml:space="preserve">Asimismo, resulta relevante traer a colación el Criterio de Interpretación, de la Segunda Época, con número de registro SO/001/2020, emitido por el Instituto Nacional de Transparencia, Acceso a la Información y Protección de Datos Personales, el cual establece que es improcedente entrar al análisis de las partes de la respuesta del Sujeto Obligado que no fueron impugnadas por la persona Recurrente; por lo que, en el presente caso, se tienen por consentido </w:t>
      </w:r>
      <w:r w:rsidR="00484642" w:rsidRPr="0099684E">
        <w:rPr>
          <w:rFonts w:eastAsia="Times New Roman" w:cs="Times New Roman"/>
          <w:color w:val="000000"/>
          <w:lang w:eastAsia="es-ES_tradnl"/>
        </w:rPr>
        <w:t>la falta de entrega de la</w:t>
      </w:r>
      <w:r w:rsidRPr="0099684E">
        <w:rPr>
          <w:rFonts w:eastAsia="Times New Roman" w:cs="Times New Roman"/>
          <w:color w:val="000000"/>
          <w:lang w:eastAsia="es-ES_tradnl"/>
        </w:rPr>
        <w:t xml:space="preserve"> dispersión de nómina y los recibos de nómina entregados y únicamente se entrará al análisis </w:t>
      </w:r>
      <w:r w:rsidR="00484642" w:rsidRPr="0099684E">
        <w:rPr>
          <w:rFonts w:eastAsia="Times New Roman" w:cs="Times New Roman"/>
          <w:color w:val="000000"/>
          <w:lang w:eastAsia="es-ES_tradnl"/>
        </w:rPr>
        <w:t>de los datos testados en los recibos</w:t>
      </w:r>
      <w:r w:rsidRPr="0099684E">
        <w:rPr>
          <w:rFonts w:eastAsia="Times New Roman" w:cs="Times New Roman"/>
          <w:color w:val="000000"/>
          <w:lang w:eastAsia="es-ES_tradnl"/>
        </w:rPr>
        <w:t xml:space="preserve">. </w:t>
      </w:r>
      <w:r w:rsidR="00484642" w:rsidRPr="0099684E">
        <w:rPr>
          <w:rFonts w:eastAsia="Palatino Linotype" w:cs="Palatino Linotype"/>
          <w:color w:val="000000"/>
          <w:lang w:eastAsia="es-MX"/>
        </w:rPr>
        <w:t>Así las cosas, una vez admitido y notificado el Recurso de revisión a las partes, estas fueron omisas en rendir manifestaciones.</w:t>
      </w:r>
    </w:p>
    <w:p w14:paraId="0F6C7DB1" w14:textId="69592F78" w:rsidR="00314F1E" w:rsidRPr="0099684E" w:rsidRDefault="00314F1E" w:rsidP="00314F1E">
      <w:pPr>
        <w:spacing w:after="0" w:line="360" w:lineRule="auto"/>
        <w:rPr>
          <w:rFonts w:eastAsia="Times New Roman" w:cs="Times New Roman"/>
          <w:color w:val="000000"/>
          <w:lang w:eastAsia="es-ES_tradnl"/>
        </w:rPr>
      </w:pPr>
    </w:p>
    <w:p w14:paraId="5796AF7E" w14:textId="2DEFD6DD" w:rsidR="00C853D1" w:rsidRPr="0099684E" w:rsidRDefault="00314F1E" w:rsidP="00314F1E">
      <w:pPr>
        <w:spacing w:after="0" w:line="360" w:lineRule="auto"/>
        <w:rPr>
          <w:rFonts w:eastAsia="Times New Roman" w:cs="Times New Roman"/>
          <w:color w:val="000000"/>
          <w:lang w:eastAsia="es-ES_tradnl"/>
        </w:rPr>
      </w:pPr>
      <w:r w:rsidRPr="0099684E">
        <w:rPr>
          <w:rFonts w:eastAsia="Times New Roman" w:cs="Times New Roman"/>
          <w:color w:val="000000"/>
          <w:lang w:eastAsia="es-ES_tradnl"/>
        </w:rPr>
        <w:t>Lo anterior, se desprende de las documentales que obran en el expediente, de referencia, materia de la presente resolución, consistente en: la solicitud de acceso a la información</w:t>
      </w:r>
      <w:r w:rsidR="00484642" w:rsidRPr="0099684E">
        <w:rPr>
          <w:rFonts w:eastAsia="Times New Roman" w:cs="Times New Roman"/>
          <w:color w:val="000000"/>
          <w:lang w:eastAsia="es-ES_tradnl"/>
        </w:rPr>
        <w:t>; la respuesta entregada</w:t>
      </w:r>
      <w:r w:rsidRPr="0099684E">
        <w:rPr>
          <w:rFonts w:eastAsia="Times New Roman" w:cs="Times New Roman"/>
          <w:color w:val="000000"/>
          <w:lang w:eastAsia="es-ES_tradnl"/>
        </w:rPr>
        <w:t xml:space="preserve">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453D1C99" w14:textId="77777777" w:rsidR="00314F1E" w:rsidRPr="0099684E" w:rsidRDefault="00314F1E" w:rsidP="00314F1E">
      <w:pPr>
        <w:spacing w:after="0" w:line="360" w:lineRule="auto"/>
      </w:pPr>
    </w:p>
    <w:p w14:paraId="4AD760E5" w14:textId="7FA039F7" w:rsidR="00C853D1" w:rsidRPr="0099684E" w:rsidRDefault="00C853D1" w:rsidP="009E7481">
      <w:pPr>
        <w:pStyle w:val="Ttulo2"/>
        <w:spacing w:before="0" w:line="360" w:lineRule="auto"/>
        <w:rPr>
          <w:rFonts w:ascii="Palatino Linotype" w:eastAsia="Times New Roman" w:hAnsi="Palatino Linotype"/>
          <w:b/>
          <w:bCs/>
          <w:color w:val="auto"/>
          <w:sz w:val="22"/>
          <w:szCs w:val="22"/>
          <w:lang w:eastAsia="es-ES"/>
        </w:rPr>
      </w:pPr>
      <w:bookmarkStart w:id="15" w:name="_Toc194593783"/>
      <w:r w:rsidRPr="0099684E">
        <w:rPr>
          <w:rFonts w:ascii="Palatino Linotype" w:eastAsia="Times New Roman" w:hAnsi="Palatino Linotype"/>
          <w:b/>
          <w:bCs/>
          <w:color w:val="auto"/>
          <w:sz w:val="22"/>
          <w:szCs w:val="22"/>
          <w:lang w:val="es-ES" w:eastAsia="es-ES"/>
        </w:rPr>
        <w:t xml:space="preserve">CUARTO. </w:t>
      </w:r>
      <w:r w:rsidRPr="0099684E">
        <w:rPr>
          <w:rFonts w:ascii="Palatino Linotype" w:eastAsia="Times New Roman" w:hAnsi="Palatino Linotype"/>
          <w:b/>
          <w:bCs/>
          <w:color w:val="auto"/>
          <w:sz w:val="22"/>
          <w:szCs w:val="22"/>
          <w:lang w:eastAsia="es-ES"/>
        </w:rPr>
        <w:t>Marco normativo aplicable en materia de transparencia y acceso a la información pública</w:t>
      </w:r>
      <w:bookmarkEnd w:id="15"/>
    </w:p>
    <w:p w14:paraId="43AD0F27" w14:textId="77777777" w:rsidR="00C853D1" w:rsidRPr="0099684E" w:rsidRDefault="00C853D1" w:rsidP="009E7481">
      <w:pPr>
        <w:spacing w:after="0" w:line="360" w:lineRule="auto"/>
        <w:rPr>
          <w:rFonts w:eastAsia="Times New Roman" w:cs="Tahoma"/>
          <w:b/>
          <w:bCs/>
          <w:iCs/>
          <w:color w:val="auto"/>
          <w:lang w:eastAsia="es-ES"/>
        </w:rPr>
      </w:pPr>
    </w:p>
    <w:p w14:paraId="612B1C77" w14:textId="77777777" w:rsidR="00C853D1" w:rsidRPr="0099684E" w:rsidRDefault="00C853D1" w:rsidP="009E7481">
      <w:pPr>
        <w:spacing w:after="0" w:line="360" w:lineRule="auto"/>
        <w:rPr>
          <w:rFonts w:eastAsia="Times New Roman" w:cs="Tahoma"/>
          <w:bCs/>
          <w:iCs/>
          <w:color w:val="auto"/>
          <w:lang w:eastAsia="es-ES"/>
        </w:rPr>
      </w:pPr>
      <w:r w:rsidRPr="0099684E">
        <w:rPr>
          <w:rFonts w:eastAsia="Times New Roman" w:cs="Tahoma"/>
          <w:bCs/>
          <w:iCs/>
          <w:color w:val="auto"/>
          <w:lang w:eastAsia="es-ES"/>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DEFDE24" w14:textId="77777777" w:rsidR="00C853D1" w:rsidRPr="0099684E" w:rsidRDefault="00C853D1" w:rsidP="009E7481">
      <w:pPr>
        <w:spacing w:after="0" w:line="360" w:lineRule="auto"/>
        <w:rPr>
          <w:rFonts w:eastAsia="Times New Roman" w:cs="Tahoma"/>
          <w:bCs/>
          <w:iCs/>
          <w:color w:val="auto"/>
          <w:lang w:eastAsia="es-ES"/>
        </w:rPr>
      </w:pPr>
    </w:p>
    <w:p w14:paraId="2E116B44" w14:textId="77777777" w:rsidR="00C853D1" w:rsidRPr="0099684E" w:rsidRDefault="00C853D1" w:rsidP="009E7481">
      <w:pPr>
        <w:spacing w:after="0" w:line="360" w:lineRule="auto"/>
        <w:rPr>
          <w:rFonts w:eastAsia="Times New Roman" w:cs="Tahoma"/>
          <w:bCs/>
          <w:iCs/>
          <w:color w:val="auto"/>
          <w:lang w:eastAsia="es-ES"/>
        </w:rPr>
      </w:pPr>
      <w:r w:rsidRPr="0099684E">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D4CE485" w14:textId="77777777" w:rsidR="00C853D1" w:rsidRPr="0099684E" w:rsidRDefault="00C853D1" w:rsidP="009E7481">
      <w:pPr>
        <w:spacing w:after="0" w:line="360" w:lineRule="auto"/>
        <w:rPr>
          <w:rFonts w:eastAsia="Times New Roman" w:cs="Tahoma"/>
          <w:bCs/>
          <w:iCs/>
          <w:color w:val="auto"/>
          <w:lang w:eastAsia="es-ES"/>
        </w:rPr>
      </w:pPr>
    </w:p>
    <w:p w14:paraId="39E7B3D5" w14:textId="77777777" w:rsidR="00C853D1" w:rsidRPr="0099684E" w:rsidRDefault="00C853D1" w:rsidP="009E7481">
      <w:pPr>
        <w:spacing w:after="0" w:line="360" w:lineRule="auto"/>
        <w:rPr>
          <w:rFonts w:eastAsia="Times New Roman" w:cs="Tahoma"/>
          <w:bCs/>
          <w:iCs/>
          <w:color w:val="auto"/>
          <w:lang w:eastAsia="es-ES"/>
        </w:rPr>
      </w:pPr>
      <w:r w:rsidRPr="0099684E">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8EAD36A" w14:textId="77777777" w:rsidR="00C853D1" w:rsidRPr="0099684E" w:rsidRDefault="00C853D1" w:rsidP="009E7481">
      <w:pPr>
        <w:spacing w:after="0" w:line="360" w:lineRule="auto"/>
        <w:rPr>
          <w:rFonts w:eastAsia="Times New Roman" w:cs="Tahoma"/>
          <w:bCs/>
          <w:iCs/>
          <w:color w:val="auto"/>
          <w:lang w:eastAsia="es-ES"/>
        </w:rPr>
      </w:pPr>
    </w:p>
    <w:p w14:paraId="33BD459A" w14:textId="77777777" w:rsidR="00C853D1" w:rsidRPr="0099684E" w:rsidRDefault="00C853D1" w:rsidP="009E7481">
      <w:pPr>
        <w:spacing w:after="0" w:line="360" w:lineRule="auto"/>
        <w:rPr>
          <w:rFonts w:eastAsia="Times New Roman" w:cs="Tahoma"/>
          <w:bCs/>
          <w:iCs/>
          <w:color w:val="auto"/>
          <w:lang w:eastAsia="es-ES"/>
        </w:rPr>
      </w:pPr>
      <w:r w:rsidRPr="0099684E">
        <w:rPr>
          <w:rFonts w:eastAsia="Times New Roman" w:cs="Tahoma"/>
          <w:bCs/>
          <w:iCs/>
          <w:color w:val="auto"/>
          <w:lang w:eastAsia="es-ES"/>
        </w:rPr>
        <w:t>El artículo 12, que, quienes generen, recopilen, administren, manejen, procesen, archiven o conserven información pública serán responsables de la misma.</w:t>
      </w:r>
    </w:p>
    <w:p w14:paraId="7F23F258" w14:textId="77777777" w:rsidR="00C853D1" w:rsidRPr="0099684E" w:rsidRDefault="00C853D1" w:rsidP="009E7481">
      <w:pPr>
        <w:spacing w:after="0" w:line="360" w:lineRule="auto"/>
        <w:rPr>
          <w:rFonts w:eastAsia="Times New Roman" w:cs="Tahoma"/>
          <w:bCs/>
          <w:iCs/>
          <w:color w:val="auto"/>
          <w:lang w:eastAsia="es-ES"/>
        </w:rPr>
      </w:pPr>
    </w:p>
    <w:p w14:paraId="21150C29" w14:textId="77777777" w:rsidR="00C853D1" w:rsidRPr="0099684E" w:rsidRDefault="00C853D1" w:rsidP="009E7481">
      <w:pPr>
        <w:spacing w:after="0" w:line="360" w:lineRule="auto"/>
        <w:rPr>
          <w:rFonts w:eastAsia="Times New Roman" w:cs="Tahoma"/>
          <w:bCs/>
          <w:iCs/>
          <w:color w:val="auto"/>
          <w:lang w:eastAsia="es-ES"/>
        </w:rPr>
      </w:pPr>
      <w:r w:rsidRPr="0099684E">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3F8053D7" w14:textId="77777777" w:rsidR="00C853D1" w:rsidRPr="0099684E" w:rsidRDefault="00C853D1" w:rsidP="009E7481">
      <w:pPr>
        <w:spacing w:after="0" w:line="360" w:lineRule="auto"/>
        <w:rPr>
          <w:rFonts w:eastAsia="Times New Roman" w:cs="Tahoma"/>
          <w:bCs/>
          <w:iCs/>
          <w:color w:val="auto"/>
          <w:lang w:eastAsia="es-ES"/>
        </w:rPr>
      </w:pPr>
    </w:p>
    <w:p w14:paraId="391D3BDE" w14:textId="77777777" w:rsidR="00C853D1" w:rsidRPr="0099684E" w:rsidRDefault="00C853D1" w:rsidP="009E7481">
      <w:pPr>
        <w:spacing w:after="0" w:line="360" w:lineRule="auto"/>
        <w:rPr>
          <w:rFonts w:eastAsia="Times New Roman" w:cs="Tahoma"/>
          <w:bCs/>
          <w:iCs/>
          <w:color w:val="auto"/>
          <w:lang w:eastAsia="es-ES"/>
        </w:rPr>
      </w:pPr>
      <w:r w:rsidRPr="0099684E">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052A03D" w14:textId="77777777" w:rsidR="00C853D1" w:rsidRPr="0099684E" w:rsidRDefault="00C853D1" w:rsidP="009E7481">
      <w:pPr>
        <w:spacing w:after="0" w:line="360" w:lineRule="auto"/>
        <w:rPr>
          <w:rFonts w:eastAsia="Times New Roman" w:cs="Tahoma"/>
          <w:b/>
          <w:bCs/>
          <w:iCs/>
          <w:color w:val="auto"/>
          <w:lang w:val="es-ES" w:eastAsia="es-ES"/>
        </w:rPr>
      </w:pPr>
    </w:p>
    <w:p w14:paraId="4CD9F9A9" w14:textId="46835688" w:rsidR="00C853D1" w:rsidRPr="0099684E" w:rsidRDefault="00C10742" w:rsidP="009E7481">
      <w:pPr>
        <w:pStyle w:val="Ttulo2"/>
        <w:spacing w:before="0" w:line="360" w:lineRule="auto"/>
        <w:rPr>
          <w:rFonts w:ascii="Palatino Linotype" w:eastAsia="Times New Roman" w:hAnsi="Palatino Linotype"/>
          <w:b/>
          <w:bCs/>
          <w:color w:val="auto"/>
          <w:sz w:val="22"/>
          <w:szCs w:val="22"/>
          <w:lang w:val="es-ES" w:eastAsia="es-ES"/>
        </w:rPr>
      </w:pPr>
      <w:bookmarkStart w:id="16" w:name="_Toc194593784"/>
      <w:r w:rsidRPr="0099684E">
        <w:rPr>
          <w:rFonts w:ascii="Palatino Linotype" w:eastAsia="Times New Roman" w:hAnsi="Palatino Linotype"/>
          <w:b/>
          <w:bCs/>
          <w:color w:val="auto"/>
          <w:sz w:val="22"/>
          <w:szCs w:val="22"/>
          <w:lang w:val="es-ES" w:eastAsia="es-ES"/>
        </w:rPr>
        <w:lastRenderedPageBreak/>
        <w:t>QUINTO</w:t>
      </w:r>
      <w:r w:rsidR="00C853D1" w:rsidRPr="0099684E">
        <w:rPr>
          <w:rFonts w:ascii="Palatino Linotype" w:eastAsia="Times New Roman" w:hAnsi="Palatino Linotype"/>
          <w:b/>
          <w:bCs/>
          <w:color w:val="auto"/>
          <w:sz w:val="22"/>
          <w:szCs w:val="22"/>
          <w:lang w:val="es-ES" w:eastAsia="es-ES"/>
        </w:rPr>
        <w:t>. Estudio de Fondo</w:t>
      </w:r>
      <w:bookmarkEnd w:id="16"/>
    </w:p>
    <w:p w14:paraId="614B9665" w14:textId="5578038A" w:rsidR="00C853D1" w:rsidRPr="0099684E" w:rsidRDefault="00C853D1" w:rsidP="009E7481">
      <w:pPr>
        <w:spacing w:after="0" w:line="360" w:lineRule="auto"/>
        <w:rPr>
          <w:rFonts w:eastAsia="Times New Roman" w:cs="Tahoma"/>
          <w:iCs/>
          <w:color w:val="auto"/>
          <w:lang w:val="es-ES" w:eastAsia="es-ES"/>
        </w:rPr>
      </w:pPr>
    </w:p>
    <w:p w14:paraId="49DFDD73" w14:textId="77777777" w:rsidR="00B049CB" w:rsidRPr="0099684E" w:rsidRDefault="00B049CB" w:rsidP="00B049CB">
      <w:pPr>
        <w:spacing w:line="360" w:lineRule="auto"/>
        <w:contextualSpacing/>
        <w:rPr>
          <w:rFonts w:eastAsia="Times New Roman" w:cs="Tahoma"/>
          <w:bCs/>
          <w:iCs/>
          <w:color w:val="auto"/>
          <w:lang w:eastAsia="es-ES"/>
        </w:rPr>
      </w:pPr>
      <w:r w:rsidRPr="0099684E">
        <w:rPr>
          <w:rFonts w:eastAsia="Times New Roman" w:cs="Tahoma"/>
          <w:bCs/>
          <w:iCs/>
          <w:color w:val="auto"/>
          <w:lang w:eastAsia="es-ES"/>
        </w:rPr>
        <w:t>Expuestas las posturas de las partes, se procede analizar el agravio hecho valer por la</w:t>
      </w:r>
    </w:p>
    <w:p w14:paraId="2C3F6A15" w14:textId="77777777" w:rsidR="00B049CB" w:rsidRPr="0099684E" w:rsidRDefault="00B049CB" w:rsidP="00B049CB">
      <w:pPr>
        <w:spacing w:line="360" w:lineRule="auto"/>
        <w:contextualSpacing/>
        <w:rPr>
          <w:rFonts w:eastAsia="Times New Roman" w:cs="Tahoma"/>
          <w:bCs/>
          <w:iCs/>
          <w:color w:val="auto"/>
          <w:lang w:eastAsia="es-ES"/>
        </w:rPr>
      </w:pPr>
      <w:r w:rsidRPr="0099684E">
        <w:rPr>
          <w:rFonts w:eastAsia="Times New Roman" w:cs="Tahoma"/>
          <w:bCs/>
          <w:iCs/>
          <w:color w:val="auto"/>
          <w:lang w:eastAsia="es-ES"/>
        </w:rPr>
        <w:t>persona Recurrente, referente a los datos testados en los recibos de nómina, de cuya</w:t>
      </w:r>
    </w:p>
    <w:p w14:paraId="44FF4318" w14:textId="17D57149" w:rsidR="00A13E67" w:rsidRPr="0099684E" w:rsidRDefault="00B049CB" w:rsidP="00B049CB">
      <w:pPr>
        <w:spacing w:line="360" w:lineRule="auto"/>
        <w:contextualSpacing/>
        <w:rPr>
          <w:rFonts w:eastAsia="Times New Roman" w:cs="Tahoma"/>
          <w:bCs/>
          <w:iCs/>
          <w:color w:val="auto"/>
          <w:lang w:eastAsia="es-ES"/>
        </w:rPr>
      </w:pPr>
      <w:r w:rsidRPr="0099684E">
        <w:rPr>
          <w:rFonts w:eastAsia="Times New Roman" w:cs="Tahoma"/>
          <w:bCs/>
          <w:iCs/>
          <w:color w:val="auto"/>
          <w:lang w:eastAsia="es-ES"/>
        </w:rPr>
        <w:t>revisión se logra vislumbrar que clasificó los datos siguientes:</w:t>
      </w:r>
    </w:p>
    <w:p w14:paraId="122B73B6" w14:textId="77777777" w:rsidR="00B049CB" w:rsidRPr="0099684E" w:rsidRDefault="00B049CB" w:rsidP="00B049CB">
      <w:pPr>
        <w:spacing w:line="360" w:lineRule="auto"/>
        <w:contextualSpacing/>
        <w:rPr>
          <w:rFonts w:eastAsia="Times New Roman" w:cs="Tahoma"/>
          <w:bCs/>
          <w:iCs/>
          <w:color w:val="auto"/>
          <w:lang w:eastAsia="es-ES"/>
        </w:rPr>
      </w:pPr>
    </w:p>
    <w:p w14:paraId="6CC39586" w14:textId="77777777" w:rsidR="00A13E67" w:rsidRPr="0099684E" w:rsidRDefault="00A13E67" w:rsidP="00ED13E2">
      <w:pPr>
        <w:numPr>
          <w:ilvl w:val="0"/>
          <w:numId w:val="2"/>
        </w:numPr>
        <w:autoSpaceDE w:val="0"/>
        <w:autoSpaceDN w:val="0"/>
        <w:adjustRightInd w:val="0"/>
        <w:spacing w:line="360" w:lineRule="auto"/>
        <w:contextualSpacing/>
        <w:rPr>
          <w:rFonts w:cs="Adelle Sans Devanagari"/>
          <w:bCs/>
          <w:lang w:val="es-ES"/>
        </w:rPr>
      </w:pPr>
      <w:r w:rsidRPr="0099684E">
        <w:rPr>
          <w:rFonts w:cs="Adelle Sans Devanagari"/>
          <w:bCs/>
          <w:lang w:val="es-ES"/>
        </w:rPr>
        <w:t>Clave Única de Registro de Población;</w:t>
      </w:r>
    </w:p>
    <w:p w14:paraId="264C15AA" w14:textId="77777777" w:rsidR="00A13E67" w:rsidRPr="0099684E" w:rsidRDefault="00A13E67" w:rsidP="00ED13E2">
      <w:pPr>
        <w:numPr>
          <w:ilvl w:val="0"/>
          <w:numId w:val="2"/>
        </w:numPr>
        <w:autoSpaceDE w:val="0"/>
        <w:autoSpaceDN w:val="0"/>
        <w:adjustRightInd w:val="0"/>
        <w:spacing w:line="360" w:lineRule="auto"/>
        <w:contextualSpacing/>
        <w:rPr>
          <w:rFonts w:cs="Adelle Sans Devanagari"/>
          <w:bCs/>
          <w:iCs/>
          <w:szCs w:val="24"/>
        </w:rPr>
      </w:pPr>
      <w:r w:rsidRPr="0099684E">
        <w:rPr>
          <w:rFonts w:cs="Adelle Sans Devanagari"/>
          <w:bCs/>
          <w:iCs/>
          <w:szCs w:val="24"/>
        </w:rPr>
        <w:t>Registro Federal de Contribuyentes;</w:t>
      </w:r>
    </w:p>
    <w:p w14:paraId="4FE7E875" w14:textId="77777777" w:rsidR="00A13E67" w:rsidRPr="0099684E" w:rsidRDefault="00A13E67" w:rsidP="00ED13E2">
      <w:pPr>
        <w:numPr>
          <w:ilvl w:val="0"/>
          <w:numId w:val="2"/>
        </w:numPr>
        <w:autoSpaceDE w:val="0"/>
        <w:autoSpaceDN w:val="0"/>
        <w:adjustRightInd w:val="0"/>
        <w:spacing w:line="360" w:lineRule="auto"/>
        <w:contextualSpacing/>
        <w:rPr>
          <w:rFonts w:cs="Adelle Sans Devanagari"/>
          <w:bCs/>
          <w:lang w:val="es-ES"/>
        </w:rPr>
      </w:pPr>
      <w:r w:rsidRPr="0099684E">
        <w:rPr>
          <w:rFonts w:cs="Adelle Sans Devanagari"/>
          <w:bCs/>
          <w:lang w:val="es-ES"/>
        </w:rPr>
        <w:t>Código bidimensional o QR;</w:t>
      </w:r>
    </w:p>
    <w:p w14:paraId="0ECDB835" w14:textId="77777777" w:rsidR="00A13E67" w:rsidRPr="0099684E" w:rsidRDefault="00A13E67" w:rsidP="00ED13E2">
      <w:pPr>
        <w:numPr>
          <w:ilvl w:val="0"/>
          <w:numId w:val="2"/>
        </w:numPr>
        <w:autoSpaceDE w:val="0"/>
        <w:autoSpaceDN w:val="0"/>
        <w:adjustRightInd w:val="0"/>
        <w:spacing w:line="360" w:lineRule="auto"/>
        <w:contextualSpacing/>
        <w:rPr>
          <w:rFonts w:cs="Adelle Sans Devanagari"/>
          <w:bCs/>
          <w:lang w:val="es-ES"/>
        </w:rPr>
      </w:pPr>
      <w:r w:rsidRPr="0099684E">
        <w:rPr>
          <w:rFonts w:cs="Adelle Sans Devanagari"/>
          <w:bCs/>
          <w:lang w:val="es-ES"/>
        </w:rPr>
        <w:t>Número de seguridad social del Instituto de Seguridad Social del Estado de México y Municipios;</w:t>
      </w:r>
    </w:p>
    <w:p w14:paraId="10B96DA7" w14:textId="3DCB55E4" w:rsidR="00012078" w:rsidRPr="0099684E" w:rsidRDefault="00012078" w:rsidP="00ED13E2">
      <w:pPr>
        <w:numPr>
          <w:ilvl w:val="0"/>
          <w:numId w:val="2"/>
        </w:numPr>
        <w:autoSpaceDE w:val="0"/>
        <w:autoSpaceDN w:val="0"/>
        <w:adjustRightInd w:val="0"/>
        <w:spacing w:line="360" w:lineRule="auto"/>
        <w:contextualSpacing/>
        <w:rPr>
          <w:rFonts w:cs="Adelle Sans Devanagari"/>
          <w:bCs/>
          <w:lang w:val="es-ES"/>
        </w:rPr>
      </w:pPr>
      <w:r w:rsidRPr="0099684E">
        <w:rPr>
          <w:rFonts w:cs="Adelle Sans Devanagari"/>
          <w:bCs/>
          <w:lang w:val="es-ES"/>
        </w:rPr>
        <w:t>Firma;</w:t>
      </w:r>
    </w:p>
    <w:p w14:paraId="6DFCD8BD" w14:textId="77777777" w:rsidR="00A13E67" w:rsidRPr="0099684E" w:rsidRDefault="00A13E67" w:rsidP="00ED13E2">
      <w:pPr>
        <w:numPr>
          <w:ilvl w:val="0"/>
          <w:numId w:val="2"/>
        </w:numPr>
        <w:autoSpaceDE w:val="0"/>
        <w:autoSpaceDN w:val="0"/>
        <w:adjustRightInd w:val="0"/>
        <w:spacing w:line="360" w:lineRule="auto"/>
        <w:contextualSpacing/>
        <w:rPr>
          <w:rFonts w:cs="Adelle Sans Devanagari"/>
          <w:bCs/>
          <w:lang w:val="es-ES"/>
        </w:rPr>
      </w:pPr>
      <w:r w:rsidRPr="0099684E">
        <w:rPr>
          <w:rFonts w:cs="Adelle Sans Devanagari"/>
          <w:bCs/>
          <w:lang w:val="es-ES"/>
        </w:rPr>
        <w:t xml:space="preserve">Número de empleado; </w:t>
      </w:r>
    </w:p>
    <w:p w14:paraId="016E1F77" w14:textId="62EA2AA7" w:rsidR="00012078" w:rsidRPr="0099684E" w:rsidRDefault="00012078" w:rsidP="00ED13E2">
      <w:pPr>
        <w:numPr>
          <w:ilvl w:val="0"/>
          <w:numId w:val="2"/>
        </w:numPr>
        <w:autoSpaceDE w:val="0"/>
        <w:autoSpaceDN w:val="0"/>
        <w:adjustRightInd w:val="0"/>
        <w:spacing w:line="360" w:lineRule="auto"/>
        <w:contextualSpacing/>
        <w:rPr>
          <w:rFonts w:cs="Adelle Sans Devanagari"/>
          <w:bCs/>
          <w:lang w:val="es-ES"/>
        </w:rPr>
      </w:pPr>
      <w:r w:rsidRPr="0099684E">
        <w:rPr>
          <w:rFonts w:cs="Adelle Sans Devanagari"/>
          <w:bCs/>
          <w:lang w:val="es-ES"/>
        </w:rPr>
        <w:t>Deducciones Personales;</w:t>
      </w:r>
    </w:p>
    <w:p w14:paraId="79A47EDB" w14:textId="74B2F4C9" w:rsidR="00B049CB" w:rsidRPr="0099684E" w:rsidRDefault="00A00E8D" w:rsidP="006704EC">
      <w:pPr>
        <w:numPr>
          <w:ilvl w:val="0"/>
          <w:numId w:val="2"/>
        </w:numPr>
        <w:autoSpaceDE w:val="0"/>
        <w:autoSpaceDN w:val="0"/>
        <w:adjustRightInd w:val="0"/>
        <w:spacing w:line="360" w:lineRule="auto"/>
        <w:contextualSpacing/>
        <w:rPr>
          <w:rFonts w:cs="Adelle Sans Devanagari"/>
          <w:bCs/>
          <w:lang w:val="es-ES"/>
        </w:rPr>
      </w:pPr>
      <w:r w:rsidRPr="0099684E">
        <w:rPr>
          <w:rFonts w:cs="Adelle Sans Devanagari"/>
          <w:bCs/>
          <w:lang w:val="es-ES"/>
        </w:rPr>
        <w:t>Folio fiscal</w:t>
      </w:r>
      <w:r w:rsidR="00B049CB" w:rsidRPr="0099684E">
        <w:rPr>
          <w:rFonts w:cs="Adelle Sans Devanagari"/>
          <w:bCs/>
          <w:lang w:val="es-ES"/>
        </w:rPr>
        <w:t>, y</w:t>
      </w:r>
    </w:p>
    <w:p w14:paraId="100771D6" w14:textId="33CB490E" w:rsidR="00B049CB" w:rsidRPr="0099684E" w:rsidRDefault="00B049CB" w:rsidP="00B049CB">
      <w:pPr>
        <w:numPr>
          <w:ilvl w:val="0"/>
          <w:numId w:val="2"/>
        </w:numPr>
        <w:autoSpaceDE w:val="0"/>
        <w:autoSpaceDN w:val="0"/>
        <w:adjustRightInd w:val="0"/>
        <w:spacing w:line="360" w:lineRule="auto"/>
        <w:contextualSpacing/>
        <w:rPr>
          <w:rFonts w:cs="Adelle Sans Devanagari"/>
          <w:bCs/>
          <w:lang w:val="es-ES"/>
        </w:rPr>
      </w:pPr>
      <w:r w:rsidRPr="0099684E">
        <w:rPr>
          <w:rFonts w:cs="Adelle Sans Devanagari"/>
          <w:bCs/>
          <w:lang w:val="es-ES"/>
        </w:rPr>
        <w:t>Sellos digitales del emisor y del Servicio de Administración Tributaria y cadena original del complemento de certificación digital del órgano previamente señalado; así como los respectivos números de serie de los certificados de sellos digitales.</w:t>
      </w:r>
    </w:p>
    <w:p w14:paraId="36B75C6E" w14:textId="77777777" w:rsidR="00127FD5" w:rsidRPr="0099684E" w:rsidRDefault="00127FD5" w:rsidP="009E7481">
      <w:pPr>
        <w:spacing w:after="0" w:line="360" w:lineRule="auto"/>
        <w:ind w:right="-28"/>
        <w:rPr>
          <w:color w:val="000000"/>
        </w:rPr>
      </w:pPr>
    </w:p>
    <w:p w14:paraId="0050D31F" w14:textId="2D55269F" w:rsidR="00A00E8D" w:rsidRPr="0099684E" w:rsidRDefault="00A00E8D" w:rsidP="009E7481">
      <w:pPr>
        <w:spacing w:after="0" w:line="360" w:lineRule="auto"/>
        <w:ind w:right="-28"/>
        <w:rPr>
          <w:color w:val="000000"/>
        </w:rPr>
      </w:pPr>
      <w:r w:rsidRPr="0099684E">
        <w:rPr>
          <w:color w:val="000000"/>
        </w:rPr>
        <w:t xml:space="preserve">De lo anterior,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w:t>
      </w:r>
      <w:r w:rsidRPr="0099684E">
        <w:rPr>
          <w:color w:val="000000"/>
        </w:rPr>
        <w:lastRenderedPageBreak/>
        <w:t xml:space="preserve">los supuestos de excepción a los principios que rijan el tratamiento de datos, por razones de seguridad nacional, disposiciones de orden público, seguridad y salud públicas o para proteger los derechos de terceros. </w:t>
      </w:r>
    </w:p>
    <w:p w14:paraId="4C79A136" w14:textId="7C3EA141" w:rsidR="00A00E8D" w:rsidRPr="0099684E" w:rsidRDefault="00A00E8D" w:rsidP="00127FD5">
      <w:pPr>
        <w:spacing w:after="0" w:line="360" w:lineRule="auto"/>
        <w:rPr>
          <w:color w:val="000000"/>
        </w:rPr>
      </w:pPr>
    </w:p>
    <w:p w14:paraId="712A708D" w14:textId="77777777" w:rsidR="00A00E8D" w:rsidRPr="0099684E" w:rsidRDefault="00A00E8D" w:rsidP="009E7481">
      <w:pPr>
        <w:spacing w:after="0" w:line="360" w:lineRule="auto"/>
        <w:rPr>
          <w:color w:val="000000"/>
        </w:rPr>
      </w:pPr>
      <w:r w:rsidRPr="0099684E">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042CCC8F" w14:textId="77777777" w:rsidR="00A00E8D" w:rsidRPr="0099684E" w:rsidRDefault="00A00E8D" w:rsidP="009E7481">
      <w:pPr>
        <w:spacing w:after="0" w:line="360" w:lineRule="auto"/>
        <w:rPr>
          <w:color w:val="000000"/>
        </w:rPr>
      </w:pPr>
    </w:p>
    <w:p w14:paraId="45B03CD3" w14:textId="77777777" w:rsidR="00A00E8D" w:rsidRPr="0099684E" w:rsidRDefault="00A00E8D" w:rsidP="009E7481">
      <w:pPr>
        <w:spacing w:after="0" w:line="360" w:lineRule="auto"/>
        <w:rPr>
          <w:color w:val="000000"/>
        </w:rPr>
      </w:pPr>
      <w:r w:rsidRPr="0099684E">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51A514F" w14:textId="77777777" w:rsidR="00A00E8D" w:rsidRPr="0099684E" w:rsidRDefault="00A00E8D" w:rsidP="009E7481">
      <w:pPr>
        <w:spacing w:after="0" w:line="360" w:lineRule="auto"/>
        <w:rPr>
          <w:color w:val="000000"/>
        </w:rPr>
      </w:pPr>
    </w:p>
    <w:p w14:paraId="2DADF155" w14:textId="77777777" w:rsidR="00A00E8D" w:rsidRPr="0099684E" w:rsidRDefault="00A00E8D" w:rsidP="009E7481">
      <w:pPr>
        <w:spacing w:after="0" w:line="360" w:lineRule="auto"/>
        <w:rPr>
          <w:color w:val="000000"/>
        </w:rPr>
      </w:pPr>
      <w:r w:rsidRPr="0099684E">
        <w:rPr>
          <w:color w:val="000000"/>
        </w:rPr>
        <w:t>En términos de lo expuesto, la documentación y aquellos datos que se consideren confidenciales, serán una limitante del derecho de acceso a la información, siempre y cuando:</w:t>
      </w:r>
    </w:p>
    <w:p w14:paraId="0510151C" w14:textId="77777777" w:rsidR="00A00E8D" w:rsidRPr="0099684E" w:rsidRDefault="00A00E8D" w:rsidP="009E7481">
      <w:pPr>
        <w:spacing w:after="0" w:line="360" w:lineRule="auto"/>
        <w:rPr>
          <w:color w:val="000000"/>
        </w:rPr>
      </w:pPr>
    </w:p>
    <w:p w14:paraId="550694BC" w14:textId="77777777" w:rsidR="00A00E8D" w:rsidRPr="0099684E" w:rsidRDefault="00A00E8D" w:rsidP="00ED13E2">
      <w:pPr>
        <w:numPr>
          <w:ilvl w:val="0"/>
          <w:numId w:val="3"/>
        </w:numPr>
        <w:spacing w:after="0" w:line="360" w:lineRule="auto"/>
        <w:rPr>
          <w:color w:val="000000"/>
        </w:rPr>
      </w:pPr>
      <w:r w:rsidRPr="0099684E">
        <w:rPr>
          <w:color w:val="000000"/>
        </w:rPr>
        <w:t xml:space="preserve">Se trate de datos personales o información privada; esto es, información concerniente a una persona física o jurídico colectiva y que esta sea identificada o identificable. </w:t>
      </w:r>
    </w:p>
    <w:p w14:paraId="7884C7A9" w14:textId="77777777" w:rsidR="00A00E8D" w:rsidRPr="0099684E" w:rsidRDefault="00A00E8D" w:rsidP="00ED13E2">
      <w:pPr>
        <w:numPr>
          <w:ilvl w:val="0"/>
          <w:numId w:val="3"/>
        </w:numPr>
        <w:spacing w:after="0" w:line="360" w:lineRule="auto"/>
        <w:rPr>
          <w:color w:val="000000"/>
        </w:rPr>
      </w:pPr>
      <w:r w:rsidRPr="0099684E">
        <w:rPr>
          <w:color w:val="000000"/>
        </w:rPr>
        <w:t xml:space="preserve">Para la difusión de los datos, se requiera el consentimiento del titular. </w:t>
      </w:r>
    </w:p>
    <w:p w14:paraId="18EC96A8" w14:textId="77777777" w:rsidR="00A00E8D" w:rsidRPr="0099684E" w:rsidRDefault="00A00E8D" w:rsidP="009E7481">
      <w:pPr>
        <w:spacing w:after="0" w:line="360" w:lineRule="auto"/>
        <w:rPr>
          <w:color w:val="000000"/>
        </w:rPr>
      </w:pPr>
    </w:p>
    <w:p w14:paraId="475C730A" w14:textId="77777777" w:rsidR="00A00E8D" w:rsidRPr="0099684E" w:rsidRDefault="00A00E8D" w:rsidP="009E7481">
      <w:pPr>
        <w:spacing w:after="0" w:line="360" w:lineRule="auto"/>
        <w:rPr>
          <w:color w:val="000000"/>
        </w:rPr>
      </w:pPr>
      <w:r w:rsidRPr="0099684E">
        <w:rPr>
          <w:color w:val="000000"/>
        </w:rPr>
        <w:t xml:space="preserve">En ese orden de ideas, de conformidad con el artículo 3°, fracción IX, de la Ley de Transparencia y Acceso a la Información Pública del Estado de México y Municipios, con relación el diverso </w:t>
      </w:r>
      <w:r w:rsidRPr="0099684E">
        <w:rPr>
          <w:color w:val="000000"/>
        </w:rPr>
        <w:lastRenderedPageBreak/>
        <w:t xml:space="preserve">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0B60F77" w14:textId="77777777" w:rsidR="00A00E8D" w:rsidRPr="0099684E" w:rsidRDefault="00A00E8D" w:rsidP="009E7481">
      <w:pPr>
        <w:spacing w:after="0" w:line="360" w:lineRule="auto"/>
        <w:rPr>
          <w:color w:val="000000"/>
        </w:rPr>
      </w:pPr>
    </w:p>
    <w:p w14:paraId="7E1CDF2A" w14:textId="2B1B84E0" w:rsidR="00A00E8D" w:rsidRPr="0099684E" w:rsidRDefault="00A00E8D" w:rsidP="009E7481">
      <w:pPr>
        <w:spacing w:after="0" w:line="360" w:lineRule="auto"/>
        <w:rPr>
          <w:color w:val="000000"/>
        </w:rPr>
      </w:pPr>
      <w:r w:rsidRPr="0099684E">
        <w:rPr>
          <w:color w:val="000000"/>
        </w:rPr>
        <w:t>Bajo ese contexto, se analizarán si los datos mencionados, deben ser considerados confidenciales, en términos del artículo 143, fracción I, de la Ley de Transparencia y Acceso a la Información Pública del Estado de México y Municipios, o públicos.</w:t>
      </w:r>
    </w:p>
    <w:p w14:paraId="31EB85F1" w14:textId="77777777" w:rsidR="00A13E67" w:rsidRPr="0099684E" w:rsidRDefault="00A13E67" w:rsidP="009E7481">
      <w:pPr>
        <w:spacing w:after="0" w:line="360" w:lineRule="auto"/>
        <w:rPr>
          <w:color w:val="000000"/>
        </w:rPr>
      </w:pPr>
    </w:p>
    <w:p w14:paraId="5D90783B" w14:textId="77777777" w:rsidR="00F94E72" w:rsidRPr="0099684E" w:rsidRDefault="00F94E72" w:rsidP="00ED13E2">
      <w:pPr>
        <w:numPr>
          <w:ilvl w:val="0"/>
          <w:numId w:val="4"/>
        </w:numPr>
        <w:spacing w:after="0" w:line="360" w:lineRule="auto"/>
        <w:rPr>
          <w:b/>
          <w:color w:val="000000"/>
        </w:rPr>
      </w:pPr>
      <w:r w:rsidRPr="0099684E">
        <w:rPr>
          <w:b/>
          <w:color w:val="000000"/>
        </w:rPr>
        <w:t>Clave Única de Registro de Población (CURP)</w:t>
      </w:r>
    </w:p>
    <w:p w14:paraId="0A61459B" w14:textId="77777777" w:rsidR="00F94E72" w:rsidRPr="0099684E" w:rsidRDefault="00F94E72" w:rsidP="00F94E72">
      <w:pPr>
        <w:spacing w:after="0" w:line="360" w:lineRule="auto"/>
        <w:rPr>
          <w:color w:val="000000"/>
        </w:rPr>
      </w:pPr>
    </w:p>
    <w:p w14:paraId="50B7FA70" w14:textId="77777777" w:rsidR="00F94E72" w:rsidRPr="0099684E" w:rsidRDefault="00F94E72" w:rsidP="00F94E72">
      <w:pPr>
        <w:spacing w:after="0" w:line="360" w:lineRule="auto"/>
        <w:rPr>
          <w:color w:val="000000"/>
        </w:rPr>
      </w:pPr>
      <w:r w:rsidRPr="0099684E">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3D0F7E31" w14:textId="77777777" w:rsidR="00F94E72" w:rsidRPr="0099684E" w:rsidRDefault="00F94E72" w:rsidP="00F94E72">
      <w:pPr>
        <w:spacing w:after="0" w:line="360" w:lineRule="auto"/>
        <w:rPr>
          <w:color w:val="000000"/>
        </w:rPr>
      </w:pPr>
    </w:p>
    <w:p w14:paraId="16690009" w14:textId="77777777" w:rsidR="00F94E72" w:rsidRPr="0099684E" w:rsidRDefault="00F94E72" w:rsidP="00F94E72">
      <w:pPr>
        <w:spacing w:after="0" w:line="360" w:lineRule="auto"/>
        <w:rPr>
          <w:color w:val="000000"/>
        </w:rPr>
      </w:pPr>
      <w:r w:rsidRPr="0099684E">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53311C4" w14:textId="77777777" w:rsidR="00F94E72" w:rsidRPr="0099684E" w:rsidRDefault="00F94E72" w:rsidP="00F94E72">
      <w:pPr>
        <w:spacing w:after="0" w:line="360" w:lineRule="auto"/>
        <w:rPr>
          <w:color w:val="000000"/>
        </w:rPr>
      </w:pPr>
    </w:p>
    <w:p w14:paraId="233D6465" w14:textId="77777777" w:rsidR="00F94E72" w:rsidRPr="0099684E" w:rsidRDefault="00F94E72" w:rsidP="00F94E72">
      <w:pPr>
        <w:spacing w:after="0" w:line="360" w:lineRule="auto"/>
        <w:rPr>
          <w:color w:val="000000"/>
        </w:rPr>
      </w:pPr>
      <w:r w:rsidRPr="0099684E">
        <w:rPr>
          <w:color w:val="000000"/>
        </w:rPr>
        <w:t xml:space="preserve">En ese orden de ideas, la Secretaría de Gobernación en las direcciones </w:t>
      </w:r>
      <w:hyperlink r:id="rId8" w:history="1">
        <w:r w:rsidRPr="0099684E">
          <w:rPr>
            <w:rStyle w:val="Hipervnculo"/>
            <w:color w:val="0563C1"/>
          </w:rPr>
          <w:t>https://consultas.curp.gob.mx/CurpSP/html/informacionecurpPS.html</w:t>
        </w:r>
      </w:hyperlink>
      <w:r w:rsidRPr="0099684E">
        <w:rPr>
          <w:color w:val="000000"/>
        </w:rPr>
        <w:t xml:space="preserve"> y </w:t>
      </w:r>
      <w:hyperlink r:id="rId9" w:history="1">
        <w:r w:rsidRPr="0099684E">
          <w:rPr>
            <w:rStyle w:val="Hipervnculo"/>
            <w:color w:val="0563C1"/>
          </w:rPr>
          <w:t>https://www.gob.mx/segob/renapo/acciones-y-programas/clave-unica-de-registro-de-poblacion-curp-142226</w:t>
        </w:r>
      </w:hyperlink>
      <w:r w:rsidRPr="0099684E">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99684E">
        <w:rPr>
          <w:b/>
          <w:color w:val="000000"/>
        </w:rPr>
        <w:t>se generan a partir de los datos contenidos en el documento probatorio de la identidad</w:t>
      </w:r>
      <w:r w:rsidRPr="0099684E">
        <w:rPr>
          <w:color w:val="000000"/>
        </w:rPr>
        <w:t xml:space="preserve"> </w:t>
      </w:r>
      <w:r w:rsidRPr="0099684E">
        <w:rPr>
          <w:b/>
          <w:color w:val="000000"/>
        </w:rPr>
        <w:t xml:space="preserve">del interesado </w:t>
      </w:r>
      <w:r w:rsidRPr="0099684E">
        <w:rPr>
          <w:color w:val="000000"/>
        </w:rPr>
        <w:t>(acta de nacimiento, carta de naturalización o documento migratorio) de la siguiente forma:</w:t>
      </w:r>
    </w:p>
    <w:p w14:paraId="05414884" w14:textId="77777777" w:rsidR="00F94E72" w:rsidRPr="0099684E" w:rsidRDefault="00F94E72" w:rsidP="00F94E72">
      <w:pPr>
        <w:spacing w:after="0" w:line="360" w:lineRule="auto"/>
        <w:rPr>
          <w:color w:val="000000"/>
        </w:rPr>
      </w:pPr>
    </w:p>
    <w:p w14:paraId="3487B0EB" w14:textId="77777777" w:rsidR="00F94E72" w:rsidRPr="0099684E" w:rsidRDefault="00F94E72" w:rsidP="00ED13E2">
      <w:pPr>
        <w:numPr>
          <w:ilvl w:val="0"/>
          <w:numId w:val="5"/>
        </w:numPr>
        <w:spacing w:after="0" w:line="360" w:lineRule="auto"/>
        <w:rPr>
          <w:color w:val="000000"/>
        </w:rPr>
      </w:pPr>
      <w:r w:rsidRPr="0099684E">
        <w:rPr>
          <w:color w:val="000000"/>
        </w:rPr>
        <w:t>El primero y segundo apellidos, así como al nombre de pila;</w:t>
      </w:r>
    </w:p>
    <w:p w14:paraId="549AED5A" w14:textId="77777777" w:rsidR="00F94E72" w:rsidRPr="0099684E" w:rsidRDefault="00F94E72" w:rsidP="00ED13E2">
      <w:pPr>
        <w:numPr>
          <w:ilvl w:val="0"/>
          <w:numId w:val="5"/>
        </w:numPr>
        <w:spacing w:after="0" w:line="360" w:lineRule="auto"/>
        <w:rPr>
          <w:color w:val="000000"/>
        </w:rPr>
      </w:pPr>
      <w:r w:rsidRPr="0099684E">
        <w:rPr>
          <w:color w:val="000000"/>
        </w:rPr>
        <w:t>La fecha de nacimiento;</w:t>
      </w:r>
    </w:p>
    <w:p w14:paraId="5690888F" w14:textId="77777777" w:rsidR="00F94E72" w:rsidRPr="0099684E" w:rsidRDefault="00F94E72" w:rsidP="00ED13E2">
      <w:pPr>
        <w:numPr>
          <w:ilvl w:val="0"/>
          <w:numId w:val="5"/>
        </w:numPr>
        <w:spacing w:after="0" w:line="360" w:lineRule="auto"/>
        <w:rPr>
          <w:color w:val="000000"/>
        </w:rPr>
      </w:pPr>
      <w:r w:rsidRPr="0099684E">
        <w:rPr>
          <w:color w:val="000000"/>
        </w:rPr>
        <w:t>El sexo, y</w:t>
      </w:r>
    </w:p>
    <w:p w14:paraId="01D3C140" w14:textId="77777777" w:rsidR="00F94E72" w:rsidRPr="0099684E" w:rsidRDefault="00F94E72" w:rsidP="00ED13E2">
      <w:pPr>
        <w:numPr>
          <w:ilvl w:val="0"/>
          <w:numId w:val="5"/>
        </w:numPr>
        <w:spacing w:after="0" w:line="360" w:lineRule="auto"/>
        <w:rPr>
          <w:color w:val="000000"/>
        </w:rPr>
      </w:pPr>
      <w:r w:rsidRPr="0099684E">
        <w:rPr>
          <w:color w:val="000000"/>
        </w:rPr>
        <w:t>La entidad federativa de nacimiento.</w:t>
      </w:r>
    </w:p>
    <w:p w14:paraId="33A96BEC" w14:textId="77777777" w:rsidR="00F94E72" w:rsidRPr="0099684E" w:rsidRDefault="00F94E72" w:rsidP="00F94E72">
      <w:pPr>
        <w:spacing w:after="0" w:line="360" w:lineRule="auto"/>
        <w:rPr>
          <w:color w:val="000000"/>
        </w:rPr>
      </w:pPr>
    </w:p>
    <w:p w14:paraId="059E1502" w14:textId="77777777" w:rsidR="00F94E72" w:rsidRPr="0099684E" w:rsidRDefault="00F94E72" w:rsidP="00F94E72">
      <w:pPr>
        <w:spacing w:after="0" w:line="360" w:lineRule="auto"/>
        <w:rPr>
          <w:color w:val="000000"/>
        </w:rPr>
      </w:pPr>
      <w:r w:rsidRPr="0099684E">
        <w:rPr>
          <w:color w:val="000000"/>
        </w:rPr>
        <w:t>Los dos últimos elementos de la Clave Única de Registro de Población evitan la duplicidad de la Clave y garantizan su correcta integración.</w:t>
      </w:r>
    </w:p>
    <w:p w14:paraId="1C9890CC" w14:textId="77777777" w:rsidR="00F94E72" w:rsidRPr="0099684E" w:rsidRDefault="00F94E72" w:rsidP="00F94E72">
      <w:pPr>
        <w:spacing w:after="0" w:line="360" w:lineRule="auto"/>
        <w:rPr>
          <w:color w:val="000000"/>
        </w:rPr>
      </w:pPr>
    </w:p>
    <w:p w14:paraId="23F795E3" w14:textId="77777777" w:rsidR="00F94E72" w:rsidRPr="0099684E" w:rsidRDefault="00F94E72" w:rsidP="00F94E72">
      <w:pPr>
        <w:spacing w:after="0" w:line="360" w:lineRule="auto"/>
        <w:rPr>
          <w:color w:val="000000"/>
        </w:rPr>
      </w:pPr>
      <w:r w:rsidRPr="0099684E">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C3DECA5" w14:textId="77777777" w:rsidR="00F94E72" w:rsidRPr="0099684E" w:rsidRDefault="00F94E72" w:rsidP="00F94E72">
      <w:pPr>
        <w:spacing w:after="0" w:line="360" w:lineRule="auto"/>
        <w:rPr>
          <w:color w:val="000000"/>
        </w:rPr>
      </w:pPr>
    </w:p>
    <w:p w14:paraId="1EAC6536" w14:textId="43A5A1EF" w:rsidR="00F94E72" w:rsidRPr="0099684E" w:rsidRDefault="00F94E72" w:rsidP="00F94E72">
      <w:pPr>
        <w:spacing w:after="0" w:line="360" w:lineRule="auto"/>
        <w:rPr>
          <w:color w:val="000000"/>
        </w:rPr>
      </w:pPr>
      <w:r w:rsidRPr="0099684E">
        <w:rPr>
          <w:color w:val="000000"/>
        </w:rPr>
        <w:t xml:space="preserve">Situación que se robustece, con el Criterio </w:t>
      </w:r>
      <w:r w:rsidR="00B049CB" w:rsidRPr="0099684E">
        <w:rPr>
          <w:color w:val="000000"/>
        </w:rPr>
        <w:t>Orientador</w:t>
      </w:r>
      <w:r w:rsidRPr="0099684E">
        <w:rPr>
          <w:color w:val="000000"/>
        </w:rPr>
        <w:t xml:space="preserve">, de la Segunda Época, con número de registro SO/018/2017, emitido por el entonces Instituto Nacional de Transparencia, Acceso a la </w:t>
      </w:r>
      <w:r w:rsidRPr="0099684E">
        <w:rPr>
          <w:color w:val="000000"/>
        </w:rPr>
        <w:lastRenderedPageBreak/>
        <w:t>Información y Protección de Datos Personales</w:t>
      </w:r>
      <w:r w:rsidR="00B049CB" w:rsidRPr="0099684E">
        <w:rPr>
          <w:color w:val="000000"/>
        </w:rPr>
        <w:t>, vigente a la fecha de la solicitud</w:t>
      </w:r>
      <w:r w:rsidRPr="0099684E">
        <w:rPr>
          <w:color w:val="000000"/>
        </w:rPr>
        <w:t>, que establece lo siguiente:</w:t>
      </w:r>
    </w:p>
    <w:p w14:paraId="56B3986A" w14:textId="77777777" w:rsidR="00F94E72" w:rsidRPr="0099684E" w:rsidRDefault="00F94E72" w:rsidP="00F94E72">
      <w:pPr>
        <w:spacing w:after="0" w:line="360" w:lineRule="auto"/>
        <w:ind w:left="567" w:right="567"/>
        <w:rPr>
          <w:color w:val="000000"/>
          <w:sz w:val="20"/>
          <w:szCs w:val="20"/>
        </w:rPr>
      </w:pPr>
    </w:p>
    <w:p w14:paraId="42EB0581" w14:textId="77777777" w:rsidR="00F94E72" w:rsidRPr="0099684E" w:rsidRDefault="00F94E72" w:rsidP="00F94E72">
      <w:pPr>
        <w:spacing w:after="0" w:line="360" w:lineRule="auto"/>
        <w:ind w:left="567" w:right="567"/>
        <w:rPr>
          <w:i/>
          <w:color w:val="000000"/>
          <w:sz w:val="20"/>
          <w:szCs w:val="20"/>
        </w:rPr>
      </w:pPr>
      <w:r w:rsidRPr="0099684E">
        <w:rPr>
          <w:b/>
          <w:i/>
          <w:color w:val="000000"/>
          <w:sz w:val="20"/>
          <w:szCs w:val="20"/>
        </w:rPr>
        <w:t xml:space="preserve">“Clave Única de Registro de Población (CURP). </w:t>
      </w:r>
      <w:r w:rsidRPr="0099684E">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D3F0E63" w14:textId="77777777" w:rsidR="00F94E72" w:rsidRPr="0099684E" w:rsidRDefault="00F94E72" w:rsidP="00F94E72">
      <w:pPr>
        <w:spacing w:after="0" w:line="360" w:lineRule="auto"/>
        <w:rPr>
          <w:color w:val="000000"/>
        </w:rPr>
      </w:pPr>
    </w:p>
    <w:p w14:paraId="0717D4B8" w14:textId="77777777" w:rsidR="00F94E72" w:rsidRPr="0099684E" w:rsidRDefault="00F94E72" w:rsidP="00F94E72">
      <w:pPr>
        <w:spacing w:after="0" w:line="360" w:lineRule="auto"/>
        <w:rPr>
          <w:color w:val="000000"/>
        </w:rPr>
      </w:pPr>
      <w:r w:rsidRPr="0099684E">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384847C6" w14:textId="77777777" w:rsidR="00F94E72" w:rsidRPr="0099684E" w:rsidRDefault="00F94E72" w:rsidP="00F94E72">
      <w:pPr>
        <w:spacing w:after="0" w:line="360" w:lineRule="auto"/>
        <w:rPr>
          <w:color w:val="000000"/>
        </w:rPr>
      </w:pPr>
    </w:p>
    <w:p w14:paraId="47F641DC" w14:textId="77777777" w:rsidR="00F94E72" w:rsidRPr="0099684E" w:rsidRDefault="00F94E72" w:rsidP="00ED13E2">
      <w:pPr>
        <w:numPr>
          <w:ilvl w:val="0"/>
          <w:numId w:val="4"/>
        </w:numPr>
        <w:spacing w:after="0" w:line="360" w:lineRule="auto"/>
        <w:rPr>
          <w:b/>
          <w:color w:val="000000"/>
        </w:rPr>
      </w:pPr>
      <w:r w:rsidRPr="0099684E">
        <w:rPr>
          <w:b/>
          <w:color w:val="000000"/>
        </w:rPr>
        <w:t>Registro Federal de Contribuyentes (RFC)</w:t>
      </w:r>
    </w:p>
    <w:p w14:paraId="4D4960F9" w14:textId="77777777" w:rsidR="00F94E72" w:rsidRPr="0099684E" w:rsidRDefault="00F94E72" w:rsidP="00F94E72">
      <w:pPr>
        <w:spacing w:after="0" w:line="360" w:lineRule="auto"/>
        <w:rPr>
          <w:color w:val="000000"/>
        </w:rPr>
      </w:pPr>
    </w:p>
    <w:p w14:paraId="131A1850" w14:textId="77777777" w:rsidR="00F94E72" w:rsidRPr="0099684E" w:rsidRDefault="00F94E72" w:rsidP="00F94E72">
      <w:pPr>
        <w:spacing w:after="0" w:line="360" w:lineRule="auto"/>
        <w:rPr>
          <w:color w:val="000000"/>
        </w:rPr>
      </w:pPr>
      <w:r w:rsidRPr="0099684E">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B235F18" w14:textId="77777777" w:rsidR="00F94E72" w:rsidRPr="0099684E" w:rsidRDefault="00F94E72" w:rsidP="00F94E72">
      <w:pPr>
        <w:spacing w:after="0" w:line="360" w:lineRule="auto"/>
        <w:rPr>
          <w:color w:val="000000"/>
        </w:rPr>
      </w:pPr>
    </w:p>
    <w:p w14:paraId="47041819" w14:textId="77777777" w:rsidR="00F94E72" w:rsidRPr="0099684E" w:rsidRDefault="00F94E72" w:rsidP="00F94E72">
      <w:pPr>
        <w:spacing w:after="0" w:line="360" w:lineRule="auto"/>
        <w:rPr>
          <w:color w:val="000000"/>
        </w:rPr>
      </w:pPr>
      <w:r w:rsidRPr="0099684E">
        <w:rPr>
          <w:color w:val="000000"/>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031D6502" w14:textId="77777777" w:rsidR="00F94E72" w:rsidRPr="0099684E" w:rsidRDefault="00F94E72" w:rsidP="00F94E72">
      <w:pPr>
        <w:spacing w:after="0" w:line="360" w:lineRule="auto"/>
        <w:rPr>
          <w:color w:val="000000"/>
        </w:rPr>
      </w:pPr>
    </w:p>
    <w:p w14:paraId="19B89CC0" w14:textId="77777777" w:rsidR="00F94E72" w:rsidRPr="0099684E" w:rsidRDefault="00F94E72" w:rsidP="00F94E72">
      <w:pPr>
        <w:spacing w:after="0" w:line="360" w:lineRule="auto"/>
        <w:rPr>
          <w:color w:val="000000"/>
        </w:rPr>
      </w:pPr>
      <w:r w:rsidRPr="0099684E">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A622CDF" w14:textId="77777777" w:rsidR="00F94E72" w:rsidRPr="0099684E" w:rsidRDefault="00F94E72" w:rsidP="00F94E72">
      <w:pPr>
        <w:spacing w:after="0" w:line="360" w:lineRule="auto"/>
        <w:rPr>
          <w:color w:val="000000"/>
        </w:rPr>
      </w:pPr>
    </w:p>
    <w:p w14:paraId="03603D8F" w14:textId="77777777" w:rsidR="00F94E72" w:rsidRPr="0099684E" w:rsidRDefault="00F94E72" w:rsidP="00F94E72">
      <w:pPr>
        <w:spacing w:after="0" w:line="360" w:lineRule="auto"/>
        <w:rPr>
          <w:color w:val="000000"/>
        </w:rPr>
      </w:pPr>
      <w:r w:rsidRPr="0099684E">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1E26428F" w14:textId="77777777" w:rsidR="00F94E72" w:rsidRPr="0099684E" w:rsidRDefault="00F94E72" w:rsidP="00F94E72">
      <w:pPr>
        <w:spacing w:after="0" w:line="360" w:lineRule="auto"/>
        <w:rPr>
          <w:color w:val="000000"/>
        </w:rPr>
      </w:pPr>
    </w:p>
    <w:p w14:paraId="3CD436D9" w14:textId="6C529ED6" w:rsidR="00F94E72" w:rsidRPr="0099684E" w:rsidRDefault="00F94E72" w:rsidP="00F94E72">
      <w:pPr>
        <w:spacing w:after="0" w:line="360" w:lineRule="auto"/>
        <w:rPr>
          <w:color w:val="000000"/>
        </w:rPr>
      </w:pPr>
      <w:r w:rsidRPr="0099684E">
        <w:rPr>
          <w:color w:val="000000"/>
        </w:rPr>
        <w:t xml:space="preserve">Lo anterior, resulta congruente con el Criterio </w:t>
      </w:r>
      <w:r w:rsidR="00B049CB" w:rsidRPr="0099684E">
        <w:rPr>
          <w:color w:val="000000"/>
        </w:rPr>
        <w:t>Orientador</w:t>
      </w:r>
      <w:r w:rsidRPr="0099684E">
        <w:rPr>
          <w:color w:val="000000"/>
        </w:rPr>
        <w:t>, de la Segunda Época, con número de registro SO/019/2017, emitido por el entonces Instituto Nacional de Transparencia, Acceso a la Información y Protección de Datos Personales</w:t>
      </w:r>
      <w:r w:rsidR="00B049CB" w:rsidRPr="0099684E">
        <w:rPr>
          <w:color w:val="000000"/>
        </w:rPr>
        <w:t>, vigente a la fecha de la solicitud</w:t>
      </w:r>
      <w:r w:rsidRPr="0099684E">
        <w:rPr>
          <w:color w:val="000000"/>
        </w:rPr>
        <w:t>, en el cual se señala lo siguiente:</w:t>
      </w:r>
    </w:p>
    <w:p w14:paraId="344906F0" w14:textId="77777777" w:rsidR="00F94E72" w:rsidRPr="0099684E" w:rsidRDefault="00F94E72" w:rsidP="00F94E72">
      <w:pPr>
        <w:spacing w:after="0" w:line="360" w:lineRule="auto"/>
        <w:rPr>
          <w:color w:val="000000"/>
        </w:rPr>
      </w:pPr>
    </w:p>
    <w:p w14:paraId="709BF270" w14:textId="77777777" w:rsidR="00F94E72" w:rsidRPr="0099684E" w:rsidRDefault="00F94E72" w:rsidP="00F94E72">
      <w:pPr>
        <w:spacing w:after="0" w:line="360" w:lineRule="auto"/>
        <w:ind w:left="567" w:right="567"/>
        <w:rPr>
          <w:i/>
          <w:color w:val="000000"/>
          <w:sz w:val="20"/>
          <w:szCs w:val="20"/>
        </w:rPr>
      </w:pPr>
      <w:r w:rsidRPr="0099684E">
        <w:rPr>
          <w:b/>
          <w:i/>
          <w:color w:val="000000"/>
          <w:sz w:val="20"/>
          <w:szCs w:val="20"/>
        </w:rPr>
        <w:t>“Registro Federal de Contribuyentes (RFC) de personas físicas.</w:t>
      </w:r>
      <w:r w:rsidRPr="0099684E">
        <w:rPr>
          <w:i/>
          <w:color w:val="000000"/>
          <w:sz w:val="20"/>
          <w:szCs w:val="20"/>
        </w:rPr>
        <w:t xml:space="preserve"> El RFC es una clave de carácter fiscal, única e irrepetible, que permite identificar al titular, su edad y fecha de nacimiento, por lo que es un dato personal de carácter confidencial.”</w:t>
      </w:r>
    </w:p>
    <w:p w14:paraId="29B096F1" w14:textId="77777777" w:rsidR="00F94E72" w:rsidRPr="0099684E" w:rsidRDefault="00F94E72" w:rsidP="00F94E72">
      <w:pPr>
        <w:spacing w:after="0" w:line="360" w:lineRule="auto"/>
        <w:rPr>
          <w:color w:val="000000"/>
        </w:rPr>
      </w:pPr>
    </w:p>
    <w:p w14:paraId="769B76E3" w14:textId="77777777" w:rsidR="00F94E72" w:rsidRPr="0099684E" w:rsidRDefault="00F94E72" w:rsidP="00F94E72">
      <w:pPr>
        <w:spacing w:after="0" w:line="360" w:lineRule="auto"/>
        <w:rPr>
          <w:color w:val="000000"/>
        </w:rPr>
      </w:pPr>
      <w:r w:rsidRPr="0099684E">
        <w:rPr>
          <w:color w:val="000000"/>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99684E">
        <w:rPr>
          <w:color w:val="000000"/>
        </w:rPr>
        <w:lastRenderedPageBreak/>
        <w:t>actualizar el supuesto normativo del artículo 143, fracción I, de la Ley de Transparencia y Acceso a la Información Pública del Estado de México y Municipios.</w:t>
      </w:r>
    </w:p>
    <w:p w14:paraId="276B61B7" w14:textId="77777777" w:rsidR="00F94E72" w:rsidRPr="0099684E" w:rsidRDefault="00F94E72" w:rsidP="00F94E72">
      <w:pPr>
        <w:spacing w:after="0" w:line="360" w:lineRule="auto"/>
        <w:contextualSpacing/>
        <w:jc w:val="left"/>
        <w:rPr>
          <w:rFonts w:eastAsia="Times New Roman" w:cs="Tahoma"/>
          <w:b/>
          <w:color w:val="auto"/>
          <w:kern w:val="2"/>
          <w:lang w:eastAsia="es-ES"/>
          <w14:ligatures w14:val="standardContextual"/>
        </w:rPr>
      </w:pPr>
    </w:p>
    <w:p w14:paraId="0D73412B" w14:textId="77777777" w:rsidR="004F56E1" w:rsidRPr="0099684E" w:rsidRDefault="004F56E1" w:rsidP="00ED13E2">
      <w:pPr>
        <w:numPr>
          <w:ilvl w:val="0"/>
          <w:numId w:val="6"/>
        </w:numPr>
        <w:spacing w:after="0" w:line="360" w:lineRule="auto"/>
        <w:contextualSpacing/>
        <w:jc w:val="left"/>
        <w:rPr>
          <w:rFonts w:eastAsia="Times New Roman" w:cs="Tahoma"/>
          <w:b/>
          <w:color w:val="auto"/>
          <w:kern w:val="2"/>
          <w:lang w:eastAsia="es-ES"/>
          <w14:ligatures w14:val="standardContextual"/>
        </w:rPr>
      </w:pPr>
      <w:r w:rsidRPr="0099684E">
        <w:rPr>
          <w:rFonts w:eastAsia="Times New Roman" w:cs="Tahoma"/>
          <w:b/>
          <w:color w:val="auto"/>
          <w:kern w:val="2"/>
          <w:lang w:eastAsia="es-ES"/>
          <w14:ligatures w14:val="standardContextual"/>
        </w:rPr>
        <w:t>Número de empleado</w:t>
      </w:r>
    </w:p>
    <w:p w14:paraId="1997D5E1" w14:textId="77777777" w:rsidR="004F56E1" w:rsidRPr="0099684E" w:rsidRDefault="004F56E1" w:rsidP="009E7481">
      <w:pPr>
        <w:spacing w:after="0" w:line="360" w:lineRule="auto"/>
        <w:rPr>
          <w:rFonts w:eastAsia="Times New Roman" w:cs="Tahoma"/>
          <w:b/>
          <w:color w:val="auto"/>
          <w:lang w:eastAsia="es-ES"/>
        </w:rPr>
      </w:pPr>
    </w:p>
    <w:p w14:paraId="70F4E89C" w14:textId="77777777" w:rsidR="004F56E1" w:rsidRPr="0099684E" w:rsidRDefault="004F56E1" w:rsidP="009E7481">
      <w:pPr>
        <w:spacing w:after="0" w:line="360" w:lineRule="auto"/>
        <w:rPr>
          <w:rFonts w:eastAsia="Calibri" w:cs="Tahoma"/>
          <w:bCs/>
          <w:iCs/>
          <w:color w:val="auto"/>
          <w:lang w:eastAsia="es-ES"/>
        </w:rPr>
      </w:pPr>
      <w:r w:rsidRPr="0099684E">
        <w:rPr>
          <w:rFonts w:eastAsia="Calibri" w:cs="Tahoma"/>
          <w:bCs/>
          <w:iCs/>
          <w:color w:val="auto"/>
          <w:lang w:eastAsia="es-ES"/>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7E8C9AA2" w14:textId="77777777" w:rsidR="004F56E1" w:rsidRPr="0099684E" w:rsidRDefault="004F56E1" w:rsidP="009E7481">
      <w:pPr>
        <w:spacing w:after="0" w:line="360" w:lineRule="auto"/>
        <w:rPr>
          <w:rFonts w:eastAsia="Calibri" w:cs="Tahoma"/>
          <w:bCs/>
          <w:iCs/>
          <w:color w:val="auto"/>
          <w:lang w:eastAsia="es-ES"/>
        </w:rPr>
      </w:pPr>
    </w:p>
    <w:p w14:paraId="731543B1" w14:textId="77777777" w:rsidR="004F56E1" w:rsidRPr="0099684E" w:rsidRDefault="004F56E1" w:rsidP="009E7481">
      <w:pPr>
        <w:spacing w:after="0" w:line="360" w:lineRule="auto"/>
        <w:rPr>
          <w:rFonts w:eastAsia="Calibri" w:cs="Tahoma"/>
          <w:bCs/>
          <w:iCs/>
          <w:color w:val="auto"/>
          <w:lang w:eastAsia="es-ES"/>
        </w:rPr>
      </w:pPr>
      <w:r w:rsidRPr="0099684E">
        <w:rPr>
          <w:rFonts w:eastAsia="Calibri" w:cs="Tahoma"/>
          <w:bCs/>
          <w:iCs/>
          <w:color w:val="auto"/>
          <w:lang w:eastAsia="es-ES"/>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11D2CD79" w14:textId="77777777" w:rsidR="004F56E1" w:rsidRPr="0099684E" w:rsidRDefault="004F56E1" w:rsidP="009E7481">
      <w:pPr>
        <w:spacing w:after="0" w:line="360" w:lineRule="auto"/>
        <w:rPr>
          <w:rFonts w:eastAsia="Calibri" w:cs="Tahoma"/>
          <w:bCs/>
          <w:iCs/>
          <w:color w:val="auto"/>
          <w:lang w:eastAsia="es-ES"/>
        </w:rPr>
      </w:pPr>
    </w:p>
    <w:p w14:paraId="5F214B49" w14:textId="6CCF4D4B" w:rsidR="004F56E1" w:rsidRPr="0099684E" w:rsidRDefault="004F56E1" w:rsidP="009E7481">
      <w:pPr>
        <w:spacing w:after="0" w:line="360" w:lineRule="auto"/>
        <w:contextualSpacing/>
        <w:rPr>
          <w:rFonts w:eastAsia="Calibri" w:cs="Tahoma"/>
          <w:bCs/>
          <w:iCs/>
          <w:color w:val="auto"/>
        </w:rPr>
      </w:pPr>
      <w:r w:rsidRPr="0099684E">
        <w:rPr>
          <w:rFonts w:eastAsia="Calibri" w:cs="Tahoma"/>
          <w:bCs/>
          <w:iCs/>
          <w:color w:val="auto"/>
        </w:rPr>
        <w:t xml:space="preserve">Lo anterior, toma sustento en el </w:t>
      </w:r>
      <w:r w:rsidRPr="0099684E">
        <w:rPr>
          <w:rFonts w:eastAsia="Calibri" w:cs="Tahoma"/>
          <w:bCs/>
          <w:color w:val="auto"/>
          <w:lang w:val="es-ES"/>
        </w:rPr>
        <w:t xml:space="preserve">Criterio </w:t>
      </w:r>
      <w:r w:rsidR="004F25E8" w:rsidRPr="0099684E">
        <w:rPr>
          <w:rFonts w:eastAsia="Calibri" w:cs="Tahoma"/>
          <w:bCs/>
          <w:color w:val="auto"/>
          <w:lang w:val="es-ES"/>
        </w:rPr>
        <w:t>Orientador</w:t>
      </w:r>
      <w:r w:rsidRPr="0099684E">
        <w:rPr>
          <w:rFonts w:eastAsia="Calibri" w:cs="Tahoma"/>
          <w:bCs/>
          <w:color w:val="auto"/>
          <w:lang w:val="es-ES"/>
        </w:rPr>
        <w:t xml:space="preserve">, de la Segunda Época, con número de registro </w:t>
      </w:r>
      <w:r w:rsidRPr="0099684E">
        <w:rPr>
          <w:rFonts w:eastAsia="Calibri" w:cs="Tahoma"/>
          <w:bCs/>
          <w:color w:val="auto"/>
        </w:rPr>
        <w:t>SO/006/2019</w:t>
      </w:r>
      <w:r w:rsidRPr="0099684E">
        <w:rPr>
          <w:rFonts w:eastAsia="Calibri" w:cs="Tahoma"/>
          <w:bCs/>
          <w:iCs/>
          <w:color w:val="auto"/>
        </w:rPr>
        <w:t xml:space="preserve">, </w:t>
      </w:r>
      <w:r w:rsidR="00127FD5" w:rsidRPr="0099684E">
        <w:rPr>
          <w:rFonts w:eastAsia="Calibri" w:cs="Tahoma"/>
          <w:bCs/>
          <w:iCs/>
          <w:color w:val="auto"/>
        </w:rPr>
        <w:t>emitido por el entonces Instituto Nacional de Transparencia</w:t>
      </w:r>
      <w:r w:rsidRPr="0099684E">
        <w:rPr>
          <w:rFonts w:eastAsia="Calibri" w:cs="Tahoma"/>
          <w:bCs/>
          <w:iCs/>
          <w:color w:val="auto"/>
        </w:rPr>
        <w:t>, Acceso a la Información y Protección de Datos Personales</w:t>
      </w:r>
      <w:r w:rsidR="004F25E8" w:rsidRPr="0099684E">
        <w:rPr>
          <w:rFonts w:eastAsia="Calibri" w:cs="Tahoma"/>
          <w:bCs/>
          <w:iCs/>
          <w:color w:val="auto"/>
        </w:rPr>
        <w:t>, vigente a la fecha de la solicitud</w:t>
      </w:r>
      <w:r w:rsidRPr="0099684E">
        <w:rPr>
          <w:rFonts w:eastAsia="Calibri" w:cs="Tahoma"/>
          <w:bCs/>
          <w:iCs/>
          <w:color w:val="auto"/>
        </w:rPr>
        <w:t>, que establece lo siguiente:</w:t>
      </w:r>
    </w:p>
    <w:p w14:paraId="1B520F6E" w14:textId="77777777" w:rsidR="004F56E1" w:rsidRPr="0099684E" w:rsidRDefault="004F56E1" w:rsidP="009E7481">
      <w:pPr>
        <w:spacing w:after="0" w:line="360" w:lineRule="auto"/>
        <w:rPr>
          <w:rFonts w:eastAsia="Calibri" w:cs="Tahoma"/>
          <w:bCs/>
          <w:iCs/>
          <w:color w:val="auto"/>
          <w:lang w:eastAsia="es-ES"/>
        </w:rPr>
      </w:pPr>
    </w:p>
    <w:p w14:paraId="3626B59F" w14:textId="77777777" w:rsidR="004F56E1" w:rsidRPr="0099684E" w:rsidRDefault="004F56E1" w:rsidP="009E7481">
      <w:pPr>
        <w:spacing w:after="0" w:line="360" w:lineRule="auto"/>
        <w:ind w:left="567" w:right="567"/>
        <w:rPr>
          <w:rFonts w:eastAsia="Calibri" w:cs="Tahoma"/>
          <w:bCs/>
          <w:i/>
          <w:iCs/>
          <w:color w:val="auto"/>
          <w:sz w:val="20"/>
          <w:szCs w:val="20"/>
          <w:lang w:eastAsia="es-ES"/>
        </w:rPr>
      </w:pPr>
      <w:r w:rsidRPr="0099684E">
        <w:rPr>
          <w:rFonts w:eastAsia="Calibri" w:cs="Tahoma"/>
          <w:b/>
          <w:bCs/>
          <w:i/>
          <w:iCs/>
          <w:color w:val="auto"/>
          <w:sz w:val="20"/>
          <w:szCs w:val="20"/>
          <w:lang w:eastAsia="es-ES"/>
        </w:rPr>
        <w:t xml:space="preserve">“Número de empleado. </w:t>
      </w:r>
      <w:r w:rsidRPr="0099684E">
        <w:rPr>
          <w:rFonts w:eastAsia="Calibri" w:cs="Tahoma"/>
          <w:bCs/>
          <w:i/>
          <w:iCs/>
          <w:color w:val="auto"/>
          <w:sz w:val="20"/>
          <w:szCs w:val="20"/>
          <w:lang w:eastAsia="es-ES"/>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06125341" w14:textId="77777777" w:rsidR="004F56E1" w:rsidRPr="0099684E" w:rsidRDefault="004F56E1" w:rsidP="009E7481">
      <w:pPr>
        <w:spacing w:after="0" w:line="360" w:lineRule="auto"/>
        <w:rPr>
          <w:rFonts w:eastAsia="Calibri" w:cs="Tahoma"/>
          <w:bCs/>
          <w:iCs/>
          <w:color w:val="auto"/>
          <w:lang w:eastAsia="es-ES"/>
        </w:rPr>
      </w:pPr>
    </w:p>
    <w:p w14:paraId="0810AAD3" w14:textId="77777777" w:rsidR="004F56E1" w:rsidRPr="0099684E" w:rsidRDefault="004F56E1" w:rsidP="009E7481">
      <w:pPr>
        <w:spacing w:after="0" w:line="360" w:lineRule="auto"/>
        <w:contextualSpacing/>
        <w:rPr>
          <w:rFonts w:eastAsia="Calibri" w:cs="Tahoma"/>
          <w:bCs/>
          <w:iCs/>
          <w:color w:val="auto"/>
        </w:rPr>
      </w:pPr>
      <w:r w:rsidRPr="0099684E">
        <w:rPr>
          <w:rFonts w:eastAsia="Calibri" w:cs="Tahoma"/>
          <w:bCs/>
          <w:iCs/>
          <w:color w:val="auto"/>
        </w:rPr>
        <w:lastRenderedPageBreak/>
        <w:t>Así, se colige que solamente procederá la clasificación del número de empleado, cuando se integre con datos personales de los servidores públicos o funcione como clave de acceso que no requiera una contraseña para ingresar a sistemas o bases de datos.</w:t>
      </w:r>
    </w:p>
    <w:p w14:paraId="02761BB3" w14:textId="77777777" w:rsidR="004F56E1" w:rsidRPr="0099684E" w:rsidRDefault="004F56E1" w:rsidP="009E7481">
      <w:pPr>
        <w:spacing w:after="0" w:line="360" w:lineRule="auto"/>
        <w:contextualSpacing/>
        <w:rPr>
          <w:rFonts w:eastAsia="Calibri" w:cs="Tahoma"/>
          <w:b/>
          <w:bCs/>
          <w:iCs/>
          <w:color w:val="auto"/>
        </w:rPr>
      </w:pPr>
    </w:p>
    <w:p w14:paraId="1CCD7EBF" w14:textId="03BA8150" w:rsidR="004F56E1" w:rsidRPr="0099684E" w:rsidRDefault="00A13E67" w:rsidP="009E7481">
      <w:pPr>
        <w:spacing w:after="0" w:line="360" w:lineRule="auto"/>
        <w:ind w:right="-93"/>
        <w:rPr>
          <w:rFonts w:eastAsia="Times New Roman" w:cs="Tahoma"/>
          <w:color w:val="auto"/>
          <w:lang w:val="es-ES" w:eastAsia="es-ES"/>
        </w:rPr>
      </w:pPr>
      <w:r w:rsidRPr="0099684E">
        <w:rPr>
          <w:rFonts w:eastAsia="Times New Roman" w:cs="Tahoma"/>
          <w:color w:val="auto"/>
          <w:lang w:val="es-ES" w:eastAsia="es-ES"/>
        </w:rPr>
        <w:t>P</w:t>
      </w:r>
      <w:r w:rsidR="004F56E1" w:rsidRPr="0099684E">
        <w:rPr>
          <w:rFonts w:eastAsia="Times New Roman" w:cs="Tahoma"/>
          <w:color w:val="auto"/>
          <w:lang w:val="es-ES" w:eastAsia="es-ES"/>
        </w:rPr>
        <w:t xml:space="preserve">or lo que, se considera que el Ente Recurrido </w:t>
      </w:r>
      <w:r w:rsidR="004F56E1" w:rsidRPr="0099684E">
        <w:rPr>
          <w:rFonts w:eastAsia="Times New Roman" w:cs="Tahoma"/>
          <w:b/>
          <w:bCs/>
          <w:color w:val="auto"/>
          <w:lang w:val="es-ES" w:eastAsia="es-ES"/>
        </w:rPr>
        <w:t>deberá proporcionar dicho dato, en el caso, de que de ninguna manera puedan dar acceso a sistemas con información de los trabajadores</w:t>
      </w:r>
      <w:r w:rsidR="004F56E1" w:rsidRPr="0099684E">
        <w:rPr>
          <w:rFonts w:eastAsia="Times New Roman" w:cs="Tahoma"/>
          <w:color w:val="auto"/>
          <w:lang w:val="es-ES" w:eastAsia="es-ES"/>
        </w:rPr>
        <w:t>; en el caso contrario, esto es</w:t>
      </w:r>
      <w:r w:rsidR="00127FD5" w:rsidRPr="0099684E">
        <w:rPr>
          <w:rFonts w:eastAsia="Times New Roman" w:cs="Tahoma"/>
          <w:color w:val="auto"/>
          <w:lang w:val="es-ES" w:eastAsia="es-ES"/>
        </w:rPr>
        <w:t xml:space="preserve"> que,</w:t>
      </w:r>
      <w:r w:rsidR="004F56E1" w:rsidRPr="0099684E">
        <w:rPr>
          <w:rFonts w:eastAsia="Times New Roman" w:cs="Tahoma"/>
          <w:color w:val="auto"/>
          <w:lang w:val="es-ES" w:eastAsia="es-ES"/>
        </w:rPr>
        <w:t xml:space="preserve"> de acceso a sistemas o base de datos, procederá su clasificación, en términos del artículo 143, fracción I de la Ley de la materia.</w:t>
      </w:r>
    </w:p>
    <w:p w14:paraId="34AA36EF" w14:textId="77777777" w:rsidR="00A00E8D" w:rsidRPr="0099684E" w:rsidRDefault="00A00E8D" w:rsidP="009E7481">
      <w:pPr>
        <w:spacing w:after="0" w:line="360" w:lineRule="auto"/>
        <w:rPr>
          <w:color w:val="000000"/>
        </w:rPr>
      </w:pPr>
    </w:p>
    <w:p w14:paraId="0A81AE52" w14:textId="77777777" w:rsidR="00A00E8D" w:rsidRPr="0099684E" w:rsidRDefault="00A00E8D" w:rsidP="00ED13E2">
      <w:pPr>
        <w:numPr>
          <w:ilvl w:val="0"/>
          <w:numId w:val="4"/>
        </w:numPr>
        <w:spacing w:after="0" w:line="360" w:lineRule="auto"/>
        <w:rPr>
          <w:b/>
          <w:color w:val="000000"/>
        </w:rPr>
      </w:pPr>
      <w:r w:rsidRPr="0099684E">
        <w:rPr>
          <w:b/>
          <w:color w:val="000000"/>
        </w:rPr>
        <w:t>Número de seguridad social del Instituto de Seguridad Social del Estado de México y Municipios</w:t>
      </w:r>
    </w:p>
    <w:p w14:paraId="2C093AD6" w14:textId="77777777" w:rsidR="00A00E8D" w:rsidRPr="0099684E" w:rsidRDefault="00A00E8D" w:rsidP="009E7481">
      <w:pPr>
        <w:spacing w:after="0" w:line="360" w:lineRule="auto"/>
        <w:rPr>
          <w:b/>
          <w:color w:val="000000"/>
        </w:rPr>
      </w:pPr>
    </w:p>
    <w:p w14:paraId="7922DC4F" w14:textId="77777777" w:rsidR="00A00E8D" w:rsidRPr="0099684E" w:rsidRDefault="00A00E8D" w:rsidP="009E7481">
      <w:pPr>
        <w:spacing w:after="0" w:line="360" w:lineRule="auto"/>
        <w:rPr>
          <w:color w:val="000000"/>
        </w:rPr>
      </w:pPr>
      <w:r w:rsidRPr="0099684E">
        <w:rPr>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496AC839" w14:textId="77777777" w:rsidR="00A00E8D" w:rsidRPr="0099684E" w:rsidRDefault="00A00E8D" w:rsidP="009E7481">
      <w:pPr>
        <w:spacing w:after="0" w:line="360" w:lineRule="auto"/>
        <w:rPr>
          <w:color w:val="000000"/>
        </w:rPr>
      </w:pPr>
    </w:p>
    <w:p w14:paraId="2090008F" w14:textId="77777777" w:rsidR="00A00E8D" w:rsidRPr="0099684E" w:rsidRDefault="00A00E8D" w:rsidP="009E7481">
      <w:pPr>
        <w:spacing w:after="0" w:line="360" w:lineRule="auto"/>
        <w:rPr>
          <w:color w:val="000000"/>
        </w:rPr>
      </w:pPr>
      <w:r w:rsidRPr="0099684E">
        <w:rPr>
          <w:color w:val="000000"/>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w:t>
      </w:r>
      <w:r w:rsidRPr="0099684E">
        <w:rPr>
          <w:color w:val="000000"/>
        </w:rPr>
        <w:lastRenderedPageBreak/>
        <w:t>de poder proporcionar los servicios que brinda el Instituto de Seguridad Social del Estado de México y Municipios.</w:t>
      </w:r>
    </w:p>
    <w:p w14:paraId="4F723D39" w14:textId="77777777" w:rsidR="00A00E8D" w:rsidRPr="0099684E" w:rsidRDefault="00A00E8D" w:rsidP="009E7481">
      <w:pPr>
        <w:spacing w:after="0" w:line="360" w:lineRule="auto"/>
        <w:rPr>
          <w:color w:val="000000"/>
        </w:rPr>
      </w:pPr>
    </w:p>
    <w:p w14:paraId="6CA3944A" w14:textId="77777777" w:rsidR="00A00E8D" w:rsidRPr="0099684E" w:rsidRDefault="00A00E8D" w:rsidP="009E7481">
      <w:pPr>
        <w:spacing w:after="0" w:line="360" w:lineRule="auto"/>
        <w:rPr>
          <w:color w:val="000000"/>
        </w:rPr>
      </w:pPr>
      <w:r w:rsidRPr="0099684E">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A7CB9E4" w14:textId="77777777" w:rsidR="00A00E8D" w:rsidRPr="0099684E" w:rsidRDefault="00A00E8D" w:rsidP="009E7481">
      <w:pPr>
        <w:spacing w:after="0" w:line="360" w:lineRule="auto"/>
        <w:rPr>
          <w:color w:val="000000"/>
        </w:rPr>
      </w:pPr>
    </w:p>
    <w:p w14:paraId="7DF445F4" w14:textId="77777777" w:rsidR="00A00E8D" w:rsidRPr="0099684E" w:rsidRDefault="00A00E8D" w:rsidP="009E7481">
      <w:pPr>
        <w:spacing w:after="0" w:line="360" w:lineRule="auto"/>
        <w:rPr>
          <w:color w:val="000000"/>
        </w:rPr>
      </w:pPr>
      <w:r w:rsidRPr="0099684E">
        <w:rPr>
          <w:color w:val="000000"/>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304D3781" w14:textId="77777777" w:rsidR="00F94E72" w:rsidRPr="0099684E" w:rsidRDefault="00F94E72" w:rsidP="009E7481">
      <w:pPr>
        <w:spacing w:after="0" w:line="360" w:lineRule="auto"/>
        <w:rPr>
          <w:color w:val="000000"/>
        </w:rPr>
      </w:pPr>
    </w:p>
    <w:p w14:paraId="31E24758" w14:textId="77777777" w:rsidR="00F94E72" w:rsidRPr="0099684E" w:rsidRDefault="00F94E72" w:rsidP="00ED13E2">
      <w:pPr>
        <w:pStyle w:val="Prrafodelista"/>
        <w:numPr>
          <w:ilvl w:val="0"/>
          <w:numId w:val="8"/>
        </w:numPr>
        <w:tabs>
          <w:tab w:val="left" w:pos="3962"/>
        </w:tabs>
        <w:spacing w:line="360" w:lineRule="auto"/>
        <w:rPr>
          <w:rFonts w:eastAsia="Calibri" w:cs="Tahoma"/>
          <w:b/>
        </w:rPr>
      </w:pPr>
      <w:r w:rsidRPr="0099684E">
        <w:rPr>
          <w:rFonts w:eastAsia="Calibri" w:cs="Tahoma"/>
          <w:b/>
        </w:rPr>
        <w:t>Firma de servidores públicos</w:t>
      </w:r>
    </w:p>
    <w:p w14:paraId="50D7BAE2" w14:textId="77777777" w:rsidR="00F94E72" w:rsidRPr="0099684E" w:rsidRDefault="00F94E72" w:rsidP="00F94E72">
      <w:pPr>
        <w:tabs>
          <w:tab w:val="left" w:pos="3962"/>
        </w:tabs>
        <w:spacing w:after="0" w:line="360" w:lineRule="auto"/>
        <w:rPr>
          <w:rFonts w:eastAsia="Calibri" w:cs="Tahoma"/>
          <w:bCs/>
        </w:rPr>
      </w:pPr>
    </w:p>
    <w:p w14:paraId="7F29479D" w14:textId="77777777" w:rsidR="00F94E72" w:rsidRPr="0099684E" w:rsidRDefault="00F94E72" w:rsidP="00F94E72">
      <w:pPr>
        <w:tabs>
          <w:tab w:val="left" w:pos="3962"/>
        </w:tabs>
        <w:spacing w:after="0" w:line="360" w:lineRule="auto"/>
        <w:rPr>
          <w:rFonts w:eastAsia="Calibri" w:cs="Tahoma"/>
          <w:bCs/>
        </w:rPr>
      </w:pPr>
      <w:r w:rsidRPr="0099684E">
        <w:rPr>
          <w:rFonts w:eastAsia="Calibri" w:cs="Tahoma"/>
          <w:bCs/>
        </w:rPr>
        <w:t>Al respecto, cabe precisar que, en el presente caso, se trata de la firma en un documento público, es decir, en su calidad de servidores públicos; por lo que, si bien la firma es un dato personal confidencial, lo cierto es que, en el presente caso, la firma en los recibos de nómina es para acreditar que reciben su salario, por lo que, es de naturaleza pública.</w:t>
      </w:r>
    </w:p>
    <w:p w14:paraId="6DAD583B" w14:textId="77777777" w:rsidR="00F94E72" w:rsidRPr="0099684E" w:rsidRDefault="00F94E72" w:rsidP="00F94E72">
      <w:pPr>
        <w:tabs>
          <w:tab w:val="left" w:pos="3962"/>
        </w:tabs>
        <w:spacing w:after="0" w:line="360" w:lineRule="auto"/>
        <w:rPr>
          <w:rFonts w:eastAsia="Calibri" w:cs="Tahoma"/>
          <w:bCs/>
        </w:rPr>
      </w:pPr>
    </w:p>
    <w:p w14:paraId="2E1EB590" w14:textId="77777777" w:rsidR="00F94E72" w:rsidRPr="0099684E" w:rsidRDefault="00F94E72" w:rsidP="00F94E72">
      <w:pPr>
        <w:tabs>
          <w:tab w:val="left" w:pos="3962"/>
        </w:tabs>
        <w:spacing w:after="0" w:line="360" w:lineRule="auto"/>
        <w:rPr>
          <w:rFonts w:eastAsia="Calibri" w:cs="Tahoma"/>
          <w:bCs/>
        </w:rPr>
      </w:pPr>
      <w:r w:rsidRPr="0099684E">
        <w:rPr>
          <w:rFonts w:eastAsia="Calibri" w:cs="Tahoma"/>
          <w:bCs/>
        </w:rPr>
        <w:t xml:space="preserve">Conforme a lo anterior, la firma de servidores públicos, vinculada al ejercicio de la función pública es información de naturaleza pública, pues documenta y rinde cuentas sobre el debido </w:t>
      </w:r>
      <w:r w:rsidRPr="0099684E">
        <w:rPr>
          <w:rFonts w:eastAsia="Calibri" w:cs="Tahoma"/>
          <w:bCs/>
        </w:rPr>
        <w:lastRenderedPageBreak/>
        <w:t xml:space="preserve">ejercicio de sus atribuciones, lo cual acontece en el presente caso, pues garantiza que los trabajadores recibieron sus remuneraciones quincenales. </w:t>
      </w:r>
    </w:p>
    <w:p w14:paraId="6B281EF7" w14:textId="77777777" w:rsidR="00F94E72" w:rsidRPr="0099684E" w:rsidRDefault="00F94E72" w:rsidP="00F94E72">
      <w:pPr>
        <w:tabs>
          <w:tab w:val="left" w:pos="3962"/>
        </w:tabs>
        <w:spacing w:after="0" w:line="360" w:lineRule="auto"/>
        <w:rPr>
          <w:rFonts w:eastAsia="Calibri" w:cs="Tahoma"/>
          <w:bCs/>
        </w:rPr>
      </w:pPr>
    </w:p>
    <w:p w14:paraId="7D38D8C5" w14:textId="05D32826" w:rsidR="00F94E72" w:rsidRPr="0099684E" w:rsidRDefault="00F94E72" w:rsidP="004F25E8">
      <w:pPr>
        <w:tabs>
          <w:tab w:val="left" w:pos="3962"/>
        </w:tabs>
        <w:spacing w:after="0" w:line="360" w:lineRule="auto"/>
        <w:rPr>
          <w:rFonts w:eastAsia="Calibri" w:cs="Tahoma"/>
          <w:bCs/>
        </w:rPr>
      </w:pPr>
      <w:r w:rsidRPr="0099684E">
        <w:rPr>
          <w:rFonts w:eastAsia="Calibri" w:cs="Tahoma"/>
          <w:bCs/>
        </w:rPr>
        <w:t xml:space="preserve">La publicidad de dichos datos, se robustece, con el Criterio </w:t>
      </w:r>
      <w:r w:rsidR="004F25E8" w:rsidRPr="0099684E">
        <w:rPr>
          <w:rFonts w:eastAsia="Calibri" w:cs="Tahoma"/>
          <w:bCs/>
        </w:rPr>
        <w:t>Orientador</w:t>
      </w:r>
      <w:r w:rsidRPr="0099684E">
        <w:rPr>
          <w:rFonts w:eastAsia="Calibri" w:cs="Tahoma"/>
          <w:bCs/>
        </w:rPr>
        <w:t xml:space="preserve">, de la Segunda Época, con clave de control SO/002/2019, emitido por el </w:t>
      </w:r>
      <w:r w:rsidR="004F25E8" w:rsidRPr="0099684E">
        <w:rPr>
          <w:rFonts w:eastAsia="Calibri" w:cs="Tahoma"/>
          <w:bCs/>
        </w:rPr>
        <w:t xml:space="preserve">entonces </w:t>
      </w:r>
      <w:r w:rsidRPr="0099684E">
        <w:rPr>
          <w:rFonts w:eastAsia="Calibri" w:cs="Tahoma"/>
          <w:bCs/>
        </w:rPr>
        <w:t>Instituto Nacional de Transparencia, Acceso a la Información y Protección de Datos Personales</w:t>
      </w:r>
      <w:r w:rsidR="004F25E8" w:rsidRPr="0099684E">
        <w:rPr>
          <w:rFonts w:eastAsia="Calibri" w:cs="Tahoma"/>
          <w:bCs/>
        </w:rPr>
        <w:t>, vigente a la fecha de la solicitud</w:t>
      </w:r>
      <w:r w:rsidRPr="0099684E">
        <w:rPr>
          <w:rFonts w:eastAsia="Calibri" w:cs="Tahoma"/>
          <w:bCs/>
        </w:rPr>
        <w:t>, que establece lo siguiente:</w:t>
      </w:r>
    </w:p>
    <w:p w14:paraId="08E10544" w14:textId="77777777" w:rsidR="00F94E72" w:rsidRPr="0099684E" w:rsidRDefault="00F94E72" w:rsidP="00F94E72">
      <w:pPr>
        <w:tabs>
          <w:tab w:val="left" w:pos="3962"/>
        </w:tabs>
        <w:spacing w:after="0" w:line="360" w:lineRule="auto"/>
        <w:rPr>
          <w:rFonts w:eastAsia="Calibri" w:cs="Tahoma"/>
          <w:bCs/>
        </w:rPr>
      </w:pPr>
    </w:p>
    <w:p w14:paraId="3B93B362" w14:textId="77777777" w:rsidR="00F94E72" w:rsidRPr="0099684E" w:rsidRDefault="00F94E72" w:rsidP="00F94E72">
      <w:pPr>
        <w:tabs>
          <w:tab w:val="left" w:pos="3962"/>
        </w:tabs>
        <w:spacing w:after="0" w:line="360" w:lineRule="auto"/>
        <w:ind w:left="708"/>
        <w:rPr>
          <w:rFonts w:eastAsia="Calibri" w:cs="Tahoma"/>
          <w:bCs/>
          <w:i/>
          <w:iCs/>
          <w:sz w:val="20"/>
          <w:szCs w:val="20"/>
        </w:rPr>
      </w:pPr>
      <w:r w:rsidRPr="0099684E">
        <w:rPr>
          <w:rFonts w:eastAsia="Calibri" w:cs="Tahoma"/>
          <w:b/>
          <w:i/>
          <w:iCs/>
          <w:sz w:val="20"/>
          <w:szCs w:val="20"/>
        </w:rPr>
        <w:t>“Firma y rúbrica de servidores públicos.</w:t>
      </w:r>
      <w:r w:rsidRPr="0099684E">
        <w:rPr>
          <w:rFonts w:eastAsia="Calibri" w:cs="Tahoma"/>
          <w:bCs/>
          <w:i/>
          <w:iCs/>
          <w:sz w:val="2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C557A7D" w14:textId="77777777" w:rsidR="00F94E72" w:rsidRPr="0099684E" w:rsidRDefault="00F94E72" w:rsidP="00F94E72">
      <w:pPr>
        <w:tabs>
          <w:tab w:val="left" w:pos="3962"/>
        </w:tabs>
        <w:spacing w:after="0" w:line="360" w:lineRule="auto"/>
        <w:rPr>
          <w:rFonts w:eastAsia="Calibri" w:cs="Tahoma"/>
          <w:bCs/>
        </w:rPr>
      </w:pPr>
    </w:p>
    <w:p w14:paraId="1F2C9196" w14:textId="1F7C8A66" w:rsidR="00A00E8D" w:rsidRPr="0099684E" w:rsidRDefault="00F94E72" w:rsidP="00F94E72">
      <w:pPr>
        <w:tabs>
          <w:tab w:val="left" w:pos="3962"/>
        </w:tabs>
        <w:spacing w:after="0" w:line="360" w:lineRule="auto"/>
        <w:rPr>
          <w:rFonts w:eastAsia="Calibri" w:cs="Tahoma"/>
          <w:bCs/>
        </w:rPr>
      </w:pPr>
      <w:r w:rsidRPr="0099684E">
        <w:rPr>
          <w:rFonts w:eastAsia="Calibri" w:cs="Tahoma"/>
          <w:bCs/>
        </w:rPr>
        <w:t>Conforme a lo expuesto, no procede la clasificación, en términos del artículo 143, fracción I de la Ley de Transparencia y Acceso a la Información Pública del Estado de México y Municipios, de la firma de los servidores públicos plasmado en los recibos de nómina, o documentos públicos.</w:t>
      </w:r>
    </w:p>
    <w:p w14:paraId="07D632D7" w14:textId="77777777" w:rsidR="00F94E72" w:rsidRPr="0099684E" w:rsidRDefault="00F94E72" w:rsidP="00F94E72">
      <w:pPr>
        <w:tabs>
          <w:tab w:val="left" w:pos="3962"/>
        </w:tabs>
        <w:spacing w:after="0" w:line="360" w:lineRule="auto"/>
        <w:rPr>
          <w:rFonts w:eastAsia="Calibri" w:cs="Tahoma"/>
          <w:bCs/>
        </w:rPr>
      </w:pPr>
    </w:p>
    <w:p w14:paraId="41124A5F" w14:textId="3878C07A" w:rsidR="004C4CFB" w:rsidRPr="0099684E" w:rsidRDefault="004C4CFB" w:rsidP="00ED13E2">
      <w:pPr>
        <w:numPr>
          <w:ilvl w:val="0"/>
          <w:numId w:val="1"/>
        </w:numPr>
        <w:spacing w:after="0" w:line="360" w:lineRule="auto"/>
        <w:jc w:val="left"/>
        <w:rPr>
          <w:rFonts w:eastAsia="Palatino Linotype" w:cs="Palatino Linotype"/>
          <w:b/>
          <w:lang w:eastAsia="es-MX"/>
        </w:rPr>
      </w:pPr>
      <w:r w:rsidRPr="0099684E">
        <w:rPr>
          <w:rFonts w:eastAsia="Palatino Linotype" w:cs="Palatino Linotype"/>
          <w:b/>
          <w:lang w:eastAsia="es-MX"/>
        </w:rPr>
        <w:t xml:space="preserve">Código bidimensional o </w:t>
      </w:r>
      <w:proofErr w:type="spellStart"/>
      <w:r w:rsidRPr="0099684E">
        <w:rPr>
          <w:rFonts w:eastAsia="Palatino Linotype" w:cs="Palatino Linotype"/>
          <w:b/>
          <w:lang w:eastAsia="es-MX"/>
        </w:rPr>
        <w:t>Qr</w:t>
      </w:r>
      <w:proofErr w:type="spellEnd"/>
    </w:p>
    <w:p w14:paraId="75BC0589" w14:textId="77777777" w:rsidR="004C4CFB" w:rsidRPr="0099684E" w:rsidRDefault="004C4CFB" w:rsidP="009E7481">
      <w:pPr>
        <w:spacing w:after="0" w:line="360" w:lineRule="auto"/>
        <w:rPr>
          <w:rFonts w:eastAsia="Palatino Linotype" w:cs="Palatino Linotype"/>
          <w:b/>
          <w:lang w:eastAsia="es-MX"/>
        </w:rPr>
      </w:pPr>
    </w:p>
    <w:p w14:paraId="492D4F9B" w14:textId="77777777" w:rsidR="004C4CFB" w:rsidRPr="0099684E" w:rsidRDefault="004C4CFB" w:rsidP="009E7481">
      <w:pPr>
        <w:spacing w:after="0" w:line="360" w:lineRule="auto"/>
        <w:rPr>
          <w:rFonts w:eastAsia="Palatino Linotype" w:cs="Palatino Linotype"/>
          <w:lang w:eastAsia="es-MX"/>
        </w:rPr>
      </w:pPr>
      <w:r w:rsidRPr="0099684E">
        <w:rPr>
          <w:rFonts w:eastAsia="Palatino Linotype" w:cs="Palatino Linotype"/>
          <w:lang w:eastAsia="es-MX"/>
        </w:rPr>
        <w:t xml:space="preserve">En principio, resulta necesario señalar que los comprobantes fiscales digitales por Internet, deben de incluir un código bidimensional conforme al formato </w:t>
      </w:r>
      <w:r w:rsidRPr="0099684E">
        <w:rPr>
          <w:rFonts w:eastAsia="Palatino Linotype" w:cs="Palatino Linotype"/>
          <w:i/>
          <w:lang w:eastAsia="es-MX"/>
        </w:rPr>
        <w:t xml:space="preserve">QR </w:t>
      </w:r>
      <w:proofErr w:type="spellStart"/>
      <w:r w:rsidRPr="0099684E">
        <w:rPr>
          <w:rFonts w:eastAsia="Palatino Linotype" w:cs="Palatino Linotype"/>
          <w:i/>
          <w:lang w:eastAsia="es-MX"/>
        </w:rPr>
        <w:t>Code</w:t>
      </w:r>
      <w:proofErr w:type="spellEnd"/>
      <w:r w:rsidRPr="0099684E">
        <w:rPr>
          <w:rFonts w:eastAsia="Palatino Linotype" w:cs="Palatino Linotype"/>
          <w:i/>
          <w:lang w:eastAsia="es-MX"/>
        </w:rPr>
        <w:t xml:space="preserve"> (Quick Response </w:t>
      </w:r>
      <w:proofErr w:type="spellStart"/>
      <w:r w:rsidRPr="0099684E">
        <w:rPr>
          <w:rFonts w:eastAsia="Palatino Linotype" w:cs="Palatino Linotype"/>
          <w:i/>
          <w:lang w:eastAsia="es-MX"/>
        </w:rPr>
        <w:t>Code</w:t>
      </w:r>
      <w:proofErr w:type="spellEnd"/>
      <w:r w:rsidRPr="0099684E">
        <w:rPr>
          <w:rFonts w:eastAsia="Palatino Linotype" w:cs="Palatino Linotype"/>
          <w:i/>
          <w:lang w:eastAsia="es-MX"/>
        </w:rPr>
        <w:t>)</w:t>
      </w:r>
      <w:r w:rsidRPr="0099684E">
        <w:rPr>
          <w:rFonts w:eastAsia="Palatino Linotype" w:cs="Palatino Linotype"/>
          <w:lang w:eastAsia="es-MX"/>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0">
        <w:r w:rsidRPr="0099684E">
          <w:rPr>
            <w:rFonts w:eastAsia="Palatino Linotype" w:cs="Palatino Linotype"/>
            <w:color w:val="0563C1"/>
            <w:u w:val="single"/>
            <w:lang w:eastAsia="es-MX"/>
          </w:rPr>
          <w:t>http://dof.gob.mx/nota_detalle.php?codigo=5492254&amp;fecha=28/07/2017</w:t>
        </w:r>
      </w:hyperlink>
      <w:r w:rsidRPr="0099684E">
        <w:rPr>
          <w:rFonts w:eastAsia="Palatino Linotype" w:cs="Palatino Linotype"/>
          <w:lang w:eastAsia="es-MX"/>
        </w:rPr>
        <w:t xml:space="preserve">. Incluso con la captura de dicho código, a través de la aplicación móvil del Servicio de Administración Tributaria, </w:t>
      </w:r>
      <w:r w:rsidRPr="0099684E">
        <w:rPr>
          <w:rFonts w:eastAsia="Palatino Linotype" w:cs="Palatino Linotype"/>
          <w:lang w:eastAsia="es-MX"/>
        </w:rPr>
        <w:lastRenderedPageBreak/>
        <w:t>permite el acceso al Registro Federal de Contribuyentes, como del Sujeto Obligado, como de los servidores públicos.</w:t>
      </w:r>
    </w:p>
    <w:p w14:paraId="6A53CA71" w14:textId="77777777" w:rsidR="004C4CFB" w:rsidRPr="0099684E" w:rsidRDefault="004C4CFB" w:rsidP="009E7481">
      <w:pPr>
        <w:spacing w:after="0" w:line="360" w:lineRule="auto"/>
        <w:rPr>
          <w:rFonts w:eastAsia="Palatino Linotype" w:cs="Palatino Linotype"/>
          <w:lang w:eastAsia="es-MX"/>
        </w:rPr>
      </w:pPr>
    </w:p>
    <w:p w14:paraId="2B8A48CA" w14:textId="452653A0" w:rsidR="004C4CFB" w:rsidRPr="0099684E" w:rsidRDefault="004C4CFB" w:rsidP="009E7481">
      <w:pPr>
        <w:spacing w:after="0" w:line="360" w:lineRule="auto"/>
        <w:rPr>
          <w:rFonts w:eastAsia="Palatino Linotype" w:cs="Palatino Linotype"/>
          <w:lang w:eastAsia="es-MX"/>
        </w:rPr>
      </w:pPr>
      <w:r w:rsidRPr="0099684E">
        <w:rPr>
          <w:rFonts w:eastAsia="Palatino Linotype" w:cs="Palatino Linotype"/>
          <w:lang w:eastAsia="es-MX"/>
        </w:rPr>
        <w:t xml:space="preserve">De tales circunstancias, se considera que dicho dato actualiza la causal de clasificación prevista en el artículo 143, fracción </w:t>
      </w:r>
      <w:r w:rsidR="004F25E8" w:rsidRPr="0099684E">
        <w:rPr>
          <w:rFonts w:eastAsia="Palatino Linotype" w:cs="Palatino Linotype"/>
          <w:lang w:eastAsia="es-MX"/>
        </w:rPr>
        <w:t>I, de</w:t>
      </w:r>
      <w:r w:rsidRPr="0099684E">
        <w:rPr>
          <w:rFonts w:eastAsia="Palatino Linotype" w:cs="Palatino Linotype"/>
          <w:lang w:eastAsia="es-MX"/>
        </w:rPr>
        <w:t xml:space="preserve"> la Ley de la materia, toda vez que da acceso al Registro Federal de Contribuyentes de los servidores públicos del Sujeto Obligado, datos que tal como se señaló previamente, son clasificados.</w:t>
      </w:r>
    </w:p>
    <w:p w14:paraId="73172AE5" w14:textId="77777777" w:rsidR="004C4CFB" w:rsidRPr="0099684E" w:rsidRDefault="004C4CFB" w:rsidP="009E7481">
      <w:pPr>
        <w:spacing w:after="0" w:line="360" w:lineRule="auto"/>
        <w:rPr>
          <w:rFonts w:eastAsia="Palatino Linotype" w:cs="Palatino Linotype"/>
          <w:lang w:eastAsia="es-MX"/>
        </w:rPr>
      </w:pPr>
    </w:p>
    <w:p w14:paraId="49390B77" w14:textId="593C60A6" w:rsidR="004C4CFB" w:rsidRPr="0099684E" w:rsidRDefault="004C4CFB" w:rsidP="00ED13E2">
      <w:pPr>
        <w:pStyle w:val="Prrafodelista"/>
        <w:numPr>
          <w:ilvl w:val="0"/>
          <w:numId w:val="1"/>
        </w:numPr>
        <w:spacing w:line="360" w:lineRule="auto"/>
        <w:rPr>
          <w:rFonts w:eastAsia="Palatino Linotype" w:cs="Palatino Linotype"/>
          <w:b/>
          <w:lang w:eastAsia="es-MX"/>
        </w:rPr>
      </w:pPr>
      <w:r w:rsidRPr="0099684E">
        <w:rPr>
          <w:rFonts w:eastAsia="Palatino Linotype" w:cs="Palatino Linotype"/>
          <w:b/>
          <w:lang w:eastAsia="es-MX"/>
        </w:rPr>
        <w:t>Descuentos personales</w:t>
      </w:r>
    </w:p>
    <w:p w14:paraId="2C79A6BA" w14:textId="77777777" w:rsidR="004C4CFB" w:rsidRPr="0099684E" w:rsidRDefault="004C4CFB" w:rsidP="009E7481">
      <w:pPr>
        <w:spacing w:after="0" w:line="360" w:lineRule="auto"/>
        <w:rPr>
          <w:rFonts w:eastAsia="Palatino Linotype" w:cs="Palatino Linotype"/>
          <w:b/>
          <w:lang w:eastAsia="es-MX"/>
        </w:rPr>
      </w:pPr>
    </w:p>
    <w:p w14:paraId="51FE06E2" w14:textId="77777777" w:rsidR="004C4CFB" w:rsidRPr="0099684E" w:rsidRDefault="004C4CFB" w:rsidP="009E7481">
      <w:pPr>
        <w:spacing w:after="0" w:line="360" w:lineRule="auto"/>
        <w:rPr>
          <w:rFonts w:eastAsia="Palatino Linotype" w:cs="Palatino Linotype"/>
          <w:lang w:eastAsia="es-MX"/>
        </w:rPr>
      </w:pPr>
      <w:r w:rsidRPr="0099684E">
        <w:rPr>
          <w:rFonts w:eastAsia="Palatino Linotype" w:cs="Palatino Linotype"/>
          <w:lang w:eastAsia="es-MX"/>
        </w:rPr>
        <w:t xml:space="preserve">Es necesario precisar que existen deducciones que se generan con motivo de una decisión libre y voluntaria de los servidores públicos, como son: créditos personales, </w:t>
      </w:r>
      <w:r w:rsidRPr="0099684E">
        <w:rPr>
          <w:rFonts w:eastAsia="Palatino Linotype" w:cs="Palatino Linotype"/>
          <w:b/>
          <w:bCs/>
          <w:lang w:eastAsia="es-MX"/>
        </w:rPr>
        <w:t>cuotas sindicales</w:t>
      </w:r>
      <w:r w:rsidRPr="0099684E">
        <w:rPr>
          <w:rFonts w:eastAsia="Palatino Linotype" w:cs="Palatino Linotype"/>
          <w:lang w:eastAsia="es-MX"/>
        </w:rPr>
        <w:t>, los fondos de resistencia, de mutualidad y de ahorro del Sindicato Único de Trabajadores de los Poderes, Municipios e Institución Descentralizadas del Estado de México, seguro de vida, accidentes y enfermedades.</w:t>
      </w:r>
    </w:p>
    <w:p w14:paraId="195AF9B9" w14:textId="77777777" w:rsidR="004C4CFB" w:rsidRPr="0099684E" w:rsidRDefault="004C4CFB" w:rsidP="009E7481">
      <w:pPr>
        <w:spacing w:after="0" w:line="360" w:lineRule="auto"/>
        <w:rPr>
          <w:rFonts w:eastAsia="Palatino Linotype" w:cs="Palatino Linotype"/>
          <w:lang w:eastAsia="es-MX"/>
        </w:rPr>
      </w:pPr>
    </w:p>
    <w:p w14:paraId="522AFE14" w14:textId="77777777" w:rsidR="004C4CFB" w:rsidRPr="0099684E" w:rsidRDefault="004C4CFB" w:rsidP="009E7481">
      <w:pPr>
        <w:spacing w:after="0" w:line="360" w:lineRule="auto"/>
        <w:rPr>
          <w:rFonts w:eastAsia="Palatino Linotype" w:cs="Palatino Linotype"/>
          <w:lang w:eastAsia="es-MX"/>
        </w:rPr>
      </w:pPr>
      <w:r w:rsidRPr="0099684E">
        <w:rPr>
          <w:rFonts w:eastAsia="Palatino Linotype" w:cs="Palatino Linotype"/>
          <w:lang w:eastAsia="es-MX"/>
        </w:rPr>
        <w:t>Asimismo, hay otras que se generan con motivo de una sentencia judicial, como es la pensión alimenticia que periódicamente se retira de la cuenta de un empleado, a efecto de que sea entregado a un tercero.  </w:t>
      </w:r>
    </w:p>
    <w:p w14:paraId="5662373B" w14:textId="77777777" w:rsidR="004C4CFB" w:rsidRPr="0099684E" w:rsidRDefault="004C4CFB" w:rsidP="009E7481">
      <w:pPr>
        <w:spacing w:after="0" w:line="360" w:lineRule="auto"/>
        <w:rPr>
          <w:rFonts w:eastAsia="Palatino Linotype" w:cs="Palatino Linotype"/>
          <w:lang w:eastAsia="es-MX"/>
        </w:rPr>
      </w:pPr>
    </w:p>
    <w:p w14:paraId="10EDB6D7" w14:textId="77777777" w:rsidR="004C4CFB" w:rsidRPr="0099684E" w:rsidRDefault="004C4CFB" w:rsidP="009E7481">
      <w:pPr>
        <w:spacing w:after="0" w:line="360" w:lineRule="auto"/>
        <w:rPr>
          <w:rFonts w:eastAsia="Palatino Linotype" w:cs="Palatino Linotype"/>
          <w:lang w:eastAsia="es-MX"/>
        </w:rPr>
      </w:pPr>
      <w:r w:rsidRPr="0099684E">
        <w:rPr>
          <w:rFonts w:eastAsia="Palatino Linotype" w:cs="Palatino Linotype"/>
          <w:lang w:eastAsia="es-MX"/>
        </w:rP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3BA2D06B" w14:textId="6A62FF62" w:rsidR="004C4CFB" w:rsidRPr="0099684E" w:rsidRDefault="004C4CFB" w:rsidP="009E7481">
      <w:pPr>
        <w:spacing w:after="0" w:line="360" w:lineRule="auto"/>
        <w:rPr>
          <w:rFonts w:eastAsia="Palatino Linotype" w:cs="Palatino Linotype"/>
          <w:b/>
          <w:lang w:eastAsia="es-MX"/>
        </w:rPr>
      </w:pPr>
      <w:r w:rsidRPr="0099684E">
        <w:rPr>
          <w:rFonts w:eastAsia="Palatino Linotype" w:cs="Palatino Linotype"/>
          <w:lang w:eastAsia="es-MX"/>
        </w:rPr>
        <w:lastRenderedPageBreak/>
        <w:t>Así, dichas deducciones reflejan el destino que un servidor público da a su patrimonio y, por lo tanto, resulta procedente clasificar dichos datos, en el caso, que obren, en los documentos que dan cuenta de lo requerido, en términos del artículo 143, fracción I</w:t>
      </w:r>
      <w:r w:rsidR="004F25E8" w:rsidRPr="0099684E">
        <w:rPr>
          <w:rFonts w:eastAsia="Palatino Linotype" w:cs="Palatino Linotype"/>
          <w:lang w:eastAsia="es-MX"/>
        </w:rPr>
        <w:t>,</w:t>
      </w:r>
      <w:r w:rsidRPr="0099684E">
        <w:rPr>
          <w:rFonts w:eastAsia="Palatino Linotype" w:cs="Palatino Linotype"/>
          <w:lang w:eastAsia="es-MX"/>
        </w:rPr>
        <w:t xml:space="preserve"> de la Ley de Transparencia y Acceso a la Información Pública del Estado de México y Municipios.</w:t>
      </w:r>
    </w:p>
    <w:p w14:paraId="7022758E" w14:textId="77777777" w:rsidR="004C4CFB" w:rsidRPr="0099684E" w:rsidRDefault="004C4CFB" w:rsidP="009E7481">
      <w:pPr>
        <w:spacing w:after="0" w:line="360" w:lineRule="auto"/>
        <w:rPr>
          <w:rFonts w:eastAsia="Palatino Linotype" w:cs="Palatino Linotype"/>
          <w:b/>
          <w:lang w:eastAsia="es-MX"/>
        </w:rPr>
      </w:pPr>
    </w:p>
    <w:p w14:paraId="51CEB39E" w14:textId="22F93920" w:rsidR="004C4CFB" w:rsidRPr="0099684E" w:rsidRDefault="004C4CFB" w:rsidP="008D05C1">
      <w:pPr>
        <w:numPr>
          <w:ilvl w:val="0"/>
          <w:numId w:val="1"/>
        </w:numPr>
        <w:spacing w:after="0" w:line="360" w:lineRule="auto"/>
        <w:rPr>
          <w:rFonts w:eastAsia="Palatino Linotype" w:cs="Palatino Linotype"/>
          <w:lang w:eastAsia="es-MX"/>
        </w:rPr>
      </w:pPr>
      <w:r w:rsidRPr="0099684E">
        <w:rPr>
          <w:rFonts w:eastAsia="Palatino Linotype" w:cs="Palatino Linotype"/>
          <w:b/>
          <w:lang w:eastAsia="es-MX"/>
        </w:rPr>
        <w:t>Sellos digitales del emisor y del Servicio de Administración Tributaria y cadena original del complemento de certificación digital del órgano previamente señalado</w:t>
      </w:r>
      <w:r w:rsidR="005A1A69" w:rsidRPr="0099684E">
        <w:rPr>
          <w:rFonts w:eastAsia="Palatino Linotype" w:cs="Palatino Linotype"/>
          <w:b/>
          <w:lang w:eastAsia="es-MX"/>
        </w:rPr>
        <w:t>; así como los respectivos números de serie de los certificados de sellos digitales</w:t>
      </w:r>
      <w:r w:rsidR="004F25E8" w:rsidRPr="0099684E">
        <w:rPr>
          <w:rFonts w:eastAsia="Palatino Linotype" w:cs="Palatino Linotype"/>
          <w:b/>
          <w:lang w:eastAsia="es-MX"/>
        </w:rPr>
        <w:t>.</w:t>
      </w:r>
    </w:p>
    <w:p w14:paraId="094A0A1B" w14:textId="77777777" w:rsidR="004F25E8" w:rsidRPr="0099684E" w:rsidRDefault="004F25E8" w:rsidP="004F25E8">
      <w:pPr>
        <w:spacing w:after="0" w:line="360" w:lineRule="auto"/>
        <w:ind w:left="720"/>
        <w:rPr>
          <w:rFonts w:eastAsia="Palatino Linotype" w:cs="Palatino Linotype"/>
          <w:lang w:eastAsia="es-MX"/>
        </w:rPr>
      </w:pPr>
    </w:p>
    <w:p w14:paraId="0B6203C5" w14:textId="77777777" w:rsidR="004F25E8" w:rsidRPr="0099684E" w:rsidRDefault="004F25E8" w:rsidP="004F25E8">
      <w:pPr>
        <w:spacing w:after="0" w:line="360" w:lineRule="auto"/>
        <w:rPr>
          <w:rFonts w:eastAsia="Palatino Linotype" w:cs="Palatino Linotype"/>
          <w:lang w:eastAsia="es-MX"/>
        </w:rPr>
      </w:pPr>
      <w:r w:rsidRPr="0099684E">
        <w:rPr>
          <w:rFonts w:eastAsia="Palatino Linotype" w:cs="Palatino Linotype"/>
          <w:lang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463E072D" w14:textId="204ED585" w:rsidR="004C4CFB" w:rsidRPr="0099684E" w:rsidRDefault="004C4CFB" w:rsidP="009E7481">
      <w:pPr>
        <w:spacing w:after="0" w:line="360" w:lineRule="auto"/>
        <w:rPr>
          <w:rFonts w:eastAsia="Palatino Linotype" w:cs="Palatino Linotype"/>
          <w:lang w:eastAsia="es-MX"/>
        </w:rPr>
      </w:pPr>
    </w:p>
    <w:p w14:paraId="54A627D5" w14:textId="77777777" w:rsidR="004C4CFB" w:rsidRPr="0099684E" w:rsidRDefault="004C4CFB" w:rsidP="009E7481">
      <w:pPr>
        <w:spacing w:after="0" w:line="360" w:lineRule="auto"/>
        <w:rPr>
          <w:rFonts w:eastAsia="Palatino Linotype" w:cs="Palatino Linotype"/>
          <w:lang w:eastAsia="es-MX"/>
        </w:rPr>
      </w:pPr>
      <w:r w:rsidRPr="0099684E">
        <w:rPr>
          <w:rFonts w:eastAsia="Palatino Linotype" w:cs="Palatino Linotype"/>
          <w:lang w:eastAsia="es-MX"/>
        </w:rPr>
        <w:t>Las cadenas originales y sellos que se agregan a las facturas</w:t>
      </w:r>
      <w:r w:rsidRPr="0099684E">
        <w:rPr>
          <w:rFonts w:eastAsia="Palatino Linotype" w:cs="Palatino Linotype"/>
          <w:b/>
          <w:lang w:eastAsia="es-MX"/>
        </w:rPr>
        <w:t>,</w:t>
      </w:r>
      <w:r w:rsidRPr="0099684E">
        <w:rPr>
          <w:rFonts w:eastAsia="Palatino Linotype" w:cs="Palatino Linotype"/>
          <w:lang w:eastAsia="es-MX"/>
        </w:rPr>
        <w:t xml:space="preserve"> tienen una secuencia de generación, determinados con base en el ANEXO 20 de la Segunda Resolución de modificaciones a la Resolución Miscelánea Fiscal para dos mil veintitrés, publicada en el Diario Oficial de la Federación el dieciocho de julio de dos mil diecisiete, que precisa los datos de los </w:t>
      </w:r>
      <w:r w:rsidRPr="0099684E">
        <w:rPr>
          <w:rFonts w:eastAsia="Palatino Linotype" w:cs="Palatino Linotype"/>
          <w:lang w:eastAsia="es-MX"/>
        </w:rPr>
        <w:lastRenderedPageBreak/>
        <w:t>que se componen los elementos de seguridad y se puntualiza que dicha información está encriptada.</w:t>
      </w:r>
    </w:p>
    <w:p w14:paraId="05530919" w14:textId="77777777" w:rsidR="004C4CFB" w:rsidRPr="0099684E" w:rsidRDefault="004C4CFB" w:rsidP="009E7481">
      <w:pPr>
        <w:spacing w:after="0" w:line="360" w:lineRule="auto"/>
        <w:rPr>
          <w:rFonts w:eastAsia="Palatino Linotype" w:cs="Palatino Linotype"/>
          <w:lang w:eastAsia="es-MX"/>
        </w:rPr>
      </w:pPr>
      <w:r w:rsidRPr="0099684E">
        <w:rPr>
          <w:rFonts w:eastAsia="Palatino Linotype" w:cs="Palatino Linotype"/>
          <w:lang w:eastAsia="es-MX"/>
        </w:rPr>
        <w:t> </w:t>
      </w:r>
    </w:p>
    <w:p w14:paraId="5D90BB14"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w:t>
      </w:r>
    </w:p>
    <w:p w14:paraId="1465D48C"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Elementos utilizados en la generación de Sellos Digitales:</w:t>
      </w:r>
    </w:p>
    <w:p w14:paraId="2197B004"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w:t>
      </w:r>
      <w:r w:rsidRPr="0099684E">
        <w:rPr>
          <w:rFonts w:eastAsia="Palatino Linotype" w:cs="Palatino Linotype"/>
          <w:i/>
          <w:sz w:val="20"/>
          <w:szCs w:val="20"/>
          <w:lang w:eastAsia="es-MX"/>
        </w:rPr>
        <w:tab/>
        <w:t>Cadena Original, el elemento a sellar, en este caso de un comprobante fiscal digital a través de Internet.</w:t>
      </w:r>
    </w:p>
    <w:p w14:paraId="534842EC"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w:t>
      </w:r>
      <w:r w:rsidRPr="0099684E">
        <w:rPr>
          <w:rFonts w:eastAsia="Palatino Linotype" w:cs="Palatino Linotype"/>
          <w:i/>
          <w:sz w:val="20"/>
          <w:szCs w:val="20"/>
          <w:lang w:eastAsia="es-MX"/>
        </w:rPr>
        <w:tab/>
        <w:t>Certificado de Sello Digital y su correspondiente clave privada.</w:t>
      </w:r>
    </w:p>
    <w:p w14:paraId="163C3DCA"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w:t>
      </w:r>
      <w:r w:rsidRPr="0099684E">
        <w:rPr>
          <w:rFonts w:eastAsia="Palatino Linotype" w:cs="Palatino Linotype"/>
          <w:i/>
          <w:sz w:val="20"/>
          <w:szCs w:val="20"/>
          <w:lang w:eastAsia="es-MX"/>
        </w:rPr>
        <w:tab/>
        <w:t>Algoritmos de criptografía de clave pública para firma electrónica avanzada.</w:t>
      </w:r>
    </w:p>
    <w:p w14:paraId="201B30FF"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w:t>
      </w:r>
      <w:r w:rsidRPr="0099684E">
        <w:rPr>
          <w:rFonts w:eastAsia="Palatino Linotype" w:cs="Palatino Linotype"/>
          <w:i/>
          <w:sz w:val="20"/>
          <w:szCs w:val="20"/>
          <w:lang w:eastAsia="es-MX"/>
        </w:rPr>
        <w:tab/>
        <w:t>Especificaciones de conversión de la firma electrónica avanzada a Base 64.</w:t>
      </w:r>
    </w:p>
    <w:p w14:paraId="4E336C78"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Para la generación de sellos digitales se utiliza criptografía de clave pública aplicada a una cadena original.</w:t>
      </w:r>
    </w:p>
    <w:p w14:paraId="25D51C86"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Criptografía de la Clave Pública</w:t>
      </w:r>
    </w:p>
    <w:p w14:paraId="7BB40DDA"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 xml:space="preserve">La criptografía de Clave Pública se basa en la generación de una pareja de números muy grandes relacionados íntimamente entre sí, de tal manera que una operación de </w:t>
      </w:r>
      <w:proofErr w:type="spellStart"/>
      <w:r w:rsidRPr="0099684E">
        <w:rPr>
          <w:rFonts w:eastAsia="Palatino Linotype" w:cs="Palatino Linotype"/>
          <w:i/>
          <w:sz w:val="20"/>
          <w:szCs w:val="20"/>
          <w:lang w:eastAsia="es-MX"/>
        </w:rPr>
        <w:t>encripción</w:t>
      </w:r>
      <w:proofErr w:type="spellEnd"/>
      <w:r w:rsidRPr="0099684E">
        <w:rPr>
          <w:rFonts w:eastAsia="Palatino Linotype" w:cs="Palatino Linotype"/>
          <w:i/>
          <w:sz w:val="20"/>
          <w:szCs w:val="20"/>
          <w:lang w:eastAsia="es-MX"/>
        </w:rPr>
        <w:t xml:space="preserve"> sobre un mensaje tomando como clave de </w:t>
      </w:r>
      <w:proofErr w:type="spellStart"/>
      <w:r w:rsidRPr="0099684E">
        <w:rPr>
          <w:rFonts w:eastAsia="Palatino Linotype" w:cs="Palatino Linotype"/>
          <w:i/>
          <w:sz w:val="20"/>
          <w:szCs w:val="20"/>
          <w:lang w:eastAsia="es-MX"/>
        </w:rPr>
        <w:t>encripción</w:t>
      </w:r>
      <w:proofErr w:type="spellEnd"/>
      <w:r w:rsidRPr="0099684E">
        <w:rPr>
          <w:rFonts w:eastAsia="Palatino Linotype" w:cs="Palatino Linotype"/>
          <w:i/>
          <w:sz w:val="20"/>
          <w:szCs w:val="20"/>
          <w:lang w:eastAsia="es-MX"/>
        </w:rPr>
        <w:t xml:space="preserve"> a uno de los dos números, produce un mensaje alterado en su significado que solo puede ser devuelto a su estado original mediante la operación de </w:t>
      </w:r>
      <w:proofErr w:type="spellStart"/>
      <w:r w:rsidRPr="0099684E">
        <w:rPr>
          <w:rFonts w:eastAsia="Palatino Linotype" w:cs="Palatino Linotype"/>
          <w:i/>
          <w:sz w:val="20"/>
          <w:szCs w:val="20"/>
          <w:lang w:eastAsia="es-MX"/>
        </w:rPr>
        <w:t>desencripción</w:t>
      </w:r>
      <w:proofErr w:type="spellEnd"/>
      <w:r w:rsidRPr="0099684E">
        <w:rPr>
          <w:rFonts w:eastAsia="Palatino Linotype" w:cs="Palatino Linotype"/>
          <w:i/>
          <w:sz w:val="20"/>
          <w:szCs w:val="20"/>
          <w:lang w:eastAsia="es-MX"/>
        </w:rPr>
        <w:t xml:space="preserve"> correspondiente tomando como clave de </w:t>
      </w:r>
      <w:proofErr w:type="spellStart"/>
      <w:r w:rsidRPr="0099684E">
        <w:rPr>
          <w:rFonts w:eastAsia="Palatino Linotype" w:cs="Palatino Linotype"/>
          <w:i/>
          <w:sz w:val="20"/>
          <w:szCs w:val="20"/>
          <w:lang w:eastAsia="es-MX"/>
        </w:rPr>
        <w:t>desencripción</w:t>
      </w:r>
      <w:proofErr w:type="spellEnd"/>
      <w:r w:rsidRPr="0099684E">
        <w:rPr>
          <w:rFonts w:eastAsia="Palatino Linotype" w:cs="Palatino Linotype"/>
          <w:i/>
          <w:sz w:val="20"/>
          <w:szCs w:val="20"/>
          <w:lang w:eastAsia="es-MX"/>
        </w:rPr>
        <w:t xml:space="preserve"> al otro número de la pareja.</w:t>
      </w:r>
    </w:p>
    <w:p w14:paraId="458467D8" w14:textId="77777777" w:rsidR="004C4CFB" w:rsidRPr="0099684E" w:rsidRDefault="004C4CFB" w:rsidP="009E7481">
      <w:pPr>
        <w:spacing w:after="0" w:line="360" w:lineRule="auto"/>
        <w:ind w:left="567" w:right="539"/>
        <w:rPr>
          <w:rFonts w:eastAsia="Palatino Linotype" w:cs="Palatino Linotype"/>
          <w:i/>
          <w:sz w:val="20"/>
          <w:szCs w:val="20"/>
          <w:lang w:eastAsia="es-MX"/>
        </w:rPr>
      </w:pPr>
      <w:r w:rsidRPr="0099684E">
        <w:rPr>
          <w:rFonts w:eastAsia="Palatino Linotype" w:cs="Palatino Linotype"/>
          <w:i/>
          <w:sz w:val="20"/>
          <w:szCs w:val="20"/>
          <w:lang w:eastAsia="es-MX"/>
        </w:rPr>
        <w:t>…”</w:t>
      </w:r>
    </w:p>
    <w:p w14:paraId="0390A8DB" w14:textId="77777777" w:rsidR="004C4CFB" w:rsidRPr="0099684E" w:rsidRDefault="004C4CFB" w:rsidP="009E7481">
      <w:pPr>
        <w:spacing w:after="0" w:line="360" w:lineRule="auto"/>
        <w:rPr>
          <w:rFonts w:eastAsia="Palatino Linotype" w:cs="Palatino Linotype"/>
          <w:lang w:eastAsia="es-MX"/>
        </w:rPr>
      </w:pPr>
      <w:r w:rsidRPr="0099684E">
        <w:rPr>
          <w:rFonts w:eastAsia="Palatino Linotype" w:cs="Palatino Linotype"/>
          <w:lang w:eastAsia="es-MX"/>
        </w:rPr>
        <w:t> </w:t>
      </w:r>
    </w:p>
    <w:p w14:paraId="065CAB6B" w14:textId="77777777" w:rsidR="00476B4C" w:rsidRPr="0099684E" w:rsidRDefault="004C4CFB" w:rsidP="009E7481">
      <w:pPr>
        <w:spacing w:after="0" w:line="360" w:lineRule="auto"/>
      </w:pPr>
      <w:r w:rsidRPr="0099684E">
        <w:rPr>
          <w:rFonts w:eastAsia="Palatino Linotype" w:cs="Palatino Linotype"/>
          <w:lang w:eastAsia="es-MX"/>
        </w:rPr>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r w:rsidR="00FE2C2C" w:rsidRPr="0099684E">
        <w:t xml:space="preserve"> </w:t>
      </w:r>
    </w:p>
    <w:p w14:paraId="34BECAAA" w14:textId="77777777" w:rsidR="00476B4C" w:rsidRPr="0099684E" w:rsidRDefault="00476B4C" w:rsidP="009E7481">
      <w:pPr>
        <w:spacing w:after="0" w:line="360" w:lineRule="auto"/>
      </w:pPr>
    </w:p>
    <w:p w14:paraId="4F759E18" w14:textId="77777777" w:rsidR="004F25E8" w:rsidRPr="0099684E" w:rsidRDefault="004F25E8" w:rsidP="004F25E8">
      <w:pPr>
        <w:spacing w:after="0" w:line="360" w:lineRule="auto"/>
        <w:contextualSpacing/>
        <w:rPr>
          <w:rFonts w:eastAsia="Times New Roman" w:cs="Tahoma"/>
          <w:bCs/>
          <w:lang w:val="es-ES" w:eastAsia="es-ES"/>
        </w:rPr>
      </w:pPr>
      <w:r w:rsidRPr="0099684E">
        <w:rPr>
          <w:rFonts w:eastAsia="Times New Roman" w:cs="Tahoma"/>
          <w:bCs/>
          <w:lang w:val="es-ES" w:eastAsia="es-ES"/>
        </w:rPr>
        <w:t xml:space="preserve">Sin embargo, existen ocasiones que las cadenas y sellos se conforman de datos personales, tales como, la Clave Única de Registro de Población, el Registro Federal de Contribuyentes o el </w:t>
      </w:r>
      <w:r w:rsidRPr="0099684E">
        <w:rPr>
          <w:rFonts w:eastAsia="Times New Roman" w:cs="Tahoma"/>
          <w:bCs/>
          <w:lang w:val="es-ES" w:eastAsia="es-ES"/>
        </w:rPr>
        <w:lastRenderedPageBreak/>
        <w:t>número de seguridad social, por lo que, en el caso de que alguno de los datos analizados se conforme de información confidencial, deberá clasificarlo en términos del artículo referido.</w:t>
      </w:r>
    </w:p>
    <w:p w14:paraId="77833339" w14:textId="77777777" w:rsidR="004F25E8" w:rsidRPr="0099684E" w:rsidRDefault="004F25E8" w:rsidP="009E7481">
      <w:pPr>
        <w:spacing w:after="0" w:line="360" w:lineRule="auto"/>
      </w:pPr>
    </w:p>
    <w:p w14:paraId="5FAA95CD" w14:textId="2C28CFF6" w:rsidR="004C4CFB" w:rsidRPr="0099684E" w:rsidRDefault="00FE2C2C" w:rsidP="009E7481">
      <w:pPr>
        <w:spacing w:after="0" w:line="360" w:lineRule="auto"/>
        <w:rPr>
          <w:rFonts w:eastAsia="Palatino Linotype" w:cs="Palatino Linotype"/>
          <w:lang w:eastAsia="es-MX"/>
        </w:rPr>
      </w:pPr>
      <w:r w:rsidRPr="0099684E">
        <w:rPr>
          <w:rFonts w:eastAsia="Palatino Linotype" w:cs="Palatino Linotype"/>
          <w:lang w:eastAsia="es-MX"/>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cuatro de septiembre de dos mil veinticuatro, a las once horas con diez minutos, en la página electrónica </w:t>
      </w:r>
      <w:hyperlink r:id="rId11" w:history="1">
        <w:r w:rsidRPr="0099684E">
          <w:rPr>
            <w:rStyle w:val="Hipervnculo"/>
            <w:lang w:eastAsia="es-MX"/>
          </w:rPr>
          <w:t>https://portalanterior.ine.mx/archivos2/tutoriales/sistemas/ApoyoInstitucional/SIF/docs/candidatos/folioFiscalFactura.pdf</w:t>
        </w:r>
      </w:hyperlink>
      <w:r w:rsidRPr="0099684E">
        <w:rPr>
          <w:rFonts w:eastAsia="Palatino Linotype" w:cs="Palatino Linotype"/>
          <w:lang w:eastAsia="es-MX"/>
        </w:rPr>
        <w:t>), en la cual se advierte que únicamente se encuentra conformado por números, se muestra a continuación:</w:t>
      </w:r>
    </w:p>
    <w:p w14:paraId="7C7266F4" w14:textId="77777777" w:rsidR="00127FD5" w:rsidRPr="0099684E" w:rsidRDefault="00127FD5" w:rsidP="009E7481">
      <w:pPr>
        <w:spacing w:after="0" w:line="360" w:lineRule="auto"/>
        <w:rPr>
          <w:rFonts w:eastAsia="Palatino Linotype" w:cs="Palatino Linotype"/>
          <w:lang w:eastAsia="es-MX"/>
        </w:rPr>
      </w:pPr>
    </w:p>
    <w:p w14:paraId="607E3482" w14:textId="2D62BCC9" w:rsidR="00FE2C2C" w:rsidRPr="0099684E" w:rsidRDefault="00FE2C2C" w:rsidP="009E7481">
      <w:pPr>
        <w:spacing w:after="0" w:line="360" w:lineRule="auto"/>
        <w:jc w:val="center"/>
        <w:rPr>
          <w:rFonts w:eastAsia="Palatino Linotype" w:cs="Palatino Linotype"/>
          <w:lang w:eastAsia="es-MX"/>
        </w:rPr>
      </w:pPr>
      <w:r w:rsidRPr="0099684E">
        <w:rPr>
          <w:rFonts w:eastAsia="Palatino Linotype" w:cs="Palatino Linotype"/>
          <w:noProof/>
          <w:lang w:eastAsia="es-MX"/>
        </w:rPr>
        <w:drawing>
          <wp:inline distT="0" distB="0" distL="0" distR="0" wp14:anchorId="3FF14888" wp14:editId="26785742">
            <wp:extent cx="4619659" cy="91440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9659" cy="914407"/>
                    </a:xfrm>
                    <a:prstGeom prst="rect">
                      <a:avLst/>
                    </a:prstGeom>
                  </pic:spPr>
                </pic:pic>
              </a:graphicData>
            </a:graphic>
          </wp:inline>
        </w:drawing>
      </w:r>
    </w:p>
    <w:p w14:paraId="2E41B4D0" w14:textId="77777777" w:rsidR="004C4CFB" w:rsidRPr="0099684E" w:rsidRDefault="004C4CFB" w:rsidP="009E7481">
      <w:pPr>
        <w:tabs>
          <w:tab w:val="left" w:pos="4962"/>
        </w:tabs>
        <w:spacing w:after="0" w:line="360" w:lineRule="auto"/>
        <w:rPr>
          <w:rFonts w:eastAsia="Palatino Linotype" w:cs="Palatino Linotype"/>
          <w:color w:val="000000"/>
          <w:lang w:eastAsia="es-MX"/>
        </w:rPr>
      </w:pPr>
    </w:p>
    <w:p w14:paraId="469ECDD5" w14:textId="2C9B35A8" w:rsidR="00FE2C2C" w:rsidRPr="0099684E" w:rsidRDefault="00FE2C2C" w:rsidP="009E7481">
      <w:pPr>
        <w:spacing w:after="0" w:line="360" w:lineRule="auto"/>
        <w:rPr>
          <w:rFonts w:eastAsia="Palatino Linotype" w:cs="Palatino Linotype"/>
          <w:color w:val="000000"/>
          <w:lang w:eastAsia="es-MX"/>
        </w:rPr>
      </w:pPr>
      <w:r w:rsidRPr="0099684E">
        <w:rPr>
          <w:rFonts w:eastAsia="Palatino Linotype" w:cs="Palatino Linotype"/>
          <w:color w:val="000000"/>
          <w:lang w:eastAsia="es-MX"/>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59662A33" w14:textId="3F6DBAE6" w:rsidR="00FE2C2C" w:rsidRPr="0099684E" w:rsidRDefault="00FE2C2C" w:rsidP="009E7481">
      <w:pPr>
        <w:spacing w:after="0" w:line="360" w:lineRule="auto"/>
        <w:rPr>
          <w:rFonts w:eastAsia="Palatino Linotype" w:cs="Palatino Linotype"/>
          <w:color w:val="000000"/>
          <w:lang w:eastAsia="es-MX"/>
        </w:rPr>
      </w:pPr>
    </w:p>
    <w:p w14:paraId="6FA7D142" w14:textId="587B3665" w:rsidR="00FE2C2C" w:rsidRPr="0099684E" w:rsidRDefault="00FE2C2C" w:rsidP="009E7481">
      <w:pPr>
        <w:spacing w:after="0" w:line="360" w:lineRule="auto"/>
        <w:rPr>
          <w:rFonts w:eastAsia="Palatino Linotype" w:cs="Palatino Linotype"/>
          <w:color w:val="000000"/>
          <w:lang w:eastAsia="es-MX"/>
        </w:rPr>
      </w:pPr>
      <w:r w:rsidRPr="0099684E">
        <w:rPr>
          <w:rFonts w:eastAsia="Palatino Linotype" w:cs="Palatino Linotype"/>
          <w:color w:val="000000"/>
          <w:lang w:eastAsia="es-MX"/>
        </w:rPr>
        <w:lastRenderedPageBreak/>
        <w:t xml:space="preserve">Ahora bien, por lo que hace </w:t>
      </w:r>
      <w:r w:rsidRPr="0099684E">
        <w:rPr>
          <w:rFonts w:eastAsia="Palatino Linotype" w:cs="Palatino Linotype"/>
          <w:b/>
          <w:bCs/>
          <w:color w:val="000000"/>
          <w:lang w:eastAsia="es-MX"/>
        </w:rPr>
        <w:t>Folio Fiscal,</w:t>
      </w:r>
      <w:r w:rsidRPr="0099684E">
        <w:rPr>
          <w:rFonts w:eastAsia="Palatino Linotype" w:cs="Palatino Linotype"/>
          <w:color w:val="000000"/>
          <w:lang w:eastAsia="es-MX"/>
        </w:rPr>
        <w:t xml:space="preserve">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09E2B07D" w14:textId="0EE57B9F" w:rsidR="00FE2C2C" w:rsidRPr="0099684E" w:rsidRDefault="00FE2C2C" w:rsidP="009E7481">
      <w:pPr>
        <w:spacing w:after="0" w:line="360" w:lineRule="auto"/>
        <w:rPr>
          <w:rFonts w:eastAsia="Palatino Linotype" w:cs="Palatino Linotype"/>
          <w:color w:val="000000"/>
          <w:lang w:eastAsia="es-MX"/>
        </w:rPr>
      </w:pPr>
      <w:r w:rsidRPr="0099684E">
        <w:rPr>
          <w:rFonts w:eastAsia="Palatino Linotype" w:cs="Palatino Linotype"/>
          <w:color w:val="000000"/>
          <w:lang w:eastAsia="es-MX"/>
        </w:rPr>
        <w:t xml:space="preserve"> </w:t>
      </w:r>
    </w:p>
    <w:p w14:paraId="14C44BAB" w14:textId="3E7B30D1" w:rsidR="00FE2C2C" w:rsidRPr="0099684E" w:rsidRDefault="00FE2C2C" w:rsidP="009E7481">
      <w:pPr>
        <w:spacing w:after="0" w:line="360" w:lineRule="auto"/>
        <w:jc w:val="center"/>
        <w:rPr>
          <w:rFonts w:eastAsia="Palatino Linotype" w:cs="Palatino Linotype"/>
          <w:color w:val="000000"/>
          <w:lang w:eastAsia="es-MX"/>
        </w:rPr>
      </w:pPr>
      <w:r w:rsidRPr="0099684E">
        <w:rPr>
          <w:rFonts w:eastAsia="Palatino Linotype" w:cs="Palatino Linotype"/>
          <w:noProof/>
          <w:color w:val="000000"/>
          <w:lang w:eastAsia="es-MX"/>
        </w:rPr>
        <w:drawing>
          <wp:inline distT="0" distB="0" distL="0" distR="0" wp14:anchorId="0134F2D7" wp14:editId="6754E251">
            <wp:extent cx="4438682" cy="102870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38682" cy="1028708"/>
                    </a:xfrm>
                    <a:prstGeom prst="rect">
                      <a:avLst/>
                    </a:prstGeom>
                  </pic:spPr>
                </pic:pic>
              </a:graphicData>
            </a:graphic>
          </wp:inline>
        </w:drawing>
      </w:r>
    </w:p>
    <w:p w14:paraId="077F4066" w14:textId="37D6387C" w:rsidR="00FE2C2C" w:rsidRPr="0099684E" w:rsidRDefault="00FE2C2C" w:rsidP="009E7481">
      <w:pPr>
        <w:spacing w:after="0" w:line="360" w:lineRule="auto"/>
        <w:rPr>
          <w:rFonts w:eastAsia="Palatino Linotype" w:cs="Palatino Linotype"/>
          <w:color w:val="000000"/>
          <w:lang w:eastAsia="es-MX"/>
        </w:rPr>
      </w:pPr>
    </w:p>
    <w:p w14:paraId="3041C610" w14:textId="29CBC186" w:rsidR="00FE2C2C" w:rsidRPr="0099684E" w:rsidRDefault="00FE2C2C" w:rsidP="009E7481">
      <w:pPr>
        <w:spacing w:after="0" w:line="360" w:lineRule="auto"/>
        <w:rPr>
          <w:rFonts w:eastAsia="Palatino Linotype" w:cs="Palatino Linotype"/>
          <w:color w:val="000000"/>
          <w:lang w:eastAsia="es-MX"/>
        </w:rPr>
      </w:pPr>
      <w:r w:rsidRPr="0099684E">
        <w:rPr>
          <w:rFonts w:eastAsia="Palatino Linotype" w:cs="Palatino Linotype"/>
          <w:color w:val="000000"/>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08CBEC0D" w14:textId="122B754F" w:rsidR="00FE2C2C" w:rsidRPr="0099684E" w:rsidRDefault="00FE2C2C" w:rsidP="009E7481">
      <w:pPr>
        <w:spacing w:after="0" w:line="360" w:lineRule="auto"/>
        <w:rPr>
          <w:rFonts w:eastAsia="Palatino Linotype" w:cs="Palatino Linotype"/>
          <w:color w:val="000000"/>
          <w:lang w:eastAsia="es-MX"/>
        </w:rPr>
      </w:pPr>
    </w:p>
    <w:p w14:paraId="5255CEBA" w14:textId="77777777" w:rsidR="004F25E8" w:rsidRPr="0099684E" w:rsidRDefault="00A13E67" w:rsidP="009E7481">
      <w:pPr>
        <w:tabs>
          <w:tab w:val="left" w:pos="4962"/>
        </w:tabs>
        <w:spacing w:after="0" w:line="360" w:lineRule="auto"/>
        <w:rPr>
          <w:rFonts w:eastAsia="Palatino Linotype" w:cs="Palatino Linotype"/>
          <w:lang w:eastAsia="es-MX"/>
        </w:rPr>
      </w:pPr>
      <w:r w:rsidRPr="0099684E">
        <w:rPr>
          <w:rFonts w:eastAsia="Palatino Linotype" w:cs="Palatino Linotype"/>
          <w:lang w:eastAsia="es-MX"/>
        </w:rPr>
        <w:t>Conforme a lo anterior, se advierte que el Sujeto Obligado clasificó datos de naturaleza pública</w:t>
      </w:r>
      <w:r w:rsidR="00D65868" w:rsidRPr="0099684E">
        <w:rPr>
          <w:rFonts w:eastAsia="Palatino Linotype" w:cs="Palatino Linotype"/>
          <w:lang w:eastAsia="es-MX"/>
        </w:rPr>
        <w:t>,</w:t>
      </w:r>
      <w:r w:rsidR="004F25E8" w:rsidRPr="0099684E">
        <w:rPr>
          <w:rFonts w:eastAsia="Palatino Linotype" w:cs="Palatino Linotype"/>
          <w:lang w:eastAsia="es-MX"/>
        </w:rPr>
        <w:t xml:space="preserve"> como lo son el Folio Fiscal, el número de serie de los certificados, y en su caso, el número de empleado, la cadena original y los sellos digitales (para el caso, de que no se conformen de daos personales o den acceso a estos), </w:t>
      </w:r>
      <w:r w:rsidR="00D65868" w:rsidRPr="0099684E">
        <w:rPr>
          <w:rFonts w:eastAsia="Palatino Linotype" w:cs="Palatino Linotype"/>
          <w:lang w:eastAsia="es-MX"/>
        </w:rPr>
        <w:t xml:space="preserve">por lo que, se considera que el agravio es </w:t>
      </w:r>
      <w:r w:rsidR="00D65868" w:rsidRPr="0099684E">
        <w:rPr>
          <w:rFonts w:eastAsia="Palatino Linotype" w:cs="Palatino Linotype"/>
          <w:b/>
          <w:bCs/>
          <w:lang w:eastAsia="es-MX"/>
        </w:rPr>
        <w:t>FUNDADO</w:t>
      </w:r>
      <w:r w:rsidR="004F25E8" w:rsidRPr="0099684E">
        <w:rPr>
          <w:rFonts w:eastAsia="Palatino Linotype" w:cs="Palatino Linotype"/>
          <w:lang w:eastAsia="es-MX"/>
        </w:rPr>
        <w:t>.</w:t>
      </w:r>
    </w:p>
    <w:p w14:paraId="362B714C" w14:textId="77777777" w:rsidR="004F25E8" w:rsidRPr="0099684E" w:rsidRDefault="004F25E8" w:rsidP="009E7481">
      <w:pPr>
        <w:tabs>
          <w:tab w:val="left" w:pos="4962"/>
        </w:tabs>
        <w:spacing w:after="0" w:line="360" w:lineRule="auto"/>
        <w:rPr>
          <w:rFonts w:eastAsia="Palatino Linotype" w:cs="Palatino Linotype"/>
          <w:lang w:eastAsia="es-MX"/>
        </w:rPr>
      </w:pPr>
    </w:p>
    <w:p w14:paraId="7612A8FB" w14:textId="77777777" w:rsidR="004F25E8" w:rsidRPr="0099684E" w:rsidRDefault="004F25E8" w:rsidP="009E7481">
      <w:pPr>
        <w:tabs>
          <w:tab w:val="left" w:pos="4962"/>
        </w:tabs>
        <w:spacing w:after="0" w:line="360" w:lineRule="auto"/>
        <w:rPr>
          <w:rFonts w:eastAsia="Palatino Linotype" w:cs="Palatino Linotype"/>
          <w:lang w:eastAsia="es-MX"/>
        </w:rPr>
      </w:pPr>
    </w:p>
    <w:p w14:paraId="5E728037" w14:textId="0E7554F6" w:rsidR="004C4CFB" w:rsidRPr="0099684E" w:rsidRDefault="004F25E8" w:rsidP="009E7481">
      <w:pPr>
        <w:tabs>
          <w:tab w:val="left" w:pos="4962"/>
        </w:tabs>
        <w:spacing w:after="0" w:line="360" w:lineRule="auto"/>
        <w:rPr>
          <w:rFonts w:eastAsia="Palatino Linotype" w:cs="Palatino Linotype"/>
          <w:lang w:eastAsia="es-MX"/>
        </w:rPr>
      </w:pPr>
      <w:r w:rsidRPr="0099684E">
        <w:rPr>
          <w:rFonts w:eastAsia="Palatino Linotype" w:cs="Palatino Linotype"/>
          <w:lang w:eastAsia="es-MX"/>
        </w:rPr>
        <w:t>Por lo que para atender el requerimiento de información</w:t>
      </w:r>
      <w:r w:rsidR="00A13E67" w:rsidRPr="0099684E">
        <w:rPr>
          <w:rFonts w:eastAsia="Palatino Linotype" w:cs="Palatino Linotype"/>
          <w:lang w:eastAsia="es-MX"/>
        </w:rPr>
        <w:t xml:space="preserve">, deberá proporcionarlos de nueva cuenta, </w:t>
      </w:r>
      <w:r w:rsidRPr="0099684E">
        <w:rPr>
          <w:rFonts w:eastAsia="Palatino Linotype" w:cs="Palatino Linotype"/>
          <w:lang w:eastAsia="es-MX"/>
        </w:rPr>
        <w:t>en versión pública, tomando en consideración lo establecido en el presente apartado</w:t>
      </w:r>
      <w:r w:rsidR="004C4CFB" w:rsidRPr="0099684E">
        <w:rPr>
          <w:rFonts w:eastAsia="Palatino Linotype" w:cs="Palatino Linotype"/>
          <w:lang w:eastAsia="es-MX"/>
        </w:rPr>
        <w:t>;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9ADB663" w14:textId="77777777" w:rsidR="004C4CFB" w:rsidRPr="0099684E" w:rsidRDefault="004C4CFB" w:rsidP="009E7481">
      <w:pPr>
        <w:spacing w:after="0" w:line="360" w:lineRule="auto"/>
        <w:rPr>
          <w:rFonts w:eastAsia="Palatino Linotype" w:cs="Palatino Linotype"/>
          <w:lang w:eastAsia="es-MX"/>
        </w:rPr>
      </w:pPr>
    </w:p>
    <w:p w14:paraId="1D2BD3B6" w14:textId="56F7796A" w:rsidR="004F25E8" w:rsidRPr="0099684E" w:rsidRDefault="004F25E8" w:rsidP="009E7481">
      <w:pPr>
        <w:spacing w:after="0" w:line="360" w:lineRule="auto"/>
        <w:rPr>
          <w:rFonts w:eastAsia="Palatino Linotype" w:cs="Palatino Linotype"/>
          <w:lang w:eastAsia="es-MX"/>
        </w:rPr>
      </w:pPr>
      <w:r w:rsidRPr="0099684E">
        <w:rPr>
          <w:rFonts w:eastAsia="Palatino Linotype" w:cs="Palatino Linotype"/>
          <w:lang w:eastAsia="es-MX"/>
        </w:rPr>
        <w:t xml:space="preserve">Lo anterior, toma relevancia, pues este Instituto revisó el Acta emitida por el Comité de Transparencia y logro vislumbrar </w:t>
      </w:r>
      <w:r w:rsidR="00403449" w:rsidRPr="0099684E">
        <w:rPr>
          <w:rFonts w:eastAsia="Palatino Linotype" w:cs="Palatino Linotype"/>
          <w:lang w:eastAsia="es-MX"/>
        </w:rPr>
        <w:t>que,</w:t>
      </w:r>
      <w:r w:rsidRPr="0099684E">
        <w:rPr>
          <w:rFonts w:eastAsia="Palatino Linotype" w:cs="Palatino Linotype"/>
          <w:lang w:eastAsia="es-MX"/>
        </w:rPr>
        <w:t xml:space="preserve"> si bien fundamentó la clasificación, al señalar la normatividad aplicable, omitió motivar la clasificación de cada uno de los datos testados.</w:t>
      </w:r>
    </w:p>
    <w:p w14:paraId="547BE481" w14:textId="77777777" w:rsidR="004F25E8" w:rsidRPr="0099684E" w:rsidRDefault="004F25E8" w:rsidP="009E7481">
      <w:pPr>
        <w:spacing w:after="0" w:line="360" w:lineRule="auto"/>
        <w:rPr>
          <w:rFonts w:eastAsia="Palatino Linotype" w:cs="Palatino Linotype"/>
          <w:lang w:eastAsia="es-MX"/>
        </w:rPr>
      </w:pPr>
    </w:p>
    <w:p w14:paraId="10B508D5" w14:textId="29D44A1C" w:rsidR="00403449" w:rsidRPr="0099684E" w:rsidRDefault="00403449" w:rsidP="00403449">
      <w:pPr>
        <w:spacing w:after="0" w:line="360" w:lineRule="auto"/>
        <w:rPr>
          <w:rFonts w:eastAsia="Times New Roman" w:cs="Tahoma"/>
          <w:color w:val="000000"/>
          <w:lang w:eastAsia="es-MX"/>
        </w:rPr>
      </w:pPr>
      <w:r w:rsidRPr="0099684E">
        <w:rPr>
          <w:rFonts w:eastAsia="Times New Roman" w:cs="Tahoma"/>
          <w:color w:val="000000"/>
          <w:lang w:eastAsia="es-MX"/>
        </w:rPr>
        <w:t xml:space="preserve">Sobre lo anterior, el artículo 131 de la Ley de Transparencia y Acceso a la Información Pública del Estado de México y Municipio, así como el Quinto de los </w:t>
      </w:r>
      <w:r w:rsidRPr="0099684E">
        <w:rPr>
          <w:rFonts w:eastAsia="Times New Roman" w:cs="Tahoma"/>
          <w:color w:val="000000"/>
          <w:lang w:eastAsia="es-ES"/>
        </w:rPr>
        <w:t>Lineamientos Generales en Materia de Clasificación y Desclasificación de la Información, así como para la Elaboración de Versiones Públicas –Lineamientos Generales-, vigentes a la fecha de la presentación de la solicitud</w:t>
      </w:r>
      <w:r w:rsidRPr="0099684E">
        <w:rPr>
          <w:rFonts w:eastAsia="Times New Roman" w:cs="Tahoma"/>
          <w:color w:val="000000"/>
          <w:lang w:eastAsia="es-MX"/>
        </w:rPr>
        <w:t xml:space="preserve">, establecen que los sujetos obligados </w:t>
      </w:r>
      <w:r w:rsidRPr="0099684E">
        <w:rPr>
          <w:rFonts w:eastAsia="Times New Roman" w:cs="Tahoma"/>
          <w:b/>
          <w:color w:val="000000"/>
          <w:lang w:eastAsia="es-MX"/>
        </w:rPr>
        <w:t>deberán fundar y motivar</w:t>
      </w:r>
      <w:r w:rsidRPr="0099684E">
        <w:rPr>
          <w:rFonts w:eastAsia="Times New Roman" w:cs="Tahoma"/>
          <w:color w:val="000000"/>
          <w:lang w:eastAsia="es-MX"/>
        </w:rPr>
        <w:t xml:space="preserve"> debidamente la clasificación de la información.</w:t>
      </w:r>
    </w:p>
    <w:p w14:paraId="0C2088E2" w14:textId="77777777" w:rsidR="00403449" w:rsidRPr="0099684E" w:rsidRDefault="00403449" w:rsidP="00403449">
      <w:pPr>
        <w:spacing w:after="0" w:line="360" w:lineRule="auto"/>
        <w:rPr>
          <w:rFonts w:eastAsia="Times New Roman" w:cs="Tahoma"/>
          <w:b/>
          <w:color w:val="000000"/>
          <w:lang w:eastAsia="es-MX"/>
        </w:rPr>
      </w:pPr>
    </w:p>
    <w:p w14:paraId="572FEDBD" w14:textId="77777777" w:rsidR="00403449" w:rsidRPr="0099684E" w:rsidRDefault="00403449" w:rsidP="00403449">
      <w:pPr>
        <w:spacing w:after="0" w:line="360" w:lineRule="auto"/>
        <w:rPr>
          <w:rFonts w:eastAsia="Times New Roman" w:cs="Tahoma"/>
          <w:bCs/>
          <w:iCs/>
          <w:color w:val="000000"/>
          <w:lang w:eastAsia="es-MX"/>
        </w:rPr>
      </w:pPr>
      <w:r w:rsidRPr="0099684E">
        <w:rPr>
          <w:rFonts w:eastAsia="Times New Roman" w:cs="Tahoma"/>
          <w:color w:val="000000"/>
          <w:lang w:eastAsia="es-MX"/>
        </w:rPr>
        <w:t>Al respecto, e</w:t>
      </w:r>
      <w:r w:rsidRPr="0099684E">
        <w:rPr>
          <w:rFonts w:eastAsia="Times New Roman" w:cs="Tahoma"/>
          <w:bCs/>
          <w:iCs/>
          <w:color w:val="000000"/>
          <w:lang w:eastAsia="es-MX"/>
        </w:rPr>
        <w:t>l Octavo de los Lineamientos Generales, precisa lo siguiente:</w:t>
      </w:r>
    </w:p>
    <w:p w14:paraId="64C048DE" w14:textId="77777777" w:rsidR="00403449" w:rsidRPr="0099684E" w:rsidRDefault="00403449" w:rsidP="00403449">
      <w:pPr>
        <w:spacing w:after="0" w:line="360" w:lineRule="auto"/>
        <w:rPr>
          <w:rFonts w:eastAsia="Times New Roman" w:cs="Tahoma"/>
          <w:bCs/>
          <w:iCs/>
          <w:color w:val="000000"/>
          <w:lang w:eastAsia="es-MX"/>
        </w:rPr>
      </w:pPr>
    </w:p>
    <w:p w14:paraId="3FB86B5A" w14:textId="77777777" w:rsidR="00403449" w:rsidRPr="0099684E" w:rsidRDefault="00403449" w:rsidP="00403449">
      <w:pPr>
        <w:numPr>
          <w:ilvl w:val="0"/>
          <w:numId w:val="9"/>
        </w:numPr>
        <w:spacing w:after="0" w:line="360" w:lineRule="auto"/>
        <w:jc w:val="left"/>
        <w:rPr>
          <w:rFonts w:eastAsia="Times New Roman" w:cs="Tahoma"/>
          <w:bCs/>
          <w:color w:val="000000"/>
          <w:u w:val="single"/>
          <w:lang w:eastAsia="es-MX"/>
        </w:rPr>
      </w:pPr>
      <w:r w:rsidRPr="0099684E">
        <w:rPr>
          <w:rFonts w:eastAsia="Times New Roman" w:cs="Tahoma"/>
          <w:b/>
          <w:bCs/>
          <w:color w:val="000000"/>
          <w:lang w:eastAsia="es-MX"/>
        </w:rPr>
        <w:t>Para fundar la clasificación</w:t>
      </w:r>
      <w:r w:rsidRPr="0099684E">
        <w:rPr>
          <w:rFonts w:eastAsia="Times New Roman" w:cs="Tahoma"/>
          <w:bCs/>
          <w:color w:val="000000"/>
          <w:lang w:eastAsia="es-MX"/>
        </w:rPr>
        <w:t xml:space="preserve"> de la información se deberán señalar el artículo, fracción, inciso, párrafo o numeral de la Ley aplicable;</w:t>
      </w:r>
    </w:p>
    <w:p w14:paraId="20FB3B75" w14:textId="77777777" w:rsidR="00403449" w:rsidRPr="0099684E" w:rsidRDefault="00403449" w:rsidP="00403449">
      <w:pPr>
        <w:spacing w:after="0" w:line="360" w:lineRule="auto"/>
        <w:rPr>
          <w:rFonts w:eastAsia="Times New Roman" w:cs="Tahoma"/>
          <w:bCs/>
          <w:color w:val="000000"/>
          <w:lang w:eastAsia="es-MX"/>
        </w:rPr>
      </w:pPr>
    </w:p>
    <w:p w14:paraId="4A305AD2" w14:textId="77777777" w:rsidR="00D45D72" w:rsidRPr="0099684E" w:rsidRDefault="00D45D72" w:rsidP="00403449">
      <w:pPr>
        <w:spacing w:after="0" w:line="360" w:lineRule="auto"/>
        <w:rPr>
          <w:rFonts w:eastAsia="Times New Roman" w:cs="Tahoma"/>
          <w:bCs/>
          <w:color w:val="000000"/>
          <w:lang w:eastAsia="es-MX"/>
        </w:rPr>
      </w:pPr>
    </w:p>
    <w:p w14:paraId="6124B039" w14:textId="77777777" w:rsidR="00403449" w:rsidRPr="0099684E" w:rsidRDefault="00403449" w:rsidP="00403449">
      <w:pPr>
        <w:numPr>
          <w:ilvl w:val="0"/>
          <w:numId w:val="9"/>
        </w:numPr>
        <w:spacing w:after="0" w:line="360" w:lineRule="auto"/>
        <w:rPr>
          <w:rFonts w:eastAsia="Times New Roman" w:cs="Tahoma"/>
          <w:bCs/>
          <w:color w:val="000000"/>
          <w:lang w:eastAsia="es-MX"/>
        </w:rPr>
      </w:pPr>
      <w:r w:rsidRPr="0099684E">
        <w:rPr>
          <w:rFonts w:eastAsia="Times New Roman" w:cs="Tahoma"/>
          <w:b/>
          <w:bCs/>
          <w:color w:val="000000"/>
          <w:lang w:eastAsia="es-MX"/>
        </w:rPr>
        <w:t>Para motivar la clasificación</w:t>
      </w:r>
      <w:r w:rsidRPr="0099684E">
        <w:rPr>
          <w:rFonts w:eastAsia="Times New Roman" w:cs="Tahoma"/>
          <w:bCs/>
          <w:color w:val="000000"/>
          <w:lang w:eastAsia="es-MX"/>
        </w:rPr>
        <w:t xml:space="preserve"> se deberán </w:t>
      </w:r>
      <w:r w:rsidRPr="0099684E">
        <w:rPr>
          <w:rFonts w:eastAsia="Times New Roman" w:cs="Tahoma"/>
          <w:bCs/>
          <w:color w:val="000000"/>
          <w:u w:val="single"/>
          <w:lang w:eastAsia="es-MX"/>
        </w:rPr>
        <w:t>indicar las razones y circunstancias</w:t>
      </w:r>
      <w:r w:rsidRPr="0099684E">
        <w:rPr>
          <w:rFonts w:eastAsia="Times New Roman" w:cs="Tahoma"/>
          <w:bCs/>
          <w:color w:val="000000"/>
          <w:lang w:eastAsia="es-MX"/>
        </w:rPr>
        <w:t xml:space="preserve"> especiales que lo llevaron a concluir que el caso particular se ajusta al supuesto previsto por la norma legal invocada.</w:t>
      </w:r>
    </w:p>
    <w:p w14:paraId="578967CD" w14:textId="77777777" w:rsidR="00403449" w:rsidRPr="0099684E" w:rsidRDefault="00403449" w:rsidP="00403449">
      <w:pPr>
        <w:spacing w:after="0" w:line="360" w:lineRule="auto"/>
        <w:ind w:left="720"/>
        <w:contextualSpacing/>
        <w:rPr>
          <w:rFonts w:eastAsia="Times New Roman" w:cs="Tahoma"/>
          <w:bCs/>
          <w:color w:val="000000"/>
          <w:lang w:eastAsia="es-MX"/>
        </w:rPr>
      </w:pPr>
    </w:p>
    <w:p w14:paraId="4D600F4B" w14:textId="77777777" w:rsidR="00403449" w:rsidRPr="0099684E" w:rsidRDefault="00403449" w:rsidP="00403449">
      <w:pPr>
        <w:spacing w:after="0" w:line="360" w:lineRule="auto"/>
        <w:rPr>
          <w:rFonts w:eastAsia="Times New Roman" w:cs="Tahoma"/>
          <w:color w:val="000000"/>
          <w:lang w:eastAsia="es-MX"/>
        </w:rPr>
      </w:pPr>
      <w:r w:rsidRPr="0099684E">
        <w:rPr>
          <w:rFonts w:eastAsia="Times New Roman" w:cs="Tahoma"/>
          <w:color w:val="000000"/>
          <w:lang w:eastAsia="es-MX"/>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793798B1" w14:textId="77777777" w:rsidR="00403449" w:rsidRPr="0099684E" w:rsidRDefault="00403449" w:rsidP="00403449">
      <w:pPr>
        <w:spacing w:after="0" w:line="360" w:lineRule="auto"/>
        <w:rPr>
          <w:rFonts w:eastAsia="Times New Roman" w:cs="Tahoma"/>
          <w:color w:val="000000"/>
          <w:lang w:eastAsia="es-MX"/>
        </w:rPr>
      </w:pPr>
    </w:p>
    <w:p w14:paraId="64E9C672" w14:textId="77777777" w:rsidR="00403449" w:rsidRPr="0099684E" w:rsidRDefault="00403449" w:rsidP="00403449">
      <w:pPr>
        <w:spacing w:after="0" w:line="360" w:lineRule="auto"/>
        <w:ind w:left="567" w:right="567"/>
        <w:rPr>
          <w:rFonts w:eastAsia="Times New Roman" w:cs="Tahoma"/>
          <w:i/>
          <w:color w:val="000000"/>
          <w:sz w:val="20"/>
          <w:szCs w:val="20"/>
          <w:lang w:eastAsia="es-MX"/>
        </w:rPr>
      </w:pPr>
      <w:r w:rsidRPr="0099684E">
        <w:rPr>
          <w:rFonts w:eastAsia="Times New Roman" w:cs="Tahoma"/>
          <w:b/>
          <w:i/>
          <w:color w:val="000000"/>
          <w:sz w:val="20"/>
          <w:szCs w:val="20"/>
          <w:lang w:eastAsia="es-MX"/>
        </w:rPr>
        <w:t xml:space="preserve">“FUNDAMENTACION Y MOTIVACION, CONCEPTO DE. </w:t>
      </w:r>
      <w:r w:rsidRPr="0099684E">
        <w:rPr>
          <w:rFonts w:eastAsia="Times New Roman" w:cs="Tahoma"/>
          <w:i/>
          <w:color w:val="000000"/>
          <w:sz w:val="20"/>
          <w:szCs w:val="20"/>
          <w:lang w:eastAsia="es-MX"/>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776EDEE6" w14:textId="77777777" w:rsidR="00403449" w:rsidRPr="0099684E" w:rsidRDefault="00403449" w:rsidP="00403449">
      <w:pPr>
        <w:spacing w:after="0" w:line="360" w:lineRule="auto"/>
        <w:rPr>
          <w:rFonts w:eastAsia="Times New Roman" w:cs="Tahoma"/>
          <w:color w:val="000000"/>
          <w:lang w:eastAsia="es-MX"/>
        </w:rPr>
      </w:pPr>
    </w:p>
    <w:p w14:paraId="736A1570" w14:textId="77777777" w:rsidR="00403449" w:rsidRPr="0099684E" w:rsidRDefault="00403449" w:rsidP="00403449">
      <w:pPr>
        <w:spacing w:after="0" w:line="360" w:lineRule="auto"/>
        <w:rPr>
          <w:rFonts w:eastAsia="Times New Roman" w:cs="Tahoma"/>
          <w:color w:val="000000"/>
          <w:lang w:eastAsia="es-MX"/>
        </w:rPr>
      </w:pPr>
      <w:r w:rsidRPr="0099684E">
        <w:rPr>
          <w:rFonts w:eastAsia="Times New Roman" w:cs="Tahoma"/>
          <w:color w:val="000000"/>
          <w:lang w:eastAsia="es-MX"/>
        </w:rPr>
        <w:t>Conforme a lo anterior, se advierte lo siguiente:</w:t>
      </w:r>
    </w:p>
    <w:p w14:paraId="47C55B81" w14:textId="77777777" w:rsidR="00403449" w:rsidRPr="0099684E" w:rsidRDefault="00403449" w:rsidP="00403449">
      <w:pPr>
        <w:spacing w:after="0" w:line="360" w:lineRule="auto"/>
        <w:rPr>
          <w:rFonts w:eastAsia="Times New Roman" w:cs="Tahoma"/>
          <w:color w:val="000000"/>
          <w:lang w:eastAsia="es-MX"/>
        </w:rPr>
      </w:pPr>
    </w:p>
    <w:p w14:paraId="79543A67" w14:textId="77777777" w:rsidR="00403449" w:rsidRPr="0099684E" w:rsidRDefault="00403449" w:rsidP="00403449">
      <w:pPr>
        <w:numPr>
          <w:ilvl w:val="0"/>
          <w:numId w:val="10"/>
        </w:numPr>
        <w:spacing w:after="0" w:line="360" w:lineRule="auto"/>
        <w:rPr>
          <w:rFonts w:eastAsia="Times New Roman" w:cs="Tahoma"/>
          <w:b/>
          <w:color w:val="000000"/>
          <w:lang w:eastAsia="es-MX"/>
        </w:rPr>
      </w:pPr>
      <w:r w:rsidRPr="0099684E">
        <w:rPr>
          <w:rFonts w:eastAsia="Times New Roman" w:cs="Tahoma"/>
          <w:b/>
          <w:color w:val="000000"/>
          <w:lang w:eastAsia="es-MX"/>
        </w:rPr>
        <w:t xml:space="preserve">Fundamentación: </w:t>
      </w:r>
      <w:r w:rsidRPr="0099684E">
        <w:rPr>
          <w:rFonts w:eastAsia="Times New Roman" w:cs="Tahoma"/>
          <w:color w:val="000000"/>
          <w:lang w:eastAsia="es-MX"/>
        </w:rPr>
        <w:t>Obligación de la autoridad que emite un acto, para citar los preceptos legales, sustantivos y adjetivos, en que se apoye para la determinación tomada.</w:t>
      </w:r>
    </w:p>
    <w:p w14:paraId="481A9ED6" w14:textId="77777777" w:rsidR="00D45D72" w:rsidRPr="0099684E" w:rsidRDefault="00D45D72" w:rsidP="00D45D72">
      <w:pPr>
        <w:spacing w:after="0" w:line="360" w:lineRule="auto"/>
        <w:ind w:left="720"/>
        <w:rPr>
          <w:rFonts w:eastAsia="Times New Roman" w:cs="Tahoma"/>
          <w:b/>
          <w:color w:val="000000"/>
          <w:lang w:eastAsia="es-MX"/>
        </w:rPr>
      </w:pPr>
    </w:p>
    <w:p w14:paraId="63B8B029" w14:textId="77777777" w:rsidR="00403449" w:rsidRPr="0099684E" w:rsidRDefault="00403449" w:rsidP="00403449">
      <w:pPr>
        <w:numPr>
          <w:ilvl w:val="0"/>
          <w:numId w:val="10"/>
        </w:numPr>
        <w:spacing w:after="0" w:line="360" w:lineRule="auto"/>
        <w:jc w:val="left"/>
        <w:rPr>
          <w:rFonts w:eastAsia="Times New Roman" w:cs="Tahoma"/>
          <w:b/>
          <w:color w:val="000000"/>
          <w:lang w:eastAsia="es-MX"/>
        </w:rPr>
      </w:pPr>
      <w:r w:rsidRPr="0099684E">
        <w:rPr>
          <w:rFonts w:eastAsia="Times New Roman" w:cs="Tahoma"/>
          <w:b/>
          <w:color w:val="000000"/>
          <w:lang w:eastAsia="es-MX"/>
        </w:rPr>
        <w:t xml:space="preserve">Motivación: </w:t>
      </w:r>
      <w:r w:rsidRPr="0099684E">
        <w:rPr>
          <w:rFonts w:eastAsia="Times New Roman" w:cs="Tahoma"/>
          <w:color w:val="000000"/>
          <w:lang w:eastAsia="es-MX"/>
        </w:rPr>
        <w:t>Razonamientos lógico-jurídicos sobre porque se consideró en el caso en concreto, que se ajusta a la hipótesis normativa.</w:t>
      </w:r>
    </w:p>
    <w:p w14:paraId="3F4B06F0" w14:textId="77777777" w:rsidR="00403449" w:rsidRPr="0099684E" w:rsidRDefault="00403449" w:rsidP="00403449">
      <w:pPr>
        <w:spacing w:after="0" w:line="360" w:lineRule="auto"/>
        <w:rPr>
          <w:rFonts w:eastAsia="Calibri" w:cs="Tahoma"/>
          <w:color w:val="000000"/>
          <w:lang w:val="es-ES" w:eastAsia="es-MX"/>
        </w:rPr>
      </w:pPr>
    </w:p>
    <w:p w14:paraId="3C55EA32" w14:textId="77777777" w:rsidR="00403449" w:rsidRPr="0099684E" w:rsidRDefault="00403449" w:rsidP="00403449">
      <w:pPr>
        <w:spacing w:after="0" w:line="360" w:lineRule="auto"/>
        <w:rPr>
          <w:rFonts w:eastAsia="Calibri" w:cs="Tahoma"/>
          <w:color w:val="000000"/>
          <w:lang w:val="es-ES" w:eastAsia="es-MX"/>
        </w:rPr>
      </w:pPr>
      <w:r w:rsidRPr="0099684E">
        <w:rPr>
          <w:rFonts w:eastAsia="Calibri" w:cs="Tahoma"/>
          <w:color w:val="000000"/>
          <w:lang w:val="es-ES" w:eastAsia="es-MX"/>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1A91AD92" w14:textId="77777777" w:rsidR="004F25E8" w:rsidRPr="0099684E" w:rsidRDefault="004F25E8" w:rsidP="00403449">
      <w:pPr>
        <w:spacing w:after="0" w:line="360" w:lineRule="auto"/>
        <w:rPr>
          <w:rFonts w:eastAsia="Calibri" w:cs="Tahoma"/>
          <w:color w:val="000000"/>
          <w:lang w:val="es-ES" w:eastAsia="es-MX"/>
        </w:rPr>
      </w:pPr>
    </w:p>
    <w:p w14:paraId="2FCD093A" w14:textId="37B3B3A8" w:rsidR="00403449" w:rsidRPr="0099684E" w:rsidRDefault="00310EAC" w:rsidP="00310EAC">
      <w:pPr>
        <w:spacing w:after="0" w:line="360" w:lineRule="auto"/>
        <w:rPr>
          <w:rFonts w:eastAsia="Calibri" w:cs="Tahoma"/>
          <w:color w:val="000000"/>
          <w:lang w:val="es-ES" w:eastAsia="es-MX"/>
        </w:rPr>
      </w:pPr>
      <w:r w:rsidRPr="0099684E">
        <w:rPr>
          <w:rFonts w:eastAsia="Calibri" w:cs="Tahoma"/>
          <w:color w:val="000000"/>
          <w:lang w:val="es-ES" w:eastAsia="es-MX"/>
        </w:rPr>
        <w:t>En ese contexto, e</w:t>
      </w:r>
      <w:r w:rsidR="00403449" w:rsidRPr="0099684E">
        <w:rPr>
          <w:rFonts w:eastAsia="Calibri" w:cs="Tahoma"/>
          <w:color w:val="000000"/>
          <w:lang w:val="es-ES" w:eastAsia="es-MX"/>
        </w:rPr>
        <w:t>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67E7C39E" w14:textId="77777777" w:rsidR="00403449" w:rsidRPr="0099684E" w:rsidRDefault="00403449" w:rsidP="00310EAC">
      <w:pPr>
        <w:spacing w:after="0" w:line="360" w:lineRule="auto"/>
        <w:rPr>
          <w:rFonts w:eastAsia="Calibri" w:cs="Tahoma"/>
          <w:color w:val="000000"/>
          <w:lang w:val="es-ES" w:eastAsia="es-MX"/>
        </w:rPr>
      </w:pPr>
      <w:r w:rsidRPr="0099684E">
        <w:rPr>
          <w:rFonts w:eastAsia="Times New Roman" w:cs="Times New Roman"/>
          <w:color w:val="000000"/>
          <w:lang w:eastAsia="es-MX"/>
        </w:rPr>
        <w:t> </w:t>
      </w:r>
    </w:p>
    <w:p w14:paraId="41488487" w14:textId="43CC2CE9" w:rsidR="00403449" w:rsidRPr="0099684E" w:rsidRDefault="00403449" w:rsidP="00310EAC">
      <w:pPr>
        <w:pStyle w:val="Prrafodelista"/>
        <w:numPr>
          <w:ilvl w:val="0"/>
          <w:numId w:val="13"/>
        </w:numPr>
        <w:spacing w:line="360" w:lineRule="auto"/>
        <w:rPr>
          <w:rFonts w:eastAsia="Calibri" w:cs="Tahoma"/>
          <w:color w:val="000000"/>
          <w:lang w:val="es-ES" w:eastAsia="es-MX"/>
        </w:rPr>
      </w:pPr>
      <w:r w:rsidRPr="0099684E">
        <w:rPr>
          <w:rFonts w:eastAsia="Calibri" w:cs="Tahoma"/>
          <w:color w:val="000000"/>
          <w:lang w:val="es-ES" w:eastAsia="es-MX"/>
        </w:rPr>
        <w:t>Confirmar la clasificación;</w:t>
      </w:r>
    </w:p>
    <w:p w14:paraId="687D5AD4" w14:textId="77777777" w:rsidR="00D45D72" w:rsidRPr="0099684E" w:rsidRDefault="00D45D72" w:rsidP="00D45D72">
      <w:pPr>
        <w:pStyle w:val="Prrafodelista"/>
        <w:spacing w:line="360" w:lineRule="auto"/>
        <w:rPr>
          <w:rFonts w:eastAsia="Calibri" w:cs="Tahoma"/>
          <w:color w:val="000000"/>
          <w:lang w:val="es-ES" w:eastAsia="es-MX"/>
        </w:rPr>
      </w:pPr>
    </w:p>
    <w:p w14:paraId="1610F9C0" w14:textId="32148520" w:rsidR="00403449" w:rsidRPr="0099684E" w:rsidRDefault="00403449" w:rsidP="00310EAC">
      <w:pPr>
        <w:pStyle w:val="Prrafodelista"/>
        <w:numPr>
          <w:ilvl w:val="0"/>
          <w:numId w:val="13"/>
        </w:numPr>
        <w:spacing w:line="360" w:lineRule="auto"/>
        <w:rPr>
          <w:rFonts w:eastAsia="Calibri" w:cs="Tahoma"/>
          <w:color w:val="000000"/>
          <w:lang w:val="es-ES" w:eastAsia="es-MX"/>
        </w:rPr>
      </w:pPr>
      <w:r w:rsidRPr="0099684E">
        <w:rPr>
          <w:rFonts w:eastAsia="Calibri" w:cs="Tahoma"/>
          <w:color w:val="000000"/>
          <w:lang w:val="es-ES" w:eastAsia="es-MX"/>
        </w:rPr>
        <w:t xml:space="preserve">Modificar la clasificación y, otorgar total o parcialmente el acceso a la información, </w:t>
      </w:r>
      <w:r w:rsidR="00310EAC" w:rsidRPr="0099684E">
        <w:rPr>
          <w:rFonts w:eastAsia="Calibri" w:cs="Tahoma"/>
          <w:color w:val="000000"/>
          <w:lang w:val="es-ES" w:eastAsia="es-MX"/>
        </w:rPr>
        <w:t>o</w:t>
      </w:r>
    </w:p>
    <w:p w14:paraId="75C06E63" w14:textId="77777777" w:rsidR="00D45D72" w:rsidRPr="0099684E" w:rsidRDefault="00D45D72" w:rsidP="00D45D72">
      <w:pPr>
        <w:pStyle w:val="Prrafodelista"/>
        <w:rPr>
          <w:rFonts w:eastAsia="Calibri" w:cs="Tahoma"/>
          <w:color w:val="000000"/>
          <w:lang w:val="es-ES" w:eastAsia="es-MX"/>
        </w:rPr>
      </w:pPr>
    </w:p>
    <w:p w14:paraId="2449F1E6" w14:textId="55D62154" w:rsidR="00403449" w:rsidRPr="0099684E" w:rsidRDefault="00403449" w:rsidP="00310EAC">
      <w:pPr>
        <w:pStyle w:val="Prrafodelista"/>
        <w:numPr>
          <w:ilvl w:val="0"/>
          <w:numId w:val="13"/>
        </w:numPr>
        <w:spacing w:line="360" w:lineRule="auto"/>
        <w:rPr>
          <w:rFonts w:eastAsia="Calibri" w:cs="Tahoma"/>
          <w:color w:val="000000"/>
          <w:lang w:val="es-ES" w:eastAsia="es-MX"/>
        </w:rPr>
      </w:pPr>
      <w:r w:rsidRPr="0099684E">
        <w:rPr>
          <w:rFonts w:eastAsia="Calibri" w:cs="Tahoma"/>
          <w:color w:val="000000"/>
          <w:lang w:val="es-ES" w:eastAsia="es-MX"/>
        </w:rPr>
        <w:t>Revocar la clasificación y conceder el acceso a la información.</w:t>
      </w:r>
    </w:p>
    <w:p w14:paraId="43D1D268" w14:textId="3A0AFED5" w:rsidR="00403449" w:rsidRPr="0099684E" w:rsidRDefault="00403449" w:rsidP="00310EAC">
      <w:pPr>
        <w:spacing w:after="0" w:line="360" w:lineRule="auto"/>
        <w:rPr>
          <w:rFonts w:eastAsia="Calibri" w:cs="Tahoma"/>
          <w:color w:val="000000"/>
          <w:lang w:val="es-ES" w:eastAsia="es-MX"/>
        </w:rPr>
      </w:pPr>
    </w:p>
    <w:p w14:paraId="10204844" w14:textId="3C18F6A4" w:rsidR="00644811" w:rsidRPr="0099684E" w:rsidRDefault="00403449" w:rsidP="009E7481">
      <w:pPr>
        <w:spacing w:after="0" w:line="360" w:lineRule="auto"/>
        <w:rPr>
          <w:rFonts w:eastAsia="Calibri" w:cs="Tahoma"/>
          <w:color w:val="000000"/>
          <w:lang w:val="es-ES" w:eastAsia="es-MX"/>
        </w:rPr>
      </w:pPr>
      <w:r w:rsidRPr="0099684E">
        <w:rPr>
          <w:rFonts w:eastAsia="Calibri" w:cs="Tahoma"/>
          <w:color w:val="000000"/>
          <w:lang w:val="es-ES" w:eastAsia="es-MX"/>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w:t>
      </w:r>
      <w:r w:rsidR="00310EAC" w:rsidRPr="0099684E">
        <w:rPr>
          <w:rFonts w:eastAsia="Calibri" w:cs="Tahoma"/>
          <w:color w:val="000000"/>
          <w:lang w:val="es-ES" w:eastAsia="es-MX"/>
        </w:rPr>
        <w:t xml:space="preserve">lo cual no </w:t>
      </w:r>
      <w:r w:rsidR="00AB32A7" w:rsidRPr="0099684E">
        <w:rPr>
          <w:rFonts w:eastAsia="Calibri" w:cs="Tahoma"/>
          <w:color w:val="000000"/>
          <w:lang w:val="es-ES" w:eastAsia="es-MX"/>
        </w:rPr>
        <w:t>aconteció, situación que robustece el hecho de que se hayan testado datos de naturaleza pública; por lo que, deberá entregar la información, en versión pública, con su respectivo Acuerdo de Clasificación, fundado y motivado.</w:t>
      </w:r>
    </w:p>
    <w:p w14:paraId="2DA1B377" w14:textId="77777777" w:rsidR="00D45D72" w:rsidRPr="0099684E" w:rsidRDefault="00D45D72" w:rsidP="009E7481">
      <w:pPr>
        <w:spacing w:after="0" w:line="360" w:lineRule="auto"/>
        <w:rPr>
          <w:rFonts w:eastAsia="Calibri" w:cs="Tahoma"/>
          <w:color w:val="000000"/>
          <w:lang w:val="es-ES" w:eastAsia="es-MX"/>
        </w:rPr>
      </w:pPr>
    </w:p>
    <w:p w14:paraId="12BE1CF5" w14:textId="77777777" w:rsidR="00D45D72" w:rsidRPr="0099684E" w:rsidRDefault="00D45D72" w:rsidP="009E7481">
      <w:pPr>
        <w:spacing w:after="0" w:line="360" w:lineRule="auto"/>
        <w:rPr>
          <w:rFonts w:eastAsia="Calibri" w:cs="Tahoma"/>
          <w:color w:val="000000"/>
          <w:lang w:val="es-ES" w:eastAsia="es-MX"/>
        </w:rPr>
      </w:pPr>
    </w:p>
    <w:p w14:paraId="1DF028BB" w14:textId="77777777" w:rsidR="00D45D72" w:rsidRPr="0099684E" w:rsidRDefault="00D45D72" w:rsidP="009E7481">
      <w:pPr>
        <w:spacing w:after="0" w:line="360" w:lineRule="auto"/>
        <w:rPr>
          <w:rFonts w:eastAsia="Calibri" w:cs="Tahoma"/>
          <w:color w:val="000000"/>
          <w:lang w:val="es-ES" w:eastAsia="es-MX"/>
        </w:rPr>
      </w:pPr>
    </w:p>
    <w:p w14:paraId="2781626E" w14:textId="74D07933" w:rsidR="00644811" w:rsidRPr="0099684E" w:rsidRDefault="00644811" w:rsidP="009E7481">
      <w:pPr>
        <w:pStyle w:val="Ttulo2"/>
        <w:spacing w:before="0" w:line="360" w:lineRule="auto"/>
        <w:rPr>
          <w:rFonts w:ascii="Palatino Linotype" w:eastAsia="Palatino Linotype" w:hAnsi="Palatino Linotype"/>
          <w:b/>
          <w:bCs/>
          <w:color w:val="auto"/>
          <w:sz w:val="22"/>
          <w:szCs w:val="22"/>
          <w:lang w:eastAsia="es-MX"/>
        </w:rPr>
      </w:pPr>
      <w:bookmarkStart w:id="17" w:name="_Toc194593785"/>
      <w:r w:rsidRPr="0099684E">
        <w:rPr>
          <w:rFonts w:ascii="Palatino Linotype" w:eastAsia="Palatino Linotype" w:hAnsi="Palatino Linotype"/>
          <w:b/>
          <w:bCs/>
          <w:color w:val="auto"/>
          <w:sz w:val="22"/>
          <w:szCs w:val="22"/>
          <w:lang w:eastAsia="es-MX"/>
        </w:rPr>
        <w:t>SEXTO. Decisión</w:t>
      </w:r>
      <w:r w:rsidR="00D526FB" w:rsidRPr="0099684E">
        <w:rPr>
          <w:rFonts w:ascii="Palatino Linotype" w:eastAsia="Palatino Linotype" w:hAnsi="Palatino Linotype"/>
          <w:b/>
          <w:bCs/>
          <w:color w:val="auto"/>
          <w:sz w:val="22"/>
          <w:szCs w:val="22"/>
          <w:lang w:eastAsia="es-MX"/>
        </w:rPr>
        <w:t>.</w:t>
      </w:r>
      <w:bookmarkEnd w:id="17"/>
    </w:p>
    <w:p w14:paraId="29A9CCCF" w14:textId="77777777" w:rsidR="00644811" w:rsidRPr="0099684E" w:rsidRDefault="00644811" w:rsidP="009E7481">
      <w:pPr>
        <w:spacing w:after="0" w:line="360" w:lineRule="auto"/>
        <w:rPr>
          <w:rFonts w:eastAsia="Palatino Linotype" w:cs="Palatino Linotype"/>
          <w:b/>
          <w:lang w:eastAsia="es-MX"/>
        </w:rPr>
      </w:pPr>
    </w:p>
    <w:p w14:paraId="7222F989" w14:textId="3E0246D3" w:rsidR="00644811" w:rsidRPr="0099684E" w:rsidRDefault="00644811" w:rsidP="009E7481">
      <w:pPr>
        <w:spacing w:after="0" w:line="360" w:lineRule="auto"/>
        <w:ind w:right="-93"/>
        <w:rPr>
          <w:rFonts w:eastAsia="Palatino Linotype" w:cs="Palatino Linotype"/>
          <w:color w:val="000000"/>
          <w:lang w:eastAsia="es-MX"/>
        </w:rPr>
      </w:pPr>
      <w:r w:rsidRPr="0099684E">
        <w:rPr>
          <w:rFonts w:eastAsia="Palatino Linotype" w:cs="Palatino Linotype"/>
          <w:lang w:eastAsia="es-MX"/>
        </w:rPr>
        <w:t xml:space="preserve">Con fundamento en el artículo 186, fracción III, de la Ley de Transparencia y Acceso a la Información Pública del Estado de México y Municipios, este Instituto considera procedente </w:t>
      </w:r>
      <w:r w:rsidR="003F4450" w:rsidRPr="0099684E">
        <w:rPr>
          <w:rFonts w:eastAsia="Palatino Linotype" w:cs="Palatino Linotype"/>
          <w:b/>
          <w:lang w:eastAsia="es-MX"/>
        </w:rPr>
        <w:t>MODIFICA</w:t>
      </w:r>
      <w:r w:rsidRPr="0099684E">
        <w:rPr>
          <w:rFonts w:eastAsia="Palatino Linotype" w:cs="Palatino Linotype"/>
          <w:b/>
          <w:lang w:eastAsia="es-MX"/>
        </w:rPr>
        <w:t xml:space="preserve">R </w:t>
      </w:r>
      <w:r w:rsidRPr="0099684E">
        <w:rPr>
          <w:rFonts w:eastAsia="Palatino Linotype" w:cs="Palatino Linotype"/>
          <w:color w:val="000000"/>
          <w:lang w:eastAsia="es-MX"/>
        </w:rPr>
        <w:t>la respuesta otorgada a la solicitud de información</w:t>
      </w:r>
      <w:r w:rsidR="00522238" w:rsidRPr="0099684E">
        <w:rPr>
          <w:rFonts w:eastAsia="Palatino Linotype" w:cs="Palatino Linotype"/>
          <w:color w:val="000000"/>
          <w:lang w:eastAsia="es-MX"/>
        </w:rPr>
        <w:t xml:space="preserve"> 00022/OASCUATIZ/IP/2025, a efecto de que entregue, en versión pública, los recibos de nómina.</w:t>
      </w:r>
    </w:p>
    <w:p w14:paraId="7AC0F8DE" w14:textId="77777777" w:rsidR="00F679C8" w:rsidRPr="0099684E" w:rsidRDefault="00F679C8" w:rsidP="009E7481">
      <w:pPr>
        <w:spacing w:after="0" w:line="360" w:lineRule="auto"/>
      </w:pPr>
    </w:p>
    <w:p w14:paraId="1BD24118" w14:textId="113EAF80" w:rsidR="00C853D1" w:rsidRPr="0099684E" w:rsidRDefault="00D328AC" w:rsidP="009E7481">
      <w:pPr>
        <w:spacing w:after="0" w:line="360" w:lineRule="auto"/>
        <w:rPr>
          <w:b/>
          <w:bCs/>
        </w:rPr>
      </w:pPr>
      <w:r>
        <w:rPr>
          <w:b/>
          <w:bCs/>
        </w:rPr>
        <w:t>Términos de la Resolución</w:t>
      </w:r>
    </w:p>
    <w:p w14:paraId="6C1809B6" w14:textId="3933B954" w:rsidR="00C853D1" w:rsidRPr="0099684E" w:rsidRDefault="00C853D1" w:rsidP="009E7481">
      <w:pPr>
        <w:spacing w:after="0" w:line="360" w:lineRule="auto"/>
      </w:pPr>
    </w:p>
    <w:p w14:paraId="1EA10D19" w14:textId="77777777" w:rsidR="00D45D72" w:rsidRPr="0099684E" w:rsidRDefault="000223B0" w:rsidP="00082334">
      <w:pPr>
        <w:spacing w:after="0" w:line="360" w:lineRule="auto"/>
        <w:rPr>
          <w:rFonts w:eastAsia="Calibri" w:cs="Tahoma"/>
        </w:rPr>
      </w:pPr>
      <w:r w:rsidRPr="0099684E">
        <w:rPr>
          <w:rFonts w:eastAsia="Times New Roman" w:cs="Times New Roman"/>
          <w:lang w:eastAsia="es-MX"/>
        </w:rPr>
        <w:t>Se le hace del conocimiento a</w:t>
      </w:r>
      <w:r w:rsidR="00D0396A" w:rsidRPr="0099684E">
        <w:rPr>
          <w:rFonts w:eastAsia="Times New Roman" w:cs="Times New Roman"/>
          <w:lang w:eastAsia="es-MX"/>
        </w:rPr>
        <w:t xml:space="preserve"> la</w:t>
      </w:r>
      <w:r w:rsidRPr="0099684E">
        <w:rPr>
          <w:rFonts w:eastAsia="Times New Roman" w:cs="Times New Roman"/>
          <w:lang w:eastAsia="es-MX"/>
        </w:rPr>
        <w:t xml:space="preserve"> Particular, que, en el presente caso, se le concede </w:t>
      </w:r>
      <w:r w:rsidR="003F4450" w:rsidRPr="0099684E">
        <w:rPr>
          <w:rFonts w:eastAsia="Times New Roman" w:cs="Times New Roman"/>
          <w:lang w:eastAsia="es-MX"/>
        </w:rPr>
        <w:t xml:space="preserve">la </w:t>
      </w:r>
      <w:r w:rsidRPr="0099684E">
        <w:rPr>
          <w:rFonts w:eastAsia="Times New Roman" w:cs="Times New Roman"/>
          <w:lang w:eastAsia="es-MX"/>
        </w:rPr>
        <w:t>razón, pues</w:t>
      </w:r>
      <w:r w:rsidR="00AB32A7" w:rsidRPr="0099684E">
        <w:rPr>
          <w:rFonts w:eastAsia="Times New Roman" w:cs="Times New Roman"/>
          <w:lang w:eastAsia="es-MX"/>
        </w:rPr>
        <w:t xml:space="preserve"> s</w:t>
      </w:r>
      <w:r w:rsidR="00522238" w:rsidRPr="0099684E">
        <w:rPr>
          <w:rFonts w:eastAsia="Calibri" w:cs="Tahoma"/>
        </w:rPr>
        <w:t>i bien</w:t>
      </w:r>
      <w:r w:rsidR="00AB32A7" w:rsidRPr="0099684E">
        <w:rPr>
          <w:rFonts w:eastAsia="Calibri" w:cs="Tahoma"/>
        </w:rPr>
        <w:t>, se</w:t>
      </w:r>
      <w:r w:rsidR="00522238" w:rsidRPr="0099684E">
        <w:rPr>
          <w:rFonts w:eastAsia="Calibri" w:cs="Tahoma"/>
        </w:rPr>
        <w:t xml:space="preserve"> proporcion</w:t>
      </w:r>
      <w:r w:rsidR="00AB32A7" w:rsidRPr="0099684E">
        <w:rPr>
          <w:rFonts w:eastAsia="Calibri" w:cs="Tahoma"/>
        </w:rPr>
        <w:t>ó</w:t>
      </w:r>
      <w:r w:rsidR="00522238" w:rsidRPr="0099684E">
        <w:rPr>
          <w:rFonts w:eastAsia="Calibri" w:cs="Tahoma"/>
        </w:rPr>
        <w:t xml:space="preserve"> </w:t>
      </w:r>
      <w:r w:rsidR="00AB55CF" w:rsidRPr="0099684E">
        <w:rPr>
          <w:rFonts w:eastAsia="Calibri" w:cs="Tahoma"/>
        </w:rPr>
        <w:t>la información solicitada</w:t>
      </w:r>
      <w:r w:rsidRPr="0099684E">
        <w:rPr>
          <w:rFonts w:eastAsia="Calibri" w:cs="Tahoma"/>
        </w:rPr>
        <w:t xml:space="preserve">, </w:t>
      </w:r>
      <w:r w:rsidR="00522238" w:rsidRPr="0099684E">
        <w:rPr>
          <w:rFonts w:eastAsia="Calibri" w:cs="Tahoma"/>
        </w:rPr>
        <w:t>test</w:t>
      </w:r>
      <w:r w:rsidR="00AB32A7" w:rsidRPr="0099684E">
        <w:rPr>
          <w:rFonts w:eastAsia="Calibri" w:cs="Tahoma"/>
        </w:rPr>
        <w:t>ó</w:t>
      </w:r>
      <w:r w:rsidR="00522238" w:rsidRPr="0099684E">
        <w:rPr>
          <w:rFonts w:eastAsia="Calibri" w:cs="Tahoma"/>
        </w:rPr>
        <w:t xml:space="preserve"> datos de naturaleza pública</w:t>
      </w:r>
      <w:r w:rsidR="00F679C8" w:rsidRPr="0099684E">
        <w:rPr>
          <w:rFonts w:eastAsia="Calibri" w:cs="Tahoma"/>
        </w:rPr>
        <w:t xml:space="preserve">; por lo que, deberá </w:t>
      </w:r>
      <w:r w:rsidR="00AB32A7" w:rsidRPr="0099684E">
        <w:rPr>
          <w:rFonts w:eastAsia="Calibri" w:cs="Tahoma"/>
        </w:rPr>
        <w:t>entregarla en versión pública</w:t>
      </w:r>
      <w:r w:rsidR="00B86FF2" w:rsidRPr="0099684E">
        <w:rPr>
          <w:rFonts w:eastAsia="Calibri" w:cs="Tahoma"/>
        </w:rPr>
        <w:t xml:space="preserve">. </w:t>
      </w:r>
    </w:p>
    <w:p w14:paraId="0924C6D4" w14:textId="77777777" w:rsidR="00D45D72" w:rsidRPr="0099684E" w:rsidRDefault="00D45D72" w:rsidP="00082334">
      <w:pPr>
        <w:spacing w:after="0" w:line="360" w:lineRule="auto"/>
        <w:rPr>
          <w:rFonts w:eastAsia="Calibri" w:cs="Tahoma"/>
        </w:rPr>
      </w:pPr>
    </w:p>
    <w:p w14:paraId="232F93F3" w14:textId="1B0B2A70" w:rsidR="00D45D72" w:rsidRPr="0099684E" w:rsidRDefault="00D45D72" w:rsidP="00D45D72">
      <w:pPr>
        <w:widowControl w:val="0"/>
        <w:spacing w:line="360" w:lineRule="auto"/>
        <w:contextualSpacing/>
        <w:rPr>
          <w:rFonts w:cs="Tahoma"/>
          <w:bCs/>
          <w:iCs/>
        </w:rPr>
      </w:pPr>
      <w:r w:rsidRPr="0099684E">
        <w:rPr>
          <w:rFonts w:eastAsia="Calibri" w:cs="Tahoma"/>
          <w:bCs/>
          <w:iCs/>
        </w:rPr>
        <w:t>Finalmente, se le informa que la labor de este Instituto de Transparencia, Acceso a la Información Pública y Protección de Datos Personales del Estado de México y Municipios, es apoyar a la población a acceder a la información pública y garantizar la protección de sus datos personales.</w:t>
      </w:r>
    </w:p>
    <w:p w14:paraId="22B03D0E" w14:textId="77777777" w:rsidR="00904CFA" w:rsidRPr="0099684E" w:rsidRDefault="00904CFA" w:rsidP="009E7481">
      <w:pPr>
        <w:spacing w:after="0" w:line="360" w:lineRule="auto"/>
      </w:pPr>
    </w:p>
    <w:p w14:paraId="4469D1A7" w14:textId="77777777" w:rsidR="00C853D1" w:rsidRPr="0099684E" w:rsidRDefault="00C853D1" w:rsidP="009E7481">
      <w:pPr>
        <w:spacing w:after="0" w:line="360" w:lineRule="auto"/>
        <w:rPr>
          <w:rFonts w:eastAsia="Calibri" w:cs="Tahoma"/>
          <w:bCs/>
          <w:color w:val="auto"/>
        </w:rPr>
      </w:pPr>
      <w:r w:rsidRPr="0099684E">
        <w:t>Por</w:t>
      </w:r>
      <w:r w:rsidRPr="0099684E">
        <w:rPr>
          <w:rFonts w:eastAsia="Calibri" w:cs="Tahoma"/>
          <w:bCs/>
          <w:color w:val="auto"/>
        </w:rPr>
        <w:t xml:space="preserve"> lo expuesto y fundado, este Pleno:</w:t>
      </w:r>
    </w:p>
    <w:p w14:paraId="78620483" w14:textId="77777777" w:rsidR="00AB32A7" w:rsidRPr="0099684E" w:rsidRDefault="00AB32A7" w:rsidP="009E7481">
      <w:pPr>
        <w:spacing w:after="0" w:line="360" w:lineRule="auto"/>
        <w:rPr>
          <w:rFonts w:eastAsia="Calibri" w:cs="Tahoma"/>
          <w:bCs/>
          <w:color w:val="auto"/>
        </w:rPr>
      </w:pPr>
    </w:p>
    <w:p w14:paraId="5315815D" w14:textId="63540588" w:rsidR="00C853D1" w:rsidRPr="0099684E" w:rsidRDefault="00C853D1" w:rsidP="009E7481">
      <w:pPr>
        <w:pStyle w:val="Ttulo1"/>
        <w:spacing w:before="0" w:line="360" w:lineRule="auto"/>
        <w:jc w:val="center"/>
        <w:rPr>
          <w:rFonts w:ascii="Palatino Linotype" w:eastAsia="Calibri" w:hAnsi="Palatino Linotype"/>
          <w:b/>
          <w:bCs/>
          <w:color w:val="auto"/>
          <w:sz w:val="22"/>
          <w:szCs w:val="22"/>
        </w:rPr>
      </w:pPr>
      <w:bookmarkStart w:id="18" w:name="_Toc194593786"/>
      <w:r w:rsidRPr="0099684E">
        <w:rPr>
          <w:rFonts w:ascii="Palatino Linotype" w:eastAsia="Calibri" w:hAnsi="Palatino Linotype"/>
          <w:b/>
          <w:bCs/>
          <w:color w:val="auto"/>
          <w:sz w:val="22"/>
          <w:szCs w:val="22"/>
        </w:rPr>
        <w:t>R E S U E L V E</w:t>
      </w:r>
      <w:bookmarkEnd w:id="18"/>
    </w:p>
    <w:p w14:paraId="6A202D9E" w14:textId="77777777" w:rsidR="00D54118" w:rsidRPr="0099684E" w:rsidRDefault="00D54118" w:rsidP="009E7481">
      <w:pPr>
        <w:spacing w:after="0" w:line="360" w:lineRule="auto"/>
        <w:ind w:right="-28"/>
        <w:jc w:val="center"/>
        <w:rPr>
          <w:rFonts w:eastAsia="Calibri" w:cs="Tahoma"/>
          <w:b/>
          <w:bCs/>
          <w:color w:val="auto"/>
        </w:rPr>
      </w:pPr>
    </w:p>
    <w:p w14:paraId="3F37601B" w14:textId="57755281" w:rsidR="00782132" w:rsidRPr="0099684E" w:rsidRDefault="00782132" w:rsidP="009E7481">
      <w:pPr>
        <w:spacing w:after="0" w:line="360" w:lineRule="auto"/>
        <w:contextualSpacing/>
        <w:rPr>
          <w:rFonts w:eastAsia="Calibri" w:cs="Tahoma"/>
          <w:bCs/>
        </w:rPr>
      </w:pPr>
      <w:r w:rsidRPr="0099684E">
        <w:rPr>
          <w:rFonts w:cs="Tahoma"/>
          <w:b/>
          <w:bCs/>
        </w:rPr>
        <w:t xml:space="preserve">PRIMERO. </w:t>
      </w:r>
      <w:r w:rsidRPr="0099684E">
        <w:rPr>
          <w:rFonts w:cs="Tahoma"/>
          <w:bCs/>
        </w:rPr>
        <w:t xml:space="preserve">Se </w:t>
      </w:r>
      <w:r w:rsidR="003F4450" w:rsidRPr="0099684E">
        <w:rPr>
          <w:rFonts w:cs="Tahoma"/>
          <w:b/>
          <w:bCs/>
        </w:rPr>
        <w:t>MODIF</w:t>
      </w:r>
      <w:r w:rsidR="00C62653">
        <w:rPr>
          <w:rFonts w:cs="Tahoma"/>
          <w:b/>
          <w:bCs/>
        </w:rPr>
        <w:t>I</w:t>
      </w:r>
      <w:bookmarkStart w:id="19" w:name="_GoBack"/>
      <w:bookmarkEnd w:id="19"/>
      <w:r w:rsidR="00246B2F" w:rsidRPr="0099684E">
        <w:rPr>
          <w:rFonts w:cs="Tahoma"/>
          <w:b/>
          <w:bCs/>
        </w:rPr>
        <w:t>CA</w:t>
      </w:r>
      <w:r w:rsidRPr="0099684E">
        <w:rPr>
          <w:rFonts w:cs="Tahoma"/>
          <w:bCs/>
        </w:rPr>
        <w:t xml:space="preserve"> la respuesta entregada por el </w:t>
      </w:r>
      <w:r w:rsidR="00476B4C" w:rsidRPr="0099684E">
        <w:rPr>
          <w:rFonts w:eastAsia="Calibri" w:cs="Tahoma"/>
        </w:rPr>
        <w:t>Organismo Público Descentralizado Municipal para la Prestación de los Servicios del Agua Potable Alcantarillado y Saneamiento de Cuautitlán Izcalli</w:t>
      </w:r>
      <w:r w:rsidR="00246B2F" w:rsidRPr="0099684E">
        <w:rPr>
          <w:rFonts w:eastAsia="Calibri" w:cs="Tahoma"/>
        </w:rPr>
        <w:t>,</w:t>
      </w:r>
      <w:r w:rsidR="00F060A2" w:rsidRPr="0099684E">
        <w:rPr>
          <w:rFonts w:cs="Tahoma"/>
          <w:bCs/>
        </w:rPr>
        <w:t xml:space="preserve"> </w:t>
      </w:r>
      <w:r w:rsidRPr="0099684E">
        <w:rPr>
          <w:rFonts w:cs="Tahoma"/>
          <w:bCs/>
        </w:rPr>
        <w:t xml:space="preserve">a la solicitud de </w:t>
      </w:r>
      <w:r w:rsidRPr="0099684E">
        <w:rPr>
          <w:rFonts w:eastAsia="Calibri" w:cs="Tahoma"/>
        </w:rPr>
        <w:t xml:space="preserve">información </w:t>
      </w:r>
      <w:r w:rsidR="00476B4C" w:rsidRPr="0099684E">
        <w:rPr>
          <w:rFonts w:eastAsia="Calibri" w:cs="Tahoma"/>
        </w:rPr>
        <w:t>00022</w:t>
      </w:r>
      <w:r w:rsidR="003F4450" w:rsidRPr="0099684E">
        <w:rPr>
          <w:rFonts w:eastAsia="Calibri" w:cs="Tahoma"/>
        </w:rPr>
        <w:t>/</w:t>
      </w:r>
      <w:r w:rsidR="00476B4C" w:rsidRPr="0099684E">
        <w:rPr>
          <w:rFonts w:eastAsia="Calibri" w:cs="Tahoma"/>
        </w:rPr>
        <w:t>OASCUATIZ</w:t>
      </w:r>
      <w:r w:rsidR="003F4450" w:rsidRPr="0099684E">
        <w:rPr>
          <w:rFonts w:eastAsia="Calibri" w:cs="Tahoma"/>
        </w:rPr>
        <w:t>/IP/2025</w:t>
      </w:r>
      <w:r w:rsidR="00246B2F" w:rsidRPr="0099684E">
        <w:rPr>
          <w:rFonts w:eastAsia="Calibri" w:cs="Tahoma"/>
        </w:rPr>
        <w:t>,</w:t>
      </w:r>
      <w:r w:rsidR="00E92B4A" w:rsidRPr="0099684E">
        <w:t xml:space="preserve"> </w:t>
      </w:r>
      <w:r w:rsidRPr="0099684E">
        <w:t>por resultar</w:t>
      </w:r>
      <w:r w:rsidR="00F679C8" w:rsidRPr="0099684E">
        <w:t xml:space="preserve"> </w:t>
      </w:r>
      <w:r w:rsidRPr="0099684E">
        <w:rPr>
          <w:b/>
          <w:bCs/>
        </w:rPr>
        <w:lastRenderedPageBreak/>
        <w:t>FUNDADAS</w:t>
      </w:r>
      <w:r w:rsidRPr="0099684E">
        <w:rPr>
          <w:rFonts w:cs="Tahoma"/>
          <w:bCs/>
        </w:rPr>
        <w:t xml:space="preserve"> </w:t>
      </w:r>
      <w:r w:rsidRPr="0099684E">
        <w:rPr>
          <w:rFonts w:eastAsia="Calibri" w:cs="Tahoma"/>
          <w:bCs/>
        </w:rPr>
        <w:t>las</w:t>
      </w:r>
      <w:r w:rsidRPr="0099684E">
        <w:rPr>
          <w:rFonts w:eastAsia="Calibri" w:cs="Tahoma"/>
        </w:rPr>
        <w:t xml:space="preserve"> razones o motivos de inconformidad hechos valer por </w:t>
      </w:r>
      <w:r w:rsidR="005B1631" w:rsidRPr="0099684E">
        <w:rPr>
          <w:rFonts w:eastAsia="Calibri" w:cs="Tahoma"/>
        </w:rPr>
        <w:t>la</w:t>
      </w:r>
      <w:r w:rsidRPr="0099684E">
        <w:rPr>
          <w:rFonts w:eastAsia="Calibri" w:cs="Tahoma"/>
        </w:rPr>
        <w:t xml:space="preserve"> Particular, en</w:t>
      </w:r>
      <w:r w:rsidRPr="0099684E">
        <w:rPr>
          <w:rFonts w:eastAsia="Calibri" w:cs="Tahoma"/>
          <w:bCs/>
        </w:rPr>
        <w:t xml:space="preserve"> términos de los considerandos </w:t>
      </w:r>
      <w:r w:rsidRPr="0099684E">
        <w:rPr>
          <w:rFonts w:eastAsia="Calibri" w:cs="Tahoma"/>
        </w:rPr>
        <w:t>QUINTO y SEXTO de la presente</w:t>
      </w:r>
      <w:r w:rsidRPr="0099684E">
        <w:rPr>
          <w:rFonts w:eastAsia="Calibri" w:cs="Tahoma"/>
          <w:bCs/>
        </w:rPr>
        <w:t xml:space="preserve"> Resolución.</w:t>
      </w:r>
    </w:p>
    <w:p w14:paraId="4A6EB131" w14:textId="77777777" w:rsidR="00782132" w:rsidRPr="0099684E" w:rsidRDefault="00782132" w:rsidP="009E7481">
      <w:pPr>
        <w:spacing w:after="0" w:line="360" w:lineRule="auto"/>
        <w:contextualSpacing/>
        <w:rPr>
          <w:rFonts w:eastAsia="Calibri" w:cs="Tahoma"/>
          <w:bCs/>
        </w:rPr>
      </w:pPr>
    </w:p>
    <w:p w14:paraId="42F530D4" w14:textId="77777777" w:rsidR="00B35603" w:rsidRPr="0099684E" w:rsidRDefault="00782132" w:rsidP="00AB55CF">
      <w:pPr>
        <w:spacing w:after="0" w:line="360" w:lineRule="auto"/>
        <w:rPr>
          <w:rFonts w:eastAsia="Calibri" w:cs="Tahoma"/>
          <w:iCs/>
          <w:lang w:eastAsia="es-ES_tradnl"/>
        </w:rPr>
      </w:pPr>
      <w:r w:rsidRPr="0099684E">
        <w:rPr>
          <w:rFonts w:cs="Tahoma"/>
          <w:b/>
          <w:bCs/>
        </w:rPr>
        <w:t xml:space="preserve">SEGUNDO. </w:t>
      </w:r>
      <w:r w:rsidRPr="0099684E">
        <w:rPr>
          <w:rFonts w:cs="Tahoma"/>
        </w:rPr>
        <w:t xml:space="preserve">Se </w:t>
      </w:r>
      <w:r w:rsidRPr="0099684E">
        <w:rPr>
          <w:rFonts w:cs="Tahoma"/>
          <w:b/>
        </w:rPr>
        <w:t xml:space="preserve">ORDENA </w:t>
      </w:r>
      <w:r w:rsidRPr="0099684E">
        <w:rPr>
          <w:rFonts w:cs="Tahoma"/>
          <w:bCs/>
        </w:rPr>
        <w:t xml:space="preserve">al </w:t>
      </w:r>
      <w:r w:rsidRPr="0099684E">
        <w:rPr>
          <w:rFonts w:cs="Tahoma"/>
        </w:rPr>
        <w:t xml:space="preserve">Ente Recurrido, </w:t>
      </w:r>
      <w:r w:rsidR="00246B2F" w:rsidRPr="0099684E">
        <w:rPr>
          <w:rFonts w:cs="Tahoma"/>
        </w:rPr>
        <w:t xml:space="preserve">a efecto de que, entregue, </w:t>
      </w:r>
      <w:r w:rsidR="00246B2F" w:rsidRPr="0099684E">
        <w:rPr>
          <w:rFonts w:eastAsia="Calibri" w:cs="Tahoma"/>
          <w:iCs/>
          <w:lang w:eastAsia="es-ES_tradnl"/>
        </w:rPr>
        <w:t>a través del Sistema de Acceso a la Información Mexiquense (SAIMEX</w:t>
      </w:r>
      <w:r w:rsidR="00413F33" w:rsidRPr="0099684E">
        <w:rPr>
          <w:rFonts w:eastAsia="Calibri" w:cs="Tahoma"/>
          <w:iCs/>
          <w:lang w:eastAsia="es-ES_tradnl"/>
        </w:rPr>
        <w:t>)</w:t>
      </w:r>
      <w:r w:rsidR="00AB55CF" w:rsidRPr="0099684E">
        <w:rPr>
          <w:rFonts w:eastAsia="Calibri" w:cs="Tahoma"/>
          <w:iCs/>
          <w:lang w:eastAsia="es-ES_tradnl"/>
        </w:rPr>
        <w:t>, en versión pública</w:t>
      </w:r>
      <w:r w:rsidR="00B35603" w:rsidRPr="0099684E">
        <w:rPr>
          <w:rFonts w:eastAsia="Calibri" w:cs="Tahoma"/>
          <w:iCs/>
          <w:lang w:eastAsia="es-ES_tradnl"/>
        </w:rPr>
        <w:t>, lo siguiente:</w:t>
      </w:r>
    </w:p>
    <w:p w14:paraId="7EDB4F79" w14:textId="77777777" w:rsidR="00B35603" w:rsidRPr="0099684E" w:rsidRDefault="00B35603" w:rsidP="00AB55CF">
      <w:pPr>
        <w:spacing w:after="0" w:line="360" w:lineRule="auto"/>
        <w:rPr>
          <w:rFonts w:eastAsia="Calibri" w:cs="Tahoma"/>
          <w:iCs/>
          <w:lang w:eastAsia="es-ES_tradnl"/>
        </w:rPr>
      </w:pPr>
    </w:p>
    <w:p w14:paraId="4AF3ED45" w14:textId="52845B55" w:rsidR="003F4450" w:rsidRPr="0099684E" w:rsidRDefault="00B35603" w:rsidP="00B35603">
      <w:pPr>
        <w:pStyle w:val="Prrafodelista"/>
        <w:numPr>
          <w:ilvl w:val="0"/>
          <w:numId w:val="14"/>
        </w:numPr>
        <w:spacing w:line="360" w:lineRule="auto"/>
      </w:pPr>
      <w:r w:rsidRPr="0099684E">
        <w:rPr>
          <w:rFonts w:eastAsia="Calibri" w:cs="Tahoma"/>
          <w:iCs/>
          <w:lang w:eastAsia="es-ES_tradnl"/>
        </w:rPr>
        <w:t>Los recibos de nómina proporcionados en respuesta.</w:t>
      </w:r>
    </w:p>
    <w:p w14:paraId="2963AFFA" w14:textId="77777777" w:rsidR="00D45D72" w:rsidRPr="0099684E" w:rsidRDefault="00D45D72" w:rsidP="00D45D72">
      <w:pPr>
        <w:pStyle w:val="Prrafodelista"/>
        <w:spacing w:line="360" w:lineRule="auto"/>
        <w:ind w:left="780"/>
      </w:pPr>
    </w:p>
    <w:p w14:paraId="36E5952C" w14:textId="3BFB9CA7" w:rsidR="00413F33" w:rsidRPr="0099684E" w:rsidRDefault="00413F33" w:rsidP="009E7481">
      <w:pPr>
        <w:spacing w:after="0" w:line="360" w:lineRule="auto"/>
        <w:rPr>
          <w:rFonts w:eastAsia="Times New Roman" w:cs="Tahoma"/>
          <w:bCs/>
          <w:color w:val="auto"/>
          <w:lang w:eastAsia="es-MX"/>
        </w:rPr>
      </w:pPr>
      <w:r w:rsidRPr="0099684E">
        <w:rPr>
          <w:rFonts w:eastAsia="Times New Roman" w:cs="Tahoma"/>
          <w:bCs/>
          <w:color w:val="auto"/>
          <w:lang w:eastAsia="es-MX"/>
        </w:rPr>
        <w:t xml:space="preserve">Además, </w:t>
      </w:r>
      <w:r w:rsidR="00B35603" w:rsidRPr="0099684E">
        <w:rPr>
          <w:rFonts w:eastAsia="Times New Roman" w:cs="Tahoma"/>
          <w:bCs/>
          <w:color w:val="auto"/>
          <w:lang w:eastAsia="es-MX"/>
        </w:rPr>
        <w:t xml:space="preserve">deberá </w:t>
      </w:r>
      <w:r w:rsidRPr="0099684E">
        <w:rPr>
          <w:rFonts w:eastAsia="Times New Roman" w:cs="Tahoma"/>
          <w:bCs/>
          <w:color w:val="auto"/>
          <w:lang w:eastAsia="es-MX"/>
        </w:rPr>
        <w:t>proporcionar el Acuerdo de Clasificación donde el Comité de Transparencia, confirme la eliminación de los datos o información clasificada</w:t>
      </w:r>
      <w:r w:rsidR="00B35603" w:rsidRPr="0099684E">
        <w:rPr>
          <w:rFonts w:eastAsia="Times New Roman" w:cs="Tahoma"/>
          <w:bCs/>
          <w:color w:val="auto"/>
          <w:lang w:eastAsia="es-MX"/>
        </w:rPr>
        <w:t>, en la versión pública</w:t>
      </w:r>
      <w:r w:rsidR="00082334" w:rsidRPr="0099684E">
        <w:rPr>
          <w:rFonts w:eastAsia="Times New Roman" w:cs="Tahoma"/>
          <w:bCs/>
          <w:color w:val="auto"/>
          <w:lang w:eastAsia="es-MX"/>
        </w:rPr>
        <w:t>, en términos del Considerando QUINTO</w:t>
      </w:r>
      <w:r w:rsidRPr="0099684E">
        <w:rPr>
          <w:rFonts w:eastAsia="Times New Roman" w:cs="Tahoma"/>
          <w:bCs/>
          <w:color w:val="auto"/>
          <w:lang w:eastAsia="es-MX"/>
        </w:rPr>
        <w:t>, de conformidad con los artículos 49, fracciones II y VIII, y 132, fracción II, de la Ley de Transparencia y Acceso a la Información Pública del Estado de México y Municipios.</w:t>
      </w:r>
    </w:p>
    <w:p w14:paraId="4097CBEB" w14:textId="77777777" w:rsidR="00413F33" w:rsidRPr="0099684E" w:rsidRDefault="00413F33" w:rsidP="009E7481">
      <w:pPr>
        <w:spacing w:after="0" w:line="360" w:lineRule="auto"/>
        <w:rPr>
          <w:rFonts w:cs="Arial"/>
          <w:b/>
          <w:lang w:val="es-ES_tradnl"/>
        </w:rPr>
      </w:pPr>
    </w:p>
    <w:p w14:paraId="78A7F6A4" w14:textId="544A2128" w:rsidR="00B35603" w:rsidRPr="0099684E" w:rsidRDefault="00B35603" w:rsidP="00B35603">
      <w:pPr>
        <w:spacing w:line="360" w:lineRule="auto"/>
        <w:contextualSpacing/>
        <w:rPr>
          <w:rFonts w:cs="Tahoma"/>
          <w:bCs/>
          <w:iCs/>
        </w:rPr>
      </w:pPr>
      <w:r w:rsidRPr="0099684E">
        <w:rPr>
          <w:rFonts w:cs="Tahoma"/>
          <w:b/>
        </w:rPr>
        <w:t xml:space="preserve">TERCERO. NOTIFÍQUESE POR SAIMEX </w:t>
      </w:r>
      <w:r w:rsidRPr="0099684E">
        <w:rPr>
          <w:rFonts w:cs="Tahoma"/>
          <w:b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EADE5DE" w14:textId="77777777" w:rsidR="00B35603" w:rsidRPr="0099684E" w:rsidRDefault="00B35603" w:rsidP="00B35603">
      <w:pPr>
        <w:spacing w:line="360" w:lineRule="auto"/>
        <w:contextualSpacing/>
        <w:rPr>
          <w:rFonts w:cs="Tahoma"/>
        </w:rPr>
      </w:pPr>
    </w:p>
    <w:p w14:paraId="50584BE4" w14:textId="77777777" w:rsidR="00B35603" w:rsidRPr="0099684E" w:rsidRDefault="00B35603" w:rsidP="00B35603">
      <w:pPr>
        <w:spacing w:line="360" w:lineRule="auto"/>
        <w:contextualSpacing/>
        <w:rPr>
          <w:rFonts w:cs="Tahoma"/>
          <w:iCs/>
        </w:rPr>
      </w:pPr>
      <w:r w:rsidRPr="0099684E">
        <w:rPr>
          <w:rFonts w:cs="Tahoma"/>
          <w:iCs/>
        </w:rPr>
        <w:t xml:space="preserve">De conformidad con el artículo 198 de la </w:t>
      </w:r>
      <w:r w:rsidRPr="0099684E">
        <w:rPr>
          <w:rFonts w:cs="Tahoma"/>
          <w:bCs/>
        </w:rPr>
        <w:t>Ley de Transparencia y Acceso a la Información Pública del Estado de México y Municipios</w:t>
      </w:r>
      <w:r w:rsidRPr="0099684E">
        <w:rPr>
          <w:rFonts w:cs="Tahoma"/>
          <w:iCs/>
        </w:rPr>
        <w:t xml:space="preserve">, de considerarlo procedente, el Sujeto Obligado de </w:t>
      </w:r>
      <w:r w:rsidRPr="0099684E">
        <w:rPr>
          <w:rFonts w:cs="Tahoma"/>
          <w:iCs/>
        </w:rPr>
        <w:lastRenderedPageBreak/>
        <w:t>manera fundada y motivada, podrá solicitar una ampliación de plazo para el cumplimiento de la presente Resolución.</w:t>
      </w:r>
    </w:p>
    <w:p w14:paraId="6664464A" w14:textId="77777777" w:rsidR="00B35603" w:rsidRPr="0099684E" w:rsidRDefault="00B35603" w:rsidP="00B35603">
      <w:pPr>
        <w:spacing w:line="360" w:lineRule="auto"/>
        <w:contextualSpacing/>
        <w:rPr>
          <w:rFonts w:cs="Tahoma"/>
          <w:iCs/>
        </w:rPr>
      </w:pPr>
    </w:p>
    <w:p w14:paraId="2FE96445" w14:textId="07DAD12E" w:rsidR="00B35603" w:rsidRPr="0099684E" w:rsidRDefault="00B35603" w:rsidP="00B35603">
      <w:pPr>
        <w:spacing w:line="360" w:lineRule="auto"/>
        <w:contextualSpacing/>
        <w:rPr>
          <w:rFonts w:cs="Tahoma"/>
          <w:iCs/>
        </w:rPr>
      </w:pPr>
      <w:r w:rsidRPr="0099684E">
        <w:rPr>
          <w:rFonts w:cs="Tahoma"/>
          <w:b/>
          <w:bCs/>
          <w:iCs/>
        </w:rPr>
        <w:t>CUARTO</w:t>
      </w:r>
      <w:r w:rsidRPr="0099684E">
        <w:rPr>
          <w:rFonts w:cs="Tahoma"/>
          <w:b/>
          <w:bCs/>
        </w:rPr>
        <w:t xml:space="preserve">. </w:t>
      </w:r>
      <w:r w:rsidRPr="0099684E">
        <w:rPr>
          <w:rFonts w:cs="Tahoma"/>
          <w:b/>
          <w:bCs/>
          <w:iCs/>
        </w:rPr>
        <w:t>NOTIFÍQUESE POR SAIME</w:t>
      </w:r>
      <w:r w:rsidRPr="0099684E">
        <w:rPr>
          <w:rFonts w:cs="Tahoma"/>
          <w:iCs/>
        </w:rPr>
        <w:t>X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2C8D564" w14:textId="77777777" w:rsidR="00782132" w:rsidRPr="0099684E" w:rsidRDefault="00782132" w:rsidP="009E7481">
      <w:pPr>
        <w:spacing w:after="0" w:line="360" w:lineRule="auto"/>
        <w:rPr>
          <w:rFonts w:eastAsia="Calibri" w:cs="Tahoma"/>
          <w:bCs/>
        </w:rPr>
      </w:pPr>
    </w:p>
    <w:p w14:paraId="61493576" w14:textId="176ADE1F" w:rsidR="00C853D1" w:rsidRDefault="0045726D" w:rsidP="009E7481">
      <w:pPr>
        <w:spacing w:after="0" w:line="360" w:lineRule="auto"/>
        <w:rPr>
          <w:rFonts w:eastAsia="Calibri" w:cs="Tahoma"/>
          <w:bCs/>
        </w:rPr>
      </w:pPr>
      <w:r w:rsidRPr="0099684E">
        <w:rPr>
          <w:rFonts w:eastAsia="Calibri" w:cs="Tahoma"/>
          <w:bCs/>
        </w:rPr>
        <w:t xml:space="preserve">ASÍ LO RESUELVE, POR </w:t>
      </w:r>
      <w:r w:rsidRPr="0099684E">
        <w:rPr>
          <w:rFonts w:eastAsia="Calibri" w:cs="Tahoma"/>
          <w:b/>
        </w:rPr>
        <w:t>UNANIMIDAD</w:t>
      </w:r>
      <w:r w:rsidRPr="0099684E">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3F4450" w:rsidRPr="0099684E">
        <w:rPr>
          <w:rFonts w:eastAsia="Calibri" w:cs="Tahoma"/>
          <w:bCs/>
        </w:rPr>
        <w:t xml:space="preserve">DÉCIMA </w:t>
      </w:r>
      <w:r w:rsidR="00476B4C" w:rsidRPr="0099684E">
        <w:rPr>
          <w:rFonts w:eastAsia="Calibri" w:cs="Tahoma"/>
          <w:bCs/>
        </w:rPr>
        <w:t>SEGUNDA</w:t>
      </w:r>
      <w:r w:rsidRPr="0099684E">
        <w:rPr>
          <w:rFonts w:eastAsia="Calibri" w:cs="Tahoma"/>
          <w:bCs/>
        </w:rPr>
        <w:t xml:space="preserve"> SESIÓN ORDINARIA, CELEBRADA EL </w:t>
      </w:r>
      <w:r w:rsidR="004E3250" w:rsidRPr="0099684E">
        <w:rPr>
          <w:rFonts w:eastAsia="Calibri" w:cs="Tahoma"/>
          <w:bCs/>
        </w:rPr>
        <w:t>DOS</w:t>
      </w:r>
      <w:r w:rsidRPr="0099684E">
        <w:rPr>
          <w:rFonts w:eastAsia="Calibri" w:cs="Tahoma"/>
          <w:bCs/>
        </w:rPr>
        <w:t xml:space="preserve"> DE </w:t>
      </w:r>
      <w:r w:rsidR="004E3250" w:rsidRPr="0099684E">
        <w:rPr>
          <w:rFonts w:eastAsia="Calibri" w:cs="Tahoma"/>
          <w:bCs/>
        </w:rPr>
        <w:t>ABRIL</w:t>
      </w:r>
      <w:r w:rsidRPr="0099684E">
        <w:rPr>
          <w:rFonts w:eastAsia="Calibri" w:cs="Tahoma"/>
          <w:bCs/>
        </w:rPr>
        <w:t xml:space="preserve"> DE DOS MIL VEINT</w:t>
      </w:r>
      <w:r w:rsidR="009E0CE1" w:rsidRPr="0099684E">
        <w:rPr>
          <w:rFonts w:eastAsia="Calibri" w:cs="Tahoma"/>
          <w:bCs/>
        </w:rPr>
        <w:t>I</w:t>
      </w:r>
      <w:r w:rsidR="00D526FB" w:rsidRPr="0099684E">
        <w:rPr>
          <w:rFonts w:eastAsia="Calibri" w:cs="Tahoma"/>
          <w:bCs/>
        </w:rPr>
        <w:t>CINCO</w:t>
      </w:r>
      <w:r w:rsidRPr="0099684E">
        <w:rPr>
          <w:rFonts w:eastAsia="Calibri" w:cs="Tahoma"/>
          <w:bCs/>
        </w:rPr>
        <w:t>, ANTE EL SECRETARIO TÉCNICO DEL PLENO, ALEXIS TAPIA RAMÍREZ.</w:t>
      </w:r>
    </w:p>
    <w:p w14:paraId="3A7BF8F4" w14:textId="2D48560D" w:rsidR="00A6477D" w:rsidRPr="00276F3B" w:rsidRDefault="00C853D1" w:rsidP="00082334">
      <w:pPr>
        <w:spacing w:after="0" w:line="360" w:lineRule="auto"/>
        <w:jc w:val="left"/>
      </w:pPr>
      <w:r w:rsidRPr="00276F3B">
        <w:rPr>
          <w:rFonts w:eastAsia="Calibri" w:cs="Tahoma"/>
          <w:b/>
          <w:bCs/>
        </w:rPr>
        <w:br w:type="page"/>
      </w:r>
    </w:p>
    <w:sectPr w:rsidR="00A6477D" w:rsidRPr="00276F3B" w:rsidSect="002C59A0">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0E081" w14:textId="77777777" w:rsidR="00992A1B" w:rsidRDefault="00992A1B" w:rsidP="00C853D1">
      <w:pPr>
        <w:spacing w:after="0" w:line="240" w:lineRule="auto"/>
      </w:pPr>
      <w:r>
        <w:separator/>
      </w:r>
    </w:p>
  </w:endnote>
  <w:endnote w:type="continuationSeparator" w:id="0">
    <w:p w14:paraId="38F2A97C" w14:textId="77777777" w:rsidR="00992A1B" w:rsidRDefault="00992A1B" w:rsidP="00C853D1">
      <w:pPr>
        <w:spacing w:after="0" w:line="240" w:lineRule="auto"/>
      </w:pPr>
      <w:r>
        <w:continuationSeparator/>
      </w:r>
    </w:p>
  </w:endnote>
  <w:endnote w:type="continuationNotice" w:id="1">
    <w:p w14:paraId="150E3392" w14:textId="77777777" w:rsidR="00992A1B" w:rsidRDefault="00992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Sans Devanagari">
    <w:charset w:val="B2"/>
    <w:family w:val="auto"/>
    <w:pitch w:val="variable"/>
    <w:sig w:usb0="0300A007" w:usb1="00000001" w:usb2="00000008" w:usb3="00000000" w:csb0="000100D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FA4723" w:rsidRDefault="00FA472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1FBC">
              <w:rPr>
                <w:b/>
                <w:bCs/>
                <w:noProof/>
              </w:rPr>
              <w:t>32</w:t>
            </w:r>
            <w:r>
              <w:rPr>
                <w:b/>
                <w:bCs/>
                <w:sz w:val="24"/>
                <w:szCs w:val="24"/>
              </w:rPr>
              <w:fldChar w:fldCharType="end"/>
            </w:r>
          </w:p>
        </w:sdtContent>
      </w:sdt>
    </w:sdtContent>
  </w:sdt>
  <w:p w14:paraId="5F4318B3" w14:textId="77777777" w:rsidR="00FA4723" w:rsidRDefault="00FA47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FA4723" w:rsidRDefault="00FA472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1FBC">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1FBC">
              <w:rPr>
                <w:b/>
                <w:bCs/>
                <w:noProof/>
              </w:rPr>
              <w:t>32</w:t>
            </w:r>
            <w:r>
              <w:rPr>
                <w:b/>
                <w:bCs/>
                <w:sz w:val="24"/>
                <w:szCs w:val="24"/>
              </w:rPr>
              <w:fldChar w:fldCharType="end"/>
            </w:r>
          </w:p>
        </w:sdtContent>
      </w:sdt>
    </w:sdtContent>
  </w:sdt>
  <w:p w14:paraId="3F35B7C0" w14:textId="77777777" w:rsidR="00FA4723" w:rsidRDefault="00FA472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FA4723" w:rsidRDefault="00FA472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1FB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1FBC">
              <w:rPr>
                <w:b/>
                <w:bCs/>
                <w:noProof/>
              </w:rPr>
              <w:t>32</w:t>
            </w:r>
            <w:r>
              <w:rPr>
                <w:b/>
                <w:bCs/>
                <w:sz w:val="24"/>
                <w:szCs w:val="24"/>
              </w:rPr>
              <w:fldChar w:fldCharType="end"/>
            </w:r>
          </w:p>
        </w:sdtContent>
      </w:sdt>
    </w:sdtContent>
  </w:sdt>
  <w:p w14:paraId="1A7218CE" w14:textId="77777777" w:rsidR="00FA4723" w:rsidRDefault="00FA47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E5B90" w14:textId="77777777" w:rsidR="00992A1B" w:rsidRDefault="00992A1B" w:rsidP="00C853D1">
      <w:pPr>
        <w:spacing w:after="0" w:line="240" w:lineRule="auto"/>
      </w:pPr>
      <w:r>
        <w:separator/>
      </w:r>
    </w:p>
  </w:footnote>
  <w:footnote w:type="continuationSeparator" w:id="0">
    <w:p w14:paraId="3C7197AF" w14:textId="77777777" w:rsidR="00992A1B" w:rsidRDefault="00992A1B" w:rsidP="00C853D1">
      <w:pPr>
        <w:spacing w:after="0" w:line="240" w:lineRule="auto"/>
      </w:pPr>
      <w:r>
        <w:continuationSeparator/>
      </w:r>
    </w:p>
  </w:footnote>
  <w:footnote w:type="continuationNotice" w:id="1">
    <w:p w14:paraId="3FA00C1F" w14:textId="77777777" w:rsidR="00992A1B" w:rsidRDefault="00992A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FA4723" w14:paraId="282B3A75" w14:textId="77777777" w:rsidTr="002C59A0">
      <w:trPr>
        <w:trHeight w:val="141"/>
      </w:trPr>
      <w:tc>
        <w:tcPr>
          <w:tcW w:w="2404" w:type="dxa"/>
        </w:tcPr>
        <w:p w14:paraId="57F547E7" w14:textId="77777777" w:rsidR="00FA4723" w:rsidRPr="001B5FB6" w:rsidRDefault="00FA4723"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FA4723" w:rsidRPr="00A8173F" w:rsidRDefault="00FA4723" w:rsidP="002C59A0">
          <w:pPr>
            <w:tabs>
              <w:tab w:val="right" w:pos="8838"/>
            </w:tabs>
            <w:ind w:left="-28" w:right="683"/>
            <w:rPr>
              <w:rFonts w:eastAsia="Calibri" w:cs="Tahoma"/>
            </w:rPr>
          </w:pPr>
          <w:r w:rsidRPr="00A8173F">
            <w:rPr>
              <w:rFonts w:eastAsia="Calibri" w:cs="Tahoma"/>
              <w:lang w:val="es-MX"/>
            </w:rPr>
            <w:t>04196/INFOEM/IP/RR/2020</w:t>
          </w:r>
        </w:p>
      </w:tc>
    </w:tr>
    <w:tr w:rsidR="00FA4723" w14:paraId="46AFE2B4" w14:textId="77777777" w:rsidTr="002C59A0">
      <w:trPr>
        <w:trHeight w:val="276"/>
      </w:trPr>
      <w:tc>
        <w:tcPr>
          <w:tcW w:w="2404" w:type="dxa"/>
        </w:tcPr>
        <w:p w14:paraId="1D6E5B2B" w14:textId="77777777" w:rsidR="00FA4723" w:rsidRPr="001B5FB6" w:rsidRDefault="00FA4723"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FA4723" w:rsidRPr="00A8173F" w:rsidRDefault="00FA4723" w:rsidP="002C59A0">
          <w:pPr>
            <w:tabs>
              <w:tab w:val="right" w:pos="8838"/>
            </w:tabs>
            <w:ind w:right="116"/>
            <w:rPr>
              <w:rFonts w:eastAsia="Calibri" w:cs="Tahoma"/>
              <w:lang w:val="es-MX"/>
            </w:rPr>
          </w:pPr>
          <w:r w:rsidRPr="00A8173F">
            <w:rPr>
              <w:rFonts w:eastAsia="Calibri" w:cs="Tahoma"/>
              <w:lang w:val="es-MX"/>
            </w:rPr>
            <w:t>Ayuntamiento de Chapultepec</w:t>
          </w:r>
        </w:p>
      </w:tc>
    </w:tr>
    <w:tr w:rsidR="00FA4723" w14:paraId="1FA679E9" w14:textId="77777777" w:rsidTr="002C59A0">
      <w:trPr>
        <w:trHeight w:val="276"/>
      </w:trPr>
      <w:tc>
        <w:tcPr>
          <w:tcW w:w="2404" w:type="dxa"/>
        </w:tcPr>
        <w:p w14:paraId="6498FD30" w14:textId="77777777" w:rsidR="00FA4723" w:rsidRPr="001B5FB6" w:rsidRDefault="00FA4723"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FA4723" w:rsidRPr="00A8173F" w:rsidRDefault="00FA4723"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FA4723" w:rsidRDefault="00992A1B">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521"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4117"/>
    </w:tblGrid>
    <w:tr w:rsidR="00FA4723" w14:paraId="1E2FF18B" w14:textId="77777777" w:rsidTr="00484642">
      <w:trPr>
        <w:trHeight w:val="141"/>
      </w:trPr>
      <w:tc>
        <w:tcPr>
          <w:tcW w:w="2404" w:type="dxa"/>
        </w:tcPr>
        <w:p w14:paraId="6B6D03E8" w14:textId="77777777" w:rsidR="00FA4723" w:rsidRPr="001B5FB6" w:rsidRDefault="00FA4723"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4117" w:type="dxa"/>
        </w:tcPr>
        <w:p w14:paraId="503BB8DE" w14:textId="4C30E8E3" w:rsidR="00FA4723" w:rsidRPr="00C853D1" w:rsidRDefault="00FA4723" w:rsidP="00682222">
          <w:pPr>
            <w:tabs>
              <w:tab w:val="right" w:pos="8838"/>
            </w:tabs>
            <w:ind w:left="-28" w:right="454"/>
            <w:rPr>
              <w:rFonts w:eastAsia="Calibri" w:cs="Tahoma"/>
            </w:rPr>
          </w:pPr>
          <w:r>
            <w:rPr>
              <w:rFonts w:eastAsia="Calibri" w:cs="Tahoma"/>
              <w:lang w:val="es-MX"/>
            </w:rPr>
            <w:t>02726/INFOEM/IP/RR/2025</w:t>
          </w:r>
        </w:p>
      </w:tc>
    </w:tr>
    <w:tr w:rsidR="00FA4723" w14:paraId="110906AA" w14:textId="77777777" w:rsidTr="00484642">
      <w:trPr>
        <w:trHeight w:val="276"/>
      </w:trPr>
      <w:tc>
        <w:tcPr>
          <w:tcW w:w="2404" w:type="dxa"/>
        </w:tcPr>
        <w:p w14:paraId="3052339E" w14:textId="77777777" w:rsidR="00FA4723" w:rsidRPr="001B5FB6" w:rsidRDefault="00FA4723" w:rsidP="002C59A0">
          <w:pPr>
            <w:tabs>
              <w:tab w:val="right" w:pos="8838"/>
            </w:tabs>
            <w:ind w:right="-105"/>
            <w:rPr>
              <w:rFonts w:eastAsia="Calibri" w:cs="Tahoma"/>
              <w:b/>
              <w:lang w:val="es-MX"/>
            </w:rPr>
          </w:pPr>
          <w:r w:rsidRPr="001B5FB6">
            <w:rPr>
              <w:rFonts w:eastAsia="Calibri" w:cs="Tahoma"/>
              <w:b/>
              <w:lang w:val="es-MX"/>
            </w:rPr>
            <w:t>Sujeto Obligado:</w:t>
          </w:r>
        </w:p>
      </w:tc>
      <w:tc>
        <w:tcPr>
          <w:tcW w:w="4117" w:type="dxa"/>
        </w:tcPr>
        <w:p w14:paraId="5C93113C" w14:textId="0332090B" w:rsidR="00FA4723" w:rsidRPr="00A8173F" w:rsidRDefault="00FA4723" w:rsidP="00F14049">
          <w:pPr>
            <w:tabs>
              <w:tab w:val="left" w:pos="2733"/>
              <w:tab w:val="right" w:pos="8838"/>
            </w:tabs>
            <w:ind w:right="-108"/>
            <w:rPr>
              <w:rFonts w:eastAsia="Calibri" w:cs="Tahoma"/>
              <w:lang w:val="es-MX"/>
            </w:rPr>
          </w:pPr>
          <w:r>
            <w:rPr>
              <w:rFonts w:eastAsia="Calibri" w:cs="Tahoma"/>
              <w:lang w:val="es-MX"/>
            </w:rPr>
            <w:t xml:space="preserve">Organismo Público Descentralizado Municipal para la Prestación de los Servicios de Agua Potable Alcantarillado y Saneamiento de Cuautitlán Izcalli </w:t>
          </w:r>
        </w:p>
      </w:tc>
    </w:tr>
    <w:tr w:rsidR="00FA4723" w14:paraId="065F2043" w14:textId="77777777" w:rsidTr="00484642">
      <w:trPr>
        <w:trHeight w:val="276"/>
      </w:trPr>
      <w:tc>
        <w:tcPr>
          <w:tcW w:w="2404" w:type="dxa"/>
        </w:tcPr>
        <w:p w14:paraId="22514F66" w14:textId="77777777" w:rsidR="00FA4723" w:rsidRPr="001B5FB6" w:rsidRDefault="00FA4723" w:rsidP="002C59A0">
          <w:pPr>
            <w:tabs>
              <w:tab w:val="right" w:pos="8838"/>
            </w:tabs>
            <w:ind w:right="-105"/>
            <w:rPr>
              <w:rFonts w:eastAsia="Calibri" w:cs="Tahoma"/>
              <w:b/>
              <w:lang w:val="es-MX"/>
            </w:rPr>
          </w:pPr>
          <w:r w:rsidRPr="001B5FB6">
            <w:rPr>
              <w:rFonts w:eastAsia="Calibri" w:cs="Tahoma"/>
              <w:b/>
              <w:lang w:val="es-MX"/>
            </w:rPr>
            <w:t>Comisionado Ponente:</w:t>
          </w:r>
        </w:p>
      </w:tc>
      <w:tc>
        <w:tcPr>
          <w:tcW w:w="4117" w:type="dxa"/>
        </w:tcPr>
        <w:p w14:paraId="245FB2E7" w14:textId="77777777" w:rsidR="00FA4723" w:rsidRPr="00A8173F" w:rsidRDefault="00FA4723" w:rsidP="00682222">
          <w:pPr>
            <w:tabs>
              <w:tab w:val="right" w:pos="8838"/>
            </w:tabs>
            <w:ind w:right="454"/>
            <w:rPr>
              <w:rFonts w:eastAsia="Calibri" w:cs="Tahoma"/>
              <w:lang w:val="es-MX"/>
            </w:rPr>
          </w:pPr>
          <w:r w:rsidRPr="00A8173F">
            <w:rPr>
              <w:rFonts w:eastAsia="Calibri" w:cs="Tahoma"/>
              <w:lang w:val="es-MX"/>
            </w:rPr>
            <w:t>Luis Gustavo Parra Noriega</w:t>
          </w:r>
        </w:p>
      </w:tc>
    </w:tr>
  </w:tbl>
  <w:p w14:paraId="0A6563BD" w14:textId="77777777" w:rsidR="00FA4723" w:rsidRDefault="00992A1B">
    <w:pPr>
      <w:pStyle w:val="Encabezado"/>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85.1pt;margin-top:-124pt;width:663.5pt;height:12in;z-index:-251658239;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2" w:type="dxa"/>
      <w:tblLayout w:type="fixed"/>
      <w:tblLook w:val="04A0" w:firstRow="1" w:lastRow="0" w:firstColumn="1" w:lastColumn="0" w:noHBand="0" w:noVBand="1"/>
    </w:tblPr>
    <w:tblGrid>
      <w:gridCol w:w="2410"/>
      <w:gridCol w:w="7512"/>
    </w:tblGrid>
    <w:tr w:rsidR="00FA4723" w:rsidRPr="005C106F" w14:paraId="5D26797B" w14:textId="77777777" w:rsidTr="00484642">
      <w:trPr>
        <w:trHeight w:val="1546"/>
      </w:trPr>
      <w:tc>
        <w:tcPr>
          <w:tcW w:w="2410" w:type="dxa"/>
          <w:shd w:val="clear" w:color="auto" w:fill="auto"/>
        </w:tcPr>
        <w:p w14:paraId="76E7DE43" w14:textId="77777777" w:rsidR="00FA4723" w:rsidRPr="005C106F" w:rsidRDefault="00FA4723" w:rsidP="002C59A0">
          <w:pPr>
            <w:tabs>
              <w:tab w:val="right" w:pos="4273"/>
            </w:tabs>
            <w:rPr>
              <w:rFonts w:ascii="Garamond" w:eastAsia="Calibri" w:hAnsi="Garamond"/>
              <w:sz w:val="16"/>
              <w:szCs w:val="16"/>
            </w:rPr>
          </w:pPr>
        </w:p>
      </w:tc>
      <w:tc>
        <w:tcPr>
          <w:tcW w:w="7512" w:type="dxa"/>
          <w:shd w:val="clear" w:color="auto" w:fill="auto"/>
        </w:tcPr>
        <w:tbl>
          <w:tblPr>
            <w:tblStyle w:val="Tablaconcuadrcula"/>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4292"/>
          </w:tblGrid>
          <w:tr w:rsidR="00FA4723" w14:paraId="5CB74832" w14:textId="77777777" w:rsidTr="00484642">
            <w:trPr>
              <w:trHeight w:val="141"/>
            </w:trPr>
            <w:tc>
              <w:tcPr>
                <w:tcW w:w="2404" w:type="dxa"/>
                <w:vAlign w:val="bottom"/>
              </w:tcPr>
              <w:p w14:paraId="38469831" w14:textId="77777777" w:rsidR="00FA4723" w:rsidRPr="001B5FB6" w:rsidRDefault="00FA4723" w:rsidP="002C59A0">
                <w:pPr>
                  <w:tabs>
                    <w:tab w:val="right" w:pos="8838"/>
                  </w:tabs>
                  <w:ind w:right="-105"/>
                  <w:rPr>
                    <w:rFonts w:eastAsia="Calibri" w:cs="Tahoma"/>
                    <w:b/>
                    <w:lang w:val="es-MX"/>
                  </w:rPr>
                </w:pPr>
                <w:r w:rsidRPr="001B5FB6">
                  <w:rPr>
                    <w:rFonts w:eastAsia="Calibri" w:cs="Tahoma"/>
                    <w:b/>
                    <w:lang w:val="es-MX"/>
                  </w:rPr>
                  <w:t>Recurso de Revisión:</w:t>
                </w:r>
              </w:p>
            </w:tc>
            <w:tc>
              <w:tcPr>
                <w:tcW w:w="4292" w:type="dxa"/>
              </w:tcPr>
              <w:p w14:paraId="0749605A" w14:textId="77777777" w:rsidR="00FA4723" w:rsidRDefault="00FA4723" w:rsidP="002C59A0">
                <w:pPr>
                  <w:tabs>
                    <w:tab w:val="right" w:pos="8838"/>
                  </w:tabs>
                  <w:ind w:left="-28" w:right="-107"/>
                  <w:rPr>
                    <w:rFonts w:eastAsia="Calibri" w:cs="Tahoma"/>
                    <w:lang w:val="es-MX"/>
                  </w:rPr>
                </w:pPr>
              </w:p>
              <w:p w14:paraId="25021A4A" w14:textId="280889DD" w:rsidR="00FA4723" w:rsidRPr="00C853D1" w:rsidRDefault="00FA4723" w:rsidP="00BC52FA">
                <w:pPr>
                  <w:tabs>
                    <w:tab w:val="right" w:pos="8838"/>
                  </w:tabs>
                  <w:ind w:left="-28" w:right="-107"/>
                  <w:rPr>
                    <w:rFonts w:eastAsia="Calibri" w:cs="Tahoma"/>
                  </w:rPr>
                </w:pPr>
                <w:r>
                  <w:rPr>
                    <w:rFonts w:eastAsia="Calibri" w:cs="Tahoma"/>
                    <w:lang w:val="es-MX"/>
                  </w:rPr>
                  <w:t>02726</w:t>
                </w:r>
                <w:r w:rsidRPr="00702180">
                  <w:rPr>
                    <w:rFonts w:eastAsia="Calibri" w:cs="Tahoma"/>
                    <w:lang w:val="es-MX"/>
                  </w:rPr>
                  <w:t>/INFOEM/IP/RR/</w:t>
                </w:r>
                <w:r>
                  <w:rPr>
                    <w:rFonts w:eastAsia="Calibri" w:cs="Tahoma"/>
                    <w:lang w:val="es-MX"/>
                  </w:rPr>
                  <w:t>2025</w:t>
                </w:r>
              </w:p>
            </w:tc>
          </w:tr>
          <w:tr w:rsidR="00FA4723" w14:paraId="65D6C982" w14:textId="77777777" w:rsidTr="00484642">
            <w:trPr>
              <w:trHeight w:val="141"/>
            </w:trPr>
            <w:tc>
              <w:tcPr>
                <w:tcW w:w="2404" w:type="dxa"/>
              </w:tcPr>
              <w:p w14:paraId="7E5992A8" w14:textId="77777777" w:rsidR="00FA4723" w:rsidRPr="001B5FB6" w:rsidRDefault="00FA4723" w:rsidP="002C59A0">
                <w:pPr>
                  <w:tabs>
                    <w:tab w:val="right" w:pos="8838"/>
                  </w:tabs>
                  <w:ind w:right="-105"/>
                  <w:rPr>
                    <w:rFonts w:eastAsia="Calibri" w:cs="Tahoma"/>
                    <w:b/>
                    <w:lang w:val="es-MX"/>
                  </w:rPr>
                </w:pPr>
                <w:r w:rsidRPr="001B5FB6">
                  <w:rPr>
                    <w:rFonts w:eastAsia="Calibri" w:cs="Tahoma"/>
                    <w:b/>
                    <w:lang w:val="es-MX"/>
                  </w:rPr>
                  <w:t>Recurrente:</w:t>
                </w:r>
              </w:p>
            </w:tc>
            <w:tc>
              <w:tcPr>
                <w:tcW w:w="4292" w:type="dxa"/>
              </w:tcPr>
              <w:p w14:paraId="4D5C37D5" w14:textId="7417C19A" w:rsidR="00FA4723" w:rsidRPr="003405AF" w:rsidRDefault="00FA4723" w:rsidP="00AF5792">
                <w:pPr>
                  <w:tabs>
                    <w:tab w:val="left" w:pos="3475"/>
                    <w:tab w:val="right" w:pos="8838"/>
                  </w:tabs>
                  <w:ind w:right="34"/>
                  <w:rPr>
                    <w:rFonts w:eastAsia="Calibri" w:cs="Tahoma"/>
                    <w:lang w:val="es-MX"/>
                  </w:rPr>
                </w:pPr>
              </w:p>
            </w:tc>
          </w:tr>
          <w:tr w:rsidR="00FA4723" w14:paraId="40A995EA" w14:textId="77777777" w:rsidTr="00484642">
            <w:trPr>
              <w:trHeight w:val="276"/>
            </w:trPr>
            <w:tc>
              <w:tcPr>
                <w:tcW w:w="2404" w:type="dxa"/>
              </w:tcPr>
              <w:p w14:paraId="7BFD65FA" w14:textId="77777777" w:rsidR="00FA4723" w:rsidRPr="001B5FB6" w:rsidRDefault="00FA4723" w:rsidP="002C59A0">
                <w:pPr>
                  <w:tabs>
                    <w:tab w:val="right" w:pos="8838"/>
                  </w:tabs>
                  <w:ind w:right="-105"/>
                  <w:rPr>
                    <w:rFonts w:eastAsia="Calibri" w:cs="Tahoma"/>
                    <w:b/>
                    <w:lang w:val="es-MX"/>
                  </w:rPr>
                </w:pPr>
                <w:r w:rsidRPr="001B5FB6">
                  <w:rPr>
                    <w:rFonts w:eastAsia="Calibri" w:cs="Tahoma"/>
                    <w:b/>
                    <w:lang w:val="es-MX"/>
                  </w:rPr>
                  <w:t>Sujeto Obligado:</w:t>
                </w:r>
              </w:p>
            </w:tc>
            <w:tc>
              <w:tcPr>
                <w:tcW w:w="4292" w:type="dxa"/>
              </w:tcPr>
              <w:p w14:paraId="433E1B49" w14:textId="3191A84A" w:rsidR="00FA4723" w:rsidRPr="00C853D1" w:rsidRDefault="00FA4723" w:rsidP="00F14049">
                <w:pPr>
                  <w:tabs>
                    <w:tab w:val="right" w:pos="8838"/>
                  </w:tabs>
                  <w:ind w:right="34"/>
                  <w:rPr>
                    <w:rFonts w:eastAsia="Calibri" w:cs="Tahoma"/>
                    <w:lang w:val="es-MX"/>
                  </w:rPr>
                </w:pPr>
                <w:r>
                  <w:rPr>
                    <w:rFonts w:eastAsia="Calibri" w:cs="Tahoma"/>
                    <w:lang w:val="es-MX"/>
                  </w:rPr>
                  <w:t xml:space="preserve">Organismo Público Descentralizado Municipal para la Prestación de los Servicios de Agua Potable Alcantarillado y Saneamiento de Cuautitlán Izcalli </w:t>
                </w:r>
              </w:p>
            </w:tc>
          </w:tr>
          <w:tr w:rsidR="00FA4723" w14:paraId="386AB112" w14:textId="77777777" w:rsidTr="00484642">
            <w:trPr>
              <w:trHeight w:val="276"/>
            </w:trPr>
            <w:tc>
              <w:tcPr>
                <w:tcW w:w="2404" w:type="dxa"/>
              </w:tcPr>
              <w:p w14:paraId="44E8F60B" w14:textId="77777777" w:rsidR="00FA4723" w:rsidRPr="001B5FB6" w:rsidRDefault="00FA4723" w:rsidP="002C59A0">
                <w:pPr>
                  <w:tabs>
                    <w:tab w:val="right" w:pos="8838"/>
                  </w:tabs>
                  <w:ind w:right="-105"/>
                  <w:rPr>
                    <w:rFonts w:eastAsia="Calibri" w:cs="Tahoma"/>
                    <w:b/>
                    <w:lang w:val="es-MX"/>
                  </w:rPr>
                </w:pPr>
                <w:r w:rsidRPr="001B5FB6">
                  <w:rPr>
                    <w:rFonts w:eastAsia="Calibri" w:cs="Tahoma"/>
                    <w:b/>
                    <w:lang w:val="es-MX"/>
                  </w:rPr>
                  <w:t>Comisionado Ponente:</w:t>
                </w:r>
              </w:p>
            </w:tc>
            <w:tc>
              <w:tcPr>
                <w:tcW w:w="4292" w:type="dxa"/>
              </w:tcPr>
              <w:p w14:paraId="3833DB23" w14:textId="77777777" w:rsidR="00FA4723" w:rsidRPr="00A8173F" w:rsidRDefault="00FA4723" w:rsidP="002C59A0">
                <w:pPr>
                  <w:tabs>
                    <w:tab w:val="right" w:pos="8838"/>
                  </w:tabs>
                  <w:ind w:right="-107"/>
                  <w:rPr>
                    <w:rFonts w:eastAsia="Calibri" w:cs="Tahoma"/>
                    <w:lang w:val="es-MX"/>
                  </w:rPr>
                </w:pPr>
                <w:r w:rsidRPr="00A8173F">
                  <w:rPr>
                    <w:rFonts w:eastAsia="Calibri" w:cs="Tahoma"/>
                    <w:lang w:val="es-MX"/>
                  </w:rPr>
                  <w:t>Luis Gustavo Parra Noriega</w:t>
                </w:r>
              </w:p>
            </w:tc>
          </w:tr>
        </w:tbl>
        <w:p w14:paraId="7017D3D5" w14:textId="77777777" w:rsidR="00FA4723" w:rsidRPr="005C106F" w:rsidRDefault="00FA4723" w:rsidP="002C59A0">
          <w:pPr>
            <w:tabs>
              <w:tab w:val="right" w:pos="8838"/>
            </w:tabs>
            <w:ind w:left="-28"/>
            <w:rPr>
              <w:rFonts w:ascii="Arial" w:eastAsia="Calibri" w:hAnsi="Arial" w:cs="Arial"/>
              <w:b/>
            </w:rPr>
          </w:pPr>
        </w:p>
      </w:tc>
    </w:tr>
  </w:tbl>
  <w:p w14:paraId="280F3B20" w14:textId="77777777" w:rsidR="00FA4723" w:rsidRDefault="00992A1B">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97.1pt;margin-top:-127.6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5964FB"/>
    <w:multiLevelType w:val="hybridMultilevel"/>
    <w:tmpl w:val="5930F51A"/>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54160B"/>
    <w:multiLevelType w:val="hybridMultilevel"/>
    <w:tmpl w:val="54CEB9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081E67"/>
    <w:multiLevelType w:val="hybridMultilevel"/>
    <w:tmpl w:val="326A8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A21E4C"/>
    <w:multiLevelType w:val="hybridMultilevel"/>
    <w:tmpl w:val="11FC7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EF2E01"/>
    <w:multiLevelType w:val="hybridMultilevel"/>
    <w:tmpl w:val="298C44B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56152AEC"/>
    <w:multiLevelType w:val="hybridMultilevel"/>
    <w:tmpl w:val="2548854A"/>
    <w:lvl w:ilvl="0" w:tplc="60622DB6">
      <w:start w:val="5"/>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5"/>
  </w:num>
  <w:num w:numId="8">
    <w:abstractNumId w:val="4"/>
  </w:num>
  <w:num w:numId="9">
    <w:abstractNumId w:val="12"/>
  </w:num>
  <w:num w:numId="10">
    <w:abstractNumId w:val="2"/>
  </w:num>
  <w:num w:numId="11">
    <w:abstractNumId w:val="2"/>
  </w:num>
  <w:num w:numId="12">
    <w:abstractNumId w:val="7"/>
  </w:num>
  <w:num w:numId="13">
    <w:abstractNumId w:val="6"/>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1"/>
    <w:rsid w:val="00001F87"/>
    <w:rsid w:val="00002CDE"/>
    <w:rsid w:val="00002E53"/>
    <w:rsid w:val="000039BC"/>
    <w:rsid w:val="000051F1"/>
    <w:rsid w:val="000059A8"/>
    <w:rsid w:val="00005E7C"/>
    <w:rsid w:val="00007008"/>
    <w:rsid w:val="00007AD0"/>
    <w:rsid w:val="00007EB8"/>
    <w:rsid w:val="00012078"/>
    <w:rsid w:val="0001499A"/>
    <w:rsid w:val="00017A8F"/>
    <w:rsid w:val="00017D8C"/>
    <w:rsid w:val="000223B0"/>
    <w:rsid w:val="00025461"/>
    <w:rsid w:val="00026479"/>
    <w:rsid w:val="00027F27"/>
    <w:rsid w:val="00027FA3"/>
    <w:rsid w:val="00030561"/>
    <w:rsid w:val="0003131B"/>
    <w:rsid w:val="00032D0A"/>
    <w:rsid w:val="000403C2"/>
    <w:rsid w:val="0004662C"/>
    <w:rsid w:val="000477C6"/>
    <w:rsid w:val="00050169"/>
    <w:rsid w:val="000519B8"/>
    <w:rsid w:val="00052A57"/>
    <w:rsid w:val="00053A6B"/>
    <w:rsid w:val="00054A18"/>
    <w:rsid w:val="000567BD"/>
    <w:rsid w:val="000614FE"/>
    <w:rsid w:val="00061A69"/>
    <w:rsid w:val="00061FDD"/>
    <w:rsid w:val="000624D0"/>
    <w:rsid w:val="00062AAC"/>
    <w:rsid w:val="00062C8B"/>
    <w:rsid w:val="00065090"/>
    <w:rsid w:val="0006549E"/>
    <w:rsid w:val="00065B42"/>
    <w:rsid w:val="000705A9"/>
    <w:rsid w:val="00081145"/>
    <w:rsid w:val="00082334"/>
    <w:rsid w:val="0008287D"/>
    <w:rsid w:val="00084A29"/>
    <w:rsid w:val="000850D9"/>
    <w:rsid w:val="00085525"/>
    <w:rsid w:val="0009103C"/>
    <w:rsid w:val="00093914"/>
    <w:rsid w:val="000939CD"/>
    <w:rsid w:val="00096694"/>
    <w:rsid w:val="000A18E3"/>
    <w:rsid w:val="000A2588"/>
    <w:rsid w:val="000A259F"/>
    <w:rsid w:val="000A2A5D"/>
    <w:rsid w:val="000A352E"/>
    <w:rsid w:val="000A443E"/>
    <w:rsid w:val="000A61A2"/>
    <w:rsid w:val="000A62FA"/>
    <w:rsid w:val="000A6926"/>
    <w:rsid w:val="000A6BB0"/>
    <w:rsid w:val="000A7187"/>
    <w:rsid w:val="000A785D"/>
    <w:rsid w:val="000B0EAF"/>
    <w:rsid w:val="000B350E"/>
    <w:rsid w:val="000B7029"/>
    <w:rsid w:val="000B7F11"/>
    <w:rsid w:val="000C0123"/>
    <w:rsid w:val="000C715C"/>
    <w:rsid w:val="000D1A72"/>
    <w:rsid w:val="000D2522"/>
    <w:rsid w:val="000D45D9"/>
    <w:rsid w:val="000D59F5"/>
    <w:rsid w:val="000D69EB"/>
    <w:rsid w:val="000D6E68"/>
    <w:rsid w:val="000D73F7"/>
    <w:rsid w:val="000E25B2"/>
    <w:rsid w:val="000E28E6"/>
    <w:rsid w:val="000E4E10"/>
    <w:rsid w:val="000E7F83"/>
    <w:rsid w:val="000F05A6"/>
    <w:rsid w:val="000F0D92"/>
    <w:rsid w:val="000F2A9A"/>
    <w:rsid w:val="000F2F61"/>
    <w:rsid w:val="000F3403"/>
    <w:rsid w:val="000F45A1"/>
    <w:rsid w:val="001004CE"/>
    <w:rsid w:val="00100EB3"/>
    <w:rsid w:val="0010232F"/>
    <w:rsid w:val="0010413E"/>
    <w:rsid w:val="001059E3"/>
    <w:rsid w:val="00105EF9"/>
    <w:rsid w:val="00107995"/>
    <w:rsid w:val="0011000C"/>
    <w:rsid w:val="001105F1"/>
    <w:rsid w:val="00114329"/>
    <w:rsid w:val="0011460B"/>
    <w:rsid w:val="00115309"/>
    <w:rsid w:val="00116E36"/>
    <w:rsid w:val="001202DE"/>
    <w:rsid w:val="00120881"/>
    <w:rsid w:val="0012662A"/>
    <w:rsid w:val="00127836"/>
    <w:rsid w:val="00127FD5"/>
    <w:rsid w:val="001302E7"/>
    <w:rsid w:val="00130842"/>
    <w:rsid w:val="00133D89"/>
    <w:rsid w:val="001344F9"/>
    <w:rsid w:val="00134C39"/>
    <w:rsid w:val="00142455"/>
    <w:rsid w:val="00144332"/>
    <w:rsid w:val="00146731"/>
    <w:rsid w:val="00157731"/>
    <w:rsid w:val="001601CC"/>
    <w:rsid w:val="00161E74"/>
    <w:rsid w:val="00164599"/>
    <w:rsid w:val="00165E88"/>
    <w:rsid w:val="001672DE"/>
    <w:rsid w:val="001674D7"/>
    <w:rsid w:val="001675D9"/>
    <w:rsid w:val="00171F4B"/>
    <w:rsid w:val="0017427D"/>
    <w:rsid w:val="00174F57"/>
    <w:rsid w:val="00175405"/>
    <w:rsid w:val="00175572"/>
    <w:rsid w:val="001775A4"/>
    <w:rsid w:val="00180003"/>
    <w:rsid w:val="00184349"/>
    <w:rsid w:val="00184D7C"/>
    <w:rsid w:val="001900B4"/>
    <w:rsid w:val="00190EBA"/>
    <w:rsid w:val="001935D3"/>
    <w:rsid w:val="00194DD1"/>
    <w:rsid w:val="0019678D"/>
    <w:rsid w:val="001972F5"/>
    <w:rsid w:val="001A4813"/>
    <w:rsid w:val="001A641F"/>
    <w:rsid w:val="001B0166"/>
    <w:rsid w:val="001B3B40"/>
    <w:rsid w:val="001B77BD"/>
    <w:rsid w:val="001B7FC4"/>
    <w:rsid w:val="001C1007"/>
    <w:rsid w:val="001C1FDF"/>
    <w:rsid w:val="001C207F"/>
    <w:rsid w:val="001C241D"/>
    <w:rsid w:val="001C3C7E"/>
    <w:rsid w:val="001C3D02"/>
    <w:rsid w:val="001C551A"/>
    <w:rsid w:val="001C614D"/>
    <w:rsid w:val="001C6764"/>
    <w:rsid w:val="001D02DD"/>
    <w:rsid w:val="001D37BB"/>
    <w:rsid w:val="001D382D"/>
    <w:rsid w:val="001E1814"/>
    <w:rsid w:val="001E386E"/>
    <w:rsid w:val="001E60E5"/>
    <w:rsid w:val="001E6D1F"/>
    <w:rsid w:val="001E71C7"/>
    <w:rsid w:val="001E7300"/>
    <w:rsid w:val="001F12A8"/>
    <w:rsid w:val="001F162F"/>
    <w:rsid w:val="001F2D90"/>
    <w:rsid w:val="001F50EB"/>
    <w:rsid w:val="001F7C51"/>
    <w:rsid w:val="00202760"/>
    <w:rsid w:val="0020389C"/>
    <w:rsid w:val="00204AF1"/>
    <w:rsid w:val="0020771C"/>
    <w:rsid w:val="002111A8"/>
    <w:rsid w:val="00213776"/>
    <w:rsid w:val="0021520E"/>
    <w:rsid w:val="00216FF4"/>
    <w:rsid w:val="002175B4"/>
    <w:rsid w:val="00220583"/>
    <w:rsid w:val="0022261D"/>
    <w:rsid w:val="002266FD"/>
    <w:rsid w:val="0023232F"/>
    <w:rsid w:val="00235BA0"/>
    <w:rsid w:val="002402DE"/>
    <w:rsid w:val="002419E9"/>
    <w:rsid w:val="00242082"/>
    <w:rsid w:val="0024313A"/>
    <w:rsid w:val="00246B2F"/>
    <w:rsid w:val="0024712D"/>
    <w:rsid w:val="0024748E"/>
    <w:rsid w:val="002501D2"/>
    <w:rsid w:val="00251A4C"/>
    <w:rsid w:val="00252EF3"/>
    <w:rsid w:val="0025433F"/>
    <w:rsid w:val="00254436"/>
    <w:rsid w:val="002557A7"/>
    <w:rsid w:val="002565C9"/>
    <w:rsid w:val="00257F3B"/>
    <w:rsid w:val="00260AAA"/>
    <w:rsid w:val="00261807"/>
    <w:rsid w:val="00261BED"/>
    <w:rsid w:val="00261F65"/>
    <w:rsid w:val="002634E5"/>
    <w:rsid w:val="002718A0"/>
    <w:rsid w:val="00271D9C"/>
    <w:rsid w:val="00272886"/>
    <w:rsid w:val="00273E3B"/>
    <w:rsid w:val="0027410D"/>
    <w:rsid w:val="00276ACA"/>
    <w:rsid w:val="00276F3B"/>
    <w:rsid w:val="00277ADF"/>
    <w:rsid w:val="0028305A"/>
    <w:rsid w:val="00284B0E"/>
    <w:rsid w:val="00290B9E"/>
    <w:rsid w:val="00291347"/>
    <w:rsid w:val="00296E2A"/>
    <w:rsid w:val="002A078A"/>
    <w:rsid w:val="002A233D"/>
    <w:rsid w:val="002A5C31"/>
    <w:rsid w:val="002B3565"/>
    <w:rsid w:val="002B3FDA"/>
    <w:rsid w:val="002B54AE"/>
    <w:rsid w:val="002B68DF"/>
    <w:rsid w:val="002B7626"/>
    <w:rsid w:val="002C1472"/>
    <w:rsid w:val="002C514D"/>
    <w:rsid w:val="002C59A0"/>
    <w:rsid w:val="002C5AFB"/>
    <w:rsid w:val="002C6390"/>
    <w:rsid w:val="002C7309"/>
    <w:rsid w:val="002D068B"/>
    <w:rsid w:val="002D0FC9"/>
    <w:rsid w:val="002D10AD"/>
    <w:rsid w:val="002D138E"/>
    <w:rsid w:val="002D241A"/>
    <w:rsid w:val="002D2E5D"/>
    <w:rsid w:val="002D6434"/>
    <w:rsid w:val="002D6EEA"/>
    <w:rsid w:val="002D759F"/>
    <w:rsid w:val="002E0552"/>
    <w:rsid w:val="002E05D6"/>
    <w:rsid w:val="002E25E7"/>
    <w:rsid w:val="002E333F"/>
    <w:rsid w:val="002E33E8"/>
    <w:rsid w:val="002E5CED"/>
    <w:rsid w:val="002F3F35"/>
    <w:rsid w:val="002F68E2"/>
    <w:rsid w:val="00300286"/>
    <w:rsid w:val="0030168D"/>
    <w:rsid w:val="00302A3E"/>
    <w:rsid w:val="003045B8"/>
    <w:rsid w:val="00305529"/>
    <w:rsid w:val="003100D3"/>
    <w:rsid w:val="00310EAC"/>
    <w:rsid w:val="00311288"/>
    <w:rsid w:val="003114A1"/>
    <w:rsid w:val="00311811"/>
    <w:rsid w:val="00314F1E"/>
    <w:rsid w:val="00315103"/>
    <w:rsid w:val="003160D6"/>
    <w:rsid w:val="00316C63"/>
    <w:rsid w:val="00320671"/>
    <w:rsid w:val="0032085C"/>
    <w:rsid w:val="003208B9"/>
    <w:rsid w:val="00320B93"/>
    <w:rsid w:val="003227C7"/>
    <w:rsid w:val="003265A2"/>
    <w:rsid w:val="00326B21"/>
    <w:rsid w:val="00334B20"/>
    <w:rsid w:val="00335981"/>
    <w:rsid w:val="00336980"/>
    <w:rsid w:val="0034462A"/>
    <w:rsid w:val="00345528"/>
    <w:rsid w:val="00350D55"/>
    <w:rsid w:val="003523BD"/>
    <w:rsid w:val="003537E3"/>
    <w:rsid w:val="003547CF"/>
    <w:rsid w:val="00355553"/>
    <w:rsid w:val="003573DF"/>
    <w:rsid w:val="00357A31"/>
    <w:rsid w:val="00360690"/>
    <w:rsid w:val="00362DE2"/>
    <w:rsid w:val="00363046"/>
    <w:rsid w:val="0036370E"/>
    <w:rsid w:val="003647F7"/>
    <w:rsid w:val="00365075"/>
    <w:rsid w:val="003702B8"/>
    <w:rsid w:val="00370D99"/>
    <w:rsid w:val="0037194C"/>
    <w:rsid w:val="00371DAE"/>
    <w:rsid w:val="00372BAB"/>
    <w:rsid w:val="00376559"/>
    <w:rsid w:val="00380368"/>
    <w:rsid w:val="0038061E"/>
    <w:rsid w:val="00381E74"/>
    <w:rsid w:val="00381FDE"/>
    <w:rsid w:val="00382850"/>
    <w:rsid w:val="00383C11"/>
    <w:rsid w:val="00384A4A"/>
    <w:rsid w:val="0038632C"/>
    <w:rsid w:val="0038779D"/>
    <w:rsid w:val="00390733"/>
    <w:rsid w:val="003936D2"/>
    <w:rsid w:val="003955C4"/>
    <w:rsid w:val="003975AD"/>
    <w:rsid w:val="00397660"/>
    <w:rsid w:val="003A1962"/>
    <w:rsid w:val="003A1B84"/>
    <w:rsid w:val="003A4895"/>
    <w:rsid w:val="003A7D5C"/>
    <w:rsid w:val="003B0BA2"/>
    <w:rsid w:val="003B46DC"/>
    <w:rsid w:val="003B744E"/>
    <w:rsid w:val="003C238D"/>
    <w:rsid w:val="003C2ED7"/>
    <w:rsid w:val="003C3862"/>
    <w:rsid w:val="003C3885"/>
    <w:rsid w:val="003C470A"/>
    <w:rsid w:val="003C5B59"/>
    <w:rsid w:val="003C7029"/>
    <w:rsid w:val="003D0451"/>
    <w:rsid w:val="003D0D3A"/>
    <w:rsid w:val="003D15D4"/>
    <w:rsid w:val="003D3018"/>
    <w:rsid w:val="003D30B4"/>
    <w:rsid w:val="003D316C"/>
    <w:rsid w:val="003D3467"/>
    <w:rsid w:val="003D4A58"/>
    <w:rsid w:val="003D5226"/>
    <w:rsid w:val="003D705B"/>
    <w:rsid w:val="003D7ED4"/>
    <w:rsid w:val="003E0631"/>
    <w:rsid w:val="003E22A8"/>
    <w:rsid w:val="003E283D"/>
    <w:rsid w:val="003E2FB0"/>
    <w:rsid w:val="003E4BB4"/>
    <w:rsid w:val="003E6425"/>
    <w:rsid w:val="003E7060"/>
    <w:rsid w:val="003F0CE1"/>
    <w:rsid w:val="003F0E14"/>
    <w:rsid w:val="003F0F63"/>
    <w:rsid w:val="003F2010"/>
    <w:rsid w:val="003F4450"/>
    <w:rsid w:val="003F523C"/>
    <w:rsid w:val="004010D6"/>
    <w:rsid w:val="00403449"/>
    <w:rsid w:val="004059D0"/>
    <w:rsid w:val="00405B57"/>
    <w:rsid w:val="00406C6D"/>
    <w:rsid w:val="004122A9"/>
    <w:rsid w:val="00413B5A"/>
    <w:rsid w:val="00413F33"/>
    <w:rsid w:val="00414ACB"/>
    <w:rsid w:val="00415A15"/>
    <w:rsid w:val="00415A25"/>
    <w:rsid w:val="00416C15"/>
    <w:rsid w:val="00417EED"/>
    <w:rsid w:val="0042422A"/>
    <w:rsid w:val="00425CB1"/>
    <w:rsid w:val="00430B0D"/>
    <w:rsid w:val="00430DF1"/>
    <w:rsid w:val="00433C07"/>
    <w:rsid w:val="00433CAA"/>
    <w:rsid w:val="00433FD2"/>
    <w:rsid w:val="00437F4A"/>
    <w:rsid w:val="004417E2"/>
    <w:rsid w:val="004421EC"/>
    <w:rsid w:val="00442C3B"/>
    <w:rsid w:val="00445A6F"/>
    <w:rsid w:val="00450E6E"/>
    <w:rsid w:val="004519BF"/>
    <w:rsid w:val="00452038"/>
    <w:rsid w:val="004542DC"/>
    <w:rsid w:val="0045448F"/>
    <w:rsid w:val="004548CD"/>
    <w:rsid w:val="00455374"/>
    <w:rsid w:val="0045726D"/>
    <w:rsid w:val="00457629"/>
    <w:rsid w:val="0046049F"/>
    <w:rsid w:val="00460EAD"/>
    <w:rsid w:val="00462A63"/>
    <w:rsid w:val="004633F1"/>
    <w:rsid w:val="00463A70"/>
    <w:rsid w:val="00464242"/>
    <w:rsid w:val="00465EC8"/>
    <w:rsid w:val="004673C4"/>
    <w:rsid w:val="00467751"/>
    <w:rsid w:val="00470A7A"/>
    <w:rsid w:val="00470AF6"/>
    <w:rsid w:val="00471A6E"/>
    <w:rsid w:val="00472F9D"/>
    <w:rsid w:val="00473242"/>
    <w:rsid w:val="00474538"/>
    <w:rsid w:val="00474E4C"/>
    <w:rsid w:val="00476B4C"/>
    <w:rsid w:val="00476ED1"/>
    <w:rsid w:val="00480527"/>
    <w:rsid w:val="004829B9"/>
    <w:rsid w:val="004839B5"/>
    <w:rsid w:val="00483CD1"/>
    <w:rsid w:val="00484642"/>
    <w:rsid w:val="00485CFA"/>
    <w:rsid w:val="0048648B"/>
    <w:rsid w:val="0048697B"/>
    <w:rsid w:val="00487748"/>
    <w:rsid w:val="00487B38"/>
    <w:rsid w:val="00490550"/>
    <w:rsid w:val="0049061B"/>
    <w:rsid w:val="00491C3E"/>
    <w:rsid w:val="00494387"/>
    <w:rsid w:val="004949AC"/>
    <w:rsid w:val="00496426"/>
    <w:rsid w:val="00496531"/>
    <w:rsid w:val="00496A36"/>
    <w:rsid w:val="004A104A"/>
    <w:rsid w:val="004A1C0A"/>
    <w:rsid w:val="004A1E88"/>
    <w:rsid w:val="004A27DB"/>
    <w:rsid w:val="004A2DCA"/>
    <w:rsid w:val="004A33F1"/>
    <w:rsid w:val="004A528D"/>
    <w:rsid w:val="004B15BE"/>
    <w:rsid w:val="004B35F4"/>
    <w:rsid w:val="004B38FC"/>
    <w:rsid w:val="004B720F"/>
    <w:rsid w:val="004B726A"/>
    <w:rsid w:val="004C1B53"/>
    <w:rsid w:val="004C34C6"/>
    <w:rsid w:val="004C3C1A"/>
    <w:rsid w:val="004C4CFB"/>
    <w:rsid w:val="004D15B6"/>
    <w:rsid w:val="004D2468"/>
    <w:rsid w:val="004D4220"/>
    <w:rsid w:val="004D4C9B"/>
    <w:rsid w:val="004D5266"/>
    <w:rsid w:val="004D66A3"/>
    <w:rsid w:val="004D6DDD"/>
    <w:rsid w:val="004E0237"/>
    <w:rsid w:val="004E1BF6"/>
    <w:rsid w:val="004E2875"/>
    <w:rsid w:val="004E3250"/>
    <w:rsid w:val="004E3B3E"/>
    <w:rsid w:val="004E5602"/>
    <w:rsid w:val="004E617D"/>
    <w:rsid w:val="004E6D06"/>
    <w:rsid w:val="004F25E8"/>
    <w:rsid w:val="004F3096"/>
    <w:rsid w:val="004F4445"/>
    <w:rsid w:val="004F56E1"/>
    <w:rsid w:val="004F6003"/>
    <w:rsid w:val="004F662C"/>
    <w:rsid w:val="004F736C"/>
    <w:rsid w:val="004F7666"/>
    <w:rsid w:val="004F7F90"/>
    <w:rsid w:val="005020B6"/>
    <w:rsid w:val="00503BFA"/>
    <w:rsid w:val="0050427F"/>
    <w:rsid w:val="00504E02"/>
    <w:rsid w:val="00506EFE"/>
    <w:rsid w:val="00506F24"/>
    <w:rsid w:val="00507733"/>
    <w:rsid w:val="00510CFB"/>
    <w:rsid w:val="00513F33"/>
    <w:rsid w:val="00515CA2"/>
    <w:rsid w:val="00516A21"/>
    <w:rsid w:val="00517B06"/>
    <w:rsid w:val="00520182"/>
    <w:rsid w:val="00522238"/>
    <w:rsid w:val="00522F3F"/>
    <w:rsid w:val="005230CF"/>
    <w:rsid w:val="00523E88"/>
    <w:rsid w:val="00524D81"/>
    <w:rsid w:val="005277CB"/>
    <w:rsid w:val="00527BC2"/>
    <w:rsid w:val="00532C46"/>
    <w:rsid w:val="00533C3F"/>
    <w:rsid w:val="00534853"/>
    <w:rsid w:val="00534932"/>
    <w:rsid w:val="005355AD"/>
    <w:rsid w:val="00537072"/>
    <w:rsid w:val="0054028E"/>
    <w:rsid w:val="00540994"/>
    <w:rsid w:val="005420CA"/>
    <w:rsid w:val="005455A6"/>
    <w:rsid w:val="00547EF1"/>
    <w:rsid w:val="00550CA8"/>
    <w:rsid w:val="00550D10"/>
    <w:rsid w:val="00551230"/>
    <w:rsid w:val="00565848"/>
    <w:rsid w:val="00567A59"/>
    <w:rsid w:val="005706CC"/>
    <w:rsid w:val="00571737"/>
    <w:rsid w:val="00571EB6"/>
    <w:rsid w:val="00572AAD"/>
    <w:rsid w:val="005747FF"/>
    <w:rsid w:val="005760CD"/>
    <w:rsid w:val="00580853"/>
    <w:rsid w:val="00581915"/>
    <w:rsid w:val="00583138"/>
    <w:rsid w:val="005836C9"/>
    <w:rsid w:val="005861E7"/>
    <w:rsid w:val="00587FE6"/>
    <w:rsid w:val="00593E62"/>
    <w:rsid w:val="0059523B"/>
    <w:rsid w:val="005957E2"/>
    <w:rsid w:val="00595C69"/>
    <w:rsid w:val="00596883"/>
    <w:rsid w:val="005A0BBF"/>
    <w:rsid w:val="005A1A69"/>
    <w:rsid w:val="005A3C89"/>
    <w:rsid w:val="005A5845"/>
    <w:rsid w:val="005B1631"/>
    <w:rsid w:val="005B5271"/>
    <w:rsid w:val="005C40CA"/>
    <w:rsid w:val="005C577D"/>
    <w:rsid w:val="005C5CBF"/>
    <w:rsid w:val="005C6308"/>
    <w:rsid w:val="005C6804"/>
    <w:rsid w:val="005C7219"/>
    <w:rsid w:val="005D2ABF"/>
    <w:rsid w:val="005D2E05"/>
    <w:rsid w:val="005D3368"/>
    <w:rsid w:val="005D388A"/>
    <w:rsid w:val="005D7419"/>
    <w:rsid w:val="005E0A33"/>
    <w:rsid w:val="005E117C"/>
    <w:rsid w:val="005E1588"/>
    <w:rsid w:val="005E26B4"/>
    <w:rsid w:val="005E38CA"/>
    <w:rsid w:val="005E3C14"/>
    <w:rsid w:val="005E4483"/>
    <w:rsid w:val="005E5646"/>
    <w:rsid w:val="005F0AA5"/>
    <w:rsid w:val="005F0F77"/>
    <w:rsid w:val="005F251F"/>
    <w:rsid w:val="005F2BAD"/>
    <w:rsid w:val="005F4E56"/>
    <w:rsid w:val="00601202"/>
    <w:rsid w:val="006026B5"/>
    <w:rsid w:val="006029D7"/>
    <w:rsid w:val="00604FB9"/>
    <w:rsid w:val="00606229"/>
    <w:rsid w:val="00607213"/>
    <w:rsid w:val="00607F00"/>
    <w:rsid w:val="006104AD"/>
    <w:rsid w:val="00610CFE"/>
    <w:rsid w:val="00612FE2"/>
    <w:rsid w:val="006134B9"/>
    <w:rsid w:val="0061403D"/>
    <w:rsid w:val="00614CDB"/>
    <w:rsid w:val="00616DD3"/>
    <w:rsid w:val="00621E91"/>
    <w:rsid w:val="00621FBC"/>
    <w:rsid w:val="0062540C"/>
    <w:rsid w:val="00625925"/>
    <w:rsid w:val="00631373"/>
    <w:rsid w:val="00631FD1"/>
    <w:rsid w:val="00631FED"/>
    <w:rsid w:val="0063438C"/>
    <w:rsid w:val="00635177"/>
    <w:rsid w:val="0063599F"/>
    <w:rsid w:val="006441E1"/>
    <w:rsid w:val="00644811"/>
    <w:rsid w:val="00644838"/>
    <w:rsid w:val="00644CE6"/>
    <w:rsid w:val="006473A8"/>
    <w:rsid w:val="006507ED"/>
    <w:rsid w:val="00650EB5"/>
    <w:rsid w:val="006510F8"/>
    <w:rsid w:val="00653E62"/>
    <w:rsid w:val="006565CC"/>
    <w:rsid w:val="00660363"/>
    <w:rsid w:val="00660E60"/>
    <w:rsid w:val="006631C9"/>
    <w:rsid w:val="006642B4"/>
    <w:rsid w:val="006703A5"/>
    <w:rsid w:val="006733E5"/>
    <w:rsid w:val="00675D6B"/>
    <w:rsid w:val="006762D7"/>
    <w:rsid w:val="00676911"/>
    <w:rsid w:val="00682222"/>
    <w:rsid w:val="00687641"/>
    <w:rsid w:val="00687F9C"/>
    <w:rsid w:val="006901C3"/>
    <w:rsid w:val="0069249E"/>
    <w:rsid w:val="00695E03"/>
    <w:rsid w:val="006A025A"/>
    <w:rsid w:val="006A0724"/>
    <w:rsid w:val="006A0781"/>
    <w:rsid w:val="006A0B45"/>
    <w:rsid w:val="006A1691"/>
    <w:rsid w:val="006A4247"/>
    <w:rsid w:val="006A4E8D"/>
    <w:rsid w:val="006A60B0"/>
    <w:rsid w:val="006B06CA"/>
    <w:rsid w:val="006B3E5F"/>
    <w:rsid w:val="006B5B3E"/>
    <w:rsid w:val="006C03ED"/>
    <w:rsid w:val="006D1782"/>
    <w:rsid w:val="006D30DB"/>
    <w:rsid w:val="006D325C"/>
    <w:rsid w:val="006D4AB9"/>
    <w:rsid w:val="006D5D87"/>
    <w:rsid w:val="006D6F5A"/>
    <w:rsid w:val="006E035D"/>
    <w:rsid w:val="006E0643"/>
    <w:rsid w:val="006E1A0E"/>
    <w:rsid w:val="006E2CA9"/>
    <w:rsid w:val="006E353E"/>
    <w:rsid w:val="006E5273"/>
    <w:rsid w:val="006F0508"/>
    <w:rsid w:val="006F1392"/>
    <w:rsid w:val="006F16DF"/>
    <w:rsid w:val="006F3217"/>
    <w:rsid w:val="006F4D7D"/>
    <w:rsid w:val="006F6104"/>
    <w:rsid w:val="006F70AF"/>
    <w:rsid w:val="00702180"/>
    <w:rsid w:val="00706604"/>
    <w:rsid w:val="0072101E"/>
    <w:rsid w:val="00721566"/>
    <w:rsid w:val="00722C8D"/>
    <w:rsid w:val="00723CF2"/>
    <w:rsid w:val="007241C0"/>
    <w:rsid w:val="00724A49"/>
    <w:rsid w:val="007268C8"/>
    <w:rsid w:val="007268F6"/>
    <w:rsid w:val="00726A94"/>
    <w:rsid w:val="007273DA"/>
    <w:rsid w:val="00732599"/>
    <w:rsid w:val="007359A2"/>
    <w:rsid w:val="00740CD0"/>
    <w:rsid w:val="007411C8"/>
    <w:rsid w:val="007430FE"/>
    <w:rsid w:val="00743B72"/>
    <w:rsid w:val="00744439"/>
    <w:rsid w:val="00745AEC"/>
    <w:rsid w:val="007474FF"/>
    <w:rsid w:val="00747DFD"/>
    <w:rsid w:val="00750797"/>
    <w:rsid w:val="00750A9D"/>
    <w:rsid w:val="007550F6"/>
    <w:rsid w:val="007556BC"/>
    <w:rsid w:val="007558D3"/>
    <w:rsid w:val="0075605D"/>
    <w:rsid w:val="0076077F"/>
    <w:rsid w:val="00762999"/>
    <w:rsid w:val="00763125"/>
    <w:rsid w:val="0076370F"/>
    <w:rsid w:val="00763B92"/>
    <w:rsid w:val="00765809"/>
    <w:rsid w:val="00767172"/>
    <w:rsid w:val="00771352"/>
    <w:rsid w:val="00771725"/>
    <w:rsid w:val="00772009"/>
    <w:rsid w:val="007745CA"/>
    <w:rsid w:val="00774742"/>
    <w:rsid w:val="00775D8A"/>
    <w:rsid w:val="00776368"/>
    <w:rsid w:val="00781B90"/>
    <w:rsid w:val="00782132"/>
    <w:rsid w:val="0079077D"/>
    <w:rsid w:val="007913A4"/>
    <w:rsid w:val="00791C4A"/>
    <w:rsid w:val="00792748"/>
    <w:rsid w:val="00796733"/>
    <w:rsid w:val="007A0941"/>
    <w:rsid w:val="007A0978"/>
    <w:rsid w:val="007A0D0B"/>
    <w:rsid w:val="007A5334"/>
    <w:rsid w:val="007A66D1"/>
    <w:rsid w:val="007B18F1"/>
    <w:rsid w:val="007B1AA2"/>
    <w:rsid w:val="007B7122"/>
    <w:rsid w:val="007C2BFF"/>
    <w:rsid w:val="007C385B"/>
    <w:rsid w:val="007C42E6"/>
    <w:rsid w:val="007C46E5"/>
    <w:rsid w:val="007C53B9"/>
    <w:rsid w:val="007C7750"/>
    <w:rsid w:val="007C7F7D"/>
    <w:rsid w:val="007D171D"/>
    <w:rsid w:val="007D2AF9"/>
    <w:rsid w:val="007D35D6"/>
    <w:rsid w:val="007D42C2"/>
    <w:rsid w:val="007D5661"/>
    <w:rsid w:val="007D779A"/>
    <w:rsid w:val="007D7AB9"/>
    <w:rsid w:val="007E1C77"/>
    <w:rsid w:val="007E2548"/>
    <w:rsid w:val="007E38E8"/>
    <w:rsid w:val="007E5D97"/>
    <w:rsid w:val="007E600B"/>
    <w:rsid w:val="007F06F2"/>
    <w:rsid w:val="007F0980"/>
    <w:rsid w:val="007F2021"/>
    <w:rsid w:val="007F400F"/>
    <w:rsid w:val="007F507C"/>
    <w:rsid w:val="007F7D92"/>
    <w:rsid w:val="008006C4"/>
    <w:rsid w:val="00800FED"/>
    <w:rsid w:val="0080401B"/>
    <w:rsid w:val="00804053"/>
    <w:rsid w:val="00804248"/>
    <w:rsid w:val="00807B7C"/>
    <w:rsid w:val="00810184"/>
    <w:rsid w:val="008116CF"/>
    <w:rsid w:val="00812A0C"/>
    <w:rsid w:val="00812CFA"/>
    <w:rsid w:val="00813D88"/>
    <w:rsid w:val="0081663D"/>
    <w:rsid w:val="0082087F"/>
    <w:rsid w:val="00820C1B"/>
    <w:rsid w:val="00823130"/>
    <w:rsid w:val="00823293"/>
    <w:rsid w:val="0082332B"/>
    <w:rsid w:val="00825475"/>
    <w:rsid w:val="0082578E"/>
    <w:rsid w:val="008262C2"/>
    <w:rsid w:val="00826FBE"/>
    <w:rsid w:val="00827B0C"/>
    <w:rsid w:val="00831EAC"/>
    <w:rsid w:val="008337A2"/>
    <w:rsid w:val="00834A0C"/>
    <w:rsid w:val="008368DA"/>
    <w:rsid w:val="00836F1F"/>
    <w:rsid w:val="00841990"/>
    <w:rsid w:val="00842168"/>
    <w:rsid w:val="00842704"/>
    <w:rsid w:val="00843AB9"/>
    <w:rsid w:val="008443C7"/>
    <w:rsid w:val="008454F4"/>
    <w:rsid w:val="00845AB7"/>
    <w:rsid w:val="008463E2"/>
    <w:rsid w:val="008508E2"/>
    <w:rsid w:val="00850A5F"/>
    <w:rsid w:val="00852049"/>
    <w:rsid w:val="008538DF"/>
    <w:rsid w:val="00853ACB"/>
    <w:rsid w:val="00853F28"/>
    <w:rsid w:val="0085496F"/>
    <w:rsid w:val="00855E1D"/>
    <w:rsid w:val="0085649B"/>
    <w:rsid w:val="00857F62"/>
    <w:rsid w:val="008603D2"/>
    <w:rsid w:val="008644E3"/>
    <w:rsid w:val="008654D0"/>
    <w:rsid w:val="00867011"/>
    <w:rsid w:val="008702B3"/>
    <w:rsid w:val="008756A6"/>
    <w:rsid w:val="008760EF"/>
    <w:rsid w:val="00877C07"/>
    <w:rsid w:val="00880F6A"/>
    <w:rsid w:val="00881518"/>
    <w:rsid w:val="00883D63"/>
    <w:rsid w:val="00884387"/>
    <w:rsid w:val="00884AD3"/>
    <w:rsid w:val="00891233"/>
    <w:rsid w:val="00892595"/>
    <w:rsid w:val="008934EE"/>
    <w:rsid w:val="008948AD"/>
    <w:rsid w:val="008949CD"/>
    <w:rsid w:val="008956BD"/>
    <w:rsid w:val="0089639B"/>
    <w:rsid w:val="00896B99"/>
    <w:rsid w:val="008977F6"/>
    <w:rsid w:val="00897AC3"/>
    <w:rsid w:val="00897D57"/>
    <w:rsid w:val="008A34BD"/>
    <w:rsid w:val="008A43BA"/>
    <w:rsid w:val="008B0792"/>
    <w:rsid w:val="008B0A53"/>
    <w:rsid w:val="008B2FFC"/>
    <w:rsid w:val="008B42C1"/>
    <w:rsid w:val="008B4F02"/>
    <w:rsid w:val="008B5B74"/>
    <w:rsid w:val="008B6BE9"/>
    <w:rsid w:val="008B76D3"/>
    <w:rsid w:val="008C02C4"/>
    <w:rsid w:val="008C1062"/>
    <w:rsid w:val="008C4F3D"/>
    <w:rsid w:val="008C5A8C"/>
    <w:rsid w:val="008C7C01"/>
    <w:rsid w:val="008D1382"/>
    <w:rsid w:val="008D1DB0"/>
    <w:rsid w:val="008D4F4A"/>
    <w:rsid w:val="008D70D7"/>
    <w:rsid w:val="008E3B00"/>
    <w:rsid w:val="008E4623"/>
    <w:rsid w:val="008E7022"/>
    <w:rsid w:val="008E702E"/>
    <w:rsid w:val="008F1584"/>
    <w:rsid w:val="008F2DD7"/>
    <w:rsid w:val="008F3FB3"/>
    <w:rsid w:val="008F436E"/>
    <w:rsid w:val="008F5DC2"/>
    <w:rsid w:val="008F5FA0"/>
    <w:rsid w:val="008F619E"/>
    <w:rsid w:val="00904433"/>
    <w:rsid w:val="00904A6F"/>
    <w:rsid w:val="00904CFA"/>
    <w:rsid w:val="00907631"/>
    <w:rsid w:val="00911857"/>
    <w:rsid w:val="00911D65"/>
    <w:rsid w:val="0091221A"/>
    <w:rsid w:val="00912D87"/>
    <w:rsid w:val="009144C6"/>
    <w:rsid w:val="00914BCC"/>
    <w:rsid w:val="0091790E"/>
    <w:rsid w:val="009237C1"/>
    <w:rsid w:val="009264DB"/>
    <w:rsid w:val="00926C20"/>
    <w:rsid w:val="00927AEA"/>
    <w:rsid w:val="0093192E"/>
    <w:rsid w:val="0093249D"/>
    <w:rsid w:val="009366D5"/>
    <w:rsid w:val="00937998"/>
    <w:rsid w:val="009402FE"/>
    <w:rsid w:val="009418D2"/>
    <w:rsid w:val="00941EC4"/>
    <w:rsid w:val="00942065"/>
    <w:rsid w:val="009430B1"/>
    <w:rsid w:val="00943E54"/>
    <w:rsid w:val="00943E93"/>
    <w:rsid w:val="009473E1"/>
    <w:rsid w:val="009508A6"/>
    <w:rsid w:val="00951B5E"/>
    <w:rsid w:val="00951F34"/>
    <w:rsid w:val="00954939"/>
    <w:rsid w:val="00960BDB"/>
    <w:rsid w:val="0096288F"/>
    <w:rsid w:val="00963588"/>
    <w:rsid w:val="009660F7"/>
    <w:rsid w:val="00967589"/>
    <w:rsid w:val="00970A7D"/>
    <w:rsid w:val="00977207"/>
    <w:rsid w:val="0097775B"/>
    <w:rsid w:val="00977D0A"/>
    <w:rsid w:val="00980165"/>
    <w:rsid w:val="00984EC5"/>
    <w:rsid w:val="00985714"/>
    <w:rsid w:val="00992A1B"/>
    <w:rsid w:val="00993F22"/>
    <w:rsid w:val="0099684E"/>
    <w:rsid w:val="00996D93"/>
    <w:rsid w:val="00996E6C"/>
    <w:rsid w:val="009A3DE0"/>
    <w:rsid w:val="009A4D2B"/>
    <w:rsid w:val="009A57DD"/>
    <w:rsid w:val="009B1AE5"/>
    <w:rsid w:val="009B2A82"/>
    <w:rsid w:val="009B2F68"/>
    <w:rsid w:val="009B31FE"/>
    <w:rsid w:val="009B3CF0"/>
    <w:rsid w:val="009B426E"/>
    <w:rsid w:val="009B772D"/>
    <w:rsid w:val="009C0C2C"/>
    <w:rsid w:val="009C1CED"/>
    <w:rsid w:val="009C25CB"/>
    <w:rsid w:val="009C36C6"/>
    <w:rsid w:val="009C450E"/>
    <w:rsid w:val="009C4F25"/>
    <w:rsid w:val="009C5A7D"/>
    <w:rsid w:val="009C6891"/>
    <w:rsid w:val="009D03DE"/>
    <w:rsid w:val="009D03F2"/>
    <w:rsid w:val="009D4D92"/>
    <w:rsid w:val="009D53AC"/>
    <w:rsid w:val="009D60B1"/>
    <w:rsid w:val="009D6CD2"/>
    <w:rsid w:val="009D7F75"/>
    <w:rsid w:val="009E0CE1"/>
    <w:rsid w:val="009E3B82"/>
    <w:rsid w:val="009E5AC3"/>
    <w:rsid w:val="009E6313"/>
    <w:rsid w:val="009E701A"/>
    <w:rsid w:val="009E7481"/>
    <w:rsid w:val="009F508D"/>
    <w:rsid w:val="009F6DD7"/>
    <w:rsid w:val="009F6E50"/>
    <w:rsid w:val="009F78B3"/>
    <w:rsid w:val="00A00E8D"/>
    <w:rsid w:val="00A0114C"/>
    <w:rsid w:val="00A05BA1"/>
    <w:rsid w:val="00A1044E"/>
    <w:rsid w:val="00A12996"/>
    <w:rsid w:val="00A13E67"/>
    <w:rsid w:val="00A141CF"/>
    <w:rsid w:val="00A143DD"/>
    <w:rsid w:val="00A1551E"/>
    <w:rsid w:val="00A159E8"/>
    <w:rsid w:val="00A17DFE"/>
    <w:rsid w:val="00A22D36"/>
    <w:rsid w:val="00A251F4"/>
    <w:rsid w:val="00A26733"/>
    <w:rsid w:val="00A27233"/>
    <w:rsid w:val="00A3342E"/>
    <w:rsid w:val="00A35410"/>
    <w:rsid w:val="00A364DB"/>
    <w:rsid w:val="00A41C4A"/>
    <w:rsid w:val="00A44740"/>
    <w:rsid w:val="00A46802"/>
    <w:rsid w:val="00A477DA"/>
    <w:rsid w:val="00A479D3"/>
    <w:rsid w:val="00A47DC9"/>
    <w:rsid w:val="00A50618"/>
    <w:rsid w:val="00A519CC"/>
    <w:rsid w:val="00A523E1"/>
    <w:rsid w:val="00A53914"/>
    <w:rsid w:val="00A556D2"/>
    <w:rsid w:val="00A62844"/>
    <w:rsid w:val="00A6477D"/>
    <w:rsid w:val="00A649DF"/>
    <w:rsid w:val="00A662F3"/>
    <w:rsid w:val="00A6633F"/>
    <w:rsid w:val="00A715FF"/>
    <w:rsid w:val="00A7345F"/>
    <w:rsid w:val="00A760F1"/>
    <w:rsid w:val="00A77BAC"/>
    <w:rsid w:val="00A8100A"/>
    <w:rsid w:val="00A8135E"/>
    <w:rsid w:val="00A82B69"/>
    <w:rsid w:val="00A91D47"/>
    <w:rsid w:val="00A92676"/>
    <w:rsid w:val="00A944F4"/>
    <w:rsid w:val="00A95337"/>
    <w:rsid w:val="00A97944"/>
    <w:rsid w:val="00AA484B"/>
    <w:rsid w:val="00AA5036"/>
    <w:rsid w:val="00AA64FB"/>
    <w:rsid w:val="00AB0C45"/>
    <w:rsid w:val="00AB26B7"/>
    <w:rsid w:val="00AB2C78"/>
    <w:rsid w:val="00AB32A7"/>
    <w:rsid w:val="00AB37B5"/>
    <w:rsid w:val="00AB4685"/>
    <w:rsid w:val="00AB55CF"/>
    <w:rsid w:val="00AB6CE2"/>
    <w:rsid w:val="00AC3EE3"/>
    <w:rsid w:val="00AC44E4"/>
    <w:rsid w:val="00AC4743"/>
    <w:rsid w:val="00AC5758"/>
    <w:rsid w:val="00AC6254"/>
    <w:rsid w:val="00AD02F5"/>
    <w:rsid w:val="00AD4CDA"/>
    <w:rsid w:val="00AD546F"/>
    <w:rsid w:val="00AD5B92"/>
    <w:rsid w:val="00AD663B"/>
    <w:rsid w:val="00AD6FA4"/>
    <w:rsid w:val="00AE1BEB"/>
    <w:rsid w:val="00AE29CA"/>
    <w:rsid w:val="00AE3AE5"/>
    <w:rsid w:val="00AE58ED"/>
    <w:rsid w:val="00AE6E01"/>
    <w:rsid w:val="00AF11E4"/>
    <w:rsid w:val="00AF469B"/>
    <w:rsid w:val="00AF5260"/>
    <w:rsid w:val="00AF5792"/>
    <w:rsid w:val="00AF5CDA"/>
    <w:rsid w:val="00AF6494"/>
    <w:rsid w:val="00AF693E"/>
    <w:rsid w:val="00B01566"/>
    <w:rsid w:val="00B03504"/>
    <w:rsid w:val="00B042A0"/>
    <w:rsid w:val="00B049CB"/>
    <w:rsid w:val="00B059A5"/>
    <w:rsid w:val="00B06C0F"/>
    <w:rsid w:val="00B06D58"/>
    <w:rsid w:val="00B125A8"/>
    <w:rsid w:val="00B15379"/>
    <w:rsid w:val="00B20B03"/>
    <w:rsid w:val="00B211ED"/>
    <w:rsid w:val="00B22E82"/>
    <w:rsid w:val="00B232E8"/>
    <w:rsid w:val="00B25B74"/>
    <w:rsid w:val="00B263A9"/>
    <w:rsid w:val="00B265BF"/>
    <w:rsid w:val="00B30B2A"/>
    <w:rsid w:val="00B30B57"/>
    <w:rsid w:val="00B30D07"/>
    <w:rsid w:val="00B31157"/>
    <w:rsid w:val="00B332FC"/>
    <w:rsid w:val="00B33736"/>
    <w:rsid w:val="00B33A5D"/>
    <w:rsid w:val="00B35603"/>
    <w:rsid w:val="00B4054F"/>
    <w:rsid w:val="00B43451"/>
    <w:rsid w:val="00B4500A"/>
    <w:rsid w:val="00B46370"/>
    <w:rsid w:val="00B46D38"/>
    <w:rsid w:val="00B50F7D"/>
    <w:rsid w:val="00B5197F"/>
    <w:rsid w:val="00B561F9"/>
    <w:rsid w:val="00B57547"/>
    <w:rsid w:val="00B57EC4"/>
    <w:rsid w:val="00B606C3"/>
    <w:rsid w:val="00B60710"/>
    <w:rsid w:val="00B6255E"/>
    <w:rsid w:val="00B63882"/>
    <w:rsid w:val="00B638BC"/>
    <w:rsid w:val="00B65640"/>
    <w:rsid w:val="00B65D71"/>
    <w:rsid w:val="00B70C84"/>
    <w:rsid w:val="00B73AE4"/>
    <w:rsid w:val="00B8071B"/>
    <w:rsid w:val="00B808EE"/>
    <w:rsid w:val="00B81498"/>
    <w:rsid w:val="00B82D8E"/>
    <w:rsid w:val="00B8591E"/>
    <w:rsid w:val="00B85DBE"/>
    <w:rsid w:val="00B86340"/>
    <w:rsid w:val="00B86FF2"/>
    <w:rsid w:val="00B922BD"/>
    <w:rsid w:val="00B935E7"/>
    <w:rsid w:val="00B94F17"/>
    <w:rsid w:val="00B959E4"/>
    <w:rsid w:val="00BA0189"/>
    <w:rsid w:val="00BA122E"/>
    <w:rsid w:val="00BA48D6"/>
    <w:rsid w:val="00BA75B1"/>
    <w:rsid w:val="00BB1C7F"/>
    <w:rsid w:val="00BB672D"/>
    <w:rsid w:val="00BC012A"/>
    <w:rsid w:val="00BC0CBD"/>
    <w:rsid w:val="00BC2DAE"/>
    <w:rsid w:val="00BC3F9C"/>
    <w:rsid w:val="00BC52FA"/>
    <w:rsid w:val="00BC6F77"/>
    <w:rsid w:val="00BC70A3"/>
    <w:rsid w:val="00BD6BDC"/>
    <w:rsid w:val="00BD7099"/>
    <w:rsid w:val="00BD7F02"/>
    <w:rsid w:val="00BE0C4E"/>
    <w:rsid w:val="00BE23DD"/>
    <w:rsid w:val="00BE2A2E"/>
    <w:rsid w:val="00BF0782"/>
    <w:rsid w:val="00BF0FAB"/>
    <w:rsid w:val="00BF1292"/>
    <w:rsid w:val="00BF27F5"/>
    <w:rsid w:val="00BF548C"/>
    <w:rsid w:val="00BF7714"/>
    <w:rsid w:val="00C00C97"/>
    <w:rsid w:val="00C00FE4"/>
    <w:rsid w:val="00C04901"/>
    <w:rsid w:val="00C04DBE"/>
    <w:rsid w:val="00C058EC"/>
    <w:rsid w:val="00C078CA"/>
    <w:rsid w:val="00C10742"/>
    <w:rsid w:val="00C14652"/>
    <w:rsid w:val="00C160F9"/>
    <w:rsid w:val="00C169CE"/>
    <w:rsid w:val="00C171B9"/>
    <w:rsid w:val="00C20846"/>
    <w:rsid w:val="00C20F8A"/>
    <w:rsid w:val="00C21871"/>
    <w:rsid w:val="00C21CEE"/>
    <w:rsid w:val="00C228A9"/>
    <w:rsid w:val="00C252B9"/>
    <w:rsid w:val="00C26F66"/>
    <w:rsid w:val="00C334F1"/>
    <w:rsid w:val="00C35A21"/>
    <w:rsid w:val="00C44DC0"/>
    <w:rsid w:val="00C452FF"/>
    <w:rsid w:val="00C513B1"/>
    <w:rsid w:val="00C546C5"/>
    <w:rsid w:val="00C60F81"/>
    <w:rsid w:val="00C62653"/>
    <w:rsid w:val="00C67251"/>
    <w:rsid w:val="00C72907"/>
    <w:rsid w:val="00C72970"/>
    <w:rsid w:val="00C72F8C"/>
    <w:rsid w:val="00C734DD"/>
    <w:rsid w:val="00C739D8"/>
    <w:rsid w:val="00C74363"/>
    <w:rsid w:val="00C74988"/>
    <w:rsid w:val="00C76951"/>
    <w:rsid w:val="00C84C2B"/>
    <w:rsid w:val="00C853D1"/>
    <w:rsid w:val="00C85A96"/>
    <w:rsid w:val="00C93299"/>
    <w:rsid w:val="00C934A0"/>
    <w:rsid w:val="00CA0C1D"/>
    <w:rsid w:val="00CA2F84"/>
    <w:rsid w:val="00CA61C2"/>
    <w:rsid w:val="00CB2B7B"/>
    <w:rsid w:val="00CB54C7"/>
    <w:rsid w:val="00CB5A9E"/>
    <w:rsid w:val="00CC12D9"/>
    <w:rsid w:val="00CC2EBD"/>
    <w:rsid w:val="00CC38F5"/>
    <w:rsid w:val="00CC5561"/>
    <w:rsid w:val="00CC7111"/>
    <w:rsid w:val="00CC7EAC"/>
    <w:rsid w:val="00CD233B"/>
    <w:rsid w:val="00CD573E"/>
    <w:rsid w:val="00CD70E9"/>
    <w:rsid w:val="00CE04D7"/>
    <w:rsid w:val="00CF1FCE"/>
    <w:rsid w:val="00CF38E2"/>
    <w:rsid w:val="00CF5199"/>
    <w:rsid w:val="00CF7911"/>
    <w:rsid w:val="00D01015"/>
    <w:rsid w:val="00D02413"/>
    <w:rsid w:val="00D0396A"/>
    <w:rsid w:val="00D042E7"/>
    <w:rsid w:val="00D04493"/>
    <w:rsid w:val="00D059E5"/>
    <w:rsid w:val="00D060B7"/>
    <w:rsid w:val="00D069DF"/>
    <w:rsid w:val="00D104DB"/>
    <w:rsid w:val="00D10BBE"/>
    <w:rsid w:val="00D114F9"/>
    <w:rsid w:val="00D11E84"/>
    <w:rsid w:val="00D121F9"/>
    <w:rsid w:val="00D1356E"/>
    <w:rsid w:val="00D15032"/>
    <w:rsid w:val="00D15DAB"/>
    <w:rsid w:val="00D16932"/>
    <w:rsid w:val="00D16C0D"/>
    <w:rsid w:val="00D20831"/>
    <w:rsid w:val="00D237F3"/>
    <w:rsid w:val="00D23BD0"/>
    <w:rsid w:val="00D2535A"/>
    <w:rsid w:val="00D259E8"/>
    <w:rsid w:val="00D26EF0"/>
    <w:rsid w:val="00D27054"/>
    <w:rsid w:val="00D30909"/>
    <w:rsid w:val="00D328AC"/>
    <w:rsid w:val="00D349C8"/>
    <w:rsid w:val="00D41ED1"/>
    <w:rsid w:val="00D4202B"/>
    <w:rsid w:val="00D43062"/>
    <w:rsid w:val="00D43AC0"/>
    <w:rsid w:val="00D440B3"/>
    <w:rsid w:val="00D45D72"/>
    <w:rsid w:val="00D47266"/>
    <w:rsid w:val="00D5012F"/>
    <w:rsid w:val="00D50475"/>
    <w:rsid w:val="00D526FB"/>
    <w:rsid w:val="00D53A0C"/>
    <w:rsid w:val="00D54118"/>
    <w:rsid w:val="00D54BE8"/>
    <w:rsid w:val="00D553B2"/>
    <w:rsid w:val="00D603BF"/>
    <w:rsid w:val="00D60EB1"/>
    <w:rsid w:val="00D6200B"/>
    <w:rsid w:val="00D62C6E"/>
    <w:rsid w:val="00D6407D"/>
    <w:rsid w:val="00D640FF"/>
    <w:rsid w:val="00D64B0B"/>
    <w:rsid w:val="00D65868"/>
    <w:rsid w:val="00D66BB0"/>
    <w:rsid w:val="00D71277"/>
    <w:rsid w:val="00D73114"/>
    <w:rsid w:val="00D733EF"/>
    <w:rsid w:val="00D743C9"/>
    <w:rsid w:val="00D752D2"/>
    <w:rsid w:val="00D76975"/>
    <w:rsid w:val="00D772C9"/>
    <w:rsid w:val="00D77542"/>
    <w:rsid w:val="00D827A8"/>
    <w:rsid w:val="00D85322"/>
    <w:rsid w:val="00D855D1"/>
    <w:rsid w:val="00D85A7D"/>
    <w:rsid w:val="00D86647"/>
    <w:rsid w:val="00D90E06"/>
    <w:rsid w:val="00D92134"/>
    <w:rsid w:val="00D93EFD"/>
    <w:rsid w:val="00D94C0C"/>
    <w:rsid w:val="00D9561F"/>
    <w:rsid w:val="00D96276"/>
    <w:rsid w:val="00DA0030"/>
    <w:rsid w:val="00DA3751"/>
    <w:rsid w:val="00DA4FC6"/>
    <w:rsid w:val="00DA6768"/>
    <w:rsid w:val="00DA7965"/>
    <w:rsid w:val="00DB10DD"/>
    <w:rsid w:val="00DB18A2"/>
    <w:rsid w:val="00DB268E"/>
    <w:rsid w:val="00DB3394"/>
    <w:rsid w:val="00DB3BDF"/>
    <w:rsid w:val="00DB3C43"/>
    <w:rsid w:val="00DB3F65"/>
    <w:rsid w:val="00DB4728"/>
    <w:rsid w:val="00DB5661"/>
    <w:rsid w:val="00DB6D27"/>
    <w:rsid w:val="00DC014B"/>
    <w:rsid w:val="00DC02D8"/>
    <w:rsid w:val="00DC054A"/>
    <w:rsid w:val="00DC133E"/>
    <w:rsid w:val="00DC1375"/>
    <w:rsid w:val="00DC6387"/>
    <w:rsid w:val="00DC6E7A"/>
    <w:rsid w:val="00DC7B2F"/>
    <w:rsid w:val="00DD116F"/>
    <w:rsid w:val="00DD2536"/>
    <w:rsid w:val="00DD3459"/>
    <w:rsid w:val="00DD4A1A"/>
    <w:rsid w:val="00DD5573"/>
    <w:rsid w:val="00DD6442"/>
    <w:rsid w:val="00DD6D93"/>
    <w:rsid w:val="00DD7430"/>
    <w:rsid w:val="00DE2AB2"/>
    <w:rsid w:val="00DE5595"/>
    <w:rsid w:val="00DE5720"/>
    <w:rsid w:val="00DE6290"/>
    <w:rsid w:val="00DE65FB"/>
    <w:rsid w:val="00DF058B"/>
    <w:rsid w:val="00DF2B03"/>
    <w:rsid w:val="00DF2DD7"/>
    <w:rsid w:val="00DF4326"/>
    <w:rsid w:val="00DF5A12"/>
    <w:rsid w:val="00DF63B1"/>
    <w:rsid w:val="00DF6D0F"/>
    <w:rsid w:val="00E000D1"/>
    <w:rsid w:val="00E00CF7"/>
    <w:rsid w:val="00E010F7"/>
    <w:rsid w:val="00E0369E"/>
    <w:rsid w:val="00E04D30"/>
    <w:rsid w:val="00E06552"/>
    <w:rsid w:val="00E07924"/>
    <w:rsid w:val="00E160CE"/>
    <w:rsid w:val="00E1746B"/>
    <w:rsid w:val="00E240BC"/>
    <w:rsid w:val="00E278F2"/>
    <w:rsid w:val="00E30E7E"/>
    <w:rsid w:val="00E317EA"/>
    <w:rsid w:val="00E32D11"/>
    <w:rsid w:val="00E33E03"/>
    <w:rsid w:val="00E34225"/>
    <w:rsid w:val="00E359A0"/>
    <w:rsid w:val="00E378A7"/>
    <w:rsid w:val="00E37EC0"/>
    <w:rsid w:val="00E400A3"/>
    <w:rsid w:val="00E4195D"/>
    <w:rsid w:val="00E41E5D"/>
    <w:rsid w:val="00E44385"/>
    <w:rsid w:val="00E44CD4"/>
    <w:rsid w:val="00E45953"/>
    <w:rsid w:val="00E462FF"/>
    <w:rsid w:val="00E46DA8"/>
    <w:rsid w:val="00E47B89"/>
    <w:rsid w:val="00E520E6"/>
    <w:rsid w:val="00E5473E"/>
    <w:rsid w:val="00E6067D"/>
    <w:rsid w:val="00E61BAB"/>
    <w:rsid w:val="00E61DB2"/>
    <w:rsid w:val="00E61E5E"/>
    <w:rsid w:val="00E625C7"/>
    <w:rsid w:val="00E766F9"/>
    <w:rsid w:val="00E81484"/>
    <w:rsid w:val="00E8346C"/>
    <w:rsid w:val="00E83494"/>
    <w:rsid w:val="00E84427"/>
    <w:rsid w:val="00E861B9"/>
    <w:rsid w:val="00E9186A"/>
    <w:rsid w:val="00E92B4A"/>
    <w:rsid w:val="00E93EDF"/>
    <w:rsid w:val="00E95172"/>
    <w:rsid w:val="00E966F3"/>
    <w:rsid w:val="00E9701C"/>
    <w:rsid w:val="00E97929"/>
    <w:rsid w:val="00EA0EBF"/>
    <w:rsid w:val="00EA1004"/>
    <w:rsid w:val="00EA2CF6"/>
    <w:rsid w:val="00EA30B1"/>
    <w:rsid w:val="00EA4522"/>
    <w:rsid w:val="00EA56D0"/>
    <w:rsid w:val="00EB051B"/>
    <w:rsid w:val="00EB0AEA"/>
    <w:rsid w:val="00EB1A2F"/>
    <w:rsid w:val="00EB1E57"/>
    <w:rsid w:val="00EB1F38"/>
    <w:rsid w:val="00EB3BEB"/>
    <w:rsid w:val="00EB43DB"/>
    <w:rsid w:val="00EB4A38"/>
    <w:rsid w:val="00EB7A8B"/>
    <w:rsid w:val="00EC01B9"/>
    <w:rsid w:val="00EC023F"/>
    <w:rsid w:val="00EC1019"/>
    <w:rsid w:val="00EC7345"/>
    <w:rsid w:val="00ED011D"/>
    <w:rsid w:val="00ED13E2"/>
    <w:rsid w:val="00ED23EB"/>
    <w:rsid w:val="00ED5AEF"/>
    <w:rsid w:val="00EE23E5"/>
    <w:rsid w:val="00EE2F16"/>
    <w:rsid w:val="00EE53C5"/>
    <w:rsid w:val="00EE545D"/>
    <w:rsid w:val="00EE7721"/>
    <w:rsid w:val="00EF0402"/>
    <w:rsid w:val="00EF0D39"/>
    <w:rsid w:val="00EF5B2D"/>
    <w:rsid w:val="00EF5B87"/>
    <w:rsid w:val="00EF639E"/>
    <w:rsid w:val="00EF7967"/>
    <w:rsid w:val="00EF7DE2"/>
    <w:rsid w:val="00F03067"/>
    <w:rsid w:val="00F03666"/>
    <w:rsid w:val="00F05DDC"/>
    <w:rsid w:val="00F060A2"/>
    <w:rsid w:val="00F07CD6"/>
    <w:rsid w:val="00F121AE"/>
    <w:rsid w:val="00F12A1F"/>
    <w:rsid w:val="00F14049"/>
    <w:rsid w:val="00F147AC"/>
    <w:rsid w:val="00F15CC0"/>
    <w:rsid w:val="00F1662E"/>
    <w:rsid w:val="00F20495"/>
    <w:rsid w:val="00F3096E"/>
    <w:rsid w:val="00F35700"/>
    <w:rsid w:val="00F35A10"/>
    <w:rsid w:val="00F35F68"/>
    <w:rsid w:val="00F3667C"/>
    <w:rsid w:val="00F3717E"/>
    <w:rsid w:val="00F4029B"/>
    <w:rsid w:val="00F42906"/>
    <w:rsid w:val="00F44120"/>
    <w:rsid w:val="00F46D09"/>
    <w:rsid w:val="00F516F1"/>
    <w:rsid w:val="00F54246"/>
    <w:rsid w:val="00F55A24"/>
    <w:rsid w:val="00F561D0"/>
    <w:rsid w:val="00F57154"/>
    <w:rsid w:val="00F618CA"/>
    <w:rsid w:val="00F622BA"/>
    <w:rsid w:val="00F647A7"/>
    <w:rsid w:val="00F679C8"/>
    <w:rsid w:val="00F7369F"/>
    <w:rsid w:val="00F74146"/>
    <w:rsid w:val="00F762D3"/>
    <w:rsid w:val="00F7670F"/>
    <w:rsid w:val="00F80F48"/>
    <w:rsid w:val="00F81A9B"/>
    <w:rsid w:val="00F821C8"/>
    <w:rsid w:val="00F8439F"/>
    <w:rsid w:val="00F860E9"/>
    <w:rsid w:val="00F926A0"/>
    <w:rsid w:val="00F94E72"/>
    <w:rsid w:val="00F96A7D"/>
    <w:rsid w:val="00FA3952"/>
    <w:rsid w:val="00FA4723"/>
    <w:rsid w:val="00FA5759"/>
    <w:rsid w:val="00FA6DC8"/>
    <w:rsid w:val="00FA7BC3"/>
    <w:rsid w:val="00FC21BA"/>
    <w:rsid w:val="00FC4CB0"/>
    <w:rsid w:val="00FC6454"/>
    <w:rsid w:val="00FC6B3E"/>
    <w:rsid w:val="00FD1A44"/>
    <w:rsid w:val="00FD7AF9"/>
    <w:rsid w:val="00FE2C2C"/>
    <w:rsid w:val="00FE3038"/>
    <w:rsid w:val="00FE4543"/>
    <w:rsid w:val="00FE53FE"/>
    <w:rsid w:val="00FE5B58"/>
    <w:rsid w:val="00FE5E84"/>
    <w:rsid w:val="00FE7975"/>
    <w:rsid w:val="00FF2ADF"/>
    <w:rsid w:val="00FF38B8"/>
    <w:rsid w:val="00FF4977"/>
    <w:rsid w:val="00FF69E9"/>
    <w:rsid w:val="00FF6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0E"/>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D52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526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F07CD6"/>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07CD6"/>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Mencinsinresolver2">
    <w:name w:val="Mención sin resolver2"/>
    <w:basedOn w:val="Fuentedeprrafopredeter"/>
    <w:uiPriority w:val="99"/>
    <w:semiHidden/>
    <w:unhideWhenUsed/>
    <w:rsid w:val="00FE2C2C"/>
    <w:rPr>
      <w:color w:val="605E5C"/>
      <w:shd w:val="clear" w:color="auto" w:fill="E1DFDD"/>
    </w:rPr>
  </w:style>
  <w:style w:type="character" w:customStyle="1" w:styleId="Ttulo1Car">
    <w:name w:val="Título 1 Car"/>
    <w:basedOn w:val="Fuentedeprrafopredeter"/>
    <w:link w:val="Ttulo1"/>
    <w:uiPriority w:val="9"/>
    <w:rsid w:val="00D526FB"/>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D526FB"/>
    <w:pPr>
      <w:jc w:val="left"/>
      <w:outlineLvl w:val="9"/>
    </w:pPr>
    <w:rPr>
      <w:lang w:eastAsia="es-MX"/>
    </w:rPr>
  </w:style>
  <w:style w:type="paragraph" w:styleId="TDC1">
    <w:name w:val="toc 1"/>
    <w:basedOn w:val="Normal"/>
    <w:next w:val="Normal"/>
    <w:autoRedefine/>
    <w:uiPriority w:val="39"/>
    <w:unhideWhenUsed/>
    <w:rsid w:val="00DF6D0F"/>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D526FB"/>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D526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7769">
      <w:bodyDiv w:val="1"/>
      <w:marLeft w:val="0"/>
      <w:marRight w:val="0"/>
      <w:marTop w:val="0"/>
      <w:marBottom w:val="0"/>
      <w:divBdr>
        <w:top w:val="none" w:sz="0" w:space="0" w:color="auto"/>
        <w:left w:val="none" w:sz="0" w:space="0" w:color="auto"/>
        <w:bottom w:val="none" w:sz="0" w:space="0" w:color="auto"/>
        <w:right w:val="none" w:sz="0" w:space="0" w:color="auto"/>
      </w:divBdr>
    </w:div>
    <w:div w:id="107898282">
      <w:bodyDiv w:val="1"/>
      <w:marLeft w:val="0"/>
      <w:marRight w:val="0"/>
      <w:marTop w:val="0"/>
      <w:marBottom w:val="0"/>
      <w:divBdr>
        <w:top w:val="none" w:sz="0" w:space="0" w:color="auto"/>
        <w:left w:val="none" w:sz="0" w:space="0" w:color="auto"/>
        <w:bottom w:val="none" w:sz="0" w:space="0" w:color="auto"/>
        <w:right w:val="none" w:sz="0" w:space="0" w:color="auto"/>
      </w:divBdr>
    </w:div>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305748574">
      <w:bodyDiv w:val="1"/>
      <w:marLeft w:val="0"/>
      <w:marRight w:val="0"/>
      <w:marTop w:val="0"/>
      <w:marBottom w:val="0"/>
      <w:divBdr>
        <w:top w:val="none" w:sz="0" w:space="0" w:color="auto"/>
        <w:left w:val="none" w:sz="0" w:space="0" w:color="auto"/>
        <w:bottom w:val="none" w:sz="0" w:space="0" w:color="auto"/>
        <w:right w:val="none" w:sz="0" w:space="0" w:color="auto"/>
      </w:divBdr>
    </w:div>
    <w:div w:id="383716946">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509413431">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173">
      <w:bodyDiv w:val="1"/>
      <w:marLeft w:val="0"/>
      <w:marRight w:val="0"/>
      <w:marTop w:val="0"/>
      <w:marBottom w:val="0"/>
      <w:divBdr>
        <w:top w:val="none" w:sz="0" w:space="0" w:color="auto"/>
        <w:left w:val="none" w:sz="0" w:space="0" w:color="auto"/>
        <w:bottom w:val="none" w:sz="0" w:space="0" w:color="auto"/>
        <w:right w:val="none" w:sz="0" w:space="0" w:color="auto"/>
      </w:divBdr>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28887">
      <w:bodyDiv w:val="1"/>
      <w:marLeft w:val="0"/>
      <w:marRight w:val="0"/>
      <w:marTop w:val="0"/>
      <w:marBottom w:val="0"/>
      <w:divBdr>
        <w:top w:val="none" w:sz="0" w:space="0" w:color="auto"/>
        <w:left w:val="none" w:sz="0" w:space="0" w:color="auto"/>
        <w:bottom w:val="none" w:sz="0" w:space="0" w:color="auto"/>
        <w:right w:val="none" w:sz="0" w:space="0" w:color="auto"/>
      </w:divBdr>
    </w:div>
    <w:div w:id="1031955428">
      <w:bodyDiv w:val="1"/>
      <w:marLeft w:val="0"/>
      <w:marRight w:val="0"/>
      <w:marTop w:val="0"/>
      <w:marBottom w:val="0"/>
      <w:divBdr>
        <w:top w:val="none" w:sz="0" w:space="0" w:color="auto"/>
        <w:left w:val="none" w:sz="0" w:space="0" w:color="auto"/>
        <w:bottom w:val="none" w:sz="0" w:space="0" w:color="auto"/>
        <w:right w:val="none" w:sz="0" w:space="0" w:color="auto"/>
      </w:divBdr>
    </w:div>
    <w:div w:id="1106389017">
      <w:bodyDiv w:val="1"/>
      <w:marLeft w:val="0"/>
      <w:marRight w:val="0"/>
      <w:marTop w:val="0"/>
      <w:marBottom w:val="0"/>
      <w:divBdr>
        <w:top w:val="none" w:sz="0" w:space="0" w:color="auto"/>
        <w:left w:val="none" w:sz="0" w:space="0" w:color="auto"/>
        <w:bottom w:val="none" w:sz="0" w:space="0" w:color="auto"/>
        <w:right w:val="none" w:sz="0" w:space="0" w:color="auto"/>
      </w:divBdr>
    </w:div>
    <w:div w:id="1126582591">
      <w:bodyDiv w:val="1"/>
      <w:marLeft w:val="0"/>
      <w:marRight w:val="0"/>
      <w:marTop w:val="0"/>
      <w:marBottom w:val="0"/>
      <w:divBdr>
        <w:top w:val="none" w:sz="0" w:space="0" w:color="auto"/>
        <w:left w:val="none" w:sz="0" w:space="0" w:color="auto"/>
        <w:bottom w:val="none" w:sz="0" w:space="0" w:color="auto"/>
        <w:right w:val="none" w:sz="0" w:space="0" w:color="auto"/>
      </w:divBdr>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650">
      <w:bodyDiv w:val="1"/>
      <w:marLeft w:val="0"/>
      <w:marRight w:val="0"/>
      <w:marTop w:val="0"/>
      <w:marBottom w:val="0"/>
      <w:divBdr>
        <w:top w:val="none" w:sz="0" w:space="0" w:color="auto"/>
        <w:left w:val="none" w:sz="0" w:space="0" w:color="auto"/>
        <w:bottom w:val="none" w:sz="0" w:space="0" w:color="auto"/>
        <w:right w:val="none" w:sz="0" w:space="0" w:color="auto"/>
      </w:divBdr>
    </w:div>
    <w:div w:id="1299726302">
      <w:bodyDiv w:val="1"/>
      <w:marLeft w:val="0"/>
      <w:marRight w:val="0"/>
      <w:marTop w:val="0"/>
      <w:marBottom w:val="0"/>
      <w:divBdr>
        <w:top w:val="none" w:sz="0" w:space="0" w:color="auto"/>
        <w:left w:val="none" w:sz="0" w:space="0" w:color="auto"/>
        <w:bottom w:val="none" w:sz="0" w:space="0" w:color="auto"/>
        <w:right w:val="none" w:sz="0" w:space="0" w:color="auto"/>
      </w:divBdr>
    </w:div>
    <w:div w:id="1362516153">
      <w:bodyDiv w:val="1"/>
      <w:marLeft w:val="0"/>
      <w:marRight w:val="0"/>
      <w:marTop w:val="0"/>
      <w:marBottom w:val="0"/>
      <w:divBdr>
        <w:top w:val="none" w:sz="0" w:space="0" w:color="auto"/>
        <w:left w:val="none" w:sz="0" w:space="0" w:color="auto"/>
        <w:bottom w:val="none" w:sz="0" w:space="0" w:color="auto"/>
        <w:right w:val="none" w:sz="0" w:space="0" w:color="auto"/>
      </w:divBdr>
    </w:div>
    <w:div w:id="1416780549">
      <w:bodyDiv w:val="1"/>
      <w:marLeft w:val="0"/>
      <w:marRight w:val="0"/>
      <w:marTop w:val="0"/>
      <w:marBottom w:val="0"/>
      <w:divBdr>
        <w:top w:val="none" w:sz="0" w:space="0" w:color="auto"/>
        <w:left w:val="none" w:sz="0" w:space="0" w:color="auto"/>
        <w:bottom w:val="none" w:sz="0" w:space="0" w:color="auto"/>
        <w:right w:val="none" w:sz="0" w:space="0" w:color="auto"/>
      </w:divBdr>
    </w:div>
    <w:div w:id="1594237733">
      <w:bodyDiv w:val="1"/>
      <w:marLeft w:val="0"/>
      <w:marRight w:val="0"/>
      <w:marTop w:val="0"/>
      <w:marBottom w:val="0"/>
      <w:divBdr>
        <w:top w:val="none" w:sz="0" w:space="0" w:color="auto"/>
        <w:left w:val="none" w:sz="0" w:space="0" w:color="auto"/>
        <w:bottom w:val="none" w:sz="0" w:space="0" w:color="auto"/>
        <w:right w:val="none" w:sz="0" w:space="0" w:color="auto"/>
      </w:divBdr>
    </w:div>
    <w:div w:id="1648122058">
      <w:bodyDiv w:val="1"/>
      <w:marLeft w:val="0"/>
      <w:marRight w:val="0"/>
      <w:marTop w:val="0"/>
      <w:marBottom w:val="0"/>
      <w:divBdr>
        <w:top w:val="none" w:sz="0" w:space="0" w:color="auto"/>
        <w:left w:val="none" w:sz="0" w:space="0" w:color="auto"/>
        <w:bottom w:val="none" w:sz="0" w:space="0" w:color="auto"/>
        <w:right w:val="none" w:sz="0" w:space="0" w:color="auto"/>
      </w:divBdr>
    </w:div>
    <w:div w:id="1656296780">
      <w:bodyDiv w:val="1"/>
      <w:marLeft w:val="0"/>
      <w:marRight w:val="0"/>
      <w:marTop w:val="0"/>
      <w:marBottom w:val="0"/>
      <w:divBdr>
        <w:top w:val="none" w:sz="0" w:space="0" w:color="auto"/>
        <w:left w:val="none" w:sz="0" w:space="0" w:color="auto"/>
        <w:bottom w:val="none" w:sz="0" w:space="0" w:color="auto"/>
        <w:right w:val="none" w:sz="0" w:space="0" w:color="auto"/>
      </w:divBdr>
    </w:div>
    <w:div w:id="1698432375">
      <w:bodyDiv w:val="1"/>
      <w:marLeft w:val="0"/>
      <w:marRight w:val="0"/>
      <w:marTop w:val="0"/>
      <w:marBottom w:val="0"/>
      <w:divBdr>
        <w:top w:val="none" w:sz="0" w:space="0" w:color="auto"/>
        <w:left w:val="none" w:sz="0" w:space="0" w:color="auto"/>
        <w:bottom w:val="none" w:sz="0" w:space="0" w:color="auto"/>
        <w:right w:val="none" w:sz="0" w:space="0" w:color="auto"/>
      </w:divBdr>
    </w:div>
    <w:div w:id="1725836247">
      <w:bodyDiv w:val="1"/>
      <w:marLeft w:val="0"/>
      <w:marRight w:val="0"/>
      <w:marTop w:val="0"/>
      <w:marBottom w:val="0"/>
      <w:divBdr>
        <w:top w:val="none" w:sz="0" w:space="0" w:color="auto"/>
        <w:left w:val="none" w:sz="0" w:space="0" w:color="auto"/>
        <w:bottom w:val="none" w:sz="0" w:space="0" w:color="auto"/>
        <w:right w:val="none" w:sz="0" w:space="0" w:color="auto"/>
      </w:divBdr>
    </w:div>
    <w:div w:id="1814329354">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1912345079">
      <w:bodyDiv w:val="1"/>
      <w:marLeft w:val="0"/>
      <w:marRight w:val="0"/>
      <w:marTop w:val="0"/>
      <w:marBottom w:val="0"/>
      <w:divBdr>
        <w:top w:val="none" w:sz="0" w:space="0" w:color="auto"/>
        <w:left w:val="none" w:sz="0" w:space="0" w:color="auto"/>
        <w:bottom w:val="none" w:sz="0" w:space="0" w:color="auto"/>
        <w:right w:val="none" w:sz="0" w:space="0" w:color="auto"/>
      </w:divBdr>
    </w:div>
    <w:div w:id="20896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f.gob.mx/nota_detalle.php?codigo=5492254&amp;fecha=28/07/201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b.mx/segob/renapo/acciones-y-programas/clave-unica-de-registro-de-poblacion-curp-14222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3D03A-4288-4BE2-9D25-C589C033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7742</Words>
  <Characters>42586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USUARIO</cp:lastModifiedBy>
  <cp:revision>3</cp:revision>
  <cp:lastPrinted>2025-04-04T17:04:00Z</cp:lastPrinted>
  <dcterms:created xsi:type="dcterms:W3CDTF">2025-04-04T17:04:00Z</dcterms:created>
  <dcterms:modified xsi:type="dcterms:W3CDTF">2025-04-04T17:04:00Z</dcterms:modified>
</cp:coreProperties>
</file>