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CE6E"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1860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junio de dos mil veinticinco. </w:t>
      </w:r>
    </w:p>
    <w:p w14:paraId="7B7827FA" w14:textId="77777777" w:rsidR="00EC05B9" w:rsidRPr="001860E0" w:rsidRDefault="00A7541B">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1860E0">
        <w:rPr>
          <w:rFonts w:ascii="Palatino Linotype" w:eastAsia="Palatino Linotype" w:hAnsi="Palatino Linotype" w:cs="Palatino Linotype"/>
          <w:b/>
        </w:rPr>
        <w:t>VISTO</w:t>
      </w:r>
      <w:r w:rsidRPr="001860E0">
        <w:rPr>
          <w:rFonts w:ascii="Palatino Linotype" w:eastAsia="Palatino Linotype" w:hAnsi="Palatino Linotype" w:cs="Palatino Linotype"/>
        </w:rPr>
        <w:t xml:space="preserve"> el expediente formado con motivo del recurso de revisión </w:t>
      </w:r>
      <w:r w:rsidRPr="001860E0">
        <w:rPr>
          <w:rFonts w:ascii="Palatino Linotype" w:eastAsia="Palatino Linotype" w:hAnsi="Palatino Linotype" w:cs="Palatino Linotype"/>
          <w:b/>
        </w:rPr>
        <w:t>03219/INFOEM/IP/RR/2025</w:t>
      </w:r>
      <w:r w:rsidRPr="001860E0">
        <w:rPr>
          <w:rFonts w:ascii="Palatino Linotype" w:eastAsia="Palatino Linotype" w:hAnsi="Palatino Linotype" w:cs="Palatino Linotype"/>
        </w:rPr>
        <w:t>, interpuesto por</w:t>
      </w:r>
      <w:r w:rsidRPr="001860E0">
        <w:rPr>
          <w:rFonts w:ascii="Palatino Linotype" w:eastAsia="Palatino Linotype" w:hAnsi="Palatino Linotype" w:cs="Palatino Linotype"/>
          <w:b/>
        </w:rPr>
        <w:t xml:space="preserve"> una persona que no proporcionó nombre o seudónimo,</w:t>
      </w:r>
      <w:r w:rsidRPr="001860E0">
        <w:rPr>
          <w:rFonts w:ascii="Palatino Linotype" w:eastAsia="Palatino Linotype" w:hAnsi="Palatino Linotype" w:cs="Palatino Linotype"/>
        </w:rPr>
        <w:t xml:space="preserve"> en lo sucesivo</w:t>
      </w:r>
      <w:r w:rsidRPr="001860E0">
        <w:rPr>
          <w:rFonts w:ascii="Palatino Linotype" w:eastAsia="Palatino Linotype" w:hAnsi="Palatino Linotype" w:cs="Palatino Linotype"/>
          <w:b/>
        </w:rPr>
        <w:t xml:space="preserve"> </w:t>
      </w:r>
      <w:r w:rsidRPr="001860E0">
        <w:rPr>
          <w:rFonts w:ascii="Palatino Linotype" w:eastAsia="Palatino Linotype" w:hAnsi="Palatino Linotype" w:cs="Palatino Linotype"/>
        </w:rPr>
        <w:t xml:space="preserve">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xml:space="preserve"> en contra de la respuesta a la solicitud de información con número de folio</w:t>
      </w:r>
      <w:r w:rsidRPr="001860E0">
        <w:rPr>
          <w:rFonts w:ascii="Palatino Linotype" w:eastAsia="Palatino Linotype" w:hAnsi="Palatino Linotype" w:cs="Palatino Linotype"/>
          <w:b/>
        </w:rPr>
        <w:t xml:space="preserve"> 00140/HUEHUETO/IP/2025, </w:t>
      </w:r>
      <w:r w:rsidRPr="001860E0">
        <w:rPr>
          <w:rFonts w:ascii="Palatino Linotype" w:eastAsia="Palatino Linotype" w:hAnsi="Palatino Linotype" w:cs="Palatino Linotype"/>
        </w:rPr>
        <w:t xml:space="preserve">por parte del </w:t>
      </w:r>
      <w:r w:rsidRPr="001860E0">
        <w:rPr>
          <w:rFonts w:ascii="Palatino Linotype" w:eastAsia="Palatino Linotype" w:hAnsi="Palatino Linotype" w:cs="Palatino Linotype"/>
          <w:b/>
        </w:rPr>
        <w:t xml:space="preserve">Ayuntamiento de Huehuetoca, </w:t>
      </w:r>
      <w:r w:rsidRPr="001860E0">
        <w:rPr>
          <w:rFonts w:ascii="Palatino Linotype" w:eastAsia="Palatino Linotype" w:hAnsi="Palatino Linotype" w:cs="Palatino Linotype"/>
        </w:rPr>
        <w:t xml:space="preserve">en lo sucesivo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 xml:space="preserve">se procede a dictar la presente resolución con base en los siguientes: </w:t>
      </w:r>
    </w:p>
    <w:p w14:paraId="4BA28FBD" w14:textId="77777777" w:rsidR="00EC05B9" w:rsidRPr="001860E0" w:rsidRDefault="00A7541B">
      <w:pPr>
        <w:spacing w:before="240" w:after="240" w:line="360" w:lineRule="auto"/>
        <w:jc w:val="center"/>
        <w:rPr>
          <w:rFonts w:ascii="Palatino Linotype" w:eastAsia="Palatino Linotype" w:hAnsi="Palatino Linotype" w:cs="Palatino Linotype"/>
          <w:b/>
        </w:rPr>
      </w:pPr>
      <w:r w:rsidRPr="001860E0">
        <w:rPr>
          <w:rFonts w:ascii="Palatino Linotype" w:eastAsia="Palatino Linotype" w:hAnsi="Palatino Linotype" w:cs="Palatino Linotype"/>
          <w:b/>
        </w:rPr>
        <w:t>I. A N T E C E D E N T E S</w:t>
      </w:r>
    </w:p>
    <w:p w14:paraId="3671317C" w14:textId="77777777" w:rsidR="00EC05B9" w:rsidRPr="001860E0" w:rsidRDefault="00A7541B">
      <w:pPr>
        <w:spacing w:before="240" w:after="240" w:line="360" w:lineRule="auto"/>
        <w:jc w:val="both"/>
        <w:rPr>
          <w:rFonts w:ascii="Palatino Linotype" w:eastAsia="Palatino Linotype" w:hAnsi="Palatino Linotype" w:cs="Palatino Linotype"/>
          <w:b/>
        </w:rPr>
      </w:pPr>
      <w:bookmarkStart w:id="2" w:name="_heading=h.gjdgxs" w:colFirst="0" w:colLast="0"/>
      <w:bookmarkEnd w:id="2"/>
      <w:r w:rsidRPr="001860E0">
        <w:rPr>
          <w:rFonts w:ascii="Palatino Linotype" w:eastAsia="Palatino Linotype" w:hAnsi="Palatino Linotype" w:cs="Palatino Linotype"/>
          <w:b/>
        </w:rPr>
        <w:t>1. Solicitud de acceso a la información.</w:t>
      </w:r>
      <w:r w:rsidRPr="001860E0">
        <w:rPr>
          <w:rFonts w:ascii="Palatino Linotype" w:eastAsia="Palatino Linotype" w:hAnsi="Palatino Linotype" w:cs="Palatino Linotype"/>
        </w:rPr>
        <w:t xml:space="preserve"> El </w:t>
      </w:r>
      <w:r w:rsidRPr="001860E0">
        <w:rPr>
          <w:rFonts w:ascii="Palatino Linotype" w:eastAsia="Palatino Linotype" w:hAnsi="Palatino Linotype" w:cs="Palatino Linotype"/>
          <w:b/>
        </w:rPr>
        <w:t>doce de marzo de dos mil veinticinco,</w:t>
      </w:r>
      <w:r w:rsidRPr="001860E0">
        <w:rPr>
          <w:rFonts w:ascii="Palatino Linotype" w:eastAsia="Palatino Linotype" w:hAnsi="Palatino Linotype" w:cs="Palatino Linotype"/>
        </w:rPr>
        <w:t xml:space="preserve"> la parte </w:t>
      </w:r>
      <w:r w:rsidRPr="001860E0">
        <w:rPr>
          <w:rFonts w:ascii="Palatino Linotype" w:eastAsia="Palatino Linotype" w:hAnsi="Palatino Linotype" w:cs="Palatino Linotype"/>
          <w:b/>
        </w:rPr>
        <w:t xml:space="preserve">Recurrente </w:t>
      </w:r>
      <w:r w:rsidRPr="001860E0">
        <w:rPr>
          <w:rFonts w:ascii="Palatino Linotype" w:eastAsia="Palatino Linotype" w:hAnsi="Palatino Linotype" w:cs="Palatino Linotype"/>
        </w:rPr>
        <w:t xml:space="preserve">presentó su solicitud de acceso a la información ante el </w:t>
      </w:r>
      <w:r w:rsidRPr="001860E0">
        <w:rPr>
          <w:rFonts w:ascii="Palatino Linotype" w:eastAsia="Palatino Linotype" w:hAnsi="Palatino Linotype" w:cs="Palatino Linotype"/>
          <w:b/>
        </w:rPr>
        <w:t>Sujeto Obligado</w:t>
      </w:r>
      <w:r w:rsidRPr="001860E0">
        <w:rPr>
          <w:rFonts w:ascii="Palatino Linotype" w:eastAsia="Palatino Linotype" w:hAnsi="Palatino Linotype" w:cs="Palatino Linotype"/>
        </w:rPr>
        <w:t xml:space="preserve">, a través del Sistema de Acceso a la Información Mexiquense, en lo subsecuente el </w:t>
      </w:r>
      <w:r w:rsidRPr="001860E0">
        <w:rPr>
          <w:rFonts w:ascii="Palatino Linotype" w:eastAsia="Palatino Linotype" w:hAnsi="Palatino Linotype" w:cs="Palatino Linotype"/>
          <w:b/>
        </w:rPr>
        <w:t xml:space="preserve">SAIMEX; </w:t>
      </w:r>
      <w:r w:rsidRPr="001860E0">
        <w:rPr>
          <w:rFonts w:ascii="Palatino Linotype" w:eastAsia="Palatino Linotype" w:hAnsi="Palatino Linotype" w:cs="Palatino Linotype"/>
        </w:rPr>
        <w:t>mediante la cual requirió lo siguiente:</w:t>
      </w:r>
    </w:p>
    <w:p w14:paraId="2F842423"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i/>
          <w:sz w:val="22"/>
          <w:szCs w:val="22"/>
        </w:rPr>
        <w:t xml:space="preserve"> “cuantos feminicidios hay en el municipio de enero 2025 a la fecha</w:t>
      </w:r>
      <w:r w:rsidRPr="001860E0">
        <w:rPr>
          <w:rFonts w:ascii="Palatino Linotype" w:eastAsia="Palatino Linotype" w:hAnsi="Palatino Linotype" w:cs="Palatino Linotype"/>
          <w:b/>
          <w:i/>
          <w:sz w:val="22"/>
          <w:szCs w:val="22"/>
        </w:rPr>
        <w:t>”</w:t>
      </w:r>
      <w:r w:rsidRPr="001860E0">
        <w:rPr>
          <w:rFonts w:ascii="Palatino Linotype" w:eastAsia="Palatino Linotype" w:hAnsi="Palatino Linotype" w:cs="Palatino Linotype"/>
          <w:i/>
          <w:sz w:val="22"/>
          <w:szCs w:val="22"/>
        </w:rPr>
        <w:t xml:space="preserve"> (sic) </w:t>
      </w:r>
    </w:p>
    <w:p w14:paraId="7B6B0E21"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1860E0">
        <w:rPr>
          <w:rFonts w:ascii="Palatino Linotype" w:eastAsia="Palatino Linotype" w:hAnsi="Palatino Linotype" w:cs="Palatino Linotype"/>
          <w:b/>
        </w:rPr>
        <w:t>Modalidad de Entrega:</w:t>
      </w:r>
      <w:r w:rsidRPr="001860E0">
        <w:rPr>
          <w:rFonts w:ascii="Palatino Linotype" w:eastAsia="Palatino Linotype" w:hAnsi="Palatino Linotype" w:cs="Palatino Linotype"/>
        </w:rPr>
        <w:t xml:space="preserve"> a través del</w:t>
      </w:r>
      <w:r w:rsidRPr="001860E0">
        <w:rPr>
          <w:rFonts w:ascii="Palatino Linotype" w:eastAsia="Palatino Linotype" w:hAnsi="Palatino Linotype" w:cs="Palatino Linotype"/>
          <w:b/>
        </w:rPr>
        <w:t xml:space="preserve"> SAIMEX.</w:t>
      </w:r>
    </w:p>
    <w:p w14:paraId="550A09C3"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2. Respuesta. </w:t>
      </w:r>
      <w:r w:rsidRPr="001860E0">
        <w:rPr>
          <w:rFonts w:ascii="Palatino Linotype" w:eastAsia="Palatino Linotype" w:hAnsi="Palatino Linotype" w:cs="Palatino Linotype"/>
        </w:rPr>
        <w:t xml:space="preserve">El </w:t>
      </w:r>
      <w:r w:rsidRPr="001860E0">
        <w:rPr>
          <w:rFonts w:ascii="Palatino Linotype" w:eastAsia="Palatino Linotype" w:hAnsi="Palatino Linotype" w:cs="Palatino Linotype"/>
          <w:b/>
        </w:rPr>
        <w:t>trece de marzo de dos mil veinticinco,</w:t>
      </w:r>
      <w:r w:rsidRPr="001860E0">
        <w:rPr>
          <w:rFonts w:ascii="Palatino Linotype" w:eastAsia="Palatino Linotype" w:hAnsi="Palatino Linotype" w:cs="Palatino Linotype"/>
        </w:rPr>
        <w:t xml:space="preserve">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D256EC1" w14:textId="77777777" w:rsidR="00EC05B9" w:rsidRPr="001860E0" w:rsidRDefault="00A7541B">
      <w:pPr>
        <w:spacing w:before="240" w:after="24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“…C. Solicitante En atención a su solicitud le envió la siguiente información...” (sic)</w:t>
      </w:r>
    </w:p>
    <w:p w14:paraId="2016D80D" w14:textId="0C8687C3" w:rsidR="00EC05B9" w:rsidRPr="001860E0" w:rsidRDefault="00A7541B">
      <w:pPr>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 xml:space="preserve">El </w:t>
      </w:r>
      <w:r w:rsidRPr="001860E0">
        <w:rPr>
          <w:rFonts w:ascii="Palatino Linotype" w:eastAsia="Palatino Linotype" w:hAnsi="Palatino Linotype" w:cs="Palatino Linotype"/>
          <w:b/>
        </w:rPr>
        <w:t>Sujeto Obligado</w:t>
      </w:r>
      <w:r w:rsidR="00836072" w:rsidRPr="001860E0">
        <w:rPr>
          <w:rFonts w:ascii="Palatino Linotype" w:eastAsia="Palatino Linotype" w:hAnsi="Palatino Linotype" w:cs="Palatino Linotype"/>
          <w:b/>
        </w:rPr>
        <w:t xml:space="preserve"> </w:t>
      </w:r>
      <w:r w:rsidR="00836072" w:rsidRPr="001860E0">
        <w:rPr>
          <w:rFonts w:ascii="Palatino Linotype" w:eastAsia="Palatino Linotype" w:hAnsi="Palatino Linotype" w:cs="Palatino Linotype"/>
          <w:bCs/>
        </w:rPr>
        <w:t>remitió</w:t>
      </w:r>
      <w:r w:rsidRPr="001860E0">
        <w:rPr>
          <w:rFonts w:ascii="Palatino Linotype" w:eastAsia="Palatino Linotype" w:hAnsi="Palatino Linotype" w:cs="Palatino Linotype"/>
          <w:b/>
        </w:rPr>
        <w:t xml:space="preserve"> </w:t>
      </w:r>
      <w:r w:rsidRPr="001860E0">
        <w:rPr>
          <w:rFonts w:ascii="Palatino Linotype" w:eastAsia="Palatino Linotype" w:hAnsi="Palatino Linotype" w:cs="Palatino Linotype"/>
        </w:rPr>
        <w:t>el oficio número DSPYVM/982/2025 del trece de mazo de dos mil veinticinco, mediante el cual el Director de Seguridad Pública y Vialidad Municipal, refirió que no se contaba con algún registro respecto al delito de feminicidio en el periodo que comprende del uno de enero al trece de marzo de dos mil veinticinco, de conformidad con lo manifestado por el Coordinador de Centro de Comando y Comunicaciones C-4 Huehuetoca.</w:t>
      </w:r>
    </w:p>
    <w:p w14:paraId="276B40F8" w14:textId="77777777" w:rsidR="00EC05B9" w:rsidRPr="001860E0" w:rsidRDefault="00A7541B">
      <w:pPr>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3. Interposición del recurso de revisión. </w:t>
      </w:r>
      <w:r w:rsidRPr="001860E0">
        <w:rPr>
          <w:rFonts w:ascii="Palatino Linotype" w:eastAsia="Palatino Linotype" w:hAnsi="Palatino Linotype" w:cs="Palatino Linotype"/>
        </w:rPr>
        <w:t xml:space="preserve">Inconforme con los términos de la respuesta emitida por parte del </w:t>
      </w:r>
      <w:r w:rsidRPr="001860E0">
        <w:rPr>
          <w:rFonts w:ascii="Palatino Linotype" w:eastAsia="Palatino Linotype" w:hAnsi="Palatino Linotype" w:cs="Palatino Linotype"/>
          <w:b/>
        </w:rPr>
        <w:t>Sujeto Obligado</w:t>
      </w:r>
      <w:r w:rsidRPr="001860E0">
        <w:rPr>
          <w:rFonts w:ascii="Palatino Linotype" w:eastAsia="Palatino Linotype" w:hAnsi="Palatino Linotype" w:cs="Palatino Linotype"/>
        </w:rPr>
        <w:t xml:space="preserve">, el </w:t>
      </w:r>
      <w:r w:rsidRPr="001860E0">
        <w:rPr>
          <w:rFonts w:ascii="Palatino Linotype" w:eastAsia="Palatino Linotype" w:hAnsi="Palatino Linotype" w:cs="Palatino Linotype"/>
          <w:b/>
        </w:rPr>
        <w:t>dieciocho de marzo de dos mil veinticinco,</w:t>
      </w:r>
      <w:r w:rsidRPr="001860E0">
        <w:rPr>
          <w:rFonts w:ascii="Palatino Linotype" w:eastAsia="Palatino Linotype" w:hAnsi="Palatino Linotype" w:cs="Palatino Linotype"/>
        </w:rPr>
        <w:t xml:space="preserve"> 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xml:space="preserve"> interpuso el recurso de revisión a través de </w:t>
      </w:r>
      <w:r w:rsidRPr="001860E0">
        <w:rPr>
          <w:rFonts w:ascii="Palatino Linotype" w:eastAsia="Palatino Linotype" w:hAnsi="Palatino Linotype" w:cs="Palatino Linotype"/>
          <w:b/>
        </w:rPr>
        <w:t xml:space="preserve">SAIMEX, </w:t>
      </w:r>
      <w:r w:rsidRPr="001860E0">
        <w:rPr>
          <w:rFonts w:ascii="Palatino Linotype" w:eastAsia="Palatino Linotype" w:hAnsi="Palatino Linotype" w:cs="Palatino Linotype"/>
        </w:rPr>
        <w:t>en donde se manifestó de la siguiente manera:</w:t>
      </w:r>
    </w:p>
    <w:p w14:paraId="58A82031" w14:textId="77777777" w:rsidR="00EC05B9" w:rsidRPr="001860E0" w:rsidRDefault="00A7541B">
      <w:pPr>
        <w:spacing w:before="240" w:after="240" w:line="360" w:lineRule="auto"/>
        <w:ind w:right="49"/>
        <w:jc w:val="both"/>
        <w:rPr>
          <w:rFonts w:ascii="Palatino Linotype" w:eastAsia="Palatino Linotype" w:hAnsi="Palatino Linotype" w:cs="Palatino Linotype"/>
          <w:b/>
        </w:rPr>
      </w:pPr>
      <w:r w:rsidRPr="001860E0">
        <w:rPr>
          <w:rFonts w:ascii="Palatino Linotype" w:eastAsia="Palatino Linotype" w:hAnsi="Palatino Linotype" w:cs="Palatino Linotype"/>
          <w:b/>
        </w:rPr>
        <w:t xml:space="preserve">Acto impugnado: </w:t>
      </w:r>
    </w:p>
    <w:p w14:paraId="44E7D72F" w14:textId="77777777" w:rsidR="00EC05B9" w:rsidRPr="001860E0" w:rsidRDefault="00A7541B">
      <w:pPr>
        <w:tabs>
          <w:tab w:val="left" w:pos="2745"/>
        </w:tabs>
        <w:spacing w:before="240" w:after="240"/>
        <w:ind w:left="851" w:right="900"/>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“No Dan información” (sic)</w:t>
      </w:r>
    </w:p>
    <w:p w14:paraId="0D3708AF" w14:textId="77777777" w:rsidR="00EC05B9" w:rsidRPr="001860E0" w:rsidRDefault="00A7541B">
      <w:pPr>
        <w:spacing w:line="360" w:lineRule="auto"/>
        <w:jc w:val="both"/>
        <w:rPr>
          <w:rFonts w:ascii="Palatino Linotype" w:eastAsia="Palatino Linotype" w:hAnsi="Palatino Linotype" w:cs="Palatino Linotype"/>
        </w:rPr>
      </w:pPr>
      <w:bookmarkStart w:id="4" w:name="_heading=h.30j0zll" w:colFirst="0" w:colLast="0"/>
      <w:bookmarkEnd w:id="4"/>
      <w:r w:rsidRPr="001860E0">
        <w:rPr>
          <w:rFonts w:ascii="Palatino Linotype" w:eastAsia="Palatino Linotype" w:hAnsi="Palatino Linotype" w:cs="Palatino Linotype"/>
          <w:b/>
        </w:rPr>
        <w:t>Y, Razones o motivos de inconformidad</w:t>
      </w:r>
      <w:r w:rsidRPr="001860E0">
        <w:rPr>
          <w:rFonts w:ascii="Palatino Linotype" w:eastAsia="Palatino Linotype" w:hAnsi="Palatino Linotype" w:cs="Palatino Linotype"/>
        </w:rPr>
        <w:t>:</w:t>
      </w:r>
    </w:p>
    <w:p w14:paraId="1354D68D" w14:textId="77777777" w:rsidR="00EC05B9" w:rsidRPr="001860E0" w:rsidRDefault="00A7541B">
      <w:pPr>
        <w:tabs>
          <w:tab w:val="left" w:pos="2745"/>
        </w:tabs>
        <w:spacing w:before="240" w:after="240"/>
        <w:ind w:left="851" w:right="900"/>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“No Dan información” (sic)</w:t>
      </w:r>
    </w:p>
    <w:p w14:paraId="38B7A2CF" w14:textId="77777777" w:rsidR="00EC05B9" w:rsidRPr="001860E0" w:rsidRDefault="00A7541B">
      <w:pPr>
        <w:spacing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4. Turno. </w:t>
      </w:r>
      <w:r w:rsidRPr="001860E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860E0">
        <w:rPr>
          <w:rFonts w:ascii="Palatino Linotype" w:eastAsia="Palatino Linotype" w:hAnsi="Palatino Linotype" w:cs="Palatino Linotype"/>
          <w:b/>
        </w:rPr>
        <w:t xml:space="preserve">Guadalupe Ramírez Peña, </w:t>
      </w:r>
      <w:r w:rsidRPr="001860E0">
        <w:rPr>
          <w:rFonts w:ascii="Palatino Linotype" w:eastAsia="Palatino Linotype" w:hAnsi="Palatino Linotype" w:cs="Palatino Linotype"/>
        </w:rPr>
        <w:t xml:space="preserve">a efecto de que analizara sobre su admisión o su </w:t>
      </w:r>
      <w:proofErr w:type="spellStart"/>
      <w:r w:rsidRPr="001860E0">
        <w:rPr>
          <w:rFonts w:ascii="Palatino Linotype" w:eastAsia="Palatino Linotype" w:hAnsi="Palatino Linotype" w:cs="Palatino Linotype"/>
        </w:rPr>
        <w:t>desechamiento</w:t>
      </w:r>
      <w:proofErr w:type="spellEnd"/>
      <w:r w:rsidRPr="001860E0">
        <w:rPr>
          <w:rFonts w:ascii="Palatino Linotype" w:eastAsia="Palatino Linotype" w:hAnsi="Palatino Linotype" w:cs="Palatino Linotype"/>
        </w:rPr>
        <w:t>.</w:t>
      </w:r>
    </w:p>
    <w:p w14:paraId="77EDB2E4" w14:textId="77777777" w:rsidR="00EC05B9" w:rsidRPr="001860E0" w:rsidRDefault="00A7541B">
      <w:pPr>
        <w:spacing w:before="240" w:after="240" w:line="360" w:lineRule="auto"/>
        <w:jc w:val="both"/>
        <w:rPr>
          <w:rFonts w:ascii="Palatino Linotype" w:eastAsia="Palatino Linotype" w:hAnsi="Palatino Linotype" w:cs="Palatino Linotype"/>
          <w:b/>
        </w:rPr>
      </w:pPr>
      <w:r w:rsidRPr="001860E0">
        <w:rPr>
          <w:rFonts w:ascii="Palatino Linotype" w:eastAsia="Palatino Linotype" w:hAnsi="Palatino Linotype" w:cs="Palatino Linotype"/>
          <w:b/>
        </w:rPr>
        <w:t>5. Admisión del Recurso de revisión.</w:t>
      </w:r>
      <w:r w:rsidRPr="001860E0">
        <w:rPr>
          <w:rFonts w:ascii="Palatino Linotype" w:eastAsia="Palatino Linotype" w:hAnsi="Palatino Linotype" w:cs="Palatino Linotype"/>
        </w:rPr>
        <w:t xml:space="preserve"> El</w:t>
      </w:r>
      <w:r w:rsidRPr="001860E0">
        <w:rPr>
          <w:rFonts w:ascii="Palatino Linotype" w:eastAsia="Palatino Linotype" w:hAnsi="Palatino Linotype" w:cs="Palatino Linotype"/>
          <w:b/>
        </w:rPr>
        <w:t xml:space="preserve"> veintiuno de marzo de dos mil veinticinco, </w:t>
      </w:r>
      <w:r w:rsidRPr="001860E0">
        <w:rPr>
          <w:rFonts w:ascii="Palatino Linotype" w:eastAsia="Palatino Linotype" w:hAnsi="Palatino Linotype" w:cs="Palatino Linotype"/>
        </w:rPr>
        <w:t xml:space="preserve">este Instituto de Transparencia, Acceso a la Información Pública y Protección de </w:t>
      </w:r>
      <w:r w:rsidRPr="001860E0">
        <w:rPr>
          <w:rFonts w:ascii="Palatino Linotype" w:eastAsia="Palatino Linotype" w:hAnsi="Palatino Linotype" w:cs="Palatino Linotype"/>
        </w:rPr>
        <w:lastRenderedPageBreak/>
        <w:t xml:space="preserve">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presentara su informe justificado.</w:t>
      </w:r>
    </w:p>
    <w:p w14:paraId="74F4D0E8"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1860E0">
        <w:rPr>
          <w:rFonts w:ascii="Palatino Linotype" w:eastAsia="Palatino Linotype" w:hAnsi="Palatino Linotype" w:cs="Palatino Linotype"/>
          <w:b/>
        </w:rPr>
        <w:t>6. Manifestaciones</w:t>
      </w:r>
      <w:r w:rsidRPr="001860E0">
        <w:rPr>
          <w:rFonts w:ascii="Palatino Linotype" w:eastAsia="Palatino Linotype" w:hAnsi="Palatino Linotype" w:cs="Palatino Linotype"/>
        </w:rPr>
        <w:t xml:space="preserve">. De las constancias que obran en el expediente electrónico del SAIMEX se desprende que el </w:t>
      </w:r>
      <w:r w:rsidRPr="001860E0">
        <w:rPr>
          <w:rFonts w:ascii="Palatino Linotype" w:eastAsia="Palatino Linotype" w:hAnsi="Palatino Linotype" w:cs="Palatino Linotype"/>
          <w:b/>
        </w:rPr>
        <w:t>Sujeto Obligado</w:t>
      </w:r>
      <w:r w:rsidRPr="001860E0">
        <w:rPr>
          <w:rFonts w:ascii="Palatino Linotype" w:eastAsia="Palatino Linotype" w:hAnsi="Palatino Linotype" w:cs="Palatino Linotype"/>
        </w:rPr>
        <w:t xml:space="preserve"> no rindió su Informe Justificado, del mismo modo la parte</w:t>
      </w:r>
      <w:r w:rsidRPr="001860E0">
        <w:rPr>
          <w:rFonts w:ascii="Palatino Linotype" w:eastAsia="Palatino Linotype" w:hAnsi="Palatino Linotype" w:cs="Palatino Linotype"/>
          <w:b/>
        </w:rPr>
        <w:t xml:space="preserve"> Recurrente</w:t>
      </w:r>
      <w:r w:rsidRPr="001860E0">
        <w:rPr>
          <w:rFonts w:ascii="Palatino Linotype" w:eastAsia="Palatino Linotype" w:hAnsi="Palatino Linotype" w:cs="Palatino Linotype"/>
        </w:rPr>
        <w:t xml:space="preserve"> omitió realizar manifestaciones, como se observa a continuación:</w:t>
      </w:r>
    </w:p>
    <w:p w14:paraId="6EFF4CB0"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noProof/>
        </w:rPr>
        <w:drawing>
          <wp:inline distT="0" distB="0" distL="0" distR="0" wp14:anchorId="521F580E" wp14:editId="1781E0AA">
            <wp:extent cx="5612130" cy="1585595"/>
            <wp:effectExtent l="0" t="0" r="0" b="0"/>
            <wp:docPr id="20832964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85595"/>
                    </a:xfrm>
                    <a:prstGeom prst="rect">
                      <a:avLst/>
                    </a:prstGeom>
                    <a:ln/>
                  </pic:spPr>
                </pic:pic>
              </a:graphicData>
            </a:graphic>
          </wp:inline>
        </w:drawing>
      </w:r>
    </w:p>
    <w:p w14:paraId="532DF83E"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7. Cierre de instrucción. </w:t>
      </w:r>
      <w:r w:rsidRPr="001860E0">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860E0">
        <w:rPr>
          <w:rFonts w:ascii="Palatino Linotype" w:eastAsia="Palatino Linotype" w:hAnsi="Palatino Linotype" w:cs="Palatino Linotype"/>
          <w:b/>
        </w:rPr>
        <w:t>siete de abril de dos mil veinticinco</w:t>
      </w:r>
      <w:r w:rsidRPr="001860E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599498D"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8</w:t>
      </w:r>
      <w:r w:rsidRPr="001860E0">
        <w:rPr>
          <w:rFonts w:ascii="Palatino Linotype" w:eastAsia="Palatino Linotype" w:hAnsi="Palatino Linotype" w:cs="Palatino Linotype"/>
        </w:rPr>
        <w:t xml:space="preserve">. </w:t>
      </w:r>
      <w:r w:rsidRPr="001860E0">
        <w:rPr>
          <w:rFonts w:ascii="Palatino Linotype" w:eastAsia="Palatino Linotype" w:hAnsi="Palatino Linotype" w:cs="Palatino Linotype"/>
          <w:b/>
        </w:rPr>
        <w:t>Ampliación del término para resolver</w:t>
      </w:r>
      <w:r w:rsidRPr="001860E0">
        <w:rPr>
          <w:rFonts w:ascii="Palatino Linotype" w:eastAsia="Palatino Linotype" w:hAnsi="Palatino Linotype" w:cs="Palatino Linotype"/>
        </w:rPr>
        <w:t xml:space="preserve">. El </w:t>
      </w:r>
      <w:r w:rsidRPr="001860E0">
        <w:rPr>
          <w:rFonts w:ascii="Palatino Linotype" w:eastAsia="Palatino Linotype" w:hAnsi="Palatino Linotype" w:cs="Palatino Linotype"/>
          <w:b/>
        </w:rPr>
        <w:t>veintisiete de mayo de dos mil veinticinco</w:t>
      </w:r>
      <w:r w:rsidRPr="001860E0">
        <w:rPr>
          <w:rFonts w:ascii="Palatino Linotype" w:eastAsia="Palatino Linotype" w:hAnsi="Palatino Linotype" w:cs="Palatino Linotype"/>
        </w:rPr>
        <w:t xml:space="preserve">, se amplió el término para resolver el recurso de revisión en términos </w:t>
      </w:r>
      <w:r w:rsidRPr="001860E0">
        <w:rPr>
          <w:rFonts w:ascii="Palatino Linotype" w:eastAsia="Palatino Linotype" w:hAnsi="Palatino Linotype" w:cs="Palatino Linotype"/>
        </w:rPr>
        <w:lastRenderedPageBreak/>
        <w:t>del artículo 181 párrafo tercero de la Ley de Transparencia y Acceso a la Información Pública del Estado de México y Municipios.</w:t>
      </w:r>
    </w:p>
    <w:p w14:paraId="04A776B3"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78167A7"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A72351B"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6C1290"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1122A3" w14:textId="77777777" w:rsidR="00EC05B9" w:rsidRPr="001860E0" w:rsidRDefault="00A7541B">
      <w:pPr>
        <w:spacing w:before="240" w:after="240" w:line="360" w:lineRule="auto"/>
        <w:jc w:val="both"/>
        <w:rPr>
          <w:rFonts w:ascii="Palatino Linotype" w:eastAsia="Palatino Linotype" w:hAnsi="Palatino Linotype" w:cs="Palatino Linotype"/>
          <w:strike/>
        </w:rPr>
      </w:pPr>
      <w:r w:rsidRPr="001860E0">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F6A98A9" w14:textId="77777777" w:rsidR="00EC05B9" w:rsidRPr="001860E0" w:rsidRDefault="00A7541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76F763D" w14:textId="77777777" w:rsidR="00EC05B9" w:rsidRPr="001860E0" w:rsidRDefault="00A7541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860E0">
        <w:rPr>
          <w:rFonts w:ascii="Palatino Linotype" w:eastAsia="Palatino Linotype" w:hAnsi="Palatino Linotype" w:cs="Palatino Linotype"/>
        </w:rPr>
        <w:t>Actividad Procesal del interesado. Acciones u omisiones del interesado.</w:t>
      </w:r>
    </w:p>
    <w:p w14:paraId="3A180343" w14:textId="77777777" w:rsidR="00EC05B9" w:rsidRPr="001860E0" w:rsidRDefault="00A7541B">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860E0">
        <w:rPr>
          <w:rFonts w:ascii="Palatino Linotype" w:eastAsia="Palatino Linotype" w:hAnsi="Palatino Linotype" w:cs="Palatino Linotype"/>
        </w:rPr>
        <w:t>Conducta de la Autoridad: Las Acciones u omisiones realizadas en el procedimiento. Así como si la autoridad actuó con la debida diligencia.</w:t>
      </w:r>
    </w:p>
    <w:p w14:paraId="4641F9E8" w14:textId="77777777" w:rsidR="00EC05B9" w:rsidRPr="001860E0" w:rsidRDefault="00A7541B">
      <w:pPr>
        <w:tabs>
          <w:tab w:val="left" w:pos="567"/>
        </w:tabs>
        <w:spacing w:before="240" w:after="240" w:line="360" w:lineRule="auto"/>
        <w:ind w:left="284"/>
        <w:jc w:val="both"/>
        <w:rPr>
          <w:rFonts w:ascii="Palatino Linotype" w:eastAsia="Palatino Linotype" w:hAnsi="Palatino Linotype" w:cs="Palatino Linotype"/>
        </w:rPr>
      </w:pPr>
      <w:r w:rsidRPr="001860E0">
        <w:rPr>
          <w:rFonts w:ascii="Palatino Linotype" w:eastAsia="Palatino Linotype" w:hAnsi="Palatino Linotype" w:cs="Palatino Linotype"/>
        </w:rPr>
        <w:t>d) La afectación generada en la situación jurídica de la persona involucrada en el proceso: Violación a sus derechos humanos.</w:t>
      </w:r>
    </w:p>
    <w:p w14:paraId="6C1D0794"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B8B1DA" w14:textId="77777777" w:rsidR="00EC05B9" w:rsidRPr="001860E0" w:rsidRDefault="00A7541B">
      <w:pPr>
        <w:spacing w:before="240" w:after="240" w:line="360" w:lineRule="auto"/>
        <w:jc w:val="both"/>
        <w:rPr>
          <w:rFonts w:ascii="Palatino Linotype" w:eastAsia="Palatino Linotype" w:hAnsi="Palatino Linotype" w:cs="Palatino Linotype"/>
          <w:b/>
        </w:rPr>
      </w:pPr>
      <w:r w:rsidRPr="001860E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860E0">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1860E0">
        <w:rPr>
          <w:rFonts w:ascii="Palatino Linotype" w:eastAsia="Palatino Linotype" w:hAnsi="Palatino Linotype" w:cs="Palatino Linotype"/>
          <w:i/>
        </w:rPr>
        <w:lastRenderedPageBreak/>
        <w:t>CARACTERÍSTICAS DEL CASO.”</w:t>
      </w:r>
      <w:r w:rsidRPr="001860E0">
        <w:rPr>
          <w:rFonts w:ascii="Palatino Linotype" w:eastAsia="Palatino Linotype" w:hAnsi="Palatino Linotype" w:cs="Palatino Linotype"/>
        </w:rPr>
        <w:t>, visible en la Gaceta del Seminario Judicial de la Federación con el registro digital 205635.</w:t>
      </w:r>
    </w:p>
    <w:p w14:paraId="388BC00D"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5393FA"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60D52E" w14:textId="77777777" w:rsidR="00EC05B9" w:rsidRPr="001860E0" w:rsidRDefault="00A7541B">
      <w:pPr>
        <w:spacing w:before="120" w:after="120"/>
        <w:ind w:left="851" w:right="902"/>
        <w:jc w:val="both"/>
        <w:rPr>
          <w:rFonts w:ascii="Palatino Linotype" w:eastAsia="Palatino Linotype" w:hAnsi="Palatino Linotype" w:cs="Palatino Linotype"/>
          <w:sz w:val="22"/>
          <w:szCs w:val="22"/>
        </w:rPr>
      </w:pPr>
      <w:r w:rsidRPr="001860E0">
        <w:rPr>
          <w:rFonts w:ascii="Palatino Linotype" w:eastAsia="Palatino Linotype" w:hAnsi="Palatino Linotype" w:cs="Palatino Linotype"/>
          <w:sz w:val="22"/>
          <w:szCs w:val="22"/>
        </w:rPr>
        <w:t xml:space="preserve"> </w:t>
      </w: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b/>
          <w:i/>
          <w:sz w:val="22"/>
          <w:szCs w:val="22"/>
        </w:rPr>
        <w:t>PLAZO RAZONABLE PARA RESOLVER. DIMENSIÓN Y EFECTOS DE ESTE CONCEPTO CUANDO SE ADUCE EXCESIVA CARGA DE TRABAJO</w:t>
      </w: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sz w:val="22"/>
          <w:szCs w:val="22"/>
        </w:rPr>
        <w:t xml:space="preserve"> consultable en el Seminario Judicial de la Federación y su gaceta, con el registro digital 2002351.</w:t>
      </w:r>
    </w:p>
    <w:p w14:paraId="1EDF2D1D" w14:textId="77777777" w:rsidR="00EC05B9" w:rsidRPr="001860E0" w:rsidRDefault="00A7541B">
      <w:pPr>
        <w:spacing w:before="120" w:after="120"/>
        <w:ind w:left="851" w:right="902"/>
        <w:jc w:val="both"/>
        <w:rPr>
          <w:rFonts w:ascii="Palatino Linotype" w:eastAsia="Palatino Linotype" w:hAnsi="Palatino Linotype" w:cs="Palatino Linotype"/>
          <w:sz w:val="22"/>
          <w:szCs w:val="22"/>
        </w:rPr>
      </w:pP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sz w:val="22"/>
          <w:szCs w:val="22"/>
        </w:rPr>
        <w:t>, visible en el Seminario Judicial de la Federación y su gaceta, con el registro digital 2002350.</w:t>
      </w:r>
    </w:p>
    <w:p w14:paraId="72D27E7C"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04B49CB"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35AB635" w14:textId="77777777" w:rsidR="00EC05B9" w:rsidRPr="001860E0" w:rsidRDefault="00A7541B">
      <w:pPr>
        <w:widowControl w:val="0"/>
        <w:spacing w:before="240" w:after="240" w:line="360" w:lineRule="auto"/>
        <w:jc w:val="center"/>
        <w:rPr>
          <w:rFonts w:ascii="Palatino Linotype" w:eastAsia="Palatino Linotype" w:hAnsi="Palatino Linotype" w:cs="Palatino Linotype"/>
          <w:b/>
        </w:rPr>
      </w:pPr>
      <w:r w:rsidRPr="001860E0">
        <w:rPr>
          <w:rFonts w:ascii="Palatino Linotype" w:eastAsia="Palatino Linotype" w:hAnsi="Palatino Linotype" w:cs="Palatino Linotype"/>
          <w:b/>
        </w:rPr>
        <w:t>II. C O N S I D E R A N D O S</w:t>
      </w:r>
    </w:p>
    <w:p w14:paraId="3A0CD157"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Primero. Competencia.</w:t>
      </w:r>
      <w:r w:rsidRPr="001860E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8C7D864"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860E0">
        <w:rPr>
          <w:rFonts w:ascii="Palatino Linotype" w:eastAsia="Palatino Linotype" w:hAnsi="Palatino Linotype" w:cs="Palatino Linotype"/>
          <w:b/>
        </w:rPr>
        <w:t>Segundo. Oportunidad y Procedibilidad del Recurso de Revisión</w:t>
      </w:r>
      <w:r w:rsidRPr="001860E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5C52961"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 xml:space="preserve">remitió la respuesta a la solicitud de información el día </w:t>
      </w:r>
      <w:r w:rsidRPr="001860E0">
        <w:rPr>
          <w:rFonts w:ascii="Palatino Linotype" w:eastAsia="Palatino Linotype" w:hAnsi="Palatino Linotype" w:cs="Palatino Linotype"/>
          <w:b/>
        </w:rPr>
        <w:t xml:space="preserve">trece de marzo de dos mil veinticinco, </w:t>
      </w:r>
      <w:r w:rsidRPr="001860E0">
        <w:rPr>
          <w:rFonts w:ascii="Palatino Linotype" w:eastAsia="Palatino Linotype" w:hAnsi="Palatino Linotype" w:cs="Palatino Linotype"/>
        </w:rPr>
        <w:t xml:space="preserve">mientras que el recurso de revisión interpuesto por la parte </w:t>
      </w:r>
      <w:r w:rsidRPr="001860E0">
        <w:rPr>
          <w:rFonts w:ascii="Palatino Linotype" w:eastAsia="Palatino Linotype" w:hAnsi="Palatino Linotype" w:cs="Palatino Linotype"/>
          <w:b/>
        </w:rPr>
        <w:t xml:space="preserve">Recurrente, </w:t>
      </w:r>
      <w:r w:rsidRPr="001860E0">
        <w:rPr>
          <w:rFonts w:ascii="Palatino Linotype" w:eastAsia="Palatino Linotype" w:hAnsi="Palatino Linotype" w:cs="Palatino Linotype"/>
        </w:rPr>
        <w:t>se tuvo por presentado el día</w:t>
      </w:r>
      <w:r w:rsidRPr="001860E0">
        <w:rPr>
          <w:rFonts w:ascii="Palatino Linotype" w:eastAsia="Palatino Linotype" w:hAnsi="Palatino Linotype" w:cs="Palatino Linotype"/>
          <w:b/>
        </w:rPr>
        <w:t xml:space="preserve"> dieciocho de marzo de dos mil veinticinco, </w:t>
      </w:r>
      <w:r w:rsidRPr="001860E0">
        <w:rPr>
          <w:rFonts w:ascii="Palatino Linotype" w:eastAsia="Palatino Linotype" w:hAnsi="Palatino Linotype" w:cs="Palatino Linotype"/>
        </w:rPr>
        <w:t>esto es, al segundo día hábil posterior a aquel en el que tuvo conocimiento de la respuesta impugnada. En este sentido, se concluye que el presente recurso de revisión se encuentra dentro de los márgenes temporales previstos en las disposiciones legales referidas.</w:t>
      </w:r>
    </w:p>
    <w:p w14:paraId="37D138CB"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Además, por cuanto hace a la procedibilidad del recurso de revisión, es de suma importancia señalar que la parte</w:t>
      </w:r>
      <w:r w:rsidRPr="001860E0">
        <w:rPr>
          <w:rFonts w:ascii="Palatino Linotype" w:eastAsia="Palatino Linotype" w:hAnsi="Palatino Linotype" w:cs="Palatino Linotype"/>
          <w:b/>
        </w:rPr>
        <w:t xml:space="preserve"> Recurrente</w:t>
      </w:r>
      <w:r w:rsidRPr="001860E0">
        <w:rPr>
          <w:rFonts w:ascii="Palatino Linotype" w:eastAsia="Palatino Linotype" w:hAnsi="Palatino Linotype" w:cs="Palatino Linotype"/>
        </w:rPr>
        <w:t xml:space="preserve">, no señaló un </w:t>
      </w:r>
      <w:r w:rsidRPr="001860E0">
        <w:rPr>
          <w:rFonts w:ascii="Palatino Linotype" w:eastAsia="Palatino Linotype" w:hAnsi="Palatino Linotype" w:cs="Palatino Linotype"/>
          <w:b/>
        </w:rPr>
        <w:t>nombre o seudónimo</w:t>
      </w:r>
      <w:r w:rsidRPr="001860E0">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7C9351"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b/>
          <w:i/>
          <w:sz w:val="22"/>
          <w:szCs w:val="22"/>
        </w:rPr>
        <w:t>Las solicitudes anónimas</w:t>
      </w:r>
      <w:r w:rsidRPr="001860E0">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62C86E1" w14:textId="77777777" w:rsidR="00EC05B9" w:rsidRPr="001860E0" w:rsidRDefault="00A7541B">
      <w:pPr>
        <w:spacing w:before="240" w:after="240" w:line="360" w:lineRule="auto"/>
        <w:jc w:val="both"/>
        <w:rPr>
          <w:rFonts w:ascii="Palatino Linotype" w:eastAsia="Palatino Linotype" w:hAnsi="Palatino Linotype" w:cs="Palatino Linotype"/>
          <w:b/>
        </w:rPr>
      </w:pPr>
      <w:r w:rsidRPr="001860E0">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w:t>
      </w:r>
      <w:r w:rsidRPr="001860E0">
        <w:rPr>
          <w:rFonts w:ascii="Palatino Linotype" w:eastAsia="Palatino Linotype" w:hAnsi="Palatino Linotype" w:cs="Palatino Linotype"/>
        </w:rPr>
        <w:lastRenderedPageBreak/>
        <w:t>Información Pública del Estado de México y Municipios en vigor, en atención a que fue presentado mediante el formato visible en el</w:t>
      </w:r>
      <w:r w:rsidRPr="001860E0">
        <w:rPr>
          <w:rFonts w:ascii="Palatino Linotype" w:eastAsia="Palatino Linotype" w:hAnsi="Palatino Linotype" w:cs="Palatino Linotype"/>
          <w:b/>
        </w:rPr>
        <w:t xml:space="preserve"> SAIMEX.</w:t>
      </w:r>
    </w:p>
    <w:p w14:paraId="253F5AB4"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7" w:name="_heading=h.3znysh7" w:colFirst="0" w:colLast="0"/>
      <w:bookmarkEnd w:id="7"/>
      <w:r w:rsidRPr="001860E0">
        <w:rPr>
          <w:rFonts w:ascii="Palatino Linotype" w:eastAsia="Palatino Linotype" w:hAnsi="Palatino Linotype" w:cs="Palatino Linotype"/>
        </w:rPr>
        <w:t xml:space="preserve">Finalmente, se advierte que resulta procedente la interposición del recurso, según lo manifestado por 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xml:space="preserve"> en sus motivos de inconformidad, de acuerdo al artículo 179, fracción I del ordenamiento legal citado, que a la letra dice: </w:t>
      </w:r>
    </w:p>
    <w:p w14:paraId="0A8773B3" w14:textId="77777777" w:rsidR="00EC05B9" w:rsidRPr="001860E0" w:rsidRDefault="00A7541B">
      <w:pPr>
        <w:tabs>
          <w:tab w:val="left" w:pos="7938"/>
        </w:tabs>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b/>
          <w:i/>
          <w:sz w:val="22"/>
          <w:szCs w:val="22"/>
        </w:rPr>
        <w:t>Artículo 179.</w:t>
      </w:r>
      <w:r w:rsidRPr="001860E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96E585F" w14:textId="77777777" w:rsidR="00EC05B9" w:rsidRPr="001860E0" w:rsidRDefault="00A7541B">
      <w:pPr>
        <w:tabs>
          <w:tab w:val="left" w:pos="7938"/>
        </w:tabs>
        <w:spacing w:before="120" w:after="120"/>
        <w:ind w:left="1134" w:right="900"/>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I</w:t>
      </w:r>
      <w:r w:rsidRPr="001860E0">
        <w:rPr>
          <w:rFonts w:ascii="Palatino Linotype" w:eastAsia="Palatino Linotype" w:hAnsi="Palatino Linotype" w:cs="Palatino Linotype"/>
          <w:i/>
          <w:sz w:val="22"/>
          <w:szCs w:val="22"/>
        </w:rPr>
        <w:t>. La negativa a la información solicitada;”</w:t>
      </w:r>
    </w:p>
    <w:p w14:paraId="6940ECC8" w14:textId="77777777" w:rsidR="00EC05B9" w:rsidRPr="001860E0" w:rsidRDefault="00A7541B">
      <w:pPr>
        <w:spacing w:before="240" w:after="240" w:line="360" w:lineRule="auto"/>
        <w:jc w:val="both"/>
        <w:rPr>
          <w:rFonts w:ascii="Palatino Linotype" w:eastAsia="Palatino Linotype" w:hAnsi="Palatino Linotype" w:cs="Palatino Linotype"/>
          <w:b/>
        </w:rPr>
      </w:pPr>
      <w:r w:rsidRPr="001860E0">
        <w:rPr>
          <w:rFonts w:ascii="Palatino Linotype" w:eastAsia="Palatino Linotype" w:hAnsi="Palatino Linotype" w:cs="Palatino Linotype"/>
          <w:b/>
        </w:rPr>
        <w:t xml:space="preserve">Tercero. Materia de la revisión. </w:t>
      </w:r>
      <w:r w:rsidRPr="001860E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860E0">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860E0">
        <w:rPr>
          <w:rFonts w:ascii="Palatino Linotype" w:eastAsia="Palatino Linotype" w:hAnsi="Palatino Linotype" w:cs="Palatino Linotype"/>
        </w:rPr>
        <w:t xml:space="preserve">de 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o en su defecto, en caso de ser procedente, ordenar la entrega de información.</w:t>
      </w:r>
    </w:p>
    <w:p w14:paraId="7AC89E4D"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1860E0">
        <w:rPr>
          <w:rFonts w:ascii="Palatino Linotype" w:eastAsia="Palatino Linotype" w:hAnsi="Palatino Linotype" w:cs="Palatino Linotype"/>
          <w:b/>
        </w:rPr>
        <w:t xml:space="preserve">Cuarto. Estudio del asunto. </w:t>
      </w:r>
      <w:r w:rsidRPr="001860E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D6DF484"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lastRenderedPageBreak/>
        <w:t>“</w:t>
      </w:r>
      <w:r w:rsidRPr="001860E0">
        <w:rPr>
          <w:rFonts w:ascii="Palatino Linotype" w:eastAsia="Palatino Linotype" w:hAnsi="Palatino Linotype" w:cs="Palatino Linotype"/>
          <w:b/>
          <w:i/>
          <w:sz w:val="22"/>
          <w:szCs w:val="22"/>
        </w:rPr>
        <w:t>Artículo 4</w:t>
      </w:r>
      <w:r w:rsidRPr="001860E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4A7897"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860E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0136D0"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860E0">
        <w:rPr>
          <w:rFonts w:ascii="Palatino Linotype" w:eastAsia="Palatino Linotype" w:hAnsi="Palatino Linotype" w:cs="Palatino Linotype"/>
          <w:i/>
          <w:sz w:val="22"/>
          <w:szCs w:val="22"/>
        </w:rPr>
        <w:t>.”</w:t>
      </w:r>
    </w:p>
    <w:p w14:paraId="6BA08A13"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DDE3CE"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“Artículo 12.-</w:t>
      </w:r>
      <w:r w:rsidRPr="001860E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37914B3"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860E0">
        <w:rPr>
          <w:rFonts w:ascii="Palatino Linotype" w:eastAsia="Palatino Linotype" w:hAnsi="Palatino Linotype" w:cs="Palatino Linotype"/>
          <w:i/>
          <w:sz w:val="22"/>
          <w:szCs w:val="22"/>
        </w:rPr>
        <w:t xml:space="preserve">. </w:t>
      </w:r>
      <w:r w:rsidRPr="001860E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w:t>
      </w:r>
      <w:r w:rsidRPr="001860E0">
        <w:rPr>
          <w:rFonts w:ascii="Palatino Linotype" w:eastAsia="Palatino Linotype" w:hAnsi="Palatino Linotype" w:cs="Palatino Linotype"/>
          <w:b/>
          <w:i/>
          <w:sz w:val="22"/>
          <w:szCs w:val="22"/>
        </w:rPr>
        <w:lastRenderedPageBreak/>
        <w:t>solicitante; no estarán obligados a generarla, resumirla, efectuar cálculos o practicar investigaciones.”</w:t>
      </w:r>
    </w:p>
    <w:p w14:paraId="171C0014" w14:textId="77777777" w:rsidR="00EC05B9" w:rsidRPr="001860E0" w:rsidRDefault="00A7541B">
      <w:pPr>
        <w:spacing w:before="240" w:after="240" w:line="360" w:lineRule="auto"/>
        <w:ind w:right="-93"/>
        <w:jc w:val="both"/>
        <w:rPr>
          <w:rFonts w:ascii="Palatino Linotype" w:eastAsia="Palatino Linotype" w:hAnsi="Palatino Linotype" w:cs="Palatino Linotype"/>
        </w:rPr>
      </w:pPr>
      <w:r w:rsidRPr="001860E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83BCC12" w14:textId="77777777" w:rsidR="00EC05B9" w:rsidRPr="001860E0" w:rsidRDefault="00A7541B">
      <w:pPr>
        <w:spacing w:before="240" w:after="240" w:line="360" w:lineRule="auto"/>
        <w:jc w:val="both"/>
        <w:rPr>
          <w:rFonts w:ascii="Palatino Linotype" w:eastAsia="Palatino Linotype" w:hAnsi="Palatino Linotype" w:cs="Palatino Linotype"/>
          <w:b/>
        </w:rPr>
      </w:pPr>
      <w:r w:rsidRPr="001860E0">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1860E0">
        <w:rPr>
          <w:rFonts w:ascii="Palatino Linotype" w:eastAsia="Palatino Linotype" w:hAnsi="Palatino Linotype" w:cs="Palatino Linotype"/>
          <w:b/>
        </w:rPr>
        <w:t xml:space="preserve"> </w:t>
      </w:r>
    </w:p>
    <w:p w14:paraId="191088FC"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 xml:space="preserve"> “</w:t>
      </w:r>
      <w:r w:rsidRPr="001860E0">
        <w:rPr>
          <w:rFonts w:ascii="Palatino Linotype" w:eastAsia="Palatino Linotype" w:hAnsi="Palatino Linotype" w:cs="Palatino Linotype"/>
          <w:b/>
          <w:i/>
          <w:sz w:val="22"/>
          <w:szCs w:val="22"/>
        </w:rPr>
        <w:t>No existe obligación de elaborar documentos ad hoc para atender las solicitudes de acceso a la información.</w:t>
      </w:r>
      <w:r w:rsidRPr="001860E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A63F919" w14:textId="77777777" w:rsidR="00EC05B9" w:rsidRPr="001860E0" w:rsidRDefault="00A7541B">
      <w:pPr>
        <w:spacing w:before="120" w:after="12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w:t>
      </w:r>
      <w:r w:rsidRPr="001860E0">
        <w:rPr>
          <w:rFonts w:ascii="Palatino Linotype" w:eastAsia="Palatino Linotype" w:hAnsi="Palatino Linotype" w:cs="Palatino Linotype"/>
        </w:rPr>
        <w:lastRenderedPageBreak/>
        <w:t>información pública se encuentra a disposición de cualquier persona, lo que implica que es deber de los Sujetos Obligados, garantizar el Derecho de Acceso a la Información Pública.</w:t>
      </w:r>
    </w:p>
    <w:p w14:paraId="58580DD8" w14:textId="77777777" w:rsidR="00EC05B9" w:rsidRPr="001860E0" w:rsidRDefault="00A7541B">
      <w:pPr>
        <w:spacing w:before="120" w:after="12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5180889"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r w:rsidRPr="001860E0">
        <w:rPr>
          <w:rFonts w:ascii="Palatino Linotype" w:eastAsia="Palatino Linotype" w:hAnsi="Palatino Linotype" w:cs="Palatino Linotype"/>
          <w:b/>
          <w:i/>
          <w:sz w:val="22"/>
          <w:szCs w:val="22"/>
        </w:rPr>
        <w:t xml:space="preserve">Artículo 3. </w:t>
      </w:r>
      <w:r w:rsidRPr="001860E0">
        <w:rPr>
          <w:rFonts w:ascii="Palatino Linotype" w:eastAsia="Palatino Linotype" w:hAnsi="Palatino Linotype" w:cs="Palatino Linotype"/>
          <w:i/>
          <w:sz w:val="22"/>
          <w:szCs w:val="22"/>
        </w:rPr>
        <w:t>Para los efectos de la presente Ley se entenderá por:</w:t>
      </w:r>
    </w:p>
    <w:p w14:paraId="460C4D48"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p>
    <w:p w14:paraId="60FD9101"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XI. Documento:</w:t>
      </w:r>
      <w:r w:rsidRPr="001860E0">
        <w:rPr>
          <w:rFonts w:ascii="Palatino Linotype" w:eastAsia="Palatino Linotype" w:hAnsi="Palatino Linotype" w:cs="Palatino Linotype"/>
          <w:i/>
          <w:sz w:val="22"/>
          <w:szCs w:val="22"/>
        </w:rPr>
        <w:t xml:space="preserve"> Los expedientes, reportes, estudios, actas</w:t>
      </w:r>
      <w:r w:rsidRPr="001860E0">
        <w:rPr>
          <w:rFonts w:ascii="Palatino Linotype" w:eastAsia="Palatino Linotype" w:hAnsi="Palatino Linotype" w:cs="Palatino Linotype"/>
          <w:b/>
          <w:i/>
          <w:sz w:val="22"/>
          <w:szCs w:val="22"/>
        </w:rPr>
        <w:t>,</w:t>
      </w:r>
      <w:r w:rsidRPr="001860E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B0C8FF"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1BE595"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sz w:val="22"/>
          <w:szCs w:val="22"/>
        </w:rPr>
        <w:lastRenderedPageBreak/>
        <w:t>“</w:t>
      </w:r>
      <w:r w:rsidRPr="001860E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860E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436437"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6858CA"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2309D0"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D3C2E86"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8D1D334" w14:textId="77777777" w:rsidR="00EC05B9" w:rsidRPr="001860E0" w:rsidRDefault="00A7541B">
      <w:pPr>
        <w:spacing w:before="240" w:after="240" w:line="360" w:lineRule="auto"/>
        <w:ind w:right="51"/>
        <w:jc w:val="both"/>
        <w:rPr>
          <w:rFonts w:ascii="Palatino Linotype" w:eastAsia="Palatino Linotype" w:hAnsi="Palatino Linotype" w:cs="Palatino Linotype"/>
        </w:rPr>
      </w:pPr>
      <w:r w:rsidRPr="001860E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A02391"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w:t>
      </w:r>
      <w:r w:rsidRPr="001860E0">
        <w:rPr>
          <w:rFonts w:ascii="Palatino Linotype" w:eastAsia="Palatino Linotype" w:hAnsi="Palatino Linotype" w:cs="Palatino Linotype"/>
        </w:rPr>
        <w:lastRenderedPageBreak/>
        <w:t>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E815BED" w14:textId="77777777" w:rsidR="00EC05B9" w:rsidRPr="001860E0" w:rsidRDefault="00A7541B">
      <w:pPr>
        <w:spacing w:before="240" w:after="240" w:line="360" w:lineRule="auto"/>
        <w:ind w:right="51"/>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xml:space="preserve"> requirió al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le proporcione, información consistente en lo siguiente:</w:t>
      </w:r>
    </w:p>
    <w:p w14:paraId="03B05C75" w14:textId="77777777" w:rsidR="00EC05B9" w:rsidRPr="001860E0" w:rsidRDefault="00A7541B">
      <w:pPr>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rPr>
        <w:t>1. Número de feminicidios en el municipio del uno de enero al doce de marzo de dos mil veinticinco.</w:t>
      </w:r>
    </w:p>
    <w:p w14:paraId="1FD7A150" w14:textId="77777777" w:rsidR="00EC05B9" w:rsidRPr="001860E0" w:rsidRDefault="00A7541B">
      <w:pPr>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respuesta,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por conducto del Director de Seguridad Pública y Vialidad Municipal refirió que no se contaba con algún registro respecto al delito de feminicidio en el periodo que comprende del uno de enero al trece de marzo de dos mil veinticinco, de conformidad con lo manifestado por el Coordinador de Centro de Comando y Comunicaciones C-4 Huehuetoca.</w:t>
      </w:r>
    </w:p>
    <w:p w14:paraId="2E54455E" w14:textId="77777777" w:rsidR="00EC05B9" w:rsidRPr="001860E0" w:rsidRDefault="00A7541B">
      <w:pPr>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Al no estar conforme con los términos de la respuesta proporcionada por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la persona solicitante interpuso el recurso de revisión que se resuelve, mediante el cual alegó que no se dio información.</w:t>
      </w:r>
    </w:p>
    <w:p w14:paraId="71F5EFAD" w14:textId="77777777" w:rsidR="00EC05B9" w:rsidRPr="001860E0" w:rsidRDefault="00A7541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 xml:space="preserve">Durante el periodo de manifestaciones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 xml:space="preserve">fue omiso en rendir su informe justificado, y la parte </w:t>
      </w:r>
      <w:r w:rsidRPr="001860E0">
        <w:rPr>
          <w:rFonts w:ascii="Palatino Linotype" w:eastAsia="Palatino Linotype" w:hAnsi="Palatino Linotype" w:cs="Palatino Linotype"/>
          <w:b/>
        </w:rPr>
        <w:t xml:space="preserve">Recurrente </w:t>
      </w:r>
      <w:r w:rsidRPr="001860E0">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2F8B976" w14:textId="77777777" w:rsidR="00EC05B9" w:rsidRPr="001860E0" w:rsidRDefault="00A7541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 xml:space="preserve">en contraposición con el motivo de inconformidad alegado por la parte </w:t>
      </w:r>
      <w:r w:rsidRPr="001860E0">
        <w:rPr>
          <w:rFonts w:ascii="Palatino Linotype" w:eastAsia="Palatino Linotype" w:hAnsi="Palatino Linotype" w:cs="Palatino Linotype"/>
          <w:b/>
        </w:rPr>
        <w:t xml:space="preserve">Recurrente, </w:t>
      </w:r>
      <w:r w:rsidRPr="001860E0">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AEF8FDA" w14:textId="77777777" w:rsidR="00EC05B9" w:rsidRPr="001860E0" w:rsidRDefault="00A7541B">
      <w:pPr>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36E6993"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6DD512E7" w14:textId="77777777" w:rsidR="00EC05B9" w:rsidRPr="001860E0" w:rsidRDefault="00A7541B">
      <w:pPr>
        <w:spacing w:before="240" w:after="240" w:line="360" w:lineRule="auto"/>
        <w:ind w:right="51"/>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22431457"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02702128"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Dirección de Seguridad Pública </w:t>
      </w:r>
      <w:r w:rsidRPr="001860E0">
        <w:rPr>
          <w:rFonts w:ascii="Palatino Linotype" w:eastAsia="Palatino Linotype" w:hAnsi="Palatino Linotype" w:cs="Palatino Linotype"/>
        </w:rPr>
        <w:lastRenderedPageBreak/>
        <w:t>y Vialidad Municipal, como el área competente para conocer de la información que es del interés de la persona solicitante.</w:t>
      </w:r>
    </w:p>
    <w:p w14:paraId="22B49CF4"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Al respecto, es oportuno referir que de conformidad con el artículo 275 del Bando Municipal de Huehuetoca, la Seguridad Pública Municipal comprende los órganos, recursos humanos y administrativos del Municipio, que tienen funciones policiales y de auxilio a la población, organizados para la vigilancia</w:t>
      </w:r>
      <w:r w:rsidRPr="001860E0">
        <w:rPr>
          <w:rFonts w:ascii="Palatino Linotype" w:eastAsia="Palatino Linotype" w:hAnsi="Palatino Linotype" w:cs="Palatino Linotype"/>
          <w:b/>
        </w:rPr>
        <w:t xml:space="preserve">, </w:t>
      </w:r>
      <w:r w:rsidRPr="001860E0">
        <w:rPr>
          <w:rFonts w:ascii="Palatino Linotype" w:eastAsia="Palatino Linotype" w:hAnsi="Palatino Linotype" w:cs="Palatino Linotype"/>
          <w:b/>
          <w:u w:val="single"/>
        </w:rPr>
        <w:t>prevención de delitos,</w:t>
      </w:r>
      <w:r w:rsidRPr="001860E0">
        <w:rPr>
          <w:rFonts w:ascii="Palatino Linotype" w:eastAsia="Palatino Linotype" w:hAnsi="Palatino Linotype" w:cs="Palatino Linotype"/>
        </w:rPr>
        <w:t xml:space="preserve"> sanción de infracciones y protección de la paz y tranquilidad pública en el territorio municipal.</w:t>
      </w:r>
    </w:p>
    <w:p w14:paraId="05F5F092"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En tal sentido, el servicio de seguridad pública tiene como objetivo mantener la tranquilidad, el orden público y procurar las condiciones necesarias para salvaguardar la integridad física, y moral, así como los bienes y derechos de los habitantes del Municipio. Asimismo, el Municipio de Huehuetoca podrá, a través del sistema de video vigilancia, que opera en el Centro de Mando y Comunicación, incorporar circuitos cerrados, otros sistemas privados de video vigilancia y protocolos necesarios para su implementación, según dispone el artículo 276 del Bando Municipal.</w:t>
      </w:r>
    </w:p>
    <w:p w14:paraId="471AD6CC"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Y, por lo que se refiere a la materia de seguridad pública el artículo 279 del Bando Municipal, dispone que el Presidente Municipal, a través de la Dirección de Seguridad Pública y Vialidad Municipal, ejercerá, entre otras, las atribuciones siguientes: </w:t>
      </w:r>
    </w:p>
    <w:p w14:paraId="6BAF2E11"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I.</w:t>
      </w:r>
      <w:r w:rsidRPr="001860E0">
        <w:rPr>
          <w:rFonts w:ascii="Palatino Linotype" w:eastAsia="Palatino Linotype" w:hAnsi="Palatino Linotype" w:cs="Palatino Linotype"/>
        </w:rPr>
        <w:t xml:space="preserve"> </w:t>
      </w:r>
      <w:r w:rsidRPr="001860E0">
        <w:rPr>
          <w:rFonts w:ascii="Palatino Linotype" w:eastAsia="Palatino Linotype" w:hAnsi="Palatino Linotype" w:cs="Palatino Linotype"/>
          <w:b/>
        </w:rPr>
        <w:t>Prevenir la comisión de delitos</w:t>
      </w:r>
      <w:r w:rsidRPr="001860E0">
        <w:rPr>
          <w:rFonts w:ascii="Palatino Linotype" w:eastAsia="Palatino Linotype" w:hAnsi="Palatino Linotype" w:cs="Palatino Linotype"/>
        </w:rPr>
        <w:t xml:space="preserve"> y proteger a las personas, a sus propiedades, posesiones y derechos, en el marco de la coordinación y atribuciones que corresponda al Municipio; </w:t>
      </w:r>
    </w:p>
    <w:p w14:paraId="3A8739D6"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lastRenderedPageBreak/>
        <w:t>II.</w:t>
      </w:r>
      <w:r w:rsidRPr="001860E0">
        <w:rPr>
          <w:rFonts w:ascii="Palatino Linotype" w:eastAsia="Palatino Linotype" w:hAnsi="Palatino Linotype" w:cs="Palatino Linotype"/>
        </w:rPr>
        <w:t xml:space="preserve"> </w:t>
      </w:r>
      <w:r w:rsidRPr="001860E0">
        <w:rPr>
          <w:rFonts w:ascii="Palatino Linotype" w:eastAsia="Palatino Linotype" w:hAnsi="Palatino Linotype" w:cs="Palatino Linotype"/>
          <w:b/>
        </w:rPr>
        <w:t>Detener a los presuntos delincuentes</w:t>
      </w:r>
      <w:r w:rsidRPr="001860E0">
        <w:rPr>
          <w:rFonts w:ascii="Palatino Linotype" w:eastAsia="Palatino Linotype" w:hAnsi="Palatino Linotype" w:cs="Palatino Linotype"/>
        </w:rPr>
        <w:t xml:space="preserve"> en los casos de delito flagrante, poniéndolos sin demora a disposición del Ministerio Público, y en caso de falta administrativa al Juzgado Cívico; </w:t>
      </w:r>
    </w:p>
    <w:p w14:paraId="70C2A3BA"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III.</w:t>
      </w:r>
      <w:r w:rsidRPr="001860E0">
        <w:rPr>
          <w:rFonts w:ascii="Palatino Linotype" w:eastAsia="Palatino Linotype" w:hAnsi="Palatino Linotype" w:cs="Palatino Linotype"/>
        </w:rPr>
        <w:t xml:space="preserve"> Auxiliar al Ministerio Público, a las autoridades judiciales y a las administrativas cuando sea requerido para ello; </w:t>
      </w:r>
    </w:p>
    <w:p w14:paraId="7610005E"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IV. </w:t>
      </w:r>
      <w:r w:rsidRPr="001860E0">
        <w:rPr>
          <w:rFonts w:ascii="Palatino Linotype" w:eastAsia="Palatino Linotype" w:hAnsi="Palatino Linotype" w:cs="Palatino Linotype"/>
        </w:rPr>
        <w:t xml:space="preserve">Registrar, supervisar y corregir en su caso, dar seguimiento a las actividades que realicen en territorio municipal las corporaciones privadas de seguridad; </w:t>
      </w:r>
    </w:p>
    <w:p w14:paraId="5EEB0245"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V</w:t>
      </w:r>
      <w:r w:rsidRPr="001860E0">
        <w:rPr>
          <w:rFonts w:ascii="Palatino Linotype" w:eastAsia="Palatino Linotype" w:hAnsi="Palatino Linotype" w:cs="Palatino Linotype"/>
        </w:rPr>
        <w:t xml:space="preserve">. Integrar y coordinar el Consejo Municipal de Seguridad Pública; </w:t>
      </w:r>
    </w:p>
    <w:p w14:paraId="78C2EF19"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VI.</w:t>
      </w:r>
      <w:r w:rsidRPr="001860E0">
        <w:rPr>
          <w:rFonts w:ascii="Palatino Linotype" w:eastAsia="Palatino Linotype" w:hAnsi="Palatino Linotype" w:cs="Palatino Linotype"/>
        </w:rPr>
        <w:t xml:space="preserve"> Gestionar, instruir y vigilar el cumplimiento a convenios, acuerdos y subsidios que, en materia de seguridad pública, vialidad y protección civil sean necesarios; </w:t>
      </w:r>
    </w:p>
    <w:p w14:paraId="695B90B5"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VII.</w:t>
      </w:r>
      <w:r w:rsidRPr="001860E0">
        <w:rPr>
          <w:rFonts w:ascii="Palatino Linotype" w:eastAsia="Palatino Linotype" w:hAnsi="Palatino Linotype" w:cs="Palatino Linotype"/>
        </w:rPr>
        <w:t xml:space="preserve"> Participar en la coordinación entre la Federación, el Estado y los Municipios, en los operativos y demás acciones que se acuerden en el marco del Consejo Intermunicipal de Seguridad Pública; </w:t>
      </w:r>
    </w:p>
    <w:p w14:paraId="78CB6F0E"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VIII.</w:t>
      </w:r>
      <w:r w:rsidRPr="001860E0">
        <w:rPr>
          <w:rFonts w:ascii="Palatino Linotype" w:eastAsia="Palatino Linotype" w:hAnsi="Palatino Linotype" w:cs="Palatino Linotype"/>
        </w:rPr>
        <w:t xml:space="preserve"> Promover la aplicación y el uso de tecnología, métodos y técnicas de investigación para fortalecer la protección y seguridad de los habitantes, generando un sistema de planeación y control policial que permita sistematizar la información que garantice la toma de decisiones y combatir la delincuencia; </w:t>
      </w:r>
    </w:p>
    <w:p w14:paraId="2F705D3B"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t>IX.</w:t>
      </w:r>
      <w:r w:rsidRPr="001860E0">
        <w:rPr>
          <w:rFonts w:ascii="Palatino Linotype" w:eastAsia="Palatino Linotype" w:hAnsi="Palatino Linotype" w:cs="Palatino Linotype"/>
        </w:rPr>
        <w:t xml:space="preserve"> Fomentar la participación ciudadana con el objeto de buscar y crear estrategias, que tengan la finalidad de proteger a sus habitantes en materia de seguridad pública, que tiendan a garantizar el respeto a sus derechos; y </w:t>
      </w:r>
    </w:p>
    <w:p w14:paraId="04B55EB4" w14:textId="77777777" w:rsidR="00EC05B9" w:rsidRPr="001860E0" w:rsidRDefault="00A7541B">
      <w:pPr>
        <w:tabs>
          <w:tab w:val="left" w:pos="3544"/>
        </w:tabs>
        <w:spacing w:before="240" w:after="240" w:line="360" w:lineRule="auto"/>
        <w:ind w:left="284" w:right="49"/>
        <w:jc w:val="both"/>
        <w:rPr>
          <w:rFonts w:ascii="Palatino Linotype" w:eastAsia="Palatino Linotype" w:hAnsi="Palatino Linotype" w:cs="Palatino Linotype"/>
        </w:rPr>
      </w:pPr>
      <w:r w:rsidRPr="001860E0">
        <w:rPr>
          <w:rFonts w:ascii="Palatino Linotype" w:eastAsia="Palatino Linotype" w:hAnsi="Palatino Linotype" w:cs="Palatino Linotype"/>
          <w:b/>
        </w:rPr>
        <w:lastRenderedPageBreak/>
        <w:t>X.</w:t>
      </w:r>
      <w:r w:rsidRPr="001860E0">
        <w:rPr>
          <w:rFonts w:ascii="Palatino Linotype" w:eastAsia="Palatino Linotype" w:hAnsi="Palatino Linotype" w:cs="Palatino Linotype"/>
        </w:rPr>
        <w:t xml:space="preserve"> Las demás que le</w:t>
      </w:r>
      <w:r w:rsidRPr="001860E0">
        <w:t xml:space="preserve"> confieren las leyes.</w:t>
      </w:r>
    </w:p>
    <w:p w14:paraId="3CFED0B2"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Asimismo, no obsta mencionar que de conformidad con el artículo 22, fracción V de la Ley de Seguridad del Estado de México, la Dirección de Seguridad Pública Municipal, se encuentra obligada a contar con información estadística delictiva, como se lee en seguida:</w:t>
      </w:r>
    </w:p>
    <w:p w14:paraId="16990413" w14:textId="77777777" w:rsidR="00EC05B9" w:rsidRPr="001860E0" w:rsidRDefault="00A7541B">
      <w:pPr>
        <w:tabs>
          <w:tab w:val="left" w:pos="3544"/>
        </w:tabs>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“Artículo 22.</w:t>
      </w:r>
      <w:r w:rsidRPr="001860E0">
        <w:rPr>
          <w:rFonts w:ascii="Palatino Linotype" w:eastAsia="Palatino Linotype" w:hAnsi="Palatino Linotype" w:cs="Palatino Linotype"/>
          <w:i/>
          <w:sz w:val="22"/>
          <w:szCs w:val="22"/>
        </w:rPr>
        <w:t xml:space="preserve">- Son atribuciones del </w:t>
      </w:r>
      <w:r w:rsidRPr="001860E0">
        <w:rPr>
          <w:rFonts w:ascii="Palatino Linotype" w:eastAsia="Palatino Linotype" w:hAnsi="Palatino Linotype" w:cs="Palatino Linotype"/>
          <w:b/>
          <w:i/>
          <w:sz w:val="22"/>
          <w:szCs w:val="22"/>
        </w:rPr>
        <w:t>Director de Seguridad Pública Municipal</w:t>
      </w:r>
      <w:r w:rsidRPr="001860E0">
        <w:rPr>
          <w:rFonts w:ascii="Palatino Linotype" w:eastAsia="Palatino Linotype" w:hAnsi="Palatino Linotype" w:cs="Palatino Linotype"/>
          <w:i/>
          <w:sz w:val="22"/>
          <w:szCs w:val="22"/>
        </w:rPr>
        <w:t>:</w:t>
      </w:r>
    </w:p>
    <w:p w14:paraId="073E045A" w14:textId="77777777" w:rsidR="00EC05B9" w:rsidRPr="001860E0" w:rsidRDefault="00A7541B">
      <w:pPr>
        <w:tabs>
          <w:tab w:val="left" w:pos="3544"/>
        </w:tabs>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p>
    <w:p w14:paraId="7139B40E" w14:textId="77777777" w:rsidR="00EC05B9" w:rsidRPr="001860E0" w:rsidRDefault="00A7541B">
      <w:pPr>
        <w:tabs>
          <w:tab w:val="left" w:pos="3544"/>
        </w:tabs>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V</w:t>
      </w:r>
      <w:r w:rsidRPr="001860E0">
        <w:rPr>
          <w:rFonts w:ascii="Palatino Linotype" w:eastAsia="Palatino Linotype" w:hAnsi="Palatino Linotype" w:cs="Palatino Linotype"/>
          <w:i/>
          <w:sz w:val="22"/>
          <w:szCs w:val="22"/>
        </w:rPr>
        <w:t xml:space="preserve">. </w:t>
      </w:r>
      <w:r w:rsidRPr="001860E0">
        <w:rPr>
          <w:rFonts w:ascii="Palatino Linotype" w:eastAsia="Palatino Linotype" w:hAnsi="Palatino Linotype" w:cs="Palatino Linotype"/>
          <w:b/>
          <w:i/>
          <w:sz w:val="22"/>
          <w:szCs w:val="22"/>
          <w:u w:val="single"/>
        </w:rPr>
        <w:t>Contar con las estadísticas delictivas</w:t>
      </w:r>
      <w:r w:rsidRPr="001860E0">
        <w:rPr>
          <w:rFonts w:ascii="Palatino Linotype" w:eastAsia="Palatino Linotype" w:hAnsi="Palatino Linotype" w:cs="Palatino Linotype"/>
          <w:i/>
          <w:sz w:val="22"/>
          <w:szCs w:val="22"/>
        </w:rPr>
        <w:t xml:space="preserve"> y efectuar la supervisión de las acciones de seguridad pública municipal;”</w:t>
      </w:r>
    </w:p>
    <w:p w14:paraId="4DBD623D"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Además de lo anterior, debe decirse que los elementos de las instituciones policiales, entendidas como los cuerpos de policía, de vigilancia y custodia de los establecimientos penitenciarios, de detención preventiva y de centros de arraigos; y en general, todas las dependencias encargadas de la seguridad pública a nivel estatal y municipal, que realicen funciones similares; en términos del artículo 6, fracción XI de la Ley de Seguridad del Estado de México, se encuentran obligadas a llenar el Informe Policial Homologado, con los datos de las actividades que realicen, como se lee en el artículo 75 de la Ley de Seguridad:</w:t>
      </w:r>
    </w:p>
    <w:p w14:paraId="756EA063" w14:textId="77777777" w:rsidR="00EC05B9" w:rsidRPr="001860E0" w:rsidRDefault="00A7541B">
      <w:pPr>
        <w:tabs>
          <w:tab w:val="left" w:pos="3544"/>
        </w:tabs>
        <w:spacing w:before="240" w:after="240"/>
        <w:ind w:left="851" w:right="900"/>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“Artículo 75</w:t>
      </w:r>
      <w:r w:rsidRPr="001860E0">
        <w:rPr>
          <w:rFonts w:ascii="Palatino Linotype" w:eastAsia="Palatino Linotype" w:hAnsi="Palatino Linotype" w:cs="Palatino Linotype"/>
          <w:i/>
          <w:sz w:val="22"/>
          <w:szCs w:val="22"/>
        </w:rPr>
        <w:t>.- Los integrantes de las instituciones policiales del Estado de México deberán llenar el Informe Policial Homologado, en términos de los acuerdos adoptados en el Sistema Nacional, con los datos de las actividades que realicen.”</w:t>
      </w:r>
    </w:p>
    <w:p w14:paraId="300BFB30"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En este contexto, los Lineamientos para el Llenado, Entrega, Recepción, Registro, Resguardo y Consulta del Informe Policial Homologado</w:t>
      </w:r>
      <w:r w:rsidRPr="001860E0">
        <w:rPr>
          <w:rFonts w:ascii="Palatino Linotype" w:eastAsia="Palatino Linotype" w:hAnsi="Palatino Linotype" w:cs="Palatino Linotype"/>
          <w:vertAlign w:val="superscript"/>
        </w:rPr>
        <w:footnoteReference w:id="1"/>
      </w:r>
      <w:r w:rsidRPr="001860E0">
        <w:rPr>
          <w:rFonts w:ascii="Palatino Linotype" w:eastAsia="Palatino Linotype" w:hAnsi="Palatino Linotype" w:cs="Palatino Linotype"/>
        </w:rPr>
        <w:t>, que en su parte conducente señalan lo siguiente:</w:t>
      </w:r>
    </w:p>
    <w:p w14:paraId="56B038C7"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“PRIMERO. OBJETO Y ÁMBITO DE APLICACIÓN.</w:t>
      </w:r>
    </w:p>
    <w:p w14:paraId="417F0A0D"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 xml:space="preserve">El Informe Policial Homologado es el medio a través del cual </w:t>
      </w:r>
      <w:r w:rsidRPr="001860E0">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1860E0">
        <w:rPr>
          <w:rFonts w:ascii="Palatino Linotype" w:eastAsia="Palatino Linotype" w:hAnsi="Palatino Linotype" w:cs="Palatino Linotype"/>
          <w:i/>
          <w:sz w:val="22"/>
          <w:szCs w:val="22"/>
        </w:rPr>
        <w:t>, a las autoridades competentes.</w:t>
      </w:r>
    </w:p>
    <w:p w14:paraId="41B173CF"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 xml:space="preserve">El Informe Policial Homologado tiene como objeto </w:t>
      </w:r>
      <w:proofErr w:type="spellStart"/>
      <w:r w:rsidRPr="001860E0">
        <w:rPr>
          <w:rFonts w:ascii="Palatino Linotype" w:eastAsia="Palatino Linotype" w:hAnsi="Palatino Linotype" w:cs="Palatino Linotype"/>
          <w:i/>
          <w:sz w:val="22"/>
          <w:szCs w:val="22"/>
        </w:rPr>
        <w:t>eficientar</w:t>
      </w:r>
      <w:proofErr w:type="spellEnd"/>
      <w:r w:rsidRPr="001860E0">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14:paraId="4FB492EE"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Los presentes Lineamientos tienen como objeto señalar los criterios respecto a lo siguiente:</w:t>
      </w:r>
    </w:p>
    <w:p w14:paraId="5D75A048"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p>
    <w:p w14:paraId="0492D29C"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VI.</w:t>
      </w:r>
      <w:r w:rsidRPr="001860E0">
        <w:rPr>
          <w:rFonts w:ascii="Palatino Linotype" w:eastAsia="Palatino Linotype" w:hAnsi="Palatino Linotype" w:cs="Palatino Linotype"/>
          <w:i/>
          <w:sz w:val="22"/>
          <w:szCs w:val="22"/>
        </w:rPr>
        <w:t xml:space="preserve">   Resguardo de la base de datos del IPH en el Sistema Nacional de Información en Seguridad Pública;</w:t>
      </w:r>
    </w:p>
    <w:p w14:paraId="0FA66618"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w:t>
      </w:r>
    </w:p>
    <w:p w14:paraId="7DA75BC4"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SEGUNDO. GLOSARIO DE TÉRMINOS.</w:t>
      </w:r>
    </w:p>
    <w:p w14:paraId="18785F1F"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w:t>
      </w:r>
    </w:p>
    <w:p w14:paraId="5CE5F7E9" w14:textId="77777777" w:rsidR="00EC05B9" w:rsidRPr="001860E0" w:rsidRDefault="00A7541B">
      <w:pPr>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X. IPH</w:t>
      </w:r>
      <w:r w:rsidRPr="001860E0">
        <w:rPr>
          <w:rFonts w:ascii="Palatino Linotype" w:eastAsia="Palatino Linotype" w:hAnsi="Palatino Linotype" w:cs="Palatino Linotype"/>
          <w:i/>
          <w:sz w:val="22"/>
          <w:szCs w:val="22"/>
        </w:rPr>
        <w:t>: El Informe Policial Homologado de hechos probablemente delictivos o de infracciones administrativas, mismo que puede ser en versión impresa o electrónica.</w:t>
      </w:r>
    </w:p>
    <w:p w14:paraId="7D6482B4"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w:t>
      </w:r>
    </w:p>
    <w:p w14:paraId="13F72429"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DÉCIMO TERCERO. ENTREGA Y RECEPCIÓN DEL IPH.</w:t>
      </w:r>
    </w:p>
    <w:p w14:paraId="0B32FA9C"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1860E0">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1860E0">
        <w:rPr>
          <w:rFonts w:ascii="Palatino Linotype" w:eastAsia="Palatino Linotype" w:hAnsi="Palatino Linotype" w:cs="Palatino Linotype"/>
          <w:i/>
          <w:sz w:val="22"/>
          <w:szCs w:val="22"/>
        </w:rPr>
        <w:t>, según se trate de un hecho probablemente delictivo o una infracción administrativa.</w:t>
      </w:r>
    </w:p>
    <w:p w14:paraId="3DC4F19D"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lastRenderedPageBreak/>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4775DDB1"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w:t>
      </w:r>
    </w:p>
    <w:p w14:paraId="0FC697FC" w14:textId="77777777" w:rsidR="00EC05B9" w:rsidRPr="001860E0" w:rsidRDefault="00A7541B">
      <w:pPr>
        <w:spacing w:before="120" w:after="120"/>
        <w:ind w:left="851" w:right="902"/>
        <w:jc w:val="both"/>
        <w:rPr>
          <w:rFonts w:ascii="Palatino Linotype" w:eastAsia="Palatino Linotype" w:hAnsi="Palatino Linotype" w:cs="Palatino Linotype"/>
          <w:b/>
          <w:i/>
          <w:sz w:val="22"/>
          <w:szCs w:val="22"/>
        </w:rPr>
      </w:pPr>
      <w:r w:rsidRPr="001860E0">
        <w:rPr>
          <w:rFonts w:ascii="Palatino Linotype" w:eastAsia="Palatino Linotype" w:hAnsi="Palatino Linotype" w:cs="Palatino Linotype"/>
          <w:b/>
          <w:i/>
          <w:sz w:val="22"/>
          <w:szCs w:val="22"/>
        </w:rPr>
        <w:t>DÉCIMO CUARTO. REGISTRO DE LA INFORMACIÓN EN LA BASE DE DATOS DEL IPH.</w:t>
      </w:r>
    </w:p>
    <w:p w14:paraId="50C1595D" w14:textId="77777777" w:rsidR="00EC05B9" w:rsidRPr="001860E0" w:rsidRDefault="00A7541B">
      <w:pPr>
        <w:spacing w:before="120" w:after="120"/>
        <w:ind w:left="851"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i/>
          <w:sz w:val="22"/>
          <w:szCs w:val="22"/>
        </w:rPr>
        <w:t>El registro de la información en la base de datos se llevará a cabo conforme a lo siguiente:</w:t>
      </w:r>
    </w:p>
    <w:p w14:paraId="248E352E" w14:textId="77777777" w:rsidR="00EC05B9" w:rsidRPr="001860E0" w:rsidRDefault="00A7541B">
      <w:pPr>
        <w:numPr>
          <w:ilvl w:val="0"/>
          <w:numId w:val="2"/>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1860E0">
        <w:rPr>
          <w:rFonts w:ascii="Palatino Linotype" w:eastAsia="Palatino Linotype" w:hAnsi="Palatino Linotype" w:cs="Palatino Linotype"/>
          <w:i/>
          <w:sz w:val="22"/>
          <w:szCs w:val="22"/>
        </w:rPr>
        <w:t>;</w:t>
      </w:r>
    </w:p>
    <w:p w14:paraId="7E9AEADE" w14:textId="77777777" w:rsidR="00EC05B9" w:rsidRPr="001860E0" w:rsidRDefault="00A7541B">
      <w:pPr>
        <w:tabs>
          <w:tab w:val="left" w:pos="1418"/>
        </w:tabs>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II.</w:t>
      </w:r>
      <w:r w:rsidRPr="001860E0">
        <w:rPr>
          <w:rFonts w:ascii="Palatino Linotype" w:eastAsia="Palatino Linotype" w:hAnsi="Palatino Linotype" w:cs="Palatino Linotype"/>
          <w:i/>
          <w:sz w:val="22"/>
          <w:szCs w:val="22"/>
        </w:rPr>
        <w:t xml:space="preserve"> El suministro de la información se realizará con apego a los datos contenidos en el IPH;</w:t>
      </w:r>
    </w:p>
    <w:p w14:paraId="18313997" w14:textId="77777777" w:rsidR="00EC05B9" w:rsidRPr="001860E0" w:rsidRDefault="00A7541B">
      <w:pPr>
        <w:tabs>
          <w:tab w:val="left" w:pos="1418"/>
        </w:tabs>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III</w:t>
      </w:r>
      <w:r w:rsidRPr="001860E0">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337B21E9" w14:textId="77777777" w:rsidR="00EC05B9" w:rsidRPr="001860E0" w:rsidRDefault="00A7541B">
      <w:pPr>
        <w:tabs>
          <w:tab w:val="left" w:pos="1418"/>
        </w:tabs>
        <w:spacing w:before="120" w:after="120"/>
        <w:ind w:left="1134" w:right="902"/>
        <w:jc w:val="both"/>
        <w:rPr>
          <w:rFonts w:ascii="Palatino Linotype" w:eastAsia="Palatino Linotype" w:hAnsi="Palatino Linotype" w:cs="Palatino Linotype"/>
          <w:i/>
          <w:sz w:val="22"/>
          <w:szCs w:val="22"/>
        </w:rPr>
      </w:pPr>
      <w:r w:rsidRPr="001860E0">
        <w:rPr>
          <w:rFonts w:ascii="Palatino Linotype" w:eastAsia="Palatino Linotype" w:hAnsi="Palatino Linotype" w:cs="Palatino Linotype"/>
          <w:b/>
          <w:i/>
          <w:sz w:val="22"/>
          <w:szCs w:val="22"/>
        </w:rPr>
        <w:t xml:space="preserve">IV. </w:t>
      </w:r>
      <w:r w:rsidRPr="001860E0">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15D0A922" w14:textId="77777777" w:rsidR="00EC05B9" w:rsidRPr="001860E0" w:rsidRDefault="00A7541B">
      <w:pPr>
        <w:spacing w:before="240" w:after="240" w:line="360" w:lineRule="auto"/>
        <w:jc w:val="both"/>
        <w:rPr>
          <w:rFonts w:ascii="Palatino Linotype" w:eastAsia="Palatino Linotype" w:hAnsi="Palatino Linotype" w:cs="Palatino Linotype"/>
          <w:b/>
          <w:u w:val="single"/>
        </w:rPr>
      </w:pPr>
      <w:r w:rsidRPr="001860E0">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1860E0">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1860E0">
        <w:rPr>
          <w:rFonts w:ascii="Palatino Linotype" w:eastAsia="Palatino Linotype" w:hAnsi="Palatino Linotype" w:cs="Palatino Linotype"/>
        </w:rPr>
        <w:t xml:space="preserve">Es importante dejar de lado que no se están solicitando estos documentos, </w:t>
      </w:r>
      <w:r w:rsidRPr="001860E0">
        <w:rPr>
          <w:rFonts w:ascii="Palatino Linotype" w:eastAsia="Palatino Linotype" w:hAnsi="Palatino Linotype" w:cs="Palatino Linotype"/>
          <w:b/>
          <w:u w:val="single"/>
        </w:rPr>
        <w:t>sino información estadística únicamente.</w:t>
      </w:r>
    </w:p>
    <w:p w14:paraId="00F54DC1"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lastRenderedPageBreak/>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1860E0">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1860E0">
        <w:rPr>
          <w:rFonts w:ascii="Palatino Linotype" w:eastAsia="Palatino Linotype" w:hAnsi="Palatino Linotype" w:cs="Palatino Linotype"/>
        </w:rPr>
        <w:t>, sin embargo, en caso de generarse, la Dirección de Seguridad Pública Municipal, sería la instancia competente para conocer del hecho delictivo, y por tanto, de integrar la estadística delictiva correspondiente, donde se incluirían aquellos casos tipificados como feminicidios.</w:t>
      </w:r>
    </w:p>
    <w:p w14:paraId="5DB494C4" w14:textId="77777777" w:rsidR="00EC05B9" w:rsidRPr="001860E0" w:rsidRDefault="00A7541B">
      <w:pPr>
        <w:tabs>
          <w:tab w:val="left" w:pos="3544"/>
        </w:tabs>
        <w:spacing w:before="240" w:after="240" w:line="360" w:lineRule="auto"/>
        <w:ind w:right="49"/>
        <w:jc w:val="both"/>
        <w:rPr>
          <w:rFonts w:ascii="Palatino Linotype" w:eastAsia="Palatino Linotype" w:hAnsi="Palatino Linotype" w:cs="Palatino Linotype"/>
        </w:rPr>
      </w:pPr>
      <w:r w:rsidRPr="001860E0">
        <w:rPr>
          <w:rFonts w:ascii="Palatino Linotype" w:eastAsia="Palatino Linotype" w:hAnsi="Palatino Linotype" w:cs="Palatino Linotype"/>
        </w:rPr>
        <w:t>Atento a lo anterior, se colige que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73BC111F" w14:textId="77777777" w:rsidR="00EC05B9" w:rsidRPr="001860E0" w:rsidRDefault="00A7541B">
      <w:pPr>
        <w:spacing w:before="240" w:after="240" w:line="360" w:lineRule="auto"/>
        <w:ind w:right="49"/>
        <w:jc w:val="both"/>
        <w:rPr>
          <w:rFonts w:ascii="Palatino Linotype" w:eastAsia="Palatino Linotype" w:hAnsi="Palatino Linotype" w:cs="Palatino Linotype"/>
        </w:rPr>
      </w:pPr>
      <w:bookmarkStart w:id="9" w:name="_heading=h.m3ufyfh55s20" w:colFirst="0" w:colLast="0"/>
      <w:bookmarkEnd w:id="9"/>
      <w:r w:rsidRPr="001860E0">
        <w:rPr>
          <w:rFonts w:ascii="Palatino Linotype" w:eastAsia="Palatino Linotype" w:hAnsi="Palatino Linotype" w:cs="Palatino Linotype"/>
        </w:rPr>
        <w:t xml:space="preserve">Sin embargo, cabe recordar que en atención a la solicitud el servidor público habilitado de la Dirección de Seguridad Pública y Vialidad Municipal manifestó que </w:t>
      </w:r>
      <w:r w:rsidRPr="001860E0">
        <w:rPr>
          <w:rFonts w:ascii="Palatino Linotype" w:eastAsia="Palatino Linotype" w:hAnsi="Palatino Linotype" w:cs="Palatino Linotype"/>
          <w:b/>
          <w:u w:val="single"/>
        </w:rPr>
        <w:t>no se contaba con algún registro respecto al delito de feminicidio en el periodo que comprende del uno de enero al trece de marzo de dos mil veinticinco</w:t>
      </w:r>
      <w:r w:rsidRPr="001860E0">
        <w:rPr>
          <w:rFonts w:ascii="Palatino Linotype" w:eastAsia="Palatino Linotype" w:hAnsi="Palatino Linotype" w:cs="Palatino Linotype"/>
        </w:rPr>
        <w:t xml:space="preserve">, de conformidad con lo manifestado por el Coordinador de Centro de Comando y Comunicaciones C-4 Huehuetoca, lo cual se constituye en una expresión en sentido negativo puesto que en la misma refiere expresamente que no cuenta con registros relacionados con hechos delictivos de feminicidio en el periodo requerido, siendo </w:t>
      </w:r>
      <w:r w:rsidRPr="001860E0">
        <w:rPr>
          <w:rFonts w:ascii="Palatino Linotype" w:eastAsia="Palatino Linotype" w:hAnsi="Palatino Linotype" w:cs="Palatino Linotype"/>
        </w:rPr>
        <w:lastRenderedPageBreak/>
        <w:t>imposible, en consecuencia, proporcionar documento alguno al no haberse generado.</w:t>
      </w:r>
    </w:p>
    <w:p w14:paraId="10E9C97A" w14:textId="77777777" w:rsidR="00EC05B9" w:rsidRPr="001860E0" w:rsidRDefault="00A7541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Por consiguiente, toda vez que no posee, administra, ni generó la información requerida por la persona solicitante, constituye un hecho negativo; entonces, si se considera el hecho negativo, es obvio que éste no puede fácticamente obrar en los archivos del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ya que no puede probarse por ser lógica y materialmente imposible.</w:t>
      </w:r>
    </w:p>
    <w:p w14:paraId="73E3007E" w14:textId="77777777" w:rsidR="00EC05B9" w:rsidRPr="001860E0" w:rsidRDefault="00A7541B">
      <w:pPr>
        <w:pBdr>
          <w:top w:val="nil"/>
          <w:left w:val="nil"/>
          <w:bottom w:val="nil"/>
          <w:right w:val="nil"/>
          <w:between w:val="nil"/>
        </w:pBdr>
        <w:spacing w:before="240" w:after="240" w:line="360" w:lineRule="auto"/>
        <w:jc w:val="both"/>
        <w:rPr>
          <w:sz w:val="28"/>
          <w:szCs w:val="28"/>
        </w:rPr>
      </w:pPr>
      <w:r w:rsidRPr="001860E0">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1860E0">
        <w:rPr>
          <w:rFonts w:ascii="Palatino Linotype" w:eastAsia="Palatino Linotype" w:hAnsi="Palatino Linotype" w:cs="Palatino Linotype"/>
          <w:vertAlign w:val="superscript"/>
        </w:rPr>
        <w:footnoteReference w:id="2"/>
      </w:r>
      <w:r w:rsidRPr="001860E0">
        <w:rPr>
          <w:rFonts w:ascii="Palatino Linotype" w:eastAsia="Palatino Linotype" w:hAnsi="Palatino Linotype" w:cs="Palatino Linotype"/>
        </w:rPr>
        <w:t xml:space="preserve"> emitida por la Segunda Sala de la Suprema Corte de la Nación, que es del tenor literal siguiente:</w:t>
      </w:r>
    </w:p>
    <w:p w14:paraId="6696E44C" w14:textId="77777777" w:rsidR="00EC05B9" w:rsidRPr="001860E0" w:rsidRDefault="00A7541B">
      <w:pPr>
        <w:spacing w:before="240" w:after="240"/>
        <w:ind w:left="851" w:right="900"/>
        <w:jc w:val="both"/>
        <w:rPr>
          <w:rFonts w:ascii="Palatino Linotype" w:eastAsia="Palatino Linotype" w:hAnsi="Palatino Linotype" w:cs="Palatino Linotype"/>
          <w:sz w:val="22"/>
          <w:szCs w:val="22"/>
        </w:rPr>
      </w:pPr>
      <w:r w:rsidRPr="001860E0">
        <w:rPr>
          <w:rFonts w:ascii="Palatino Linotype" w:eastAsia="Palatino Linotype" w:hAnsi="Palatino Linotype" w:cs="Palatino Linotype"/>
          <w:b/>
          <w:i/>
          <w:sz w:val="22"/>
          <w:szCs w:val="22"/>
        </w:rPr>
        <w:t>“HECHOS NEGATIVOS, NO SON SUSCEPTIBLES DE DEMOSTRACIÓN</w:t>
      </w:r>
      <w:r w:rsidRPr="001860E0">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45C121A2" w14:textId="77777777" w:rsidR="00EC05B9" w:rsidRPr="001860E0" w:rsidRDefault="00A7541B">
      <w:pPr>
        <w:spacing w:before="240" w:after="360" w:line="360" w:lineRule="auto"/>
        <w:ind w:right="18"/>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De tal manera que basta con la aseveración por parte del servidor público habilitado de la Dirección de Seguridad Pública y Vialidad Municipal, como el área competente para conocer de la información requerida, respeto de la inexistencia de la misma;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w:t>
      </w:r>
      <w:r w:rsidRPr="001860E0">
        <w:rPr>
          <w:rFonts w:ascii="Palatino Linotype" w:eastAsia="Palatino Linotype" w:hAnsi="Palatino Linotype" w:cs="Palatino Linotype"/>
        </w:rPr>
        <w:lastRenderedPageBreak/>
        <w:t>sentido contrario, no están obligados a proporcionar lo que no tengan en sus archivos.</w:t>
      </w:r>
    </w:p>
    <w:p w14:paraId="1D341E84" w14:textId="77777777" w:rsidR="00EC05B9" w:rsidRPr="001860E0" w:rsidRDefault="00A7541B">
      <w:pPr>
        <w:spacing w:before="240" w:after="360" w:line="360" w:lineRule="auto"/>
        <w:ind w:right="18"/>
        <w:jc w:val="both"/>
        <w:rPr>
          <w:rFonts w:ascii="Palatino Linotype" w:eastAsia="Palatino Linotype" w:hAnsi="Palatino Linotype" w:cs="Palatino Linotype"/>
        </w:rPr>
      </w:pPr>
      <w:r w:rsidRPr="001860E0">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73837F8C" w14:textId="77777777" w:rsidR="00EC05B9" w:rsidRPr="001860E0" w:rsidRDefault="00A7541B">
      <w:pPr>
        <w:pBdr>
          <w:top w:val="nil"/>
          <w:left w:val="nil"/>
          <w:bottom w:val="nil"/>
          <w:right w:val="nil"/>
          <w:between w:val="nil"/>
        </w:pBdr>
        <w:spacing w:before="240" w:after="240" w:line="360" w:lineRule="auto"/>
        <w:jc w:val="both"/>
      </w:pPr>
      <w:r w:rsidRPr="001860E0">
        <w:rPr>
          <w:rFonts w:ascii="Palatino Linotype" w:eastAsia="Palatino Linotype" w:hAnsi="Palatino Linotype" w:cs="Palatino Linotype"/>
        </w:rPr>
        <w:t>Aunado a lo anterior, respecto al pronunciamiento emitido por la persona servidora pública habilitada competente a fin de dar respuesta a la solicitud planteada,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16C116A6" w14:textId="77777777" w:rsidR="00EC05B9" w:rsidRPr="001860E0" w:rsidRDefault="00A7541B">
      <w:pPr>
        <w:spacing w:before="240" w:after="240" w:line="360" w:lineRule="auto"/>
        <w:ind w:right="51"/>
        <w:jc w:val="both"/>
        <w:rPr>
          <w:rFonts w:ascii="Palatino Linotype" w:eastAsia="Palatino Linotype" w:hAnsi="Palatino Linotype" w:cs="Palatino Linotype"/>
        </w:rPr>
      </w:pPr>
      <w:r w:rsidRPr="001860E0">
        <w:rPr>
          <w:rFonts w:ascii="Palatino Linotype" w:eastAsia="Palatino Linotype" w:hAnsi="Palatino Linotype" w:cs="Palatino Linotype"/>
        </w:rPr>
        <w:t xml:space="preserve">Derivado de lo expuesto, se concluye que los motivos de inconformidad de la parte </w:t>
      </w:r>
      <w:r w:rsidRPr="001860E0">
        <w:rPr>
          <w:rFonts w:ascii="Palatino Linotype" w:eastAsia="Palatino Linotype" w:hAnsi="Palatino Linotype" w:cs="Palatino Linotype"/>
          <w:b/>
        </w:rPr>
        <w:t xml:space="preserve">Recurrente </w:t>
      </w:r>
      <w:r w:rsidRPr="001860E0">
        <w:rPr>
          <w:rFonts w:ascii="Palatino Linotype" w:eastAsia="Palatino Linotype" w:hAnsi="Palatino Linotype" w:cs="Palatino Linotype"/>
        </w:rPr>
        <w:t xml:space="preserve">devienen infundados, siendo procedente </w:t>
      </w:r>
      <w:r w:rsidRPr="001860E0">
        <w:rPr>
          <w:rFonts w:ascii="Palatino Linotype" w:eastAsia="Palatino Linotype" w:hAnsi="Palatino Linotype" w:cs="Palatino Linotype"/>
          <w:i/>
        </w:rPr>
        <w:t xml:space="preserve">Confirmar </w:t>
      </w:r>
      <w:r w:rsidRPr="001860E0">
        <w:rPr>
          <w:rFonts w:ascii="Palatino Linotype" w:eastAsia="Palatino Linotype" w:hAnsi="Palatino Linotype" w:cs="Palatino Linotype"/>
        </w:rPr>
        <w:t xml:space="preserve">la respuesta proporcionada por el </w:t>
      </w:r>
      <w:r w:rsidRPr="001860E0">
        <w:rPr>
          <w:rFonts w:ascii="Palatino Linotype" w:eastAsia="Palatino Linotype" w:hAnsi="Palatino Linotype" w:cs="Palatino Linotype"/>
          <w:b/>
        </w:rPr>
        <w:t xml:space="preserve">Sujeto Obligado </w:t>
      </w:r>
      <w:r w:rsidRPr="001860E0">
        <w:rPr>
          <w:rFonts w:ascii="Palatino Linotype" w:eastAsia="Palatino Linotype" w:hAnsi="Palatino Linotype" w:cs="Palatino Linotype"/>
        </w:rPr>
        <w:t>en términos del artículo 186, fracción II de la Ley de Transparencia y Acceso a la Información Pública del Estado de México y Municipios.</w:t>
      </w:r>
    </w:p>
    <w:p w14:paraId="088E8A4B" w14:textId="77777777" w:rsidR="00EC05B9" w:rsidRPr="001860E0" w:rsidRDefault="00A7541B">
      <w:pPr>
        <w:tabs>
          <w:tab w:val="left" w:pos="4678"/>
        </w:tabs>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5F5C0442" w14:textId="77777777" w:rsidR="00EC05B9" w:rsidRPr="001860E0" w:rsidRDefault="00A7541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860E0">
        <w:rPr>
          <w:rFonts w:ascii="Palatino Linotype" w:eastAsia="Palatino Linotype" w:hAnsi="Palatino Linotype" w:cs="Palatino Linotype"/>
          <w:b/>
        </w:rPr>
        <w:lastRenderedPageBreak/>
        <w:t>III. R E S U E L V E</w:t>
      </w:r>
    </w:p>
    <w:p w14:paraId="681C4DD6" w14:textId="77777777" w:rsidR="00EC05B9" w:rsidRPr="001860E0" w:rsidRDefault="00A7541B">
      <w:pPr>
        <w:spacing w:before="240" w:after="240" w:line="360" w:lineRule="auto"/>
        <w:jc w:val="both"/>
        <w:rPr>
          <w:rFonts w:ascii="Palatino Linotype" w:eastAsia="Palatino Linotype" w:hAnsi="Palatino Linotype" w:cs="Palatino Linotype"/>
        </w:rPr>
      </w:pPr>
      <w:bookmarkStart w:id="10" w:name="_heading=h.lnxbz9" w:colFirst="0" w:colLast="0"/>
      <w:bookmarkEnd w:id="10"/>
      <w:r w:rsidRPr="001860E0">
        <w:rPr>
          <w:rFonts w:ascii="Palatino Linotype" w:eastAsia="Palatino Linotype" w:hAnsi="Palatino Linotype" w:cs="Palatino Linotype"/>
          <w:b/>
        </w:rPr>
        <w:t xml:space="preserve">Primero. </w:t>
      </w:r>
      <w:r w:rsidRPr="001860E0">
        <w:rPr>
          <w:rFonts w:ascii="Palatino Linotype" w:eastAsia="Palatino Linotype" w:hAnsi="Palatino Linotype" w:cs="Palatino Linotype"/>
        </w:rPr>
        <w:t xml:space="preserve">Son </w:t>
      </w:r>
      <w:r w:rsidRPr="001860E0">
        <w:rPr>
          <w:rFonts w:ascii="Palatino Linotype" w:eastAsia="Palatino Linotype" w:hAnsi="Palatino Linotype" w:cs="Palatino Linotype"/>
          <w:b/>
        </w:rPr>
        <w:t>infundadas</w:t>
      </w:r>
      <w:r w:rsidRPr="001860E0">
        <w:rPr>
          <w:rFonts w:ascii="Palatino Linotype" w:eastAsia="Palatino Linotype" w:hAnsi="Palatino Linotype" w:cs="Palatino Linotype"/>
        </w:rPr>
        <w:t xml:space="preserve"> las razones o motivos de inconformidad hechos valer por 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xml:space="preserve"> en el recurso de revisión </w:t>
      </w:r>
      <w:r w:rsidRPr="001860E0">
        <w:rPr>
          <w:rFonts w:ascii="Palatino Linotype" w:eastAsia="Palatino Linotype" w:hAnsi="Palatino Linotype" w:cs="Palatino Linotype"/>
          <w:b/>
        </w:rPr>
        <w:t>03219/INFOEM/IP/RR/2025</w:t>
      </w:r>
      <w:r w:rsidRPr="001860E0">
        <w:rPr>
          <w:rFonts w:ascii="Palatino Linotype" w:eastAsia="Palatino Linotype" w:hAnsi="Palatino Linotype" w:cs="Palatino Linotype"/>
        </w:rPr>
        <w:t xml:space="preserve">, por lo que, en términos de los argumentos de derecho señalados en el considerando </w:t>
      </w:r>
      <w:r w:rsidRPr="001860E0">
        <w:rPr>
          <w:rFonts w:ascii="Palatino Linotype" w:eastAsia="Palatino Linotype" w:hAnsi="Palatino Linotype" w:cs="Palatino Linotype"/>
          <w:b/>
        </w:rPr>
        <w:t>Cuarto</w:t>
      </w:r>
      <w:r w:rsidRPr="001860E0">
        <w:rPr>
          <w:rFonts w:ascii="Palatino Linotype" w:eastAsia="Palatino Linotype" w:hAnsi="Palatino Linotype" w:cs="Palatino Linotype"/>
        </w:rPr>
        <w:t>, se</w:t>
      </w:r>
      <w:r w:rsidRPr="001860E0">
        <w:rPr>
          <w:rFonts w:ascii="Palatino Linotype" w:eastAsia="Palatino Linotype" w:hAnsi="Palatino Linotype" w:cs="Palatino Linotype"/>
          <w:b/>
        </w:rPr>
        <w:t xml:space="preserve"> Confirma </w:t>
      </w:r>
      <w:r w:rsidRPr="001860E0">
        <w:rPr>
          <w:rFonts w:ascii="Palatino Linotype" w:eastAsia="Palatino Linotype" w:hAnsi="Palatino Linotype" w:cs="Palatino Linotype"/>
        </w:rPr>
        <w:t xml:space="preserve">la respuesta del </w:t>
      </w:r>
      <w:r w:rsidRPr="001860E0">
        <w:rPr>
          <w:rFonts w:ascii="Palatino Linotype" w:eastAsia="Palatino Linotype" w:hAnsi="Palatino Linotype" w:cs="Palatino Linotype"/>
          <w:b/>
        </w:rPr>
        <w:t>Sujeto Obligado</w:t>
      </w:r>
      <w:r w:rsidRPr="001860E0">
        <w:rPr>
          <w:rFonts w:ascii="Palatino Linotype" w:eastAsia="Palatino Linotype" w:hAnsi="Palatino Linotype" w:cs="Palatino Linotype"/>
        </w:rPr>
        <w:t>.</w:t>
      </w:r>
    </w:p>
    <w:p w14:paraId="20E3003B"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Segundo. Notifíquese, </w:t>
      </w:r>
      <w:r w:rsidRPr="001860E0">
        <w:rPr>
          <w:rFonts w:ascii="Palatino Linotype" w:eastAsia="Palatino Linotype" w:hAnsi="Palatino Linotype" w:cs="Palatino Linotype"/>
        </w:rPr>
        <w:t xml:space="preserve">vía </w:t>
      </w:r>
      <w:r w:rsidRPr="001860E0">
        <w:rPr>
          <w:rFonts w:ascii="Palatino Linotype" w:eastAsia="Palatino Linotype" w:hAnsi="Palatino Linotype" w:cs="Palatino Linotype"/>
          <w:b/>
        </w:rPr>
        <w:t xml:space="preserve">SAIMEX, </w:t>
      </w:r>
      <w:r w:rsidRPr="001860E0">
        <w:rPr>
          <w:rFonts w:ascii="Palatino Linotype" w:eastAsia="Palatino Linotype" w:hAnsi="Palatino Linotype" w:cs="Palatino Linotype"/>
        </w:rPr>
        <w:t xml:space="preserve">al Titular de la Unidad de Transparencia del </w:t>
      </w:r>
      <w:r w:rsidRPr="001860E0">
        <w:rPr>
          <w:rFonts w:ascii="Palatino Linotype" w:eastAsia="Palatino Linotype" w:hAnsi="Palatino Linotype" w:cs="Palatino Linotype"/>
          <w:b/>
        </w:rPr>
        <w:t>Sujeto Obligado</w:t>
      </w:r>
      <w:r w:rsidRPr="001860E0">
        <w:rPr>
          <w:rFonts w:ascii="Palatino Linotype" w:eastAsia="Palatino Linotype" w:hAnsi="Palatino Linotype" w:cs="Palatino Linotype"/>
        </w:rPr>
        <w:t xml:space="preserve"> para su conocimiento, la presente resolución.</w:t>
      </w:r>
    </w:p>
    <w:p w14:paraId="3F8CAA14" w14:textId="77777777" w:rsidR="00EC05B9" w:rsidRPr="001860E0" w:rsidRDefault="00A7541B">
      <w:pPr>
        <w:spacing w:before="240" w:after="240" w:line="360" w:lineRule="auto"/>
        <w:jc w:val="both"/>
        <w:rPr>
          <w:rFonts w:ascii="Palatino Linotype" w:eastAsia="Palatino Linotype" w:hAnsi="Palatino Linotype" w:cs="Palatino Linotype"/>
        </w:rPr>
      </w:pPr>
      <w:r w:rsidRPr="001860E0">
        <w:rPr>
          <w:rFonts w:ascii="Palatino Linotype" w:eastAsia="Palatino Linotype" w:hAnsi="Palatino Linotype" w:cs="Palatino Linotype"/>
          <w:b/>
        </w:rPr>
        <w:t xml:space="preserve">Tercero.  Notifíquese, </w:t>
      </w:r>
      <w:r w:rsidRPr="001860E0">
        <w:rPr>
          <w:rFonts w:ascii="Palatino Linotype" w:eastAsia="Palatino Linotype" w:hAnsi="Palatino Linotype" w:cs="Palatino Linotype"/>
        </w:rPr>
        <w:t xml:space="preserve">vía </w:t>
      </w:r>
      <w:r w:rsidRPr="001860E0">
        <w:rPr>
          <w:rFonts w:ascii="Palatino Linotype" w:eastAsia="Palatino Linotype" w:hAnsi="Palatino Linotype" w:cs="Palatino Linotype"/>
          <w:b/>
        </w:rPr>
        <w:t xml:space="preserve">SAIMEX, </w:t>
      </w:r>
      <w:r w:rsidRPr="001860E0">
        <w:rPr>
          <w:rFonts w:ascii="Palatino Linotype" w:eastAsia="Palatino Linotype" w:hAnsi="Palatino Linotype" w:cs="Palatino Linotype"/>
        </w:rPr>
        <w:t xml:space="preserve">a la parte </w:t>
      </w:r>
      <w:r w:rsidRPr="001860E0">
        <w:rPr>
          <w:rFonts w:ascii="Palatino Linotype" w:eastAsia="Palatino Linotype" w:hAnsi="Palatino Linotype" w:cs="Palatino Linotype"/>
          <w:b/>
        </w:rPr>
        <w:t>Recurrente</w:t>
      </w:r>
      <w:r w:rsidRPr="001860E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265A885" w14:textId="77777777" w:rsidR="00EC05B9" w:rsidRPr="004E0EEA" w:rsidRDefault="00A7541B">
      <w:pPr>
        <w:tabs>
          <w:tab w:val="left" w:pos="8647"/>
        </w:tabs>
        <w:spacing w:before="240" w:after="240" w:line="360" w:lineRule="auto"/>
        <w:ind w:right="51"/>
        <w:jc w:val="both"/>
        <w:rPr>
          <w:rFonts w:ascii="Palatino Linotype" w:eastAsia="Palatino Linotype" w:hAnsi="Palatino Linotype" w:cs="Palatino Linotype"/>
        </w:rPr>
      </w:pPr>
      <w:bookmarkStart w:id="11" w:name="_heading=h.fz1rcl7htz6v" w:colFirst="0" w:colLast="0"/>
      <w:bookmarkEnd w:id="11"/>
      <w:r w:rsidRPr="001860E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14:paraId="60FEB554" w14:textId="77777777" w:rsidR="00EC05B9" w:rsidRPr="004E0EEA" w:rsidRDefault="00EC05B9">
      <w:pPr>
        <w:spacing w:line="360" w:lineRule="auto"/>
        <w:jc w:val="both"/>
        <w:rPr>
          <w:rFonts w:ascii="Palatino Linotype" w:eastAsia="Palatino Linotype" w:hAnsi="Palatino Linotype" w:cs="Palatino Linotype"/>
        </w:rPr>
      </w:pPr>
    </w:p>
    <w:p w14:paraId="267F4E81" w14:textId="77777777" w:rsidR="00EC05B9" w:rsidRPr="004E0EEA" w:rsidRDefault="00EC05B9">
      <w:pPr>
        <w:spacing w:line="360" w:lineRule="auto"/>
        <w:jc w:val="both"/>
        <w:rPr>
          <w:rFonts w:ascii="Palatino Linotype" w:eastAsia="Palatino Linotype" w:hAnsi="Palatino Linotype" w:cs="Palatino Linotype"/>
        </w:rPr>
      </w:pPr>
    </w:p>
    <w:p w14:paraId="7CF36F6B" w14:textId="77777777" w:rsidR="00EC05B9" w:rsidRPr="004E0EEA" w:rsidRDefault="00EC05B9">
      <w:pPr>
        <w:spacing w:line="360" w:lineRule="auto"/>
        <w:jc w:val="both"/>
        <w:rPr>
          <w:rFonts w:ascii="Palatino Linotype" w:eastAsia="Palatino Linotype" w:hAnsi="Palatino Linotype" w:cs="Palatino Linotype"/>
        </w:rPr>
      </w:pPr>
    </w:p>
    <w:p w14:paraId="220663CB" w14:textId="77777777" w:rsidR="00EC05B9" w:rsidRPr="004E0EEA" w:rsidRDefault="00EC05B9">
      <w:pPr>
        <w:spacing w:line="360" w:lineRule="auto"/>
        <w:jc w:val="both"/>
        <w:rPr>
          <w:rFonts w:ascii="Palatino Linotype" w:eastAsia="Palatino Linotype" w:hAnsi="Palatino Linotype" w:cs="Palatino Linotype"/>
        </w:rPr>
      </w:pPr>
    </w:p>
    <w:p w14:paraId="6A2F2967" w14:textId="77777777" w:rsidR="00EC05B9" w:rsidRPr="004E0EEA" w:rsidRDefault="00EC05B9">
      <w:pPr>
        <w:spacing w:line="360" w:lineRule="auto"/>
        <w:jc w:val="both"/>
        <w:rPr>
          <w:rFonts w:ascii="Palatino Linotype" w:eastAsia="Palatino Linotype" w:hAnsi="Palatino Linotype" w:cs="Palatino Linotype"/>
        </w:rPr>
      </w:pPr>
    </w:p>
    <w:p w14:paraId="2E543946" w14:textId="77777777" w:rsidR="00EC05B9" w:rsidRPr="004E0EEA" w:rsidRDefault="00EC05B9">
      <w:pPr>
        <w:spacing w:line="360" w:lineRule="auto"/>
        <w:jc w:val="both"/>
        <w:rPr>
          <w:rFonts w:ascii="Palatino Linotype" w:eastAsia="Palatino Linotype" w:hAnsi="Palatino Linotype" w:cs="Palatino Linotype"/>
        </w:rPr>
      </w:pPr>
    </w:p>
    <w:p w14:paraId="7025F8A3" w14:textId="77777777" w:rsidR="00EC05B9" w:rsidRPr="004E0EEA" w:rsidRDefault="00EC05B9">
      <w:pPr>
        <w:spacing w:line="360" w:lineRule="auto"/>
        <w:jc w:val="both"/>
        <w:rPr>
          <w:rFonts w:ascii="Palatino Linotype" w:eastAsia="Palatino Linotype" w:hAnsi="Palatino Linotype" w:cs="Palatino Linotype"/>
        </w:rPr>
      </w:pPr>
    </w:p>
    <w:p w14:paraId="7BC0669E" w14:textId="77777777" w:rsidR="00EC05B9" w:rsidRPr="004E0EEA" w:rsidRDefault="00EC05B9">
      <w:pPr>
        <w:spacing w:line="360" w:lineRule="auto"/>
        <w:jc w:val="both"/>
        <w:rPr>
          <w:rFonts w:ascii="Palatino Linotype" w:eastAsia="Palatino Linotype" w:hAnsi="Palatino Linotype" w:cs="Palatino Linotype"/>
        </w:rPr>
      </w:pPr>
    </w:p>
    <w:p w14:paraId="1F2DC0B3" w14:textId="77777777" w:rsidR="00EC05B9" w:rsidRPr="004E0EEA" w:rsidRDefault="00EC05B9">
      <w:pPr>
        <w:spacing w:line="360" w:lineRule="auto"/>
        <w:jc w:val="both"/>
        <w:rPr>
          <w:rFonts w:ascii="Palatino Linotype" w:eastAsia="Palatino Linotype" w:hAnsi="Palatino Linotype" w:cs="Palatino Linotype"/>
        </w:rPr>
      </w:pPr>
    </w:p>
    <w:p w14:paraId="39464BE6" w14:textId="77777777" w:rsidR="00EC05B9" w:rsidRPr="004E0EEA" w:rsidRDefault="00EC05B9">
      <w:pPr>
        <w:spacing w:line="360" w:lineRule="auto"/>
        <w:jc w:val="both"/>
        <w:rPr>
          <w:rFonts w:ascii="Palatino Linotype" w:eastAsia="Palatino Linotype" w:hAnsi="Palatino Linotype" w:cs="Palatino Linotype"/>
        </w:rPr>
      </w:pPr>
    </w:p>
    <w:p w14:paraId="58DA8B39" w14:textId="77777777" w:rsidR="00EC05B9" w:rsidRPr="004E0EEA" w:rsidRDefault="00EC05B9">
      <w:pPr>
        <w:spacing w:line="360" w:lineRule="auto"/>
        <w:jc w:val="both"/>
        <w:rPr>
          <w:rFonts w:ascii="Palatino Linotype" w:eastAsia="Palatino Linotype" w:hAnsi="Palatino Linotype" w:cs="Palatino Linotype"/>
        </w:rPr>
      </w:pPr>
    </w:p>
    <w:p w14:paraId="531BED49" w14:textId="77777777" w:rsidR="00EC05B9" w:rsidRPr="004E0EEA" w:rsidRDefault="00EC05B9">
      <w:pPr>
        <w:spacing w:line="360" w:lineRule="auto"/>
        <w:jc w:val="center"/>
        <w:rPr>
          <w:rFonts w:ascii="Palatino Linotype" w:eastAsia="Palatino Linotype" w:hAnsi="Palatino Linotype" w:cs="Palatino Linotype"/>
        </w:rPr>
      </w:pPr>
    </w:p>
    <w:p w14:paraId="716AF2B7" w14:textId="77777777" w:rsidR="00EC05B9" w:rsidRPr="004E0EEA" w:rsidRDefault="00EC05B9">
      <w:pPr>
        <w:spacing w:line="360" w:lineRule="auto"/>
        <w:jc w:val="both"/>
        <w:rPr>
          <w:rFonts w:ascii="Palatino Linotype" w:eastAsia="Palatino Linotype" w:hAnsi="Palatino Linotype" w:cs="Palatino Linotype"/>
        </w:rPr>
      </w:pPr>
    </w:p>
    <w:p w14:paraId="2EEE5795" w14:textId="77777777" w:rsidR="00EC05B9" w:rsidRPr="004E0EEA" w:rsidRDefault="00EC05B9">
      <w:pPr>
        <w:spacing w:line="360" w:lineRule="auto"/>
        <w:jc w:val="both"/>
        <w:rPr>
          <w:rFonts w:ascii="Palatino Linotype" w:eastAsia="Palatino Linotype" w:hAnsi="Palatino Linotype" w:cs="Palatino Linotype"/>
        </w:rPr>
      </w:pPr>
    </w:p>
    <w:p w14:paraId="08A2C7C6" w14:textId="77777777" w:rsidR="00EC05B9" w:rsidRPr="004E0EEA" w:rsidRDefault="00EC05B9">
      <w:pPr>
        <w:spacing w:line="360" w:lineRule="auto"/>
        <w:jc w:val="both"/>
        <w:rPr>
          <w:rFonts w:ascii="Palatino Linotype" w:eastAsia="Palatino Linotype" w:hAnsi="Palatino Linotype" w:cs="Palatino Linotype"/>
        </w:rPr>
      </w:pPr>
    </w:p>
    <w:p w14:paraId="67D6A5D5" w14:textId="77777777" w:rsidR="00EC05B9" w:rsidRPr="004E0EEA" w:rsidRDefault="00EC05B9">
      <w:pPr>
        <w:spacing w:line="360" w:lineRule="auto"/>
        <w:jc w:val="both"/>
        <w:rPr>
          <w:rFonts w:ascii="Palatino Linotype" w:eastAsia="Palatino Linotype" w:hAnsi="Palatino Linotype" w:cs="Palatino Linotype"/>
        </w:rPr>
      </w:pPr>
    </w:p>
    <w:p w14:paraId="30A4D158" w14:textId="77777777" w:rsidR="00EC05B9" w:rsidRPr="004E0EEA" w:rsidRDefault="00EC05B9">
      <w:pPr>
        <w:spacing w:line="360" w:lineRule="auto"/>
        <w:jc w:val="both"/>
        <w:rPr>
          <w:rFonts w:ascii="Palatino Linotype" w:eastAsia="Palatino Linotype" w:hAnsi="Palatino Linotype" w:cs="Palatino Linotype"/>
        </w:rPr>
      </w:pPr>
    </w:p>
    <w:p w14:paraId="3DFFE533" w14:textId="77777777" w:rsidR="00EC05B9" w:rsidRPr="004E0EEA" w:rsidRDefault="00EC05B9">
      <w:pPr>
        <w:spacing w:line="360" w:lineRule="auto"/>
        <w:jc w:val="both"/>
        <w:rPr>
          <w:rFonts w:ascii="Palatino Linotype" w:eastAsia="Palatino Linotype" w:hAnsi="Palatino Linotype" w:cs="Palatino Linotype"/>
        </w:rPr>
      </w:pPr>
    </w:p>
    <w:p w14:paraId="1D08B344" w14:textId="77777777" w:rsidR="00EC05B9" w:rsidRPr="004E0EEA" w:rsidRDefault="00EC05B9">
      <w:pPr>
        <w:spacing w:line="360" w:lineRule="auto"/>
        <w:jc w:val="both"/>
        <w:rPr>
          <w:rFonts w:ascii="Palatino Linotype" w:eastAsia="Palatino Linotype" w:hAnsi="Palatino Linotype" w:cs="Palatino Linotype"/>
        </w:rPr>
      </w:pPr>
    </w:p>
    <w:p w14:paraId="71D1F418" w14:textId="77777777" w:rsidR="00EC05B9" w:rsidRPr="004E0EEA" w:rsidRDefault="00EC05B9">
      <w:pPr>
        <w:spacing w:line="360" w:lineRule="auto"/>
        <w:jc w:val="both"/>
        <w:rPr>
          <w:rFonts w:ascii="Palatino Linotype" w:eastAsia="Palatino Linotype" w:hAnsi="Palatino Linotype" w:cs="Palatino Linotype"/>
        </w:rPr>
      </w:pPr>
    </w:p>
    <w:p w14:paraId="1E8E25FF" w14:textId="77777777" w:rsidR="00EC05B9" w:rsidRPr="004E0EEA" w:rsidRDefault="00EC05B9">
      <w:pPr>
        <w:spacing w:line="360" w:lineRule="auto"/>
        <w:jc w:val="both"/>
        <w:rPr>
          <w:rFonts w:ascii="Palatino Linotype" w:eastAsia="Palatino Linotype" w:hAnsi="Palatino Linotype" w:cs="Palatino Linotype"/>
        </w:rPr>
      </w:pPr>
    </w:p>
    <w:p w14:paraId="4E54630E" w14:textId="77777777" w:rsidR="00EC05B9" w:rsidRPr="004E0EEA" w:rsidRDefault="00EC05B9">
      <w:pPr>
        <w:spacing w:line="360" w:lineRule="auto"/>
        <w:jc w:val="both"/>
        <w:rPr>
          <w:rFonts w:ascii="Palatino Linotype" w:eastAsia="Palatino Linotype" w:hAnsi="Palatino Linotype" w:cs="Palatino Linotype"/>
        </w:rPr>
      </w:pPr>
    </w:p>
    <w:p w14:paraId="1668EB80" w14:textId="77777777" w:rsidR="00EC05B9" w:rsidRPr="004E0EEA" w:rsidRDefault="00EC05B9">
      <w:pPr>
        <w:spacing w:line="360" w:lineRule="auto"/>
        <w:jc w:val="both"/>
        <w:rPr>
          <w:rFonts w:ascii="Palatino Linotype" w:eastAsia="Palatino Linotype" w:hAnsi="Palatino Linotype" w:cs="Palatino Linotype"/>
        </w:rPr>
      </w:pPr>
    </w:p>
    <w:sectPr w:rsidR="00EC05B9" w:rsidRPr="004E0EE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7582" w14:textId="77777777" w:rsidR="000953AC" w:rsidRDefault="000953AC">
      <w:r>
        <w:separator/>
      </w:r>
    </w:p>
  </w:endnote>
  <w:endnote w:type="continuationSeparator" w:id="0">
    <w:p w14:paraId="73A6B62C" w14:textId="77777777" w:rsidR="000953AC" w:rsidRDefault="0009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CE37" w14:textId="77777777" w:rsidR="00EC05B9" w:rsidRDefault="00A754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60E0">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60E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118CF89D" w14:textId="77777777" w:rsidR="00EC05B9" w:rsidRDefault="00EC05B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A19E" w14:textId="77777777" w:rsidR="00EC05B9" w:rsidRDefault="00A7541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60E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60E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1462311F" w14:textId="77777777" w:rsidR="00EC05B9" w:rsidRDefault="00EC05B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3370" w14:textId="77777777" w:rsidR="000953AC" w:rsidRDefault="000953AC">
      <w:r>
        <w:separator/>
      </w:r>
    </w:p>
  </w:footnote>
  <w:footnote w:type="continuationSeparator" w:id="0">
    <w:p w14:paraId="21BCBBDC" w14:textId="77777777" w:rsidR="000953AC" w:rsidRDefault="000953AC">
      <w:r>
        <w:continuationSeparator/>
      </w:r>
    </w:p>
  </w:footnote>
  <w:footnote w:id="1">
    <w:p w14:paraId="40A076A8" w14:textId="77777777" w:rsidR="00EC05B9" w:rsidRDefault="00A7541B">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 w:id="2">
    <w:p w14:paraId="66F4F188" w14:textId="77777777" w:rsidR="00EC05B9" w:rsidRDefault="00A754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5545" w14:textId="77777777" w:rsidR="00EC05B9" w:rsidRDefault="00A7541B">
    <w:pPr>
      <w:rPr>
        <w:rFonts w:ascii="Cambria" w:eastAsia="Cambria" w:hAnsi="Cambria" w:cs="Cambria"/>
        <w:color w:val="000000"/>
      </w:rPr>
    </w:pPr>
    <w:r>
      <w:rPr>
        <w:noProof/>
      </w:rPr>
      <w:drawing>
        <wp:anchor distT="0" distB="0" distL="0" distR="0" simplePos="0" relativeHeight="251658240" behindDoc="1" locked="0" layoutInCell="1" hidden="0" allowOverlap="1" wp14:anchorId="3DCA7608" wp14:editId="1B1EDDEF">
          <wp:simplePos x="0" y="0"/>
          <wp:positionH relativeFrom="column">
            <wp:posOffset>-1080093</wp:posOffset>
          </wp:positionH>
          <wp:positionV relativeFrom="paragraph">
            <wp:posOffset>-488265</wp:posOffset>
          </wp:positionV>
          <wp:extent cx="7809865" cy="10165715"/>
          <wp:effectExtent l="0" t="0" r="0" b="0"/>
          <wp:wrapNone/>
          <wp:docPr id="20832964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EC05B9" w14:paraId="670C8F28" w14:textId="77777777">
      <w:tc>
        <w:tcPr>
          <w:tcW w:w="2489" w:type="dxa"/>
          <w:shd w:val="clear" w:color="auto" w:fill="auto"/>
        </w:tcPr>
        <w:p w14:paraId="4028FB34" w14:textId="77777777" w:rsidR="00EC05B9" w:rsidRDefault="00A754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F39CA23" w14:textId="77777777" w:rsidR="00EC05B9" w:rsidRDefault="00A754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03219/INFOEM/IP/RR/2025</w:t>
          </w:r>
        </w:p>
      </w:tc>
    </w:tr>
    <w:tr w:rsidR="00EC05B9" w14:paraId="2BBB8BEB" w14:textId="77777777">
      <w:trPr>
        <w:trHeight w:val="228"/>
      </w:trPr>
      <w:tc>
        <w:tcPr>
          <w:tcW w:w="2489" w:type="dxa"/>
          <w:shd w:val="clear" w:color="auto" w:fill="auto"/>
          <w:vAlign w:val="center"/>
        </w:tcPr>
        <w:p w14:paraId="67DCE7D7" w14:textId="77777777" w:rsidR="00EC05B9" w:rsidRDefault="00A754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0B71C0B" w14:textId="77777777" w:rsidR="00EC05B9" w:rsidRDefault="00A7541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EC05B9" w14:paraId="7B7B5066" w14:textId="77777777">
      <w:tc>
        <w:tcPr>
          <w:tcW w:w="2489" w:type="dxa"/>
          <w:shd w:val="clear" w:color="auto" w:fill="auto"/>
          <w:vAlign w:val="center"/>
        </w:tcPr>
        <w:p w14:paraId="54F37982" w14:textId="77777777" w:rsidR="00EC05B9" w:rsidRDefault="00A7541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B89407A" w14:textId="77777777" w:rsidR="00EC05B9" w:rsidRDefault="00A754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C84F37" w14:textId="77777777" w:rsidR="00EC05B9" w:rsidRDefault="00A7541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E103" w14:textId="77777777" w:rsidR="00EC05B9" w:rsidRDefault="00A7541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34E92D" wp14:editId="2AE22489">
          <wp:simplePos x="0" y="0"/>
          <wp:positionH relativeFrom="column">
            <wp:posOffset>-1080119</wp:posOffset>
          </wp:positionH>
          <wp:positionV relativeFrom="paragraph">
            <wp:posOffset>-369894</wp:posOffset>
          </wp:positionV>
          <wp:extent cx="7809865" cy="10165715"/>
          <wp:effectExtent l="0" t="0" r="0" b="0"/>
          <wp:wrapNone/>
          <wp:docPr id="20832964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EC05B9" w14:paraId="4BBBFB05" w14:textId="77777777">
      <w:tc>
        <w:tcPr>
          <w:tcW w:w="2489" w:type="dxa"/>
          <w:shd w:val="clear" w:color="auto" w:fill="auto"/>
        </w:tcPr>
        <w:p w14:paraId="7EBD0DE6" w14:textId="77777777" w:rsidR="00EC05B9" w:rsidRDefault="00A754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5CB1A48" w14:textId="77777777" w:rsidR="00EC05B9" w:rsidRDefault="00A754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03219/INFOEM/IP/RR/2025</w:t>
          </w:r>
        </w:p>
      </w:tc>
    </w:tr>
    <w:tr w:rsidR="00EC05B9" w14:paraId="33E51896" w14:textId="77777777">
      <w:tc>
        <w:tcPr>
          <w:tcW w:w="2489" w:type="dxa"/>
          <w:shd w:val="clear" w:color="auto" w:fill="auto"/>
        </w:tcPr>
        <w:p w14:paraId="0599D7DF" w14:textId="77777777" w:rsidR="00EC05B9" w:rsidRDefault="00A754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9FB2C72" w14:textId="77777777" w:rsidR="00EC05B9" w:rsidRDefault="00EC05B9">
          <w:pPr>
            <w:ind w:right="175"/>
            <w:jc w:val="both"/>
            <w:rPr>
              <w:rFonts w:ascii="Palatino Linotype" w:eastAsia="Palatino Linotype" w:hAnsi="Palatino Linotype" w:cs="Palatino Linotype"/>
              <w:b/>
              <w:sz w:val="22"/>
              <w:szCs w:val="22"/>
            </w:rPr>
          </w:pPr>
        </w:p>
      </w:tc>
    </w:tr>
    <w:tr w:rsidR="00EC05B9" w14:paraId="6F5D26B1" w14:textId="77777777">
      <w:trPr>
        <w:trHeight w:val="228"/>
      </w:trPr>
      <w:tc>
        <w:tcPr>
          <w:tcW w:w="2489" w:type="dxa"/>
          <w:shd w:val="clear" w:color="auto" w:fill="auto"/>
          <w:vAlign w:val="center"/>
        </w:tcPr>
        <w:p w14:paraId="76ED000A" w14:textId="77777777" w:rsidR="00EC05B9" w:rsidRDefault="00A754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D277FC2" w14:textId="77777777" w:rsidR="00EC05B9" w:rsidRDefault="00A7541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EC05B9" w14:paraId="1603D936" w14:textId="77777777">
      <w:tc>
        <w:tcPr>
          <w:tcW w:w="2489" w:type="dxa"/>
          <w:shd w:val="clear" w:color="auto" w:fill="auto"/>
          <w:vAlign w:val="center"/>
        </w:tcPr>
        <w:p w14:paraId="63A23FD2" w14:textId="77777777" w:rsidR="00EC05B9" w:rsidRDefault="00A7541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774E4D" w14:textId="77777777" w:rsidR="00EC05B9" w:rsidRDefault="00A754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B09C0C" w14:textId="77777777" w:rsidR="00EC05B9" w:rsidRDefault="00EC05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2E5E"/>
    <w:multiLevelType w:val="multilevel"/>
    <w:tmpl w:val="35960B10"/>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1A7F34FE"/>
    <w:multiLevelType w:val="multilevel"/>
    <w:tmpl w:val="48D4784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B9"/>
    <w:rsid w:val="000953AC"/>
    <w:rsid w:val="001860E0"/>
    <w:rsid w:val="004B48EA"/>
    <w:rsid w:val="004E0EEA"/>
    <w:rsid w:val="005067F7"/>
    <w:rsid w:val="00707122"/>
    <w:rsid w:val="007376D9"/>
    <w:rsid w:val="00836072"/>
    <w:rsid w:val="00A7541B"/>
    <w:rsid w:val="00BE2DB0"/>
    <w:rsid w:val="00EC0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DE38"/>
  <w15:docId w15:val="{A2AD6747-9F73-41F5-9405-32B87158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g56PjT4dPUPgYTG6eNm0FBxA==">CgMxLjAyCWguM3JkY3JqbjIOaC5kYWozajJ4bzZxNjYyCGguZ2pkZ3hzMgloLjNkeTZ2a20yCWguMzBqMHpsbDIJaC4yczhleW8xMghoLnR5amN3dDIJaC4zem55c2g3MgloLjJldDkycDAyDmgubTN1ZnlmaDU1czIwMghoLmxueGJ6OTIOaC5mejFyY2w3aHR6NnY4AHIhMW1tLUN2d3djcUNXWU5uMFc0Wm9HV08xMW84U0tsQWln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6320</Words>
  <Characters>34766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2025-06-06T20:55:00Z</cp:lastPrinted>
  <dcterms:created xsi:type="dcterms:W3CDTF">2025-06-27T04:21:00Z</dcterms:created>
  <dcterms:modified xsi:type="dcterms:W3CDTF">2025-06-27T04:21:00Z</dcterms:modified>
</cp:coreProperties>
</file>