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5F" w:rsidRDefault="0043245F">
      <w:pPr>
        <w:widowControl w:val="0"/>
        <w:pBdr>
          <w:top w:val="nil"/>
          <w:left w:val="nil"/>
          <w:bottom w:val="nil"/>
          <w:right w:val="nil"/>
          <w:between w:val="nil"/>
        </w:pBdr>
        <w:spacing w:line="276" w:lineRule="auto"/>
      </w:pPr>
    </w:p>
    <w:p w:rsidR="0043245F" w:rsidRPr="008B2FB3" w:rsidRDefault="005248D2">
      <w:pPr>
        <w:tabs>
          <w:tab w:val="left" w:pos="3465"/>
        </w:tabs>
        <w:spacing w:line="360" w:lineRule="auto"/>
        <w:ind w:right="-847"/>
        <w:jc w:val="both"/>
        <w:rPr>
          <w:rFonts w:ascii="Palatino Linotype" w:eastAsia="Palatino Linotype" w:hAnsi="Palatino Linotype" w:cs="Palatino Linotype"/>
        </w:rPr>
      </w:pPr>
      <w:r w:rsidRPr="008B2FB3">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seis (06) de marzo de dos mil veinticinco.</w:t>
      </w:r>
    </w:p>
    <w:p w:rsidR="0043245F" w:rsidRPr="008B2FB3" w:rsidRDefault="0043245F">
      <w:pPr>
        <w:tabs>
          <w:tab w:val="left" w:pos="3465"/>
        </w:tabs>
        <w:spacing w:line="360" w:lineRule="auto"/>
        <w:ind w:right="-847"/>
        <w:jc w:val="both"/>
        <w:rPr>
          <w:rFonts w:ascii="Palatino Linotype" w:eastAsia="Palatino Linotype" w:hAnsi="Palatino Linotype" w:cs="Palatino Linotype"/>
        </w:rPr>
      </w:pPr>
    </w:p>
    <w:p w:rsidR="0043245F" w:rsidRPr="008B2FB3" w:rsidRDefault="005248D2">
      <w:pPr>
        <w:spacing w:line="360" w:lineRule="auto"/>
        <w:ind w:right="-847"/>
        <w:jc w:val="both"/>
        <w:rPr>
          <w:rFonts w:ascii="Palatino Linotype" w:eastAsia="Palatino Linotype" w:hAnsi="Palatino Linotype" w:cs="Palatino Linotype"/>
        </w:rPr>
      </w:pPr>
      <w:r w:rsidRPr="008B2FB3">
        <w:rPr>
          <w:rFonts w:ascii="Palatino Linotype" w:eastAsia="Palatino Linotype" w:hAnsi="Palatino Linotype" w:cs="Palatino Linotype"/>
          <w:b/>
        </w:rPr>
        <w:t xml:space="preserve">VISTAS </w:t>
      </w:r>
      <w:r w:rsidRPr="008B2FB3">
        <w:rPr>
          <w:rFonts w:ascii="Palatino Linotype" w:eastAsia="Palatino Linotype" w:hAnsi="Palatino Linotype" w:cs="Palatino Linotype"/>
        </w:rPr>
        <w:t xml:space="preserve">las constancias para resolver el recurso de revisión </w:t>
      </w:r>
      <w:r w:rsidR="00EA288D" w:rsidRPr="008B2FB3">
        <w:rPr>
          <w:rFonts w:ascii="Palatino Linotype" w:eastAsia="Palatino Linotype" w:hAnsi="Palatino Linotype" w:cs="Palatino Linotype"/>
          <w:b/>
          <w:sz w:val="22"/>
          <w:szCs w:val="22"/>
        </w:rPr>
        <w:t>07403/INFOEM/IP/RR/2024</w:t>
      </w:r>
      <w:r w:rsidR="00EA288D" w:rsidRPr="008B2FB3">
        <w:rPr>
          <w:rFonts w:ascii="Palatino Linotype" w:eastAsia="Palatino Linotype" w:hAnsi="Palatino Linotype" w:cs="Palatino Linotype"/>
          <w:sz w:val="22"/>
          <w:szCs w:val="22"/>
        </w:rPr>
        <w:t xml:space="preserve">, </w:t>
      </w:r>
      <w:r w:rsidRPr="008B2FB3">
        <w:rPr>
          <w:rFonts w:ascii="Palatino Linotype" w:eastAsia="Palatino Linotype" w:hAnsi="Palatino Linotype" w:cs="Palatino Linotype"/>
        </w:rPr>
        <w:t xml:space="preserve">presentado por </w:t>
      </w:r>
      <w:r w:rsidR="00EA288D" w:rsidRPr="008B2FB3">
        <w:rPr>
          <w:rFonts w:ascii="Palatino Linotype" w:eastAsia="Palatino Linotype" w:hAnsi="Palatino Linotype" w:cs="Palatino Linotype"/>
          <w:sz w:val="22"/>
          <w:szCs w:val="22"/>
        </w:rPr>
        <w:t>Anónimo</w:t>
      </w:r>
      <w:r w:rsidRPr="008B2FB3">
        <w:rPr>
          <w:rFonts w:ascii="Palatino Linotype" w:eastAsia="Palatino Linotype" w:hAnsi="Palatino Linotype" w:cs="Palatino Linotype"/>
        </w:rPr>
        <w:t xml:space="preserve">, a quien en lo sucesivo llamaremos </w:t>
      </w:r>
      <w:r w:rsidRPr="008B2FB3">
        <w:rPr>
          <w:rFonts w:ascii="Palatino Linotype" w:eastAsia="Palatino Linotype" w:hAnsi="Palatino Linotype" w:cs="Palatino Linotype"/>
          <w:b/>
        </w:rPr>
        <w:t>EL RECURRENTE o PARTICULAR</w:t>
      </w:r>
      <w:r w:rsidRPr="008B2FB3">
        <w:rPr>
          <w:rFonts w:ascii="Palatino Linotype" w:eastAsia="Palatino Linotype" w:hAnsi="Palatino Linotype" w:cs="Palatino Linotype"/>
        </w:rPr>
        <w:t xml:space="preserve">, en contra de la respuesta otorgada a la solicitud de información con número de folio </w:t>
      </w:r>
      <w:r w:rsidRPr="008B2FB3">
        <w:rPr>
          <w:rFonts w:ascii="Palatino Linotype" w:eastAsia="Palatino Linotype" w:hAnsi="Palatino Linotype" w:cs="Palatino Linotype"/>
          <w:b/>
        </w:rPr>
        <w:t>02689/TOLUCA/IP/2024</w:t>
      </w:r>
      <w:r w:rsidRPr="008B2FB3">
        <w:rPr>
          <w:rFonts w:ascii="Palatino Linotype" w:eastAsia="Palatino Linotype" w:hAnsi="Palatino Linotype" w:cs="Palatino Linotype"/>
        </w:rPr>
        <w:t xml:space="preserve">, por parte del </w:t>
      </w:r>
      <w:r w:rsidRPr="008B2FB3">
        <w:rPr>
          <w:rFonts w:ascii="Palatino Linotype" w:eastAsia="Palatino Linotype" w:hAnsi="Palatino Linotype" w:cs="Palatino Linotype"/>
          <w:b/>
        </w:rPr>
        <w:t xml:space="preserve">Ayuntamiento de Toluca, </w:t>
      </w:r>
      <w:r w:rsidRPr="008B2FB3">
        <w:rPr>
          <w:rFonts w:ascii="Palatino Linotype" w:eastAsia="Palatino Linotype" w:hAnsi="Palatino Linotype" w:cs="Palatino Linotype"/>
        </w:rPr>
        <w:t xml:space="preserve">en adelante el </w:t>
      </w:r>
      <w:r w:rsidRPr="008B2FB3">
        <w:rPr>
          <w:rFonts w:ascii="Palatino Linotype" w:eastAsia="Palatino Linotype" w:hAnsi="Palatino Linotype" w:cs="Palatino Linotype"/>
          <w:b/>
        </w:rPr>
        <w:t>SUJETO OBLIGADO,</w:t>
      </w:r>
      <w:r w:rsidRPr="008B2FB3">
        <w:rPr>
          <w:rFonts w:ascii="Palatino Linotype" w:eastAsia="Palatino Linotype" w:hAnsi="Palatino Linotype" w:cs="Palatino Linotype"/>
        </w:rPr>
        <w:t xml:space="preserve">  se emite la presente resolución con base en los siguientes:</w:t>
      </w:r>
    </w:p>
    <w:p w:rsidR="0043245F" w:rsidRPr="008B2FB3" w:rsidRDefault="0043245F">
      <w:pPr>
        <w:pStyle w:val="Ttulo1"/>
        <w:spacing w:before="0" w:line="360" w:lineRule="auto"/>
        <w:ind w:right="-847"/>
        <w:jc w:val="center"/>
        <w:rPr>
          <w:rFonts w:ascii="Palatino Linotype" w:eastAsia="Palatino Linotype" w:hAnsi="Palatino Linotype" w:cs="Palatino Linotype"/>
          <w:b/>
          <w:color w:val="000000"/>
          <w:sz w:val="24"/>
          <w:szCs w:val="24"/>
        </w:rPr>
      </w:pPr>
      <w:bookmarkStart w:id="0" w:name="_heading=h.gjdgxs" w:colFirst="0" w:colLast="0"/>
      <w:bookmarkEnd w:id="0"/>
    </w:p>
    <w:p w:rsidR="0043245F" w:rsidRPr="008B2FB3" w:rsidRDefault="005248D2">
      <w:pPr>
        <w:pStyle w:val="Ttulo1"/>
        <w:spacing w:before="0" w:line="360" w:lineRule="auto"/>
        <w:ind w:right="-847"/>
        <w:jc w:val="center"/>
        <w:rPr>
          <w:rFonts w:ascii="Palatino Linotype" w:eastAsia="Palatino Linotype" w:hAnsi="Palatino Linotype" w:cs="Palatino Linotype"/>
          <w:b/>
          <w:color w:val="000000"/>
          <w:sz w:val="24"/>
          <w:szCs w:val="24"/>
        </w:rPr>
      </w:pPr>
      <w:bookmarkStart w:id="1" w:name="_heading=h.3dy6vkm" w:colFirst="0" w:colLast="0"/>
      <w:bookmarkEnd w:id="1"/>
      <w:r w:rsidRPr="008B2FB3">
        <w:rPr>
          <w:rFonts w:ascii="Palatino Linotype" w:eastAsia="Palatino Linotype" w:hAnsi="Palatino Linotype" w:cs="Palatino Linotype"/>
          <w:b/>
          <w:color w:val="000000"/>
          <w:sz w:val="24"/>
          <w:szCs w:val="24"/>
        </w:rPr>
        <w:t xml:space="preserve">A N T E C E D E N T E S </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u w:val="single"/>
        </w:rPr>
      </w:pPr>
    </w:p>
    <w:p w:rsidR="0043245F" w:rsidRPr="008B2FB3" w:rsidRDefault="005248D2">
      <w:pPr>
        <w:numPr>
          <w:ilvl w:val="0"/>
          <w:numId w:val="1"/>
        </w:numPr>
        <w:pBdr>
          <w:top w:val="nil"/>
          <w:left w:val="nil"/>
          <w:bottom w:val="nil"/>
          <w:right w:val="nil"/>
          <w:between w:val="nil"/>
        </w:pBdr>
        <w:tabs>
          <w:tab w:val="left" w:pos="0"/>
        </w:tabs>
        <w:spacing w:line="360" w:lineRule="auto"/>
        <w:ind w:left="0" w:right="-847" w:firstLine="0"/>
        <w:jc w:val="both"/>
        <w:rPr>
          <w:color w:val="000000"/>
        </w:rPr>
      </w:pPr>
      <w:r w:rsidRPr="008B2FB3">
        <w:rPr>
          <w:rFonts w:ascii="Palatino Linotype" w:eastAsia="Palatino Linotype" w:hAnsi="Palatino Linotype" w:cs="Palatino Linotype"/>
          <w:color w:val="000000"/>
        </w:rPr>
        <w:t>El día</w:t>
      </w:r>
      <w:r w:rsidRPr="008B2FB3">
        <w:rPr>
          <w:rFonts w:ascii="Palatino Linotype" w:eastAsia="Palatino Linotype" w:hAnsi="Palatino Linotype" w:cs="Palatino Linotype"/>
          <w:b/>
          <w:color w:val="000000"/>
        </w:rPr>
        <w:t xml:space="preserve"> veintitrés de octubre de dos mil veinticuatro</w:t>
      </w:r>
      <w:r w:rsidRPr="008B2FB3">
        <w:rPr>
          <w:rFonts w:ascii="Palatino Linotype" w:eastAsia="Palatino Linotype" w:hAnsi="Palatino Linotype" w:cs="Palatino Linotype"/>
          <w:color w:val="000000"/>
        </w:rPr>
        <w:t>,</w:t>
      </w:r>
      <w:r w:rsidRPr="008B2FB3">
        <w:rPr>
          <w:rFonts w:ascii="Palatino Linotype" w:eastAsia="Palatino Linotype" w:hAnsi="Palatino Linotype" w:cs="Palatino Linotype"/>
          <w:b/>
          <w:color w:val="000000"/>
        </w:rPr>
        <w:t xml:space="preserve"> </w:t>
      </w:r>
      <w:r w:rsidRPr="008B2FB3">
        <w:rPr>
          <w:rFonts w:ascii="Palatino Linotype" w:eastAsia="Palatino Linotype" w:hAnsi="Palatino Linotype" w:cs="Palatino Linotype"/>
          <w:color w:val="000000"/>
        </w:rPr>
        <w:t xml:space="preserve">se presentó ante el </w:t>
      </w:r>
      <w:r w:rsidRPr="008B2FB3">
        <w:rPr>
          <w:rFonts w:ascii="Palatino Linotype" w:eastAsia="Palatino Linotype" w:hAnsi="Palatino Linotype" w:cs="Palatino Linotype"/>
          <w:b/>
          <w:color w:val="000000"/>
        </w:rPr>
        <w:t>SUJETO OBLIGADO</w:t>
      </w:r>
      <w:r w:rsidRPr="008B2FB3">
        <w:rPr>
          <w:rFonts w:ascii="Palatino Linotype" w:eastAsia="Palatino Linotype" w:hAnsi="Palatino Linotype" w:cs="Palatino Linotype"/>
          <w:color w:val="000000"/>
        </w:rPr>
        <w:t xml:space="preserve"> vía </w:t>
      </w:r>
      <w:r w:rsidRPr="008B2FB3">
        <w:rPr>
          <w:rFonts w:ascii="Palatino Linotype" w:eastAsia="Palatino Linotype" w:hAnsi="Palatino Linotype" w:cs="Palatino Linotype"/>
          <w:b/>
          <w:color w:val="000000"/>
        </w:rPr>
        <w:t xml:space="preserve">Plataforma Nacional de Transparencia (PNT) </w:t>
      </w:r>
      <w:r w:rsidRPr="008B2FB3">
        <w:rPr>
          <w:rFonts w:ascii="Palatino Linotype" w:eastAsia="Palatino Linotype" w:hAnsi="Palatino Linotype" w:cs="Palatino Linotype"/>
          <w:color w:val="000000"/>
        </w:rPr>
        <w:t>y Sistema de Acceso a la Información Mexiquense, en adelante (SAIMEX), la siguiente solicitud de información pública:</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i/>
          <w:color w:val="000000"/>
        </w:rPr>
      </w:pPr>
    </w:p>
    <w:p w:rsidR="0043245F" w:rsidRPr="008B2FB3" w:rsidRDefault="005248D2">
      <w:pPr>
        <w:pBdr>
          <w:top w:val="nil"/>
          <w:left w:val="nil"/>
          <w:bottom w:val="nil"/>
          <w:right w:val="nil"/>
          <w:between w:val="nil"/>
        </w:pBdr>
        <w:spacing w:line="360" w:lineRule="auto"/>
        <w:ind w:left="426" w:right="-847"/>
        <w:jc w:val="both"/>
        <w:rPr>
          <w:rFonts w:ascii="Palatino Linotype" w:eastAsia="Palatino Linotype" w:hAnsi="Palatino Linotype" w:cs="Palatino Linotype"/>
          <w:color w:val="000000"/>
        </w:rPr>
      </w:pPr>
      <w:r w:rsidRPr="008B2FB3">
        <w:rPr>
          <w:rFonts w:ascii="Palatino Linotype" w:eastAsia="Palatino Linotype" w:hAnsi="Palatino Linotype" w:cs="Palatino Linotype"/>
          <w:i/>
          <w:color w:val="000000"/>
        </w:rPr>
        <w:t xml:space="preserve">“expediente del Recurso de Revisión: 01879/INFOEM/IP/RR/2024, </w:t>
      </w:r>
      <w:proofErr w:type="spellStart"/>
      <w:r w:rsidRPr="008B2FB3">
        <w:rPr>
          <w:rFonts w:ascii="Palatino Linotype" w:eastAsia="Palatino Linotype" w:hAnsi="Palatino Linotype" w:cs="Palatino Linotype"/>
          <w:i/>
          <w:color w:val="000000"/>
        </w:rPr>
        <w:t>agrgando</w:t>
      </w:r>
      <w:proofErr w:type="spellEnd"/>
      <w:r w:rsidRPr="008B2FB3">
        <w:rPr>
          <w:rFonts w:ascii="Palatino Linotype" w:eastAsia="Palatino Linotype" w:hAnsi="Palatino Linotype" w:cs="Palatino Linotype"/>
          <w:i/>
          <w:color w:val="000000"/>
        </w:rPr>
        <w:t xml:space="preserve"> los documentos donde conste que se </w:t>
      </w:r>
      <w:proofErr w:type="spellStart"/>
      <w:r w:rsidRPr="008B2FB3">
        <w:rPr>
          <w:rFonts w:ascii="Palatino Linotype" w:eastAsia="Palatino Linotype" w:hAnsi="Palatino Linotype" w:cs="Palatino Linotype"/>
          <w:i/>
          <w:color w:val="000000"/>
        </w:rPr>
        <w:t>turno</w:t>
      </w:r>
      <w:proofErr w:type="spellEnd"/>
      <w:r w:rsidRPr="008B2FB3">
        <w:rPr>
          <w:rFonts w:ascii="Palatino Linotype" w:eastAsia="Palatino Linotype" w:hAnsi="Palatino Linotype" w:cs="Palatino Linotype"/>
          <w:i/>
          <w:color w:val="000000"/>
        </w:rPr>
        <w:t xml:space="preserve"> a las </w:t>
      </w:r>
      <w:proofErr w:type="spellStart"/>
      <w:r w:rsidRPr="008B2FB3">
        <w:rPr>
          <w:rFonts w:ascii="Palatino Linotype" w:eastAsia="Palatino Linotype" w:hAnsi="Palatino Linotype" w:cs="Palatino Linotype"/>
          <w:i/>
          <w:color w:val="000000"/>
        </w:rPr>
        <w:t>areas</w:t>
      </w:r>
      <w:proofErr w:type="spellEnd"/>
      <w:r w:rsidRPr="008B2FB3">
        <w:rPr>
          <w:rFonts w:ascii="Palatino Linotype" w:eastAsia="Palatino Linotype" w:hAnsi="Palatino Linotype" w:cs="Palatino Linotype"/>
          <w:i/>
          <w:color w:val="000000"/>
        </w:rPr>
        <w:t>.”</w:t>
      </w:r>
      <w:r w:rsidRPr="008B2FB3">
        <w:rPr>
          <w:rFonts w:ascii="Palatino Linotype" w:eastAsia="Palatino Linotype" w:hAnsi="Palatino Linotype" w:cs="Palatino Linotype"/>
          <w:color w:val="000000"/>
        </w:rPr>
        <w:t xml:space="preserve"> (Sic)</w:t>
      </w:r>
    </w:p>
    <w:p w:rsidR="0043245F" w:rsidRPr="008B2FB3" w:rsidRDefault="0043245F">
      <w:pPr>
        <w:pBdr>
          <w:top w:val="nil"/>
          <w:left w:val="nil"/>
          <w:bottom w:val="nil"/>
          <w:right w:val="nil"/>
          <w:between w:val="nil"/>
        </w:pBdr>
        <w:spacing w:line="360" w:lineRule="auto"/>
        <w:ind w:left="426" w:right="-847"/>
        <w:jc w:val="both"/>
        <w:rPr>
          <w:rFonts w:ascii="Palatino Linotype" w:eastAsia="Palatino Linotype" w:hAnsi="Palatino Linotype" w:cs="Palatino Linotype"/>
          <w:i/>
          <w:color w:val="000000"/>
        </w:rPr>
      </w:pPr>
    </w:p>
    <w:p w:rsidR="0043245F" w:rsidRPr="008B2FB3" w:rsidRDefault="005248D2">
      <w:pPr>
        <w:numPr>
          <w:ilvl w:val="0"/>
          <w:numId w:val="12"/>
        </w:numPr>
        <w:pBdr>
          <w:top w:val="nil"/>
          <w:left w:val="nil"/>
          <w:bottom w:val="nil"/>
          <w:right w:val="nil"/>
          <w:between w:val="nil"/>
        </w:pBdr>
        <w:tabs>
          <w:tab w:val="left" w:pos="0"/>
          <w:tab w:val="left" w:pos="349"/>
        </w:tabs>
        <w:spacing w:line="360" w:lineRule="auto"/>
        <w:ind w:left="0" w:right="-847" w:firstLine="0"/>
        <w:jc w:val="both"/>
        <w:rPr>
          <w:rFonts w:ascii="Palatino Linotype" w:eastAsia="Palatino Linotype" w:hAnsi="Palatino Linotype" w:cs="Palatino Linotype"/>
          <w:color w:val="000000"/>
        </w:rPr>
      </w:pPr>
      <w:r w:rsidRPr="008B2FB3">
        <w:rPr>
          <w:rFonts w:ascii="Palatino Linotype" w:eastAsia="Palatino Linotype" w:hAnsi="Palatino Linotype" w:cs="Palatino Linotype"/>
          <w:color w:val="000000"/>
        </w:rPr>
        <w:t xml:space="preserve">Se eligió como modalidad de entrega de la información: A través del </w:t>
      </w:r>
      <w:r w:rsidRPr="008B2FB3">
        <w:rPr>
          <w:rFonts w:ascii="Palatino Linotype" w:eastAsia="Palatino Linotype" w:hAnsi="Palatino Linotype" w:cs="Palatino Linotype"/>
          <w:b/>
          <w:color w:val="000000"/>
        </w:rPr>
        <w:t>SAIMEX</w:t>
      </w:r>
      <w:r w:rsidR="00073B73" w:rsidRPr="008B2FB3">
        <w:rPr>
          <w:rFonts w:ascii="Palatino Linotype" w:eastAsia="Palatino Linotype" w:hAnsi="Palatino Linotype" w:cs="Palatino Linotype"/>
          <w:b/>
          <w:color w:val="000000"/>
        </w:rPr>
        <w:t xml:space="preserve"> </w:t>
      </w:r>
      <w:r w:rsidR="00073B73" w:rsidRPr="008B2FB3">
        <w:rPr>
          <w:rFonts w:ascii="Palatino Linotype" w:eastAsia="Palatino Linotype" w:hAnsi="Palatino Linotype" w:cs="Palatino Linotype"/>
          <w:color w:val="000000"/>
        </w:rPr>
        <w:t xml:space="preserve">y </w:t>
      </w:r>
      <w:r w:rsidR="00073B73" w:rsidRPr="008B2FB3">
        <w:rPr>
          <w:rFonts w:ascii="Palatino Linotype" w:eastAsia="Palatino Linotype" w:hAnsi="Palatino Linotype" w:cs="Palatino Linotype"/>
          <w:b/>
          <w:color w:val="000000"/>
        </w:rPr>
        <w:t>correo electrónico</w:t>
      </w:r>
      <w:r w:rsidRPr="008B2FB3">
        <w:rPr>
          <w:rFonts w:ascii="Palatino Linotype" w:eastAsia="Palatino Linotype" w:hAnsi="Palatino Linotype" w:cs="Palatino Linotype"/>
          <w:b/>
          <w:color w:val="000000"/>
        </w:rPr>
        <w:t>.</w:t>
      </w:r>
    </w:p>
    <w:p w:rsidR="0043245F" w:rsidRPr="008B2FB3" w:rsidRDefault="0043245F">
      <w:pPr>
        <w:pBdr>
          <w:top w:val="nil"/>
          <w:left w:val="nil"/>
          <w:bottom w:val="nil"/>
          <w:right w:val="nil"/>
          <w:between w:val="nil"/>
        </w:pBdr>
        <w:tabs>
          <w:tab w:val="left" w:pos="0"/>
        </w:tabs>
        <w:spacing w:line="360" w:lineRule="auto"/>
        <w:ind w:right="-847"/>
        <w:jc w:val="both"/>
        <w:rPr>
          <w:rFonts w:ascii="Palatino Linotype" w:eastAsia="Palatino Linotype" w:hAnsi="Palatino Linotype" w:cs="Palatino Linotype"/>
          <w:b/>
          <w:color w:val="000000"/>
          <w:u w:val="single"/>
        </w:rPr>
      </w:pPr>
    </w:p>
    <w:p w:rsidR="0043245F" w:rsidRPr="008B2FB3" w:rsidRDefault="005248D2">
      <w:pPr>
        <w:numPr>
          <w:ilvl w:val="0"/>
          <w:numId w:val="1"/>
        </w:numPr>
        <w:pBdr>
          <w:top w:val="nil"/>
          <w:left w:val="nil"/>
          <w:bottom w:val="nil"/>
          <w:right w:val="nil"/>
          <w:between w:val="nil"/>
        </w:pBdr>
        <w:tabs>
          <w:tab w:val="left" w:pos="0"/>
        </w:tabs>
        <w:spacing w:line="360" w:lineRule="auto"/>
        <w:ind w:left="0" w:right="-847" w:firstLine="0"/>
        <w:jc w:val="both"/>
        <w:rPr>
          <w:color w:val="000000"/>
        </w:rPr>
      </w:pPr>
      <w:r w:rsidRPr="008B2FB3">
        <w:rPr>
          <w:rFonts w:ascii="Palatino Linotype" w:eastAsia="Palatino Linotype" w:hAnsi="Palatino Linotype" w:cs="Palatino Linotype"/>
          <w:color w:val="000000"/>
        </w:rPr>
        <w:lastRenderedPageBreak/>
        <w:t xml:space="preserve">El </w:t>
      </w:r>
      <w:r w:rsidRPr="008B2FB3">
        <w:rPr>
          <w:rFonts w:ascii="Palatino Linotype" w:eastAsia="Palatino Linotype" w:hAnsi="Palatino Linotype" w:cs="Palatino Linotype"/>
          <w:b/>
          <w:color w:val="000000"/>
        </w:rPr>
        <w:t>trece de noviembre de dos mil veinticuatro</w:t>
      </w:r>
      <w:r w:rsidRPr="008B2FB3">
        <w:rPr>
          <w:rFonts w:ascii="Palatino Linotype" w:eastAsia="Palatino Linotype" w:hAnsi="Palatino Linotype" w:cs="Palatino Linotype"/>
          <w:color w:val="000000"/>
        </w:rPr>
        <w:t>, se otorgó al Sujeto Obligado</w:t>
      </w:r>
      <w:r w:rsidRPr="008B2FB3">
        <w:rPr>
          <w:rFonts w:ascii="Palatino Linotype" w:eastAsia="Palatino Linotype" w:hAnsi="Palatino Linotype" w:cs="Palatino Linotype"/>
          <w:b/>
          <w:color w:val="000000"/>
        </w:rPr>
        <w:t>,</w:t>
      </w:r>
      <w:r w:rsidRPr="008B2FB3">
        <w:rPr>
          <w:rFonts w:ascii="Palatino Linotype" w:eastAsia="Palatino Linotype" w:hAnsi="Palatino Linotype" w:cs="Palatino Linotype"/>
          <w:color w:val="000000"/>
        </w:rPr>
        <w:t xml:space="preserve"> una prórroga para que estuviera en condiciones de otorgar la respuesta correspondiente.</w:t>
      </w:r>
    </w:p>
    <w:p w:rsidR="0043245F" w:rsidRPr="008B2FB3" w:rsidRDefault="0043245F">
      <w:pPr>
        <w:pBdr>
          <w:top w:val="nil"/>
          <w:left w:val="nil"/>
          <w:bottom w:val="nil"/>
          <w:right w:val="nil"/>
          <w:between w:val="nil"/>
        </w:pBdr>
        <w:tabs>
          <w:tab w:val="left" w:pos="0"/>
        </w:tabs>
        <w:spacing w:line="360" w:lineRule="auto"/>
        <w:ind w:left="709" w:right="-847"/>
        <w:jc w:val="both"/>
        <w:rPr>
          <w:rFonts w:ascii="Palatino Linotype" w:eastAsia="Palatino Linotype" w:hAnsi="Palatino Linotype" w:cs="Palatino Linotype"/>
          <w:b/>
          <w:color w:val="000000"/>
          <w:u w:val="single"/>
        </w:rPr>
      </w:pPr>
    </w:p>
    <w:p w:rsidR="0043245F" w:rsidRPr="008B2FB3" w:rsidRDefault="005248D2">
      <w:pPr>
        <w:numPr>
          <w:ilvl w:val="0"/>
          <w:numId w:val="1"/>
        </w:numPr>
        <w:pBdr>
          <w:top w:val="nil"/>
          <w:left w:val="nil"/>
          <w:bottom w:val="nil"/>
          <w:right w:val="nil"/>
          <w:between w:val="nil"/>
        </w:pBdr>
        <w:tabs>
          <w:tab w:val="left" w:pos="0"/>
        </w:tabs>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 xml:space="preserve">El </w:t>
      </w:r>
      <w:r w:rsidRPr="008B2FB3">
        <w:rPr>
          <w:rFonts w:ascii="Palatino Linotype" w:eastAsia="Palatino Linotype" w:hAnsi="Palatino Linotype" w:cs="Palatino Linotype"/>
          <w:b/>
          <w:color w:val="000000"/>
        </w:rPr>
        <w:t>veintiséis de noviembre de dos mil veinticuatro</w:t>
      </w:r>
      <w:r w:rsidRPr="008B2FB3">
        <w:rPr>
          <w:rFonts w:ascii="Palatino Linotype" w:eastAsia="Palatino Linotype" w:hAnsi="Palatino Linotype" w:cs="Palatino Linotype"/>
          <w:color w:val="000000"/>
        </w:rPr>
        <w:t>, el Sujeto Obligado</w:t>
      </w:r>
      <w:r w:rsidRPr="008B2FB3">
        <w:rPr>
          <w:rFonts w:ascii="Palatino Linotype" w:eastAsia="Palatino Linotype" w:hAnsi="Palatino Linotype" w:cs="Palatino Linotype"/>
          <w:b/>
          <w:color w:val="000000"/>
        </w:rPr>
        <w:t>,</w:t>
      </w:r>
      <w:r w:rsidRPr="008B2FB3">
        <w:rPr>
          <w:rFonts w:ascii="Palatino Linotype" w:eastAsia="Palatino Linotype" w:hAnsi="Palatino Linotype" w:cs="Palatino Linotype"/>
          <w:color w:val="000000"/>
        </w:rPr>
        <w:t xml:space="preserve"> dio respuesta a través de los archivos:</w:t>
      </w:r>
    </w:p>
    <w:p w:rsidR="0043245F" w:rsidRPr="008B2FB3" w:rsidRDefault="005248D2">
      <w:pPr>
        <w:numPr>
          <w:ilvl w:val="0"/>
          <w:numId w:val="2"/>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b/>
          <w:i/>
          <w:color w:val="000000"/>
          <w:sz w:val="22"/>
          <w:szCs w:val="22"/>
        </w:rPr>
        <w:t>anexo</w:t>
      </w:r>
      <w:proofErr w:type="gramStart"/>
      <w:r w:rsidRPr="008B2FB3">
        <w:rPr>
          <w:rFonts w:ascii="Palatino Linotype" w:eastAsia="Palatino Linotype" w:hAnsi="Palatino Linotype" w:cs="Palatino Linotype"/>
          <w:b/>
          <w:i/>
          <w:color w:val="000000"/>
          <w:sz w:val="22"/>
          <w:szCs w:val="22"/>
        </w:rPr>
        <w:t>..</w:t>
      </w:r>
      <w:proofErr w:type="spellStart"/>
      <w:proofErr w:type="gramEnd"/>
      <w:r w:rsidRPr="008B2FB3">
        <w:rPr>
          <w:rFonts w:ascii="Palatino Linotype" w:eastAsia="Palatino Linotype" w:hAnsi="Palatino Linotype" w:cs="Palatino Linotype"/>
          <w:b/>
          <w:i/>
          <w:color w:val="000000"/>
          <w:sz w:val="22"/>
          <w:szCs w:val="22"/>
        </w:rPr>
        <w:t>pdf</w:t>
      </w:r>
      <w:proofErr w:type="spellEnd"/>
      <w:r w:rsidRPr="008B2FB3">
        <w:rPr>
          <w:rFonts w:ascii="Palatino Linotype" w:eastAsia="Palatino Linotype" w:hAnsi="Palatino Linotype" w:cs="Palatino Linotype"/>
          <w:b/>
          <w:i/>
          <w:color w:val="000000"/>
          <w:sz w:val="22"/>
          <w:szCs w:val="22"/>
        </w:rPr>
        <w:t xml:space="preserve">, </w:t>
      </w:r>
      <w:r w:rsidRPr="008B2FB3">
        <w:rPr>
          <w:rFonts w:ascii="Palatino Linotype" w:eastAsia="Palatino Linotype" w:hAnsi="Palatino Linotype" w:cs="Palatino Linotype"/>
          <w:color w:val="000000"/>
          <w:sz w:val="22"/>
          <w:szCs w:val="22"/>
        </w:rPr>
        <w:t>cuyo contenido corresponde 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Formato de la interposición del recurso de revisión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Resolución del recurso 01879/INFOEM/IP/RR/2024, en versión pública.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Oficio de fecha uno de enero de dos mil veintidós suscrito por el Presidente Municipal de Toluca y el Secretario del Ayuntamiento de Toluca, relativo al nombramiento del Coordinador de Apoyo Técnico y Archivo adscrito a la Secretaría del Ayuntamiento.</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Formato de Acuerdo de Admisión del recurso de revisión número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Acuerdo de ampliación de plazo para resolver el recurso de revisión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Documento constante de dos fojas útiles tamaño carta, en la que obran los nombres y cargos de los servidores públicos habilitados del Ayuntamiento de Toluca.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color w:val="000000"/>
          <w:sz w:val="22"/>
          <w:szCs w:val="22"/>
        </w:rPr>
        <w:t>Oficio 2010A4000/UT/RR/0299/2024, de fecha veintinueve de abril de dos mil veinticuatro, relativo al informe justificado del SUJETO OBLIGADO dentro del recurso de revisión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Documento relativo al Acuerdo del informe justificado del recurso de revisión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Acuerdo de cierre de instrucción del recurso de revisión 01879/INFOEM/IP/RR/2024.</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lastRenderedPageBreak/>
        <w:t>Oficio de fecha uno de enero del año dos mil veintidós, relativo al nombramiento del Jefe del Departamento de Archivo de Concentración, firmado por el Presidente Municipal de Toluca y el Secretario del Ayuntamiento de Toluca.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Oficio de fecha uno de enero del año dos mil veintidós, relativo al nombramiento del Jefe del Departamento de Correspondencia, firmado por el Presidente Municipal de Toluca y el Secretario del Ayuntamiento de Toluca.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Oficio de fecha uno de enero del año dos mil veintidós, relativo al nombramiento del Jefe del Departamento de Archivo Histórico, firmado por el Presidente Municipal de Toluca y el Secretario del Ayuntamiento de Toluca.</w:t>
      </w:r>
    </w:p>
    <w:p w:rsidR="0043245F" w:rsidRPr="008B2FB3" w:rsidRDefault="005248D2">
      <w:pPr>
        <w:numPr>
          <w:ilvl w:val="0"/>
          <w:numId w:val="3"/>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Oficio número 2010A4000/UT/RR/0444/2024, de fecha nueve de agosto de dos mil veinticuatro, suscrito por la Titular de la Unidad de Transparencia, relativo al cumplimiento de resolución del recurso de revisión 01879/INFOEM/IP/RR/2024.</w:t>
      </w:r>
    </w:p>
    <w:p w:rsidR="0043245F" w:rsidRPr="008B2FB3" w:rsidRDefault="0043245F">
      <w:p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color w:val="000000"/>
          <w:sz w:val="22"/>
          <w:szCs w:val="22"/>
        </w:rPr>
      </w:pPr>
    </w:p>
    <w:p w:rsidR="0043245F" w:rsidRPr="008B2FB3" w:rsidRDefault="005248D2">
      <w:pPr>
        <w:numPr>
          <w:ilvl w:val="0"/>
          <w:numId w:val="2"/>
        </w:numPr>
        <w:pBdr>
          <w:top w:val="nil"/>
          <w:left w:val="nil"/>
          <w:bottom w:val="nil"/>
          <w:right w:val="nil"/>
          <w:between w:val="nil"/>
        </w:pBdr>
        <w:tabs>
          <w:tab w:val="left" w:pos="0"/>
        </w:tabs>
        <w:spacing w:line="360" w:lineRule="auto"/>
        <w:ind w:right="-280"/>
        <w:jc w:val="both"/>
        <w:rPr>
          <w:rFonts w:ascii="Palatino Linotype" w:eastAsia="Palatino Linotype" w:hAnsi="Palatino Linotype" w:cs="Palatino Linotype"/>
          <w:b/>
          <w:color w:val="000000"/>
          <w:sz w:val="22"/>
          <w:szCs w:val="22"/>
        </w:rPr>
      </w:pPr>
      <w:r w:rsidRPr="008B2FB3">
        <w:rPr>
          <w:rFonts w:ascii="Palatino Linotype" w:eastAsia="Palatino Linotype" w:hAnsi="Palatino Linotype" w:cs="Palatino Linotype"/>
          <w:b/>
          <w:i/>
          <w:color w:val="000000"/>
          <w:sz w:val="22"/>
          <w:szCs w:val="22"/>
        </w:rPr>
        <w:t xml:space="preserve">2689.pdf, </w:t>
      </w:r>
      <w:r w:rsidRPr="008B2FB3">
        <w:rPr>
          <w:rFonts w:ascii="Palatino Linotype" w:eastAsia="Palatino Linotype" w:hAnsi="Palatino Linotype" w:cs="Palatino Linotype"/>
          <w:color w:val="000000"/>
          <w:sz w:val="22"/>
          <w:szCs w:val="22"/>
        </w:rPr>
        <w:t>cuyo contenido corresponde al oficio de fecha veintiséis de noviembre de dos mil veinticuatro, suscrito por la Titular de la Unidad de Transparencia, por medio del cual da respuesta al particular.</w:t>
      </w:r>
    </w:p>
    <w:p w:rsidR="0043245F" w:rsidRPr="008B2FB3" w:rsidRDefault="0043245F">
      <w:pPr>
        <w:pBdr>
          <w:top w:val="nil"/>
          <w:left w:val="nil"/>
          <w:bottom w:val="nil"/>
          <w:right w:val="nil"/>
          <w:between w:val="nil"/>
        </w:pBdr>
        <w:tabs>
          <w:tab w:val="left" w:pos="0"/>
        </w:tabs>
        <w:spacing w:line="360" w:lineRule="auto"/>
        <w:ind w:right="-847"/>
        <w:jc w:val="both"/>
        <w:rPr>
          <w:rFonts w:ascii="Palatino Linotype" w:eastAsia="Palatino Linotype" w:hAnsi="Palatino Linotype" w:cs="Palatino Linotype"/>
          <w:i/>
          <w:color w:val="000000"/>
          <w:u w:val="single"/>
        </w:rPr>
      </w:pPr>
    </w:p>
    <w:p w:rsidR="0043245F" w:rsidRPr="008B2FB3" w:rsidRDefault="005248D2">
      <w:pPr>
        <w:numPr>
          <w:ilvl w:val="0"/>
          <w:numId w:val="1"/>
        </w:numPr>
        <w:pBdr>
          <w:top w:val="nil"/>
          <w:left w:val="nil"/>
          <w:bottom w:val="nil"/>
          <w:right w:val="nil"/>
          <w:between w:val="nil"/>
        </w:pBdr>
        <w:tabs>
          <w:tab w:val="left" w:pos="0"/>
        </w:tabs>
        <w:spacing w:line="360" w:lineRule="auto"/>
        <w:ind w:left="0" w:right="-847" w:firstLine="0"/>
        <w:jc w:val="both"/>
        <w:rPr>
          <w:color w:val="000000"/>
        </w:rPr>
      </w:pPr>
      <w:r w:rsidRPr="008B2FB3">
        <w:rPr>
          <w:rFonts w:ascii="Palatino Linotype" w:eastAsia="Palatino Linotype" w:hAnsi="Palatino Linotype" w:cs="Palatino Linotype"/>
          <w:color w:val="000000"/>
        </w:rPr>
        <w:t>El</w:t>
      </w:r>
      <w:r w:rsidRPr="008B2FB3">
        <w:rPr>
          <w:rFonts w:ascii="Palatino Linotype" w:eastAsia="Palatino Linotype" w:hAnsi="Palatino Linotype" w:cs="Palatino Linotype"/>
          <w:b/>
          <w:color w:val="000000"/>
        </w:rPr>
        <w:t xml:space="preserve"> veintiocho de noviembre de dos mil veinticuatro</w:t>
      </w:r>
      <w:r w:rsidRPr="008B2FB3">
        <w:rPr>
          <w:rFonts w:ascii="Palatino Linotype" w:eastAsia="Palatino Linotype" w:hAnsi="Palatino Linotype" w:cs="Palatino Linotype"/>
          <w:color w:val="000000"/>
        </w:rPr>
        <w:t>, el particular interpuso el recurso de revisión en contra de la respuesta, realizando las siguientes manifestaciones:</w:t>
      </w:r>
    </w:p>
    <w:p w:rsidR="0043245F" w:rsidRPr="008B2FB3" w:rsidRDefault="005248D2">
      <w:pPr>
        <w:numPr>
          <w:ilvl w:val="0"/>
          <w:numId w:val="11"/>
        </w:numPr>
        <w:pBdr>
          <w:top w:val="nil"/>
          <w:left w:val="nil"/>
          <w:bottom w:val="nil"/>
          <w:right w:val="nil"/>
          <w:between w:val="nil"/>
        </w:pBdr>
        <w:spacing w:line="360" w:lineRule="auto"/>
        <w:ind w:right="-280" w:hanging="360"/>
        <w:jc w:val="both"/>
        <w:rPr>
          <w:rFonts w:ascii="Palatino Linotype" w:eastAsia="Palatino Linotype" w:hAnsi="Palatino Linotype" w:cs="Palatino Linotype"/>
          <w:i/>
          <w:color w:val="000000"/>
          <w:sz w:val="22"/>
          <w:szCs w:val="22"/>
        </w:rPr>
      </w:pPr>
      <w:bookmarkStart w:id="2" w:name="_heading=h.30j0zll" w:colFirst="0" w:colLast="0"/>
      <w:bookmarkEnd w:id="2"/>
      <w:r w:rsidRPr="008B2FB3">
        <w:rPr>
          <w:rFonts w:ascii="Palatino Linotype" w:eastAsia="Palatino Linotype" w:hAnsi="Palatino Linotype" w:cs="Palatino Linotype"/>
          <w:b/>
          <w:color w:val="000000"/>
          <w:sz w:val="22"/>
          <w:szCs w:val="22"/>
        </w:rPr>
        <w:t xml:space="preserve">ACTO IMPUGNADO: </w:t>
      </w:r>
      <w:r w:rsidRPr="008B2FB3">
        <w:rPr>
          <w:rFonts w:ascii="Palatino Linotype" w:eastAsia="Palatino Linotype" w:hAnsi="Palatino Linotype" w:cs="Palatino Linotype"/>
          <w:i/>
          <w:color w:val="000000"/>
          <w:sz w:val="22"/>
          <w:szCs w:val="22"/>
        </w:rPr>
        <w:t>“la inveterada respuesta.”</w:t>
      </w:r>
      <w:r w:rsidRPr="008B2FB3">
        <w:rPr>
          <w:rFonts w:ascii="Palatino Linotype" w:eastAsia="Palatino Linotype" w:hAnsi="Palatino Linotype" w:cs="Palatino Linotype"/>
          <w:color w:val="000000"/>
          <w:sz w:val="22"/>
          <w:szCs w:val="22"/>
        </w:rPr>
        <w:t xml:space="preserve"> (Sic)</w:t>
      </w:r>
    </w:p>
    <w:p w:rsidR="0043245F" w:rsidRPr="008B2FB3" w:rsidRDefault="005248D2">
      <w:pPr>
        <w:numPr>
          <w:ilvl w:val="0"/>
          <w:numId w:val="11"/>
        </w:numPr>
        <w:pBdr>
          <w:top w:val="nil"/>
          <w:left w:val="nil"/>
          <w:bottom w:val="nil"/>
          <w:right w:val="nil"/>
          <w:between w:val="nil"/>
        </w:pBdr>
        <w:spacing w:line="360" w:lineRule="auto"/>
        <w:ind w:right="-280" w:hanging="36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color w:val="000000"/>
          <w:sz w:val="22"/>
          <w:szCs w:val="22"/>
        </w:rPr>
        <w:t xml:space="preserve">RAZONES O MOTIVOS DE LA INCONFORMIDAD: </w:t>
      </w:r>
      <w:r w:rsidRPr="008B2FB3">
        <w:rPr>
          <w:rFonts w:ascii="Palatino Linotype" w:eastAsia="Palatino Linotype" w:hAnsi="Palatino Linotype" w:cs="Palatino Linotype"/>
          <w:i/>
          <w:color w:val="000000"/>
          <w:sz w:val="22"/>
          <w:szCs w:val="22"/>
        </w:rPr>
        <w:t xml:space="preserve">“solicite el expediente y los documentos que dieran cuenta que se </w:t>
      </w:r>
      <w:proofErr w:type="spellStart"/>
      <w:r w:rsidRPr="008B2FB3">
        <w:rPr>
          <w:rFonts w:ascii="Palatino Linotype" w:eastAsia="Palatino Linotype" w:hAnsi="Palatino Linotype" w:cs="Palatino Linotype"/>
          <w:i/>
          <w:color w:val="000000"/>
          <w:sz w:val="22"/>
          <w:szCs w:val="22"/>
        </w:rPr>
        <w:t>turno</w:t>
      </w:r>
      <w:proofErr w:type="spellEnd"/>
      <w:r w:rsidRPr="008B2FB3">
        <w:rPr>
          <w:rFonts w:ascii="Palatino Linotype" w:eastAsia="Palatino Linotype" w:hAnsi="Palatino Linotype" w:cs="Palatino Linotype"/>
          <w:i/>
          <w:color w:val="000000"/>
          <w:sz w:val="22"/>
          <w:szCs w:val="22"/>
        </w:rPr>
        <w:t xml:space="preserve">, en primera el expediente </w:t>
      </w:r>
      <w:proofErr w:type="spellStart"/>
      <w:r w:rsidRPr="008B2FB3">
        <w:rPr>
          <w:rFonts w:ascii="Palatino Linotype" w:eastAsia="Palatino Linotype" w:hAnsi="Palatino Linotype" w:cs="Palatino Linotype"/>
          <w:i/>
          <w:color w:val="000000"/>
          <w:sz w:val="22"/>
          <w:szCs w:val="22"/>
        </w:rPr>
        <w:t>esta</w:t>
      </w:r>
      <w:proofErr w:type="spellEnd"/>
      <w:r w:rsidRPr="008B2FB3">
        <w:rPr>
          <w:rFonts w:ascii="Palatino Linotype" w:eastAsia="Palatino Linotype" w:hAnsi="Palatino Linotype" w:cs="Palatino Linotype"/>
          <w:i/>
          <w:color w:val="000000"/>
          <w:sz w:val="22"/>
          <w:szCs w:val="22"/>
        </w:rPr>
        <w:t xml:space="preserve"> incompleto y en segunda, sobre los documentos que dieran cuenta que se </w:t>
      </w:r>
      <w:proofErr w:type="spellStart"/>
      <w:r w:rsidRPr="008B2FB3">
        <w:rPr>
          <w:rFonts w:ascii="Palatino Linotype" w:eastAsia="Palatino Linotype" w:hAnsi="Palatino Linotype" w:cs="Palatino Linotype"/>
          <w:i/>
          <w:color w:val="000000"/>
          <w:sz w:val="22"/>
          <w:szCs w:val="22"/>
        </w:rPr>
        <w:t>turno</w:t>
      </w:r>
      <w:proofErr w:type="spellEnd"/>
      <w:r w:rsidRPr="008B2FB3">
        <w:rPr>
          <w:rFonts w:ascii="Palatino Linotype" w:eastAsia="Palatino Linotype" w:hAnsi="Palatino Linotype" w:cs="Palatino Linotype"/>
          <w:i/>
          <w:color w:val="000000"/>
          <w:sz w:val="22"/>
          <w:szCs w:val="22"/>
        </w:rPr>
        <w:t xml:space="preserve">, no anexo nada ni se </w:t>
      </w:r>
      <w:proofErr w:type="spellStart"/>
      <w:r w:rsidRPr="008B2FB3">
        <w:rPr>
          <w:rFonts w:ascii="Palatino Linotype" w:eastAsia="Palatino Linotype" w:hAnsi="Palatino Linotype" w:cs="Palatino Linotype"/>
          <w:i/>
          <w:color w:val="000000"/>
          <w:sz w:val="22"/>
          <w:szCs w:val="22"/>
        </w:rPr>
        <w:t>pronuncio</w:t>
      </w:r>
      <w:proofErr w:type="spellEnd"/>
      <w:r w:rsidRPr="008B2FB3">
        <w:rPr>
          <w:rFonts w:ascii="Palatino Linotype" w:eastAsia="Palatino Linotype" w:hAnsi="Palatino Linotype" w:cs="Palatino Linotype"/>
          <w:i/>
          <w:color w:val="000000"/>
          <w:sz w:val="22"/>
          <w:szCs w:val="22"/>
        </w:rPr>
        <w:t xml:space="preserve"> al respecto.”</w:t>
      </w:r>
      <w:r w:rsidRPr="008B2FB3">
        <w:rPr>
          <w:rFonts w:ascii="Palatino Linotype" w:eastAsia="Palatino Linotype" w:hAnsi="Palatino Linotype" w:cs="Palatino Linotype"/>
          <w:color w:val="000000"/>
          <w:sz w:val="22"/>
          <w:szCs w:val="22"/>
        </w:rPr>
        <w:t xml:space="preserve"> (Sic)</w:t>
      </w: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lastRenderedPageBreak/>
        <w:t xml:space="preserve">Con fundamento en lo dispuesto por el artículo 185 fracción II de la ley de la materia, se acordó a las partes a efecto de que, en un plazo máximo de siete días, el Recurrente </w:t>
      </w:r>
      <w:r w:rsidRPr="008B2FB3">
        <w:rPr>
          <w:rFonts w:ascii="Palatino Linotype" w:eastAsia="Palatino Linotype" w:hAnsi="Palatino Linotype" w:cs="Palatino Linotype"/>
        </w:rPr>
        <w:t>manifiesta</w:t>
      </w:r>
      <w:r w:rsidRPr="008B2FB3">
        <w:rPr>
          <w:rFonts w:ascii="Palatino Linotype" w:eastAsia="Palatino Linotype" w:hAnsi="Palatino Linotype" w:cs="Palatino Linotype"/>
          <w:color w:val="000000"/>
        </w:rPr>
        <w:t xml:space="preserve"> lo que a su derecho conviniera, </w:t>
      </w:r>
      <w:r w:rsidRPr="008B2FB3">
        <w:rPr>
          <w:rFonts w:ascii="Palatino Linotype" w:eastAsia="Palatino Linotype" w:hAnsi="Palatino Linotype" w:cs="Palatino Linotype"/>
        </w:rPr>
        <w:t>ofreciera</w:t>
      </w:r>
      <w:r w:rsidRPr="008B2FB3">
        <w:rPr>
          <w:rFonts w:ascii="Palatino Linotype" w:eastAsia="Palatino Linotype" w:hAnsi="Palatino Linotype" w:cs="Palatino Linotype"/>
          <w:color w:val="000000"/>
        </w:rPr>
        <w:t xml:space="preserve"> pruebas y alegatos, y el Sujeto Obligado presentará el Informe Justificado.</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i/>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t xml:space="preserve">El particular fue omiso en realizar manifestaciones que a su derecho conviniera y asistiera. Por su parte el </w:t>
      </w:r>
      <w:r w:rsidRPr="008B2FB3">
        <w:rPr>
          <w:rFonts w:ascii="Palatino Linotype" w:eastAsia="Palatino Linotype" w:hAnsi="Palatino Linotype" w:cs="Palatino Linotype"/>
          <w:b/>
          <w:color w:val="000000"/>
        </w:rPr>
        <w:t xml:space="preserve">SUJETO </w:t>
      </w:r>
      <w:r w:rsidRPr="008B2FB3">
        <w:rPr>
          <w:rFonts w:ascii="Palatino Linotype" w:eastAsia="Palatino Linotype" w:hAnsi="Palatino Linotype" w:cs="Palatino Linotype"/>
          <w:b/>
        </w:rPr>
        <w:t xml:space="preserve">OBLIGADO, </w:t>
      </w:r>
      <w:r w:rsidRPr="008B2FB3">
        <w:rPr>
          <w:rFonts w:ascii="Palatino Linotype" w:eastAsia="Palatino Linotype" w:hAnsi="Palatino Linotype" w:cs="Palatino Linotype"/>
          <w:color w:val="000000"/>
        </w:rPr>
        <w:t xml:space="preserve">rindió informe justificado </w:t>
      </w:r>
      <w:r w:rsidRPr="008B2FB3">
        <w:rPr>
          <w:rFonts w:ascii="Palatino Linotype" w:eastAsia="Palatino Linotype" w:hAnsi="Palatino Linotype" w:cs="Palatino Linotype"/>
          <w:i/>
          <w:color w:val="000000"/>
        </w:rPr>
        <w:t>grosso modo</w:t>
      </w:r>
      <w:r w:rsidRPr="008B2FB3">
        <w:rPr>
          <w:rFonts w:ascii="Palatino Linotype" w:eastAsia="Palatino Linotype" w:hAnsi="Palatino Linotype" w:cs="Palatino Linotype"/>
          <w:color w:val="000000"/>
        </w:rPr>
        <w:t xml:space="preserve"> ratificando su respuesta primigenia.</w:t>
      </w:r>
    </w:p>
    <w:p w:rsidR="0043245F" w:rsidRPr="008B2FB3" w:rsidRDefault="0043245F">
      <w:pPr>
        <w:spacing w:line="360" w:lineRule="auto"/>
        <w:ind w:left="567" w:right="-847"/>
        <w:jc w:val="both"/>
        <w:rPr>
          <w:rFonts w:ascii="Palatino Linotype" w:eastAsia="Palatino Linotype" w:hAnsi="Palatino Linotype" w:cs="Palatino Linotype"/>
          <w:i/>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b/>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 xml:space="preserve">Así, en términos de lo que establecen los artículos 8.1 y 25 de la Convención Americana sobre Derechos Humanos, los recursos deben ser sencillos y resolverse en el </w:t>
      </w:r>
      <w:r w:rsidRPr="008B2FB3">
        <w:rPr>
          <w:rFonts w:ascii="Palatino Linotype" w:eastAsia="Palatino Linotype" w:hAnsi="Palatino Linotype" w:cs="Palatino Linotype"/>
          <w:color w:val="000000"/>
        </w:rPr>
        <w:lastRenderedPageBreak/>
        <w:t>menor tiempo posible, tomando en consideración la dilación total del procedimiento; esto es, en un plazo razonable.</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b/>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43245F" w:rsidRPr="008B2FB3" w:rsidRDefault="005248D2">
      <w:pPr>
        <w:numPr>
          <w:ilvl w:val="0"/>
          <w:numId w:val="13"/>
        </w:numPr>
        <w:pBdr>
          <w:top w:val="nil"/>
          <w:left w:val="nil"/>
          <w:bottom w:val="nil"/>
          <w:right w:val="nil"/>
          <w:between w:val="nil"/>
        </w:pBdr>
        <w:spacing w:line="360" w:lineRule="auto"/>
        <w:ind w:left="992" w:right="-280"/>
        <w:jc w:val="both"/>
        <w:rPr>
          <w:rFonts w:ascii="Palatino Linotype" w:eastAsia="Palatino Linotype" w:hAnsi="Palatino Linotype" w:cs="Palatino Linotype"/>
          <w:sz w:val="22"/>
          <w:szCs w:val="22"/>
        </w:rPr>
      </w:pPr>
      <w:r w:rsidRPr="008B2FB3">
        <w:rPr>
          <w:rFonts w:ascii="Palatino Linotype" w:eastAsia="Palatino Linotype" w:hAnsi="Palatino Linotype" w:cs="Palatino Linotype"/>
          <w:color w:val="000000"/>
          <w:sz w:val="22"/>
          <w:szCs w:val="22"/>
        </w:rPr>
        <w:t xml:space="preserve">Complejidad del </w:t>
      </w:r>
      <w:r w:rsidRPr="008B2FB3">
        <w:rPr>
          <w:rFonts w:ascii="Palatino Linotype" w:eastAsia="Palatino Linotype" w:hAnsi="Palatino Linotype" w:cs="Palatino Linotype"/>
          <w:sz w:val="22"/>
          <w:szCs w:val="22"/>
        </w:rPr>
        <w:t>asunto</w:t>
      </w:r>
      <w:r w:rsidRPr="008B2FB3">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43245F" w:rsidRPr="008B2FB3" w:rsidRDefault="005248D2">
      <w:pPr>
        <w:numPr>
          <w:ilvl w:val="0"/>
          <w:numId w:val="13"/>
        </w:numPr>
        <w:pBdr>
          <w:top w:val="nil"/>
          <w:left w:val="nil"/>
          <w:bottom w:val="nil"/>
          <w:right w:val="nil"/>
          <w:between w:val="nil"/>
        </w:pBdr>
        <w:spacing w:line="360" w:lineRule="auto"/>
        <w:ind w:left="992"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Actividad Procesal del interesado. Acciones u omisiones del interesado.</w:t>
      </w:r>
    </w:p>
    <w:p w:rsidR="0043245F" w:rsidRPr="008B2FB3" w:rsidRDefault="005248D2">
      <w:pPr>
        <w:numPr>
          <w:ilvl w:val="0"/>
          <w:numId w:val="13"/>
        </w:numPr>
        <w:pBdr>
          <w:top w:val="nil"/>
          <w:left w:val="nil"/>
          <w:bottom w:val="nil"/>
          <w:right w:val="nil"/>
          <w:between w:val="nil"/>
        </w:pBdr>
        <w:spacing w:line="360" w:lineRule="auto"/>
        <w:ind w:left="992"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43245F" w:rsidRPr="008B2FB3" w:rsidRDefault="005248D2">
      <w:pPr>
        <w:numPr>
          <w:ilvl w:val="0"/>
          <w:numId w:val="13"/>
        </w:numPr>
        <w:pBdr>
          <w:top w:val="nil"/>
          <w:left w:val="nil"/>
          <w:bottom w:val="nil"/>
          <w:right w:val="nil"/>
          <w:between w:val="nil"/>
        </w:pBdr>
        <w:spacing w:line="360" w:lineRule="auto"/>
        <w:ind w:left="992" w:right="-280"/>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43245F" w:rsidRPr="008B2FB3" w:rsidRDefault="0043245F">
      <w:pPr>
        <w:pBdr>
          <w:top w:val="nil"/>
          <w:left w:val="nil"/>
          <w:bottom w:val="nil"/>
          <w:right w:val="nil"/>
          <w:between w:val="nil"/>
        </w:pBdr>
        <w:spacing w:line="360" w:lineRule="auto"/>
        <w:ind w:left="992" w:right="-847"/>
        <w:jc w:val="both"/>
        <w:rPr>
          <w:rFonts w:ascii="Palatino Linotype" w:eastAsia="Palatino Linotype" w:hAnsi="Palatino Linotype" w:cs="Palatino Linotype"/>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r w:rsidRPr="008B2FB3">
        <w:rPr>
          <w:rFonts w:ascii="Palatino Linotype" w:eastAsia="Palatino Linotype" w:hAnsi="Palatino Linotype" w:cs="Palatino Linotype"/>
          <w:color w:val="000000"/>
        </w:rPr>
        <w:lastRenderedPageBreak/>
        <w:t>Argumento que encuentra sustento en la jurisprudencia P</w:t>
      </w:r>
      <w:proofErr w:type="gramStart"/>
      <w:r w:rsidRPr="008B2FB3">
        <w:rPr>
          <w:rFonts w:ascii="Palatino Linotype" w:eastAsia="Palatino Linotype" w:hAnsi="Palatino Linotype" w:cs="Palatino Linotype"/>
          <w:color w:val="000000"/>
        </w:rPr>
        <w:t>./</w:t>
      </w:r>
      <w:proofErr w:type="gramEnd"/>
      <w:r w:rsidRPr="008B2FB3">
        <w:rPr>
          <w:rFonts w:ascii="Palatino Linotype" w:eastAsia="Palatino Linotype" w:hAnsi="Palatino Linotype" w:cs="Palatino Linotype"/>
          <w:color w:val="000000"/>
        </w:rPr>
        <w:t xml:space="preserve">J. 32/92 emitida por el Pleno de la Suprema Corte de Justicia de la Nación </w:t>
      </w:r>
      <w:r w:rsidRPr="008B2FB3">
        <w:rPr>
          <w:rFonts w:ascii="Palatino Linotype" w:eastAsia="Palatino Linotype" w:hAnsi="Palatino Linotype" w:cs="Palatino Linotype"/>
        </w:rPr>
        <w:t>del rubro</w:t>
      </w:r>
      <w:r w:rsidRPr="008B2FB3">
        <w:rPr>
          <w:rFonts w:ascii="Palatino Linotype" w:eastAsia="Palatino Linotype" w:hAnsi="Palatino Linotype" w:cs="Palatino Linotype"/>
          <w:color w:val="000000"/>
        </w:rPr>
        <w:t xml:space="preserve"> </w:t>
      </w:r>
      <w:r w:rsidRPr="008B2FB3">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8B2FB3">
        <w:rPr>
          <w:rFonts w:ascii="Palatino Linotype" w:eastAsia="Palatino Linotype" w:hAnsi="Palatino Linotype" w:cs="Palatino Linotype"/>
          <w:color w:val="000000"/>
        </w:rPr>
        <w:t xml:space="preserve">, visible en la Gaceta del </w:t>
      </w:r>
      <w:r w:rsidRPr="008B2FB3">
        <w:rPr>
          <w:rFonts w:ascii="Palatino Linotype" w:eastAsia="Palatino Linotype" w:hAnsi="Palatino Linotype" w:cs="Palatino Linotype"/>
        </w:rPr>
        <w:t>Semanario</w:t>
      </w:r>
      <w:r w:rsidRPr="008B2FB3">
        <w:rPr>
          <w:rFonts w:ascii="Palatino Linotype" w:eastAsia="Palatino Linotype" w:hAnsi="Palatino Linotype" w:cs="Palatino Linotype"/>
          <w:color w:val="000000"/>
        </w:rPr>
        <w:t xml:space="preserve"> Judicial de la Federación con el registro digital 205635.</w:t>
      </w:r>
    </w:p>
    <w:p w:rsidR="0043245F" w:rsidRPr="008B2FB3" w:rsidRDefault="0043245F">
      <w:pPr>
        <w:pBdr>
          <w:top w:val="nil"/>
          <w:left w:val="nil"/>
          <w:bottom w:val="nil"/>
          <w:right w:val="nil"/>
          <w:between w:val="nil"/>
        </w:pBdr>
        <w:spacing w:line="360" w:lineRule="auto"/>
        <w:ind w:left="644" w:right="-847"/>
        <w:jc w:val="both"/>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Seguidamente el </w:t>
      </w:r>
      <w:r w:rsidRPr="008B2FB3">
        <w:rPr>
          <w:rFonts w:ascii="Palatino Linotype" w:eastAsia="Palatino Linotype" w:hAnsi="Palatino Linotype" w:cs="Palatino Linotype"/>
          <w:b/>
        </w:rPr>
        <w:t>once de febrero de dos mil veinticinco</w:t>
      </w:r>
      <w:r w:rsidRPr="008B2FB3">
        <w:rPr>
          <w:rFonts w:ascii="Palatino Linotype" w:eastAsia="Palatino Linotype" w:hAnsi="Palatino Linotype" w:cs="Palatino Linotype"/>
        </w:rPr>
        <w:t xml:space="preserve">, se notificó el acuerdo mediante el cual se aprobó la ampliación de plazo para emitir resolución. </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rFonts w:ascii="Palatino Linotype" w:eastAsia="Palatino Linotype" w:hAnsi="Palatino Linotype" w:cs="Palatino Linotype"/>
          <w:b/>
          <w:color w:val="000000"/>
        </w:rPr>
      </w:pPr>
      <w:bookmarkStart w:id="3" w:name="_heading=h.1fob9te" w:colFirst="0" w:colLast="0"/>
      <w:bookmarkEnd w:id="3"/>
      <w:r w:rsidRPr="008B2FB3">
        <w:rPr>
          <w:rFonts w:ascii="Palatino Linotype" w:eastAsia="Palatino Linotype" w:hAnsi="Palatino Linotype" w:cs="Palatino Linotype"/>
          <w:color w:val="000000"/>
        </w:rPr>
        <w:t xml:space="preserve">Seguidamente, al no existir diligencia pendiente por desahogar, mediante acuerdo de día </w:t>
      </w:r>
      <w:r w:rsidRPr="008B2FB3">
        <w:rPr>
          <w:rFonts w:ascii="Palatino Linotype" w:eastAsia="Palatino Linotype" w:hAnsi="Palatino Linotype" w:cs="Palatino Linotype"/>
          <w:b/>
          <w:color w:val="000000"/>
        </w:rPr>
        <w:t>diecisiete de febrero del año en curso</w:t>
      </w:r>
      <w:r w:rsidRPr="008B2FB3">
        <w:rPr>
          <w:rFonts w:ascii="Palatino Linotype" w:eastAsia="Palatino Linotype" w:hAnsi="Palatino Linotype" w:cs="Palatino Linotype"/>
          <w:color w:val="000000"/>
        </w:rPr>
        <w:t>, la Comisionada Ponente dictó el cierre del periodo de instrucción y, ordenó la resolución que conforme a Derecho proceda, de acuerdo a las siguientes:</w:t>
      </w:r>
    </w:p>
    <w:p w:rsidR="0043245F" w:rsidRPr="008B2FB3" w:rsidRDefault="0043245F">
      <w:pPr>
        <w:pBdr>
          <w:top w:val="nil"/>
          <w:left w:val="nil"/>
          <w:bottom w:val="nil"/>
          <w:right w:val="nil"/>
          <w:between w:val="nil"/>
        </w:pBdr>
        <w:spacing w:line="360" w:lineRule="auto"/>
        <w:ind w:right="-847"/>
        <w:jc w:val="center"/>
        <w:rPr>
          <w:rFonts w:ascii="Palatino Linotype" w:eastAsia="Palatino Linotype" w:hAnsi="Palatino Linotype" w:cs="Palatino Linotype"/>
          <w:b/>
          <w:color w:val="000000"/>
        </w:rPr>
      </w:pPr>
    </w:p>
    <w:p w:rsidR="0043245F" w:rsidRPr="008B2FB3" w:rsidRDefault="005248D2">
      <w:pPr>
        <w:pBdr>
          <w:top w:val="nil"/>
          <w:left w:val="nil"/>
          <w:bottom w:val="nil"/>
          <w:right w:val="nil"/>
          <w:between w:val="nil"/>
        </w:pBdr>
        <w:spacing w:line="360" w:lineRule="auto"/>
        <w:ind w:right="-847"/>
        <w:jc w:val="center"/>
        <w:rPr>
          <w:rFonts w:ascii="Palatino Linotype" w:eastAsia="Palatino Linotype" w:hAnsi="Palatino Linotype" w:cs="Palatino Linotype"/>
          <w:b/>
          <w:color w:val="000000"/>
        </w:rPr>
      </w:pPr>
      <w:r w:rsidRPr="008B2FB3">
        <w:rPr>
          <w:rFonts w:ascii="Palatino Linotype" w:eastAsia="Palatino Linotype" w:hAnsi="Palatino Linotype" w:cs="Palatino Linotype"/>
          <w:b/>
          <w:color w:val="000000"/>
        </w:rPr>
        <w:t>C O N S I D E R A C I O N E S</w:t>
      </w:r>
    </w:p>
    <w:p w:rsidR="0043245F" w:rsidRPr="008B2FB3" w:rsidRDefault="0043245F">
      <w:pPr>
        <w:pBdr>
          <w:top w:val="nil"/>
          <w:left w:val="nil"/>
          <w:bottom w:val="nil"/>
          <w:right w:val="nil"/>
          <w:between w:val="nil"/>
        </w:pBdr>
        <w:spacing w:line="360" w:lineRule="auto"/>
        <w:ind w:right="-847"/>
        <w:jc w:val="center"/>
        <w:rPr>
          <w:rFonts w:ascii="Palatino Linotype" w:eastAsia="Palatino Linotype" w:hAnsi="Palatino Linotype" w:cs="Palatino Linotype"/>
          <w:b/>
          <w:color w:val="000000"/>
        </w:rPr>
      </w:pPr>
    </w:p>
    <w:p w:rsidR="0043245F" w:rsidRPr="008B2FB3" w:rsidRDefault="005248D2">
      <w:pPr>
        <w:pStyle w:val="Ttulo2"/>
        <w:spacing w:before="0" w:line="360" w:lineRule="auto"/>
        <w:ind w:right="-847"/>
        <w:rPr>
          <w:rFonts w:ascii="Palatino Linotype" w:eastAsia="Palatino Linotype" w:hAnsi="Palatino Linotype" w:cs="Palatino Linotype"/>
          <w:b/>
          <w:color w:val="000000"/>
          <w:sz w:val="24"/>
          <w:szCs w:val="24"/>
        </w:rPr>
      </w:pPr>
      <w:bookmarkStart w:id="4" w:name="_heading=h.3znysh7" w:colFirst="0" w:colLast="0"/>
      <w:bookmarkEnd w:id="4"/>
      <w:r w:rsidRPr="008B2FB3">
        <w:rPr>
          <w:rFonts w:ascii="Palatino Linotype" w:eastAsia="Palatino Linotype" w:hAnsi="Palatino Linotype" w:cs="Palatino Linotype"/>
          <w:b/>
          <w:color w:val="000000"/>
          <w:sz w:val="24"/>
          <w:szCs w:val="24"/>
        </w:rPr>
        <w:t>PRIMERA. Competencia</w:t>
      </w: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w:t>
      </w:r>
      <w:r w:rsidRPr="008B2FB3">
        <w:rPr>
          <w:rFonts w:ascii="Palatino Linotype" w:eastAsia="Palatino Linotype" w:hAnsi="Palatino Linotype" w:cs="Palatino Linotype"/>
          <w:color w:val="000000"/>
        </w:rPr>
        <w:lastRenderedPageBreak/>
        <w:t>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43245F" w:rsidRPr="008B2FB3" w:rsidRDefault="005248D2">
      <w:pPr>
        <w:pStyle w:val="Ttulo2"/>
        <w:spacing w:before="0" w:line="360" w:lineRule="auto"/>
        <w:ind w:right="-847"/>
        <w:rPr>
          <w:rFonts w:ascii="Palatino Linotype" w:eastAsia="Palatino Linotype" w:hAnsi="Palatino Linotype" w:cs="Palatino Linotype"/>
          <w:b/>
          <w:color w:val="000000"/>
          <w:sz w:val="24"/>
          <w:szCs w:val="24"/>
        </w:rPr>
      </w:pPr>
      <w:bookmarkStart w:id="5" w:name="_heading=h.2et92p0" w:colFirst="0" w:colLast="0"/>
      <w:bookmarkEnd w:id="5"/>
      <w:r w:rsidRPr="008B2FB3">
        <w:rPr>
          <w:rFonts w:ascii="Palatino Linotype" w:eastAsia="Palatino Linotype" w:hAnsi="Palatino Linotype" w:cs="Palatino Linotype"/>
          <w:b/>
          <w:color w:val="000000"/>
          <w:sz w:val="24"/>
          <w:szCs w:val="24"/>
        </w:rPr>
        <w:t>SEGUNDA. Procedencia.</w:t>
      </w: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Este Órgano Garante considera que el medio de impugnación reúne los requisitos de procedencia </w:t>
      </w:r>
      <w:r w:rsidRPr="008B2FB3">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43245F" w:rsidRPr="008B2FB3" w:rsidRDefault="0043245F">
      <w:pPr>
        <w:spacing w:line="276" w:lineRule="auto"/>
        <w:ind w:right="-847"/>
        <w:jc w:val="both"/>
        <w:rPr>
          <w:rFonts w:ascii="Palatino Linotype" w:eastAsia="Palatino Linotype" w:hAnsi="Palatino Linotype" w:cs="Palatino Linotype"/>
        </w:rPr>
      </w:pPr>
    </w:p>
    <w:p w:rsidR="0043245F" w:rsidRPr="008B2FB3" w:rsidRDefault="005248D2">
      <w:pPr>
        <w:spacing w:line="276" w:lineRule="auto"/>
        <w:ind w:left="709" w:right="-2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w:t>
      </w:r>
      <w:r w:rsidRPr="008B2FB3">
        <w:rPr>
          <w:rFonts w:ascii="Palatino Linotype" w:eastAsia="Palatino Linotype" w:hAnsi="Palatino Linotype" w:cs="Palatino Linotype"/>
          <w:b/>
          <w:i/>
          <w:sz w:val="22"/>
          <w:szCs w:val="22"/>
        </w:rPr>
        <w:t>Las solicitudes anónimas</w:t>
      </w:r>
      <w:r w:rsidRPr="008B2FB3">
        <w:rPr>
          <w:rFonts w:ascii="Palatino Linotype" w:eastAsia="Palatino Linotype" w:hAnsi="Palatino Linotype" w:cs="Palatino Linotype"/>
          <w:i/>
          <w:sz w:val="22"/>
          <w:szCs w:val="22"/>
        </w:rPr>
        <w:t xml:space="preserve">, con nombre incompleto o seudónimo </w:t>
      </w:r>
      <w:r w:rsidRPr="008B2FB3">
        <w:rPr>
          <w:rFonts w:ascii="Palatino Linotype" w:eastAsia="Palatino Linotype" w:hAnsi="Palatino Linotype" w:cs="Palatino Linotype"/>
          <w:b/>
          <w:i/>
          <w:sz w:val="22"/>
          <w:szCs w:val="22"/>
        </w:rPr>
        <w:t>serán procedentes para su trámite por parte del sujeto obligado ante quien se presente</w:t>
      </w:r>
      <w:r w:rsidRPr="008B2FB3">
        <w:rPr>
          <w:rFonts w:ascii="Palatino Linotype" w:eastAsia="Palatino Linotype" w:hAnsi="Palatino Linotype" w:cs="Palatino Linotype"/>
          <w:i/>
          <w:sz w:val="22"/>
          <w:szCs w:val="22"/>
        </w:rPr>
        <w:t>. No podrá requerirse información adicional con motivo del nombre proporcionado por el solicitante."</w:t>
      </w: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lastRenderedPageBreak/>
        <w:t>Robusteciendo lo anterior se encuentra lo dispuesto en el artículo 6, Apartado A, fracciones III de la Constitución Política de los Estados Unidos Mexicanos que establece:</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w:t>
      </w:r>
      <w:r w:rsidRPr="008B2FB3">
        <w:rPr>
          <w:rFonts w:ascii="Palatino Linotype" w:eastAsia="Palatino Linotype" w:hAnsi="Palatino Linotype" w:cs="Palatino Linotype"/>
          <w:b/>
          <w:i/>
          <w:color w:val="000000"/>
          <w:sz w:val="22"/>
          <w:szCs w:val="22"/>
        </w:rPr>
        <w:t>Artículo 6.-</w:t>
      </w:r>
      <w:r w:rsidRPr="008B2FB3">
        <w:rPr>
          <w:rFonts w:ascii="Palatino Linotype" w:eastAsia="Palatino Linotype" w:hAnsi="Palatino Linotype" w:cs="Palatino Linotype"/>
          <w:i/>
          <w:color w:val="000000"/>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Para efectos de lo dispuesto en el presente artículo se observará lo siguiente:</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A. Para el ejercicio del derecho de acceso a la información, la Federación, los Estados y el Distrito Federal, en el ámbito de sus respectivas competencias, se regirán por los siguientes principios y bases:</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 xml:space="preserve">III. Toda persona, sin necesidad de acreditar interés alguno o justificar su utilización, tendrá acceso gratuito a la información pública, a sus datos personales o a la rectificación de éstos.” </w:t>
      </w:r>
    </w:p>
    <w:p w:rsidR="0043245F" w:rsidRPr="008B2FB3" w:rsidRDefault="0043245F">
      <w:pPr>
        <w:spacing w:line="360" w:lineRule="auto"/>
        <w:ind w:left="567" w:right="-847"/>
        <w:jc w:val="both"/>
        <w:rPr>
          <w:rFonts w:ascii="Palatino Linotype" w:eastAsia="Palatino Linotype" w:hAnsi="Palatino Linotype" w:cs="Palatino Linotype"/>
          <w:i/>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w:t>
      </w:r>
      <w:r w:rsidRPr="008B2FB3">
        <w:rPr>
          <w:rFonts w:ascii="Palatino Linotype" w:eastAsia="Palatino Linotype" w:hAnsi="Palatino Linotype" w:cs="Palatino Linotype"/>
          <w:b/>
          <w:i/>
          <w:color w:val="000000"/>
          <w:sz w:val="22"/>
          <w:szCs w:val="22"/>
        </w:rPr>
        <w:t>Artículo 5.-</w:t>
      </w:r>
      <w:r w:rsidRPr="008B2FB3">
        <w:rPr>
          <w:rFonts w:ascii="Palatino Linotype" w:eastAsia="Palatino Linotype" w:hAnsi="Palatino Linotype" w:cs="Palatino Linotype"/>
          <w:i/>
          <w:color w:val="000000"/>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43245F" w:rsidRPr="008B2FB3" w:rsidRDefault="005248D2">
      <w:pPr>
        <w:spacing w:line="276" w:lineRule="auto"/>
        <w:ind w:left="1134" w:right="-2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Toda persona en el Estado de México, tiene derecho al libre acceso a la información plural y oportuna, así como a buscar recibir y difundir información e ideas de toda índole por cualquier medio de expresión.</w:t>
      </w:r>
    </w:p>
    <w:p w:rsidR="0043245F" w:rsidRPr="008B2FB3" w:rsidRDefault="005248D2">
      <w:pPr>
        <w:spacing w:line="276" w:lineRule="auto"/>
        <w:ind w:left="1134" w:right="-2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El derecho a la información será garantizado por el Estado. La ley establecerá las previsiones que permitan asegurar la protección, el respeto y la difusión de este derecho.</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 xml:space="preserve">Para garantizar el ejercicio del derecho de transparencia, acceso a la información pública y protección de datos personales, los poderes públicos y los organismos autónomos, transparentarán </w:t>
      </w:r>
      <w:r w:rsidRPr="008B2FB3">
        <w:rPr>
          <w:rFonts w:ascii="Palatino Linotype" w:eastAsia="Palatino Linotype" w:hAnsi="Palatino Linotype" w:cs="Palatino Linotype"/>
          <w:i/>
          <w:color w:val="000000"/>
          <w:sz w:val="22"/>
          <w:szCs w:val="22"/>
        </w:rPr>
        <w:lastRenderedPageBreak/>
        <w:t>sus acciones, en términos de las disposiciones aplicables, la información será oportuna, clara, veraz y de fácil acceso. Este derecho se regirá por los principios y bases siguientes:</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III. Toda persona, sin necesidad de acreditar interés alguno o justificar su utilización, tendrá acceso gratuito a la información pública, a sus datos personales o a la rectificación de éstos;</w:t>
      </w:r>
    </w:p>
    <w:p w:rsidR="0043245F" w:rsidRPr="008B2FB3" w:rsidRDefault="005248D2">
      <w:pPr>
        <w:spacing w:line="276" w:lineRule="auto"/>
        <w:ind w:left="1134" w:right="-2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43245F" w:rsidRPr="008B2FB3" w:rsidRDefault="0043245F">
      <w:pPr>
        <w:spacing w:line="360" w:lineRule="auto"/>
        <w:ind w:left="426" w:right="-847"/>
        <w:jc w:val="both"/>
        <w:rPr>
          <w:rFonts w:ascii="Palatino Linotype" w:eastAsia="Palatino Linotype" w:hAnsi="Palatino Linotype" w:cs="Palatino Linotype"/>
          <w:i/>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Por otra parte, del contenido del artículo 1 de la Constitución Política de los Estados Unidos mexicanos, se destaca lo siguiente:</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w:t>
      </w:r>
      <w:r w:rsidRPr="008B2FB3">
        <w:rPr>
          <w:rFonts w:ascii="Palatino Linotype" w:eastAsia="Palatino Linotype" w:hAnsi="Palatino Linotype" w:cs="Palatino Linotype"/>
          <w:b/>
          <w:i/>
          <w:color w:val="000000"/>
          <w:sz w:val="22"/>
          <w:szCs w:val="22"/>
        </w:rPr>
        <w:t>Artículo 1</w:t>
      </w:r>
      <w:r w:rsidRPr="008B2FB3">
        <w:rPr>
          <w:rFonts w:ascii="Palatino Linotype" w:eastAsia="Palatino Linotype" w:hAnsi="Palatino Linotype" w:cs="Palatino Linotype"/>
          <w:i/>
          <w:color w:val="000000"/>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Las normas relativas a los derechos humanos se interpretarán de conformidad con esta Constitución y con los tratados internacionales de la materia favoreciendo en todo tiempo a las personas la protección más amplia.</w:t>
      </w:r>
    </w:p>
    <w:p w:rsidR="0043245F" w:rsidRPr="008B2FB3" w:rsidRDefault="005248D2">
      <w:pPr>
        <w:pBdr>
          <w:top w:val="nil"/>
          <w:left w:val="nil"/>
          <w:bottom w:val="nil"/>
          <w:right w:val="nil"/>
          <w:between w:val="nil"/>
        </w:pBdr>
        <w:spacing w:line="276" w:lineRule="auto"/>
        <w:ind w:left="425"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8B2FB3">
        <w:rPr>
          <w:rFonts w:ascii="Palatino Linotype" w:eastAsia="Palatino Linotype" w:hAnsi="Palatino Linotype" w:cs="Palatino Linotype"/>
          <w:i/>
        </w:rPr>
        <w:t>derecho fundamental exime a quien lo ejerce</w:t>
      </w:r>
      <w:r w:rsidRPr="008B2FB3">
        <w:rPr>
          <w:rFonts w:ascii="Palatino Linotype" w:eastAsia="Palatino Linotype" w:hAnsi="Palatino Linotype" w:cs="Palatino Linotype"/>
        </w:rPr>
        <w:t xml:space="preserve">, de acreditar su legitimación en la causa o su interés en el asunto, lo que permite la </w:t>
      </w:r>
      <w:r w:rsidRPr="008B2FB3">
        <w:rPr>
          <w:rFonts w:ascii="Palatino Linotype" w:eastAsia="Palatino Linotype" w:hAnsi="Palatino Linotype" w:cs="Palatino Linotype"/>
        </w:rPr>
        <w:lastRenderedPageBreak/>
        <w:t>posibilidad de que, incluso, la solicitud de acceso a la información pueda ser anónima o no contener un nombre que identifique al solicitante o que permita tener certeza sobre su identidad.</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En consecuencia, dado lo expuesto y fundado con anterioridad, se estima que el requisito relativo al nombre del </w:t>
      </w:r>
      <w:r w:rsidRPr="008B2FB3">
        <w:rPr>
          <w:rFonts w:ascii="Palatino Linotype" w:eastAsia="Palatino Linotype" w:hAnsi="Palatino Linotype" w:cs="Palatino Linotype"/>
          <w:b/>
        </w:rPr>
        <w:t>RECURRENTE</w:t>
      </w:r>
      <w:r w:rsidRPr="008B2FB3">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rPr>
          <w:color w:val="000000"/>
        </w:rPr>
      </w:pPr>
      <w:r w:rsidRPr="008B2FB3">
        <w:rPr>
          <w:rFonts w:ascii="Palatino Linotype" w:eastAsia="Palatino Linotype" w:hAnsi="Palatino Linotype" w:cs="Palatino Linotype"/>
          <w:color w:val="000000"/>
        </w:rPr>
        <w:t xml:space="preserve">Consecuencia de lo anterior, este Órgano Garante advierte que el escrito contiene las </w:t>
      </w:r>
      <w:r w:rsidRPr="008B2FB3">
        <w:rPr>
          <w:rFonts w:ascii="Palatino Linotype" w:eastAsia="Palatino Linotype" w:hAnsi="Palatino Linotype" w:cs="Palatino Linotype"/>
        </w:rPr>
        <w:t>formalidades</w:t>
      </w:r>
      <w:r w:rsidRPr="008B2FB3">
        <w:rPr>
          <w:rFonts w:ascii="Palatino Linotype" w:eastAsia="Palatino Linotype" w:hAnsi="Palatino Linotype" w:cs="Palatino Linotype"/>
          <w:color w:val="000000"/>
        </w:rPr>
        <w:t xml:space="preserve"> previstas por el artículo 180 último párrafo de la Ley de Transparencia y Acceso a la </w:t>
      </w:r>
      <w:r w:rsidRPr="008B2FB3">
        <w:rPr>
          <w:rFonts w:ascii="Palatino Linotype" w:eastAsia="Palatino Linotype" w:hAnsi="Palatino Linotype" w:cs="Palatino Linotype"/>
        </w:rPr>
        <w:t>Información</w:t>
      </w:r>
      <w:r w:rsidRPr="008B2FB3">
        <w:rPr>
          <w:rFonts w:ascii="Palatino Linotype" w:eastAsia="Palatino Linotype" w:hAnsi="Palatino Linotype" w:cs="Palatino Linotype"/>
          <w:color w:val="000000"/>
        </w:rPr>
        <w:t xml:space="preserve"> Pública del Estado de México y Municipios, por lo que es procedente que este Instituto de Transparencia, Acceso a la Información Pública y Protección de Datos Personales del Estado de México y Municipios, conozca y resuelva el presente recurso.</w:t>
      </w:r>
    </w:p>
    <w:p w:rsidR="0043245F" w:rsidRPr="008B2FB3" w:rsidRDefault="005248D2">
      <w:pPr>
        <w:pStyle w:val="Ttulo1"/>
        <w:spacing w:before="0" w:line="360" w:lineRule="auto"/>
        <w:ind w:right="-847"/>
        <w:rPr>
          <w:rFonts w:ascii="Palatino Linotype" w:eastAsia="Palatino Linotype" w:hAnsi="Palatino Linotype" w:cs="Palatino Linotype"/>
          <w:b/>
          <w:color w:val="000000"/>
          <w:sz w:val="24"/>
          <w:szCs w:val="24"/>
        </w:rPr>
      </w:pPr>
      <w:bookmarkStart w:id="6" w:name="_heading=h.tyjcwt" w:colFirst="0" w:colLast="0"/>
      <w:bookmarkEnd w:id="6"/>
      <w:r w:rsidRPr="008B2FB3">
        <w:rPr>
          <w:rFonts w:ascii="Palatino Linotype" w:eastAsia="Palatino Linotype" w:hAnsi="Palatino Linotype" w:cs="Palatino Linotype"/>
          <w:b/>
          <w:color w:val="000000"/>
          <w:sz w:val="24"/>
          <w:szCs w:val="24"/>
        </w:rPr>
        <w:lastRenderedPageBreak/>
        <w:t xml:space="preserve">TERCERA. Del planteamiento de la </w:t>
      </w:r>
      <w:r w:rsidRPr="008B2FB3">
        <w:rPr>
          <w:rFonts w:ascii="Palatino Linotype" w:eastAsia="Palatino Linotype" w:hAnsi="Palatino Linotype" w:cs="Palatino Linotype"/>
          <w:b/>
          <w:i/>
          <w:color w:val="000000"/>
          <w:sz w:val="24"/>
          <w:szCs w:val="24"/>
        </w:rPr>
        <w:t>Litis</w:t>
      </w: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t>Se solicitó, de manera general la información siguiente:</w:t>
      </w:r>
    </w:p>
    <w:p w:rsidR="0043245F" w:rsidRPr="008B2FB3" w:rsidRDefault="005248D2">
      <w:pPr>
        <w:pBdr>
          <w:top w:val="nil"/>
          <w:left w:val="nil"/>
          <w:bottom w:val="nil"/>
          <w:right w:val="nil"/>
          <w:between w:val="nil"/>
        </w:pBdr>
        <w:spacing w:line="276" w:lineRule="auto"/>
        <w:ind w:left="708"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 xml:space="preserve">“expediente del Recurso de Revisión: 01879/INFOEM/IP/RR/2024, </w:t>
      </w:r>
      <w:proofErr w:type="spellStart"/>
      <w:r w:rsidRPr="008B2FB3">
        <w:rPr>
          <w:rFonts w:ascii="Palatino Linotype" w:eastAsia="Palatino Linotype" w:hAnsi="Palatino Linotype" w:cs="Palatino Linotype"/>
          <w:i/>
          <w:color w:val="000000"/>
          <w:sz w:val="22"/>
          <w:szCs w:val="22"/>
        </w:rPr>
        <w:t>agrgando</w:t>
      </w:r>
      <w:proofErr w:type="spellEnd"/>
      <w:r w:rsidRPr="008B2FB3">
        <w:rPr>
          <w:rFonts w:ascii="Palatino Linotype" w:eastAsia="Palatino Linotype" w:hAnsi="Palatino Linotype" w:cs="Palatino Linotype"/>
          <w:i/>
          <w:color w:val="000000"/>
          <w:sz w:val="22"/>
          <w:szCs w:val="22"/>
        </w:rPr>
        <w:t xml:space="preserve"> los documentos donde conste que se </w:t>
      </w:r>
      <w:proofErr w:type="spellStart"/>
      <w:r w:rsidRPr="008B2FB3">
        <w:rPr>
          <w:rFonts w:ascii="Palatino Linotype" w:eastAsia="Palatino Linotype" w:hAnsi="Palatino Linotype" w:cs="Palatino Linotype"/>
          <w:i/>
          <w:color w:val="000000"/>
          <w:sz w:val="22"/>
          <w:szCs w:val="22"/>
        </w:rPr>
        <w:t>turno</w:t>
      </w:r>
      <w:proofErr w:type="spellEnd"/>
      <w:r w:rsidRPr="008B2FB3">
        <w:rPr>
          <w:rFonts w:ascii="Palatino Linotype" w:eastAsia="Palatino Linotype" w:hAnsi="Palatino Linotype" w:cs="Palatino Linotype"/>
          <w:i/>
          <w:color w:val="000000"/>
          <w:sz w:val="22"/>
          <w:szCs w:val="22"/>
        </w:rPr>
        <w:t xml:space="preserve"> a las </w:t>
      </w:r>
      <w:proofErr w:type="spellStart"/>
      <w:r w:rsidRPr="008B2FB3">
        <w:rPr>
          <w:rFonts w:ascii="Palatino Linotype" w:eastAsia="Palatino Linotype" w:hAnsi="Palatino Linotype" w:cs="Palatino Linotype"/>
          <w:i/>
          <w:color w:val="000000"/>
          <w:sz w:val="22"/>
          <w:szCs w:val="22"/>
        </w:rPr>
        <w:t>areas</w:t>
      </w:r>
      <w:proofErr w:type="spellEnd"/>
      <w:r w:rsidRPr="008B2FB3">
        <w:rPr>
          <w:rFonts w:ascii="Palatino Linotype" w:eastAsia="Palatino Linotype" w:hAnsi="Palatino Linotype" w:cs="Palatino Linotype"/>
          <w:i/>
          <w:color w:val="000000"/>
          <w:sz w:val="22"/>
          <w:szCs w:val="22"/>
        </w:rPr>
        <w:t>” (Sic)</w:t>
      </w:r>
    </w:p>
    <w:p w:rsidR="0043245F" w:rsidRPr="008B2FB3" w:rsidRDefault="0043245F">
      <w:pPr>
        <w:pBdr>
          <w:top w:val="nil"/>
          <w:left w:val="nil"/>
          <w:bottom w:val="nil"/>
          <w:right w:val="nil"/>
          <w:between w:val="nil"/>
        </w:pBdr>
        <w:spacing w:line="360" w:lineRule="auto"/>
        <w:ind w:left="1068" w:right="-847"/>
        <w:jc w:val="both"/>
        <w:rPr>
          <w:rFonts w:ascii="Palatino Linotype" w:eastAsia="Palatino Linotype" w:hAnsi="Palatino Linotype" w:cs="Palatino Linotype"/>
          <w:i/>
          <w:color w:val="000000"/>
        </w:rPr>
      </w:pPr>
    </w:p>
    <w:p w:rsidR="0043245F" w:rsidRPr="008B2FB3" w:rsidRDefault="005248D2">
      <w:pPr>
        <w:numPr>
          <w:ilvl w:val="0"/>
          <w:numId w:val="1"/>
        </w:numPr>
        <w:spacing w:line="360" w:lineRule="auto"/>
        <w:ind w:left="0" w:right="-847" w:firstLine="0"/>
        <w:jc w:val="both"/>
        <w:rPr>
          <w:color w:val="000000"/>
        </w:rPr>
      </w:pPr>
      <w:r w:rsidRPr="008B2FB3">
        <w:rPr>
          <w:rFonts w:ascii="Palatino Linotype" w:eastAsia="Palatino Linotype" w:hAnsi="Palatino Linotype" w:cs="Palatino Linotype"/>
        </w:rPr>
        <w:t>En respuesta, el Sujeto Obligado</w:t>
      </w:r>
      <w:r w:rsidRPr="008B2FB3">
        <w:rPr>
          <w:rFonts w:ascii="Palatino Linotype" w:eastAsia="Palatino Linotype" w:hAnsi="Palatino Linotype" w:cs="Palatino Linotype"/>
          <w:b/>
        </w:rPr>
        <w:t xml:space="preserve"> </w:t>
      </w:r>
      <w:r w:rsidRPr="008B2FB3">
        <w:rPr>
          <w:rFonts w:ascii="Palatino Linotype" w:eastAsia="Palatino Linotype" w:hAnsi="Palatino Linotype" w:cs="Palatino Linotype"/>
        </w:rPr>
        <w:t>remitió el escrito ya transcrito en el anterior numeral 3. Inconforme con la respuesta, se interpuso recurso de revisión alegando de manera general la entrega de información incompleta.</w:t>
      </w:r>
    </w:p>
    <w:p w:rsidR="0043245F" w:rsidRPr="008B2FB3" w:rsidRDefault="0043245F">
      <w:pPr>
        <w:spacing w:line="360" w:lineRule="auto"/>
        <w:ind w:right="-847"/>
        <w:jc w:val="both"/>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En dichas condiciones, la controversia a resolver en el presente proveído, corresponde a determinar si se actualiza la causal de procedencia prevista en el artículo 179, fracción V</w:t>
      </w:r>
      <w:r w:rsidRPr="008B2FB3">
        <w:rPr>
          <w:rFonts w:ascii="Palatino Linotype" w:eastAsia="Palatino Linotype" w:hAnsi="Palatino Linotype" w:cs="Palatino Linotype"/>
          <w:b/>
        </w:rPr>
        <w:t xml:space="preserve"> </w:t>
      </w:r>
      <w:r w:rsidRPr="008B2FB3">
        <w:rPr>
          <w:rFonts w:ascii="Palatino Linotype" w:eastAsia="Palatino Linotype" w:hAnsi="Palatino Linotype" w:cs="Palatino Linotype"/>
        </w:rPr>
        <w:t>de la Ley de Transparencia y Acceso a la Información Pública del Estado de</w:t>
      </w:r>
      <w:r w:rsidRPr="008B2FB3">
        <w:rPr>
          <w:rFonts w:ascii="Palatino Linotype" w:eastAsia="Palatino Linotype" w:hAnsi="Palatino Linotype" w:cs="Palatino Linotype"/>
          <w:b/>
        </w:rPr>
        <w:t xml:space="preserve"> </w:t>
      </w:r>
      <w:r w:rsidRPr="008B2FB3">
        <w:rPr>
          <w:rFonts w:ascii="Palatino Linotype" w:eastAsia="Palatino Linotype" w:hAnsi="Palatino Linotype" w:cs="Palatino Linotype"/>
        </w:rPr>
        <w:t>México</w:t>
      </w:r>
      <w:r w:rsidRPr="008B2FB3">
        <w:rPr>
          <w:rFonts w:ascii="Palatino Linotype" w:eastAsia="Palatino Linotype" w:hAnsi="Palatino Linotype" w:cs="Palatino Linotype"/>
          <w:b/>
        </w:rPr>
        <w:t xml:space="preserve"> </w:t>
      </w:r>
      <w:r w:rsidRPr="008B2FB3">
        <w:rPr>
          <w:rFonts w:ascii="Palatino Linotype" w:eastAsia="Palatino Linotype" w:hAnsi="Palatino Linotype" w:cs="Palatino Linotype"/>
        </w:rPr>
        <w:t>y</w:t>
      </w:r>
      <w:r w:rsidRPr="008B2FB3">
        <w:rPr>
          <w:rFonts w:ascii="Palatino Linotype" w:eastAsia="Palatino Linotype" w:hAnsi="Palatino Linotype" w:cs="Palatino Linotype"/>
          <w:b/>
        </w:rPr>
        <w:t xml:space="preserve"> </w:t>
      </w:r>
      <w:r w:rsidRPr="008B2FB3">
        <w:rPr>
          <w:rFonts w:ascii="Palatino Linotype" w:eastAsia="Palatino Linotype" w:hAnsi="Palatino Linotype" w:cs="Palatino Linotype"/>
        </w:rPr>
        <w:t xml:space="preserve">Municipios; </w:t>
      </w:r>
      <w:r w:rsidRPr="008B2FB3">
        <w:rPr>
          <w:rFonts w:ascii="Palatino Linotype" w:eastAsia="Palatino Linotype" w:hAnsi="Palatino Linotype" w:cs="Palatino Linotype"/>
          <w:color w:val="000000"/>
        </w:rPr>
        <w:t>fracción que determina la hipótesis relativa a la entrega de información incompleta</w:t>
      </w:r>
      <w:r w:rsidRPr="008B2FB3">
        <w:rPr>
          <w:rFonts w:ascii="Palatino Linotype" w:eastAsia="Palatino Linotype" w:hAnsi="Palatino Linotype" w:cs="Palatino Linotype"/>
        </w:rPr>
        <w:t>.</w:t>
      </w:r>
      <w:r w:rsidRPr="008B2FB3">
        <w:rPr>
          <w:rFonts w:ascii="Palatino Linotype" w:eastAsia="Palatino Linotype" w:hAnsi="Palatino Linotype" w:cs="Palatino Linotype"/>
          <w:color w:val="000000"/>
        </w:rPr>
        <w:t xml:space="preserve"> De modo tal que el presente recurso de revisión se abocará en determinar si el Sujeto Obligado con su respuesta ciertamente actualiza la causal de procedencia</w:t>
      </w:r>
      <w:r w:rsidRPr="008B2FB3">
        <w:rPr>
          <w:rFonts w:ascii="Palatino Linotype" w:eastAsia="Palatino Linotype" w:hAnsi="Palatino Linotype" w:cs="Palatino Linotype"/>
          <w:b/>
          <w:color w:val="000000"/>
        </w:rPr>
        <w:t xml:space="preserve"> </w:t>
      </w:r>
      <w:r w:rsidRPr="008B2FB3">
        <w:rPr>
          <w:rFonts w:ascii="Palatino Linotype" w:eastAsia="Palatino Linotype" w:hAnsi="Palatino Linotype" w:cs="Palatino Linotype"/>
          <w:color w:val="000000"/>
        </w:rPr>
        <w:t xml:space="preserve">señalada. </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pStyle w:val="Ttulo1"/>
        <w:spacing w:before="0" w:line="360" w:lineRule="auto"/>
        <w:ind w:right="-847"/>
        <w:rPr>
          <w:rFonts w:ascii="Palatino Linotype" w:eastAsia="Palatino Linotype" w:hAnsi="Palatino Linotype" w:cs="Palatino Linotype"/>
          <w:b/>
          <w:color w:val="000000"/>
          <w:sz w:val="24"/>
          <w:szCs w:val="24"/>
        </w:rPr>
      </w:pPr>
      <w:r w:rsidRPr="008B2FB3">
        <w:rPr>
          <w:rFonts w:ascii="Palatino Linotype" w:eastAsia="Palatino Linotype" w:hAnsi="Palatino Linotype" w:cs="Palatino Linotype"/>
          <w:b/>
          <w:color w:val="000000"/>
          <w:sz w:val="24"/>
          <w:szCs w:val="24"/>
        </w:rPr>
        <w:t>CUARTA. Del estudio y resolución</w:t>
      </w: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w:t>
      </w:r>
      <w:r w:rsidRPr="008B2FB3">
        <w:rPr>
          <w:rFonts w:ascii="Palatino Linotype" w:eastAsia="Palatino Linotype" w:hAnsi="Palatino Linotype" w:cs="Palatino Linotype"/>
        </w:rPr>
        <w:lastRenderedPageBreak/>
        <w:t>Obligados deberán documentar todo acto que derive del ejercicio de sus facultades, competencias o funciones desde su origen la eventual publicidad y reutilización de la información que generen.</w:t>
      </w:r>
    </w:p>
    <w:p w:rsidR="0043245F" w:rsidRPr="008B2FB3" w:rsidRDefault="0043245F">
      <w:pPr>
        <w:spacing w:line="360" w:lineRule="auto"/>
        <w:ind w:right="-847"/>
        <w:jc w:val="both"/>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43245F" w:rsidRPr="008B2FB3" w:rsidRDefault="0043245F">
      <w:pPr>
        <w:spacing w:line="360" w:lineRule="auto"/>
        <w:ind w:right="-847"/>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Acotado lo anterior, es dable primeramente recordar que las razones o motivos de inconformidad, son tendientes a impugnar además de la entrega incompleta de lo solicitado, </w:t>
      </w:r>
      <w:r w:rsidRPr="008B2FB3">
        <w:rPr>
          <w:rFonts w:ascii="Palatino Linotype" w:eastAsia="Palatino Linotype" w:hAnsi="Palatino Linotype" w:cs="Palatino Linotype"/>
        </w:rPr>
        <w:lastRenderedPageBreak/>
        <w:t xml:space="preserve">el pronunciamiento del </w:t>
      </w:r>
      <w:r w:rsidRPr="008B2FB3">
        <w:rPr>
          <w:rFonts w:ascii="Palatino Linotype" w:eastAsia="Palatino Linotype" w:hAnsi="Palatino Linotype" w:cs="Palatino Linotype"/>
          <w:b/>
        </w:rPr>
        <w:t>SUJETO OBLIGADO</w:t>
      </w:r>
      <w:r w:rsidRPr="008B2FB3">
        <w:rPr>
          <w:rFonts w:ascii="Palatino Linotype" w:eastAsia="Palatino Linotype" w:hAnsi="Palatino Linotype" w:cs="Palatino Linotype"/>
        </w:rPr>
        <w:t xml:space="preserve"> relativo a la falta de obligatoriedad de elaborar documentos </w:t>
      </w:r>
      <w:r w:rsidRPr="008B2FB3">
        <w:rPr>
          <w:rFonts w:ascii="Palatino Linotype" w:eastAsia="Palatino Linotype" w:hAnsi="Palatino Linotype" w:cs="Palatino Linotype"/>
          <w:i/>
        </w:rPr>
        <w:t>ad hoc</w:t>
      </w:r>
      <w:r w:rsidRPr="008B2FB3">
        <w:rPr>
          <w:rFonts w:ascii="Palatino Linotype" w:eastAsia="Palatino Linotype" w:hAnsi="Palatino Linotype" w:cs="Palatino Linotype"/>
        </w:rPr>
        <w:t>.</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Motivo de inconformidad que se considera improcedente, en virtud que es de explorado derecho, que el acceso a la información pública se colma con la entrega del soporte documental donde conste o se advierta lo solicitado como obre en sus archivos y en el estado en que se encuentre sin la necesidad de elaborar documentos </w:t>
      </w:r>
      <w:r w:rsidRPr="008B2FB3">
        <w:rPr>
          <w:rFonts w:ascii="Palatino Linotype" w:eastAsia="Palatino Linotype" w:hAnsi="Palatino Linotype" w:cs="Palatino Linotype"/>
          <w:i/>
        </w:rPr>
        <w:t>ad hoc</w:t>
      </w:r>
      <w:r w:rsidRPr="008B2FB3">
        <w:rPr>
          <w:rFonts w:ascii="Palatino Linotype" w:eastAsia="Palatino Linotype" w:hAnsi="Palatino Linotype" w:cs="Palatino Linotype"/>
        </w:rPr>
        <w:t xml:space="preserve"> a efecto de satisfacer las pretensiones específicas de los particulares como ciertamente se advierte en el caso concreto, cuando el solicitante refiere que los cálculos deberán estar debidamente formulados.</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rPr>
          <w:color w:val="000000"/>
        </w:rPr>
      </w:pPr>
      <w:r w:rsidRPr="008B2FB3">
        <w:rPr>
          <w:rFonts w:ascii="Palatino Linotype" w:eastAsia="Palatino Linotype" w:hAnsi="Palatino Linotype" w:cs="Palatino Linotype"/>
        </w:rPr>
        <w:t xml:space="preserve">Como apoyo a lo anterior, es aplicable por analogía el </w:t>
      </w:r>
      <w:r w:rsidRPr="008B2FB3">
        <w:rPr>
          <w:rFonts w:ascii="Palatino Linotype" w:eastAsia="Palatino Linotype" w:hAnsi="Palatino Linotype" w:cs="Palatino Linotype"/>
          <w:b/>
        </w:rPr>
        <w:t>Criterio 03/17</w:t>
      </w:r>
      <w:r w:rsidRPr="008B2FB3">
        <w:rPr>
          <w:rFonts w:ascii="Palatino Linotype" w:eastAsia="Palatino Linotype" w:hAnsi="Palatino Linotype" w:cs="Palatino Linotype"/>
        </w:rPr>
        <w:t>, emitido por el Pleno del Instituto Nacional de Transparencia, Acceso a la Información y Protección de Datos Personales (INAI), que a la letra dice:</w:t>
      </w:r>
    </w:p>
    <w:p w:rsidR="0043245F" w:rsidRPr="008B2FB3" w:rsidRDefault="005248D2">
      <w:pPr>
        <w:pBdr>
          <w:top w:val="nil"/>
          <w:left w:val="nil"/>
          <w:bottom w:val="nil"/>
          <w:right w:val="nil"/>
          <w:between w:val="nil"/>
        </w:pBdr>
        <w:spacing w:line="276" w:lineRule="auto"/>
        <w:ind w:left="567" w:right="-422"/>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 xml:space="preserve">“No existe obligación de elaborar documentos ad hoc para atender las solicitudes de acceso a la información. </w:t>
      </w:r>
      <w:r w:rsidRPr="008B2FB3">
        <w:rPr>
          <w:rFonts w:ascii="Palatino Linotype" w:eastAsia="Palatino Linotype" w:hAnsi="Palatino Linotype" w:cs="Palatino Linotype"/>
          <w:i/>
          <w:color w:val="000000"/>
          <w:sz w:val="22"/>
          <w:szCs w:val="22"/>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43245F" w:rsidRPr="008B2FB3" w:rsidRDefault="0043245F">
      <w:pPr>
        <w:pBdr>
          <w:top w:val="nil"/>
          <w:left w:val="nil"/>
          <w:bottom w:val="nil"/>
          <w:right w:val="nil"/>
          <w:between w:val="nil"/>
        </w:pBdr>
        <w:spacing w:line="360" w:lineRule="auto"/>
        <w:ind w:left="567" w:right="-847"/>
        <w:jc w:val="both"/>
        <w:rPr>
          <w:rFonts w:ascii="Palatino Linotype" w:eastAsia="Palatino Linotype" w:hAnsi="Palatino Linotype" w:cs="Palatino Linotype"/>
          <w:i/>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Ahora bien, se advierte que el </w:t>
      </w:r>
      <w:r w:rsidRPr="008B2FB3">
        <w:rPr>
          <w:rFonts w:ascii="Palatino Linotype" w:eastAsia="Palatino Linotype" w:hAnsi="Palatino Linotype" w:cs="Palatino Linotype"/>
          <w:b/>
        </w:rPr>
        <w:t>SUJETO OBLIGADO</w:t>
      </w:r>
      <w:r w:rsidRPr="008B2FB3">
        <w:rPr>
          <w:rFonts w:ascii="Palatino Linotype" w:eastAsia="Palatino Linotype" w:hAnsi="Palatino Linotype" w:cs="Palatino Linotype"/>
        </w:rPr>
        <w:t xml:space="preserve"> en respuesta, proporcionó la información que refirió se encontraba en los archivos de su Unidad.</w:t>
      </w: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lastRenderedPageBreak/>
        <w:t>Continuando con el estudio, resulta importante establecer lo plasmado en el Bando Municipal de Toluca:</w:t>
      </w:r>
    </w:p>
    <w:p w:rsidR="00073B73" w:rsidRPr="008B2FB3" w:rsidRDefault="00073B73" w:rsidP="00073B73">
      <w:pPr>
        <w:pBdr>
          <w:top w:val="nil"/>
          <w:left w:val="nil"/>
          <w:bottom w:val="nil"/>
          <w:right w:val="nil"/>
          <w:between w:val="nil"/>
        </w:pBdr>
        <w:spacing w:line="360" w:lineRule="auto"/>
        <w:ind w:right="-847"/>
        <w:jc w:val="both"/>
        <w:rPr>
          <w:color w:val="000000"/>
        </w:rPr>
      </w:pP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 xml:space="preserve">Artículo 3.8. </w:t>
      </w:r>
      <w:r w:rsidRPr="008B2FB3">
        <w:rPr>
          <w:rFonts w:ascii="Palatino Linotype" w:eastAsia="Palatino Linotype" w:hAnsi="Palatino Linotype" w:cs="Palatino Linotype"/>
          <w:i/>
          <w:color w:val="000000"/>
          <w:sz w:val="22"/>
          <w:szCs w:val="22"/>
        </w:rPr>
        <w:t xml:space="preserve">Corresponde a las o los titulares de las dependencias, el ejercicio de las siguientes atribuciones genéricas: </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XXI. Cumplir con las obligaciones en materia de Transparencia y Acceso a la Información Pública;…</w:t>
      </w:r>
    </w:p>
    <w:p w:rsidR="0043245F" w:rsidRPr="008B2FB3" w:rsidRDefault="0043245F">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p>
    <w:p w:rsidR="0043245F" w:rsidRPr="008B2FB3" w:rsidRDefault="005248D2">
      <w:pPr>
        <w:pBdr>
          <w:top w:val="nil"/>
          <w:left w:val="nil"/>
          <w:bottom w:val="nil"/>
          <w:right w:val="nil"/>
          <w:between w:val="nil"/>
        </w:pBdr>
        <w:spacing w:line="276" w:lineRule="auto"/>
        <w:ind w:left="567" w:right="-280"/>
        <w:jc w:val="center"/>
        <w:rPr>
          <w:rFonts w:ascii="Palatino Linotype" w:eastAsia="Palatino Linotype" w:hAnsi="Palatino Linotype" w:cs="Palatino Linotype"/>
          <w:b/>
          <w:i/>
          <w:color w:val="000000"/>
          <w:sz w:val="22"/>
          <w:szCs w:val="22"/>
        </w:rPr>
      </w:pPr>
      <w:r w:rsidRPr="008B2FB3">
        <w:rPr>
          <w:rFonts w:ascii="Palatino Linotype" w:eastAsia="Palatino Linotype" w:hAnsi="Palatino Linotype" w:cs="Palatino Linotype"/>
          <w:b/>
          <w:i/>
          <w:color w:val="000000"/>
          <w:sz w:val="22"/>
          <w:szCs w:val="22"/>
        </w:rPr>
        <w:t>SECCIÓN NOVENA</w:t>
      </w:r>
    </w:p>
    <w:p w:rsidR="0043245F" w:rsidRPr="008B2FB3" w:rsidRDefault="005248D2">
      <w:pPr>
        <w:pBdr>
          <w:top w:val="nil"/>
          <w:left w:val="nil"/>
          <w:bottom w:val="nil"/>
          <w:right w:val="nil"/>
          <w:between w:val="nil"/>
        </w:pBdr>
        <w:spacing w:line="276" w:lineRule="auto"/>
        <w:ind w:left="567" w:right="-280"/>
        <w:jc w:val="center"/>
        <w:rPr>
          <w:rFonts w:ascii="Palatino Linotype" w:eastAsia="Palatino Linotype" w:hAnsi="Palatino Linotype" w:cs="Palatino Linotype"/>
          <w:b/>
          <w:i/>
          <w:color w:val="000000"/>
          <w:sz w:val="22"/>
          <w:szCs w:val="22"/>
        </w:rPr>
      </w:pPr>
      <w:r w:rsidRPr="008B2FB3">
        <w:rPr>
          <w:rFonts w:ascii="Palatino Linotype" w:eastAsia="Palatino Linotype" w:hAnsi="Palatino Linotype" w:cs="Palatino Linotype"/>
          <w:b/>
          <w:i/>
          <w:color w:val="000000"/>
          <w:sz w:val="22"/>
          <w:szCs w:val="22"/>
        </w:rPr>
        <w:t>DEL COMITÉ DE TRANSPARENCIA DEL</w:t>
      </w:r>
    </w:p>
    <w:p w:rsidR="0043245F" w:rsidRPr="008B2FB3" w:rsidRDefault="005248D2">
      <w:pPr>
        <w:pBdr>
          <w:top w:val="nil"/>
          <w:left w:val="nil"/>
          <w:bottom w:val="nil"/>
          <w:right w:val="nil"/>
          <w:between w:val="nil"/>
        </w:pBdr>
        <w:spacing w:line="276" w:lineRule="auto"/>
        <w:ind w:left="567" w:right="-280"/>
        <w:jc w:val="center"/>
        <w:rPr>
          <w:rFonts w:ascii="Palatino Linotype" w:eastAsia="Palatino Linotype" w:hAnsi="Palatino Linotype" w:cs="Palatino Linotype"/>
          <w:b/>
          <w:i/>
          <w:color w:val="000000"/>
          <w:sz w:val="22"/>
          <w:szCs w:val="22"/>
        </w:rPr>
      </w:pPr>
      <w:r w:rsidRPr="008B2FB3">
        <w:rPr>
          <w:rFonts w:ascii="Palatino Linotype" w:eastAsia="Palatino Linotype" w:hAnsi="Palatino Linotype" w:cs="Palatino Linotype"/>
          <w:b/>
          <w:i/>
          <w:color w:val="000000"/>
          <w:sz w:val="22"/>
          <w:szCs w:val="22"/>
        </w:rPr>
        <w:t>MUNICIPIO DE TOLUCA</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Artículo 5.41.</w:t>
      </w:r>
      <w:r w:rsidRPr="008B2FB3">
        <w:rPr>
          <w:rFonts w:ascii="Palatino Linotype" w:eastAsia="Palatino Linotype" w:hAnsi="Palatino Linotype" w:cs="Palatino Linotype"/>
          <w:i/>
          <w:color w:val="000000"/>
          <w:sz w:val="22"/>
          <w:szCs w:val="22"/>
        </w:rPr>
        <w:t xml:space="preserve"> El Comité de Transparencia del Municipio de Toluca, será integrado por: </w:t>
      </w:r>
    </w:p>
    <w:p w:rsidR="0043245F" w:rsidRPr="008B2FB3" w:rsidRDefault="005248D2">
      <w:pPr>
        <w:numPr>
          <w:ilvl w:val="0"/>
          <w:numId w:val="4"/>
        </w:numPr>
        <w:pBdr>
          <w:top w:val="nil"/>
          <w:left w:val="nil"/>
          <w:bottom w:val="nil"/>
          <w:right w:val="nil"/>
          <w:between w:val="nil"/>
        </w:pBdr>
        <w:spacing w:line="276" w:lineRule="auto"/>
        <w:ind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 xml:space="preserve">La o el titular de la Unidad de Transparencia; </w:t>
      </w:r>
    </w:p>
    <w:p w:rsidR="0043245F" w:rsidRPr="008B2FB3" w:rsidRDefault="005248D2">
      <w:pPr>
        <w:numPr>
          <w:ilvl w:val="0"/>
          <w:numId w:val="4"/>
        </w:numPr>
        <w:pBdr>
          <w:top w:val="nil"/>
          <w:left w:val="nil"/>
          <w:bottom w:val="nil"/>
          <w:right w:val="nil"/>
          <w:between w:val="nil"/>
        </w:pBdr>
        <w:spacing w:line="276" w:lineRule="auto"/>
        <w:ind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 xml:space="preserve">La o el titular de la Secretaría del Ayuntamiento, como responsable del área coordinadora de archivos; y </w:t>
      </w:r>
    </w:p>
    <w:p w:rsidR="0043245F" w:rsidRPr="008B2FB3" w:rsidRDefault="005248D2">
      <w:pPr>
        <w:numPr>
          <w:ilvl w:val="0"/>
          <w:numId w:val="4"/>
        </w:numPr>
        <w:pBdr>
          <w:top w:val="nil"/>
          <w:left w:val="nil"/>
          <w:bottom w:val="nil"/>
          <w:right w:val="nil"/>
          <w:between w:val="nil"/>
        </w:pBdr>
        <w:spacing w:line="276" w:lineRule="auto"/>
        <w:ind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La o el titular de la Contraloría; como responsable del órgano de control interno del municipio.</w:t>
      </w:r>
    </w:p>
    <w:p w:rsidR="0043245F" w:rsidRPr="008B2FB3" w:rsidRDefault="0043245F">
      <w:pPr>
        <w:pBdr>
          <w:top w:val="nil"/>
          <w:left w:val="nil"/>
          <w:bottom w:val="nil"/>
          <w:right w:val="nil"/>
          <w:between w:val="nil"/>
        </w:pBdr>
        <w:spacing w:line="276" w:lineRule="auto"/>
        <w:ind w:left="1347" w:right="-280"/>
        <w:jc w:val="both"/>
        <w:rPr>
          <w:rFonts w:ascii="Palatino Linotype" w:eastAsia="Palatino Linotype" w:hAnsi="Palatino Linotype" w:cs="Palatino Linotype"/>
          <w:i/>
          <w:color w:val="000000"/>
          <w:sz w:val="22"/>
          <w:szCs w:val="22"/>
        </w:rPr>
      </w:pP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u w:val="single"/>
        </w:rPr>
      </w:pPr>
      <w:r w:rsidRPr="008B2FB3">
        <w:rPr>
          <w:rFonts w:ascii="Palatino Linotype" w:eastAsia="Palatino Linotype" w:hAnsi="Palatino Linotype" w:cs="Palatino Linotype"/>
          <w:b/>
          <w:i/>
          <w:color w:val="000000"/>
          <w:sz w:val="22"/>
          <w:szCs w:val="22"/>
        </w:rPr>
        <w:t>Artículo 5.41 Bis.</w:t>
      </w:r>
      <w:r w:rsidRPr="008B2FB3">
        <w:rPr>
          <w:rFonts w:ascii="Palatino Linotype" w:eastAsia="Palatino Linotype" w:hAnsi="Palatino Linotype" w:cs="Palatino Linotype"/>
          <w:i/>
          <w:color w:val="000000"/>
          <w:sz w:val="22"/>
          <w:szCs w:val="22"/>
        </w:rPr>
        <w:t xml:space="preserve"> El municipio de Toluca, </w:t>
      </w:r>
      <w:r w:rsidRPr="008B2FB3">
        <w:rPr>
          <w:rFonts w:ascii="Palatino Linotype" w:eastAsia="Palatino Linotype" w:hAnsi="Palatino Linotype" w:cs="Palatino Linotype"/>
          <w:i/>
          <w:color w:val="000000"/>
          <w:sz w:val="22"/>
          <w:szCs w:val="22"/>
          <w:u w:val="single"/>
        </w:rPr>
        <w:t>privilegia el derecho de orden público e interés general para el acceso a la información pública y a la protección de datos personales, siendo sujetos obligados, para su cumplimiento el Ayuntamiento, la administración pública municipal en su totalidad, sus órganos, organismos y en general quienes reciban o ejerzan recursos municipales.</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Artículo 5.41 Ter</w:t>
      </w:r>
      <w:r w:rsidRPr="008B2FB3">
        <w:rPr>
          <w:rFonts w:ascii="Palatino Linotype" w:eastAsia="Palatino Linotype" w:hAnsi="Palatino Linotype" w:cs="Palatino Linotype"/>
          <w:i/>
          <w:color w:val="000000"/>
          <w:sz w:val="22"/>
          <w:szCs w:val="22"/>
        </w:rPr>
        <w:t xml:space="preserve">. El Ayuntamiento, establecerá los lineamientos, procedimientos, mecanismos y protocolos necesarios para garantizar a los particulares la protección de sus datos personales, que por cualquier solicitud, declaración, manifestación, queja, denuncia, trámite o petición hayan sido entregados por cualquier medio a la administración pública municipal. Los cuales son de carácter obligatorio y vinculante a cada una de sus unidades administrativas y servidores públicos. </w:t>
      </w:r>
    </w:p>
    <w:p w:rsidR="0043245F" w:rsidRPr="008B2FB3" w:rsidRDefault="0043245F">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lastRenderedPageBreak/>
        <w:t xml:space="preserve">Asimismo, se constituirá como un gobierno abierto, con vocación ciudadana, honesto y trasparente, sentando las bases del Sistema Municipal de Rendición de Cuentas y Combate a la Corrupción, con dos instrumentos básicos; el primero, el fortalecimiento de los sistemas de información pública; y el segundo, el impulso a las prácticas de gobierno digital. </w:t>
      </w:r>
    </w:p>
    <w:p w:rsidR="0043245F" w:rsidRPr="008B2FB3" w:rsidRDefault="0043245F">
      <w:pPr>
        <w:pBdr>
          <w:top w:val="nil"/>
          <w:left w:val="nil"/>
          <w:bottom w:val="nil"/>
          <w:right w:val="nil"/>
          <w:between w:val="nil"/>
        </w:pBdr>
        <w:spacing w:line="276" w:lineRule="auto"/>
        <w:ind w:left="567" w:right="-280"/>
        <w:jc w:val="both"/>
        <w:rPr>
          <w:rFonts w:ascii="Palatino Linotype" w:eastAsia="Palatino Linotype" w:hAnsi="Palatino Linotype" w:cs="Palatino Linotype"/>
          <w:b/>
          <w:i/>
          <w:color w:val="000000"/>
          <w:sz w:val="22"/>
          <w:szCs w:val="22"/>
        </w:rPr>
      </w:pP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Artículo 5.42.</w:t>
      </w:r>
      <w:r w:rsidRPr="008B2FB3">
        <w:rPr>
          <w:rFonts w:ascii="Palatino Linotype" w:eastAsia="Palatino Linotype" w:hAnsi="Palatino Linotype" w:cs="Palatino Linotype"/>
          <w:i/>
          <w:color w:val="000000"/>
          <w:sz w:val="22"/>
          <w:szCs w:val="22"/>
        </w:rPr>
        <w:t xml:space="preserve"> La o el titular de la Unidad de Transparencia, será designado por el presidente municipal. </w:t>
      </w: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i/>
          <w:color w:val="000000"/>
          <w:sz w:val="22"/>
          <w:szCs w:val="22"/>
        </w:rPr>
        <w:t>Las o los servidores públicos habilitados se designarán por el presidente municipal, a propuesta de la o el titular de la Unidad de Transparencia. Artículo</w:t>
      </w:r>
    </w:p>
    <w:p w:rsidR="0043245F" w:rsidRPr="008B2FB3" w:rsidRDefault="0043245F">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p>
    <w:p w:rsidR="0043245F" w:rsidRPr="008B2FB3" w:rsidRDefault="005248D2">
      <w:pPr>
        <w:pBdr>
          <w:top w:val="nil"/>
          <w:left w:val="nil"/>
          <w:bottom w:val="nil"/>
          <w:right w:val="nil"/>
          <w:between w:val="nil"/>
        </w:pBdr>
        <w:spacing w:line="276" w:lineRule="auto"/>
        <w:ind w:left="567" w:right="-280"/>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color w:val="000000"/>
          <w:sz w:val="22"/>
          <w:szCs w:val="22"/>
        </w:rPr>
        <w:t xml:space="preserve">5.43. </w:t>
      </w:r>
      <w:r w:rsidRPr="008B2FB3">
        <w:rPr>
          <w:rFonts w:ascii="Palatino Linotype" w:eastAsia="Palatino Linotype" w:hAnsi="Palatino Linotype" w:cs="Palatino Linotype"/>
          <w:i/>
          <w:color w:val="000000"/>
          <w:sz w:val="22"/>
          <w:szCs w:val="22"/>
        </w:rPr>
        <w:t>El Comité de Transparencia del Municipio de Toluca, es la máxima autoridad municipal en materia de transparencia, acceso a la información pública y protección de datos y se regirá por lo previsto por la Ley General de Transparencia y Acceso a la Información Pública, la Ley de Transparencia y Acceso a la Información Pública del Estado de México y Municipios; así como la Ley de Protección de Datos Personales del Estado de México.</w:t>
      </w:r>
    </w:p>
    <w:p w:rsidR="0043245F" w:rsidRPr="008B2FB3" w:rsidRDefault="0043245F">
      <w:pPr>
        <w:pBdr>
          <w:top w:val="nil"/>
          <w:left w:val="nil"/>
          <w:bottom w:val="nil"/>
          <w:right w:val="nil"/>
          <w:between w:val="nil"/>
        </w:pBdr>
        <w:spacing w:line="360" w:lineRule="auto"/>
        <w:ind w:left="567" w:right="-847"/>
        <w:jc w:val="both"/>
        <w:rPr>
          <w:rFonts w:ascii="Palatino Linotype" w:eastAsia="Palatino Linotype" w:hAnsi="Palatino Linotype" w:cs="Palatino Linotype"/>
          <w:i/>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Del articulado anterior se establece que el SUJETO OBLIGADO, emitió respuesta de conformidad a sus atribuciones, remitiendo la versión pública del expediente relativo al recurso de revisión 01879/INFOEM/IP/RR/2024, información que fuera solicitada por el recurrente.  </w:t>
      </w:r>
    </w:p>
    <w:p w:rsidR="00073B73" w:rsidRPr="008B2FB3" w:rsidRDefault="00073B73" w:rsidP="00073B73">
      <w:pPr>
        <w:spacing w:line="360" w:lineRule="auto"/>
        <w:ind w:right="-847"/>
        <w:jc w:val="both"/>
      </w:pPr>
    </w:p>
    <w:p w:rsidR="00073B73" w:rsidRPr="008B2FB3" w:rsidRDefault="00073B73">
      <w:pPr>
        <w:numPr>
          <w:ilvl w:val="0"/>
          <w:numId w:val="1"/>
        </w:numPr>
        <w:spacing w:line="360" w:lineRule="auto"/>
        <w:ind w:left="0" w:right="-847" w:firstLine="0"/>
        <w:jc w:val="both"/>
        <w:rPr>
          <w:rFonts w:ascii="Palatino Linotype" w:hAnsi="Palatino Linotype"/>
        </w:rPr>
      </w:pPr>
      <w:r w:rsidRPr="008B2FB3">
        <w:rPr>
          <w:rFonts w:ascii="Palatino Linotype" w:hAnsi="Palatino Linotype"/>
        </w:rPr>
        <w:t xml:space="preserve">Ahora bien, </w:t>
      </w:r>
      <w:r w:rsidR="0052212F" w:rsidRPr="008B2FB3">
        <w:rPr>
          <w:rFonts w:ascii="Palatino Linotype" w:hAnsi="Palatino Linotype"/>
        </w:rPr>
        <w:t>resulta importante aclarar que el Recurrente hizo referencia al turno que se elabor</w:t>
      </w:r>
      <w:r w:rsidR="004276B3" w:rsidRPr="008B2FB3">
        <w:rPr>
          <w:rFonts w:ascii="Palatino Linotype" w:hAnsi="Palatino Linotype"/>
        </w:rPr>
        <w:t>ó</w:t>
      </w:r>
      <w:r w:rsidR="0052212F" w:rsidRPr="008B2FB3">
        <w:rPr>
          <w:rFonts w:ascii="Palatino Linotype" w:hAnsi="Palatino Linotype"/>
        </w:rPr>
        <w:t xml:space="preserve"> dentro del expediente </w:t>
      </w:r>
      <w:r w:rsidR="0052212F" w:rsidRPr="008B2FB3">
        <w:rPr>
          <w:rFonts w:ascii="Palatino Linotype" w:eastAsia="Palatino Linotype" w:hAnsi="Palatino Linotype" w:cs="Palatino Linotype"/>
        </w:rPr>
        <w:t>01879/INFOEM/IP/RR/2024</w:t>
      </w:r>
      <w:r w:rsidR="0052212F" w:rsidRPr="008B2FB3">
        <w:rPr>
          <w:rFonts w:ascii="Palatino Linotype" w:hAnsi="Palatino Linotype"/>
        </w:rPr>
        <w:t>, el cual se realizó mediante el Sistema de Acceso a la Información Mexiquense</w:t>
      </w:r>
      <w:r w:rsidRPr="008B2FB3">
        <w:rPr>
          <w:rFonts w:ascii="Palatino Linotype" w:hAnsi="Palatino Linotype"/>
        </w:rPr>
        <w:t xml:space="preserve"> (SAIMEX).</w:t>
      </w:r>
    </w:p>
    <w:p w:rsidR="00F731C7" w:rsidRPr="008B2FB3" w:rsidRDefault="00F731C7" w:rsidP="00F731C7">
      <w:pPr>
        <w:pStyle w:val="Prrafodelista"/>
        <w:rPr>
          <w:rFonts w:ascii="Palatino Linotype" w:hAnsi="Palatino Linotype"/>
        </w:rPr>
      </w:pPr>
    </w:p>
    <w:p w:rsidR="00F731C7" w:rsidRPr="008B2FB3" w:rsidRDefault="00F731C7">
      <w:pPr>
        <w:numPr>
          <w:ilvl w:val="0"/>
          <w:numId w:val="1"/>
        </w:numPr>
        <w:spacing w:line="360" w:lineRule="auto"/>
        <w:ind w:left="0" w:right="-847" w:firstLine="0"/>
        <w:jc w:val="both"/>
        <w:rPr>
          <w:rFonts w:ascii="Palatino Linotype" w:hAnsi="Palatino Linotype"/>
        </w:rPr>
      </w:pPr>
      <w:r w:rsidRPr="008B2FB3">
        <w:rPr>
          <w:rFonts w:ascii="Palatino Linotype" w:hAnsi="Palatino Linotype"/>
        </w:rPr>
        <w:t xml:space="preserve">Como se observa en el expediente del recurso 01879/INFOEM/IP/RR/2024, se tuvo a bien garantizar que la solicitud se turnará a las áreas competentes y que cuenten con información o deba tenerla de acuerdo a sus facultades, competencias y funciones, con el </w:t>
      </w:r>
      <w:r w:rsidRPr="008B2FB3">
        <w:rPr>
          <w:rFonts w:ascii="Palatino Linotype" w:hAnsi="Palatino Linotype"/>
        </w:rPr>
        <w:lastRenderedPageBreak/>
        <w:t>objeto de que realicen una búsqueda exhaustiva y razonable de la información solicitada, como se observa a continuación:</w:t>
      </w:r>
    </w:p>
    <w:p w:rsidR="00F731C7" w:rsidRPr="008B2FB3" w:rsidRDefault="00F731C7" w:rsidP="00F731C7">
      <w:pPr>
        <w:pStyle w:val="Prrafodelista"/>
        <w:rPr>
          <w:rFonts w:ascii="Palatino Linotype" w:hAnsi="Palatino Linotype"/>
        </w:rPr>
      </w:pPr>
    </w:p>
    <w:p w:rsidR="00F731C7" w:rsidRPr="008B2FB3" w:rsidRDefault="00F731C7" w:rsidP="00F731C7">
      <w:pPr>
        <w:spacing w:line="360" w:lineRule="auto"/>
        <w:ind w:right="-847"/>
        <w:jc w:val="center"/>
        <w:rPr>
          <w:rFonts w:ascii="Palatino Linotype" w:hAnsi="Palatino Linotype"/>
        </w:rPr>
      </w:pPr>
      <w:r w:rsidRPr="008B2FB3">
        <w:rPr>
          <w:rFonts w:ascii="Palatino Linotype" w:hAnsi="Palatino Linotype"/>
          <w:noProof/>
          <w:lang w:val="es-MX" w:eastAsia="es-MX"/>
        </w:rPr>
        <w:drawing>
          <wp:inline distT="0" distB="0" distL="0" distR="0" wp14:anchorId="31D83120" wp14:editId="0D5DE229">
            <wp:extent cx="5581015" cy="91630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81015" cy="916305"/>
                    </a:xfrm>
                    <a:prstGeom prst="rect">
                      <a:avLst/>
                    </a:prstGeom>
                  </pic:spPr>
                </pic:pic>
              </a:graphicData>
            </a:graphic>
          </wp:inline>
        </w:drawing>
      </w:r>
    </w:p>
    <w:p w:rsidR="00F731C7" w:rsidRPr="008B2FB3" w:rsidRDefault="00F731C7" w:rsidP="00F731C7">
      <w:pPr>
        <w:pStyle w:val="Prrafodelista"/>
        <w:rPr>
          <w:rFonts w:ascii="Palatino Linotype" w:hAnsi="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Ahora bien, el RECURRENTE dentro de su solicitud, manifestó </w:t>
      </w:r>
      <w:r w:rsidRPr="008B2FB3">
        <w:rPr>
          <w:rFonts w:ascii="Palatino Linotype" w:eastAsia="Palatino Linotype" w:hAnsi="Palatino Linotype" w:cs="Palatino Linotype"/>
          <w:i/>
        </w:rPr>
        <w:t>“…</w:t>
      </w:r>
      <w:proofErr w:type="spellStart"/>
      <w:r w:rsidRPr="008B2FB3">
        <w:rPr>
          <w:rFonts w:ascii="Palatino Linotype" w:eastAsia="Palatino Linotype" w:hAnsi="Palatino Linotype" w:cs="Palatino Linotype"/>
          <w:i/>
        </w:rPr>
        <w:t>a</w:t>
      </w:r>
      <w:r w:rsidRPr="008B2FB3">
        <w:rPr>
          <w:rFonts w:ascii="Palatino Linotype" w:eastAsia="Palatino Linotype" w:hAnsi="Palatino Linotype" w:cs="Palatino Linotype"/>
          <w:i/>
          <w:color w:val="000000"/>
        </w:rPr>
        <w:t>grgando</w:t>
      </w:r>
      <w:proofErr w:type="spellEnd"/>
      <w:r w:rsidRPr="008B2FB3">
        <w:rPr>
          <w:rFonts w:ascii="Palatino Linotype" w:eastAsia="Palatino Linotype" w:hAnsi="Palatino Linotype" w:cs="Palatino Linotype"/>
          <w:i/>
          <w:color w:val="000000"/>
        </w:rPr>
        <w:t xml:space="preserve"> los documentos donde conste que se </w:t>
      </w:r>
      <w:proofErr w:type="spellStart"/>
      <w:r w:rsidRPr="008B2FB3">
        <w:rPr>
          <w:rFonts w:ascii="Palatino Linotype" w:eastAsia="Palatino Linotype" w:hAnsi="Palatino Linotype" w:cs="Palatino Linotype"/>
          <w:i/>
          <w:color w:val="000000"/>
        </w:rPr>
        <w:t>turno</w:t>
      </w:r>
      <w:proofErr w:type="spellEnd"/>
      <w:r w:rsidRPr="008B2FB3">
        <w:rPr>
          <w:rFonts w:ascii="Palatino Linotype" w:eastAsia="Palatino Linotype" w:hAnsi="Palatino Linotype" w:cs="Palatino Linotype"/>
          <w:i/>
          <w:color w:val="000000"/>
        </w:rPr>
        <w:t xml:space="preserve"> a las áreas.” </w:t>
      </w:r>
      <w:r w:rsidRPr="008B2FB3">
        <w:rPr>
          <w:rFonts w:ascii="Palatino Linotype" w:eastAsia="Palatino Linotype" w:hAnsi="Palatino Linotype" w:cs="Palatino Linotype"/>
          <w:color w:val="000000"/>
        </w:rPr>
        <w:t xml:space="preserve">(Sic); en atención a ello debe señalarse que, del análisis de la respuesta emitida, se advierte que le fue entregado el expediente del recurso de revisión número 01879/INFOEM/IP/RR/2024, en versión pública, así como anexos relacionados con el recurso aludido, mismos que han quedado debidamente descritos en el numeral </w:t>
      </w:r>
      <w:r w:rsidRPr="008B2FB3">
        <w:rPr>
          <w:rFonts w:ascii="Palatino Linotype" w:eastAsia="Palatino Linotype" w:hAnsi="Palatino Linotype" w:cs="Palatino Linotype"/>
          <w:b/>
          <w:color w:val="000000"/>
        </w:rPr>
        <w:t>3</w:t>
      </w:r>
      <w:r w:rsidRPr="008B2FB3">
        <w:rPr>
          <w:rFonts w:ascii="Palatino Linotype" w:eastAsia="Palatino Linotype" w:hAnsi="Palatino Linotype" w:cs="Palatino Linotype"/>
          <w:color w:val="000000"/>
        </w:rPr>
        <w:t xml:space="preserve">, de la presente resolución;  empero, el RECURRENTE, se adolece de que la información es incompleta, pues hace referencia a que no le fueron entregados los documentos que dieran cuenta que se </w:t>
      </w:r>
      <w:r w:rsidRPr="008B2FB3">
        <w:rPr>
          <w:rFonts w:ascii="Palatino Linotype" w:eastAsia="Palatino Linotype" w:hAnsi="Palatino Linotype" w:cs="Palatino Linotype"/>
        </w:rPr>
        <w:t>turna</w:t>
      </w:r>
      <w:r w:rsidRPr="008B2FB3">
        <w:rPr>
          <w:rFonts w:ascii="Palatino Linotype" w:eastAsia="Palatino Linotype" w:hAnsi="Palatino Linotype" w:cs="Palatino Linotype"/>
          <w:color w:val="000000"/>
        </w:rPr>
        <w:t xml:space="preserve"> a las áreas correspondientes, señalando como motivo de inconformidad: </w:t>
      </w:r>
      <w:r w:rsidRPr="008B2FB3">
        <w:rPr>
          <w:rFonts w:ascii="Palatino Linotype" w:eastAsia="Palatino Linotype" w:hAnsi="Palatino Linotype" w:cs="Palatino Linotype"/>
          <w:i/>
          <w:color w:val="000000"/>
        </w:rPr>
        <w:t xml:space="preserve">“solicite el expediente y los documentos que dieran cuenta que se </w:t>
      </w:r>
      <w:proofErr w:type="spellStart"/>
      <w:r w:rsidRPr="008B2FB3">
        <w:rPr>
          <w:rFonts w:ascii="Palatino Linotype" w:eastAsia="Palatino Linotype" w:hAnsi="Palatino Linotype" w:cs="Palatino Linotype"/>
          <w:i/>
          <w:color w:val="000000"/>
        </w:rPr>
        <w:t>turno</w:t>
      </w:r>
      <w:proofErr w:type="spellEnd"/>
      <w:r w:rsidRPr="008B2FB3">
        <w:rPr>
          <w:rFonts w:ascii="Palatino Linotype" w:eastAsia="Palatino Linotype" w:hAnsi="Palatino Linotype" w:cs="Palatino Linotype"/>
          <w:i/>
          <w:color w:val="000000"/>
        </w:rPr>
        <w:t xml:space="preserve">, en primera el expediente </w:t>
      </w:r>
      <w:proofErr w:type="spellStart"/>
      <w:r w:rsidRPr="008B2FB3">
        <w:rPr>
          <w:rFonts w:ascii="Palatino Linotype" w:eastAsia="Palatino Linotype" w:hAnsi="Palatino Linotype" w:cs="Palatino Linotype"/>
          <w:i/>
          <w:color w:val="000000"/>
        </w:rPr>
        <w:t>esta</w:t>
      </w:r>
      <w:proofErr w:type="spellEnd"/>
      <w:r w:rsidRPr="008B2FB3">
        <w:rPr>
          <w:rFonts w:ascii="Palatino Linotype" w:eastAsia="Palatino Linotype" w:hAnsi="Palatino Linotype" w:cs="Palatino Linotype"/>
          <w:i/>
          <w:color w:val="000000"/>
        </w:rPr>
        <w:t xml:space="preserve"> incompleto y en segunda, sobre los documentos que dieran cuenta que se </w:t>
      </w:r>
      <w:proofErr w:type="spellStart"/>
      <w:r w:rsidRPr="008B2FB3">
        <w:rPr>
          <w:rFonts w:ascii="Palatino Linotype" w:eastAsia="Palatino Linotype" w:hAnsi="Palatino Linotype" w:cs="Palatino Linotype"/>
          <w:i/>
          <w:color w:val="000000"/>
        </w:rPr>
        <w:t>turno</w:t>
      </w:r>
      <w:proofErr w:type="spellEnd"/>
      <w:r w:rsidRPr="008B2FB3">
        <w:rPr>
          <w:rFonts w:ascii="Palatino Linotype" w:eastAsia="Palatino Linotype" w:hAnsi="Palatino Linotype" w:cs="Palatino Linotype"/>
          <w:i/>
          <w:color w:val="000000"/>
        </w:rPr>
        <w:t xml:space="preserve">, no anexo nada ni se </w:t>
      </w:r>
      <w:proofErr w:type="spellStart"/>
      <w:r w:rsidRPr="008B2FB3">
        <w:rPr>
          <w:rFonts w:ascii="Palatino Linotype" w:eastAsia="Palatino Linotype" w:hAnsi="Palatino Linotype" w:cs="Palatino Linotype"/>
          <w:i/>
          <w:color w:val="000000"/>
        </w:rPr>
        <w:t>pronuncio</w:t>
      </w:r>
      <w:proofErr w:type="spellEnd"/>
      <w:r w:rsidRPr="008B2FB3">
        <w:rPr>
          <w:rFonts w:ascii="Palatino Linotype" w:eastAsia="Palatino Linotype" w:hAnsi="Palatino Linotype" w:cs="Palatino Linotype"/>
          <w:i/>
          <w:color w:val="000000"/>
        </w:rPr>
        <w:t xml:space="preserve"> al respecto.”</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i/>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De lo anterior, resulta importante establecer que del contenido de la versión pública de la resolución del recurso de revisión 01879/INFOEM/IP/RR/2024, se observa que en la solicitud del mismo se requirió: </w:t>
      </w:r>
      <w:r w:rsidRPr="008B2FB3">
        <w:rPr>
          <w:rFonts w:ascii="Palatino Linotype" w:eastAsia="Palatino Linotype" w:hAnsi="Palatino Linotype" w:cs="Palatino Linotype"/>
          <w:i/>
        </w:rPr>
        <w:t>“integrantes y acta de instalación del Sistema Institucional de Archivo”</w:t>
      </w:r>
      <w:r w:rsidRPr="008B2FB3">
        <w:rPr>
          <w:rFonts w:ascii="Palatino Linotype" w:eastAsia="Palatino Linotype" w:hAnsi="Palatino Linotype" w:cs="Palatino Linotype"/>
        </w:rPr>
        <w:t>; señalando que, en la resolución de mérito, en el numeral 2, del apartado de I. Antecedentes, relativo a Respuesta, se aprecia lo siguiente:</w:t>
      </w:r>
    </w:p>
    <w:p w:rsidR="0043245F" w:rsidRPr="008B2FB3" w:rsidRDefault="005248D2" w:rsidP="009B2204">
      <w:pPr>
        <w:spacing w:line="360" w:lineRule="auto"/>
        <w:ind w:right="-847"/>
        <w:jc w:val="center"/>
        <w:rPr>
          <w:rFonts w:ascii="Palatino Linotype" w:eastAsia="Palatino Linotype" w:hAnsi="Palatino Linotype" w:cs="Palatino Linotype"/>
        </w:rPr>
      </w:pPr>
      <w:r w:rsidRPr="008B2FB3">
        <w:rPr>
          <w:rFonts w:ascii="Palatino Linotype" w:eastAsia="Palatino Linotype" w:hAnsi="Palatino Linotype" w:cs="Palatino Linotype"/>
          <w:noProof/>
          <w:lang w:val="es-MX" w:eastAsia="es-MX"/>
        </w:rPr>
        <w:lastRenderedPageBreak/>
        <w:drawing>
          <wp:inline distT="0" distB="0" distL="0" distR="0">
            <wp:extent cx="3228229" cy="314871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38490" cy="3158724"/>
                    </a:xfrm>
                    <a:prstGeom prst="rect">
                      <a:avLst/>
                    </a:prstGeom>
                    <a:ln/>
                  </pic:spPr>
                </pic:pic>
              </a:graphicData>
            </a:graphic>
          </wp:inline>
        </w:drawing>
      </w:r>
    </w:p>
    <w:p w:rsidR="0043245F" w:rsidRPr="008B2FB3" w:rsidRDefault="0043245F">
      <w:pPr>
        <w:pBdr>
          <w:top w:val="nil"/>
          <w:left w:val="nil"/>
          <w:bottom w:val="nil"/>
          <w:right w:val="nil"/>
          <w:between w:val="nil"/>
        </w:pBdr>
        <w:ind w:left="720" w:right="-847"/>
        <w:rPr>
          <w:rFonts w:ascii="Palatino Linotype" w:eastAsia="Palatino Linotype" w:hAnsi="Palatino Linotype" w:cs="Palatino Linotype"/>
          <w:color w:val="000000"/>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Así también, de la versión pública del multicitado recurso, se aprecia que en el apartado II. CONSIDERANDO, numeral CUARTO. Estudio del asunto, a foja número 23 del archivo en versión pública de la resolución del expediente 01879/INFOEM/IP/RR/2024, se desprende: </w:t>
      </w:r>
    </w:p>
    <w:p w:rsidR="0043245F" w:rsidRPr="008B2FB3" w:rsidRDefault="005248D2" w:rsidP="00F731C7">
      <w:pPr>
        <w:spacing w:line="360" w:lineRule="auto"/>
        <w:ind w:right="-847"/>
        <w:jc w:val="center"/>
        <w:rPr>
          <w:rFonts w:ascii="Palatino Linotype" w:eastAsia="Palatino Linotype" w:hAnsi="Palatino Linotype" w:cs="Palatino Linotype"/>
        </w:rPr>
      </w:pPr>
      <w:r w:rsidRPr="008B2FB3">
        <w:rPr>
          <w:rFonts w:ascii="Palatino Linotype" w:eastAsia="Palatino Linotype" w:hAnsi="Palatino Linotype" w:cs="Palatino Linotype"/>
          <w:noProof/>
          <w:lang w:val="es-MX" w:eastAsia="es-MX"/>
        </w:rPr>
        <w:drawing>
          <wp:inline distT="0" distB="0" distL="0" distR="0">
            <wp:extent cx="3912042" cy="231383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927076" cy="2322722"/>
                    </a:xfrm>
                    <a:prstGeom prst="rect">
                      <a:avLst/>
                    </a:prstGeom>
                    <a:ln/>
                  </pic:spPr>
                </pic:pic>
              </a:graphicData>
            </a:graphic>
          </wp:inline>
        </w:drawing>
      </w:r>
    </w:p>
    <w:p w:rsidR="0043245F" w:rsidRPr="008B2FB3" w:rsidRDefault="005248D2">
      <w:pPr>
        <w:spacing w:line="360" w:lineRule="auto"/>
        <w:ind w:right="-847"/>
        <w:jc w:val="both"/>
        <w:rPr>
          <w:rFonts w:ascii="Palatino Linotype" w:eastAsia="Palatino Linotype" w:hAnsi="Palatino Linotype" w:cs="Palatino Linotype"/>
        </w:rPr>
      </w:pPr>
      <w:r w:rsidRPr="008B2FB3">
        <w:rPr>
          <w:rFonts w:ascii="Palatino Linotype" w:eastAsia="Palatino Linotype" w:hAnsi="Palatino Linotype" w:cs="Palatino Linotype"/>
        </w:rPr>
        <w:t>(…)</w:t>
      </w:r>
    </w:p>
    <w:p w:rsidR="0043245F" w:rsidRPr="008B2FB3" w:rsidRDefault="005248D2" w:rsidP="00F731C7">
      <w:pPr>
        <w:spacing w:line="360" w:lineRule="auto"/>
        <w:ind w:right="-847"/>
        <w:jc w:val="center"/>
        <w:rPr>
          <w:rFonts w:ascii="Palatino Linotype" w:eastAsia="Palatino Linotype" w:hAnsi="Palatino Linotype" w:cs="Palatino Linotype"/>
        </w:rPr>
      </w:pPr>
      <w:r w:rsidRPr="008B2FB3">
        <w:rPr>
          <w:rFonts w:ascii="Palatino Linotype" w:eastAsia="Palatino Linotype" w:hAnsi="Palatino Linotype" w:cs="Palatino Linotype"/>
          <w:noProof/>
          <w:lang w:val="es-MX" w:eastAsia="es-MX"/>
        </w:rPr>
        <w:lastRenderedPageBreak/>
        <w:drawing>
          <wp:inline distT="0" distB="0" distL="0" distR="0">
            <wp:extent cx="4277802" cy="1645920"/>
            <wp:effectExtent l="0" t="0" r="889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495107" cy="1729530"/>
                    </a:xfrm>
                    <a:prstGeom prst="rect">
                      <a:avLst/>
                    </a:prstGeom>
                    <a:ln/>
                  </pic:spPr>
                </pic:pic>
              </a:graphicData>
            </a:graphic>
          </wp:inline>
        </w:drawing>
      </w:r>
    </w:p>
    <w:p w:rsidR="00F731C7" w:rsidRPr="008B2FB3" w:rsidRDefault="00F731C7" w:rsidP="00F731C7">
      <w:pPr>
        <w:spacing w:line="360" w:lineRule="auto"/>
        <w:ind w:right="-847"/>
        <w:jc w:val="center"/>
        <w:rPr>
          <w:rFonts w:ascii="Palatino Linotype" w:eastAsia="Palatino Linotype" w:hAnsi="Palatino Linotype" w:cs="Palatino Linotype"/>
        </w:rPr>
      </w:pPr>
    </w:p>
    <w:p w:rsidR="0043245F" w:rsidRPr="008B2FB3" w:rsidRDefault="005248D2">
      <w:pPr>
        <w:numPr>
          <w:ilvl w:val="0"/>
          <w:numId w:val="1"/>
        </w:numPr>
        <w:spacing w:line="360" w:lineRule="auto"/>
        <w:ind w:left="0" w:right="-847" w:firstLine="0"/>
        <w:jc w:val="both"/>
      </w:pPr>
      <w:r w:rsidRPr="008B2FB3">
        <w:rPr>
          <w:rFonts w:ascii="Palatino Linotype" w:eastAsia="Palatino Linotype" w:hAnsi="Palatino Linotype" w:cs="Palatino Linotype"/>
        </w:rPr>
        <w:t xml:space="preserve">Lo anterior, permite inferir a éste Órgano Garante que a fin de atender la solicitud de información relacionada con el recurso de revisión 01879/INFOEM/IP/RR/2024, el Sujeto Obligado, </w:t>
      </w:r>
      <w:r w:rsidR="00F731C7" w:rsidRPr="008B2FB3">
        <w:rPr>
          <w:rFonts w:ascii="Palatino Linotype" w:eastAsia="Palatino Linotype" w:hAnsi="Palatino Linotype" w:cs="Palatino Linotype"/>
        </w:rPr>
        <w:t>turnó</w:t>
      </w:r>
      <w:r w:rsidRPr="008B2FB3">
        <w:rPr>
          <w:rFonts w:ascii="Palatino Linotype" w:eastAsia="Palatino Linotype" w:hAnsi="Palatino Linotype" w:cs="Palatino Linotype"/>
        </w:rPr>
        <w:t xml:space="preserve"> la solicitud al Servidor Público Habilitado, es decir, a la unidad administrativa competente, que en el caso concreto lo fue la Secretaría del Ayuntamiento, al ser la unidad administrativa competente para conocer de la información solicitada; a más de que en el cuerpo de la resolución, se señaló expresamente que quien dio atención a la solicitud de información fue el Secretario del Ayuntamiento; ante tales aseveraciones resulta dable considerar que sí se generó algún documento por el cual se haya turnado la solicitud a la citada Unidad y por ende la existencia de documento alguno.</w:t>
      </w:r>
    </w:p>
    <w:p w:rsidR="0043245F" w:rsidRPr="008B2FB3" w:rsidRDefault="0043245F">
      <w:pPr>
        <w:spacing w:line="360" w:lineRule="auto"/>
        <w:ind w:right="-847"/>
      </w:pPr>
    </w:p>
    <w:p w:rsidR="0043245F" w:rsidRPr="008B2FB3" w:rsidRDefault="005248D2">
      <w:pPr>
        <w:numPr>
          <w:ilvl w:val="0"/>
          <w:numId w:val="1"/>
        </w:numPr>
        <w:pBdr>
          <w:top w:val="nil"/>
          <w:left w:val="nil"/>
          <w:bottom w:val="nil"/>
          <w:right w:val="nil"/>
          <w:between w:val="nil"/>
        </w:pBdr>
        <w:spacing w:line="360" w:lineRule="auto"/>
        <w:ind w:left="0" w:right="-847" w:firstLine="0"/>
        <w:jc w:val="both"/>
      </w:pPr>
      <w:r w:rsidRPr="008B2FB3">
        <w:rPr>
          <w:rFonts w:ascii="Palatino Linotype" w:eastAsia="Palatino Linotype" w:hAnsi="Palatino Linotype" w:cs="Palatino Linotype"/>
          <w:color w:val="000000"/>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rsidR="0043245F" w:rsidRPr="008B2FB3" w:rsidRDefault="0043245F">
      <w:pPr>
        <w:ind w:right="-847"/>
        <w:rPr>
          <w:i/>
        </w:rPr>
      </w:pPr>
    </w:p>
    <w:p w:rsidR="0043245F" w:rsidRPr="008B2FB3" w:rsidRDefault="005248D2">
      <w:pPr>
        <w:numPr>
          <w:ilvl w:val="0"/>
          <w:numId w:val="9"/>
        </w:numPr>
        <w:pBdr>
          <w:top w:val="nil"/>
          <w:left w:val="nil"/>
          <w:bottom w:val="nil"/>
          <w:right w:val="nil"/>
          <w:between w:val="nil"/>
        </w:pBdr>
        <w:spacing w:line="276" w:lineRule="auto"/>
        <w:ind w:left="360" w:right="-2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 xml:space="preserve">Las Unidades de Transparencia de los Sujetos Obligados deben garantizar las medidas y condiciones de accesibilidad para que toda persona puede ejercer el derecho de acceso a la información; por lo que, </w:t>
      </w:r>
      <w:r w:rsidRPr="008B2FB3">
        <w:rPr>
          <w:rFonts w:ascii="Palatino Linotype" w:eastAsia="Palatino Linotype" w:hAnsi="Palatino Linotype" w:cs="Palatino Linotype"/>
          <w:i/>
          <w:sz w:val="22"/>
          <w:szCs w:val="22"/>
        </w:rPr>
        <w:lastRenderedPageBreak/>
        <w:t>son las responsables de hacer las notificaciones correspondientes, además de llevar a cabo de todas las gestiones necesarias para facilitar el acceso de la información;</w:t>
      </w:r>
    </w:p>
    <w:p w:rsidR="0043245F" w:rsidRPr="008B2FB3" w:rsidRDefault="0043245F">
      <w:pPr>
        <w:pBdr>
          <w:top w:val="nil"/>
          <w:left w:val="nil"/>
          <w:bottom w:val="nil"/>
          <w:right w:val="nil"/>
          <w:between w:val="nil"/>
        </w:pBdr>
        <w:spacing w:line="276" w:lineRule="auto"/>
        <w:ind w:left="360" w:right="-280"/>
        <w:jc w:val="both"/>
        <w:rPr>
          <w:rFonts w:ascii="Palatino Linotype" w:eastAsia="Palatino Linotype" w:hAnsi="Palatino Linotype" w:cs="Palatino Linotype"/>
          <w:i/>
          <w:sz w:val="22"/>
          <w:szCs w:val="22"/>
        </w:rPr>
      </w:pPr>
    </w:p>
    <w:p w:rsidR="0043245F" w:rsidRPr="008B2FB3" w:rsidRDefault="005248D2">
      <w:pPr>
        <w:numPr>
          <w:ilvl w:val="0"/>
          <w:numId w:val="9"/>
        </w:numPr>
        <w:pBdr>
          <w:top w:val="nil"/>
          <w:left w:val="nil"/>
          <w:bottom w:val="nil"/>
          <w:right w:val="nil"/>
          <w:between w:val="nil"/>
        </w:pBdr>
        <w:spacing w:line="276" w:lineRule="auto"/>
        <w:ind w:left="360" w:right="-280"/>
        <w:jc w:val="both"/>
        <w:rPr>
          <w:i/>
          <w:sz w:val="22"/>
          <w:szCs w:val="22"/>
        </w:rPr>
      </w:pPr>
      <w:r w:rsidRPr="008B2FB3">
        <w:rPr>
          <w:rFonts w:ascii="Palatino Linotype" w:eastAsia="Palatino Linotype" w:hAnsi="Palatino Linotype" w:cs="Palatino Linotype"/>
          <w:i/>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rsidR="0043245F" w:rsidRPr="008B2FB3" w:rsidRDefault="0043245F">
      <w:pPr>
        <w:pBdr>
          <w:top w:val="nil"/>
          <w:left w:val="nil"/>
          <w:bottom w:val="nil"/>
          <w:right w:val="nil"/>
          <w:between w:val="nil"/>
        </w:pBdr>
        <w:spacing w:line="276" w:lineRule="auto"/>
        <w:ind w:left="720" w:right="-280"/>
        <w:rPr>
          <w:i/>
          <w:sz w:val="22"/>
          <w:szCs w:val="22"/>
        </w:rPr>
      </w:pPr>
    </w:p>
    <w:p w:rsidR="0043245F" w:rsidRPr="008B2FB3" w:rsidRDefault="005248D2">
      <w:pPr>
        <w:numPr>
          <w:ilvl w:val="0"/>
          <w:numId w:val="5"/>
        </w:numPr>
        <w:pBdr>
          <w:top w:val="nil"/>
          <w:left w:val="nil"/>
          <w:bottom w:val="nil"/>
          <w:right w:val="nil"/>
          <w:between w:val="nil"/>
        </w:pBdr>
        <w:spacing w:line="276" w:lineRule="auto"/>
        <w:ind w:left="360" w:right="-280"/>
        <w:jc w:val="both"/>
        <w:rPr>
          <w:i/>
          <w:sz w:val="22"/>
          <w:szCs w:val="22"/>
        </w:rPr>
      </w:pPr>
      <w:r w:rsidRPr="008B2FB3">
        <w:rPr>
          <w:rFonts w:ascii="Palatino Linotype" w:eastAsia="Palatino Linotype" w:hAnsi="Palatino Linotype" w:cs="Palatino Linotype"/>
          <w:i/>
          <w:sz w:val="22"/>
          <w:szCs w:val="22"/>
        </w:rPr>
        <w:t xml:space="preserve">Las respuestas a los requerimientos informativos deberán notificarse al interesado en el menor tiempo posible, que no podrá exceder </w:t>
      </w:r>
      <w:r w:rsidRPr="008B2FB3">
        <w:rPr>
          <w:rFonts w:ascii="Palatino Linotype" w:eastAsia="Palatino Linotype" w:hAnsi="Palatino Linotype" w:cs="Palatino Linotype"/>
          <w:b/>
          <w:i/>
          <w:sz w:val="22"/>
          <w:szCs w:val="22"/>
        </w:rPr>
        <w:t>quince días, contados a partir del día siguiente a la presentación de ésta.</w:t>
      </w:r>
      <w:r w:rsidRPr="008B2FB3">
        <w:rPr>
          <w:rFonts w:ascii="Palatino Linotype" w:eastAsia="Palatino Linotype" w:hAnsi="Palatino Linotype" w:cs="Palatino Linotype"/>
          <w:i/>
          <w:sz w:val="22"/>
          <w:szCs w:val="22"/>
        </w:rPr>
        <w:t xml:space="preserve"> Excepcionalmente, el plazo referido podrá ampliarse por siete días hábiles más, cuando existan razones fundadas y motivadas, a través del Comité de Transparencia;</w:t>
      </w:r>
    </w:p>
    <w:p w:rsidR="0043245F" w:rsidRPr="008B2FB3" w:rsidRDefault="0043245F">
      <w:pPr>
        <w:pBdr>
          <w:top w:val="nil"/>
          <w:left w:val="nil"/>
          <w:bottom w:val="nil"/>
          <w:right w:val="nil"/>
          <w:between w:val="nil"/>
        </w:pBdr>
        <w:spacing w:line="276" w:lineRule="auto"/>
        <w:ind w:left="360" w:right="-280"/>
        <w:jc w:val="both"/>
        <w:rPr>
          <w:i/>
          <w:sz w:val="22"/>
          <w:szCs w:val="22"/>
        </w:rPr>
      </w:pPr>
    </w:p>
    <w:p w:rsidR="0043245F" w:rsidRPr="008B2FB3" w:rsidRDefault="005248D2">
      <w:pPr>
        <w:numPr>
          <w:ilvl w:val="0"/>
          <w:numId w:val="6"/>
        </w:numPr>
        <w:pBdr>
          <w:top w:val="nil"/>
          <w:left w:val="nil"/>
          <w:bottom w:val="nil"/>
          <w:right w:val="nil"/>
          <w:between w:val="nil"/>
        </w:pBdr>
        <w:spacing w:line="276" w:lineRule="auto"/>
        <w:ind w:left="360" w:right="-280"/>
        <w:jc w:val="both"/>
        <w:rPr>
          <w:i/>
          <w:sz w:val="22"/>
          <w:szCs w:val="22"/>
        </w:rPr>
      </w:pPr>
      <w:r w:rsidRPr="008B2FB3">
        <w:rPr>
          <w:rFonts w:ascii="Palatino Linotype" w:eastAsia="Palatino Linotype" w:hAnsi="Palatino Linotype" w:cs="Palatino Linotype"/>
          <w:b/>
          <w:i/>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rsidR="0043245F" w:rsidRPr="008B2FB3" w:rsidRDefault="0043245F">
      <w:pPr>
        <w:pBdr>
          <w:top w:val="nil"/>
          <w:left w:val="nil"/>
          <w:bottom w:val="nil"/>
          <w:right w:val="nil"/>
          <w:between w:val="nil"/>
        </w:pBdr>
        <w:spacing w:line="276" w:lineRule="auto"/>
        <w:ind w:left="360" w:right="-280"/>
        <w:jc w:val="both"/>
        <w:rPr>
          <w:i/>
          <w:sz w:val="22"/>
          <w:szCs w:val="22"/>
        </w:rPr>
      </w:pPr>
    </w:p>
    <w:p w:rsidR="0043245F" w:rsidRPr="008B2FB3" w:rsidRDefault="005248D2">
      <w:pPr>
        <w:numPr>
          <w:ilvl w:val="0"/>
          <w:numId w:val="7"/>
        </w:numPr>
        <w:pBdr>
          <w:top w:val="nil"/>
          <w:left w:val="nil"/>
          <w:bottom w:val="nil"/>
          <w:right w:val="nil"/>
          <w:between w:val="nil"/>
        </w:pBdr>
        <w:spacing w:line="276" w:lineRule="auto"/>
        <w:ind w:left="360" w:right="-280"/>
        <w:jc w:val="both"/>
        <w:rPr>
          <w:i/>
          <w:sz w:val="22"/>
          <w:szCs w:val="22"/>
        </w:rPr>
      </w:pPr>
      <w:r w:rsidRPr="008B2FB3">
        <w:rPr>
          <w:rFonts w:ascii="Palatino Linotype" w:eastAsia="Palatino Linotype" w:hAnsi="Palatino Linotype" w:cs="Palatino Linotype"/>
          <w:i/>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rsidR="0043245F" w:rsidRPr="008B2FB3" w:rsidRDefault="0043245F">
      <w:pPr>
        <w:pBdr>
          <w:top w:val="nil"/>
          <w:left w:val="nil"/>
          <w:bottom w:val="nil"/>
          <w:right w:val="nil"/>
          <w:between w:val="nil"/>
        </w:pBdr>
        <w:spacing w:line="276" w:lineRule="auto"/>
        <w:ind w:left="360" w:right="-280"/>
        <w:jc w:val="both"/>
        <w:rPr>
          <w:i/>
          <w:sz w:val="22"/>
          <w:szCs w:val="22"/>
        </w:rPr>
      </w:pPr>
    </w:p>
    <w:p w:rsidR="0043245F" w:rsidRPr="008B2FB3" w:rsidRDefault="005248D2">
      <w:pPr>
        <w:numPr>
          <w:ilvl w:val="0"/>
          <w:numId w:val="8"/>
        </w:numPr>
        <w:pBdr>
          <w:top w:val="nil"/>
          <w:left w:val="nil"/>
          <w:bottom w:val="nil"/>
          <w:right w:val="nil"/>
          <w:between w:val="nil"/>
        </w:pBdr>
        <w:spacing w:line="276" w:lineRule="auto"/>
        <w:ind w:left="360" w:right="-280"/>
        <w:jc w:val="both"/>
        <w:rPr>
          <w:rFonts w:ascii="Palatino Linotype" w:eastAsia="Palatino Linotype" w:hAnsi="Palatino Linotype" w:cs="Palatino Linotype"/>
          <w:b/>
          <w:i/>
          <w:sz w:val="22"/>
          <w:szCs w:val="22"/>
        </w:rPr>
      </w:pPr>
      <w:r w:rsidRPr="008B2FB3">
        <w:rPr>
          <w:rFonts w:ascii="Palatino Linotype" w:eastAsia="Palatino Linotype" w:hAnsi="Palatino Linotype" w:cs="Palatino Linotype"/>
          <w:i/>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rsidR="005248D2" w:rsidRPr="008B2FB3" w:rsidRDefault="005248D2" w:rsidP="002D132D">
      <w:pPr>
        <w:pBdr>
          <w:top w:val="nil"/>
          <w:left w:val="nil"/>
          <w:bottom w:val="nil"/>
          <w:right w:val="nil"/>
          <w:between w:val="nil"/>
        </w:pBdr>
        <w:spacing w:line="360" w:lineRule="auto"/>
        <w:ind w:right="-847"/>
        <w:jc w:val="both"/>
        <w:rPr>
          <w:rFonts w:ascii="Palatino Linotype" w:hAnsi="Palatino Linotype"/>
          <w:color w:val="000000"/>
        </w:rPr>
      </w:pPr>
    </w:p>
    <w:p w:rsidR="005248D2" w:rsidRPr="008B2FB3" w:rsidRDefault="009B2204" w:rsidP="005248D2">
      <w:pPr>
        <w:pStyle w:val="Prrafodelista"/>
        <w:numPr>
          <w:ilvl w:val="0"/>
          <w:numId w:val="1"/>
        </w:numPr>
        <w:pBdr>
          <w:top w:val="nil"/>
          <w:left w:val="nil"/>
          <w:bottom w:val="nil"/>
          <w:right w:val="nil"/>
          <w:between w:val="nil"/>
        </w:pBdr>
        <w:spacing w:line="360" w:lineRule="auto"/>
        <w:ind w:left="0" w:right="-847" w:firstLine="0"/>
        <w:jc w:val="both"/>
        <w:rPr>
          <w:rFonts w:ascii="Palatino Linotype" w:hAnsi="Palatino Linotype"/>
          <w:color w:val="000000"/>
        </w:rPr>
      </w:pPr>
      <w:r w:rsidRPr="008B2FB3">
        <w:rPr>
          <w:rFonts w:ascii="Palatino Linotype" w:hAnsi="Palatino Linotype"/>
          <w:color w:val="000000"/>
        </w:rPr>
        <w:t xml:space="preserve">En relación a la solicitud de información, y toda vez que el Recurrente solicitó en relación al expediente </w:t>
      </w:r>
      <w:r w:rsidRPr="008B2FB3">
        <w:rPr>
          <w:rFonts w:ascii="Palatino Linotype" w:eastAsia="Palatino Linotype" w:hAnsi="Palatino Linotype" w:cs="Palatino Linotype"/>
          <w:i/>
          <w:color w:val="000000"/>
        </w:rPr>
        <w:t xml:space="preserve">01879/INFOEM/IP/RR/2024 </w:t>
      </w:r>
      <w:r w:rsidRPr="008B2FB3">
        <w:rPr>
          <w:rFonts w:ascii="Palatino Linotype" w:hAnsi="Palatino Linotype"/>
          <w:color w:val="000000"/>
        </w:rPr>
        <w:t>el documento en el que conste que te turnó a todas las áreas, r</w:t>
      </w:r>
      <w:r w:rsidR="005248D2" w:rsidRPr="008B2FB3">
        <w:rPr>
          <w:rFonts w:ascii="Palatino Linotype" w:hAnsi="Palatino Linotype"/>
          <w:color w:val="000000"/>
        </w:rPr>
        <w:t>esulta importante mencionar lo establecido en los artículos 18,</w:t>
      </w:r>
      <w:r w:rsidR="00EA2AFA" w:rsidRPr="008B2FB3">
        <w:rPr>
          <w:rFonts w:ascii="Palatino Linotype" w:hAnsi="Palatino Linotype"/>
          <w:color w:val="000000"/>
        </w:rPr>
        <w:t xml:space="preserve"> 50, </w:t>
      </w:r>
      <w:r w:rsidR="00EA2AFA" w:rsidRPr="008B2FB3">
        <w:rPr>
          <w:rFonts w:ascii="Palatino Linotype" w:hAnsi="Palatino Linotype"/>
          <w:color w:val="000000"/>
        </w:rPr>
        <w:lastRenderedPageBreak/>
        <w:t>51, 53, 59</w:t>
      </w:r>
      <w:r w:rsidR="005248D2" w:rsidRPr="008B2FB3">
        <w:rPr>
          <w:rFonts w:ascii="Palatino Linotype" w:hAnsi="Palatino Linotype"/>
          <w:color w:val="000000"/>
        </w:rPr>
        <w:t xml:space="preserve"> </w:t>
      </w:r>
      <w:r w:rsidR="00EA2AFA" w:rsidRPr="008B2FB3">
        <w:rPr>
          <w:rFonts w:ascii="Palatino Linotype" w:hAnsi="Palatino Linotype"/>
          <w:color w:val="000000"/>
        </w:rPr>
        <w:t xml:space="preserve">y </w:t>
      </w:r>
      <w:r w:rsidR="005248D2" w:rsidRPr="008B2FB3">
        <w:rPr>
          <w:rFonts w:ascii="Palatino Linotype" w:hAnsi="Palatino Linotype"/>
          <w:color w:val="000000"/>
        </w:rPr>
        <w:t>162 de la Ley de Transparencia y Acceso a la Información Pública del Estado de México y Municipios:</w:t>
      </w:r>
    </w:p>
    <w:p w:rsidR="009B2204" w:rsidRPr="008B2FB3" w:rsidRDefault="009B2204" w:rsidP="009B2204">
      <w:pPr>
        <w:pStyle w:val="Prrafodelista"/>
        <w:pBdr>
          <w:top w:val="nil"/>
          <w:left w:val="nil"/>
          <w:bottom w:val="nil"/>
          <w:right w:val="nil"/>
          <w:between w:val="nil"/>
        </w:pBdr>
        <w:spacing w:line="276" w:lineRule="auto"/>
        <w:ind w:left="567" w:right="284"/>
        <w:jc w:val="both"/>
        <w:rPr>
          <w:rFonts w:ascii="Palatino Linotype" w:hAnsi="Palatino Linotype"/>
          <w:b/>
          <w:i/>
          <w:color w:val="000000"/>
          <w:sz w:val="22"/>
          <w:szCs w:val="22"/>
        </w:rPr>
      </w:pPr>
    </w:p>
    <w:p w:rsidR="005248D2" w:rsidRPr="008B2FB3" w:rsidRDefault="005248D2" w:rsidP="009B2204">
      <w:pPr>
        <w:pStyle w:val="Prrafodelista"/>
        <w:pBdr>
          <w:top w:val="nil"/>
          <w:left w:val="nil"/>
          <w:bottom w:val="nil"/>
          <w:right w:val="nil"/>
          <w:between w:val="nil"/>
        </w:pBdr>
        <w:spacing w:line="276" w:lineRule="auto"/>
        <w:ind w:left="567" w:right="284"/>
        <w:jc w:val="both"/>
        <w:rPr>
          <w:rFonts w:ascii="Palatino Linotype" w:hAnsi="Palatino Linotype"/>
          <w:i/>
          <w:color w:val="000000"/>
          <w:sz w:val="22"/>
          <w:szCs w:val="22"/>
        </w:rPr>
      </w:pPr>
      <w:r w:rsidRPr="008B2FB3">
        <w:rPr>
          <w:rFonts w:ascii="Palatino Linotype" w:hAnsi="Palatino Linotype"/>
          <w:b/>
          <w:i/>
          <w:color w:val="000000"/>
          <w:sz w:val="22"/>
          <w:szCs w:val="22"/>
        </w:rPr>
        <w:t>Artículo 18.</w:t>
      </w:r>
      <w:r w:rsidRPr="008B2FB3">
        <w:rPr>
          <w:rFonts w:ascii="Palatino Linotype" w:hAnsi="Palatino Linotype"/>
          <w:i/>
          <w:color w:val="000000"/>
          <w:sz w:val="22"/>
          <w:szCs w:val="22"/>
        </w:rPr>
        <w:t xml:space="preserve"> Los sujetos obligados deberán documentar todo acto que derive del ejercicio de sus facultades, competencias o funciones, considerando desde su origen la eventual publicidad y reutilización de la información que generen.</w:t>
      </w:r>
    </w:p>
    <w:p w:rsidR="009B2204" w:rsidRPr="008B2FB3" w:rsidRDefault="009B2204" w:rsidP="009B2204">
      <w:pPr>
        <w:pStyle w:val="Prrafodelista"/>
        <w:pBdr>
          <w:top w:val="nil"/>
          <w:left w:val="nil"/>
          <w:bottom w:val="nil"/>
          <w:right w:val="nil"/>
          <w:between w:val="nil"/>
        </w:pBdr>
        <w:spacing w:line="276" w:lineRule="auto"/>
        <w:ind w:left="567" w:right="284"/>
        <w:jc w:val="both"/>
        <w:rPr>
          <w:rFonts w:ascii="Palatino Linotype" w:hAnsi="Palatino Linotype"/>
          <w:i/>
          <w:color w:val="000000"/>
          <w:sz w:val="22"/>
          <w:szCs w:val="22"/>
        </w:rPr>
      </w:pP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w:t>
      </w:r>
      <w:r w:rsidRPr="008B2FB3">
        <w:rPr>
          <w:rFonts w:ascii="Palatino Linotype" w:hAnsi="Palatino Linotype"/>
          <w:b/>
          <w:i/>
          <w:sz w:val="22"/>
          <w:szCs w:val="22"/>
          <w:lang w:val="es-ES"/>
        </w:rPr>
        <w:t>Artículo 50.</w:t>
      </w:r>
      <w:r w:rsidRPr="008B2FB3">
        <w:rPr>
          <w:rFonts w:ascii="Palatino Linotype" w:hAnsi="Palatino Linotype"/>
          <w:i/>
          <w:sz w:val="22"/>
          <w:szCs w:val="22"/>
          <w:lang w:val="es-ES"/>
        </w:rPr>
        <w:t xml:space="preserve"> Los sujetos obligados contarán con un área responsable para la atención de las solicitudes de </w:t>
      </w:r>
      <w:r w:rsidRPr="008B2FB3">
        <w:rPr>
          <w:rFonts w:ascii="Palatino Linotype" w:hAnsi="Palatino Linotype" w:cs="Arial"/>
          <w:i/>
          <w:sz w:val="22"/>
          <w:szCs w:val="22"/>
          <w:lang w:val="es-ES" w:eastAsia="es-MX"/>
        </w:rPr>
        <w:t>información</w:t>
      </w:r>
      <w:r w:rsidRPr="008B2FB3">
        <w:rPr>
          <w:rFonts w:ascii="Palatino Linotype" w:hAnsi="Palatino Linotype"/>
          <w:i/>
          <w:sz w:val="22"/>
          <w:szCs w:val="22"/>
          <w:lang w:val="es-ES"/>
        </w:rPr>
        <w:t>, a la que se le denominará Unidad de Transparencia.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b/>
          <w:i/>
          <w:sz w:val="22"/>
          <w:szCs w:val="22"/>
          <w:lang w:val="es-ES"/>
        </w:rPr>
        <w:t>Artículo 51</w:t>
      </w:r>
      <w:r w:rsidRPr="008B2FB3">
        <w:rPr>
          <w:rFonts w:ascii="Palatino Linotype" w:hAnsi="Palatino Linotype"/>
          <w:i/>
          <w:sz w:val="22"/>
          <w:szCs w:val="22"/>
          <w:lang w:val="es-ES"/>
        </w:rPr>
        <w:t xml:space="preserve">. Los sujetos obligados designaran a un responsable para atender la Unidad de Transparencia, quien fungirá como enlace entre éstos y los solicitantes. Dicha Unidad será la encargada de tramitar </w:t>
      </w:r>
      <w:r w:rsidRPr="008B2FB3">
        <w:rPr>
          <w:rFonts w:ascii="Palatino Linotype" w:hAnsi="Palatino Linotype" w:cs="Arial"/>
          <w:i/>
          <w:sz w:val="22"/>
          <w:szCs w:val="22"/>
          <w:lang w:val="es-ES" w:eastAsia="es-MX"/>
        </w:rPr>
        <w:t>internamente</w:t>
      </w:r>
      <w:r w:rsidRPr="008B2FB3">
        <w:rPr>
          <w:rFonts w:ascii="Palatino Linotype" w:hAnsi="Palatino Linotype"/>
          <w:i/>
          <w:sz w:val="22"/>
          <w:szCs w:val="22"/>
          <w:lang w:val="es-ES"/>
        </w:rPr>
        <w:t xml:space="preserv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b/>
          <w:i/>
          <w:sz w:val="22"/>
          <w:szCs w:val="22"/>
          <w:lang w:val="es-ES"/>
        </w:rPr>
        <w:t>Artículo 53</w:t>
      </w:r>
      <w:r w:rsidRPr="008B2FB3">
        <w:rPr>
          <w:rFonts w:ascii="Palatino Linotype" w:hAnsi="Palatino Linotype"/>
          <w:i/>
          <w:sz w:val="22"/>
          <w:szCs w:val="22"/>
          <w:lang w:val="es-ES"/>
        </w:rPr>
        <w:t xml:space="preserve">. Las Unidades de </w:t>
      </w:r>
      <w:r w:rsidRPr="008B2FB3">
        <w:rPr>
          <w:rFonts w:ascii="Palatino Linotype" w:hAnsi="Palatino Linotype" w:cs="Arial"/>
          <w:i/>
          <w:sz w:val="22"/>
          <w:szCs w:val="22"/>
          <w:lang w:val="es-ES" w:eastAsia="es-MX"/>
        </w:rPr>
        <w:t>Transparencia</w:t>
      </w:r>
      <w:r w:rsidRPr="008B2FB3">
        <w:rPr>
          <w:rFonts w:ascii="Palatino Linotype" w:hAnsi="Palatino Linotype"/>
          <w:i/>
          <w:sz w:val="22"/>
          <w:szCs w:val="22"/>
          <w:lang w:val="es-ES"/>
        </w:rPr>
        <w:t xml:space="preserve"> tendrán las siguientes funciones: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 xml:space="preserve">I. Recabar, difundir y actualizar la información relativa a las obligaciones de transparencia comunes y específicas a la </w:t>
      </w:r>
      <w:r w:rsidRPr="008B2FB3">
        <w:rPr>
          <w:rFonts w:ascii="Palatino Linotype" w:hAnsi="Palatino Linotype" w:cs="Arial"/>
          <w:i/>
          <w:sz w:val="22"/>
          <w:szCs w:val="22"/>
          <w:lang w:val="es-ES" w:eastAsia="es-MX"/>
        </w:rPr>
        <w:t>que</w:t>
      </w:r>
      <w:r w:rsidRPr="008B2FB3">
        <w:rPr>
          <w:rFonts w:ascii="Palatino Linotype" w:hAnsi="Palatino Linotype"/>
          <w:i/>
          <w:sz w:val="22"/>
          <w:szCs w:val="22"/>
          <w:lang w:val="es-ES"/>
        </w:rPr>
        <w:t xml:space="preserve"> se refiere la Ley General, esta Ley, la que determine el Instituto y las demás disposiciones de la materia, así como propiciar que las áreas la actualicen periódicamente conforme a la normatividad aplicable;</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b/>
          <w:i/>
          <w:sz w:val="22"/>
          <w:szCs w:val="22"/>
          <w:lang w:val="es-ES"/>
        </w:rPr>
      </w:pPr>
      <w:r w:rsidRPr="008B2FB3">
        <w:rPr>
          <w:rFonts w:ascii="Palatino Linotype" w:hAnsi="Palatino Linotype"/>
          <w:b/>
          <w:i/>
          <w:sz w:val="22"/>
          <w:szCs w:val="22"/>
          <w:lang w:val="es-ES"/>
        </w:rPr>
        <w:t xml:space="preserve">II. Recibir, </w:t>
      </w:r>
      <w:r w:rsidRPr="008B2FB3">
        <w:rPr>
          <w:rFonts w:ascii="Palatino Linotype" w:hAnsi="Palatino Linotype"/>
          <w:b/>
          <w:i/>
          <w:sz w:val="22"/>
          <w:szCs w:val="22"/>
          <w:u w:val="single"/>
          <w:lang w:val="es-ES"/>
        </w:rPr>
        <w:t>tramitar</w:t>
      </w:r>
      <w:r w:rsidRPr="008B2FB3">
        <w:rPr>
          <w:rFonts w:ascii="Palatino Linotype" w:hAnsi="Palatino Linotype"/>
          <w:b/>
          <w:i/>
          <w:sz w:val="22"/>
          <w:szCs w:val="22"/>
          <w:lang w:val="es-ES"/>
        </w:rPr>
        <w:t xml:space="preserve"> y dar respuesta a las solicitudes de acceso a la información;</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 xml:space="preserve">III. Auxiliar a los particulares en la elaboración de solicitudes de acceso a la información y, en su caso, orientarlos sobre los sujetos </w:t>
      </w:r>
      <w:r w:rsidRPr="008B2FB3">
        <w:rPr>
          <w:rFonts w:ascii="Palatino Linotype" w:hAnsi="Palatino Linotype" w:cs="Arial"/>
          <w:i/>
          <w:sz w:val="22"/>
          <w:szCs w:val="22"/>
          <w:lang w:val="es-ES" w:eastAsia="es-MX"/>
        </w:rPr>
        <w:t>obligados</w:t>
      </w:r>
      <w:r w:rsidRPr="008B2FB3">
        <w:rPr>
          <w:rFonts w:ascii="Palatino Linotype" w:hAnsi="Palatino Linotype"/>
          <w:i/>
          <w:sz w:val="22"/>
          <w:szCs w:val="22"/>
          <w:lang w:val="es-ES"/>
        </w:rPr>
        <w:t xml:space="preserve"> competentes conforme a la normatividad aplicable;</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IV. Realizar, con efectividad, los trámites internos necesarios para la atención de las solicitudes de acceso a la información;</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 Entregar, en su caso, a los particulares la información solicitada;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VI. Efectuar las notificaciones a los solicitantes;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lastRenderedPageBreak/>
        <w:t>VII. Proponer al Comité de Transparencia, los procedimientos internos que aseguren la mayor eficiencia en la gestión de las solicitudes de acceso a la información, conforme a la normatividad aplicable;</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VIII. Proponer a quien preside el Comité de Transparencia, personal habilitado que sea necesario para recibir y dar trámite a las solicitudes de acceso a la información;</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IX. Llevar un registro de las solicitudes de acceso a la información, sus respuestas, resultados, costos de reproducción y envío, resolución a los recursos de revisión que se hayan emitido en contra de sus respuestas y del cumplimiento de las mismas;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X. Presentar ante el Comité, el proyecto de clasificación de información;</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XI. Promover e implementar políticas de transparencia proactiva procurando su accesibilidad;</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XII. Fomentar la transparencia y accesibilidad al interior del sujeto obligado;</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XIII. Hacer del conocimiento de la instancia competente la probable responsabilidad por el incumplimiento de las obligaciones previstas en la presente Ley; y</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XIV. Las demás que resulten necesarias para facilitar el acceso a la información y aquellas que se desprenden de la presente Ley y demás disposiciones jurídicas aplicables.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b/>
          <w:i/>
          <w:sz w:val="22"/>
          <w:szCs w:val="22"/>
          <w:lang w:val="es-ES"/>
        </w:rPr>
        <w:t>Artículo 59</w:t>
      </w:r>
      <w:r w:rsidRPr="008B2FB3">
        <w:rPr>
          <w:rFonts w:ascii="Palatino Linotype" w:hAnsi="Palatino Linotype"/>
          <w:i/>
          <w:sz w:val="22"/>
          <w:szCs w:val="22"/>
          <w:lang w:val="es-ES"/>
        </w:rPr>
        <w:t>. Los servidores públicos habilitados tendrán las funciones siguientes: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I. Localizar la información que le solicite la Unidad de Transparencia;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II. Proporcionar la información que obre en los archivos y que le sea solicitada por la Unidad de Transparencia;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III. Apoyar a la Unidad de Transparencia en lo que esta le solicite para el cumplimiento de sus funciones;</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lastRenderedPageBreak/>
        <w:t>IV. Proporcionar a la Unidad de Transparencia, las modificaciones a la información pública de oficio que obre en su poder;</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 Integrar y presentar al responsable de la Unidad de Transparencia la propuesta de clasificación de información, la cual tendrá los fundamentos y argumentos en que se basa dicha propuesta;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VI. Verificar, una vez analizado el contenido de la información, que no se encuentre en los supuestos de información clasificada; y</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VII. Dar cuenta a la Unidad de Transparencia del vencimiento de los plazos de reserva.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b/>
          <w:i/>
          <w:sz w:val="22"/>
          <w:szCs w:val="22"/>
          <w:lang w:val="es-ES"/>
        </w:rPr>
        <w:t>Artículo 162</w:t>
      </w:r>
      <w:r w:rsidRPr="008B2FB3">
        <w:rPr>
          <w:rFonts w:ascii="Palatino Linotype" w:hAnsi="Palatino Linotype"/>
          <w:i/>
          <w:sz w:val="22"/>
          <w:szCs w:val="22"/>
          <w:lang w:val="es-ES"/>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2D132D" w:rsidRPr="008B2FB3" w:rsidRDefault="002D132D" w:rsidP="00EA2AFA">
      <w:pPr>
        <w:spacing w:before="100" w:beforeAutospacing="1" w:after="100" w:afterAutospacing="1" w:line="276" w:lineRule="auto"/>
        <w:ind w:left="567" w:right="284"/>
        <w:contextualSpacing/>
        <w:jc w:val="both"/>
        <w:rPr>
          <w:rFonts w:ascii="Palatino Linotype" w:hAnsi="Palatino Linotype"/>
          <w:i/>
          <w:sz w:val="22"/>
          <w:szCs w:val="22"/>
          <w:lang w:val="es-ES"/>
        </w:rPr>
      </w:pPr>
      <w:r w:rsidRPr="008B2FB3">
        <w:rPr>
          <w:rFonts w:ascii="Palatino Linotype" w:hAnsi="Palatino Linotype"/>
          <w:i/>
          <w:sz w:val="22"/>
          <w:szCs w:val="22"/>
          <w:lang w:val="es-ES"/>
        </w:rPr>
        <w:t>(Énfasis añadido)</w:t>
      </w:r>
    </w:p>
    <w:p w:rsidR="00F731C7" w:rsidRPr="008B2FB3" w:rsidRDefault="00F731C7" w:rsidP="00F731C7">
      <w:pPr>
        <w:spacing w:line="360" w:lineRule="auto"/>
        <w:ind w:left="567" w:right="284"/>
        <w:contextualSpacing/>
        <w:jc w:val="both"/>
        <w:rPr>
          <w:rFonts w:ascii="Palatino Linotype" w:hAnsi="Palatino Linotype"/>
          <w:i/>
          <w:lang w:val="es-ES"/>
        </w:rPr>
      </w:pPr>
    </w:p>
    <w:p w:rsidR="002D132D" w:rsidRPr="008B2FB3" w:rsidRDefault="002D132D" w:rsidP="00EA2AFA">
      <w:pPr>
        <w:pStyle w:val="Prrafodelista"/>
        <w:numPr>
          <w:ilvl w:val="0"/>
          <w:numId w:val="1"/>
        </w:numPr>
        <w:spacing w:before="100" w:beforeAutospacing="1" w:after="100" w:afterAutospacing="1" w:line="360" w:lineRule="auto"/>
        <w:ind w:left="0" w:right="-709" w:firstLine="0"/>
        <w:jc w:val="both"/>
        <w:rPr>
          <w:rFonts w:ascii="Palatino Linotype" w:eastAsia="Calibri" w:hAnsi="Palatino Linotype"/>
          <w:lang w:val="es-ES"/>
        </w:rPr>
      </w:pPr>
      <w:r w:rsidRPr="008B2FB3">
        <w:rPr>
          <w:rFonts w:ascii="Palatino Linotype" w:eastAsia="Calibri" w:hAnsi="Palatino Linotype"/>
          <w:lang w:val="es-ES"/>
        </w:rPr>
        <w:t>De la normatividad en cita, se desprende que las Unidades de Transparencia, se le atribuye como el área responsable de cada Sujeto Obligado el tener a su cargo la atención de las solicitudes de información que se realicen al amparo de la Ley el responsable de dicha área funge como enlace entre el Sujeto Obligado y los solicitantes ya que tienen bajo su responsabilidad el tramitar internamente la solicitud de información.</w:t>
      </w:r>
    </w:p>
    <w:p w:rsidR="00EA2AFA" w:rsidRPr="008B2FB3" w:rsidRDefault="00EA2AFA" w:rsidP="00EA2AFA">
      <w:pPr>
        <w:pStyle w:val="Prrafodelista"/>
        <w:spacing w:before="100" w:beforeAutospacing="1" w:after="100" w:afterAutospacing="1" w:line="360" w:lineRule="auto"/>
        <w:ind w:left="0" w:right="-709"/>
        <w:jc w:val="both"/>
        <w:rPr>
          <w:rFonts w:ascii="Palatino Linotype" w:eastAsia="Calibri" w:hAnsi="Palatino Linotype"/>
          <w:lang w:val="es-ES"/>
        </w:rPr>
      </w:pPr>
    </w:p>
    <w:p w:rsidR="002D132D" w:rsidRPr="008B2FB3" w:rsidRDefault="00EA2AFA" w:rsidP="00EA2AFA">
      <w:pPr>
        <w:pStyle w:val="Prrafodelista"/>
        <w:numPr>
          <w:ilvl w:val="0"/>
          <w:numId w:val="1"/>
        </w:numPr>
        <w:spacing w:before="100" w:beforeAutospacing="1" w:after="100" w:afterAutospacing="1" w:line="360" w:lineRule="auto"/>
        <w:ind w:left="0" w:right="-850" w:firstLine="0"/>
        <w:jc w:val="both"/>
        <w:rPr>
          <w:rFonts w:ascii="Palatino Linotype" w:eastAsia="Calibri" w:hAnsi="Palatino Linotype"/>
          <w:lang w:val="es-ES"/>
        </w:rPr>
      </w:pPr>
      <w:r w:rsidRPr="008B2FB3">
        <w:rPr>
          <w:rFonts w:ascii="Palatino Linotype" w:eastAsia="Calibri" w:hAnsi="Palatino Linotype"/>
          <w:lang w:val="es-ES"/>
        </w:rPr>
        <w:t>De tal manera que, si bien, el Titular de la Unidad de Transparencia</w:t>
      </w:r>
      <w:r w:rsidR="002D132D" w:rsidRPr="008B2FB3">
        <w:rPr>
          <w:rFonts w:ascii="Palatino Linotype" w:eastAsia="Calibri" w:hAnsi="Palatino Linotype"/>
          <w:lang w:val="es-ES"/>
        </w:rPr>
        <w:t xml:space="preserve"> no tiene bajo su resguardo el archivo que contiene la documentación en donde consta la información requerida, sino que puede obrar en las distintas áreas que conforman la estructura del Sujeto Obligado, es por ello que debe turnar la solicitud a los servidores públicos habilitados que pudieran generar, administrar o poseer la información; pues los mismos, tienen como función, buscar, localizar y poseer la información, así como entregarla.</w:t>
      </w:r>
    </w:p>
    <w:p w:rsidR="00EA2AFA" w:rsidRPr="008B2FB3" w:rsidRDefault="00EA2AFA" w:rsidP="00EA2AFA">
      <w:pPr>
        <w:pStyle w:val="Prrafodelista"/>
        <w:rPr>
          <w:rFonts w:ascii="Palatino Linotype" w:eastAsia="Calibri" w:hAnsi="Palatino Linotype"/>
          <w:lang w:val="es-ES"/>
        </w:rPr>
      </w:pPr>
    </w:p>
    <w:p w:rsidR="002D132D" w:rsidRPr="008B2FB3" w:rsidRDefault="00EA2AFA" w:rsidP="00EA2AFA">
      <w:pPr>
        <w:pStyle w:val="Prrafodelista"/>
        <w:numPr>
          <w:ilvl w:val="0"/>
          <w:numId w:val="1"/>
        </w:numPr>
        <w:spacing w:before="100" w:beforeAutospacing="1" w:after="100" w:afterAutospacing="1" w:line="360" w:lineRule="auto"/>
        <w:ind w:left="0" w:right="-850" w:firstLine="0"/>
        <w:jc w:val="both"/>
        <w:rPr>
          <w:rFonts w:ascii="Palatino Linotype" w:eastAsia="Calibri" w:hAnsi="Palatino Linotype"/>
          <w:lang w:val="es-ES"/>
        </w:rPr>
      </w:pPr>
      <w:r w:rsidRPr="008B2FB3">
        <w:rPr>
          <w:rFonts w:ascii="Palatino Linotype" w:eastAsia="Calibri" w:hAnsi="Palatino Linotype"/>
          <w:lang w:val="es-ES"/>
        </w:rPr>
        <w:t>Es por ello, que corresponde</w:t>
      </w:r>
      <w:r w:rsidR="002D132D" w:rsidRPr="008B2FB3">
        <w:rPr>
          <w:rFonts w:ascii="Palatino Linotype" w:eastAsia="Calibri" w:hAnsi="Palatino Linotype"/>
          <w:lang w:val="es-ES"/>
        </w:rPr>
        <w:t xml:space="preserve"> al Titular de la Unidad de Transparencia el garantizar que las solicitudes se turnen a todas las áreas competentes que puedan contar con la información, con el objeto de que se realice una búsqueda exhaustiva y razonable de la misma.</w:t>
      </w:r>
    </w:p>
    <w:p w:rsidR="002D132D" w:rsidRPr="008B2FB3" w:rsidRDefault="002D132D" w:rsidP="005248D2">
      <w:pPr>
        <w:pStyle w:val="Prrafodelista"/>
        <w:pBdr>
          <w:top w:val="nil"/>
          <w:left w:val="nil"/>
          <w:bottom w:val="nil"/>
          <w:right w:val="nil"/>
          <w:between w:val="nil"/>
        </w:pBdr>
        <w:spacing w:line="360" w:lineRule="auto"/>
        <w:ind w:left="0" w:right="-847"/>
        <w:jc w:val="both"/>
        <w:rPr>
          <w:rFonts w:ascii="Palatino Linotype" w:hAnsi="Palatino Linotype"/>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t xml:space="preserve">A más de lo anterior, de la revisión minuciosa practicada al archivo adjunto que fuera remitido a éste órgano Garante, </w:t>
      </w:r>
      <w:r w:rsidR="004816F0" w:rsidRPr="008B2FB3">
        <w:rPr>
          <w:rFonts w:ascii="Palatino Linotype" w:eastAsia="Palatino Linotype" w:hAnsi="Palatino Linotype" w:cs="Palatino Linotype"/>
          <w:color w:val="000000"/>
        </w:rPr>
        <w:t xml:space="preserve">obra el requerimiento hecho en el Sistema de Acceso a la Información Mexiquense (SAIMEX) al Secretario del Ayuntamiento, y en relación </w:t>
      </w:r>
      <w:r w:rsidRPr="008B2FB3">
        <w:rPr>
          <w:rFonts w:ascii="Palatino Linotype" w:eastAsia="Palatino Linotype" w:hAnsi="Palatino Linotype" w:cs="Palatino Linotype"/>
          <w:color w:val="000000"/>
        </w:rPr>
        <w:t xml:space="preserve">con el motivo de inconformidad planteado por el recurrente a que debían agregarse los documentos donde conste que se </w:t>
      </w:r>
      <w:r w:rsidRPr="008B2FB3">
        <w:rPr>
          <w:rFonts w:ascii="Palatino Linotype" w:eastAsia="Palatino Linotype" w:hAnsi="Palatino Linotype" w:cs="Palatino Linotype"/>
        </w:rPr>
        <w:t>turna</w:t>
      </w:r>
      <w:r w:rsidRPr="008B2FB3">
        <w:rPr>
          <w:rFonts w:ascii="Palatino Linotype" w:eastAsia="Palatino Linotype" w:hAnsi="Palatino Linotype" w:cs="Palatino Linotype"/>
          <w:color w:val="000000"/>
        </w:rPr>
        <w:t xml:space="preserve"> a las áreas para su atención y que en el caso concreto sí aconteció.</w:t>
      </w:r>
    </w:p>
    <w:p w:rsidR="0043245F" w:rsidRPr="008B2FB3" w:rsidRDefault="0043245F">
      <w:pPr>
        <w:pBdr>
          <w:top w:val="nil"/>
          <w:left w:val="nil"/>
          <w:bottom w:val="nil"/>
          <w:right w:val="nil"/>
          <w:between w:val="nil"/>
        </w:pBdr>
        <w:spacing w:line="360" w:lineRule="auto"/>
        <w:ind w:right="-847"/>
        <w:jc w:val="both"/>
        <w:rPr>
          <w:rFonts w:ascii="Palatino Linotype" w:eastAsia="Palatino Linotype" w:hAnsi="Palatino Linotype" w:cs="Palatino Linotype"/>
          <w:color w:val="000000"/>
        </w:rPr>
      </w:pPr>
    </w:p>
    <w:p w:rsidR="0043245F" w:rsidRPr="008B2FB3" w:rsidRDefault="005248D2">
      <w:pPr>
        <w:numPr>
          <w:ilvl w:val="0"/>
          <w:numId w:val="1"/>
        </w:numPr>
        <w:pBdr>
          <w:top w:val="nil"/>
          <w:left w:val="nil"/>
          <w:bottom w:val="nil"/>
          <w:right w:val="nil"/>
          <w:between w:val="nil"/>
        </w:pBdr>
        <w:spacing w:line="360" w:lineRule="auto"/>
        <w:ind w:left="0" w:right="-847" w:firstLine="0"/>
        <w:jc w:val="both"/>
        <w:rPr>
          <w:color w:val="000000"/>
        </w:rPr>
      </w:pPr>
      <w:r w:rsidRPr="008B2FB3">
        <w:rPr>
          <w:rFonts w:ascii="Palatino Linotype" w:eastAsia="Palatino Linotype" w:hAnsi="Palatino Linotype" w:cs="Palatino Linotype"/>
          <w:color w:val="000000"/>
        </w:rPr>
        <w:t xml:space="preserve">De igual forma y debido a que el mismo </w:t>
      </w:r>
      <w:r w:rsidRPr="008B2FB3">
        <w:rPr>
          <w:rFonts w:ascii="Palatino Linotype" w:eastAsia="Palatino Linotype" w:hAnsi="Palatino Linotype" w:cs="Palatino Linotype"/>
          <w:b/>
          <w:color w:val="000000"/>
        </w:rPr>
        <w:t>SUJETO OBLIGADO</w:t>
      </w:r>
      <w:r w:rsidRPr="008B2FB3">
        <w:rPr>
          <w:rFonts w:ascii="Palatino Linotype" w:eastAsia="Palatino Linotype" w:hAnsi="Palatino Linotype" w:cs="Palatino Linotype"/>
          <w:color w:val="000000"/>
        </w:rPr>
        <w:t xml:space="preserve"> admite ser poseedor de la información, no es necesario estudiar si éste es competente para conocer y en su caso dar respuesta a la solicitud de información relacionada, pues derivado de la respuesta emitida, el Sujeto Obligado acepta que genera, posee y administra dicha información, en ejercicio de sus funciones de derecho público.  </w:t>
      </w:r>
    </w:p>
    <w:p w:rsidR="0043245F" w:rsidRPr="008B2FB3" w:rsidRDefault="0043245F">
      <w:pPr>
        <w:pBdr>
          <w:top w:val="nil"/>
          <w:left w:val="nil"/>
          <w:bottom w:val="nil"/>
          <w:right w:val="nil"/>
          <w:between w:val="nil"/>
        </w:pBdr>
        <w:spacing w:line="360" w:lineRule="auto"/>
        <w:ind w:left="720" w:right="-847"/>
        <w:rPr>
          <w:rFonts w:ascii="Palatino Linotype" w:eastAsia="Palatino Linotype" w:hAnsi="Palatino Linotype" w:cs="Palatino Linotype"/>
          <w:color w:val="000000"/>
        </w:rPr>
      </w:pPr>
    </w:p>
    <w:p w:rsidR="004816F0" w:rsidRPr="008B2FB3" w:rsidRDefault="005248D2">
      <w:pPr>
        <w:numPr>
          <w:ilvl w:val="0"/>
          <w:numId w:val="1"/>
        </w:numPr>
        <w:pBdr>
          <w:top w:val="nil"/>
          <w:left w:val="nil"/>
          <w:bottom w:val="nil"/>
          <w:right w:val="nil"/>
          <w:between w:val="nil"/>
        </w:pBdr>
        <w:spacing w:line="360" w:lineRule="auto"/>
        <w:ind w:left="0" w:right="-847" w:firstLine="0"/>
        <w:jc w:val="both"/>
      </w:pPr>
      <w:r w:rsidRPr="008B2FB3">
        <w:rPr>
          <w:rFonts w:ascii="Palatino Linotype" w:eastAsia="Palatino Linotype" w:hAnsi="Palatino Linotype" w:cs="Palatino Linotype"/>
          <w:color w:val="000000"/>
        </w:rPr>
        <w:t xml:space="preserve">En consecuencia, </w:t>
      </w:r>
      <w:r w:rsidR="004816F0" w:rsidRPr="008B2FB3">
        <w:rPr>
          <w:rFonts w:ascii="Palatino Linotype" w:eastAsia="Palatino Linotype" w:hAnsi="Palatino Linotype" w:cs="Palatino Linotype"/>
          <w:color w:val="000000"/>
        </w:rPr>
        <w:t xml:space="preserve">el </w:t>
      </w:r>
      <w:r w:rsidR="004816F0" w:rsidRPr="008B2FB3">
        <w:rPr>
          <w:rFonts w:ascii="Palatino Linotype" w:eastAsia="Palatino Linotype" w:hAnsi="Palatino Linotype" w:cs="Palatino Linotype"/>
          <w:b/>
          <w:color w:val="000000"/>
        </w:rPr>
        <w:t xml:space="preserve">Sujeto Obligado, </w:t>
      </w:r>
      <w:r w:rsidR="004816F0" w:rsidRPr="008B2FB3">
        <w:rPr>
          <w:rFonts w:ascii="Palatino Linotype" w:eastAsia="Palatino Linotype" w:hAnsi="Palatino Linotype" w:cs="Palatino Linotype"/>
          <w:color w:val="000000"/>
        </w:rPr>
        <w:t>dentro de su informe justificado en el presente recurso de revisión</w:t>
      </w:r>
      <w:r w:rsidR="000762E5" w:rsidRPr="008B2FB3">
        <w:rPr>
          <w:rFonts w:ascii="Palatino Linotype" w:eastAsia="Palatino Linotype" w:hAnsi="Palatino Linotype" w:cs="Palatino Linotype"/>
          <w:color w:val="000000"/>
        </w:rPr>
        <w:t xml:space="preserve"> 07403/INFOEM/IP/RR/2024</w:t>
      </w:r>
      <w:r w:rsidR="004816F0" w:rsidRPr="008B2FB3">
        <w:rPr>
          <w:rFonts w:ascii="Palatino Linotype" w:eastAsia="Palatino Linotype" w:hAnsi="Palatino Linotype" w:cs="Palatino Linotype"/>
          <w:color w:val="000000"/>
        </w:rPr>
        <w:t>, proporcionó los oficios de requerimientos hechos al Servidor Público Habilitado (Secretario del Ayuntamiento)</w:t>
      </w:r>
      <w:r w:rsidR="000762E5" w:rsidRPr="008B2FB3">
        <w:rPr>
          <w:rFonts w:ascii="Palatino Linotype" w:eastAsia="Palatino Linotype" w:hAnsi="Palatino Linotype" w:cs="Palatino Linotype"/>
          <w:color w:val="000000"/>
        </w:rPr>
        <w:t xml:space="preserve">, por lo que en síntesis, el derecho de acceso a la información pública se satisface en aquellos casos en que se entregue el soporte documental en que conste la información pública, toda vez que, los </w:t>
      </w:r>
      <w:r w:rsidR="000762E5" w:rsidRPr="008B2FB3">
        <w:rPr>
          <w:rFonts w:ascii="Palatino Linotype" w:eastAsia="Palatino Linotype" w:hAnsi="Palatino Linotype" w:cs="Palatino Linotype"/>
          <w:color w:val="000000"/>
        </w:rPr>
        <w:lastRenderedPageBreak/>
        <w:t xml:space="preserve">Sujetos Obligados no tienen el deber de generar, poseer o administrar la información pública con el grado de detalle solicitado; esto es que no tienen el deber de generar </w:t>
      </w:r>
      <w:r w:rsidR="000762E5" w:rsidRPr="008B2FB3">
        <w:rPr>
          <w:rFonts w:ascii="Palatino Linotype" w:eastAsia="Palatino Linotype" w:hAnsi="Palatino Linotype" w:cs="Palatino Linotype"/>
          <w:b/>
          <w:color w:val="000000"/>
        </w:rPr>
        <w:t xml:space="preserve">un documento </w:t>
      </w:r>
      <w:r w:rsidR="000762E5" w:rsidRPr="008B2FB3">
        <w:rPr>
          <w:rFonts w:ascii="Palatino Linotype" w:eastAsia="Palatino Linotype" w:hAnsi="Palatino Linotype" w:cs="Palatino Linotype"/>
          <w:b/>
          <w:i/>
          <w:color w:val="000000"/>
        </w:rPr>
        <w:t>ad hoc</w:t>
      </w:r>
      <w:r w:rsidR="000762E5" w:rsidRPr="008B2FB3">
        <w:rPr>
          <w:rFonts w:ascii="Palatino Linotype" w:eastAsia="Palatino Linotype" w:hAnsi="Palatino Linotype" w:cs="Palatino Linotype"/>
          <w:color w:val="000000"/>
        </w:rPr>
        <w:t>, para satisfacer el derecho de acceso a la información pública.</w:t>
      </w:r>
      <w:r w:rsidR="004816F0" w:rsidRPr="008B2FB3">
        <w:rPr>
          <w:rFonts w:ascii="Palatino Linotype" w:eastAsia="Palatino Linotype" w:hAnsi="Palatino Linotype" w:cs="Palatino Linotype"/>
          <w:color w:val="000000"/>
        </w:rPr>
        <w:t xml:space="preserve"> </w:t>
      </w:r>
    </w:p>
    <w:p w:rsidR="004816F0" w:rsidRPr="008B2FB3" w:rsidRDefault="004816F0" w:rsidP="004816F0">
      <w:pPr>
        <w:pStyle w:val="Prrafodelista"/>
        <w:rPr>
          <w:rFonts w:ascii="Palatino Linotype" w:eastAsia="Palatino Linotype" w:hAnsi="Palatino Linotype" w:cs="Palatino Linotype"/>
          <w:color w:val="000000"/>
        </w:rPr>
      </w:pPr>
    </w:p>
    <w:p w:rsidR="000762E5" w:rsidRPr="008B2FB3" w:rsidRDefault="000762E5" w:rsidP="000762E5">
      <w:pPr>
        <w:pStyle w:val="Prrafodelista"/>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 xml:space="preserve">Aunado a lo antes expuesto, la respuesta emitida por </w:t>
      </w:r>
      <w:r w:rsidRPr="008B2FB3">
        <w:rPr>
          <w:rFonts w:ascii="Palatino Linotype" w:eastAsia="Palatino Linotype" w:hAnsi="Palatino Linotype" w:cs="Palatino Linotype"/>
          <w:b/>
          <w:color w:val="000000"/>
        </w:rPr>
        <w:t>El Sujeto Obligado</w:t>
      </w:r>
      <w:r w:rsidRPr="008B2FB3">
        <w:rPr>
          <w:rFonts w:ascii="Palatino Linotype" w:eastAsia="Palatino Linotype" w:hAnsi="Palatino Linotype" w:cs="Palatino Linotype"/>
          <w:color w:val="000000"/>
        </w:rPr>
        <w:t xml:space="preserve"> tiene la presunción legal de ser verídica, </w:t>
      </w:r>
      <w:r w:rsidRPr="008B2FB3">
        <w:rPr>
          <w:rFonts w:ascii="Palatino Linotype" w:eastAsia="Palatino Linotype" w:hAnsi="Palatino Linotype" w:cs="Palatino Linotype"/>
        </w:rPr>
        <w:t>considerando</w:t>
      </w:r>
      <w:r w:rsidRPr="008B2FB3">
        <w:rPr>
          <w:rFonts w:ascii="Palatino Linotype" w:eastAsia="Palatino Linotype" w:hAnsi="Palatino Linotype" w:cs="Palatino Linotype"/>
          <w:color w:val="000000"/>
        </w:rPr>
        <w:t xml:space="preserve"> que fue emitida por un servidor público en ejercicio de sus funciones, lo que conlleva la presunción de veracidad de todo acto administrativo.</w:t>
      </w:r>
    </w:p>
    <w:p w:rsidR="000762E5" w:rsidRPr="008B2FB3" w:rsidRDefault="000762E5" w:rsidP="000762E5">
      <w:pPr>
        <w:pStyle w:val="Prrafodelista"/>
        <w:spacing w:line="360" w:lineRule="auto"/>
        <w:rPr>
          <w:color w:val="000000"/>
        </w:rPr>
      </w:pPr>
    </w:p>
    <w:p w:rsidR="000762E5" w:rsidRPr="008B2FB3" w:rsidRDefault="000762E5" w:rsidP="000762E5">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 xml:space="preserve">Adicionalmente, es de destacar que este Órgano Garante no está facultado para manifestarse sobre la veracidad de lo afirmado por parte del </w:t>
      </w:r>
      <w:r w:rsidRPr="008B2FB3">
        <w:rPr>
          <w:rFonts w:ascii="Palatino Linotype" w:eastAsia="Palatino Linotype" w:hAnsi="Palatino Linotype" w:cs="Palatino Linotype"/>
          <w:b/>
          <w:color w:val="000000"/>
        </w:rPr>
        <w:t>Sujeto Obligado</w:t>
      </w:r>
      <w:r w:rsidRPr="008B2FB3">
        <w:rPr>
          <w:rFonts w:ascii="Palatino Linotype" w:eastAsia="Palatino Linotype" w:hAnsi="Palatino Linotype" w:cs="Palatino Linotype"/>
          <w:color w:val="000000"/>
        </w:rPr>
        <w:t xml:space="preserve"> pues no existe precepto legal alguno en la Ley de la materia que lo faculte para ello. </w:t>
      </w:r>
    </w:p>
    <w:p w:rsidR="000762E5" w:rsidRPr="008B2FB3" w:rsidRDefault="000762E5" w:rsidP="000762E5">
      <w:pPr>
        <w:pStyle w:val="Prrafodelista"/>
        <w:pBdr>
          <w:top w:val="nil"/>
          <w:left w:val="nil"/>
          <w:bottom w:val="nil"/>
          <w:right w:val="nil"/>
          <w:between w:val="nil"/>
        </w:pBdr>
        <w:spacing w:line="360" w:lineRule="auto"/>
        <w:ind w:left="0" w:right="-850"/>
        <w:jc w:val="both"/>
        <w:rPr>
          <w:color w:val="000000"/>
        </w:rPr>
      </w:pPr>
    </w:p>
    <w:p w:rsidR="00A14CA9" w:rsidRPr="008B2FB3" w:rsidRDefault="00A14CA9" w:rsidP="00A14CA9">
      <w:pPr>
        <w:pStyle w:val="Prrafodelista"/>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 xml:space="preserve">Hasta lo aquí expuesto, se concluye que </w:t>
      </w:r>
      <w:r w:rsidRPr="008B2FB3">
        <w:rPr>
          <w:rFonts w:ascii="Palatino Linotype" w:eastAsia="Palatino Linotype" w:hAnsi="Palatino Linotype" w:cs="Palatino Linotype"/>
          <w:b/>
          <w:color w:val="000000"/>
        </w:rPr>
        <w:t>El Sujeto Obligado</w:t>
      </w:r>
      <w:r w:rsidRPr="008B2FB3">
        <w:rPr>
          <w:rFonts w:ascii="Palatino Linotype" w:eastAsia="Palatino Linotype" w:hAnsi="Palatino Linotype" w:cs="Palatino Linotype"/>
          <w:color w:val="000000"/>
        </w:rPr>
        <w:t xml:space="preserve"> satisfizo el derecho de acceso a la información mediante la respuesta primigenia y la modificación de la misma en su informe justificado, actualizándose la fracción III, del artículo 192, de la Ley de Transparencia y Acceso a la Información Pública del Estado de México y Municipios, por darse por satisfechos los elementos que integran dicha hipótesis, a saber: </w:t>
      </w:r>
    </w:p>
    <w:p w:rsidR="00A14CA9" w:rsidRPr="008B2FB3" w:rsidRDefault="00A14CA9" w:rsidP="00A14CA9">
      <w:pPr>
        <w:pBdr>
          <w:top w:val="nil"/>
          <w:left w:val="nil"/>
          <w:bottom w:val="nil"/>
          <w:right w:val="nil"/>
          <w:between w:val="nil"/>
        </w:pBdr>
        <w:spacing w:line="360" w:lineRule="auto"/>
        <w:ind w:right="-517"/>
        <w:jc w:val="both"/>
        <w:rPr>
          <w:rFonts w:ascii="Palatino Linotype" w:hAnsi="Palatino Linotype"/>
          <w:color w:val="000000"/>
        </w:rPr>
      </w:pPr>
    </w:p>
    <w:p w:rsidR="00A14CA9" w:rsidRPr="008B2FB3" w:rsidRDefault="00A14CA9" w:rsidP="00A14CA9">
      <w:pPr>
        <w:numPr>
          <w:ilvl w:val="0"/>
          <w:numId w:val="15"/>
        </w:numPr>
        <w:pBdr>
          <w:top w:val="nil"/>
          <w:left w:val="nil"/>
          <w:bottom w:val="nil"/>
          <w:right w:val="nil"/>
          <w:between w:val="nil"/>
        </w:pBdr>
        <w:tabs>
          <w:tab w:val="left" w:pos="709"/>
        </w:tabs>
        <w:spacing w:line="360" w:lineRule="auto"/>
        <w:ind w:right="49"/>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t xml:space="preserve">El primero de ellos es que el sujeto obligado responsable del acto lo modifique o revoque, lo que se demuestra con la documental remitida en el informe justificado de fecha </w:t>
      </w:r>
      <w:r w:rsidRPr="008B2FB3">
        <w:rPr>
          <w:rFonts w:ascii="Palatino Linotype" w:eastAsia="Palatino Linotype" w:hAnsi="Palatino Linotype" w:cs="Palatino Linotype"/>
          <w:b/>
          <w:color w:val="000000"/>
          <w:sz w:val="22"/>
          <w:szCs w:val="22"/>
        </w:rPr>
        <w:t>dieciséis de diciembre de dos mil veinticuatro</w:t>
      </w:r>
      <w:r w:rsidRPr="008B2FB3">
        <w:rPr>
          <w:rFonts w:ascii="Palatino Linotype" w:eastAsia="Palatino Linotype" w:hAnsi="Palatino Linotype" w:cs="Palatino Linotype"/>
          <w:color w:val="000000"/>
          <w:sz w:val="22"/>
          <w:szCs w:val="22"/>
        </w:rPr>
        <w:t>, el cual deviene de la autoridad quien emitió el acto impugnado.</w:t>
      </w:r>
    </w:p>
    <w:p w:rsidR="00A14CA9" w:rsidRPr="008B2FB3" w:rsidRDefault="00A14CA9" w:rsidP="00A14CA9">
      <w:pPr>
        <w:numPr>
          <w:ilvl w:val="0"/>
          <w:numId w:val="15"/>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8B2FB3">
        <w:rPr>
          <w:rFonts w:ascii="Palatino Linotype" w:eastAsia="Palatino Linotype" w:hAnsi="Palatino Linotype" w:cs="Palatino Linotype"/>
          <w:color w:val="000000"/>
          <w:sz w:val="22"/>
          <w:szCs w:val="22"/>
        </w:rPr>
        <w:lastRenderedPageBreak/>
        <w:t xml:space="preserve">Por lo que hace al segundo elemento inmerso en el numeral en comento, se requiere que el recurso de revisión se quede sin materia, lo cual se actualiza con las líneas argumentativas inmersas en el presente considerando. </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0D3236">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En conclusión, la ley de la materia establece en la fracción III, del artículo 192, de la Ley de Transparencia vigente en la entidad, que a la letra establecen:</w:t>
      </w:r>
    </w:p>
    <w:p w:rsidR="00A14CA9" w:rsidRPr="008B2FB3" w:rsidRDefault="00A14CA9" w:rsidP="00A14CA9">
      <w:pPr>
        <w:pBdr>
          <w:top w:val="nil"/>
          <w:left w:val="nil"/>
          <w:bottom w:val="nil"/>
          <w:right w:val="nil"/>
          <w:between w:val="nil"/>
        </w:pBdr>
        <w:spacing w:line="360" w:lineRule="auto"/>
        <w:ind w:right="-29"/>
        <w:jc w:val="both"/>
        <w:rPr>
          <w:color w:val="000000"/>
        </w:rPr>
      </w:pPr>
    </w:p>
    <w:p w:rsidR="00A14CA9" w:rsidRPr="008B2FB3" w:rsidRDefault="00A14CA9" w:rsidP="00D91309">
      <w:pPr>
        <w:spacing w:line="276" w:lineRule="auto"/>
        <w:ind w:left="708" w:right="68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b/>
          <w:i/>
          <w:sz w:val="22"/>
          <w:szCs w:val="22"/>
        </w:rPr>
        <w:t xml:space="preserve">“Artículo 192. </w:t>
      </w:r>
      <w:r w:rsidRPr="008B2FB3">
        <w:rPr>
          <w:rFonts w:ascii="Palatino Linotype" w:eastAsia="Palatino Linotype" w:hAnsi="Palatino Linotype" w:cs="Palatino Linotype"/>
          <w:b/>
          <w:i/>
          <w:sz w:val="22"/>
          <w:szCs w:val="22"/>
          <w:u w:val="single"/>
        </w:rPr>
        <w:t>El recurso será sobreseído, en todo o en parte, cuando una vez admitido, se actualicen alguno de los siguientes supuestos</w:t>
      </w:r>
      <w:r w:rsidRPr="008B2FB3">
        <w:rPr>
          <w:rFonts w:ascii="Palatino Linotype" w:eastAsia="Palatino Linotype" w:hAnsi="Palatino Linotype" w:cs="Palatino Linotype"/>
          <w:i/>
          <w:sz w:val="22"/>
          <w:szCs w:val="22"/>
        </w:rPr>
        <w:t>:</w:t>
      </w:r>
    </w:p>
    <w:p w:rsidR="00A14CA9" w:rsidRPr="008B2FB3" w:rsidRDefault="00A14CA9" w:rsidP="00D91309">
      <w:pPr>
        <w:numPr>
          <w:ilvl w:val="0"/>
          <w:numId w:val="16"/>
        </w:numPr>
        <w:spacing w:line="276" w:lineRule="auto"/>
        <w:ind w:right="49" w:hanging="72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 xml:space="preserve">El recurrente se desista expresamente del recurso; </w:t>
      </w:r>
    </w:p>
    <w:p w:rsidR="00A14CA9" w:rsidRPr="008B2FB3" w:rsidRDefault="00A14CA9" w:rsidP="00D91309">
      <w:pPr>
        <w:numPr>
          <w:ilvl w:val="0"/>
          <w:numId w:val="16"/>
        </w:numPr>
        <w:spacing w:line="276" w:lineRule="auto"/>
        <w:ind w:right="49" w:hanging="72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 xml:space="preserve">El recurrente fallezca o, tratándose de personas jurídicas colectivas, se disuelva; </w:t>
      </w:r>
    </w:p>
    <w:p w:rsidR="00A14CA9" w:rsidRPr="008B2FB3" w:rsidRDefault="00A14CA9" w:rsidP="00D91309">
      <w:pPr>
        <w:numPr>
          <w:ilvl w:val="0"/>
          <w:numId w:val="16"/>
        </w:numPr>
        <w:spacing w:line="276" w:lineRule="auto"/>
        <w:ind w:right="538" w:hanging="72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b/>
          <w:i/>
          <w:sz w:val="22"/>
          <w:szCs w:val="22"/>
          <w:u w:val="single"/>
        </w:rPr>
        <w:t>El sujeto obligado responsable del acto lo modifique o revoque de tal manera que el recurso de revisión quede sin materia</w:t>
      </w:r>
      <w:r w:rsidRPr="008B2FB3">
        <w:rPr>
          <w:rFonts w:ascii="Palatino Linotype" w:eastAsia="Palatino Linotype" w:hAnsi="Palatino Linotype" w:cs="Palatino Linotype"/>
          <w:i/>
          <w:sz w:val="22"/>
          <w:szCs w:val="22"/>
        </w:rPr>
        <w:t xml:space="preserve">; </w:t>
      </w:r>
    </w:p>
    <w:p w:rsidR="00A14CA9" w:rsidRPr="008B2FB3" w:rsidRDefault="00A14CA9" w:rsidP="00D91309">
      <w:pPr>
        <w:numPr>
          <w:ilvl w:val="0"/>
          <w:numId w:val="16"/>
        </w:numPr>
        <w:spacing w:line="276" w:lineRule="auto"/>
        <w:ind w:right="538" w:hanging="72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 xml:space="preserve">Admitido el recurso de revisión, aparezca alguna causal de improcedencia en los términos de la presente Ley; y </w:t>
      </w:r>
    </w:p>
    <w:p w:rsidR="00A14CA9" w:rsidRPr="008B2FB3" w:rsidRDefault="00A14CA9" w:rsidP="00D91309">
      <w:pPr>
        <w:numPr>
          <w:ilvl w:val="0"/>
          <w:numId w:val="16"/>
        </w:numPr>
        <w:spacing w:line="276" w:lineRule="auto"/>
        <w:ind w:right="49" w:hanging="720"/>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Cuando por cualquier motivo quede sin materia el recurso.”</w:t>
      </w:r>
    </w:p>
    <w:p w:rsidR="00A14CA9" w:rsidRPr="008B2FB3" w:rsidRDefault="00A14CA9" w:rsidP="00A14CA9">
      <w:pPr>
        <w:spacing w:line="360" w:lineRule="auto"/>
        <w:ind w:right="-517"/>
        <w:rPr>
          <w:rFonts w:ascii="Palatino Linotype" w:eastAsia="Palatino Linotype" w:hAnsi="Palatino Linotype" w:cs="Palatino Linotype"/>
        </w:rPr>
      </w:pPr>
    </w:p>
    <w:p w:rsidR="00A14CA9" w:rsidRPr="008B2FB3" w:rsidRDefault="00A14CA9" w:rsidP="000D3236">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Por otra parte, la doctrina del sobreseimiento provoca que un procedimiento se suspenda o se resuelva en definitiva sin que se entre al estudio de los agravios o motivos de inconformidad. Este mismo criterio es compartido por el más alto tribunal del país en múltiples jurisprudencias, por lo que a continuación se agrega una de ellas que sirve como orientador en esta resolución:</w:t>
      </w:r>
    </w:p>
    <w:p w:rsidR="00A14CA9" w:rsidRPr="008B2FB3" w:rsidRDefault="00A14CA9" w:rsidP="00A14CA9">
      <w:pPr>
        <w:pBdr>
          <w:top w:val="nil"/>
          <w:left w:val="nil"/>
          <w:bottom w:val="nil"/>
          <w:right w:val="nil"/>
          <w:between w:val="nil"/>
        </w:pBdr>
        <w:spacing w:line="360" w:lineRule="auto"/>
        <w:ind w:right="-29"/>
        <w:jc w:val="both"/>
        <w:rPr>
          <w:color w:val="000000"/>
          <w:sz w:val="22"/>
          <w:szCs w:val="22"/>
        </w:rPr>
      </w:pPr>
    </w:p>
    <w:p w:rsidR="00A14CA9" w:rsidRPr="008B2FB3" w:rsidRDefault="00A14CA9" w:rsidP="00A14CA9">
      <w:pPr>
        <w:spacing w:line="360" w:lineRule="auto"/>
        <w:ind w:left="851" w:right="822"/>
        <w:jc w:val="both"/>
        <w:rPr>
          <w:rFonts w:ascii="Palatino Linotype" w:eastAsia="Palatino Linotype" w:hAnsi="Palatino Linotype" w:cs="Palatino Linotype"/>
          <w:b/>
          <w:i/>
          <w:sz w:val="22"/>
          <w:szCs w:val="22"/>
        </w:rPr>
      </w:pPr>
      <w:r w:rsidRPr="008B2FB3">
        <w:rPr>
          <w:rFonts w:ascii="Palatino Linotype" w:eastAsia="Palatino Linotype" w:hAnsi="Palatino Linotype" w:cs="Palatino Linotype"/>
          <w:b/>
          <w:i/>
          <w:sz w:val="22"/>
          <w:szCs w:val="22"/>
        </w:rPr>
        <w:t>“SOBRESEIMIENTO EN EL JUICIO DE AMPARO DIRECTO. IMPIDE EL ESTUDIO DE LAS VIOLACIONES PROCESALES PLANTEADAS EN LOS CONCEPTOS DE VIOLACIÓN.</w:t>
      </w:r>
    </w:p>
    <w:p w:rsidR="00A14CA9" w:rsidRPr="008B2FB3" w:rsidRDefault="00A14CA9" w:rsidP="00A14CA9">
      <w:pPr>
        <w:spacing w:line="360" w:lineRule="auto"/>
        <w:ind w:left="851" w:right="822"/>
        <w:jc w:val="both"/>
        <w:rPr>
          <w:rFonts w:ascii="Palatino Linotype" w:eastAsia="Palatino Linotype" w:hAnsi="Palatino Linotype" w:cs="Palatino Linotype"/>
          <w:i/>
          <w:color w:val="000000"/>
          <w:sz w:val="22"/>
          <w:szCs w:val="22"/>
        </w:rPr>
      </w:pPr>
      <w:r w:rsidRPr="008B2FB3">
        <w:rPr>
          <w:rFonts w:ascii="Palatino Linotype" w:eastAsia="Palatino Linotype" w:hAnsi="Palatino Linotype" w:cs="Palatino Linotype"/>
          <w:b/>
          <w:i/>
          <w:sz w:val="22"/>
          <w:szCs w:val="22"/>
          <w:u w:val="single"/>
        </w:rPr>
        <w:lastRenderedPageBreak/>
        <w:t>El sobreseimiento</w:t>
      </w:r>
      <w:r w:rsidRPr="008B2FB3">
        <w:rPr>
          <w:rFonts w:ascii="Palatino Linotype" w:eastAsia="Palatino Linotype" w:hAnsi="Palatino Linotype" w:cs="Palatino Linotype"/>
          <w:b/>
          <w:i/>
          <w:sz w:val="22"/>
          <w:szCs w:val="22"/>
        </w:rPr>
        <w:t xml:space="preserve"> </w:t>
      </w:r>
      <w:r w:rsidRPr="008B2FB3">
        <w:rPr>
          <w:rFonts w:ascii="Palatino Linotype" w:eastAsia="Palatino Linotype" w:hAnsi="Palatino Linotype" w:cs="Palatino Linotype"/>
          <w:i/>
          <w:sz w:val="22"/>
          <w:szCs w:val="22"/>
        </w:rPr>
        <w:t xml:space="preserve">en el juicio de amparo directo </w:t>
      </w:r>
      <w:r w:rsidRPr="008B2FB3">
        <w:rPr>
          <w:rFonts w:ascii="Palatino Linotype" w:eastAsia="Palatino Linotype" w:hAnsi="Palatino Linotype" w:cs="Palatino Linotype"/>
          <w:b/>
          <w:i/>
          <w:sz w:val="22"/>
          <w:szCs w:val="22"/>
          <w:u w:val="single"/>
        </w:rPr>
        <w:t>provoca la terminación de la controversia planteada</w:t>
      </w:r>
      <w:r w:rsidRPr="008B2FB3">
        <w:rPr>
          <w:rFonts w:ascii="Palatino Linotype" w:eastAsia="Palatino Linotype" w:hAnsi="Palatino Linotype" w:cs="Palatino Linotype"/>
          <w:b/>
          <w:i/>
          <w:sz w:val="22"/>
          <w:szCs w:val="22"/>
        </w:rPr>
        <w:t xml:space="preserve"> </w:t>
      </w:r>
      <w:r w:rsidRPr="008B2FB3">
        <w:rPr>
          <w:rFonts w:ascii="Palatino Linotype" w:eastAsia="Palatino Linotype" w:hAnsi="Palatino Linotype" w:cs="Palatino Linotype"/>
          <w:i/>
          <w:sz w:val="22"/>
          <w:szCs w:val="22"/>
        </w:rPr>
        <w:t>por el quejoso en la demanda de amparo</w:t>
      </w:r>
      <w:r w:rsidRPr="008B2FB3">
        <w:rPr>
          <w:rFonts w:eastAsia="Calibri"/>
          <w:color w:val="000000"/>
          <w:sz w:val="22"/>
          <w:szCs w:val="22"/>
        </w:rPr>
        <w:t xml:space="preserve"> </w:t>
      </w:r>
      <w:r w:rsidRPr="008B2FB3">
        <w:rPr>
          <w:rFonts w:ascii="Palatino Linotype" w:eastAsia="Palatino Linotype" w:hAnsi="Palatino Linotype" w:cs="Palatino Linotype"/>
          <w:i/>
          <w:color w:val="000000"/>
          <w:sz w:val="22"/>
          <w:szCs w:val="22"/>
        </w:rPr>
        <w:t xml:space="preserve">provoca la terminación de la controversia planteada por el quejoso en la demanda de </w:t>
      </w:r>
      <w:r w:rsidRPr="008B2FB3">
        <w:rPr>
          <w:rFonts w:ascii="Palatino Linotype" w:eastAsia="Palatino Linotype" w:hAnsi="Palatino Linotype" w:cs="Palatino Linotype"/>
          <w:b/>
          <w:i/>
          <w:color w:val="000000"/>
          <w:sz w:val="22"/>
          <w:szCs w:val="22"/>
        </w:rPr>
        <w:t>amparo</w:t>
      </w:r>
      <w:r w:rsidRPr="008B2FB3">
        <w:rPr>
          <w:rFonts w:ascii="Palatino Linotype" w:eastAsia="Palatino Linotype" w:hAnsi="Palatino Linotype" w:cs="Palatino Linotype"/>
          <w:i/>
          <w:color w:val="000000"/>
          <w:sz w:val="22"/>
          <w:szCs w:val="22"/>
        </w:rPr>
        <w:t>, sin hacer un pronunciamiento de fondo sobre la legalidad o ilegalidad de la sentencia reclamada. Por consiguiente, si al sobreseerse en el</w:t>
      </w:r>
      <w:r w:rsidRPr="008B2FB3">
        <w:rPr>
          <w:rFonts w:ascii="Palatino Linotype" w:eastAsia="Palatino Linotype" w:hAnsi="Palatino Linotype" w:cs="Palatino Linotype"/>
          <w:b/>
          <w:i/>
          <w:color w:val="000000"/>
          <w:sz w:val="22"/>
          <w:szCs w:val="22"/>
        </w:rPr>
        <w:t xml:space="preserve"> juicio </w:t>
      </w:r>
      <w:r w:rsidRPr="008B2FB3">
        <w:rPr>
          <w:rFonts w:ascii="Palatino Linotype" w:eastAsia="Palatino Linotype" w:hAnsi="Palatino Linotype" w:cs="Palatino Linotype"/>
          <w:i/>
          <w:color w:val="000000"/>
          <w:sz w:val="22"/>
          <w:szCs w:val="22"/>
        </w:rPr>
        <w:t xml:space="preserve">de </w:t>
      </w:r>
      <w:r w:rsidRPr="008B2FB3">
        <w:rPr>
          <w:rFonts w:ascii="Palatino Linotype" w:eastAsia="Palatino Linotype" w:hAnsi="Palatino Linotype" w:cs="Palatino Linotype"/>
          <w:b/>
          <w:i/>
          <w:color w:val="000000"/>
          <w:sz w:val="22"/>
          <w:szCs w:val="22"/>
        </w:rPr>
        <w:t>amparo</w:t>
      </w:r>
      <w:r w:rsidRPr="008B2FB3">
        <w:rPr>
          <w:rFonts w:ascii="Palatino Linotype" w:eastAsia="Palatino Linotype" w:hAnsi="Palatino Linotype" w:cs="Palatino Linotype"/>
          <w:i/>
          <w:color w:val="000000"/>
          <w:sz w:val="22"/>
          <w:szCs w:val="22"/>
        </w:rPr>
        <w:t xml:space="preserve"> no se pueden estudiar los planteamientos que se hacen valer en contra del fallo reclamado, tampoco se deben analizar las</w:t>
      </w:r>
      <w:r w:rsidRPr="008B2FB3">
        <w:rPr>
          <w:rFonts w:ascii="Palatino Linotype" w:eastAsia="Palatino Linotype" w:hAnsi="Palatino Linotype" w:cs="Palatino Linotype"/>
          <w:b/>
          <w:i/>
          <w:color w:val="000000"/>
          <w:sz w:val="22"/>
          <w:szCs w:val="22"/>
        </w:rPr>
        <w:t xml:space="preserve"> violaciones procesales</w:t>
      </w:r>
      <w:r w:rsidRPr="008B2FB3">
        <w:rPr>
          <w:rFonts w:ascii="Palatino Linotype" w:eastAsia="Palatino Linotype" w:hAnsi="Palatino Linotype" w:cs="Palatino Linotype"/>
          <w:i/>
          <w:color w:val="000000"/>
          <w:sz w:val="22"/>
          <w:szCs w:val="22"/>
        </w:rPr>
        <w:t xml:space="preserve"> propuestas en los </w:t>
      </w:r>
      <w:r w:rsidRPr="008B2FB3">
        <w:rPr>
          <w:rFonts w:ascii="Palatino Linotype" w:eastAsia="Palatino Linotype" w:hAnsi="Palatino Linotype" w:cs="Palatino Linotype"/>
          <w:b/>
          <w:i/>
          <w:color w:val="000000"/>
          <w:sz w:val="22"/>
          <w:szCs w:val="22"/>
        </w:rPr>
        <w:t xml:space="preserve">conceptos </w:t>
      </w:r>
      <w:r w:rsidRPr="008B2FB3">
        <w:rPr>
          <w:rFonts w:ascii="Palatino Linotype" w:eastAsia="Palatino Linotype" w:hAnsi="Palatino Linotype" w:cs="Palatino Linotype"/>
          <w:i/>
          <w:color w:val="000000"/>
          <w:sz w:val="22"/>
          <w:szCs w:val="22"/>
        </w:rPr>
        <w:t xml:space="preserve">de </w:t>
      </w:r>
      <w:r w:rsidRPr="008B2FB3">
        <w:rPr>
          <w:rFonts w:ascii="Palatino Linotype" w:eastAsia="Palatino Linotype" w:hAnsi="Palatino Linotype" w:cs="Palatino Linotype"/>
          <w:b/>
          <w:i/>
          <w:color w:val="000000"/>
          <w:sz w:val="22"/>
          <w:szCs w:val="22"/>
        </w:rPr>
        <w:t>violación</w:t>
      </w:r>
      <w:r w:rsidRPr="008B2FB3">
        <w:rPr>
          <w:rFonts w:ascii="Palatino Linotype" w:eastAsia="Palatino Linotype" w:hAnsi="Palatino Linotype" w:cs="Palatino Linotype"/>
          <w:i/>
          <w:color w:val="000000"/>
          <w:sz w:val="22"/>
          <w:szCs w:val="22"/>
        </w:rPr>
        <w:t xml:space="preserve">, dado que, la principal consecuencia del </w:t>
      </w:r>
      <w:r w:rsidRPr="008B2FB3">
        <w:rPr>
          <w:rFonts w:ascii="Palatino Linotype" w:eastAsia="Palatino Linotype" w:hAnsi="Palatino Linotype" w:cs="Palatino Linotype"/>
          <w:b/>
          <w:i/>
          <w:color w:val="000000"/>
          <w:sz w:val="22"/>
          <w:szCs w:val="22"/>
        </w:rPr>
        <w:t>sobreseimiento</w:t>
      </w:r>
      <w:r w:rsidRPr="008B2FB3">
        <w:rPr>
          <w:rFonts w:ascii="Palatino Linotype" w:eastAsia="Palatino Linotype" w:hAnsi="Palatino Linotype" w:cs="Palatino Linotype"/>
          <w:i/>
          <w:color w:val="000000"/>
          <w:sz w:val="22"/>
          <w:szCs w:val="22"/>
        </w:rPr>
        <w:t xml:space="preserve"> es poner fin al </w:t>
      </w:r>
      <w:r w:rsidRPr="008B2FB3">
        <w:rPr>
          <w:rFonts w:ascii="Palatino Linotype" w:eastAsia="Palatino Linotype" w:hAnsi="Palatino Linotype" w:cs="Palatino Linotype"/>
          <w:b/>
          <w:i/>
          <w:color w:val="000000"/>
          <w:sz w:val="22"/>
          <w:szCs w:val="22"/>
        </w:rPr>
        <w:t xml:space="preserve">juicio </w:t>
      </w:r>
      <w:r w:rsidRPr="008B2FB3">
        <w:rPr>
          <w:rFonts w:ascii="Palatino Linotype" w:eastAsia="Palatino Linotype" w:hAnsi="Palatino Linotype" w:cs="Palatino Linotype"/>
          <w:i/>
          <w:color w:val="000000"/>
          <w:sz w:val="22"/>
          <w:szCs w:val="22"/>
        </w:rPr>
        <w:t xml:space="preserve">de </w:t>
      </w:r>
      <w:r w:rsidRPr="008B2FB3">
        <w:rPr>
          <w:rFonts w:ascii="Palatino Linotype" w:eastAsia="Palatino Linotype" w:hAnsi="Palatino Linotype" w:cs="Palatino Linotype"/>
          <w:b/>
          <w:i/>
          <w:color w:val="000000"/>
          <w:sz w:val="22"/>
          <w:szCs w:val="22"/>
        </w:rPr>
        <w:t xml:space="preserve">amparo </w:t>
      </w:r>
      <w:r w:rsidRPr="008B2FB3">
        <w:rPr>
          <w:rFonts w:ascii="Palatino Linotype" w:eastAsia="Palatino Linotype" w:hAnsi="Palatino Linotype" w:cs="Palatino Linotype"/>
          <w:i/>
          <w:color w:val="000000"/>
          <w:sz w:val="22"/>
          <w:szCs w:val="22"/>
        </w:rPr>
        <w:t>sin resolver la controversia en sus méritos.  </w:t>
      </w:r>
    </w:p>
    <w:p w:rsidR="00A14CA9" w:rsidRPr="008B2FB3" w:rsidRDefault="00A14CA9" w:rsidP="00A14CA9">
      <w:pPr>
        <w:spacing w:line="360" w:lineRule="auto"/>
        <w:ind w:left="851" w:right="822"/>
        <w:jc w:val="both"/>
        <w:rPr>
          <w:rFonts w:ascii="Palatino Linotype" w:eastAsia="Palatino Linotype" w:hAnsi="Palatino Linotype" w:cs="Palatino Linotype"/>
          <w:b/>
          <w:i/>
          <w:sz w:val="22"/>
          <w:szCs w:val="22"/>
        </w:rPr>
      </w:pPr>
      <w:r w:rsidRPr="008B2FB3">
        <w:rPr>
          <w:rFonts w:ascii="Palatino Linotype" w:eastAsia="Palatino Linotype" w:hAnsi="Palatino Linotype" w:cs="Palatino Linotype"/>
          <w:b/>
          <w:i/>
          <w:sz w:val="22"/>
          <w:szCs w:val="22"/>
        </w:rPr>
        <w:t>SÉPTIMO TRIBUNAL COLEGIADO EN MATERIA CIVIL DEL PRIMER CIRCUITO.</w:t>
      </w:r>
    </w:p>
    <w:p w:rsidR="00A14CA9" w:rsidRPr="008B2FB3" w:rsidRDefault="00A14CA9" w:rsidP="00A14CA9">
      <w:pPr>
        <w:spacing w:line="360" w:lineRule="auto"/>
        <w:ind w:left="851" w:right="822"/>
        <w:jc w:val="both"/>
        <w:rPr>
          <w:rFonts w:ascii="Palatino Linotype" w:eastAsia="Palatino Linotype" w:hAnsi="Palatino Linotype" w:cs="Palatino Linotype"/>
          <w:i/>
          <w:sz w:val="22"/>
          <w:szCs w:val="22"/>
        </w:rPr>
      </w:pPr>
      <w:r w:rsidRPr="008B2FB3">
        <w:rPr>
          <w:rFonts w:ascii="Palatino Linotype" w:eastAsia="Palatino Linotype" w:hAnsi="Palatino Linotype" w:cs="Palatino Linotype"/>
          <w:i/>
          <w:sz w:val="22"/>
          <w:szCs w:val="22"/>
        </w:rPr>
        <w:t xml:space="preserve">Amparo directo 699/2008. Mariana Leticia González </w:t>
      </w:r>
      <w:proofErr w:type="spellStart"/>
      <w:r w:rsidRPr="008B2FB3">
        <w:rPr>
          <w:rFonts w:ascii="Palatino Linotype" w:eastAsia="Palatino Linotype" w:hAnsi="Palatino Linotype" w:cs="Palatino Linotype"/>
          <w:i/>
          <w:sz w:val="22"/>
          <w:szCs w:val="22"/>
        </w:rPr>
        <w:t>Steele</w:t>
      </w:r>
      <w:proofErr w:type="spellEnd"/>
      <w:r w:rsidRPr="008B2FB3">
        <w:rPr>
          <w:rFonts w:ascii="Palatino Linotype" w:eastAsia="Palatino Linotype" w:hAnsi="Palatino Linotype" w:cs="Palatino Linotype"/>
          <w:i/>
          <w:sz w:val="22"/>
          <w:szCs w:val="22"/>
        </w:rPr>
        <w:t>. 13 de noviembre de 2008. Unanimidad de votos. Ponente: Sara Judith Montalvo Trejo. Secretario: Arnulfo Mateos García.”</w:t>
      </w:r>
      <w:r w:rsidRPr="008B2FB3">
        <w:rPr>
          <w:rFonts w:ascii="Palatino Linotype" w:eastAsia="Palatino Linotype" w:hAnsi="Palatino Linotype" w:cs="Palatino Linotype"/>
          <w:b/>
          <w:i/>
          <w:sz w:val="22"/>
          <w:szCs w:val="22"/>
        </w:rPr>
        <w:t xml:space="preserve"> [Sic]</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813A86">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Por lo que hace a los requisitos de procedencia del sobreseimiento en términos del artículo 192, de la Ley de Transparencia estatal se establece lo siguiente:</w:t>
      </w:r>
    </w:p>
    <w:p w:rsidR="00A14CA9" w:rsidRPr="008B2FB3" w:rsidRDefault="00A14CA9" w:rsidP="00A14CA9">
      <w:pPr>
        <w:pBdr>
          <w:top w:val="nil"/>
          <w:left w:val="nil"/>
          <w:bottom w:val="nil"/>
          <w:right w:val="nil"/>
          <w:between w:val="nil"/>
        </w:pBdr>
        <w:ind w:right="-517"/>
        <w:rPr>
          <w:rFonts w:ascii="Palatino Linotype" w:hAnsi="Palatino Linotype"/>
          <w:color w:val="000000"/>
        </w:rPr>
      </w:pPr>
    </w:p>
    <w:p w:rsidR="00A14CA9" w:rsidRPr="008B2FB3" w:rsidRDefault="00A14CA9" w:rsidP="00A14CA9">
      <w:pPr>
        <w:numPr>
          <w:ilvl w:val="0"/>
          <w:numId w:val="17"/>
        </w:numPr>
        <w:spacing w:line="360" w:lineRule="auto"/>
        <w:ind w:left="851" w:right="49" w:firstLine="10"/>
        <w:jc w:val="both"/>
        <w:rPr>
          <w:rFonts w:ascii="Palatino Linotype" w:eastAsia="Palatino Linotype" w:hAnsi="Palatino Linotype" w:cs="Palatino Linotype"/>
          <w:sz w:val="22"/>
          <w:szCs w:val="22"/>
        </w:rPr>
      </w:pPr>
      <w:r w:rsidRPr="008B2FB3">
        <w:rPr>
          <w:rFonts w:ascii="Palatino Linotype" w:eastAsia="Palatino Linotype" w:hAnsi="Palatino Linotype" w:cs="Palatino Linotype"/>
          <w:sz w:val="22"/>
          <w:szCs w:val="22"/>
        </w:rPr>
        <w:t xml:space="preserve">Mediante acuerdo de fecha </w:t>
      </w:r>
      <w:r w:rsidR="00813A86" w:rsidRPr="008B2FB3">
        <w:rPr>
          <w:rFonts w:ascii="Palatino Linotype" w:eastAsia="Palatino Linotype" w:hAnsi="Palatino Linotype" w:cs="Palatino Linotype"/>
          <w:b/>
          <w:sz w:val="22"/>
          <w:szCs w:val="22"/>
        </w:rPr>
        <w:t>cinco de diciembre de dos mil veinticuatro</w:t>
      </w:r>
      <w:r w:rsidRPr="008B2FB3">
        <w:rPr>
          <w:rFonts w:ascii="Palatino Linotype" w:eastAsia="Palatino Linotype" w:hAnsi="Palatino Linotype" w:cs="Palatino Linotype"/>
          <w:sz w:val="22"/>
          <w:szCs w:val="22"/>
        </w:rPr>
        <w:t xml:space="preserve">, la Comisionada </w:t>
      </w:r>
      <w:r w:rsidRPr="008B2FB3">
        <w:rPr>
          <w:rFonts w:ascii="Palatino Linotype" w:eastAsia="Palatino Linotype" w:hAnsi="Palatino Linotype" w:cs="Palatino Linotype"/>
          <w:b/>
          <w:sz w:val="22"/>
          <w:szCs w:val="22"/>
        </w:rPr>
        <w:t>María del Rosario Mejía Ayala</w:t>
      </w:r>
      <w:r w:rsidRPr="008B2FB3">
        <w:rPr>
          <w:rFonts w:ascii="Palatino Linotype" w:eastAsia="Palatino Linotype" w:hAnsi="Palatino Linotype" w:cs="Palatino Linotype"/>
          <w:sz w:val="22"/>
          <w:szCs w:val="22"/>
        </w:rPr>
        <w:t>, admitió a trámite el recurso de revisión que nos ocupa.</w:t>
      </w:r>
    </w:p>
    <w:p w:rsidR="00A14CA9" w:rsidRPr="008B2FB3" w:rsidRDefault="00A14CA9" w:rsidP="00A14CA9">
      <w:pPr>
        <w:numPr>
          <w:ilvl w:val="0"/>
          <w:numId w:val="17"/>
        </w:numPr>
        <w:pBdr>
          <w:top w:val="nil"/>
          <w:left w:val="nil"/>
          <w:bottom w:val="nil"/>
          <w:right w:val="nil"/>
          <w:between w:val="nil"/>
        </w:pBdr>
        <w:spacing w:line="360" w:lineRule="auto"/>
        <w:ind w:left="851" w:right="49" w:firstLine="10"/>
        <w:jc w:val="both"/>
        <w:rPr>
          <w:color w:val="000000"/>
          <w:sz w:val="22"/>
          <w:szCs w:val="22"/>
        </w:rPr>
      </w:pPr>
      <w:r w:rsidRPr="008B2FB3">
        <w:rPr>
          <w:rFonts w:ascii="Palatino Linotype" w:eastAsia="Palatino Linotype" w:hAnsi="Palatino Linotype" w:cs="Palatino Linotype"/>
          <w:color w:val="000000"/>
          <w:sz w:val="22"/>
          <w:szCs w:val="22"/>
        </w:rPr>
        <w:t xml:space="preserve">Lo esgrimido por </w:t>
      </w:r>
      <w:r w:rsidRPr="008B2FB3">
        <w:rPr>
          <w:rFonts w:ascii="Palatino Linotype" w:eastAsia="Palatino Linotype" w:hAnsi="Palatino Linotype" w:cs="Palatino Linotype"/>
          <w:b/>
          <w:color w:val="000000"/>
          <w:sz w:val="22"/>
          <w:szCs w:val="22"/>
        </w:rPr>
        <w:t>el Recurrente</w:t>
      </w:r>
      <w:r w:rsidRPr="008B2FB3">
        <w:rPr>
          <w:rFonts w:ascii="Palatino Linotype" w:eastAsia="Palatino Linotype" w:hAnsi="Palatino Linotype" w:cs="Palatino Linotype"/>
          <w:color w:val="000000"/>
          <w:sz w:val="22"/>
          <w:szCs w:val="22"/>
        </w:rPr>
        <w:t xml:space="preserve"> dentro del recurso de revisión impugnado queda sin materia, toda vez que </w:t>
      </w:r>
      <w:r w:rsidRPr="008B2FB3">
        <w:rPr>
          <w:rFonts w:ascii="Palatino Linotype" w:eastAsia="Palatino Linotype" w:hAnsi="Palatino Linotype" w:cs="Palatino Linotype"/>
          <w:b/>
          <w:color w:val="000000"/>
          <w:sz w:val="22"/>
          <w:szCs w:val="22"/>
        </w:rPr>
        <w:t>El Sujeto Obligado</w:t>
      </w:r>
      <w:r w:rsidRPr="008B2FB3">
        <w:rPr>
          <w:rFonts w:ascii="Palatino Linotype" w:eastAsia="Palatino Linotype" w:hAnsi="Palatino Linotype" w:cs="Palatino Linotype"/>
          <w:color w:val="000000"/>
          <w:sz w:val="22"/>
          <w:szCs w:val="22"/>
        </w:rPr>
        <w:t xml:space="preserve"> colmó el derecho de acceso a la información del </w:t>
      </w:r>
      <w:r w:rsidRPr="008B2FB3">
        <w:rPr>
          <w:rFonts w:ascii="Palatino Linotype" w:eastAsia="Palatino Linotype" w:hAnsi="Palatino Linotype" w:cs="Palatino Linotype"/>
          <w:b/>
          <w:color w:val="000000"/>
          <w:sz w:val="22"/>
          <w:szCs w:val="22"/>
        </w:rPr>
        <w:t>Recurrente</w:t>
      </w:r>
      <w:r w:rsidRPr="008B2FB3">
        <w:rPr>
          <w:rFonts w:ascii="Palatino Linotype" w:eastAsia="Palatino Linotype" w:hAnsi="Palatino Linotype" w:cs="Palatino Linotype"/>
          <w:color w:val="000000"/>
          <w:sz w:val="22"/>
          <w:szCs w:val="22"/>
        </w:rPr>
        <w:t>,</w:t>
      </w:r>
      <w:r w:rsidRPr="008B2FB3">
        <w:rPr>
          <w:rFonts w:ascii="Palatino Linotype" w:eastAsia="Palatino Linotype" w:hAnsi="Palatino Linotype" w:cs="Palatino Linotype"/>
          <w:b/>
          <w:color w:val="000000"/>
          <w:sz w:val="22"/>
          <w:szCs w:val="22"/>
        </w:rPr>
        <w:t xml:space="preserve"> </w:t>
      </w:r>
      <w:r w:rsidRPr="008B2FB3">
        <w:rPr>
          <w:rFonts w:ascii="Palatino Linotype" w:eastAsia="Palatino Linotype" w:hAnsi="Palatino Linotype" w:cs="Palatino Linotype"/>
          <w:color w:val="000000"/>
          <w:sz w:val="22"/>
          <w:szCs w:val="22"/>
        </w:rPr>
        <w:t xml:space="preserve">ello al modificar su respuesta primigenia, </w:t>
      </w:r>
      <w:r w:rsidRPr="008B2FB3">
        <w:rPr>
          <w:rFonts w:ascii="Palatino Linotype" w:eastAsia="Palatino Linotype" w:hAnsi="Palatino Linotype" w:cs="Palatino Linotype"/>
          <w:color w:val="000000"/>
          <w:sz w:val="22"/>
          <w:szCs w:val="22"/>
        </w:rPr>
        <w:lastRenderedPageBreak/>
        <w:t xml:space="preserve">mediante la información remitida en su informe justificado, en fecha </w:t>
      </w:r>
      <w:r w:rsidR="00813A86" w:rsidRPr="008B2FB3">
        <w:rPr>
          <w:rFonts w:ascii="Palatino Linotype" w:eastAsia="Palatino Linotype" w:hAnsi="Palatino Linotype" w:cs="Palatino Linotype"/>
          <w:b/>
          <w:color w:val="000000"/>
          <w:sz w:val="22"/>
          <w:szCs w:val="22"/>
        </w:rPr>
        <w:t>dieciséis de diciembre de dos mil veinticuatro</w:t>
      </w:r>
      <w:r w:rsidRPr="008B2FB3">
        <w:rPr>
          <w:rFonts w:ascii="Palatino Linotype" w:eastAsia="Palatino Linotype" w:hAnsi="Palatino Linotype" w:cs="Palatino Linotype"/>
          <w:b/>
          <w:color w:val="000000"/>
          <w:sz w:val="22"/>
          <w:szCs w:val="22"/>
        </w:rPr>
        <w:t>.</w:t>
      </w:r>
    </w:p>
    <w:p w:rsidR="00A14CA9" w:rsidRPr="008B2FB3" w:rsidRDefault="00A14CA9" w:rsidP="00A14CA9">
      <w:pPr>
        <w:numPr>
          <w:ilvl w:val="0"/>
          <w:numId w:val="17"/>
        </w:numPr>
        <w:spacing w:line="360" w:lineRule="auto"/>
        <w:ind w:left="851" w:right="49" w:firstLine="10"/>
        <w:jc w:val="both"/>
        <w:rPr>
          <w:rFonts w:ascii="Palatino Linotype" w:eastAsia="Palatino Linotype" w:hAnsi="Palatino Linotype" w:cs="Palatino Linotype"/>
          <w:sz w:val="22"/>
          <w:szCs w:val="22"/>
        </w:rPr>
      </w:pPr>
      <w:r w:rsidRPr="008B2FB3">
        <w:rPr>
          <w:rFonts w:ascii="Palatino Linotype" w:eastAsia="Palatino Linotype" w:hAnsi="Palatino Linotype" w:cs="Palatino Linotype"/>
          <w:sz w:val="22"/>
          <w:szCs w:val="22"/>
        </w:rPr>
        <w:t xml:space="preserve">El recurso </w:t>
      </w:r>
      <w:r w:rsidRPr="008B2FB3">
        <w:rPr>
          <w:rFonts w:ascii="Palatino Linotype" w:eastAsia="Palatino Linotype" w:hAnsi="Palatino Linotype" w:cs="Palatino Linotype"/>
          <w:b/>
          <w:sz w:val="22"/>
          <w:szCs w:val="22"/>
        </w:rPr>
        <w:t>0</w:t>
      </w:r>
      <w:r w:rsidR="00813A86" w:rsidRPr="008B2FB3">
        <w:rPr>
          <w:rFonts w:ascii="Palatino Linotype" w:eastAsia="Palatino Linotype" w:hAnsi="Palatino Linotype" w:cs="Palatino Linotype"/>
          <w:b/>
          <w:sz w:val="22"/>
          <w:szCs w:val="22"/>
        </w:rPr>
        <w:t>7403</w:t>
      </w:r>
      <w:r w:rsidRPr="008B2FB3">
        <w:rPr>
          <w:rFonts w:ascii="Palatino Linotype" w:eastAsia="Palatino Linotype" w:hAnsi="Palatino Linotype" w:cs="Palatino Linotype"/>
          <w:b/>
          <w:sz w:val="22"/>
          <w:szCs w:val="22"/>
        </w:rPr>
        <w:t>/INFOEM/IP/RR/202</w:t>
      </w:r>
      <w:r w:rsidR="00813A86" w:rsidRPr="008B2FB3">
        <w:rPr>
          <w:rFonts w:ascii="Palatino Linotype" w:eastAsia="Palatino Linotype" w:hAnsi="Palatino Linotype" w:cs="Palatino Linotype"/>
          <w:b/>
          <w:sz w:val="22"/>
          <w:szCs w:val="22"/>
        </w:rPr>
        <w:t>4</w:t>
      </w:r>
      <w:r w:rsidRPr="008B2FB3">
        <w:rPr>
          <w:rFonts w:ascii="Palatino Linotype" w:eastAsia="Palatino Linotype" w:hAnsi="Palatino Linotype" w:cs="Palatino Linotype"/>
          <w:sz w:val="22"/>
          <w:szCs w:val="22"/>
        </w:rPr>
        <w:t>, no actualiza ninguna hipótesis de las inmersas en el n</w:t>
      </w:r>
      <w:bookmarkStart w:id="7" w:name="_GoBack"/>
      <w:bookmarkEnd w:id="7"/>
      <w:r w:rsidRPr="008B2FB3">
        <w:rPr>
          <w:rFonts w:ascii="Palatino Linotype" w:eastAsia="Palatino Linotype" w:hAnsi="Palatino Linotype" w:cs="Palatino Linotype"/>
          <w:sz w:val="22"/>
          <w:szCs w:val="22"/>
        </w:rPr>
        <w:t xml:space="preserve">umeral 179, de la Ley en materia vigente en la entidad. </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F9720D">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 xml:space="preserve">Es importante resaltar a manera de analogía que la Suprema Corte de Justicia de la Nación mediante el número 2 de la Serie </w:t>
      </w:r>
      <w:r w:rsidRPr="008B2FB3">
        <w:rPr>
          <w:rFonts w:ascii="Palatino Linotype" w:eastAsia="Palatino Linotype" w:hAnsi="Palatino Linotype" w:cs="Palatino Linotype"/>
          <w:i/>
          <w:color w:val="000000"/>
        </w:rPr>
        <w:t xml:space="preserve">Estudios Introductorios sobre el Juicio de Amparo </w:t>
      </w:r>
      <w:r w:rsidRPr="008B2FB3">
        <w:rPr>
          <w:rFonts w:ascii="Palatino Linotype" w:eastAsia="Palatino Linotype" w:hAnsi="Palatino Linotype" w:cs="Palatino Linotype"/>
          <w:color w:val="000000"/>
        </w:rPr>
        <w:t xml:space="preserve">relativo a </w:t>
      </w:r>
      <w:r w:rsidRPr="008B2FB3">
        <w:rPr>
          <w:rFonts w:ascii="Palatino Linotype" w:eastAsia="Palatino Linotype" w:hAnsi="Palatino Linotype" w:cs="Palatino Linotype"/>
          <w:i/>
          <w:color w:val="000000"/>
        </w:rPr>
        <w:t xml:space="preserve">LA IMPROCEDENCIA DE LA ACCIÓN DE AMPARO </w:t>
      </w:r>
      <w:r w:rsidRPr="008B2FB3">
        <w:rPr>
          <w:rFonts w:ascii="Palatino Linotype" w:eastAsia="Palatino Linotype" w:hAnsi="Palatino Linotype" w:cs="Palatino Linotype"/>
          <w:color w:val="000000"/>
        </w:rPr>
        <w:t xml:space="preserve">definió a la improcedencia del amparo como la institución jurídica procesal en la que, al actualizarse ciertas circunstancias previstas en la Constitución Federal, en la Ley de Amparo o en la Jurisprudencia, el órgano jurisdiccional se ve impedido para analizar y resolver el fondo del asunto y que la causa de improcedencia puede tenerse por acreditada desde el momento en que se presenta la demanda de amparo, </w:t>
      </w:r>
      <w:r w:rsidRPr="008B2FB3">
        <w:rPr>
          <w:rFonts w:ascii="Palatino Linotype" w:eastAsia="Palatino Linotype" w:hAnsi="Palatino Linotype" w:cs="Palatino Linotype"/>
          <w:b/>
          <w:color w:val="000000"/>
          <w:u w:val="single"/>
        </w:rPr>
        <w:t>lo que generará que la demanda sea desechada; o bien, después de admitida la demanda, lo que tendrá como consecuencia que se sobresea en el juicio.</w:t>
      </w:r>
    </w:p>
    <w:p w:rsidR="00A14CA9" w:rsidRPr="008B2FB3" w:rsidRDefault="00A14CA9" w:rsidP="00A14CA9">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A14CA9" w:rsidRPr="008B2FB3" w:rsidRDefault="00A14CA9" w:rsidP="00F9720D">
      <w:pPr>
        <w:numPr>
          <w:ilvl w:val="0"/>
          <w:numId w:val="1"/>
        </w:numPr>
        <w:pBdr>
          <w:top w:val="nil"/>
          <w:left w:val="nil"/>
          <w:bottom w:val="nil"/>
          <w:right w:val="nil"/>
          <w:between w:val="nil"/>
        </w:pBdr>
        <w:spacing w:line="360" w:lineRule="auto"/>
        <w:ind w:left="0" w:right="-850" w:firstLine="0"/>
        <w:jc w:val="both"/>
        <w:rPr>
          <w:color w:val="000000"/>
        </w:rPr>
      </w:pPr>
      <w:r w:rsidRPr="008B2FB3">
        <w:rPr>
          <w:rFonts w:ascii="Palatino Linotype" w:eastAsia="Palatino Linotype" w:hAnsi="Palatino Linotype" w:cs="Palatino Linotype"/>
          <w:color w:val="000000"/>
        </w:rPr>
        <w:t xml:space="preserve">Por lo tanto, en mérito de lo expuesto en líneas anteriores, </w:t>
      </w:r>
      <w:r w:rsidRPr="008B2FB3">
        <w:rPr>
          <w:rFonts w:ascii="Palatino Linotype" w:eastAsia="Palatino Linotype" w:hAnsi="Palatino Linotype" w:cs="Palatino Linotype"/>
          <w:b/>
          <w:color w:val="000000"/>
        </w:rPr>
        <w:t>con fundamento en la fracción III</w:t>
      </w:r>
      <w:r w:rsidR="00EA288D" w:rsidRPr="008B2FB3">
        <w:rPr>
          <w:rFonts w:ascii="Palatino Linotype" w:eastAsia="Palatino Linotype" w:hAnsi="Palatino Linotype" w:cs="Palatino Linotype"/>
          <w:b/>
          <w:color w:val="000000"/>
        </w:rPr>
        <w:t>,</w:t>
      </w:r>
      <w:r w:rsidRPr="008B2FB3">
        <w:rPr>
          <w:rFonts w:ascii="Palatino Linotype" w:eastAsia="Palatino Linotype" w:hAnsi="Palatino Linotype" w:cs="Palatino Linotype"/>
          <w:b/>
          <w:color w:val="000000"/>
        </w:rPr>
        <w:t xml:space="preserve"> del artículo 192, </w:t>
      </w:r>
      <w:r w:rsidRPr="008B2FB3">
        <w:rPr>
          <w:rFonts w:ascii="Palatino Linotype" w:eastAsia="Palatino Linotype" w:hAnsi="Palatino Linotype" w:cs="Palatino Linotype"/>
          <w:color w:val="000000"/>
        </w:rPr>
        <w:t xml:space="preserve">de la Ley de Transparencia y Acceso a la Información Pública del Estado de México y Municipios, se </w:t>
      </w:r>
      <w:r w:rsidRPr="008B2FB3">
        <w:rPr>
          <w:rFonts w:ascii="Palatino Linotype" w:eastAsia="Palatino Linotype" w:hAnsi="Palatino Linotype" w:cs="Palatino Linotype"/>
          <w:b/>
          <w:color w:val="000000"/>
        </w:rPr>
        <w:t xml:space="preserve">SOBRESEE </w:t>
      </w:r>
      <w:r w:rsidRPr="008B2FB3">
        <w:rPr>
          <w:rFonts w:ascii="Palatino Linotype" w:eastAsia="Palatino Linotype" w:hAnsi="Palatino Linotype" w:cs="Palatino Linotype"/>
          <w:color w:val="000000"/>
        </w:rPr>
        <w:t xml:space="preserve">el recurso de revisión </w:t>
      </w:r>
      <w:r w:rsidRPr="008B2FB3">
        <w:rPr>
          <w:rFonts w:ascii="Palatino Linotype" w:eastAsia="Palatino Linotype" w:hAnsi="Palatino Linotype" w:cs="Palatino Linotype"/>
          <w:b/>
          <w:color w:val="000000"/>
        </w:rPr>
        <w:t>0</w:t>
      </w:r>
      <w:r w:rsidR="00F9720D" w:rsidRPr="008B2FB3">
        <w:rPr>
          <w:rFonts w:ascii="Palatino Linotype" w:eastAsia="Palatino Linotype" w:hAnsi="Palatino Linotype" w:cs="Palatino Linotype"/>
          <w:b/>
          <w:color w:val="000000"/>
        </w:rPr>
        <w:t>7403</w:t>
      </w:r>
      <w:r w:rsidRPr="008B2FB3">
        <w:rPr>
          <w:rFonts w:ascii="Palatino Linotype" w:eastAsia="Palatino Linotype" w:hAnsi="Palatino Linotype" w:cs="Palatino Linotype"/>
          <w:b/>
          <w:color w:val="000000"/>
        </w:rPr>
        <w:t>/INFOEM/IP/RR/202</w:t>
      </w:r>
      <w:r w:rsidR="00F9720D" w:rsidRPr="008B2FB3">
        <w:rPr>
          <w:rFonts w:ascii="Palatino Linotype" w:eastAsia="Palatino Linotype" w:hAnsi="Palatino Linotype" w:cs="Palatino Linotype"/>
          <w:b/>
          <w:color w:val="000000"/>
        </w:rPr>
        <w:t>4</w:t>
      </w:r>
      <w:r w:rsidRPr="008B2FB3">
        <w:rPr>
          <w:rFonts w:ascii="Palatino Linotype" w:eastAsia="Palatino Linotype" w:hAnsi="Palatino Linotype" w:cs="Palatino Linotype"/>
          <w:color w:val="000000"/>
        </w:rPr>
        <w:t>, que ha sido materia del presente fallo.</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A14CA9">
      <w:pPr>
        <w:spacing w:line="360" w:lineRule="auto"/>
        <w:ind w:right="-517"/>
        <w:jc w:val="both"/>
        <w:rPr>
          <w:rFonts w:ascii="Palatino Linotype" w:eastAsia="Palatino Linotype" w:hAnsi="Palatino Linotype" w:cs="Palatino Linotype"/>
        </w:rPr>
      </w:pPr>
      <w:r w:rsidRPr="008B2FB3">
        <w:rPr>
          <w:rFonts w:ascii="Palatino Linotype" w:eastAsia="Palatino Linotype" w:hAnsi="Palatino Linotype" w:cs="Palatino Linotype"/>
        </w:rPr>
        <w:t xml:space="preserve">Por lo antes expuesto y fundado este Pleno: </w:t>
      </w:r>
    </w:p>
    <w:p w:rsidR="00F9720D" w:rsidRPr="008B2FB3" w:rsidRDefault="00F9720D" w:rsidP="00A14CA9">
      <w:pPr>
        <w:spacing w:line="360" w:lineRule="auto"/>
        <w:ind w:right="-517"/>
        <w:jc w:val="both"/>
        <w:rPr>
          <w:rFonts w:ascii="Palatino Linotype" w:eastAsia="Palatino Linotype" w:hAnsi="Palatino Linotype" w:cs="Palatino Linotype"/>
        </w:rPr>
      </w:pPr>
    </w:p>
    <w:p w:rsidR="00A14CA9" w:rsidRPr="008B2FB3" w:rsidRDefault="00A14CA9" w:rsidP="00A14CA9">
      <w:pPr>
        <w:spacing w:line="360" w:lineRule="auto"/>
        <w:ind w:right="-517"/>
        <w:jc w:val="center"/>
        <w:rPr>
          <w:rFonts w:ascii="Palatino Linotype" w:eastAsia="Palatino Linotype" w:hAnsi="Palatino Linotype" w:cs="Palatino Linotype"/>
          <w:b/>
        </w:rPr>
      </w:pPr>
      <w:r w:rsidRPr="008B2FB3">
        <w:rPr>
          <w:rFonts w:ascii="Palatino Linotype" w:eastAsia="Palatino Linotype" w:hAnsi="Palatino Linotype" w:cs="Palatino Linotype"/>
          <w:b/>
        </w:rPr>
        <w:t>R E S U E L V E</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F9720D">
      <w:pPr>
        <w:spacing w:line="360" w:lineRule="auto"/>
        <w:ind w:right="-850"/>
        <w:jc w:val="both"/>
        <w:rPr>
          <w:rFonts w:ascii="Palatino Linotype" w:eastAsia="Palatino Linotype" w:hAnsi="Palatino Linotype" w:cs="Palatino Linotype"/>
        </w:rPr>
      </w:pPr>
      <w:r w:rsidRPr="008B2FB3">
        <w:rPr>
          <w:rFonts w:ascii="Palatino Linotype" w:eastAsia="Palatino Linotype" w:hAnsi="Palatino Linotype" w:cs="Palatino Linotype"/>
          <w:b/>
        </w:rPr>
        <w:t>PRIMERO</w:t>
      </w:r>
      <w:r w:rsidRPr="008B2FB3">
        <w:rPr>
          <w:rFonts w:ascii="Palatino Linotype" w:eastAsia="Palatino Linotype" w:hAnsi="Palatino Linotype" w:cs="Palatino Linotype"/>
        </w:rPr>
        <w:t xml:space="preserve">. Se </w:t>
      </w:r>
      <w:r w:rsidRPr="008B2FB3">
        <w:rPr>
          <w:rFonts w:ascii="Palatino Linotype" w:eastAsia="Palatino Linotype" w:hAnsi="Palatino Linotype" w:cs="Palatino Linotype"/>
          <w:b/>
        </w:rPr>
        <w:t>SOBRESEE</w:t>
      </w:r>
      <w:r w:rsidRPr="008B2FB3">
        <w:rPr>
          <w:rFonts w:ascii="Palatino Linotype" w:eastAsia="Palatino Linotype" w:hAnsi="Palatino Linotype" w:cs="Palatino Linotype"/>
        </w:rPr>
        <w:t xml:space="preserve"> el recurso de revisión número </w:t>
      </w:r>
      <w:r w:rsidRPr="008B2FB3">
        <w:rPr>
          <w:rFonts w:ascii="Palatino Linotype" w:eastAsia="Palatino Linotype" w:hAnsi="Palatino Linotype" w:cs="Palatino Linotype"/>
          <w:b/>
        </w:rPr>
        <w:t>0</w:t>
      </w:r>
      <w:r w:rsidR="00F9720D" w:rsidRPr="008B2FB3">
        <w:rPr>
          <w:rFonts w:ascii="Palatino Linotype" w:eastAsia="Palatino Linotype" w:hAnsi="Palatino Linotype" w:cs="Palatino Linotype"/>
          <w:b/>
        </w:rPr>
        <w:t>7403</w:t>
      </w:r>
      <w:r w:rsidRPr="008B2FB3">
        <w:rPr>
          <w:rFonts w:ascii="Palatino Linotype" w:eastAsia="Palatino Linotype" w:hAnsi="Palatino Linotype" w:cs="Palatino Linotype"/>
          <w:b/>
        </w:rPr>
        <w:t>/INFOEM/IP/RR/202</w:t>
      </w:r>
      <w:r w:rsidR="00F9720D" w:rsidRPr="008B2FB3">
        <w:rPr>
          <w:rFonts w:ascii="Palatino Linotype" w:eastAsia="Palatino Linotype" w:hAnsi="Palatino Linotype" w:cs="Palatino Linotype"/>
          <w:b/>
        </w:rPr>
        <w:t>4,</w:t>
      </w:r>
      <w:r w:rsidRPr="008B2FB3">
        <w:rPr>
          <w:rFonts w:ascii="Palatino Linotype" w:eastAsia="Palatino Linotype" w:hAnsi="Palatino Linotype" w:cs="Palatino Linotype"/>
        </w:rPr>
        <w:t xml:space="preserve"> porque al modificar la respuesta el recurso quedó sin materia conforme a lo dispuesto en el artículo 192</w:t>
      </w:r>
      <w:r w:rsidR="00EA288D" w:rsidRPr="008B2FB3">
        <w:rPr>
          <w:rFonts w:ascii="Palatino Linotype" w:eastAsia="Palatino Linotype" w:hAnsi="Palatino Linotype" w:cs="Palatino Linotype"/>
        </w:rPr>
        <w:t>,</w:t>
      </w:r>
      <w:r w:rsidRPr="008B2FB3">
        <w:rPr>
          <w:rFonts w:ascii="Palatino Linotype" w:eastAsia="Palatino Linotype" w:hAnsi="Palatino Linotype" w:cs="Palatino Linotype"/>
        </w:rPr>
        <w:t xml:space="preserve"> fracción III</w:t>
      </w:r>
      <w:r w:rsidR="00EA288D" w:rsidRPr="008B2FB3">
        <w:rPr>
          <w:rFonts w:ascii="Palatino Linotype" w:eastAsia="Palatino Linotype" w:hAnsi="Palatino Linotype" w:cs="Palatino Linotype"/>
        </w:rPr>
        <w:t>,</w:t>
      </w:r>
      <w:r w:rsidRPr="008B2FB3">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8B2FB3">
        <w:rPr>
          <w:rFonts w:ascii="Palatino Linotype" w:eastAsia="Palatino Linotype" w:hAnsi="Palatino Linotype" w:cs="Palatino Linotype"/>
          <w:b/>
        </w:rPr>
        <w:t xml:space="preserve">CUARTO </w:t>
      </w:r>
      <w:r w:rsidRPr="008B2FB3">
        <w:rPr>
          <w:rFonts w:ascii="Palatino Linotype" w:eastAsia="Palatino Linotype" w:hAnsi="Palatino Linotype" w:cs="Palatino Linotype"/>
        </w:rPr>
        <w:t>de la presente resolución.</w:t>
      </w:r>
    </w:p>
    <w:p w:rsidR="00A14CA9" w:rsidRPr="008B2FB3" w:rsidRDefault="00A14CA9" w:rsidP="00A14CA9">
      <w:pPr>
        <w:spacing w:line="360" w:lineRule="auto"/>
        <w:ind w:right="-517"/>
        <w:jc w:val="both"/>
        <w:rPr>
          <w:rFonts w:ascii="Palatino Linotype" w:eastAsia="Palatino Linotype" w:hAnsi="Palatino Linotype" w:cs="Palatino Linotype"/>
        </w:rPr>
      </w:pPr>
    </w:p>
    <w:p w:rsidR="00A14CA9" w:rsidRPr="008B2FB3" w:rsidRDefault="00A14CA9" w:rsidP="00F9720D">
      <w:pPr>
        <w:spacing w:line="360" w:lineRule="auto"/>
        <w:ind w:right="-850"/>
        <w:jc w:val="both"/>
        <w:rPr>
          <w:rFonts w:ascii="Palatino Linotype" w:eastAsia="Palatino Linotype" w:hAnsi="Palatino Linotype" w:cs="Palatino Linotype"/>
          <w:b/>
        </w:rPr>
      </w:pPr>
      <w:r w:rsidRPr="008B2FB3">
        <w:rPr>
          <w:rFonts w:ascii="Palatino Linotype" w:eastAsia="Palatino Linotype" w:hAnsi="Palatino Linotype" w:cs="Palatino Linotype"/>
          <w:b/>
        </w:rPr>
        <w:t>SEGUNDO. Notifíquese</w:t>
      </w:r>
      <w:r w:rsidRPr="008B2FB3">
        <w:rPr>
          <w:rFonts w:ascii="Palatino Linotype" w:eastAsia="Palatino Linotype" w:hAnsi="Palatino Linotype" w:cs="Palatino Linotype"/>
          <w:b/>
          <w:i/>
        </w:rPr>
        <w:t xml:space="preserve"> </w:t>
      </w:r>
      <w:r w:rsidRPr="008B2FB3">
        <w:rPr>
          <w:rFonts w:ascii="Palatino Linotype" w:eastAsia="Palatino Linotype" w:hAnsi="Palatino Linotype" w:cs="Palatino Linotype"/>
        </w:rPr>
        <w:t xml:space="preserve">la presente resolución al Titular de la Unidad de Transparencia del </w:t>
      </w:r>
      <w:r w:rsidRPr="008B2FB3">
        <w:rPr>
          <w:rFonts w:ascii="Palatino Linotype" w:eastAsia="Palatino Linotype" w:hAnsi="Palatino Linotype" w:cs="Palatino Linotype"/>
          <w:b/>
        </w:rPr>
        <w:t xml:space="preserve">SUJETO OBLIGADO </w:t>
      </w:r>
      <w:r w:rsidRPr="008B2FB3">
        <w:rPr>
          <w:rFonts w:ascii="Palatino Linotype" w:eastAsia="Palatino Linotype" w:hAnsi="Palatino Linotype" w:cs="Palatino Linotype"/>
        </w:rPr>
        <w:t xml:space="preserve">a través del Sistema de Acceso a la Información Mexiquense </w:t>
      </w:r>
      <w:r w:rsidRPr="008B2FB3">
        <w:rPr>
          <w:rFonts w:ascii="Palatino Linotype" w:eastAsia="Palatino Linotype" w:hAnsi="Palatino Linotype" w:cs="Palatino Linotype"/>
          <w:b/>
        </w:rPr>
        <w:t xml:space="preserve">(SAIMEX).  </w:t>
      </w:r>
    </w:p>
    <w:p w:rsidR="00A14CA9" w:rsidRPr="008B2FB3" w:rsidRDefault="00A14CA9" w:rsidP="00A14CA9">
      <w:pPr>
        <w:spacing w:line="360" w:lineRule="auto"/>
        <w:ind w:right="-517"/>
        <w:jc w:val="both"/>
        <w:rPr>
          <w:rFonts w:ascii="Palatino Linotype" w:eastAsia="Palatino Linotype" w:hAnsi="Palatino Linotype" w:cs="Palatino Linotype"/>
          <w:b/>
        </w:rPr>
      </w:pPr>
    </w:p>
    <w:p w:rsidR="00A14CA9" w:rsidRPr="008B2FB3" w:rsidRDefault="00A14CA9" w:rsidP="00F9720D">
      <w:pPr>
        <w:spacing w:line="360" w:lineRule="auto"/>
        <w:ind w:right="-850"/>
        <w:jc w:val="both"/>
        <w:rPr>
          <w:rFonts w:ascii="Palatino Linotype" w:eastAsia="Palatino Linotype" w:hAnsi="Palatino Linotype" w:cs="Palatino Linotype"/>
          <w:b/>
        </w:rPr>
      </w:pPr>
      <w:r w:rsidRPr="008B2FB3">
        <w:rPr>
          <w:rFonts w:ascii="Palatino Linotype" w:eastAsia="Palatino Linotype" w:hAnsi="Palatino Linotype" w:cs="Palatino Linotype"/>
          <w:b/>
        </w:rPr>
        <w:t>TERCERO</w:t>
      </w:r>
      <w:r w:rsidRPr="008B2FB3">
        <w:rPr>
          <w:rFonts w:ascii="Palatino Linotype" w:eastAsia="Palatino Linotype" w:hAnsi="Palatino Linotype" w:cs="Palatino Linotype"/>
        </w:rPr>
        <w:t xml:space="preserve">. </w:t>
      </w:r>
      <w:r w:rsidRPr="008B2FB3">
        <w:rPr>
          <w:rFonts w:ascii="Palatino Linotype" w:eastAsia="Palatino Linotype" w:hAnsi="Palatino Linotype" w:cs="Palatino Linotype"/>
          <w:b/>
          <w:color w:val="222222"/>
        </w:rPr>
        <w:t>Notifíquese</w:t>
      </w:r>
      <w:r w:rsidRPr="008B2FB3">
        <w:rPr>
          <w:rFonts w:ascii="Palatino Linotype" w:eastAsia="Palatino Linotype" w:hAnsi="Palatino Linotype" w:cs="Palatino Linotype"/>
        </w:rPr>
        <w:t xml:space="preserve"> la presente resolución a la parte </w:t>
      </w:r>
      <w:r w:rsidRPr="008B2FB3">
        <w:rPr>
          <w:rFonts w:ascii="Palatino Linotype" w:eastAsia="Palatino Linotype" w:hAnsi="Palatino Linotype" w:cs="Palatino Linotype"/>
          <w:b/>
        </w:rPr>
        <w:t xml:space="preserve">RECURRENTE </w:t>
      </w:r>
      <w:r w:rsidRPr="008B2FB3">
        <w:rPr>
          <w:rFonts w:ascii="Palatino Linotype" w:eastAsia="Palatino Linotype" w:hAnsi="Palatino Linotype" w:cs="Palatino Linotype"/>
        </w:rPr>
        <w:t xml:space="preserve">a través del Sistema de Acceso a la Información Mexiquense </w:t>
      </w:r>
      <w:r w:rsidRPr="008B2FB3">
        <w:rPr>
          <w:rFonts w:ascii="Palatino Linotype" w:eastAsia="Palatino Linotype" w:hAnsi="Palatino Linotype" w:cs="Palatino Linotype"/>
          <w:b/>
        </w:rPr>
        <w:t>(SAIMEX).</w:t>
      </w:r>
    </w:p>
    <w:p w:rsidR="00A14CA9" w:rsidRPr="008B2FB3" w:rsidRDefault="00A14CA9" w:rsidP="00A14CA9">
      <w:pPr>
        <w:spacing w:line="360" w:lineRule="auto"/>
        <w:ind w:right="-517"/>
        <w:jc w:val="both"/>
        <w:rPr>
          <w:rFonts w:ascii="Palatino Linotype" w:eastAsia="Palatino Linotype" w:hAnsi="Palatino Linotype" w:cs="Palatino Linotype"/>
          <w:b/>
        </w:rPr>
      </w:pPr>
    </w:p>
    <w:p w:rsidR="00A14CA9" w:rsidRPr="008B2FB3" w:rsidRDefault="00A14CA9" w:rsidP="00F9720D">
      <w:pPr>
        <w:spacing w:line="360" w:lineRule="auto"/>
        <w:ind w:right="-850"/>
        <w:jc w:val="both"/>
        <w:rPr>
          <w:rFonts w:ascii="Palatino Linotype" w:eastAsia="Palatino Linotype" w:hAnsi="Palatino Linotype" w:cs="Palatino Linotype"/>
        </w:rPr>
      </w:pPr>
      <w:r w:rsidRPr="008B2FB3">
        <w:rPr>
          <w:rFonts w:ascii="Palatino Linotype" w:eastAsia="Palatino Linotype" w:hAnsi="Palatino Linotype" w:cs="Palatino Linotype"/>
          <w:b/>
        </w:rPr>
        <w:t xml:space="preserve">CUARTO. </w:t>
      </w:r>
      <w:r w:rsidRPr="008B2FB3">
        <w:rPr>
          <w:rFonts w:ascii="Palatino Linotype" w:eastAsia="Palatino Linotype" w:hAnsi="Palatino Linotype" w:cs="Palatino Linotype"/>
        </w:rPr>
        <w:t xml:space="preserve">Se hace del conocimiento de la parte </w:t>
      </w:r>
      <w:r w:rsidRPr="008B2FB3">
        <w:rPr>
          <w:rFonts w:ascii="Palatino Linotype" w:eastAsia="Palatino Linotype" w:hAnsi="Palatino Linotype" w:cs="Palatino Linotype"/>
          <w:b/>
        </w:rPr>
        <w:t xml:space="preserve">RECURRENTE </w:t>
      </w:r>
      <w:r w:rsidRPr="008B2FB3">
        <w:rPr>
          <w:rFonts w:ascii="Palatino Linotype" w:eastAsia="Palatino Linotype" w:hAnsi="Palatino Linotype" w:cs="Palatino Linotype"/>
        </w:rPr>
        <w:t xml:space="preserve">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 </w:t>
      </w:r>
    </w:p>
    <w:p w:rsidR="00F9720D" w:rsidRPr="008B2FB3" w:rsidRDefault="00F9720D" w:rsidP="00F9720D">
      <w:pPr>
        <w:spacing w:line="360" w:lineRule="auto"/>
        <w:ind w:right="-850"/>
        <w:jc w:val="both"/>
        <w:rPr>
          <w:rFonts w:ascii="Palatino Linotype" w:eastAsia="Palatino Linotype" w:hAnsi="Palatino Linotype" w:cs="Palatino Linotype"/>
        </w:rPr>
      </w:pPr>
    </w:p>
    <w:p w:rsidR="00EA288D" w:rsidRPr="003C7186" w:rsidRDefault="00EA288D" w:rsidP="00EA288D">
      <w:pPr>
        <w:spacing w:line="360" w:lineRule="auto"/>
        <w:ind w:left="-142" w:right="-850" w:firstLine="1"/>
        <w:jc w:val="both"/>
        <w:rPr>
          <w:rFonts w:ascii="Palatino Linotype" w:hAnsi="Palatino Linotype"/>
        </w:rPr>
      </w:pPr>
      <w:r w:rsidRPr="008B2FB3">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w:t>
      </w:r>
      <w:r w:rsidRPr="008B2FB3">
        <w:rPr>
          <w:rFonts w:ascii="Palatino Linotype" w:hAnsi="Palatino Linotype"/>
        </w:rPr>
        <w:lastRenderedPageBreak/>
        <w:t>GUADALUPE RAMÍREZ PEÑA; EN LA OCTAVA SESIÓN ORDINARIA CELEBRADA EL SEIS (06) DE MARZO DE DOS MIL VEINTICINCO, ANTE EL SECRETARIO TÉCNICO DEL PLENO ALEXIS TAPIA RAMÍREZ.</w:t>
      </w:r>
      <w:r w:rsidRPr="003C7186">
        <w:rPr>
          <w:rFonts w:ascii="Palatino Linotype" w:hAnsi="Palatino Linotype"/>
        </w:rPr>
        <w:t xml:space="preserve"> </w:t>
      </w:r>
    </w:p>
    <w:p w:rsidR="0043245F" w:rsidRDefault="0043245F">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p w:rsidR="008B2FB3" w:rsidRDefault="008B2FB3">
      <w:pPr>
        <w:spacing w:line="276" w:lineRule="auto"/>
        <w:ind w:left="851" w:right="-847"/>
        <w:jc w:val="both"/>
        <w:rPr>
          <w:rFonts w:ascii="Palatino Linotype" w:eastAsia="Palatino Linotype" w:hAnsi="Palatino Linotype" w:cs="Palatino Linotype"/>
        </w:rPr>
      </w:pPr>
    </w:p>
    <w:sectPr w:rsidR="008B2FB3">
      <w:headerReference w:type="even" r:id="rId12"/>
      <w:headerReference w:type="default" r:id="rId13"/>
      <w:footerReference w:type="default" r:id="rId14"/>
      <w:headerReference w:type="first" r:id="rId15"/>
      <w:footerReference w:type="first" r:id="rId16"/>
      <w:pgSz w:w="12240" w:h="15840"/>
      <w:pgMar w:top="2268" w:right="175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68" w:rsidRDefault="003B3B68">
      <w:r>
        <w:separator/>
      </w:r>
    </w:p>
  </w:endnote>
  <w:endnote w:type="continuationSeparator" w:id="0">
    <w:p w:rsidR="003B3B68" w:rsidRDefault="003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D2" w:rsidRDefault="005248D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B2FB3">
      <w:rPr>
        <w:rFonts w:ascii="Palatino Linotype" w:eastAsia="Palatino Linotype" w:hAnsi="Palatino Linotype" w:cs="Palatino Linotype"/>
        <w:noProof/>
        <w:color w:val="000000"/>
        <w:sz w:val="20"/>
        <w:szCs w:val="20"/>
      </w:rPr>
      <w:t>29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B2FB3">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5248D2" w:rsidRDefault="005248D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D2" w:rsidRDefault="005248D2">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B2FB3">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B2FB3">
      <w:rPr>
        <w:rFonts w:ascii="Palatino Linotype" w:eastAsia="Palatino Linotype" w:hAnsi="Palatino Linotype" w:cs="Palatino Linotype"/>
        <w:noProof/>
        <w:color w:val="000000"/>
        <w:sz w:val="20"/>
        <w:szCs w:val="20"/>
      </w:rPr>
      <w:t>30</w:t>
    </w:r>
    <w:r>
      <w:rPr>
        <w:rFonts w:ascii="Palatino Linotype" w:eastAsia="Palatino Linotype" w:hAnsi="Palatino Linotype" w:cs="Palatino Linotype"/>
        <w:color w:val="000000"/>
        <w:sz w:val="20"/>
        <w:szCs w:val="20"/>
      </w:rPr>
      <w:fldChar w:fldCharType="end"/>
    </w:r>
  </w:p>
  <w:p w:rsidR="005248D2" w:rsidRDefault="005248D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68" w:rsidRDefault="003B3B68">
      <w:r>
        <w:separator/>
      </w:r>
    </w:p>
  </w:footnote>
  <w:footnote w:type="continuationSeparator" w:id="0">
    <w:p w:rsidR="003B3B68" w:rsidRDefault="003B3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D2" w:rsidRDefault="003B3B68">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D2" w:rsidRDefault="005248D2">
    <w:pPr>
      <w:widowControl w:val="0"/>
      <w:pBdr>
        <w:top w:val="nil"/>
        <w:left w:val="nil"/>
        <w:bottom w:val="nil"/>
        <w:right w:val="nil"/>
        <w:between w:val="nil"/>
      </w:pBdr>
      <w:spacing w:line="276" w:lineRule="auto"/>
      <w:rPr>
        <w:color w:val="000000"/>
      </w:rPr>
    </w:pPr>
  </w:p>
  <w:tbl>
    <w:tblPr>
      <w:tblStyle w:val="a1"/>
      <w:tblW w:w="6519" w:type="dxa"/>
      <w:tblInd w:w="2694" w:type="dxa"/>
      <w:tblLayout w:type="fixed"/>
      <w:tblLook w:val="0400" w:firstRow="0" w:lastRow="0" w:firstColumn="0" w:lastColumn="0" w:noHBand="0" w:noVBand="1"/>
    </w:tblPr>
    <w:tblGrid>
      <w:gridCol w:w="2976"/>
      <w:gridCol w:w="3543"/>
    </w:tblGrid>
    <w:tr w:rsidR="005248D2">
      <w:trPr>
        <w:trHeight w:val="227"/>
      </w:trPr>
      <w:tc>
        <w:tcPr>
          <w:tcW w:w="2976" w:type="dxa"/>
          <w:vAlign w:val="center"/>
        </w:tcPr>
        <w:p w:rsidR="005248D2" w:rsidRDefault="005248D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5248D2" w:rsidRDefault="005248D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07403/INFOEM/IP/RR/2024</w:t>
          </w:r>
        </w:p>
      </w:tc>
    </w:tr>
    <w:tr w:rsidR="005248D2">
      <w:trPr>
        <w:trHeight w:val="242"/>
      </w:trPr>
      <w:tc>
        <w:tcPr>
          <w:tcW w:w="2976" w:type="dxa"/>
          <w:vAlign w:val="center"/>
        </w:tcPr>
        <w:p w:rsidR="005248D2" w:rsidRDefault="005248D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5248D2" w:rsidRDefault="005248D2">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Toluca</w:t>
          </w:r>
        </w:p>
      </w:tc>
    </w:tr>
    <w:tr w:rsidR="005248D2">
      <w:trPr>
        <w:trHeight w:val="342"/>
      </w:trPr>
      <w:tc>
        <w:tcPr>
          <w:tcW w:w="2976" w:type="dxa"/>
          <w:vAlign w:val="center"/>
        </w:tcPr>
        <w:p w:rsidR="005248D2" w:rsidRDefault="005248D2">
          <w:pPr>
            <w:spacing w:line="360" w:lineRule="auto"/>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5248D2" w:rsidRDefault="005248D2">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5248D2" w:rsidRDefault="003B3B68">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D2" w:rsidRDefault="005248D2">
    <w:pPr>
      <w:widowControl w:val="0"/>
      <w:pBdr>
        <w:top w:val="nil"/>
        <w:left w:val="nil"/>
        <w:bottom w:val="nil"/>
        <w:right w:val="nil"/>
        <w:between w:val="nil"/>
      </w:pBdr>
      <w:spacing w:line="276" w:lineRule="auto"/>
      <w:rPr>
        <w:color w:val="000000"/>
        <w:sz w:val="14"/>
        <w:szCs w:val="14"/>
      </w:rPr>
    </w:pPr>
  </w:p>
  <w:tbl>
    <w:tblPr>
      <w:tblStyle w:val="a2"/>
      <w:tblW w:w="6660" w:type="dxa"/>
      <w:tblInd w:w="2552" w:type="dxa"/>
      <w:tblLayout w:type="fixed"/>
      <w:tblLook w:val="0400" w:firstRow="0" w:lastRow="0" w:firstColumn="0" w:lastColumn="0" w:noHBand="0" w:noVBand="1"/>
    </w:tblPr>
    <w:tblGrid>
      <w:gridCol w:w="2977"/>
      <w:gridCol w:w="3683"/>
    </w:tblGrid>
    <w:tr w:rsidR="005248D2">
      <w:trPr>
        <w:trHeight w:val="227"/>
      </w:trPr>
      <w:tc>
        <w:tcPr>
          <w:tcW w:w="2977" w:type="dxa"/>
          <w:vAlign w:val="center"/>
        </w:tcPr>
        <w:p w:rsidR="005248D2" w:rsidRDefault="005248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5248D2" w:rsidRDefault="005248D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07403/INFOEM/IP/RR/2024</w:t>
          </w:r>
        </w:p>
      </w:tc>
    </w:tr>
    <w:tr w:rsidR="005248D2">
      <w:trPr>
        <w:trHeight w:val="242"/>
      </w:trPr>
      <w:tc>
        <w:tcPr>
          <w:tcW w:w="2977" w:type="dxa"/>
          <w:vAlign w:val="center"/>
        </w:tcPr>
        <w:p w:rsidR="005248D2" w:rsidRDefault="005248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5248D2" w:rsidRDefault="00EA288D">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Anónimo</w:t>
          </w:r>
        </w:p>
      </w:tc>
    </w:tr>
    <w:tr w:rsidR="005248D2">
      <w:trPr>
        <w:trHeight w:val="342"/>
      </w:trPr>
      <w:tc>
        <w:tcPr>
          <w:tcW w:w="2977" w:type="dxa"/>
          <w:vAlign w:val="center"/>
        </w:tcPr>
        <w:p w:rsidR="005248D2" w:rsidRDefault="005248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5248D2" w:rsidRDefault="005248D2">
          <w:pPr>
            <w:pBdr>
              <w:top w:val="nil"/>
              <w:left w:val="nil"/>
              <w:bottom w:val="nil"/>
              <w:right w:val="nil"/>
              <w:between w:val="nil"/>
            </w:pBdr>
            <w:tabs>
              <w:tab w:val="center" w:pos="4419"/>
              <w:tab w:val="right" w:pos="8838"/>
            </w:tabs>
            <w:jc w:val="both"/>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Toluca</w:t>
          </w:r>
        </w:p>
      </w:tc>
    </w:tr>
    <w:tr w:rsidR="005248D2">
      <w:trPr>
        <w:trHeight w:val="342"/>
      </w:trPr>
      <w:tc>
        <w:tcPr>
          <w:tcW w:w="2977" w:type="dxa"/>
          <w:vAlign w:val="center"/>
        </w:tcPr>
        <w:p w:rsidR="005248D2" w:rsidRDefault="005248D2">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5248D2" w:rsidRDefault="005248D2">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5248D2" w:rsidRDefault="003B3B68">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3BCB"/>
    <w:multiLevelType w:val="multilevel"/>
    <w:tmpl w:val="33FC9C54"/>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E70D30"/>
    <w:multiLevelType w:val="multilevel"/>
    <w:tmpl w:val="5CD6F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D73C5E"/>
    <w:multiLevelType w:val="multilevel"/>
    <w:tmpl w:val="559C9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16532565"/>
    <w:multiLevelType w:val="multilevel"/>
    <w:tmpl w:val="B6DA666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8D72C1"/>
    <w:multiLevelType w:val="multilevel"/>
    <w:tmpl w:val="6EB45B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31D750CC"/>
    <w:multiLevelType w:val="multilevel"/>
    <w:tmpl w:val="BE8A3F5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32757DED"/>
    <w:multiLevelType w:val="multilevel"/>
    <w:tmpl w:val="6F1E3F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35D0344C"/>
    <w:multiLevelType w:val="multilevel"/>
    <w:tmpl w:val="03C63636"/>
    <w:lvl w:ilvl="0">
      <w:start w:val="1"/>
      <w:numFmt w:val="decimal"/>
      <w:lvlText w:val="%1."/>
      <w:lvlJc w:val="left"/>
      <w:pPr>
        <w:ind w:left="2258" w:hanging="720"/>
      </w:pPr>
      <w:rPr>
        <w:b/>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8">
    <w:nsid w:val="3A0F04CD"/>
    <w:multiLevelType w:val="multilevel"/>
    <w:tmpl w:val="C32E5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48233951"/>
    <w:multiLevelType w:val="multilevel"/>
    <w:tmpl w:val="4DF63F94"/>
    <w:lvl w:ilvl="0">
      <w:start w:val="1"/>
      <w:numFmt w:val="upperRoman"/>
      <w:lvlText w:val="%1."/>
      <w:lvlJc w:val="left"/>
      <w:pPr>
        <w:ind w:left="1347" w:hanging="72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0">
    <w:nsid w:val="4D2269BB"/>
    <w:multiLevelType w:val="multilevel"/>
    <w:tmpl w:val="CCB4D40C"/>
    <w:lvl w:ilvl="0">
      <w:start w:val="1"/>
      <w:numFmt w:val="upperRoman"/>
      <w:lvlText w:val="%1."/>
      <w:lvlJc w:val="left"/>
      <w:pPr>
        <w:ind w:left="1488" w:hanging="719"/>
      </w:pPr>
      <w:rPr>
        <w:b/>
      </w:rPr>
    </w:lvl>
    <w:lvl w:ilvl="1">
      <w:start w:val="1"/>
      <w:numFmt w:val="lowerLetter"/>
      <w:lvlText w:val="%2."/>
      <w:lvlJc w:val="left"/>
      <w:pPr>
        <w:ind w:left="1848" w:hanging="360"/>
      </w:pPr>
    </w:lvl>
    <w:lvl w:ilvl="2">
      <w:start w:val="1"/>
      <w:numFmt w:val="lowerRoman"/>
      <w:lvlText w:val="%3."/>
      <w:lvlJc w:val="right"/>
      <w:pPr>
        <w:ind w:left="2568" w:hanging="180"/>
      </w:pPr>
    </w:lvl>
    <w:lvl w:ilvl="3">
      <w:start w:val="1"/>
      <w:numFmt w:val="decimal"/>
      <w:lvlText w:val="%4."/>
      <w:lvlJc w:val="left"/>
      <w:pPr>
        <w:ind w:left="3288" w:hanging="360"/>
      </w:pPr>
    </w:lvl>
    <w:lvl w:ilvl="4">
      <w:start w:val="1"/>
      <w:numFmt w:val="lowerLetter"/>
      <w:lvlText w:val="%5."/>
      <w:lvlJc w:val="left"/>
      <w:pPr>
        <w:ind w:left="4008" w:hanging="360"/>
      </w:pPr>
    </w:lvl>
    <w:lvl w:ilvl="5">
      <w:start w:val="1"/>
      <w:numFmt w:val="lowerRoman"/>
      <w:lvlText w:val="%6."/>
      <w:lvlJc w:val="right"/>
      <w:pPr>
        <w:ind w:left="4728" w:hanging="180"/>
      </w:pPr>
    </w:lvl>
    <w:lvl w:ilvl="6">
      <w:start w:val="1"/>
      <w:numFmt w:val="decimal"/>
      <w:lvlText w:val="%7."/>
      <w:lvlJc w:val="left"/>
      <w:pPr>
        <w:ind w:left="5448" w:hanging="360"/>
      </w:pPr>
    </w:lvl>
    <w:lvl w:ilvl="7">
      <w:start w:val="1"/>
      <w:numFmt w:val="lowerLetter"/>
      <w:lvlText w:val="%8."/>
      <w:lvlJc w:val="left"/>
      <w:pPr>
        <w:ind w:left="6168" w:hanging="360"/>
      </w:pPr>
    </w:lvl>
    <w:lvl w:ilvl="8">
      <w:start w:val="1"/>
      <w:numFmt w:val="lowerRoman"/>
      <w:lvlText w:val="%9."/>
      <w:lvlJc w:val="right"/>
      <w:pPr>
        <w:ind w:left="6888" w:hanging="180"/>
      </w:pPr>
    </w:lvl>
  </w:abstractNum>
  <w:abstractNum w:abstractNumId="11">
    <w:nsid w:val="565D7EE2"/>
    <w:multiLevelType w:val="multilevel"/>
    <w:tmpl w:val="F484F516"/>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DF035D"/>
    <w:multiLevelType w:val="multilevel"/>
    <w:tmpl w:val="583C602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nsid w:val="67E33FDB"/>
    <w:multiLevelType w:val="multilevel"/>
    <w:tmpl w:val="0AE44D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nsid w:val="6B4B59DF"/>
    <w:multiLevelType w:val="multilevel"/>
    <w:tmpl w:val="044059FC"/>
    <w:lvl w:ilvl="0">
      <w:numFmt w:val="bullet"/>
      <w:lvlText w:val="-"/>
      <w:lvlJc w:val="left"/>
      <w:pPr>
        <w:ind w:left="1143" w:hanging="360"/>
      </w:pPr>
      <w:rPr>
        <w:rFonts w:ascii="Palatino Linotype" w:eastAsia="Palatino Linotype" w:hAnsi="Palatino Linotype" w:cs="Palatino Linotype"/>
        <w:i/>
      </w:rPr>
    </w:lvl>
    <w:lvl w:ilvl="1">
      <w:start w:val="1"/>
      <w:numFmt w:val="bullet"/>
      <w:lvlText w:val="o"/>
      <w:lvlJc w:val="left"/>
      <w:pPr>
        <w:ind w:left="1863" w:hanging="360"/>
      </w:pPr>
      <w:rPr>
        <w:rFonts w:ascii="Courier New" w:eastAsia="Courier New" w:hAnsi="Courier New" w:cs="Courier New"/>
      </w:rPr>
    </w:lvl>
    <w:lvl w:ilvl="2">
      <w:start w:val="1"/>
      <w:numFmt w:val="bullet"/>
      <w:lvlText w:val="▪"/>
      <w:lvlJc w:val="left"/>
      <w:pPr>
        <w:ind w:left="2583" w:hanging="360"/>
      </w:pPr>
      <w:rPr>
        <w:rFonts w:ascii="Noto Sans Symbols" w:eastAsia="Noto Sans Symbols" w:hAnsi="Noto Sans Symbols" w:cs="Noto Sans Symbols"/>
      </w:rPr>
    </w:lvl>
    <w:lvl w:ilvl="3">
      <w:start w:val="1"/>
      <w:numFmt w:val="bullet"/>
      <w:lvlText w:val="●"/>
      <w:lvlJc w:val="left"/>
      <w:pPr>
        <w:ind w:left="3303" w:hanging="360"/>
      </w:pPr>
      <w:rPr>
        <w:rFonts w:ascii="Noto Sans Symbols" w:eastAsia="Noto Sans Symbols" w:hAnsi="Noto Sans Symbols" w:cs="Noto Sans Symbols"/>
      </w:rPr>
    </w:lvl>
    <w:lvl w:ilvl="4">
      <w:start w:val="1"/>
      <w:numFmt w:val="bullet"/>
      <w:lvlText w:val="o"/>
      <w:lvlJc w:val="left"/>
      <w:pPr>
        <w:ind w:left="4023" w:hanging="360"/>
      </w:pPr>
      <w:rPr>
        <w:rFonts w:ascii="Courier New" w:eastAsia="Courier New" w:hAnsi="Courier New" w:cs="Courier New"/>
      </w:rPr>
    </w:lvl>
    <w:lvl w:ilvl="5">
      <w:start w:val="1"/>
      <w:numFmt w:val="bullet"/>
      <w:lvlText w:val="▪"/>
      <w:lvlJc w:val="left"/>
      <w:pPr>
        <w:ind w:left="4743" w:hanging="360"/>
      </w:pPr>
      <w:rPr>
        <w:rFonts w:ascii="Noto Sans Symbols" w:eastAsia="Noto Sans Symbols" w:hAnsi="Noto Sans Symbols" w:cs="Noto Sans Symbols"/>
      </w:rPr>
    </w:lvl>
    <w:lvl w:ilvl="6">
      <w:start w:val="1"/>
      <w:numFmt w:val="bullet"/>
      <w:lvlText w:val="●"/>
      <w:lvlJc w:val="left"/>
      <w:pPr>
        <w:ind w:left="5463" w:hanging="360"/>
      </w:pPr>
      <w:rPr>
        <w:rFonts w:ascii="Noto Sans Symbols" w:eastAsia="Noto Sans Symbols" w:hAnsi="Noto Sans Symbols" w:cs="Noto Sans Symbols"/>
      </w:rPr>
    </w:lvl>
    <w:lvl w:ilvl="7">
      <w:start w:val="1"/>
      <w:numFmt w:val="bullet"/>
      <w:lvlText w:val="o"/>
      <w:lvlJc w:val="left"/>
      <w:pPr>
        <w:ind w:left="6183" w:hanging="360"/>
      </w:pPr>
      <w:rPr>
        <w:rFonts w:ascii="Courier New" w:eastAsia="Courier New" w:hAnsi="Courier New" w:cs="Courier New"/>
      </w:rPr>
    </w:lvl>
    <w:lvl w:ilvl="8">
      <w:start w:val="1"/>
      <w:numFmt w:val="bullet"/>
      <w:lvlText w:val="▪"/>
      <w:lvlJc w:val="left"/>
      <w:pPr>
        <w:ind w:left="6903" w:hanging="360"/>
      </w:pPr>
      <w:rPr>
        <w:rFonts w:ascii="Noto Sans Symbols" w:eastAsia="Noto Sans Symbols" w:hAnsi="Noto Sans Symbols" w:cs="Noto Sans Symbols"/>
      </w:rPr>
    </w:lvl>
  </w:abstractNum>
  <w:abstractNum w:abstractNumId="15">
    <w:nsid w:val="74C5684D"/>
    <w:multiLevelType w:val="multilevel"/>
    <w:tmpl w:val="2926E904"/>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6">
    <w:nsid w:val="7E9D2B68"/>
    <w:multiLevelType w:val="multilevel"/>
    <w:tmpl w:val="EB1E6958"/>
    <w:lvl w:ilvl="0">
      <w:start w:val="1"/>
      <w:numFmt w:val="bullet"/>
      <w:lvlText w:val="●"/>
      <w:lvlJc w:val="left"/>
      <w:pPr>
        <w:ind w:left="709" w:hanging="358"/>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num w:numId="1">
    <w:abstractNumId w:val="11"/>
  </w:num>
  <w:num w:numId="2">
    <w:abstractNumId w:val="15"/>
  </w:num>
  <w:num w:numId="3">
    <w:abstractNumId w:val="14"/>
  </w:num>
  <w:num w:numId="4">
    <w:abstractNumId w:val="9"/>
  </w:num>
  <w:num w:numId="5">
    <w:abstractNumId w:val="8"/>
  </w:num>
  <w:num w:numId="6">
    <w:abstractNumId w:val="2"/>
  </w:num>
  <w:num w:numId="7">
    <w:abstractNumId w:val="13"/>
  </w:num>
  <w:num w:numId="8">
    <w:abstractNumId w:val="4"/>
  </w:num>
  <w:num w:numId="9">
    <w:abstractNumId w:val="6"/>
  </w:num>
  <w:num w:numId="10">
    <w:abstractNumId w:val="1"/>
  </w:num>
  <w:num w:numId="11">
    <w:abstractNumId w:val="16"/>
  </w:num>
  <w:num w:numId="12">
    <w:abstractNumId w:val="12"/>
  </w:num>
  <w:num w:numId="13">
    <w:abstractNumId w:val="5"/>
  </w:num>
  <w:num w:numId="14">
    <w:abstractNumId w:val="0"/>
  </w:num>
  <w:num w:numId="15">
    <w:abstractNumId w:val="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5F"/>
    <w:rsid w:val="00073B73"/>
    <w:rsid w:val="000762E5"/>
    <w:rsid w:val="000D3236"/>
    <w:rsid w:val="002D132D"/>
    <w:rsid w:val="003B3B68"/>
    <w:rsid w:val="004276B3"/>
    <w:rsid w:val="0043245F"/>
    <w:rsid w:val="004816F0"/>
    <w:rsid w:val="0052212F"/>
    <w:rsid w:val="005248D2"/>
    <w:rsid w:val="005F5830"/>
    <w:rsid w:val="00707CAE"/>
    <w:rsid w:val="00813A86"/>
    <w:rsid w:val="008B2FB3"/>
    <w:rsid w:val="009B2204"/>
    <w:rsid w:val="00A14CA9"/>
    <w:rsid w:val="00AA1598"/>
    <w:rsid w:val="00C24E4A"/>
    <w:rsid w:val="00CB3C72"/>
    <w:rsid w:val="00D25556"/>
    <w:rsid w:val="00D91309"/>
    <w:rsid w:val="00EA288D"/>
    <w:rsid w:val="00EA2AFA"/>
    <w:rsid w:val="00F731C7"/>
    <w:rsid w:val="00F9720D"/>
    <w:rsid w:val="00FD7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164B7A-20F0-4230-AF9E-0D046603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 w:type="table" w:customStyle="1" w:styleId="a0">
    <w:basedOn w:val="TableNormal0"/>
    <w:tblPr>
      <w:tblStyleRowBandSize w:val="1"/>
      <w:tblStyleColBandSize w:val="1"/>
      <w:tblCellMar>
        <w:top w:w="0" w:type="dxa"/>
        <w:left w:w="70" w:type="dxa"/>
        <w:bottom w:w="0" w:type="dxa"/>
        <w:right w:w="70" w:type="dxa"/>
      </w:tblCellMar>
    </w:tblPr>
  </w:style>
  <w:style w:type="table" w:customStyle="1" w:styleId="a1">
    <w:basedOn w:val="TableNormal0"/>
    <w:tblPr>
      <w:tblStyleRowBandSize w:val="1"/>
      <w:tblStyleColBandSize w:val="1"/>
      <w:tblCellMar>
        <w:top w:w="0" w:type="dxa"/>
        <w:left w:w="70" w:type="dxa"/>
        <w:bottom w:w="0" w:type="dxa"/>
        <w:right w:w="70" w:type="dxa"/>
      </w:tblCellMar>
    </w:tblPr>
  </w:style>
  <w:style w:type="table" w:customStyle="1" w:styleId="a2">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0ZBRRc5tiQTNfNjJ5Qx95e7PQ==">CgMxLjAyCGguZ2pkZ3hzMgloLjNkeTZ2a20yCWguMzBqMHpsbDIJaC4xZm9iOXRlMgloLjN6bnlzaDcyCWguMmV0OTJwMDIIaC50eWpjd3QyCWguNDRzaW5pbzgAciExdVdRNG1XbmRyY2VRcEdPbWk3eTFwbHZYc2RyMktFYWQ=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7057</Words>
  <Characters>38818</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INFOEM416</cp:lastModifiedBy>
  <cp:revision>20</cp:revision>
  <cp:lastPrinted>2025-03-07T20:11:00Z</cp:lastPrinted>
  <dcterms:created xsi:type="dcterms:W3CDTF">2025-02-12T22:52:00Z</dcterms:created>
  <dcterms:modified xsi:type="dcterms:W3CDTF">2025-03-07T20:11:00Z</dcterms:modified>
</cp:coreProperties>
</file>