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02749/INFOEM/IP/RR/2025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 XXXXXXX 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00257/TENANCIN/IP/2025</w:t>
      </w:r>
      <w:r w:rsidDel="00000000" w:rsidR="00000000" w:rsidRPr="00000000">
        <w:rPr>
          <w:rFonts w:ascii="Palatino Linotype" w:cs="Palatino Linotype" w:eastAsia="Palatino Linotype" w:hAnsi="Palatino Linotype"/>
          <w:sz w:val="22"/>
          <w:szCs w:val="22"/>
          <w:rtl w:val="0"/>
        </w:rPr>
        <w:t xml:space="preserve">, por parte del Ayuntamiento de Tenancingo 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catorce de febrero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“Solicito copia de pago del mes de enero del 2025 (Las dos quincenas) via nomina del siguiente personal adscrito al Ayuntamiento de Tenancingo: XXXX XXXXXXXX XXXXXX XXXXX</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Guillermina Cruz Cortes, Carlos Amador López Bringas, Abelardo Tenorio Esquivel, José María Contreras Estrella, XXXXXXX XXXXXXX XXX</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Dagoberto Mondragon González. Victor Avendaño Bustos, Marlen Lizeth Duarte García, Gabriel Aguilar Calvo, Viridiana Jacobo Leguízamo y Arianna Peña Manzano.”</w:t>
      </w:r>
      <w:r w:rsidDel="00000000" w:rsidR="00000000" w:rsidRPr="00000000">
        <w:rPr>
          <w:rtl w:val="0"/>
        </w:rPr>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w:t>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siete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276"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XXXXXXXXXX XX XXXXXXXXXXX. PRESENTE. En atención a su solicitud de información recibida a través del Sistema de Acceso a la Información Mexiquense (SAIMEX), identificada con el número 00257/TENANCIN/IP/2025; en la cual solicita información relacionada con lo siguiente: “Solicito copia de pago del mes de enero del 2025 (Las dos quincenas) via nomina del siguiente personal adscrito al Ayuntamiento de Tenancingo: MXXX XXXXXXXX XXXXXX XXXXX</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Guillermina Cruz Cortes, Carlos Amador López Bringas, Abelardo Tenorio Esquivel, José María Contreras Estrella, XXXXXXX XXXXXXX XXX</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Dagoberto Mondragon González. Victor Avendaño Bustos, Marlen Lizeth Duarte García, Gabriel Aguilar Calvo, Viridiana Jacobo Leguízamo y Arianna Peña Manzano.” (sic).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adjunto al presente se servirá encontrar el oficio de respuesta que emite la Directora de Administración del Ayuntamiento de Tenancingo, Estado de México. Sin otro particular, reciba un cordial saludo.</w:t>
      </w:r>
    </w:p>
    <w:p w:rsidR="00000000" w:rsidDel="00000000" w:rsidP="00000000" w:rsidRDefault="00000000" w:rsidRPr="00000000" w14:paraId="0000000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0">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a su respuesta los archivos que se describen a continuación:</w:t>
      </w:r>
    </w:p>
    <w:p w:rsidR="00000000" w:rsidDel="00000000" w:rsidP="00000000" w:rsidRDefault="00000000" w:rsidRPr="00000000" w14:paraId="00000011">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567"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seis de marzo de dos mil veinticinco, signado por la Directora de Administración, mediante el cual refiere que, la información solicitada se encuentra disponible en la página del Ayuntamiento de Tenancingo, a través del siguiente link https://infoem2.ipomex.org.mx/ipomex/#/info-fraccion/11/179/28.</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la parte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once de marzo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El no entregar la copia de pago del mes de enero del 2025</w:t>
      </w:r>
      <w:r w:rsidDel="00000000" w:rsidR="00000000" w:rsidRPr="00000000">
        <w:rPr>
          <w:rFonts w:ascii="Palatino Linotype" w:cs="Palatino Linotype" w:eastAsia="Palatino Linotype" w:hAnsi="Palatino Linotype"/>
          <w:i w:val="1"/>
          <w:sz w:val="22"/>
          <w:szCs w:val="22"/>
          <w:rtl w:val="0"/>
        </w:rPr>
        <w:t xml:space="preserve"> (Las dos quincenas) via nomina del siguiente personal adscrito al Ayuntamiento de Tenancingo:XXX XXXXXXXX XXXXXX XXXXX</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Guillermina Cruz Cortes, Carlos Amador López Bringas, Abelardo Tenorio Esquivel, José María Contreras Estrella, XXXXXXX XXXXXXX XXX</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Dagoberto Mondragon González. Victor Avendaño Bustos, Marlen Lizeth Duarte García, Gabriel Aguilar Calvo, Viridiana Jacobo Leguízamo y Arianna Peña Manzano.” </w:t>
      </w:r>
    </w:p>
    <w:p w:rsidR="00000000" w:rsidDel="00000000" w:rsidP="00000000" w:rsidRDefault="00000000" w:rsidRPr="00000000" w14:paraId="00000017">
      <w:pPr>
        <w:spacing w:line="276" w:lineRule="auto"/>
        <w:ind w:right="616"/>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“El Ayuntamiento de Tenancingo se niega a proporcionar información pública de oficio; recordándoles que lo solicitado son recursos públicos. Los sueldos deben ser lo primero que deben proporcionar al público en general e inclusive deben estar publicados en la página de transparencia del municipio con todos sus detalles. Por lo que insisto en que se nos proporcione esta información y eviten ser denunciados en el osfem, contraloría de la cámara de diputados, así como en el infoem /saimex”.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02749/INFOEM/IP/RR/2025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catorce de marzo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veinticinco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a través de lo siguiente: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veinticuatro de marzo de dos mil veinticinco, signado por la Directora de Administración, mediante el cual ratificó su respuesta inicial.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Documento que se hizo del conocimiento de la parte Recurrente el </w:t>
      </w:r>
      <w:r w:rsidDel="00000000" w:rsidR="00000000" w:rsidRPr="00000000">
        <w:rPr>
          <w:rFonts w:ascii="Palatino Linotype" w:cs="Palatino Linotype" w:eastAsia="Palatino Linotype" w:hAnsi="Palatino Linotype"/>
          <w:b w:val="1"/>
          <w:sz w:val="22"/>
          <w:szCs w:val="22"/>
          <w:rtl w:val="0"/>
        </w:rPr>
        <w:t xml:space="preserve">diecinueve de mayo de dos mil veinticinco.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no realizó manifestaciones.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del plazo.</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veintidós de mayo de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veintisiete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siete de marzo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once de marzo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segundo día en que se tuvo conocimiento de la respuesta. </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7">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entrega de la información</w:t>
      </w:r>
    </w:p>
    <w:p w:rsidR="00000000" w:rsidDel="00000000" w:rsidP="00000000" w:rsidRDefault="00000000" w:rsidRPr="00000000" w14:paraId="00000039">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A">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los expedientes electrónicos se advierte, que el tema sobre el que este Organismo Garante de Transparencia y Acceso a la Información se pronunciará será  determinar, si se actualiza la hipótesis prevista en la fracción I del artículo 179 de la Ley en la materia. </w:t>
      </w: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información proporcionada por parte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0">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1">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4">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entonces Instituto Nacional de Transparencia, Acceso a la Información y Protección de Datos Personales, que dice:</w:t>
      </w:r>
    </w:p>
    <w:p w:rsidR="00000000" w:rsidDel="00000000" w:rsidP="00000000" w:rsidRDefault="00000000" w:rsidRPr="00000000" w14:paraId="0000004C">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6">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8">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es de recordar que la parte Recurrente requirió la copia de pago del mes de enero del 2025 (las dos quincenas) de diversas personas referidas en la solicitud de información.</w:t>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la Directora de Administración, refirió que la información solicitada se encontraba disponible en la página del Ayuntamiento de Tenancingo, a través del siguiente link </w:t>
      </w:r>
      <w:hyperlink r:id="rId7">
        <w:r w:rsidDel="00000000" w:rsidR="00000000" w:rsidRPr="00000000">
          <w:rPr>
            <w:rFonts w:ascii="Palatino Linotype" w:cs="Palatino Linotype" w:eastAsia="Palatino Linotype" w:hAnsi="Palatino Linotype"/>
            <w:b w:val="1"/>
            <w:color w:val="000000"/>
            <w:sz w:val="22"/>
            <w:szCs w:val="22"/>
            <w:u w:val="single"/>
            <w:rtl w:val="0"/>
          </w:rPr>
          <w:t xml:space="preserve">https://infoem2.ipomex.org.mx/ipomex/#/info-fraccion/11/179/28</w:t>
        </w:r>
      </w:hyperlink>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7"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que, el Sujeto Obligado se negó a proporcionar información pública de oficio, específicamente porque no proporcionó la copia del pago del mes de enero de dos mil veinticinco de los servidores públicos. </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mediante informe justificado, el Sujeto Obligado ratificó su respuesta inicial. </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parte Recurrente no realizó manifestaciones.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Antes de iniciar, es necesario precisar que de las constancias que obran en el expediente se logra vislumbrar que el Sujeto Obligado turnó la solicitud de información a la unidad administrativa competente, a saber la Directora de Administración,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F">
      <w:pPr>
        <w:numPr>
          <w:ilvl w:val="3"/>
          <w:numId w:val="5"/>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70">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numPr>
          <w:ilvl w:val="3"/>
          <w:numId w:val="5"/>
        </w:numPr>
        <w:pBdr>
          <w:top w:space="0" w:sz="0" w:val="nil"/>
          <w:left w:space="0" w:sz="0" w:val="nil"/>
          <w:bottom w:space="0" w:sz="0" w:val="nil"/>
          <w:right w:space="0" w:sz="0" w:val="nil"/>
          <w:between w:space="0" w:sz="0" w:val="nil"/>
        </w:pBdr>
        <w:spacing w:line="360" w:lineRule="auto"/>
        <w:ind w:left="567"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72">
      <w:pPr>
        <w:spacing w:line="360" w:lineRule="auto"/>
        <w:ind w:right="5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Señalado lo anterior, resulta procedente contextualizar la información solicitada, la cual se relaciona con recibos de nómina, por lo que, es conveniente traer a colación lo que establece el Glosario localizado en la página de Transparencia Presupuestaria de la Secretaría de Hacienda y Crédito Público (consultado en </w:t>
      </w:r>
      <w:hyperlink r:id="rId8">
        <w:r w:rsidDel="00000000" w:rsidR="00000000" w:rsidRPr="00000000">
          <w:rPr>
            <w:rFonts w:ascii="Palatino Linotype" w:cs="Palatino Linotype" w:eastAsia="Palatino Linotype" w:hAnsi="Palatino Linotype"/>
            <w:sz w:val="22"/>
            <w:szCs w:val="22"/>
            <w:u w:val="single"/>
            <w:rtl w:val="0"/>
          </w:rPr>
          <w:t xml:space="preserve">https://www.transparenciapresupuestaria.gob.mx/es/PTP/Glosario</w:t>
        </w:r>
      </w:hyperlink>
      <w:r w:rsidDel="00000000" w:rsidR="00000000" w:rsidRPr="00000000">
        <w:rPr>
          <w:rFonts w:ascii="Palatino Linotype" w:cs="Palatino Linotype" w:eastAsia="Palatino Linotype" w:hAnsi="Palatino Linotype"/>
          <w:sz w:val="22"/>
          <w:szCs w:val="22"/>
          <w:rtl w:val="0"/>
        </w:rPr>
        <w:t xml:space="preserve">), establece que:</w:t>
      </w:r>
    </w:p>
    <w:p w:rsidR="00000000" w:rsidDel="00000000" w:rsidP="00000000" w:rsidRDefault="00000000" w:rsidRPr="00000000" w14:paraId="00000076">
      <w:pPr>
        <w:tabs>
          <w:tab w:val="left" w:leader="none" w:pos="3261"/>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186953" cy="1197435"/>
            <wp:effectExtent b="0" l="0" r="0" t="0"/>
            <wp:docPr id="67440071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186953" cy="119743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el Glosario de términos más usuales en la Administración Pública Federal, emitido por la Secretaría de Hacienda y Crédito Público (</w:t>
      </w:r>
      <w:hyperlink r:id="rId10">
        <w:r w:rsidDel="00000000" w:rsidR="00000000" w:rsidRPr="00000000">
          <w:rPr>
            <w:rFonts w:ascii="Palatino Linotype" w:cs="Palatino Linotype" w:eastAsia="Palatino Linotype" w:hAnsi="Palatino Linotype"/>
            <w:sz w:val="22"/>
            <w:szCs w:val="22"/>
            <w:u w:val="single"/>
            <w:rtl w:val="0"/>
          </w:rPr>
          <w:t xml:space="preserve">http://www.apartados.hacienda.gob.mx/contabilidad/documentos/informe_cuenta/1998/cuenta_publica/Glosario/n.htm</w:t>
        </w:r>
      </w:hyperlink>
      <w:r w:rsidDel="00000000" w:rsidR="00000000" w:rsidRPr="00000000">
        <w:rPr>
          <w:rFonts w:ascii="Palatino Linotype" w:cs="Palatino Linotype" w:eastAsia="Palatino Linotype" w:hAnsi="Palatino Linotype"/>
          <w:sz w:val="22"/>
          <w:szCs w:val="22"/>
          <w:rtl w:val="0"/>
        </w:rPr>
        <w:t xml:space="preserve">), establece que la nómina es un listado general de los trabajadores de una institución, en el cual se asientan las percepciones brutas, deducciones y alcance neto de las mismas.</w:t>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puede advertir que la nómina se puede referir a lo siguiente:</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7D">
      <w:pPr>
        <w:tabs>
          <w:tab w:val="left" w:leader="none" w:pos="8222"/>
        </w:tabs>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Relación de trabajadores con las percepciones monetarias de cada uno.</w:t>
      </w:r>
    </w:p>
    <w:p w:rsidR="00000000" w:rsidDel="00000000" w:rsidP="00000000" w:rsidRDefault="00000000" w:rsidRPr="00000000" w14:paraId="0000007E">
      <w:pPr>
        <w:tabs>
          <w:tab w:val="left" w:leader="none" w:pos="8222"/>
        </w:tabs>
        <w:ind w:left="567" w:right="709"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b)      Recibo individual que contiene las prestaciones y deducciones de un trabajador.</w:t>
      </w:r>
    </w:p>
    <w:p w:rsidR="00000000" w:rsidDel="00000000" w:rsidP="00000000" w:rsidRDefault="00000000" w:rsidRPr="00000000" w14:paraId="0000007F">
      <w:pPr>
        <w:tabs>
          <w:tab w:val="left" w:leader="none" w:pos="8222"/>
        </w:tabs>
        <w:ind w:left="567"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Listado general de los servidores públicos de una institución o dependencia, en el cual se asientan las percepciones brutas, deducciones y alcance neto de las mismas.</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8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8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086">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8A">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08C">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8E">
      <w:pPr>
        <w:spacing w:line="480"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del precepto normativo se advierte que entre los documentos que tiene la obligación de conservar el Sujeto Obligado, se encuentran los </w:t>
      </w:r>
      <w:r w:rsidDel="00000000" w:rsidR="00000000" w:rsidRPr="00000000">
        <w:rPr>
          <w:rFonts w:ascii="Palatino Linotype" w:cs="Palatino Linotype" w:eastAsia="Palatino Linotype" w:hAnsi="Palatino Linotype"/>
          <w:b w:val="1"/>
          <w:sz w:val="22"/>
          <w:szCs w:val="22"/>
          <w:u w:val="single"/>
          <w:rtl w:val="0"/>
        </w:rPr>
        <w:t xml:space="preserve">recibos de pago de salarios o las constancias documentales del pago de sueldos</w:t>
      </w:r>
      <w:r w:rsidDel="00000000" w:rsidR="00000000" w:rsidRPr="00000000">
        <w:rPr>
          <w:rFonts w:ascii="Palatino Linotype" w:cs="Palatino Linotype" w:eastAsia="Palatino Linotype" w:hAnsi="Palatino Linotype"/>
          <w:sz w:val="22"/>
          <w:szCs w:val="22"/>
          <w:rtl w:val="0"/>
        </w:rPr>
        <w:t xml:space="preserve">,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hace a nuestra materia, el artículo 70, fracción VIII, de la Ley General de Transparencia y Acceso a la Información Pública vigente a la fecha de la solicitud de información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ind w:left="567" w:right="843"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General de Transparencia y Acceso a la Información Pública</w:t>
      </w:r>
    </w:p>
    <w:p w:rsidR="00000000" w:rsidDel="00000000" w:rsidP="00000000" w:rsidRDefault="00000000" w:rsidRPr="00000000" w14:paraId="00000094">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70.</w:t>
      </w:r>
      <w:r w:rsidDel="00000000" w:rsidR="00000000" w:rsidRPr="00000000">
        <w:rPr>
          <w:rFonts w:ascii="Palatino Linotype" w:cs="Palatino Linotype" w:eastAsia="Palatino Linotype" w:hAnsi="Palatino Linotype"/>
          <w:i w:val="1"/>
          <w:sz w:val="22"/>
          <w:szCs w:val="22"/>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6">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7">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98">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9">
      <w:pPr>
        <w:ind w:left="567" w:right="843"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9A">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B">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C">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D">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9E">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spacing w:line="360" w:lineRule="auto"/>
        <w:ind w:right="134"/>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rsidR="00000000" w:rsidDel="00000000" w:rsidP="00000000" w:rsidRDefault="00000000" w:rsidRPr="00000000" w14:paraId="000000A1">
      <w:pPr>
        <w:spacing w:line="360" w:lineRule="auto"/>
        <w:ind w:right="134"/>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ind w:right="1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atención a los agravios hechos valer por la parte Recurrente, se tiene que, el Sujeto Obligado en respuesta, proporcionó una liga electrónica, de cuyo acceso se obtiene lo siguiente: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6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567" w:right="6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inline distB="0" distT="0" distL="0" distR="0">
            <wp:extent cx="5198897" cy="2657096"/>
            <wp:effectExtent b="0" l="0" r="0" t="0"/>
            <wp:docPr id="6744007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198897" cy="2657096"/>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615"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ind w:right="615"/>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ese sentido, si bien, la liga electrónica redirige al apartado de Remuneraciones del Ayuntamiento de Tenancingo que obra en la Plataforma de Información Pública de Oficio Mexiquense, también lo es que, </w:t>
      </w:r>
      <w:r w:rsidDel="00000000" w:rsidR="00000000" w:rsidRPr="00000000">
        <w:rPr>
          <w:rFonts w:ascii="Palatino Linotype" w:cs="Palatino Linotype" w:eastAsia="Palatino Linotype" w:hAnsi="Palatino Linotype"/>
          <w:b w:val="1"/>
          <w:sz w:val="22"/>
          <w:szCs w:val="22"/>
          <w:u w:val="single"/>
          <w:rtl w:val="0"/>
        </w:rPr>
        <w:t xml:space="preserve">no es lo que fue solicitado por el ahora Recurrente</w:t>
      </w:r>
      <w:r w:rsidDel="00000000" w:rsidR="00000000" w:rsidRPr="00000000">
        <w:rPr>
          <w:rFonts w:ascii="Palatino Linotype" w:cs="Palatino Linotype" w:eastAsia="Palatino Linotype" w:hAnsi="Palatino Linotype"/>
          <w:sz w:val="22"/>
          <w:szCs w:val="22"/>
          <w:rtl w:val="0"/>
        </w:rPr>
        <w:t xml:space="preserve">, ya que del análisis a su solicitud de información, se colige que su pretensión es obtener los </w:t>
      </w:r>
      <w:r w:rsidDel="00000000" w:rsidR="00000000" w:rsidRPr="00000000">
        <w:rPr>
          <w:rFonts w:ascii="Palatino Linotype" w:cs="Palatino Linotype" w:eastAsia="Palatino Linotype" w:hAnsi="Palatino Linotype"/>
          <w:b w:val="1"/>
          <w:sz w:val="22"/>
          <w:szCs w:val="22"/>
          <w:rtl w:val="0"/>
        </w:rPr>
        <w:t xml:space="preserve">recibos de nómina de las dos quincenas de enero de las personas referidas en la solicitud de información.</w:t>
      </w:r>
    </w:p>
    <w:p w:rsidR="00000000" w:rsidDel="00000000" w:rsidP="00000000" w:rsidRDefault="00000000" w:rsidRPr="00000000" w14:paraId="000000A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debido a que, puntualmente en la solicitud de información se requirió </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copia del pago del mes de enero vía nómina </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lo que, es de destacar que, los particulares no son expertos en la materia y en el presente asunto, existe la posibilidad de que el particular desconozca el término correcto para obtener el </w:t>
      </w:r>
      <w:r w:rsidDel="00000000" w:rsidR="00000000" w:rsidRPr="00000000">
        <w:rPr>
          <w:rFonts w:ascii="Palatino Linotype" w:cs="Palatino Linotype" w:eastAsia="Palatino Linotype" w:hAnsi="Palatino Linotype"/>
          <w:b w:val="1"/>
          <w:sz w:val="22"/>
          <w:szCs w:val="22"/>
          <w:rtl w:val="0"/>
        </w:rPr>
        <w:t xml:space="preserve">recibo de nómina. </w:t>
      </w: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desapercibido señalar que, se procedió a verificar si las personas mencionadas eran servidores públicos del Ayuntamiento de Tenancingo y, se encontró que en su mayoría, a excepción de dos personas, son servidores públicos del Sujeto Obligado, como se observa a continuación: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619125"/>
            <wp:effectExtent b="0" l="0" r="0" t="0"/>
            <wp:docPr id="674400716" name="image4.png"/>
            <a:graphic>
              <a:graphicData uri="http://schemas.openxmlformats.org/drawingml/2006/picture">
                <pic:pic>
                  <pic:nvPicPr>
                    <pic:cNvPr id="0" name="image4.png"/>
                    <pic:cNvPicPr preferRelativeResize="0"/>
                  </pic:nvPicPr>
                  <pic:blipFill>
                    <a:blip r:embed="rId12"/>
                    <a:srcRect b="0" l="0" r="0" t="22619"/>
                    <a:stretch>
                      <a:fillRect/>
                    </a:stretch>
                  </pic:blipFill>
                  <pic:spPr>
                    <a:xfrm>
                      <a:off x="0" y="0"/>
                      <a:ext cx="561213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572125" cy="276225"/>
            <wp:effectExtent b="0" l="0" r="0" t="0"/>
            <wp:docPr id="674400719" name="image6.png"/>
            <a:graphic>
              <a:graphicData uri="http://schemas.openxmlformats.org/drawingml/2006/picture">
                <pic:pic>
                  <pic:nvPicPr>
                    <pic:cNvPr id="0" name="image6.png"/>
                    <pic:cNvPicPr preferRelativeResize="0"/>
                  </pic:nvPicPr>
                  <pic:blipFill>
                    <a:blip r:embed="rId13"/>
                    <a:srcRect b="0" l="27325" r="0" t="0"/>
                    <a:stretch>
                      <a:fillRect/>
                    </a:stretch>
                  </pic:blipFill>
                  <pic:spPr>
                    <a:xfrm>
                      <a:off x="0" y="0"/>
                      <a:ext cx="55721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300990"/>
            <wp:effectExtent b="0" l="0" r="0" t="0"/>
            <wp:docPr id="67440071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612130" cy="30099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337820"/>
            <wp:effectExtent b="0" l="0" r="0" t="0"/>
            <wp:docPr id="67440072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12130" cy="33782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231140"/>
            <wp:effectExtent b="0" l="0" r="0" t="0"/>
            <wp:docPr id="6744007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12130" cy="23114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300355"/>
            <wp:effectExtent b="0" l="0" r="0" t="0"/>
            <wp:docPr id="67440072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12130" cy="30035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concluye que, el Sujeto Obligado </w:t>
      </w:r>
      <w:r w:rsidDel="00000000" w:rsidR="00000000" w:rsidRPr="00000000">
        <w:rPr>
          <w:rFonts w:ascii="Palatino Linotype" w:cs="Palatino Linotype" w:eastAsia="Palatino Linotype" w:hAnsi="Palatino Linotype"/>
          <w:b w:val="1"/>
          <w:sz w:val="22"/>
          <w:szCs w:val="22"/>
          <w:rtl w:val="0"/>
        </w:rPr>
        <w:t xml:space="preserve">no proporcionó la información requerida</w:t>
      </w:r>
      <w:r w:rsidDel="00000000" w:rsidR="00000000" w:rsidRPr="00000000">
        <w:rPr>
          <w:rFonts w:ascii="Palatino Linotype" w:cs="Palatino Linotype" w:eastAsia="Palatino Linotype" w:hAnsi="Palatino Linotype"/>
          <w:sz w:val="22"/>
          <w:szCs w:val="22"/>
          <w:rtl w:val="0"/>
        </w:rPr>
        <w:t xml:space="preserve">, por lo que, deberá hacer entrega, en versión pública de los recibos de nómina de la primera y segunda quincena de enero de las personas referidas en la solicitud de información.</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2"/>
          <w:szCs w:val="22"/>
          <w:rtl w:val="0"/>
        </w:rPr>
        <w:t xml:space="preserve">Siendo que, en el supuesto que la información ordenada no obre en los archivos del Sujeto Obligado, debido a que, alguna de las personas referidas en la solicitud de información no se encuentren dentro de su plantilla de personal, bastará con que así se haga del conocimiento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términos del artículo 19, párrafo segundo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dada la naturaleza de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los </w:t>
      </w:r>
      <w:r w:rsidDel="00000000" w:rsidR="00000000" w:rsidRPr="00000000">
        <w:rPr>
          <w:rFonts w:ascii="Palatino Linotype" w:cs="Palatino Linotype" w:eastAsia="Palatino Linotype" w:hAnsi="Palatino Linotype"/>
          <w:b w:val="1"/>
          <w:sz w:val="22"/>
          <w:szCs w:val="22"/>
          <w:rtl w:val="0"/>
        </w:rPr>
        <w:t xml:space="preserve">números de cuentas bancarias</w:t>
      </w:r>
      <w:r w:rsidDel="00000000" w:rsidR="00000000" w:rsidRPr="00000000">
        <w:rPr>
          <w:rFonts w:ascii="Palatino Linotype" w:cs="Palatino Linotype" w:eastAsia="Palatino Linotype" w:hAnsi="Palatino Linotype"/>
          <w:sz w:val="22"/>
          <w:szCs w:val="22"/>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2"/>
          <w:szCs w:val="22"/>
          <w:rtl w:val="0"/>
        </w:rPr>
        <w:t xml:space="preserve"> número de empleado</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RFC</w:t>
      </w:r>
      <w:r w:rsidDel="00000000" w:rsidR="00000000" w:rsidRPr="00000000">
        <w:rPr>
          <w:rFonts w:ascii="Palatino Linotype" w:cs="Palatino Linotype" w:eastAsia="Palatino Linotype" w:hAnsi="Palatino Linotype"/>
          <w:sz w:val="22"/>
          <w:szCs w:val="22"/>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entonces Instituto Nacional de Transparencia, Acceso a la Información y Protección de Datos Personales, INAI, a través del Criterio 19/17, el cual es del tenor literal siguiente:</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ind w:left="851" w:right="900" w:firstLine="0"/>
        <w:jc w:val="both"/>
        <w:rPr>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entonces Instituto Nacional de Transparencia, Acceso a la Información y Protección de Datos Personales, INAI, conforme al criterio 18/17, el cual refiere:</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left="851" w:right="851" w:firstLine="0"/>
        <w:jc w:val="both"/>
        <w:rPr>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10/17 y 11/17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851" w:right="900"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360" w:lineRule="auto"/>
        <w:ind w:left="851" w:right="900" w:firstLine="0"/>
        <w:jc w:val="both"/>
        <w:rPr>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sz w:val="22"/>
          <w:szCs w:val="22"/>
          <w:rtl w:val="0"/>
        </w:rPr>
        <w:t xml:space="preserve">préstamos o descuentos de carácter personal</w:t>
      </w:r>
      <w:r w:rsidDel="00000000" w:rsidR="00000000" w:rsidRPr="00000000">
        <w:rPr>
          <w:rFonts w:ascii="Palatino Linotype" w:cs="Palatino Linotype" w:eastAsia="Palatino Linotype" w:hAnsi="Palatino Linotype"/>
          <w:sz w:val="22"/>
          <w:szCs w:val="22"/>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567"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567" w:right="902"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567" w:right="900" w:firstLine="0"/>
        <w:jc w:val="both"/>
        <w:rPr>
          <w:sz w:val="22"/>
          <w:szCs w:val="22"/>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relación al </w:t>
      </w:r>
      <w:r w:rsidDel="00000000" w:rsidR="00000000" w:rsidRPr="00000000">
        <w:rPr>
          <w:rFonts w:ascii="Palatino Linotype" w:cs="Palatino Linotype" w:eastAsia="Palatino Linotype" w:hAnsi="Palatino Linotype"/>
          <w:b w:val="1"/>
          <w:sz w:val="22"/>
          <w:szCs w:val="22"/>
          <w:rtl w:val="0"/>
        </w:rPr>
        <w:t xml:space="preserve">número de empleado</w:t>
      </w:r>
      <w:r w:rsidDel="00000000" w:rsidR="00000000" w:rsidRPr="00000000">
        <w:rPr>
          <w:rFonts w:ascii="Palatino Linotype" w:cs="Palatino Linotype" w:eastAsia="Palatino Linotype" w:hAnsi="Palatino Linotype"/>
          <w:sz w:val="22"/>
          <w:szCs w:val="22"/>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06/19, que indica lo siguiente: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993"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993" w:right="992" w:firstLine="0"/>
        <w:jc w:val="both"/>
        <w:rPr>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F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0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0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0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0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0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06">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07">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08">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0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0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0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10">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1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2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2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2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2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2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2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2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2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3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3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3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3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3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3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02749/INFOEM/IP/RR/2025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00257/TENANCIN/IP/2025.</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9">
      <w:pPr>
        <w:spacing w:line="360" w:lineRule="auto"/>
        <w:ind w:right="9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3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w:t>
        <w:tab/>
        <w:t xml:space="preserve">R E S U E L V E:</w:t>
      </w:r>
    </w:p>
    <w:p w:rsidR="00000000" w:rsidDel="00000000" w:rsidP="00000000" w:rsidRDefault="00000000" w:rsidRPr="00000000" w14:paraId="0000013D">
      <w:pPr>
        <w:spacing w:line="360" w:lineRule="auto"/>
        <w:ind w:right="49"/>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entregada por </w:t>
      </w:r>
      <w:r w:rsidDel="00000000" w:rsidR="00000000" w:rsidRPr="00000000">
        <w:rPr>
          <w:rFonts w:ascii="Palatino Linotype" w:cs="Palatino Linotype" w:eastAsia="Palatino Linotype" w:hAnsi="Palatino Linotype"/>
          <w:b w:val="1"/>
          <w:sz w:val="22"/>
          <w:szCs w:val="22"/>
          <w:rtl w:val="0"/>
        </w:rPr>
        <w:t xml:space="preserve">EL 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00257/TENANCIN/IP/2025</w:t>
      </w:r>
      <w:r w:rsidDel="00000000" w:rsidR="00000000" w:rsidRPr="00000000">
        <w:rPr>
          <w:rFonts w:ascii="Palatino Linotype" w:cs="Palatino Linotype" w:eastAsia="Palatino Linotype" w:hAnsi="Palatino Linotype"/>
          <w:sz w:val="22"/>
          <w:szCs w:val="22"/>
          <w:rtl w:val="0"/>
        </w:rPr>
        <w:t xml:space="preserve">, por resultar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02749/INFOEM/IP/RR/2025,</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términos del Considerando Cuarto y Quinto, haga entrega, vía Sistema de Acceso a la Información Mexiquense, en versión pública, de lo siguiente: </w:t>
      </w:r>
    </w:p>
    <w:p w:rsidR="00000000" w:rsidDel="00000000" w:rsidP="00000000" w:rsidRDefault="00000000" w:rsidRPr="00000000" w14:paraId="0000014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567" w:right="56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recibos de nómina de la primera y segunda quincena de enero de dos mil veinticinco de las personas referidas en la solicitud de información.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Siendo que, en el supuesto que la información ordenada no obre en los archivos del Sujeto Obligado, debido a que, alguna de las personas referidas en la solicitud de información no se encuentren dentro de su plantilla de personal, bastará con que así se haga del conocimiento de LA PARTE RECURRENTE, en términos del artículo 19, párrafo segundo de la Ley de Transparencia y Acceso a la Información Pública del Estado de México y Municipios.</w:t>
      </w:r>
    </w:p>
    <w:p w:rsidR="00000000" w:rsidDel="00000000" w:rsidP="00000000" w:rsidRDefault="00000000" w:rsidRPr="00000000" w14:paraId="0000014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la presente resolución 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4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tl w:val="0"/>
        </w:rPr>
      </w:r>
    </w:p>
    <w:p w:rsidR="00000000" w:rsidDel="00000000" w:rsidP="00000000" w:rsidRDefault="00000000" w:rsidRPr="00000000" w14:paraId="0000014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al T</w:t>
      </w:r>
      <w:r w:rsidDel="00000000" w:rsidR="00000000" w:rsidRPr="00000000">
        <w:rPr>
          <w:rFonts w:ascii="Palatino Linotype" w:cs="Palatino Linotype" w:eastAsia="Palatino Linotype" w:hAnsi="Palatino Linotype"/>
          <w:b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4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line="360" w:lineRule="auto"/>
        <w:jc w:val="both"/>
        <w:rPr>
          <w:rFonts w:ascii="Palatino Linotype" w:cs="Palatino Linotype" w:eastAsia="Palatino Linotype" w:hAnsi="Palatino Linotype"/>
          <w:sz w:val="22"/>
          <w:szCs w:val="22"/>
        </w:rPr>
        <w:sectPr>
          <w:headerReference r:id="rId18" w:type="default"/>
          <w:headerReference r:id="rId19" w:type="first"/>
          <w:footerReference r:id="rId20" w:type="default"/>
          <w:footerReference r:id="rId21"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(CON AUSENCIA JUSTIFICADA) Y GUADALUPE RAMÍREZ PEÑA; EN LA DÉCIMA NOVENA SESIÓN ORDINARIA CELEBRADA EL VEINTIOCHO DE MAYO DE DOS MIL VEINTICINCO ANTE EL SECRETARIO TÉCNICO DEL PLENO ALEXIS TAPIA RAMÍREZ.                              </w:t>
      </w:r>
    </w:p>
    <w:p w:rsidR="00000000" w:rsidDel="00000000" w:rsidP="00000000" w:rsidRDefault="00000000" w:rsidRPr="00000000" w14:paraId="00000150">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2"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-450213</wp:posOffset>
          </wp:positionV>
          <wp:extent cx="7809876" cy="10165823"/>
          <wp:effectExtent b="0" l="0" r="0" t="0"/>
          <wp:wrapNone/>
          <wp:docPr id="6744007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5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5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02749/INFOEM/IP/RR/2025</w:t>
          </w:r>
        </w:p>
      </w:tc>
    </w:tr>
    <w:tr>
      <w:trPr>
        <w:cantSplit w:val="0"/>
        <w:trHeight w:val="228" w:hRule="atLeast"/>
        <w:tblHeader w:val="0"/>
      </w:trPr>
      <w:tc>
        <w:tcPr>
          <w:vAlign w:val="center"/>
        </w:tcPr>
        <w:p w:rsidR="00000000" w:rsidDel="00000000" w:rsidP="00000000" w:rsidRDefault="00000000" w:rsidRPr="00000000" w14:paraId="0000015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55">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5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vAlign w:val="center"/>
        </w:tcPr>
        <w:p w:rsidR="00000000" w:rsidDel="00000000" w:rsidP="00000000" w:rsidRDefault="00000000" w:rsidRPr="00000000" w14:paraId="0000015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58">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-798191</wp:posOffset>
          </wp:positionH>
          <wp:positionV relativeFrom="paragraph">
            <wp:posOffset>-399411</wp:posOffset>
          </wp:positionV>
          <wp:extent cx="7809876" cy="10165823"/>
          <wp:effectExtent b="0" l="0" r="0" t="0"/>
          <wp:wrapNone/>
          <wp:docPr id="6744007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5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5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02749/INFOEM/IP/RR/2025</w:t>
          </w:r>
        </w:p>
      </w:tc>
    </w:tr>
    <w:tr>
      <w:trPr>
        <w:cantSplit w:val="0"/>
        <w:tblHeader w:val="0"/>
      </w:trPr>
      <w:tc>
        <w:tcPr>
          <w:vAlign w:val="center"/>
        </w:tcPr>
        <w:p w:rsidR="00000000" w:rsidDel="00000000" w:rsidP="00000000" w:rsidRDefault="00000000" w:rsidRPr="00000000" w14:paraId="0000015D">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5E">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 XXXXX</w:t>
          </w:r>
        </w:p>
      </w:tc>
    </w:tr>
    <w:tr>
      <w:trPr>
        <w:cantSplit w:val="0"/>
        <w:trHeight w:val="228" w:hRule="atLeast"/>
        <w:tblHeader w:val="0"/>
      </w:trPr>
      <w:tc>
        <w:tcPr>
          <w:vAlign w:val="center"/>
        </w:tcPr>
        <w:p w:rsidR="00000000" w:rsidDel="00000000" w:rsidP="00000000" w:rsidRDefault="00000000" w:rsidRPr="00000000" w14:paraId="0000015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60">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61">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blHeader w:val="0"/>
      </w:trPr>
      <w:tc>
        <w:tcPr>
          <w:vAlign w:val="center"/>
        </w:tcPr>
        <w:p w:rsidR="00000000" w:rsidDel="00000000" w:rsidP="00000000" w:rsidRDefault="00000000" w:rsidRPr="00000000" w14:paraId="0000016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6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sz w:val="24"/>
        <w:szCs w:val="24"/>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B71CF"/>
    <w:rPr>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08.0" w:type="dxa"/>
        <w:right w:w="108.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22" Type="http://schemas.openxmlformats.org/officeDocument/2006/relationships/header" Target="header3.xml"/><Relationship Id="rId10" Type="http://schemas.openxmlformats.org/officeDocument/2006/relationships/hyperlink" Target="http://www.apartados.hacienda.gob.mx/contabilidad/documentos/informe_cuenta/1998/cuenta_publica/Glosario/n.htm" TargetMode="External"/><Relationship Id="rId21"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infoem2.ipomex.org.mx/ipomex/#/info-fraccion/11/179/28" TargetMode="External"/><Relationship Id="rId8" Type="http://schemas.openxmlformats.org/officeDocument/2006/relationships/hyperlink" Target="https://www.transparenciapresupuestaria.gob.mx/es/PTP/Glosar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lJvhYDwHMvf6Bh+exGHRUJtWg==">CgMxLjAyCWguM3pueXNoNzIIaC5namRneHMyCWguMzBqMHpsbDgAciExbTVWZTZfclJOT2pJYmNjUmNtOWZ4ci1VM3Vyd3FGUlE=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2025-06-11T16:53:00Z</dcterms:created>
  <dc:creator>USER</dc:creator>
</cp:coreProperties>
</file>