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01551" w14:textId="419DC1D0" w:rsidR="00AD363B" w:rsidRPr="00077A55" w:rsidRDefault="00AD363B" w:rsidP="00077A55">
      <w:pPr>
        <w:tabs>
          <w:tab w:val="left" w:pos="3465"/>
        </w:tabs>
        <w:spacing w:line="360" w:lineRule="auto"/>
        <w:jc w:val="both"/>
        <w:rPr>
          <w:rFonts w:ascii="Palatino Linotype" w:eastAsia="Palatino Linotype" w:hAnsi="Palatino Linotype" w:cs="Palatino Linotype"/>
          <w:color w:val="000000" w:themeColor="text1"/>
        </w:rPr>
      </w:pPr>
      <w:bookmarkStart w:id="0" w:name="_GoBack"/>
      <w:bookmarkEnd w:id="0"/>
      <w:r w:rsidRPr="00077A55">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5B7BE2">
        <w:rPr>
          <w:rFonts w:ascii="Palatino Linotype" w:eastAsia="Palatino Linotype" w:hAnsi="Palatino Linotype" w:cs="Palatino Linotype"/>
          <w:b/>
          <w:color w:val="000000" w:themeColor="text1"/>
        </w:rPr>
        <w:t xml:space="preserve">de fecha doce (12) </w:t>
      </w:r>
      <w:r w:rsidR="005B7BE2" w:rsidRPr="00157555">
        <w:rPr>
          <w:rFonts w:ascii="Palatino Linotype" w:eastAsia="Palatino Linotype" w:hAnsi="Palatino Linotype" w:cs="Palatino Linotype"/>
          <w:b/>
          <w:color w:val="000000" w:themeColor="text1"/>
        </w:rPr>
        <w:t xml:space="preserve">de </w:t>
      </w:r>
      <w:r w:rsidR="005B7BE2">
        <w:rPr>
          <w:rFonts w:ascii="Palatino Linotype" w:eastAsia="Palatino Linotype" w:hAnsi="Palatino Linotype" w:cs="Palatino Linotype"/>
          <w:b/>
          <w:color w:val="000000" w:themeColor="text1"/>
        </w:rPr>
        <w:t xml:space="preserve">noviembre </w:t>
      </w:r>
      <w:r w:rsidR="005B7BE2" w:rsidRPr="00157555">
        <w:rPr>
          <w:rFonts w:ascii="Palatino Linotype" w:eastAsia="Palatino Linotype" w:hAnsi="Palatino Linotype" w:cs="Palatino Linotype"/>
          <w:b/>
          <w:color w:val="000000" w:themeColor="text1"/>
        </w:rPr>
        <w:t>de dos mil veinticinco</w:t>
      </w:r>
      <w:r w:rsidRPr="00077A55">
        <w:rPr>
          <w:rFonts w:ascii="Palatino Linotype" w:eastAsia="Palatino Linotype" w:hAnsi="Palatino Linotype" w:cs="Palatino Linotype"/>
          <w:color w:val="000000" w:themeColor="text1"/>
        </w:rPr>
        <w:t>.</w:t>
      </w:r>
    </w:p>
    <w:p w14:paraId="380E8AEF" w14:textId="77777777" w:rsidR="00AD363B" w:rsidRPr="00077A55" w:rsidRDefault="00AD363B" w:rsidP="00077A55">
      <w:pPr>
        <w:tabs>
          <w:tab w:val="left" w:pos="3465"/>
        </w:tabs>
        <w:spacing w:line="360" w:lineRule="auto"/>
        <w:jc w:val="both"/>
        <w:rPr>
          <w:rFonts w:ascii="Palatino Linotype" w:eastAsia="Palatino Linotype" w:hAnsi="Palatino Linotype" w:cs="Palatino Linotype"/>
          <w:color w:val="000000" w:themeColor="text1"/>
        </w:rPr>
      </w:pPr>
    </w:p>
    <w:p w14:paraId="20F4C9BE" w14:textId="6EE8547E" w:rsidR="00AD363B" w:rsidRDefault="00AD363B" w:rsidP="00077A55">
      <w:pPr>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b/>
          <w:color w:val="000000" w:themeColor="text1"/>
        </w:rPr>
        <w:t>VISTO</w:t>
      </w:r>
      <w:r w:rsidRPr="00077A55">
        <w:rPr>
          <w:rFonts w:ascii="Palatino Linotype" w:eastAsia="Palatino Linotype" w:hAnsi="Palatino Linotype" w:cs="Palatino Linotype"/>
          <w:color w:val="000000" w:themeColor="text1"/>
        </w:rPr>
        <w:t xml:space="preserve"> el expediente electrónico formado con motivo del recurso de revisión </w:t>
      </w:r>
      <w:r w:rsidRPr="00077A55">
        <w:rPr>
          <w:rFonts w:ascii="Palatino Linotype" w:eastAsia="Palatino Linotype" w:hAnsi="Palatino Linotype" w:cs="Palatino Linotype"/>
          <w:b/>
          <w:color w:val="000000" w:themeColor="text1"/>
        </w:rPr>
        <w:t xml:space="preserve">09463/INFOEM/IP/RR/2025, </w:t>
      </w:r>
      <w:r w:rsidRPr="00077A55">
        <w:rPr>
          <w:rFonts w:ascii="Palatino Linotype" w:eastAsia="Palatino Linotype" w:hAnsi="Palatino Linotype" w:cs="Palatino Linotype"/>
          <w:color w:val="000000" w:themeColor="text1"/>
        </w:rPr>
        <w:t>promovido por</w:t>
      </w:r>
      <w:r w:rsidRPr="00077A55">
        <w:rPr>
          <w:rFonts w:ascii="Palatino Linotype" w:eastAsia="Palatino Linotype" w:hAnsi="Palatino Linotype" w:cs="Palatino Linotype"/>
          <w:b/>
          <w:color w:val="000000" w:themeColor="text1"/>
        </w:rPr>
        <w:t xml:space="preserve"> un</w:t>
      </w:r>
      <w:r w:rsidR="00077A55">
        <w:rPr>
          <w:rFonts w:ascii="Palatino Linotype" w:eastAsia="Palatino Linotype" w:hAnsi="Palatino Linotype" w:cs="Palatino Linotype"/>
          <w:b/>
          <w:color w:val="000000" w:themeColor="text1"/>
        </w:rPr>
        <w:t>a</w:t>
      </w:r>
      <w:r w:rsidRPr="00077A55">
        <w:rPr>
          <w:rFonts w:ascii="Palatino Linotype" w:eastAsia="Palatino Linotype" w:hAnsi="Palatino Linotype" w:cs="Palatino Linotype"/>
          <w:b/>
          <w:color w:val="000000" w:themeColor="text1"/>
        </w:rPr>
        <w:t xml:space="preserve"> persona que no proporciona datos de identificación</w:t>
      </w:r>
      <w:r w:rsidRPr="00077A55">
        <w:rPr>
          <w:rFonts w:ascii="Palatino Linotype" w:eastAsia="Palatino Linotype" w:hAnsi="Palatino Linotype" w:cs="Palatino Linotype"/>
          <w:color w:val="000000" w:themeColor="text1"/>
        </w:rPr>
        <w:t xml:space="preserve">, a quien en lo sucesivo se le identificará como </w:t>
      </w:r>
      <w:r w:rsidRPr="00077A55">
        <w:rPr>
          <w:rFonts w:ascii="Palatino Linotype" w:eastAsia="Palatino Linotype" w:hAnsi="Palatino Linotype" w:cs="Palatino Linotype"/>
          <w:b/>
          <w:color w:val="000000" w:themeColor="text1"/>
        </w:rPr>
        <w:t>EL RECURRENTE</w:t>
      </w:r>
      <w:r w:rsidRPr="00077A55">
        <w:rPr>
          <w:rFonts w:ascii="Palatino Linotype" w:eastAsia="Palatino Linotype" w:hAnsi="Palatino Linotype" w:cs="Palatino Linotype"/>
          <w:color w:val="000000" w:themeColor="text1"/>
        </w:rPr>
        <w:t xml:space="preserve">, en contra de la falta de  respuesta del </w:t>
      </w:r>
      <w:r w:rsidRPr="00077A55">
        <w:rPr>
          <w:rFonts w:ascii="Palatino Linotype" w:eastAsia="Palatino Linotype" w:hAnsi="Palatino Linotype" w:cs="Palatino Linotype"/>
          <w:b/>
          <w:color w:val="000000" w:themeColor="text1"/>
        </w:rPr>
        <w:t xml:space="preserve">Ayuntamiento de Tepotzotlán, </w:t>
      </w:r>
      <w:r w:rsidRPr="00077A55">
        <w:rPr>
          <w:rFonts w:ascii="Palatino Linotype" w:eastAsia="Palatino Linotype" w:hAnsi="Palatino Linotype" w:cs="Palatino Linotype"/>
          <w:color w:val="000000" w:themeColor="text1"/>
        </w:rPr>
        <w:t>en adelante el</w:t>
      </w:r>
      <w:r w:rsidR="00884273">
        <w:rPr>
          <w:rFonts w:ascii="Palatino Linotype" w:eastAsia="Palatino Linotype" w:hAnsi="Palatino Linotype" w:cs="Palatino Linotype"/>
          <w:b/>
          <w:color w:val="000000" w:themeColor="text1"/>
        </w:rPr>
        <w:t xml:space="preserve"> SUJ</w:t>
      </w:r>
      <w:r w:rsidRPr="00077A55">
        <w:rPr>
          <w:rFonts w:ascii="Palatino Linotype" w:eastAsia="Palatino Linotype" w:hAnsi="Palatino Linotype" w:cs="Palatino Linotype"/>
          <w:b/>
          <w:color w:val="000000" w:themeColor="text1"/>
        </w:rPr>
        <w:t>ETO OBLIGADO</w:t>
      </w:r>
      <w:r w:rsidRPr="00077A55">
        <w:rPr>
          <w:rFonts w:ascii="Palatino Linotype" w:eastAsia="Palatino Linotype" w:hAnsi="Palatino Linotype" w:cs="Palatino Linotype"/>
          <w:color w:val="000000" w:themeColor="text1"/>
        </w:rPr>
        <w:t>, se procede a dictar la presente resolución, con base en los siguientes:</w:t>
      </w:r>
    </w:p>
    <w:p w14:paraId="1A809D3A" w14:textId="77777777" w:rsidR="00884273" w:rsidRPr="00077A55" w:rsidRDefault="00884273" w:rsidP="00077A55">
      <w:pPr>
        <w:spacing w:line="360" w:lineRule="auto"/>
        <w:jc w:val="both"/>
        <w:rPr>
          <w:rFonts w:ascii="Palatino Linotype" w:eastAsia="Palatino Linotype" w:hAnsi="Palatino Linotype" w:cs="Palatino Linotype"/>
          <w:color w:val="000000" w:themeColor="text1"/>
        </w:rPr>
      </w:pPr>
    </w:p>
    <w:p w14:paraId="69EC4C79" w14:textId="77777777" w:rsidR="00AD363B" w:rsidRPr="00077A55" w:rsidRDefault="00AD363B" w:rsidP="00077A55">
      <w:pPr>
        <w:pStyle w:val="Ttulo1"/>
        <w:spacing w:before="0" w:line="360" w:lineRule="auto"/>
        <w:jc w:val="center"/>
        <w:rPr>
          <w:rFonts w:ascii="Palatino Linotype" w:eastAsia="Palatino Linotype" w:hAnsi="Palatino Linotype" w:cs="Palatino Linotype"/>
          <w:b/>
          <w:color w:val="000000" w:themeColor="text1"/>
          <w:sz w:val="24"/>
          <w:szCs w:val="24"/>
        </w:rPr>
      </w:pPr>
      <w:r w:rsidRPr="00077A55">
        <w:rPr>
          <w:rFonts w:ascii="Palatino Linotype" w:eastAsia="Palatino Linotype" w:hAnsi="Palatino Linotype" w:cs="Palatino Linotype"/>
          <w:b/>
          <w:color w:val="000000" w:themeColor="text1"/>
          <w:sz w:val="24"/>
          <w:szCs w:val="24"/>
        </w:rPr>
        <w:t>A N T E C E D E N T E S</w:t>
      </w:r>
    </w:p>
    <w:p w14:paraId="293E9E9E" w14:textId="77777777" w:rsidR="00AD363B" w:rsidRPr="00077A55" w:rsidRDefault="00AD363B" w:rsidP="00077A55">
      <w:pPr>
        <w:rPr>
          <w:rFonts w:ascii="Palatino Linotype" w:hAnsi="Palatino Linotype"/>
          <w:color w:val="000000" w:themeColor="text1"/>
        </w:rPr>
      </w:pPr>
    </w:p>
    <w:p w14:paraId="6257D303" w14:textId="77777777" w:rsidR="00AD363B" w:rsidRPr="00077A55" w:rsidRDefault="00AD363B"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7A55">
        <w:rPr>
          <w:rFonts w:ascii="Palatino Linotype" w:eastAsia="Palatino Linotype" w:hAnsi="Palatino Linotype" w:cs="Palatino Linotype"/>
          <w:color w:val="000000" w:themeColor="text1"/>
        </w:rPr>
        <w:t>El día</w:t>
      </w:r>
      <w:r w:rsidRPr="00077A55">
        <w:rPr>
          <w:rFonts w:ascii="Palatino Linotype" w:eastAsia="Palatino Linotype" w:hAnsi="Palatino Linotype" w:cs="Palatino Linotype"/>
          <w:b/>
          <w:color w:val="000000" w:themeColor="text1"/>
        </w:rPr>
        <w:t xml:space="preserve"> diecinueve de junio de dos mil veinticinco, </w:t>
      </w:r>
      <w:r w:rsidRPr="00077A55">
        <w:rPr>
          <w:rFonts w:ascii="Palatino Linotype" w:eastAsia="Palatino Linotype" w:hAnsi="Palatino Linotype" w:cs="Palatino Linotype"/>
          <w:color w:val="000000" w:themeColor="text1"/>
        </w:rPr>
        <w:t xml:space="preserve">el solicitante presento una solicitud de información ante el </w:t>
      </w:r>
      <w:r w:rsidRPr="00077A55">
        <w:rPr>
          <w:rFonts w:ascii="Palatino Linotype" w:eastAsia="Palatino Linotype" w:hAnsi="Palatino Linotype" w:cs="Palatino Linotype"/>
          <w:b/>
          <w:color w:val="000000" w:themeColor="text1"/>
        </w:rPr>
        <w:t>SUJETO OBLIGADO vía SAIMEX,</w:t>
      </w:r>
      <w:r w:rsidRPr="00077A55">
        <w:rPr>
          <w:rFonts w:ascii="Palatino Linotype" w:eastAsia="Palatino Linotype" w:hAnsi="Palatino Linotype" w:cs="Palatino Linotype"/>
          <w:color w:val="000000" w:themeColor="text1"/>
        </w:rPr>
        <w:t xml:space="preserve"> la solicitud de información pública fue  registrada con el número</w:t>
      </w:r>
      <w:r w:rsidRPr="00077A55">
        <w:rPr>
          <w:rFonts w:ascii="Palatino Linotype" w:eastAsia="Palatino Linotype" w:hAnsi="Palatino Linotype" w:cs="Palatino Linotype"/>
          <w:b/>
          <w:color w:val="000000" w:themeColor="text1"/>
        </w:rPr>
        <w:t xml:space="preserve"> 00323/TEPOTZOT/IP/2025; </w:t>
      </w:r>
      <w:r w:rsidRPr="00077A55">
        <w:rPr>
          <w:rFonts w:ascii="Palatino Linotype" w:eastAsia="Palatino Linotype" w:hAnsi="Palatino Linotype" w:cs="Palatino Linotype"/>
          <w:color w:val="000000" w:themeColor="text1"/>
        </w:rPr>
        <w:t>en la que se solicitó la siguiente información:</w:t>
      </w:r>
    </w:p>
    <w:p w14:paraId="5E46FC18" w14:textId="77777777" w:rsidR="00AD363B" w:rsidRPr="00077A55" w:rsidRDefault="00AD363B" w:rsidP="00077A5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4421509" w14:textId="77777777" w:rsidR="00AD363B" w:rsidRPr="00077A55" w:rsidRDefault="00AD363B" w:rsidP="00077A55">
      <w:pPr>
        <w:pBdr>
          <w:top w:val="nil"/>
          <w:left w:val="nil"/>
          <w:bottom w:val="nil"/>
          <w:right w:val="nil"/>
          <w:between w:val="nil"/>
        </w:pBdr>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i/>
          <w:color w:val="000000" w:themeColor="text1"/>
        </w:rPr>
        <w:t>“Todas las licencias 2025 con sus recibos de pago en donde autorizan la venta de alcohol. (versión pública).”</w:t>
      </w:r>
    </w:p>
    <w:p w14:paraId="562DDED3" w14:textId="77777777" w:rsidR="00AD363B" w:rsidRPr="00077A55" w:rsidRDefault="00AD363B" w:rsidP="00077A5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8CA155A" w14:textId="77777777" w:rsidR="00AD363B" w:rsidRPr="00077A55" w:rsidRDefault="00AD363B" w:rsidP="00077A5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Se eligió como modalidad de entrega de la información: A través del </w:t>
      </w:r>
      <w:r w:rsidRPr="00077A55">
        <w:rPr>
          <w:rFonts w:ascii="Palatino Linotype" w:eastAsia="Palatino Linotype" w:hAnsi="Palatino Linotype" w:cs="Palatino Linotype"/>
          <w:b/>
          <w:color w:val="000000" w:themeColor="text1"/>
        </w:rPr>
        <w:t>SAIMEX.</w:t>
      </w:r>
    </w:p>
    <w:p w14:paraId="3BA1E939" w14:textId="77777777" w:rsidR="00AD363B" w:rsidRPr="00077A55" w:rsidRDefault="00AD363B" w:rsidP="00077A5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4D7D0D24" w14:textId="77777777" w:rsidR="00AD363B" w:rsidRPr="00077A55" w:rsidRDefault="00AD363B"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El </w:t>
      </w:r>
      <w:r w:rsidRPr="00077A55">
        <w:rPr>
          <w:rFonts w:ascii="Palatino Linotype" w:eastAsia="Palatino Linotype" w:hAnsi="Palatino Linotype" w:cs="Palatino Linotype"/>
          <w:b/>
          <w:color w:val="000000" w:themeColor="text1"/>
        </w:rPr>
        <w:t xml:space="preserve">siete de julio de dos mil veinticinco, </w:t>
      </w:r>
      <w:r w:rsidRPr="00077A55">
        <w:rPr>
          <w:rFonts w:ascii="Palatino Linotype" w:eastAsia="Palatino Linotype" w:hAnsi="Palatino Linotype" w:cs="Palatino Linotype"/>
          <w:color w:val="000000" w:themeColor="text1"/>
        </w:rPr>
        <w:t xml:space="preserve">el </w:t>
      </w:r>
      <w:r w:rsidRPr="00077A55">
        <w:rPr>
          <w:rFonts w:ascii="Palatino Linotype" w:eastAsia="Palatino Linotype" w:hAnsi="Palatino Linotype" w:cs="Palatino Linotype"/>
          <w:b/>
          <w:color w:val="000000" w:themeColor="text1"/>
        </w:rPr>
        <w:t xml:space="preserve">SUJETO OBLIGADO </w:t>
      </w:r>
      <w:r w:rsidRPr="00077A55">
        <w:rPr>
          <w:rFonts w:ascii="Palatino Linotype" w:eastAsia="Palatino Linotype" w:hAnsi="Palatino Linotype" w:cs="Palatino Linotype"/>
          <w:color w:val="000000" w:themeColor="text1"/>
        </w:rPr>
        <w:t xml:space="preserve">giro el requerimiento de información para que fuera atendida la solicitud de información </w:t>
      </w:r>
      <w:r w:rsidRPr="00077A55">
        <w:rPr>
          <w:rFonts w:ascii="Palatino Linotype" w:eastAsia="Palatino Linotype" w:hAnsi="Palatino Linotype" w:cs="Palatino Linotype"/>
          <w:b/>
          <w:color w:val="000000" w:themeColor="text1"/>
        </w:rPr>
        <w:t xml:space="preserve">00323/TEPOTZOT/IP/2025. </w:t>
      </w:r>
    </w:p>
    <w:p w14:paraId="05B5428D" w14:textId="77777777" w:rsidR="00AD363B" w:rsidRPr="00077A55" w:rsidRDefault="00AD363B"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 xml:space="preserve">Como se observa del tablero del Sistema de Acceso a la Información el </w:t>
      </w:r>
      <w:r w:rsidRPr="00077A55">
        <w:rPr>
          <w:rFonts w:ascii="Palatino Linotype" w:eastAsia="Palatino Linotype" w:hAnsi="Palatino Linotype" w:cs="Palatino Linotype"/>
          <w:b/>
          <w:color w:val="000000" w:themeColor="text1"/>
        </w:rPr>
        <w:t>SUJETO OBLIGADO fue omiso en rendir respuesta a la solicitud de información 00323/TEPOTZOT/IP/2025</w:t>
      </w:r>
      <w:r w:rsidRPr="00077A55">
        <w:rPr>
          <w:rFonts w:ascii="Palatino Linotype" w:eastAsia="Palatino Linotype" w:hAnsi="Palatino Linotype" w:cs="Palatino Linotype"/>
          <w:color w:val="000000" w:themeColor="text1"/>
        </w:rPr>
        <w:t xml:space="preserve">. </w:t>
      </w:r>
    </w:p>
    <w:p w14:paraId="15C6D512" w14:textId="77777777" w:rsidR="00AD363B" w:rsidRPr="00077A55" w:rsidRDefault="00AD363B" w:rsidP="00077A55">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07E8CFB6" w14:textId="77777777" w:rsidR="00AD363B" w:rsidRPr="00077A55" w:rsidRDefault="00AD363B"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De lo anterior, ante la falta de respuesta del </w:t>
      </w:r>
      <w:r w:rsidRPr="00077A55">
        <w:rPr>
          <w:rFonts w:ascii="Palatino Linotype" w:eastAsia="Palatino Linotype" w:hAnsi="Palatino Linotype" w:cs="Palatino Linotype"/>
          <w:b/>
          <w:color w:val="000000" w:themeColor="text1"/>
        </w:rPr>
        <w:t xml:space="preserve">SUJETO OBLIGADO </w:t>
      </w:r>
      <w:r w:rsidRPr="00077A55">
        <w:rPr>
          <w:rFonts w:ascii="Palatino Linotype" w:eastAsia="Palatino Linotype" w:hAnsi="Palatino Linotype" w:cs="Palatino Linotype"/>
          <w:color w:val="000000" w:themeColor="text1"/>
        </w:rPr>
        <w:t xml:space="preserve">el entonces </w:t>
      </w:r>
      <w:r w:rsidRPr="00077A55">
        <w:rPr>
          <w:rFonts w:ascii="Palatino Linotype" w:eastAsia="Palatino Linotype" w:hAnsi="Palatino Linotype" w:cs="Palatino Linotype"/>
          <w:b/>
          <w:color w:val="000000" w:themeColor="text1"/>
        </w:rPr>
        <w:t xml:space="preserve">SOLICITANTE </w:t>
      </w:r>
      <w:r w:rsidRPr="00077A55">
        <w:rPr>
          <w:rFonts w:ascii="Palatino Linotype" w:eastAsia="Palatino Linotype" w:hAnsi="Palatino Linotype" w:cs="Palatino Linotype"/>
          <w:color w:val="000000" w:themeColor="text1"/>
        </w:rPr>
        <w:t>interpuso el recurso de revisión, y, señaló como:</w:t>
      </w:r>
    </w:p>
    <w:p w14:paraId="09752720" w14:textId="77777777" w:rsidR="00AD363B" w:rsidRPr="00077A55" w:rsidRDefault="00AD363B" w:rsidP="00077A5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6E6ABE54" w14:textId="37117BA3" w:rsidR="00AD363B" w:rsidRPr="00077A55" w:rsidRDefault="00884273" w:rsidP="00077A55">
      <w:pPr>
        <w:numPr>
          <w:ilvl w:val="0"/>
          <w:numId w:val="10"/>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b/>
          <w:color w:val="000000" w:themeColor="text1"/>
        </w:rPr>
        <w:t>ACTO IMPUGNADO</w:t>
      </w:r>
      <w:r w:rsidR="00AD363B" w:rsidRPr="00077A55">
        <w:rPr>
          <w:rFonts w:ascii="Palatino Linotype" w:eastAsia="Palatino Linotype" w:hAnsi="Palatino Linotype" w:cs="Palatino Linotype"/>
          <w:b/>
          <w:color w:val="000000" w:themeColor="text1"/>
        </w:rPr>
        <w:t xml:space="preserve">: </w:t>
      </w:r>
      <w:r w:rsidR="00AD363B" w:rsidRPr="00077A55">
        <w:rPr>
          <w:rFonts w:ascii="Palatino Linotype" w:eastAsia="Palatino Linotype" w:hAnsi="Palatino Linotype" w:cs="Palatino Linotype"/>
          <w:i/>
          <w:color w:val="000000" w:themeColor="text1"/>
        </w:rPr>
        <w:t>“NO hay respuesta a la solicitud.” (Sic)</w:t>
      </w:r>
    </w:p>
    <w:p w14:paraId="10149634" w14:textId="77777777" w:rsidR="00AD363B" w:rsidRPr="00077A55" w:rsidRDefault="00AD363B" w:rsidP="00077A55">
      <w:pPr>
        <w:pBdr>
          <w:top w:val="nil"/>
          <w:left w:val="nil"/>
          <w:bottom w:val="nil"/>
          <w:right w:val="nil"/>
          <w:between w:val="nil"/>
        </w:pBdr>
        <w:jc w:val="both"/>
        <w:rPr>
          <w:rFonts w:ascii="Palatino Linotype" w:eastAsia="Palatino Linotype" w:hAnsi="Palatino Linotype" w:cs="Palatino Linotype"/>
          <w:i/>
          <w:color w:val="000000" w:themeColor="text1"/>
        </w:rPr>
      </w:pPr>
    </w:p>
    <w:p w14:paraId="00D2FBC5" w14:textId="2F1024BB" w:rsidR="00AD363B" w:rsidRPr="00077A55" w:rsidRDefault="00884273" w:rsidP="00077A55">
      <w:pPr>
        <w:numPr>
          <w:ilvl w:val="0"/>
          <w:numId w:val="6"/>
        </w:numPr>
        <w:pBdr>
          <w:top w:val="nil"/>
          <w:left w:val="nil"/>
          <w:bottom w:val="nil"/>
          <w:right w:val="nil"/>
          <w:between w:val="nil"/>
        </w:pBdr>
        <w:ind w:left="0" w:firstLine="0"/>
        <w:jc w:val="both"/>
        <w:rPr>
          <w:rFonts w:ascii="Palatino Linotype" w:eastAsia="Times New Roman" w:hAnsi="Palatino Linotype" w:cs="Times New Roman"/>
          <w:color w:val="000000" w:themeColor="text1"/>
        </w:rPr>
      </w:pPr>
      <w:r w:rsidRPr="00077A55">
        <w:rPr>
          <w:rFonts w:ascii="Palatino Linotype" w:eastAsia="Palatino Linotype" w:hAnsi="Palatino Linotype" w:cs="Palatino Linotype"/>
          <w:b/>
          <w:color w:val="000000" w:themeColor="text1"/>
        </w:rPr>
        <w:t>RAZONES O MOTIVOS DE INCONFORMIDAD</w:t>
      </w:r>
      <w:r w:rsidR="00AD363B" w:rsidRPr="00077A55">
        <w:rPr>
          <w:rFonts w:ascii="Palatino Linotype" w:eastAsia="Palatino Linotype" w:hAnsi="Palatino Linotype" w:cs="Palatino Linotype"/>
          <w:b/>
          <w:color w:val="000000" w:themeColor="text1"/>
        </w:rPr>
        <w:t>:</w:t>
      </w:r>
      <w:r w:rsidR="00AD363B" w:rsidRPr="00077A55">
        <w:rPr>
          <w:rFonts w:ascii="Palatino Linotype" w:eastAsia="Palatino Linotype" w:hAnsi="Palatino Linotype" w:cs="Palatino Linotype"/>
          <w:b/>
          <w:i/>
          <w:color w:val="000000" w:themeColor="text1"/>
        </w:rPr>
        <w:t xml:space="preserve"> </w:t>
      </w:r>
      <w:r w:rsidR="00AD363B" w:rsidRPr="00077A55">
        <w:rPr>
          <w:rFonts w:ascii="Palatino Linotype" w:eastAsia="Verdana" w:hAnsi="Palatino Linotype" w:cs="Verdana"/>
          <w:color w:val="000000" w:themeColor="text1"/>
        </w:rPr>
        <w:t>“</w:t>
      </w:r>
      <w:r w:rsidR="00AD363B" w:rsidRPr="00077A55">
        <w:rPr>
          <w:rFonts w:ascii="Palatino Linotype" w:eastAsia="Palatino Linotype" w:hAnsi="Palatino Linotype" w:cs="Palatino Linotype"/>
          <w:i/>
          <w:color w:val="000000" w:themeColor="text1"/>
        </w:rPr>
        <w:t>Sin respuesta a la solicitud." (Sic)</w:t>
      </w:r>
    </w:p>
    <w:p w14:paraId="391174DB" w14:textId="77777777" w:rsidR="00AD363B" w:rsidRPr="00077A55" w:rsidRDefault="00AD363B" w:rsidP="00077A55">
      <w:pPr>
        <w:spacing w:line="360" w:lineRule="auto"/>
        <w:rPr>
          <w:rFonts w:ascii="Palatino Linotype" w:eastAsia="Palatino Linotype" w:hAnsi="Palatino Linotype" w:cs="Palatino Linotype"/>
          <w:i/>
          <w:color w:val="000000" w:themeColor="text1"/>
        </w:rPr>
      </w:pPr>
    </w:p>
    <w:p w14:paraId="6DBCC98D" w14:textId="77777777" w:rsidR="00AD363B" w:rsidRPr="00077A55" w:rsidRDefault="00AD363B"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077A55">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 fecha </w:t>
      </w:r>
      <w:r w:rsidRPr="00077A55">
        <w:rPr>
          <w:rFonts w:ascii="Palatino Linotype" w:eastAsia="Palatino Linotype" w:hAnsi="Palatino Linotype" w:cs="Palatino Linotype"/>
          <w:b/>
          <w:color w:val="000000" w:themeColor="text1"/>
        </w:rPr>
        <w:t>dieciocho de agosto de dos mil veinticinco</w:t>
      </w:r>
      <w:r w:rsidRPr="00077A55">
        <w:rPr>
          <w:rFonts w:ascii="Palatino Linotype" w:eastAsia="Palatino Linotype" w:hAnsi="Palatino Linotype" w:cs="Palatino Linotype"/>
          <w:color w:val="000000" w:themeColor="text1"/>
        </w:rPr>
        <w:t xml:space="preserve">, puso a disposición de las partes el expediente electrónico vía </w:t>
      </w:r>
      <w:r w:rsidRPr="00077A55">
        <w:rPr>
          <w:rFonts w:ascii="Palatino Linotype" w:eastAsia="Palatino Linotype" w:hAnsi="Palatino Linotype" w:cs="Palatino Linotype"/>
          <w:b/>
          <w:color w:val="000000" w:themeColor="text1"/>
        </w:rPr>
        <w:t xml:space="preserve">SAIMEX </w:t>
      </w:r>
      <w:r w:rsidRPr="00077A55">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Pr="00077A55">
        <w:rPr>
          <w:rFonts w:ascii="Palatino Linotype" w:eastAsia="Palatino Linotype" w:hAnsi="Palatino Linotype" w:cs="Palatino Linotype"/>
          <w:b/>
          <w:color w:val="000000" w:themeColor="text1"/>
        </w:rPr>
        <w:t>SUJETO OBLIGADO</w:t>
      </w:r>
      <w:r w:rsidRPr="00077A55">
        <w:rPr>
          <w:rFonts w:ascii="Palatino Linotype" w:eastAsia="Palatino Linotype" w:hAnsi="Palatino Linotype" w:cs="Palatino Linotype"/>
          <w:color w:val="000000" w:themeColor="text1"/>
        </w:rPr>
        <w:t xml:space="preserve"> presentará el Informe Justificado procedente.</w:t>
      </w:r>
    </w:p>
    <w:p w14:paraId="7E8D2346" w14:textId="77777777" w:rsidR="00AD363B" w:rsidRPr="00077A55" w:rsidRDefault="00AD363B" w:rsidP="00077A5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78F3AC8" w14:textId="77777777" w:rsidR="00AD363B" w:rsidRPr="00077A55" w:rsidRDefault="00AD363B"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De lo anterior,</w:t>
      </w:r>
      <w:r w:rsidRPr="00077A55">
        <w:rPr>
          <w:rFonts w:ascii="Palatino Linotype" w:eastAsia="Palatino Linotype" w:hAnsi="Palatino Linotype" w:cs="Palatino Linotype"/>
          <w:b/>
          <w:color w:val="000000" w:themeColor="text1"/>
        </w:rPr>
        <w:t xml:space="preserve"> </w:t>
      </w:r>
      <w:r w:rsidRPr="00077A55">
        <w:rPr>
          <w:rFonts w:ascii="Palatino Linotype" w:eastAsia="Palatino Linotype" w:hAnsi="Palatino Linotype" w:cs="Palatino Linotype"/>
          <w:color w:val="000000" w:themeColor="text1"/>
        </w:rPr>
        <w:t xml:space="preserve">el </w:t>
      </w:r>
      <w:r w:rsidRPr="00077A55">
        <w:rPr>
          <w:rFonts w:ascii="Palatino Linotype" w:eastAsia="Palatino Linotype" w:hAnsi="Palatino Linotype" w:cs="Palatino Linotype"/>
          <w:b/>
          <w:color w:val="000000" w:themeColor="text1"/>
        </w:rPr>
        <w:t xml:space="preserve">dieciocho de agosto de dos mil veinticinco, </w:t>
      </w:r>
      <w:r w:rsidRPr="00077A55">
        <w:rPr>
          <w:rFonts w:ascii="Palatino Linotype" w:eastAsia="Palatino Linotype" w:hAnsi="Palatino Linotype" w:cs="Palatino Linotype"/>
          <w:color w:val="000000" w:themeColor="text1"/>
        </w:rPr>
        <w:t xml:space="preserve">el </w:t>
      </w:r>
      <w:r w:rsidRPr="00077A55">
        <w:rPr>
          <w:rFonts w:ascii="Palatino Linotype" w:eastAsia="Palatino Linotype" w:hAnsi="Palatino Linotype" w:cs="Palatino Linotype"/>
          <w:b/>
          <w:color w:val="000000" w:themeColor="text1"/>
        </w:rPr>
        <w:t xml:space="preserve">SUJETO OBLIGADO </w:t>
      </w:r>
      <w:r w:rsidRPr="00077A55">
        <w:rPr>
          <w:rFonts w:ascii="Palatino Linotype" w:eastAsia="Palatino Linotype" w:hAnsi="Palatino Linotype" w:cs="Palatino Linotype"/>
          <w:color w:val="000000" w:themeColor="text1"/>
        </w:rPr>
        <w:t>entrego un archivo electrónico en formato PDF, cuyo contenido grosso modo es el siguiente.</w:t>
      </w:r>
    </w:p>
    <w:p w14:paraId="1CCEB1FF" w14:textId="77777777" w:rsidR="00AD363B" w:rsidRPr="00077A55" w:rsidRDefault="00AD363B"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b/>
          <w:i/>
          <w:color w:val="000000" w:themeColor="text1"/>
        </w:rPr>
        <w:t xml:space="preserve">DDYFE-540-2025.pdf: </w:t>
      </w:r>
      <w:r w:rsidRPr="00077A55">
        <w:rPr>
          <w:rFonts w:ascii="Palatino Linotype" w:eastAsia="Palatino Linotype" w:hAnsi="Palatino Linotype" w:cs="Palatino Linotype"/>
          <w:i/>
          <w:color w:val="000000" w:themeColor="text1"/>
        </w:rPr>
        <w:t xml:space="preserve">oficio de la Directora de Desarrollo y Fomento Económico, mediante el cual informa que no puede entregar la información solicitada, toda vez que se debe guardar el secreto y sigilo de los datos personales confidenciales.  </w:t>
      </w:r>
    </w:p>
    <w:p w14:paraId="408F44F9" w14:textId="77777777" w:rsidR="00AD363B" w:rsidRDefault="00AD363B" w:rsidP="00077A55">
      <w:pPr>
        <w:pBdr>
          <w:top w:val="nil"/>
          <w:left w:val="nil"/>
          <w:bottom w:val="nil"/>
          <w:right w:val="nil"/>
          <w:between w:val="nil"/>
        </w:pBdr>
        <w:jc w:val="both"/>
        <w:rPr>
          <w:rFonts w:ascii="Palatino Linotype" w:eastAsia="Palatino Linotype" w:hAnsi="Palatino Linotype" w:cs="Palatino Linotype"/>
          <w:i/>
          <w:color w:val="000000" w:themeColor="text1"/>
        </w:rPr>
      </w:pPr>
    </w:p>
    <w:p w14:paraId="195DF14D" w14:textId="77777777" w:rsidR="00884273" w:rsidRPr="00077A55" w:rsidRDefault="00884273" w:rsidP="00077A55">
      <w:pPr>
        <w:pBdr>
          <w:top w:val="nil"/>
          <w:left w:val="nil"/>
          <w:bottom w:val="nil"/>
          <w:right w:val="nil"/>
          <w:between w:val="nil"/>
        </w:pBdr>
        <w:jc w:val="both"/>
        <w:rPr>
          <w:rFonts w:ascii="Palatino Linotype" w:eastAsia="Palatino Linotype" w:hAnsi="Palatino Linotype" w:cs="Palatino Linotype"/>
          <w:i/>
          <w:color w:val="000000" w:themeColor="text1"/>
        </w:rPr>
      </w:pPr>
    </w:p>
    <w:p w14:paraId="5355ED48" w14:textId="77777777" w:rsidR="00AD363B" w:rsidRPr="00077A55" w:rsidRDefault="00AD363B"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 xml:space="preserve">Por su parte el </w:t>
      </w:r>
      <w:r w:rsidRPr="00077A55">
        <w:rPr>
          <w:rFonts w:ascii="Palatino Linotype" w:eastAsia="Palatino Linotype" w:hAnsi="Palatino Linotype" w:cs="Palatino Linotype"/>
          <w:b/>
          <w:color w:val="000000" w:themeColor="text1"/>
        </w:rPr>
        <w:t xml:space="preserve">RECURRENTE </w:t>
      </w:r>
      <w:r w:rsidRPr="00077A55">
        <w:rPr>
          <w:rFonts w:ascii="Palatino Linotype" w:eastAsia="Palatino Linotype" w:hAnsi="Palatino Linotype" w:cs="Palatino Linotype"/>
          <w:color w:val="000000" w:themeColor="text1"/>
        </w:rPr>
        <w:t xml:space="preserve">dejo de realizar manifestaciones que a su derecho conviniera y asistiera. </w:t>
      </w:r>
    </w:p>
    <w:p w14:paraId="227CC16B" w14:textId="77777777" w:rsidR="00AD363B" w:rsidRPr="00077A55" w:rsidRDefault="00AD363B" w:rsidP="00077A55">
      <w:pPr>
        <w:rPr>
          <w:rFonts w:ascii="Palatino Linotype" w:eastAsia="Palatino Linotype" w:hAnsi="Palatino Linotype" w:cs="Palatino Linotype"/>
          <w:color w:val="000000" w:themeColor="text1"/>
          <w:highlight w:val="white"/>
        </w:rPr>
      </w:pPr>
      <w:bookmarkStart w:id="1" w:name="_heading=h.3znysh7" w:colFirst="0" w:colLast="0"/>
      <w:bookmarkEnd w:id="1"/>
    </w:p>
    <w:p w14:paraId="2714ECAE" w14:textId="7292C90F"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El </w:t>
      </w:r>
      <w:r w:rsidRPr="00077A55">
        <w:rPr>
          <w:rFonts w:ascii="Palatino Linotype" w:eastAsia="Palatino Linotype" w:hAnsi="Palatino Linotype" w:cs="Palatino Linotype"/>
          <w:b/>
          <w:color w:val="000000" w:themeColor="text1"/>
        </w:rPr>
        <w:t>veintiocho de octubre de dos mil veinticinco</w:t>
      </w:r>
      <w:r w:rsidRPr="00077A55">
        <w:rPr>
          <w:rFonts w:ascii="Palatino Linotype" w:eastAsia="Palatino Linotype" w:hAnsi="Palatino Linotype" w:cs="Palatino Linotype"/>
          <w:color w:val="000000" w:themeColor="text1"/>
        </w:rPr>
        <w:t>, la Comisionada Ponente notificó el acuerdo de ampliación para emitir resolución, en términos del artículo 181 párrafo tercero de la Ley de Transparencia y Acceso a la Información Pública del Estado de México y Municipios</w:t>
      </w:r>
      <w:r w:rsidR="00077A55">
        <w:rPr>
          <w:rFonts w:ascii="Palatino Linotype" w:eastAsia="Palatino Linotype" w:hAnsi="Palatino Linotype" w:cs="Palatino Linotype"/>
          <w:color w:val="000000" w:themeColor="text1"/>
        </w:rPr>
        <w:t>.</w:t>
      </w:r>
    </w:p>
    <w:p w14:paraId="68C89BA3" w14:textId="77777777" w:rsidR="00AD363B" w:rsidRPr="00077A55" w:rsidRDefault="00AD363B" w:rsidP="00077A5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7307A08B" w14:textId="0A3CF8D1"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highlight w:val="white"/>
        </w:rPr>
        <w:t xml:space="preserve">Seguidamente, mediante acuerdo de fecha </w:t>
      </w:r>
      <w:r w:rsidRPr="00077A55">
        <w:rPr>
          <w:rFonts w:ascii="Palatino Linotype" w:eastAsia="Palatino Linotype" w:hAnsi="Palatino Linotype" w:cs="Palatino Linotype"/>
          <w:b/>
          <w:color w:val="000000" w:themeColor="text1"/>
          <w:highlight w:val="white"/>
        </w:rPr>
        <w:t xml:space="preserve">tres de noviembre de dos mil veinticinco, </w:t>
      </w:r>
      <w:r w:rsidRPr="00077A55">
        <w:rPr>
          <w:rFonts w:ascii="Palatino Linotype" w:eastAsia="Palatino Linotype" w:hAnsi="Palatino Linotype" w:cs="Palatino Linotype"/>
          <w:color w:val="000000" w:themeColor="text1"/>
          <w:highlight w:val="white"/>
        </w:rPr>
        <w:t xml:space="preserve"> se decretó el cierre de instrucción, por lo que no habie</w:t>
      </w:r>
      <w:r w:rsidR="00077A55">
        <w:rPr>
          <w:rFonts w:ascii="Palatino Linotype" w:eastAsia="Palatino Linotype" w:hAnsi="Palatino Linotype" w:cs="Palatino Linotype"/>
          <w:color w:val="000000" w:themeColor="text1"/>
          <w:highlight w:val="white"/>
        </w:rPr>
        <w:t>ndo más que hacer constar, y</w:t>
      </w:r>
    </w:p>
    <w:p w14:paraId="06A6D6A8" w14:textId="77777777" w:rsidR="00AD363B" w:rsidRPr="00077A55" w:rsidRDefault="00AD363B" w:rsidP="00077A55">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49859CB5" w14:textId="77777777" w:rsidR="00AD363B" w:rsidRPr="00077A55" w:rsidRDefault="00AD363B" w:rsidP="00077A55">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color w:val="000000" w:themeColor="text1"/>
        </w:rPr>
        <w:t>C O N S I D E R A N D O</w:t>
      </w:r>
    </w:p>
    <w:p w14:paraId="25D9B601" w14:textId="77777777" w:rsidR="00AD363B" w:rsidRPr="00077A55" w:rsidRDefault="00AD363B" w:rsidP="00077A55">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2C280D92" w14:textId="77777777" w:rsidR="00AD363B" w:rsidRPr="00077A55" w:rsidRDefault="00AD363B" w:rsidP="00077A55">
      <w:pPr>
        <w:pStyle w:val="Ttulo2"/>
        <w:spacing w:before="0" w:line="360" w:lineRule="auto"/>
        <w:rPr>
          <w:rFonts w:ascii="Palatino Linotype" w:eastAsia="Palatino Linotype" w:hAnsi="Palatino Linotype" w:cs="Palatino Linotype"/>
          <w:b/>
          <w:color w:val="000000" w:themeColor="text1"/>
          <w:sz w:val="24"/>
          <w:szCs w:val="24"/>
        </w:rPr>
      </w:pPr>
      <w:bookmarkStart w:id="2" w:name="_heading=h.2et92p0" w:colFirst="0" w:colLast="0"/>
      <w:bookmarkEnd w:id="2"/>
      <w:r w:rsidRPr="00077A55">
        <w:rPr>
          <w:rFonts w:ascii="Palatino Linotype" w:eastAsia="Palatino Linotype" w:hAnsi="Palatino Linotype" w:cs="Palatino Linotype"/>
          <w:b/>
          <w:color w:val="000000" w:themeColor="text1"/>
          <w:sz w:val="24"/>
          <w:szCs w:val="24"/>
        </w:rPr>
        <w:t>PRIMERO. De la competencia</w:t>
      </w:r>
    </w:p>
    <w:p w14:paraId="179D5F47"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077A55">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el presente </w:t>
      </w:r>
      <w:r w:rsidRPr="00077A55">
        <w:rPr>
          <w:rFonts w:ascii="Palatino Linotype" w:eastAsia="Palatino Linotype" w:hAnsi="Palatino Linotype" w:cs="Palatino Linotype"/>
          <w:color w:val="000000" w:themeColor="text1"/>
          <w:highlight w:val="white"/>
        </w:rPr>
        <w:t>Recurso</w:t>
      </w:r>
      <w:r w:rsidRPr="00077A55">
        <w:rPr>
          <w:rFonts w:ascii="Palatino Linotype" w:eastAsia="Palatino Linotype" w:hAnsi="Palatino Linotype" w:cs="Palatino Linotype"/>
          <w:color w:val="000000" w:themeColor="text1"/>
        </w:rPr>
        <w:t xml:space="preserve">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B5CD3FA" w14:textId="77777777" w:rsidR="00AD363B" w:rsidRPr="00077A55" w:rsidRDefault="00AD363B" w:rsidP="00077A5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033CE59B" w14:textId="77777777" w:rsidR="00AD363B" w:rsidRPr="00077A55" w:rsidRDefault="00AD363B" w:rsidP="00077A55">
      <w:pPr>
        <w:pStyle w:val="Ttulo2"/>
        <w:spacing w:before="0" w:line="360" w:lineRule="auto"/>
        <w:rPr>
          <w:rFonts w:ascii="Palatino Linotype" w:eastAsia="Palatino Linotype" w:hAnsi="Palatino Linotype" w:cs="Palatino Linotype"/>
          <w:b/>
          <w:color w:val="000000" w:themeColor="text1"/>
          <w:sz w:val="24"/>
          <w:szCs w:val="24"/>
        </w:rPr>
      </w:pPr>
      <w:bookmarkStart w:id="3" w:name="_heading=h.tyjcwt" w:colFirst="0" w:colLast="0"/>
      <w:bookmarkEnd w:id="3"/>
      <w:r w:rsidRPr="00077A55">
        <w:rPr>
          <w:rFonts w:ascii="Palatino Linotype" w:eastAsia="Palatino Linotype" w:hAnsi="Palatino Linotype" w:cs="Palatino Linotype"/>
          <w:b/>
          <w:color w:val="000000" w:themeColor="text1"/>
          <w:sz w:val="24"/>
          <w:szCs w:val="24"/>
        </w:rPr>
        <w:lastRenderedPageBreak/>
        <w:t>SEGUNDO. De la oportunidad y procedencia.</w:t>
      </w:r>
    </w:p>
    <w:p w14:paraId="275815EB"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Es de precisar, que la Ley de Transparencia y Acceso a la Información Pública del Estado de México y Municipios, en el artículo 178 describe la procedencia del recurso de revisión, asimismo señala que el plazo del </w:t>
      </w:r>
      <w:r w:rsidRPr="00077A55">
        <w:rPr>
          <w:rFonts w:ascii="Palatino Linotype" w:eastAsia="Palatino Linotype" w:hAnsi="Palatino Linotype" w:cs="Palatino Linotype"/>
          <w:b/>
          <w:color w:val="000000" w:themeColor="text1"/>
        </w:rPr>
        <w:t>SUJETO OBLIGADO</w:t>
      </w:r>
      <w:r w:rsidRPr="00077A55">
        <w:rPr>
          <w:rFonts w:ascii="Palatino Linotype" w:eastAsia="Palatino Linotype" w:hAnsi="Palatino Linotype" w:cs="Palatino Linotype"/>
          <w:color w:val="000000" w:themeColor="text1"/>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94DB009"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p>
    <w:p w14:paraId="3467370A"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Por ende, se constituye la figura jurídica de la </w:t>
      </w:r>
      <w:r w:rsidRPr="00077A55">
        <w:rPr>
          <w:rFonts w:ascii="Palatino Linotype" w:eastAsia="Palatino Linotype" w:hAnsi="Palatino Linotype" w:cs="Palatino Linotype"/>
          <w:i/>
          <w:color w:val="000000" w:themeColor="text1"/>
        </w:rPr>
        <w:t>negativa ficta</w:t>
      </w:r>
      <w:r w:rsidRPr="00077A55">
        <w:rPr>
          <w:rFonts w:ascii="Palatino Linotype" w:eastAsia="Palatino Linotype" w:hAnsi="Palatino Linotype" w:cs="Palatino Linotype"/>
          <w:color w:val="000000" w:themeColor="text1"/>
        </w:rPr>
        <w:t xml:space="preserve">, cuya esencia es atribuir un efecto negativo al silencio de la autoridad administrativa frente a las instancias y solicitudes que hagan los particulares, lo cual encuentra sustento en lo que establece el artículo </w:t>
      </w:r>
      <w:r w:rsidRPr="00077A55">
        <w:rPr>
          <w:rFonts w:ascii="Palatino Linotype" w:eastAsia="Palatino Linotype" w:hAnsi="Palatino Linotype" w:cs="Palatino Linotype"/>
          <w:b/>
          <w:color w:val="000000" w:themeColor="text1"/>
        </w:rPr>
        <w:t>178</w:t>
      </w:r>
      <w:r w:rsidRPr="00077A55">
        <w:rPr>
          <w:rFonts w:ascii="Palatino Linotype" w:eastAsia="Palatino Linotype" w:hAnsi="Palatino Linotype" w:cs="Palatino Linotype"/>
          <w:color w:val="000000" w:themeColor="text1"/>
        </w:rPr>
        <w:t xml:space="preserve"> segundo párrafo de </w:t>
      </w:r>
      <w:r w:rsidRPr="00077A55">
        <w:rPr>
          <w:rFonts w:ascii="Palatino Linotype" w:eastAsia="Palatino Linotype" w:hAnsi="Palatino Linotype" w:cs="Palatino Linotype"/>
          <w:b/>
          <w:color w:val="000000" w:themeColor="text1"/>
        </w:rPr>
        <w:t>Ley de Transparencia y Acceso a la Información Pública del Estado de México y Municipios</w:t>
      </w:r>
      <w:r w:rsidRPr="00077A55">
        <w:rPr>
          <w:rFonts w:ascii="Palatino Linotype" w:eastAsia="Palatino Linotype" w:hAnsi="Palatino Linotype" w:cs="Palatino Linotype"/>
          <w:color w:val="000000" w:themeColor="text1"/>
          <w:highlight w:val="white"/>
        </w:rPr>
        <w:t xml:space="preserve">, que dispone; ante la falta de respuesta del </w:t>
      </w:r>
      <w:r w:rsidRPr="00077A55">
        <w:rPr>
          <w:rFonts w:ascii="Palatino Linotype" w:eastAsia="Palatino Linotype" w:hAnsi="Palatino Linotype" w:cs="Palatino Linotype"/>
          <w:b/>
          <w:color w:val="000000" w:themeColor="text1"/>
          <w:highlight w:val="white"/>
        </w:rPr>
        <w:t>SUJETO OBLIGADO,</w:t>
      </w:r>
      <w:r w:rsidRPr="00077A55">
        <w:rPr>
          <w:rFonts w:ascii="Palatino Linotype" w:eastAsia="Palatino Linotype" w:hAnsi="Palatino Linotype" w:cs="Palatino Linotype"/>
          <w:color w:val="000000" w:themeColor="text1"/>
          <w:highlight w:val="white"/>
        </w:rPr>
        <w:t xml:space="preserve"> dentro de los plazos establecidos en esta Ley, a una solicitud de acceso a la información pública, el recurso </w:t>
      </w:r>
      <w:r w:rsidRPr="00077A55">
        <w:rPr>
          <w:rFonts w:ascii="Palatino Linotype" w:eastAsia="Palatino Linotype" w:hAnsi="Palatino Linotype" w:cs="Palatino Linotype"/>
          <w:b/>
          <w:color w:val="000000" w:themeColor="text1"/>
          <w:highlight w:val="white"/>
        </w:rPr>
        <w:t xml:space="preserve">podrá ser interpuesto en cualquier momento. </w:t>
      </w:r>
    </w:p>
    <w:p w14:paraId="76B75884"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p>
    <w:p w14:paraId="72CBB0A4"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Por lo que, tratándose de la </w:t>
      </w:r>
      <w:r w:rsidRPr="00077A55">
        <w:rPr>
          <w:rFonts w:ascii="Palatino Linotype" w:eastAsia="Palatino Linotype" w:hAnsi="Palatino Linotype" w:cs="Palatino Linotype"/>
          <w:i/>
          <w:color w:val="000000" w:themeColor="text1"/>
        </w:rPr>
        <w:t>negativa ficta</w:t>
      </w:r>
      <w:r w:rsidRPr="00077A55">
        <w:rPr>
          <w:rFonts w:ascii="Palatino Linotype" w:eastAsia="Palatino Linotype" w:hAnsi="Palatino Linotype" w:cs="Palatino Linotype"/>
          <w:color w:val="000000" w:themeColor="text1"/>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w:t>
      </w:r>
      <w:r w:rsidRPr="00077A55">
        <w:rPr>
          <w:rFonts w:ascii="Palatino Linotype" w:eastAsia="Palatino Linotype" w:hAnsi="Palatino Linotype" w:cs="Palatino Linotype"/>
          <w:color w:val="000000" w:themeColor="text1"/>
        </w:rPr>
        <w:lastRenderedPageBreak/>
        <w:t xml:space="preserve">de dos mil quince, relativo a la interposición del recurso de revisión en cualquier tiempo cuando exista </w:t>
      </w:r>
      <w:r w:rsidRPr="00077A55">
        <w:rPr>
          <w:rFonts w:ascii="Palatino Linotype" w:eastAsia="Palatino Linotype" w:hAnsi="Palatino Linotype" w:cs="Palatino Linotype"/>
          <w:i/>
          <w:color w:val="000000" w:themeColor="text1"/>
        </w:rPr>
        <w:t>negativa ficta</w:t>
      </w:r>
      <w:r w:rsidRPr="00077A55">
        <w:rPr>
          <w:rFonts w:ascii="Palatino Linotype" w:eastAsia="Palatino Linotype" w:hAnsi="Palatino Linotype" w:cs="Palatino Linotype"/>
          <w:color w:val="000000" w:themeColor="text1"/>
        </w:rPr>
        <w:t>, que señala:</w:t>
      </w:r>
    </w:p>
    <w:p w14:paraId="0B448AFA" w14:textId="77777777" w:rsidR="00AD363B" w:rsidRPr="00077A55" w:rsidRDefault="00AD363B" w:rsidP="00077A55">
      <w:pPr>
        <w:tabs>
          <w:tab w:val="left" w:pos="284"/>
          <w:tab w:val="left" w:pos="7655"/>
          <w:tab w:val="left" w:pos="7938"/>
        </w:tabs>
        <w:spacing w:after="240"/>
        <w:jc w:val="center"/>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color w:val="000000" w:themeColor="text1"/>
        </w:rPr>
        <w:t>Criterio 0001-15</w:t>
      </w:r>
    </w:p>
    <w:p w14:paraId="5F9454FC" w14:textId="77777777" w:rsidR="00AD363B" w:rsidRPr="00077A55" w:rsidRDefault="00AD363B" w:rsidP="00077A55">
      <w:pPr>
        <w:tabs>
          <w:tab w:val="left" w:pos="284"/>
          <w:tab w:val="left" w:pos="7655"/>
          <w:tab w:val="left" w:pos="7938"/>
        </w:tabs>
        <w:spacing w:before="240" w:after="24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b/>
          <w:i/>
          <w:color w:val="000000" w:themeColor="text1"/>
        </w:rPr>
        <w:t>NEGATIVA FICTA. PLAZO PARA INTERPONER EL RECURSO DE REVISIÓN TRATÁNDOSE DE.</w:t>
      </w:r>
      <w:r w:rsidRPr="00077A55">
        <w:rPr>
          <w:rFonts w:ascii="Palatino Linotype" w:eastAsia="Palatino Linotype" w:hAnsi="Palatino Linotype" w:cs="Palatino Linotype"/>
          <w:i/>
          <w:color w:val="000000" w:themeColor="text1"/>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88D4247" w14:textId="77777777" w:rsidR="00AD363B" w:rsidRPr="00077A55" w:rsidRDefault="00AD363B" w:rsidP="00077A55">
      <w:pPr>
        <w:tabs>
          <w:tab w:val="left" w:pos="284"/>
          <w:tab w:val="left" w:pos="7655"/>
        </w:tabs>
        <w:spacing w:before="240" w:after="240"/>
        <w:jc w:val="both"/>
        <w:rPr>
          <w:rFonts w:ascii="Palatino Linotype" w:eastAsia="Palatino Linotype" w:hAnsi="Palatino Linotype" w:cs="Palatino Linotype"/>
          <w:i/>
          <w:color w:val="000000" w:themeColor="text1"/>
        </w:rPr>
      </w:pPr>
    </w:p>
    <w:p w14:paraId="3E348BDD"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Lo anterior, se explica porque la </w:t>
      </w:r>
      <w:r w:rsidRPr="00077A55">
        <w:rPr>
          <w:rFonts w:ascii="Palatino Linotype" w:eastAsia="Palatino Linotype" w:hAnsi="Palatino Linotype" w:cs="Palatino Linotype"/>
          <w:b/>
          <w:color w:val="000000" w:themeColor="text1"/>
          <w:u w:val="single"/>
        </w:rPr>
        <w:t>posible ausencia</w:t>
      </w:r>
      <w:r w:rsidRPr="00077A55">
        <w:rPr>
          <w:rFonts w:ascii="Palatino Linotype" w:eastAsia="Palatino Linotype" w:hAnsi="Palatino Linotype" w:cs="Palatino Linotype"/>
          <w:color w:val="000000" w:themeColor="text1"/>
        </w:rPr>
        <w:t xml:space="preserve"> de una respuesta en la solicitud constituye un acto que vulnera el derecho de manera continua y actualizable cada día en tanto, no se emita la respuesta a la que esté impuesto el </w:t>
      </w:r>
      <w:r w:rsidRPr="00077A55">
        <w:rPr>
          <w:rFonts w:ascii="Palatino Linotype" w:eastAsia="Palatino Linotype" w:hAnsi="Palatino Linotype" w:cs="Palatino Linotype"/>
          <w:b/>
          <w:color w:val="000000" w:themeColor="text1"/>
        </w:rPr>
        <w:t>SUJETO OBLIGADO</w:t>
      </w:r>
      <w:r w:rsidRPr="00077A55">
        <w:rPr>
          <w:rFonts w:ascii="Palatino Linotype" w:eastAsia="Palatino Linotype" w:hAnsi="Palatino Linotype" w:cs="Palatino Linotype"/>
          <w:color w:val="000000" w:themeColor="text1"/>
        </w:rPr>
        <w:t>.</w:t>
      </w:r>
    </w:p>
    <w:p w14:paraId="00E6709C" w14:textId="77777777" w:rsidR="00AD363B" w:rsidRPr="00077A55" w:rsidRDefault="00AD363B" w:rsidP="00077A5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37AC38D"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077A55">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7ACB883" w14:textId="77777777" w:rsidR="00AD363B" w:rsidRPr="00077A55" w:rsidRDefault="00AD363B" w:rsidP="00077A55">
      <w:pPr>
        <w:pBdr>
          <w:top w:val="nil"/>
          <w:left w:val="nil"/>
          <w:bottom w:val="nil"/>
          <w:right w:val="nil"/>
          <w:between w:val="nil"/>
        </w:pBdr>
        <w:spacing w:line="360" w:lineRule="auto"/>
        <w:jc w:val="both"/>
        <w:rPr>
          <w:rFonts w:ascii="Palatino Linotype" w:hAnsi="Palatino Linotype"/>
          <w:color w:val="000000" w:themeColor="text1"/>
        </w:rPr>
      </w:pPr>
    </w:p>
    <w:p w14:paraId="782F5915"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lastRenderedPageBreak/>
        <w:t>"</w:t>
      </w:r>
      <w:r w:rsidRPr="00077A55">
        <w:rPr>
          <w:rFonts w:ascii="Palatino Linotype" w:eastAsia="Palatino Linotype" w:hAnsi="Palatino Linotype" w:cs="Palatino Linotype"/>
          <w:b/>
          <w:i/>
          <w:color w:val="000000" w:themeColor="text1"/>
        </w:rPr>
        <w:t>Las solicitudes anónimas</w:t>
      </w:r>
      <w:r w:rsidRPr="00077A55">
        <w:rPr>
          <w:rFonts w:ascii="Palatino Linotype" w:eastAsia="Palatino Linotype" w:hAnsi="Palatino Linotype" w:cs="Palatino Linotype"/>
          <w:i/>
          <w:color w:val="000000" w:themeColor="text1"/>
        </w:rPr>
        <w:t xml:space="preserve">, con nombre incompleto o seudónimo </w:t>
      </w:r>
      <w:r w:rsidRPr="00077A55">
        <w:rPr>
          <w:rFonts w:ascii="Palatino Linotype" w:eastAsia="Palatino Linotype" w:hAnsi="Palatino Linotype" w:cs="Palatino Linotype"/>
          <w:b/>
          <w:i/>
          <w:color w:val="000000" w:themeColor="text1"/>
        </w:rPr>
        <w:t>serán procedentes para su trámite por parte del sujeto obligado ante quien se presente</w:t>
      </w:r>
      <w:r w:rsidRPr="00077A55">
        <w:rPr>
          <w:rFonts w:ascii="Palatino Linotype" w:eastAsia="Palatino Linotype" w:hAnsi="Palatino Linotype" w:cs="Palatino Linotype"/>
          <w:i/>
          <w:color w:val="000000" w:themeColor="text1"/>
        </w:rPr>
        <w:t>. No podrá requerirse información adicional con motivo del nombre proporcionado por el solicitante."</w:t>
      </w:r>
    </w:p>
    <w:p w14:paraId="4B797AE8" w14:textId="77777777" w:rsidR="00AD363B" w:rsidRPr="00077A55" w:rsidRDefault="00AD363B" w:rsidP="00077A55">
      <w:pPr>
        <w:jc w:val="both"/>
        <w:rPr>
          <w:rFonts w:ascii="Palatino Linotype" w:eastAsia="Palatino Linotype" w:hAnsi="Palatino Linotype" w:cs="Palatino Linotype"/>
          <w:i/>
          <w:color w:val="000000" w:themeColor="text1"/>
        </w:rPr>
      </w:pPr>
    </w:p>
    <w:p w14:paraId="0E6CEEED"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077A55">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0416A902"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w:t>
      </w:r>
      <w:r w:rsidRPr="00077A55">
        <w:rPr>
          <w:rFonts w:ascii="Palatino Linotype" w:eastAsia="Palatino Linotype" w:hAnsi="Palatino Linotype" w:cs="Palatino Linotype"/>
          <w:b/>
          <w:i/>
          <w:color w:val="000000" w:themeColor="text1"/>
        </w:rPr>
        <w:t>Artículo 6.-</w:t>
      </w:r>
      <w:r w:rsidRPr="00077A55">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45E59F6"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Para efectos de lo dispuesto en el presente artículo se observará lo siguiente:</w:t>
      </w:r>
    </w:p>
    <w:p w14:paraId="62AE20F6" w14:textId="77777777" w:rsidR="00AD363B" w:rsidRPr="00077A55" w:rsidRDefault="00AD363B" w:rsidP="00077A55">
      <w:pPr>
        <w:jc w:val="both"/>
        <w:rPr>
          <w:rFonts w:ascii="Palatino Linotype" w:eastAsia="Palatino Linotype" w:hAnsi="Palatino Linotype" w:cs="Palatino Linotype"/>
          <w:i/>
          <w:color w:val="000000" w:themeColor="text1"/>
        </w:rPr>
      </w:pPr>
    </w:p>
    <w:p w14:paraId="4D335B1A"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463AD733" w14:textId="77777777" w:rsidR="00AD363B" w:rsidRPr="00077A55" w:rsidRDefault="00AD363B" w:rsidP="00077A55">
      <w:pPr>
        <w:jc w:val="both"/>
        <w:rPr>
          <w:rFonts w:ascii="Palatino Linotype" w:eastAsia="Palatino Linotype" w:hAnsi="Palatino Linotype" w:cs="Palatino Linotype"/>
          <w:i/>
          <w:color w:val="000000" w:themeColor="text1"/>
        </w:rPr>
      </w:pPr>
    </w:p>
    <w:p w14:paraId="5A5EA8CD"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077A55">
        <w:rPr>
          <w:rFonts w:ascii="Palatino Linotype" w:eastAsia="Palatino Linotype" w:hAnsi="Palatino Linotype" w:cs="Palatino Linotype"/>
          <w:color w:val="000000" w:themeColor="text1"/>
        </w:rPr>
        <w:t>(Sic)</w:t>
      </w:r>
    </w:p>
    <w:p w14:paraId="7C7EA22D" w14:textId="77777777" w:rsidR="00AD363B" w:rsidRPr="00077A55" w:rsidRDefault="00AD363B" w:rsidP="00077A55">
      <w:pPr>
        <w:spacing w:line="360" w:lineRule="auto"/>
        <w:jc w:val="both"/>
        <w:rPr>
          <w:rFonts w:ascii="Palatino Linotype" w:eastAsia="Palatino Linotype" w:hAnsi="Palatino Linotype" w:cs="Palatino Linotype"/>
          <w:i/>
          <w:color w:val="000000" w:themeColor="text1"/>
        </w:rPr>
      </w:pPr>
    </w:p>
    <w:p w14:paraId="21209328"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077A55">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14:paraId="79BA3447"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w:t>
      </w:r>
      <w:r w:rsidRPr="00077A55">
        <w:rPr>
          <w:rFonts w:ascii="Palatino Linotype" w:eastAsia="Palatino Linotype" w:hAnsi="Palatino Linotype" w:cs="Palatino Linotype"/>
          <w:b/>
          <w:i/>
          <w:color w:val="000000" w:themeColor="text1"/>
        </w:rPr>
        <w:t>Artículo 5.-</w:t>
      </w:r>
      <w:r w:rsidRPr="00077A55">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7748452"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w:t>
      </w:r>
    </w:p>
    <w:p w14:paraId="4C0539CC"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7F871242"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w:t>
      </w:r>
    </w:p>
    <w:p w14:paraId="7BD4754B"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lastRenderedPageBreak/>
        <w:t>El derecho a la información será garantizado por el Estado. La ley establecerá las previsiones que permitan asegurar la protección, el respeto y la difusión de este derecho.</w:t>
      </w:r>
    </w:p>
    <w:p w14:paraId="20A4C040"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B70106B"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4532C96A"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w:t>
      </w:r>
    </w:p>
    <w:p w14:paraId="4865BAC1"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077A55">
        <w:rPr>
          <w:rFonts w:ascii="Palatino Linotype" w:eastAsia="Palatino Linotype" w:hAnsi="Palatino Linotype" w:cs="Palatino Linotype"/>
          <w:color w:val="000000" w:themeColor="text1"/>
        </w:rPr>
        <w:t>(Sic)</w:t>
      </w:r>
    </w:p>
    <w:p w14:paraId="01BA5064" w14:textId="77777777" w:rsidR="00AD363B" w:rsidRPr="00077A55" w:rsidRDefault="00AD363B" w:rsidP="00077A55">
      <w:pPr>
        <w:spacing w:line="360" w:lineRule="auto"/>
        <w:jc w:val="both"/>
        <w:rPr>
          <w:rFonts w:ascii="Palatino Linotype" w:eastAsia="Palatino Linotype" w:hAnsi="Palatino Linotype" w:cs="Palatino Linotype"/>
          <w:i/>
          <w:color w:val="000000" w:themeColor="text1"/>
        </w:rPr>
      </w:pPr>
    </w:p>
    <w:p w14:paraId="63AAAA5F"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077A55">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2556F880"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w:t>
      </w:r>
      <w:r w:rsidRPr="00077A55">
        <w:rPr>
          <w:rFonts w:ascii="Palatino Linotype" w:eastAsia="Palatino Linotype" w:hAnsi="Palatino Linotype" w:cs="Palatino Linotype"/>
          <w:b/>
          <w:i/>
          <w:color w:val="000000" w:themeColor="text1"/>
        </w:rPr>
        <w:t>Artículo 1</w:t>
      </w:r>
      <w:r w:rsidRPr="00077A55">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48805E4"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4156C8EE"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396728C7" w14:textId="77777777" w:rsidR="00AD363B" w:rsidRPr="00077A55" w:rsidRDefault="00AD363B" w:rsidP="00077A55">
      <w:pPr>
        <w:jc w:val="both"/>
        <w:rPr>
          <w:rFonts w:ascii="Palatino Linotype" w:eastAsia="Palatino Linotype" w:hAnsi="Palatino Linotype" w:cs="Palatino Linotype"/>
          <w:i/>
          <w:color w:val="000000" w:themeColor="text1"/>
        </w:rPr>
      </w:pPr>
    </w:p>
    <w:p w14:paraId="45943DB9" w14:textId="77777777" w:rsidR="00AD363B" w:rsidRPr="00077A55" w:rsidRDefault="00AD363B" w:rsidP="00077A55">
      <w:pPr>
        <w:numPr>
          <w:ilvl w:val="0"/>
          <w:numId w:val="1"/>
        </w:numPr>
        <w:spacing w:line="360" w:lineRule="auto"/>
        <w:ind w:left="0" w:firstLine="0"/>
        <w:jc w:val="both"/>
        <w:rPr>
          <w:rFonts w:ascii="Palatino Linotype" w:hAnsi="Palatino Linotype"/>
          <w:color w:val="000000" w:themeColor="text1"/>
        </w:rPr>
      </w:pPr>
      <w:r w:rsidRPr="00077A55">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077A55">
        <w:rPr>
          <w:rFonts w:ascii="Palatino Linotype" w:eastAsia="Palatino Linotype" w:hAnsi="Palatino Linotype" w:cs="Palatino Linotype"/>
          <w:i/>
          <w:color w:val="000000" w:themeColor="text1"/>
        </w:rPr>
        <w:t xml:space="preserve">derecho fundamental exime a quien lo </w:t>
      </w:r>
      <w:r w:rsidRPr="00077A55">
        <w:rPr>
          <w:rFonts w:ascii="Palatino Linotype" w:eastAsia="Palatino Linotype" w:hAnsi="Palatino Linotype" w:cs="Palatino Linotype"/>
          <w:i/>
          <w:color w:val="000000" w:themeColor="text1"/>
        </w:rPr>
        <w:lastRenderedPageBreak/>
        <w:t>ejerce</w:t>
      </w:r>
      <w:r w:rsidRPr="00077A55">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310BD78"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p>
    <w:p w14:paraId="14418794" w14:textId="77777777" w:rsidR="00AD363B" w:rsidRPr="00077A55" w:rsidRDefault="00AD363B" w:rsidP="00077A55">
      <w:pPr>
        <w:numPr>
          <w:ilvl w:val="0"/>
          <w:numId w:val="1"/>
        </w:numPr>
        <w:spacing w:line="360" w:lineRule="auto"/>
        <w:ind w:left="0" w:firstLine="0"/>
        <w:jc w:val="both"/>
        <w:rPr>
          <w:rFonts w:ascii="Palatino Linotype" w:hAnsi="Palatino Linotype"/>
          <w:color w:val="000000" w:themeColor="text1"/>
        </w:rPr>
      </w:pPr>
      <w:r w:rsidRPr="00077A55">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077A55">
        <w:rPr>
          <w:rFonts w:ascii="Palatino Linotype" w:eastAsia="Palatino Linotype" w:hAnsi="Palatino Linotype" w:cs="Palatino Linotype"/>
          <w:b/>
          <w:color w:val="000000" w:themeColor="text1"/>
        </w:rPr>
        <w:t>RECURRENTE</w:t>
      </w:r>
      <w:r w:rsidRPr="00077A55">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30FAEA38"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p>
    <w:p w14:paraId="24F83BB0"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216A481" w14:textId="77777777" w:rsidR="00AD363B" w:rsidRPr="00077A55" w:rsidRDefault="00AD363B" w:rsidP="00077A55">
      <w:pPr>
        <w:pBdr>
          <w:top w:val="nil"/>
          <w:left w:val="nil"/>
          <w:bottom w:val="nil"/>
          <w:right w:val="nil"/>
          <w:between w:val="nil"/>
        </w:pBdr>
        <w:rPr>
          <w:rFonts w:ascii="Palatino Linotype" w:eastAsia="Palatino Linotype" w:hAnsi="Palatino Linotype" w:cs="Palatino Linotype"/>
          <w:b/>
          <w:color w:val="000000" w:themeColor="text1"/>
        </w:rPr>
      </w:pPr>
    </w:p>
    <w:p w14:paraId="19B1D357" w14:textId="77777777" w:rsidR="00AD363B" w:rsidRPr="00077A55" w:rsidRDefault="00AD363B" w:rsidP="00077A55">
      <w:pPr>
        <w:pStyle w:val="Ttulo1"/>
        <w:spacing w:before="0" w:line="360" w:lineRule="auto"/>
        <w:rPr>
          <w:rFonts w:ascii="Palatino Linotype" w:eastAsia="Palatino Linotype" w:hAnsi="Palatino Linotype" w:cs="Palatino Linotype"/>
          <w:b/>
          <w:color w:val="000000" w:themeColor="text1"/>
          <w:sz w:val="24"/>
          <w:szCs w:val="24"/>
        </w:rPr>
      </w:pPr>
      <w:bookmarkStart w:id="4" w:name="_heading=h.gjdgxs" w:colFirst="0" w:colLast="0"/>
      <w:bookmarkEnd w:id="4"/>
      <w:r w:rsidRPr="00077A55">
        <w:rPr>
          <w:rFonts w:ascii="Palatino Linotype" w:eastAsia="Palatino Linotype" w:hAnsi="Palatino Linotype" w:cs="Palatino Linotype"/>
          <w:b/>
          <w:color w:val="000000" w:themeColor="text1"/>
          <w:sz w:val="24"/>
          <w:szCs w:val="24"/>
        </w:rPr>
        <w:lastRenderedPageBreak/>
        <w:t xml:space="preserve">TERCERO. Del planteamiento de la </w:t>
      </w:r>
      <w:r w:rsidRPr="00077A55">
        <w:rPr>
          <w:rFonts w:ascii="Palatino Linotype" w:eastAsia="Palatino Linotype" w:hAnsi="Palatino Linotype" w:cs="Palatino Linotype"/>
          <w:b/>
          <w:i/>
          <w:color w:val="000000" w:themeColor="text1"/>
          <w:sz w:val="24"/>
          <w:szCs w:val="24"/>
        </w:rPr>
        <w:t>Litis</w:t>
      </w:r>
      <w:r w:rsidRPr="00077A55">
        <w:rPr>
          <w:rFonts w:ascii="Palatino Linotype" w:eastAsia="Palatino Linotype" w:hAnsi="Palatino Linotype" w:cs="Palatino Linotype"/>
          <w:b/>
          <w:color w:val="000000" w:themeColor="text1"/>
          <w:sz w:val="24"/>
          <w:szCs w:val="24"/>
        </w:rPr>
        <w:t>.</w:t>
      </w:r>
    </w:p>
    <w:p w14:paraId="5605685A"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De las constancias en el expediente al rubro indicado, se desprende que la particular solicitó la información que a continuación se desagrega:</w:t>
      </w:r>
    </w:p>
    <w:p w14:paraId="7D4C3620" w14:textId="77777777" w:rsidR="00AD363B" w:rsidRPr="00077A55" w:rsidRDefault="001540C0" w:rsidP="00077A55">
      <w:pPr>
        <w:pStyle w:val="Prrafodelista"/>
        <w:numPr>
          <w:ilvl w:val="0"/>
          <w:numId w:val="13"/>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 xml:space="preserve">Licencias de funcionamiento y recibos de pago en las que se autoriza la venta de bebidas alcohólicas del uno de enero al diecinueve de junio de dos mil veinticinco. </w:t>
      </w:r>
    </w:p>
    <w:p w14:paraId="6FC57391" w14:textId="77777777" w:rsidR="00AD363B" w:rsidRDefault="00AD363B" w:rsidP="00077A55">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43FEE8DF" w14:textId="77777777" w:rsidR="00884273" w:rsidRPr="00077A55" w:rsidRDefault="00884273" w:rsidP="00077A55">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04EF6AF4"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Tal y como se observa en el tablero del expediente electrónico el </w:t>
      </w:r>
      <w:r w:rsidRPr="00077A55">
        <w:rPr>
          <w:rFonts w:ascii="Palatino Linotype" w:eastAsia="Palatino Linotype" w:hAnsi="Palatino Linotype" w:cs="Palatino Linotype"/>
          <w:b/>
          <w:color w:val="000000" w:themeColor="text1"/>
        </w:rPr>
        <w:t xml:space="preserve">SUJETO OBLIGADO </w:t>
      </w:r>
      <w:r w:rsidRPr="00077A55">
        <w:rPr>
          <w:rFonts w:ascii="Palatino Linotype" w:eastAsia="Palatino Linotype" w:hAnsi="Palatino Linotype" w:cs="Palatino Linotype"/>
          <w:color w:val="000000" w:themeColor="text1"/>
        </w:rPr>
        <w:t xml:space="preserve">fue omiso en entregar respuesta.  </w:t>
      </w:r>
    </w:p>
    <w:p w14:paraId="6FE6CE0E" w14:textId="77777777" w:rsidR="00AD363B" w:rsidRPr="00077A55" w:rsidRDefault="00AD363B" w:rsidP="00077A5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0C9BFAD" w14:textId="6CE503AB"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En dichas condiciones, la </w:t>
      </w:r>
      <w:r w:rsidRPr="00077A55">
        <w:rPr>
          <w:rFonts w:ascii="Palatino Linotype" w:eastAsia="Palatino Linotype" w:hAnsi="Palatino Linotype" w:cs="Palatino Linotype"/>
          <w:i/>
          <w:color w:val="000000" w:themeColor="text1"/>
        </w:rPr>
        <w:t>Litis</w:t>
      </w:r>
      <w:r w:rsidRPr="00077A55">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077A55">
        <w:rPr>
          <w:rFonts w:ascii="Palatino Linotype" w:eastAsia="Palatino Linotype" w:hAnsi="Palatino Linotype" w:cs="Palatino Linotype"/>
          <w:b/>
          <w:color w:val="000000" w:themeColor="text1"/>
        </w:rPr>
        <w:t xml:space="preserve">fracción </w:t>
      </w:r>
      <w:r w:rsidR="001540C0" w:rsidRPr="00077A55">
        <w:rPr>
          <w:rFonts w:ascii="Palatino Linotype" w:eastAsia="Palatino Linotype" w:hAnsi="Palatino Linotype" w:cs="Palatino Linotype"/>
          <w:b/>
          <w:color w:val="000000" w:themeColor="text1"/>
        </w:rPr>
        <w:t>VI</w:t>
      </w:r>
      <w:r w:rsidRPr="00077A55">
        <w:rPr>
          <w:rFonts w:ascii="Palatino Linotype" w:eastAsia="Palatino Linotype" w:hAnsi="Palatino Linotype" w:cs="Palatino Linotype"/>
          <w:b/>
          <w:color w:val="000000" w:themeColor="text1"/>
        </w:rPr>
        <w:t xml:space="preserve">I </w:t>
      </w:r>
      <w:r w:rsidRPr="00077A55">
        <w:rPr>
          <w:rFonts w:ascii="Palatino Linotype" w:eastAsia="Palatino Linotype" w:hAnsi="Palatino Linotype" w:cs="Palatino Linotype"/>
          <w:color w:val="000000" w:themeColor="text1"/>
        </w:rPr>
        <w:t>de la Ley</w:t>
      </w:r>
      <w:r w:rsidRPr="00077A55">
        <w:rPr>
          <w:rFonts w:ascii="Palatino Linotype" w:eastAsia="Palatino Linotype" w:hAnsi="Palatino Linotype" w:cs="Palatino Linotype"/>
          <w:b/>
          <w:color w:val="000000" w:themeColor="text1"/>
        </w:rPr>
        <w:t xml:space="preserve"> de Transparencia y Acceso a la Información Pública del Estado de </w:t>
      </w:r>
      <w:r w:rsidRPr="00077A55">
        <w:rPr>
          <w:rFonts w:ascii="Palatino Linotype" w:eastAsia="Palatino Linotype" w:hAnsi="Palatino Linotype" w:cs="Palatino Linotype"/>
          <w:color w:val="000000" w:themeColor="text1"/>
        </w:rPr>
        <w:t>México</w:t>
      </w:r>
      <w:r w:rsidRPr="00077A55">
        <w:rPr>
          <w:rFonts w:ascii="Palatino Linotype" w:eastAsia="Palatino Linotype" w:hAnsi="Palatino Linotype" w:cs="Palatino Linotype"/>
          <w:b/>
          <w:color w:val="000000" w:themeColor="text1"/>
        </w:rPr>
        <w:t xml:space="preserve"> y Municipios</w:t>
      </w:r>
      <w:r w:rsidRPr="00077A55">
        <w:rPr>
          <w:rFonts w:ascii="Palatino Linotype" w:eastAsia="Palatino Linotype" w:hAnsi="Palatino Linotype" w:cs="Palatino Linotype"/>
          <w:color w:val="000000" w:themeColor="text1"/>
        </w:rPr>
        <w:t xml:space="preserve">; fracción que determina la </w:t>
      </w:r>
      <w:r w:rsidR="001540C0" w:rsidRPr="00077A55">
        <w:rPr>
          <w:rFonts w:ascii="Palatino Linotype" w:eastAsia="Palatino Linotype" w:hAnsi="Palatino Linotype" w:cs="Palatino Linotype"/>
          <w:color w:val="000000" w:themeColor="text1"/>
        </w:rPr>
        <w:t>falta de respuesta a una solicitud de acceso a la información</w:t>
      </w:r>
      <w:r w:rsidRPr="00077A55">
        <w:rPr>
          <w:rFonts w:ascii="Palatino Linotype" w:eastAsia="Palatino Linotype" w:hAnsi="Palatino Linotype" w:cs="Palatino Linotype"/>
          <w:color w:val="000000" w:themeColor="text1"/>
        </w:rPr>
        <w:t xml:space="preserve">; contexto del cual se dolió </w:t>
      </w:r>
      <w:r w:rsidRPr="00077A55">
        <w:rPr>
          <w:rFonts w:ascii="Palatino Linotype" w:eastAsia="Palatino Linotype" w:hAnsi="Palatino Linotype" w:cs="Palatino Linotype"/>
          <w:b/>
          <w:color w:val="000000" w:themeColor="text1"/>
        </w:rPr>
        <w:t xml:space="preserve">EL RECURRENTE </w:t>
      </w:r>
      <w:r w:rsidRPr="00077A55">
        <w:rPr>
          <w:rFonts w:ascii="Palatino Linotype" w:eastAsia="Palatino Linotype" w:hAnsi="Palatino Linotype" w:cs="Palatino Linotype"/>
          <w:color w:val="000000" w:themeColor="text1"/>
        </w:rPr>
        <w:t>al momento de interponer su inconformidad.</w:t>
      </w:r>
    </w:p>
    <w:p w14:paraId="36CB4C4E" w14:textId="77777777" w:rsidR="00AD363B" w:rsidRPr="00077A55" w:rsidRDefault="00AD363B" w:rsidP="00077A5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07F49B8" w14:textId="77777777" w:rsidR="00AD363B" w:rsidRPr="00077A55" w:rsidRDefault="00AD363B" w:rsidP="00077A55">
      <w:pPr>
        <w:keepNext/>
        <w:keepLines/>
        <w:spacing w:line="360" w:lineRule="auto"/>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color w:val="000000" w:themeColor="text1"/>
        </w:rPr>
        <w:t>CUARTO. Del estudio y resolución del asunto</w:t>
      </w:r>
    </w:p>
    <w:p w14:paraId="783B8BB7" w14:textId="77777777" w:rsidR="00AD363B" w:rsidRPr="00077A55" w:rsidRDefault="00AD363B" w:rsidP="00077A55">
      <w:pPr>
        <w:keepNext/>
        <w:keepLines/>
        <w:numPr>
          <w:ilvl w:val="0"/>
          <w:numId w:val="11"/>
        </w:numPr>
        <w:spacing w:after="240" w:line="360" w:lineRule="auto"/>
        <w:ind w:left="0" w:firstLine="0"/>
        <w:rPr>
          <w:rFonts w:ascii="Palatino Linotype" w:eastAsia="Palatino Linotype" w:hAnsi="Palatino Linotype" w:cs="Palatino Linotype"/>
          <w:b/>
          <w:color w:val="000000" w:themeColor="text1"/>
        </w:rPr>
      </w:pPr>
      <w:bookmarkStart w:id="5" w:name="_heading=h.1t3h5sf" w:colFirst="0" w:colLast="0"/>
      <w:bookmarkEnd w:id="5"/>
      <w:r w:rsidRPr="00077A55">
        <w:rPr>
          <w:rFonts w:ascii="Palatino Linotype" w:eastAsia="Palatino Linotype" w:hAnsi="Palatino Linotype" w:cs="Palatino Linotype"/>
          <w:b/>
          <w:color w:val="000000" w:themeColor="text1"/>
        </w:rPr>
        <w:t>Del derecho de acceso a la información.</w:t>
      </w:r>
    </w:p>
    <w:p w14:paraId="1F6BE1CB"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08C1FB65"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p>
    <w:p w14:paraId="14D61295"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 xml:space="preserve">Definiendo el Derecho de Acceso a la Información Pública como: </w:t>
      </w:r>
      <w:r w:rsidRPr="00077A55">
        <w:rPr>
          <w:rFonts w:ascii="Palatino Linotype" w:eastAsia="Palatino Linotype" w:hAnsi="Palatino Linotype" w:cs="Palatino Linotype"/>
          <w:i/>
          <w:color w:val="000000" w:themeColor="text1"/>
        </w:rPr>
        <w:t>La igualdad de oportunidades para recibir, buscar e impartir información</w:t>
      </w:r>
      <w:r w:rsidRPr="00077A55">
        <w:rPr>
          <w:rFonts w:ascii="Palatino Linotype" w:eastAsia="Palatino Linotype" w:hAnsi="Palatino Linotype" w:cs="Palatino Linotype"/>
          <w:i/>
          <w:color w:val="000000" w:themeColor="text1"/>
          <w:vertAlign w:val="superscript"/>
        </w:rPr>
        <w:footnoteReference w:id="1"/>
      </w:r>
      <w:r w:rsidRPr="00077A55">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77A55">
        <w:rPr>
          <w:rFonts w:ascii="Palatino Linotype" w:eastAsia="Palatino Linotype" w:hAnsi="Palatino Linotype" w:cs="Palatino Linotype"/>
          <w:i/>
          <w:color w:val="000000" w:themeColor="text1"/>
          <w:vertAlign w:val="superscript"/>
        </w:rPr>
        <w:footnoteReference w:id="2"/>
      </w:r>
      <w:r w:rsidRPr="00077A55">
        <w:rPr>
          <w:rFonts w:ascii="Palatino Linotype" w:eastAsia="Palatino Linotype" w:hAnsi="Palatino Linotype" w:cs="Palatino Linotype"/>
          <w:color w:val="000000" w:themeColor="text1"/>
        </w:rPr>
        <w:t>que se constituye como una herramienta fundamental para ejercer</w:t>
      </w:r>
      <w:r w:rsidRPr="00077A55">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077A55">
        <w:rPr>
          <w:rFonts w:ascii="Palatino Linotype" w:eastAsia="Palatino Linotype" w:hAnsi="Palatino Linotype" w:cs="Palatino Linotype"/>
          <w:i/>
          <w:color w:val="000000" w:themeColor="text1"/>
          <w:vertAlign w:val="superscript"/>
        </w:rPr>
        <w:footnoteReference w:id="3"/>
      </w:r>
      <w:r w:rsidRPr="00077A55">
        <w:rPr>
          <w:rFonts w:ascii="Palatino Linotype" w:eastAsia="Palatino Linotype" w:hAnsi="Palatino Linotype" w:cs="Palatino Linotype"/>
          <w:color w:val="000000" w:themeColor="text1"/>
        </w:rPr>
        <w:t>fomentando</w:t>
      </w:r>
      <w:r w:rsidRPr="00077A55">
        <w:rPr>
          <w:rFonts w:ascii="Palatino Linotype" w:eastAsia="Palatino Linotype" w:hAnsi="Palatino Linotype" w:cs="Palatino Linotype"/>
          <w:i/>
          <w:color w:val="000000" w:themeColor="text1"/>
        </w:rPr>
        <w:t xml:space="preserve"> la transparencia de las actividades estatales y </w:t>
      </w:r>
      <w:r w:rsidRPr="00077A55">
        <w:rPr>
          <w:rFonts w:ascii="Palatino Linotype" w:eastAsia="Palatino Linotype" w:hAnsi="Palatino Linotype" w:cs="Palatino Linotype"/>
          <w:color w:val="000000" w:themeColor="text1"/>
        </w:rPr>
        <w:t>promoviendo</w:t>
      </w:r>
      <w:r w:rsidRPr="00077A55">
        <w:rPr>
          <w:rFonts w:ascii="Palatino Linotype" w:eastAsia="Palatino Linotype" w:hAnsi="Palatino Linotype" w:cs="Palatino Linotype"/>
          <w:i/>
          <w:color w:val="000000" w:themeColor="text1"/>
        </w:rPr>
        <w:t xml:space="preserve"> la responsabilidad de los funcionarios sobre su gestión pública,</w:t>
      </w:r>
      <w:r w:rsidRPr="00077A55">
        <w:rPr>
          <w:rFonts w:ascii="Palatino Linotype" w:eastAsia="Palatino Linotype" w:hAnsi="Palatino Linotype" w:cs="Palatino Linotype"/>
          <w:i/>
          <w:color w:val="000000" w:themeColor="text1"/>
          <w:vertAlign w:val="superscript"/>
        </w:rPr>
        <w:footnoteReference w:id="4"/>
      </w:r>
      <w:r w:rsidRPr="00077A55">
        <w:rPr>
          <w:rFonts w:ascii="Palatino Linotype" w:eastAsia="Palatino Linotype" w:hAnsi="Palatino Linotype" w:cs="Palatino Linotype"/>
          <w:color w:val="000000" w:themeColor="text1"/>
        </w:rPr>
        <w:t>que permite</w:t>
      </w:r>
      <w:r w:rsidRPr="00077A55">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73939D24"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p>
    <w:p w14:paraId="01006512"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24796ADB"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w:t>
      </w:r>
      <w:r w:rsidRPr="00077A55">
        <w:rPr>
          <w:rFonts w:ascii="Palatino Linotype" w:eastAsia="Palatino Linotype" w:hAnsi="Palatino Linotype" w:cs="Palatino Linotype"/>
          <w:b/>
          <w:i/>
          <w:color w:val="000000" w:themeColor="text1"/>
        </w:rPr>
        <w:t>Artículo 1.-</w:t>
      </w:r>
      <w:r w:rsidRPr="00077A55">
        <w:rPr>
          <w:rFonts w:ascii="Palatino Linotype" w:eastAsia="Palatino Linotype" w:hAnsi="Palatino Linotype" w:cs="Palatino Linotype"/>
          <w:i/>
          <w:color w:val="000000" w:themeColor="text1"/>
        </w:rPr>
        <w:t xml:space="preserve"> </w:t>
      </w:r>
    </w:p>
    <w:p w14:paraId="61052591"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w:t>
      </w:r>
    </w:p>
    <w:p w14:paraId="1D7F113E" w14:textId="77777777" w:rsidR="00AD363B" w:rsidRPr="00077A55" w:rsidRDefault="00AD363B"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Todas las</w:t>
      </w:r>
      <w:r w:rsidRPr="00077A55">
        <w:rPr>
          <w:rFonts w:ascii="Palatino Linotype" w:eastAsia="Palatino Linotype" w:hAnsi="Palatino Linotype" w:cs="Palatino Linotype"/>
          <w:color w:val="000000" w:themeColor="text1"/>
        </w:rPr>
        <w:t xml:space="preserve"> </w:t>
      </w:r>
      <w:r w:rsidRPr="00077A55">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EC54659" w14:textId="77777777" w:rsidR="00AD363B" w:rsidRPr="00077A55" w:rsidRDefault="00AD363B" w:rsidP="00077A55">
      <w:pPr>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i/>
          <w:color w:val="000000" w:themeColor="text1"/>
        </w:rPr>
        <w:t>(…)</w:t>
      </w:r>
      <w:r w:rsidRPr="00077A55">
        <w:rPr>
          <w:rFonts w:ascii="Palatino Linotype" w:eastAsia="Palatino Linotype" w:hAnsi="Palatino Linotype" w:cs="Palatino Linotype"/>
          <w:color w:val="000000" w:themeColor="text1"/>
        </w:rPr>
        <w:t>”.</w:t>
      </w:r>
    </w:p>
    <w:p w14:paraId="6EC749F7"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E6D6C9B"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p>
    <w:p w14:paraId="76EC7B74"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31E37D76" w14:textId="77777777" w:rsidR="00AD363B" w:rsidRPr="00077A55" w:rsidRDefault="00AD363B" w:rsidP="00077A55">
      <w:pPr>
        <w:tabs>
          <w:tab w:val="left" w:pos="7938"/>
        </w:tabs>
        <w:spacing w:after="240"/>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Constitución Política de los Estados Unidos Mexicanos</w:t>
      </w:r>
    </w:p>
    <w:p w14:paraId="7F50DB4D" w14:textId="77777777" w:rsidR="00AD363B" w:rsidRPr="00077A55" w:rsidRDefault="00AD363B" w:rsidP="00077A55">
      <w:pPr>
        <w:tabs>
          <w:tab w:val="left" w:pos="7938"/>
        </w:tabs>
        <w:spacing w:before="240" w:after="240"/>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“Artículo 6.</w:t>
      </w:r>
    </w:p>
    <w:p w14:paraId="5BFA0518" w14:textId="77777777" w:rsidR="00AD363B" w:rsidRPr="00077A55" w:rsidRDefault="00AD363B" w:rsidP="00077A55">
      <w:pPr>
        <w:tabs>
          <w:tab w:val="left" w:pos="7938"/>
        </w:tabs>
        <w:spacing w:before="240" w:after="24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w:t>
      </w:r>
    </w:p>
    <w:p w14:paraId="21A247C2" w14:textId="77777777" w:rsidR="00AD363B" w:rsidRPr="00077A55" w:rsidRDefault="00AD363B" w:rsidP="00077A55">
      <w:pPr>
        <w:tabs>
          <w:tab w:val="left" w:pos="7938"/>
        </w:tabs>
        <w:spacing w:before="240" w:after="24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Para efectos de lo dispuesto en el presente artículo se observará lo siguiente:</w:t>
      </w:r>
    </w:p>
    <w:p w14:paraId="69A78F60" w14:textId="77777777" w:rsidR="00AD363B" w:rsidRPr="00077A55" w:rsidRDefault="00AD363B" w:rsidP="00077A55">
      <w:pPr>
        <w:tabs>
          <w:tab w:val="left" w:pos="7938"/>
        </w:tabs>
        <w:spacing w:before="240" w:after="240"/>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A</w:t>
      </w:r>
      <w:r w:rsidRPr="00077A55">
        <w:rPr>
          <w:rFonts w:ascii="Palatino Linotype" w:eastAsia="Palatino Linotype" w:hAnsi="Palatino Linotype" w:cs="Palatino Linotype"/>
          <w:i/>
          <w:color w:val="000000" w:themeColor="text1"/>
        </w:rPr>
        <w:t xml:space="preserve">. </w:t>
      </w:r>
      <w:r w:rsidRPr="00077A55">
        <w:rPr>
          <w:rFonts w:ascii="Palatino Linotype" w:eastAsia="Palatino Linotype" w:hAnsi="Palatino Linotype" w:cs="Palatino Linotype"/>
          <w:b/>
          <w:i/>
          <w:color w:val="000000" w:themeColor="text1"/>
        </w:rPr>
        <w:t>Para el ejercicio del derecho de acceso a la información</w:t>
      </w:r>
      <w:r w:rsidRPr="00077A55">
        <w:rPr>
          <w:rFonts w:ascii="Palatino Linotype" w:eastAsia="Palatino Linotype" w:hAnsi="Palatino Linotype" w:cs="Palatino Linotype"/>
          <w:i/>
          <w:color w:val="000000" w:themeColor="text1"/>
        </w:rPr>
        <w:t xml:space="preserve">, la Federación y </w:t>
      </w:r>
      <w:r w:rsidRPr="00077A55">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5C345507" w14:textId="77777777" w:rsidR="00AD363B" w:rsidRPr="00077A55" w:rsidRDefault="00AD363B" w:rsidP="00077A55">
      <w:pPr>
        <w:tabs>
          <w:tab w:val="left" w:pos="7938"/>
        </w:tabs>
        <w:spacing w:before="240" w:after="24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b/>
          <w:i/>
          <w:color w:val="000000" w:themeColor="text1"/>
        </w:rPr>
        <w:t>I. Toda la información en posesión de cualquier</w:t>
      </w:r>
      <w:r w:rsidRPr="00077A55">
        <w:rPr>
          <w:rFonts w:ascii="Palatino Linotype" w:eastAsia="Palatino Linotype" w:hAnsi="Palatino Linotype" w:cs="Palatino Linotype"/>
          <w:i/>
          <w:color w:val="000000" w:themeColor="text1"/>
        </w:rPr>
        <w:t xml:space="preserve"> </w:t>
      </w:r>
      <w:r w:rsidRPr="00077A55">
        <w:rPr>
          <w:rFonts w:ascii="Palatino Linotype" w:eastAsia="Palatino Linotype" w:hAnsi="Palatino Linotype" w:cs="Palatino Linotype"/>
          <w:b/>
          <w:i/>
          <w:color w:val="000000" w:themeColor="text1"/>
        </w:rPr>
        <w:t>autoridad</w:t>
      </w:r>
      <w:r w:rsidRPr="00077A55">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77A55">
        <w:rPr>
          <w:rFonts w:ascii="Palatino Linotype" w:eastAsia="Palatino Linotype" w:hAnsi="Palatino Linotype" w:cs="Palatino Linotype"/>
          <w:b/>
          <w:i/>
          <w:color w:val="000000" w:themeColor="text1"/>
        </w:rPr>
        <w:t>municipal</w:t>
      </w:r>
      <w:r w:rsidRPr="00077A55">
        <w:rPr>
          <w:rFonts w:ascii="Palatino Linotype" w:eastAsia="Palatino Linotype" w:hAnsi="Palatino Linotype" w:cs="Palatino Linotype"/>
          <w:i/>
          <w:color w:val="000000" w:themeColor="text1"/>
        </w:rPr>
        <w:t xml:space="preserve">, </w:t>
      </w:r>
      <w:r w:rsidRPr="00077A55">
        <w:rPr>
          <w:rFonts w:ascii="Palatino Linotype" w:eastAsia="Palatino Linotype" w:hAnsi="Palatino Linotype" w:cs="Palatino Linotype"/>
          <w:b/>
          <w:i/>
          <w:color w:val="000000" w:themeColor="text1"/>
        </w:rPr>
        <w:t>es pública</w:t>
      </w:r>
      <w:r w:rsidRPr="00077A55">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077A55">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077A55">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5EAED0BF" w14:textId="77777777" w:rsidR="00AD363B" w:rsidRPr="00077A55" w:rsidRDefault="00AD363B" w:rsidP="00077A55">
      <w:pPr>
        <w:tabs>
          <w:tab w:val="left" w:pos="567"/>
          <w:tab w:val="left" w:pos="7938"/>
        </w:tabs>
        <w:spacing w:before="240"/>
        <w:jc w:val="both"/>
        <w:rPr>
          <w:rFonts w:ascii="Palatino Linotype" w:eastAsia="Palatino Linotype" w:hAnsi="Palatino Linotype" w:cs="Palatino Linotype"/>
          <w:b/>
          <w:i/>
          <w:color w:val="000000" w:themeColor="text1"/>
        </w:rPr>
      </w:pPr>
    </w:p>
    <w:p w14:paraId="738B1C1B" w14:textId="77777777" w:rsidR="00AD363B" w:rsidRPr="00077A55" w:rsidRDefault="00AD363B" w:rsidP="00077A55">
      <w:pPr>
        <w:tabs>
          <w:tab w:val="left" w:pos="7938"/>
        </w:tabs>
        <w:spacing w:after="240"/>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lastRenderedPageBreak/>
        <w:t>Constitución Política del Estado Libre y Soberano de México</w:t>
      </w:r>
    </w:p>
    <w:p w14:paraId="3AC22727" w14:textId="77777777" w:rsidR="00AD363B" w:rsidRPr="00077A55" w:rsidRDefault="00AD363B" w:rsidP="00077A55">
      <w:pPr>
        <w:tabs>
          <w:tab w:val="left" w:pos="7938"/>
        </w:tabs>
        <w:spacing w:before="240" w:after="24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b/>
          <w:i/>
          <w:color w:val="000000" w:themeColor="text1"/>
        </w:rPr>
        <w:t>“Artículo 5</w:t>
      </w:r>
      <w:r w:rsidRPr="00077A55">
        <w:rPr>
          <w:rFonts w:ascii="Palatino Linotype" w:eastAsia="Palatino Linotype" w:hAnsi="Palatino Linotype" w:cs="Palatino Linotype"/>
          <w:i/>
          <w:color w:val="000000" w:themeColor="text1"/>
        </w:rPr>
        <w:t xml:space="preserve">.- </w:t>
      </w:r>
    </w:p>
    <w:p w14:paraId="4564DA03" w14:textId="77777777" w:rsidR="00AD363B" w:rsidRPr="00077A55" w:rsidRDefault="00AD363B" w:rsidP="00077A55">
      <w:pPr>
        <w:tabs>
          <w:tab w:val="left" w:pos="7938"/>
        </w:tabs>
        <w:spacing w:before="240" w:after="24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w:t>
      </w:r>
    </w:p>
    <w:p w14:paraId="490C6C92" w14:textId="77777777" w:rsidR="00AD363B" w:rsidRPr="00077A55" w:rsidRDefault="00AD363B" w:rsidP="00077A55">
      <w:pPr>
        <w:tabs>
          <w:tab w:val="left" w:pos="7938"/>
        </w:tabs>
        <w:spacing w:before="240" w:after="24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077A55">
        <w:rPr>
          <w:rFonts w:ascii="Palatino Linotype" w:eastAsia="Palatino Linotype" w:hAnsi="Palatino Linotype" w:cs="Palatino Linotype"/>
          <w:i/>
          <w:color w:val="000000" w:themeColor="text1"/>
        </w:rPr>
        <w:t>.</w:t>
      </w:r>
    </w:p>
    <w:p w14:paraId="7CAE01D0" w14:textId="77777777" w:rsidR="00AD363B" w:rsidRPr="00077A55" w:rsidRDefault="00AD363B" w:rsidP="00077A55">
      <w:pPr>
        <w:tabs>
          <w:tab w:val="left" w:pos="7938"/>
        </w:tabs>
        <w:spacing w:before="240" w:after="24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A889487" w14:textId="77777777" w:rsidR="00AD363B" w:rsidRPr="00077A55" w:rsidRDefault="00AD363B" w:rsidP="00077A55">
      <w:pPr>
        <w:tabs>
          <w:tab w:val="left" w:pos="7938"/>
        </w:tabs>
        <w:spacing w:before="240" w:after="24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b/>
          <w:i/>
          <w:color w:val="000000" w:themeColor="text1"/>
        </w:rPr>
        <w:t>Este derecho se regirá por los principios y bases siguientes</w:t>
      </w:r>
      <w:r w:rsidRPr="00077A55">
        <w:rPr>
          <w:rFonts w:ascii="Palatino Linotype" w:eastAsia="Palatino Linotype" w:hAnsi="Palatino Linotype" w:cs="Palatino Linotype"/>
          <w:i/>
          <w:color w:val="000000" w:themeColor="text1"/>
        </w:rPr>
        <w:t>:</w:t>
      </w:r>
    </w:p>
    <w:p w14:paraId="24B6E493" w14:textId="77777777" w:rsidR="00AD363B" w:rsidRPr="00077A55" w:rsidRDefault="00AD363B" w:rsidP="00077A55">
      <w:pPr>
        <w:tabs>
          <w:tab w:val="left" w:pos="7938"/>
        </w:tabs>
        <w:spacing w:before="240" w:after="24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b/>
          <w:i/>
          <w:color w:val="000000" w:themeColor="text1"/>
        </w:rPr>
        <w:t>I. Toda la información en posesión de cualquier autoridad, entidad, órgano y organismos de los</w:t>
      </w:r>
      <w:r w:rsidRPr="00077A55">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077A55">
        <w:rPr>
          <w:rFonts w:ascii="Palatino Linotype" w:eastAsia="Palatino Linotype" w:hAnsi="Palatino Linotype" w:cs="Palatino Linotype"/>
          <w:b/>
          <w:i/>
          <w:color w:val="000000" w:themeColor="text1"/>
        </w:rPr>
        <w:t>municipales</w:t>
      </w:r>
      <w:r w:rsidRPr="00077A55">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77A55">
        <w:rPr>
          <w:rFonts w:ascii="Palatino Linotype" w:eastAsia="Palatino Linotype" w:hAnsi="Palatino Linotype" w:cs="Palatino Linotype"/>
          <w:b/>
          <w:i/>
          <w:color w:val="000000" w:themeColor="text1"/>
        </w:rPr>
        <w:t>es pública</w:t>
      </w:r>
      <w:r w:rsidRPr="00077A55">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077A55">
        <w:rPr>
          <w:rFonts w:ascii="Palatino Linotype" w:eastAsia="Palatino Linotype" w:hAnsi="Palatino Linotype" w:cs="Palatino Linotype"/>
          <w:b/>
          <w:i/>
          <w:color w:val="000000" w:themeColor="text1"/>
        </w:rPr>
        <w:t>En la interpretación de este derecho deberá prevalecer el principio de máxima publicidad</w:t>
      </w:r>
      <w:r w:rsidRPr="00077A55">
        <w:rPr>
          <w:rFonts w:ascii="Palatino Linotype" w:eastAsia="Palatino Linotype" w:hAnsi="Palatino Linotype" w:cs="Palatino Linotype"/>
          <w:i/>
          <w:color w:val="000000" w:themeColor="text1"/>
        </w:rPr>
        <w:t xml:space="preserve">. </w:t>
      </w:r>
      <w:r w:rsidRPr="00077A55">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077A55">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176B939A" w14:textId="77777777" w:rsidR="00AD363B" w:rsidRPr="00077A55" w:rsidRDefault="00AD363B" w:rsidP="00077A55">
      <w:pPr>
        <w:tabs>
          <w:tab w:val="left" w:pos="567"/>
        </w:tabs>
        <w:spacing w:before="240" w:after="240"/>
        <w:jc w:val="both"/>
        <w:rPr>
          <w:rFonts w:ascii="Palatino Linotype" w:eastAsia="Palatino Linotype" w:hAnsi="Palatino Linotype" w:cs="Palatino Linotype"/>
          <w:b/>
          <w:i/>
          <w:color w:val="000000" w:themeColor="text1"/>
        </w:rPr>
      </w:pPr>
    </w:p>
    <w:p w14:paraId="150A3744"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077A55">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077A55">
        <w:rPr>
          <w:rFonts w:ascii="Palatino Linotype" w:eastAsia="Palatino Linotype" w:hAnsi="Palatino Linotype" w:cs="Palatino Linotype"/>
          <w:color w:val="000000" w:themeColor="text1"/>
        </w:rPr>
        <w:t>, contemplando el derecho de las personas con discapacidad y hablantes de lengua indígena.</w:t>
      </w:r>
    </w:p>
    <w:p w14:paraId="43F6E7A5"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p>
    <w:p w14:paraId="72218AC4"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 xml:space="preserve">El Derecho de Acceso a la Información se garantiza y respeta oportunamente, y según lo que dispone la Ley, las </w:t>
      </w:r>
      <w:r w:rsidRPr="00077A55">
        <w:rPr>
          <w:rFonts w:ascii="Palatino Linotype" w:eastAsia="Palatino Linotype" w:hAnsi="Palatino Linotype" w:cs="Palatino Linotype"/>
          <w:i/>
          <w:color w:val="000000" w:themeColor="text1"/>
        </w:rPr>
        <w:t>solicitudes de acceso a la información</w:t>
      </w:r>
      <w:r w:rsidRPr="00077A55">
        <w:rPr>
          <w:rFonts w:ascii="Palatino Linotype" w:eastAsia="Palatino Linotype" w:hAnsi="Palatino Linotype" w:cs="Palatino Linotype"/>
          <w:color w:val="000000" w:themeColor="text1"/>
        </w:rPr>
        <w:t>.</w:t>
      </w:r>
    </w:p>
    <w:p w14:paraId="0BD57BA4"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p>
    <w:p w14:paraId="17F4EE90"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6" w:name="_heading=h.4d34og8" w:colFirst="0" w:colLast="0"/>
      <w:bookmarkEnd w:id="6"/>
      <w:r w:rsidRPr="00077A55">
        <w:rPr>
          <w:rFonts w:ascii="Palatino Linotype" w:eastAsia="Palatino Linotype" w:hAnsi="Palatino Linotype" w:cs="Palatino Linotype"/>
          <w:color w:val="000000" w:themeColor="text1"/>
        </w:rPr>
        <w:t xml:space="preserve">Así entonces, se procede analizar, en primer lugar, si el </w:t>
      </w:r>
      <w:r w:rsidRPr="00077A55">
        <w:rPr>
          <w:rFonts w:ascii="Palatino Linotype" w:eastAsia="Palatino Linotype" w:hAnsi="Palatino Linotype" w:cs="Palatino Linotype"/>
          <w:b/>
          <w:color w:val="000000" w:themeColor="text1"/>
        </w:rPr>
        <w:t>SUJETO OBLIGADO</w:t>
      </w:r>
      <w:r w:rsidRPr="00077A55">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A70D5B1"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p>
    <w:p w14:paraId="45C2B6CD" w14:textId="77777777" w:rsidR="00AD363B" w:rsidRPr="00077A55" w:rsidRDefault="00AD363B" w:rsidP="00077A55">
      <w:pPr>
        <w:keepNext/>
        <w:keepLines/>
        <w:spacing w:after="240" w:line="360" w:lineRule="auto"/>
        <w:rPr>
          <w:rFonts w:ascii="Palatino Linotype" w:eastAsia="Palatino Linotype" w:hAnsi="Palatino Linotype" w:cs="Palatino Linotype"/>
          <w:b/>
          <w:color w:val="000000" w:themeColor="text1"/>
        </w:rPr>
      </w:pPr>
      <w:bookmarkStart w:id="7" w:name="_heading=h.2s8eyo1" w:colFirst="0" w:colLast="0"/>
      <w:bookmarkEnd w:id="7"/>
      <w:r w:rsidRPr="00077A55">
        <w:rPr>
          <w:rFonts w:ascii="Palatino Linotype" w:eastAsia="Palatino Linotype" w:hAnsi="Palatino Linotype" w:cs="Palatino Linotype"/>
          <w:b/>
          <w:color w:val="000000" w:themeColor="text1"/>
        </w:rPr>
        <w:t>II. De la información solicitada y la respuesta del SUJETO OBLIGADO</w:t>
      </w:r>
    </w:p>
    <w:p w14:paraId="59EBA598" w14:textId="77777777" w:rsidR="00AD363B" w:rsidRPr="00077A55" w:rsidRDefault="00AD363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Ahora bien, es necesario recordar la información que fue solicitada por el </w:t>
      </w:r>
      <w:r w:rsidRPr="00077A55">
        <w:rPr>
          <w:rFonts w:ascii="Palatino Linotype" w:eastAsia="Palatino Linotype" w:hAnsi="Palatino Linotype" w:cs="Palatino Linotype"/>
          <w:b/>
          <w:color w:val="000000" w:themeColor="text1"/>
        </w:rPr>
        <w:t xml:space="preserve">RECURRENTE </w:t>
      </w:r>
      <w:r w:rsidRPr="00077A55">
        <w:rPr>
          <w:rFonts w:ascii="Palatino Linotype" w:eastAsia="Palatino Linotype" w:hAnsi="Palatino Linotype" w:cs="Palatino Linotype"/>
          <w:color w:val="000000" w:themeColor="text1"/>
        </w:rPr>
        <w:t>consistió en obtener lo siguiente</w:t>
      </w:r>
      <w:r w:rsidRPr="00077A55">
        <w:rPr>
          <w:rFonts w:ascii="Palatino Linotype" w:eastAsia="Palatino Linotype" w:hAnsi="Palatino Linotype" w:cs="Palatino Linotype"/>
          <w:b/>
          <w:i/>
          <w:color w:val="000000" w:themeColor="text1"/>
        </w:rPr>
        <w:t xml:space="preserve">. </w:t>
      </w:r>
    </w:p>
    <w:p w14:paraId="7367E552" w14:textId="77777777" w:rsidR="00AD363B" w:rsidRPr="00077A55" w:rsidRDefault="00AD363B" w:rsidP="00077A55">
      <w:pPr>
        <w:pBdr>
          <w:top w:val="nil"/>
          <w:left w:val="nil"/>
          <w:bottom w:val="nil"/>
          <w:right w:val="nil"/>
          <w:between w:val="nil"/>
        </w:pBdr>
        <w:jc w:val="both"/>
        <w:rPr>
          <w:rFonts w:ascii="Palatino Linotype" w:eastAsia="Palatino Linotype" w:hAnsi="Palatino Linotype" w:cs="Palatino Linotype"/>
          <w:b/>
          <w:i/>
          <w:color w:val="000000" w:themeColor="text1"/>
        </w:rPr>
      </w:pPr>
    </w:p>
    <w:tbl>
      <w:tblPr>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132"/>
        <w:gridCol w:w="2404"/>
        <w:gridCol w:w="2494"/>
      </w:tblGrid>
      <w:tr w:rsidR="00077A55" w:rsidRPr="00077A55" w14:paraId="717F760E" w14:textId="77777777" w:rsidTr="00884273">
        <w:tc>
          <w:tcPr>
            <w:tcW w:w="2689" w:type="dxa"/>
          </w:tcPr>
          <w:p w14:paraId="73D5602A" w14:textId="77777777" w:rsidR="00AD363B" w:rsidRPr="00077A55" w:rsidRDefault="00AD363B" w:rsidP="00077A55">
            <w:pPr>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Información solicitada</w:t>
            </w:r>
          </w:p>
        </w:tc>
        <w:tc>
          <w:tcPr>
            <w:tcW w:w="2132" w:type="dxa"/>
          </w:tcPr>
          <w:p w14:paraId="5BD72251" w14:textId="77777777" w:rsidR="00AD363B" w:rsidRPr="00077A55" w:rsidRDefault="00AD363B" w:rsidP="00077A55">
            <w:pPr>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 xml:space="preserve">Respuesta </w:t>
            </w:r>
          </w:p>
        </w:tc>
        <w:tc>
          <w:tcPr>
            <w:tcW w:w="2404" w:type="dxa"/>
          </w:tcPr>
          <w:p w14:paraId="674C6F64" w14:textId="77777777" w:rsidR="00AD363B" w:rsidRPr="00077A55" w:rsidRDefault="00AD363B" w:rsidP="00077A55">
            <w:pPr>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Manifestaciones</w:t>
            </w:r>
          </w:p>
        </w:tc>
        <w:tc>
          <w:tcPr>
            <w:tcW w:w="2494" w:type="dxa"/>
          </w:tcPr>
          <w:p w14:paraId="7A5A33BB" w14:textId="77777777" w:rsidR="00AD363B" w:rsidRPr="00077A55" w:rsidRDefault="00AD363B" w:rsidP="00077A55">
            <w:pPr>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 xml:space="preserve">Colma </w:t>
            </w:r>
          </w:p>
        </w:tc>
      </w:tr>
      <w:tr w:rsidR="00AD363B" w:rsidRPr="00077A55" w14:paraId="2DAC256E" w14:textId="77777777" w:rsidTr="00884273">
        <w:tc>
          <w:tcPr>
            <w:tcW w:w="2689" w:type="dxa"/>
          </w:tcPr>
          <w:p w14:paraId="41E0F14B" w14:textId="77777777" w:rsidR="00AD363B" w:rsidRPr="00077A55" w:rsidRDefault="001540C0" w:rsidP="00077A55">
            <w:pPr>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 xml:space="preserve">Licencias de funcionamiento y recibos de pago en las que se autoriza la venta de bebidas alcohólicas del uno de enero al diecinueve de junio de dos mil veinticinco. </w:t>
            </w:r>
          </w:p>
          <w:p w14:paraId="6D95ADF9" w14:textId="77777777" w:rsidR="00AD363B" w:rsidRPr="00077A55" w:rsidRDefault="00AD363B" w:rsidP="00077A55">
            <w:pPr>
              <w:jc w:val="both"/>
              <w:rPr>
                <w:rFonts w:ascii="Palatino Linotype" w:eastAsia="Palatino Linotype" w:hAnsi="Palatino Linotype" w:cs="Palatino Linotype"/>
                <w:b/>
                <w:i/>
                <w:color w:val="000000" w:themeColor="text1"/>
              </w:rPr>
            </w:pPr>
          </w:p>
        </w:tc>
        <w:tc>
          <w:tcPr>
            <w:tcW w:w="2132" w:type="dxa"/>
          </w:tcPr>
          <w:p w14:paraId="22402098" w14:textId="77777777" w:rsidR="00AD363B" w:rsidRPr="00077A55" w:rsidRDefault="00A85AEC"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No hubo respuesta inicial </w:t>
            </w:r>
          </w:p>
        </w:tc>
        <w:tc>
          <w:tcPr>
            <w:tcW w:w="2404" w:type="dxa"/>
          </w:tcPr>
          <w:p w14:paraId="112F39DE" w14:textId="77777777" w:rsidR="00A85AEC" w:rsidRPr="00077A55" w:rsidRDefault="00A85AEC" w:rsidP="00077A55">
            <w:pPr>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 xml:space="preserve">DDYFE-540-2025.pdf: </w:t>
            </w:r>
            <w:r w:rsidRPr="00077A55">
              <w:rPr>
                <w:rFonts w:ascii="Palatino Linotype" w:eastAsia="Palatino Linotype" w:hAnsi="Palatino Linotype" w:cs="Palatino Linotype"/>
                <w:i/>
                <w:color w:val="000000" w:themeColor="text1"/>
              </w:rPr>
              <w:t>oficio de la Directora de Desarrollo y Fomento Económico, mediante el cual informa que no puede entregar la información solicitada, toda vez que se debe guardar el secreto y sigilo de los datos personales confidenciales.</w:t>
            </w:r>
            <w:r w:rsidRPr="00077A55">
              <w:rPr>
                <w:rFonts w:ascii="Palatino Linotype" w:eastAsia="Palatino Linotype" w:hAnsi="Palatino Linotype" w:cs="Palatino Linotype"/>
                <w:b/>
                <w:i/>
                <w:color w:val="000000" w:themeColor="text1"/>
              </w:rPr>
              <w:t xml:space="preserve">  </w:t>
            </w:r>
          </w:p>
          <w:p w14:paraId="5BCBBA89" w14:textId="77777777" w:rsidR="00AD363B" w:rsidRPr="00077A55" w:rsidRDefault="00AD363B" w:rsidP="00077A55">
            <w:pPr>
              <w:jc w:val="both"/>
              <w:rPr>
                <w:rFonts w:ascii="Palatino Linotype" w:eastAsia="Palatino Linotype" w:hAnsi="Palatino Linotype" w:cs="Palatino Linotype"/>
                <w:b/>
                <w:i/>
                <w:color w:val="000000" w:themeColor="text1"/>
              </w:rPr>
            </w:pPr>
          </w:p>
        </w:tc>
        <w:tc>
          <w:tcPr>
            <w:tcW w:w="2494" w:type="dxa"/>
          </w:tcPr>
          <w:p w14:paraId="31BFFF26" w14:textId="77777777" w:rsidR="00AD363B" w:rsidRPr="00077A55" w:rsidRDefault="00A85AEC" w:rsidP="00077A55">
            <w:pPr>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i/>
                <w:color w:val="000000" w:themeColor="text1"/>
              </w:rPr>
              <w:t xml:space="preserve">No colma toda vez que la información solicitada no fue entregada por el </w:t>
            </w:r>
            <w:r w:rsidR="000821EB" w:rsidRPr="00077A55">
              <w:rPr>
                <w:rFonts w:ascii="Palatino Linotype" w:eastAsia="Palatino Linotype" w:hAnsi="Palatino Linotype" w:cs="Palatino Linotype"/>
                <w:b/>
                <w:i/>
                <w:color w:val="000000" w:themeColor="text1"/>
              </w:rPr>
              <w:t xml:space="preserve">SUJETO OBLIGADO, situación por la cual se debe de precisar que lo solicitado forma parte de las obligaciones de transparencia común de acuerdo con el artículo 92 fracción XXXII de la Ley  de </w:t>
            </w:r>
            <w:r w:rsidR="000821EB" w:rsidRPr="00077A55">
              <w:rPr>
                <w:rFonts w:ascii="Palatino Linotype" w:eastAsia="Palatino Linotype" w:hAnsi="Palatino Linotype" w:cs="Palatino Linotype"/>
                <w:b/>
                <w:i/>
                <w:color w:val="000000" w:themeColor="text1"/>
              </w:rPr>
              <w:lastRenderedPageBreak/>
              <w:t xml:space="preserve">Transparencia y Acceso a la Información Pública del Estado de México y Municipios. </w:t>
            </w:r>
          </w:p>
        </w:tc>
      </w:tr>
    </w:tbl>
    <w:p w14:paraId="4024B185" w14:textId="77777777" w:rsidR="00675EED" w:rsidRPr="00077A55" w:rsidRDefault="00675EED" w:rsidP="00077A5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5ABB1CDF" w14:textId="77777777" w:rsidR="00854E5D" w:rsidRPr="00077A55" w:rsidRDefault="00854E5D"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De la tabla anterior, se tiene que el </w:t>
      </w:r>
      <w:r w:rsidRPr="00077A55">
        <w:rPr>
          <w:rFonts w:ascii="Palatino Linotype" w:eastAsia="Palatino Linotype" w:hAnsi="Palatino Linotype" w:cs="Palatino Linotype"/>
          <w:b/>
          <w:color w:val="000000" w:themeColor="text1"/>
        </w:rPr>
        <w:t xml:space="preserve">SUJETO OBLIGADO </w:t>
      </w:r>
      <w:r w:rsidRPr="00077A55">
        <w:rPr>
          <w:rFonts w:ascii="Palatino Linotype" w:eastAsia="Palatino Linotype" w:hAnsi="Palatino Linotype" w:cs="Palatino Linotype"/>
          <w:color w:val="000000" w:themeColor="text1"/>
        </w:rPr>
        <w:t xml:space="preserve">no colmo el derecho de acceso a la información del </w:t>
      </w:r>
      <w:r w:rsidRPr="00077A55">
        <w:rPr>
          <w:rFonts w:ascii="Palatino Linotype" w:eastAsia="Palatino Linotype" w:hAnsi="Palatino Linotype" w:cs="Palatino Linotype"/>
          <w:b/>
          <w:color w:val="000000" w:themeColor="text1"/>
        </w:rPr>
        <w:t xml:space="preserve">RECURRENTE, </w:t>
      </w:r>
      <w:r w:rsidRPr="00077A55">
        <w:rPr>
          <w:rFonts w:ascii="Palatino Linotype" w:eastAsia="Palatino Linotype" w:hAnsi="Palatino Linotype" w:cs="Palatino Linotype"/>
          <w:color w:val="000000" w:themeColor="text1"/>
        </w:rPr>
        <w:t xml:space="preserve">situación por la cual se hace el siguiente análisis. </w:t>
      </w:r>
    </w:p>
    <w:p w14:paraId="574F83E2" w14:textId="77777777" w:rsidR="00854E5D" w:rsidRPr="00077A55" w:rsidRDefault="00854E5D" w:rsidP="00077A5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20834C05" w14:textId="77777777" w:rsidR="00C23A7B" w:rsidRPr="00077A55" w:rsidRDefault="00C23A7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Como primer punto se debe de precisar si la Dirección de Desarrollo y Fomento Económico, es el área habilitada del </w:t>
      </w:r>
      <w:r w:rsidRPr="00077A55">
        <w:rPr>
          <w:rFonts w:ascii="Palatino Linotype" w:eastAsia="Palatino Linotype" w:hAnsi="Palatino Linotype" w:cs="Palatino Linotype"/>
          <w:b/>
          <w:color w:val="000000" w:themeColor="text1"/>
        </w:rPr>
        <w:t xml:space="preserve">SUJETO OBLIGADO </w:t>
      </w:r>
      <w:r w:rsidRPr="00077A55">
        <w:rPr>
          <w:rFonts w:ascii="Palatino Linotype" w:eastAsia="Palatino Linotype" w:hAnsi="Palatino Linotype" w:cs="Palatino Linotype"/>
          <w:color w:val="000000" w:themeColor="text1"/>
        </w:rPr>
        <w:t>para atender la solicitud de información.</w:t>
      </w:r>
    </w:p>
    <w:p w14:paraId="68082A44" w14:textId="77777777" w:rsidR="00C23A7B" w:rsidRPr="00077A55" w:rsidRDefault="00C23A7B" w:rsidP="00077A55">
      <w:pPr>
        <w:pStyle w:val="Prrafodelista"/>
        <w:ind w:left="0"/>
        <w:rPr>
          <w:rFonts w:ascii="Palatino Linotype" w:eastAsia="Palatino Linotype" w:hAnsi="Palatino Linotype" w:cs="Palatino Linotype"/>
          <w:b/>
          <w:color w:val="000000" w:themeColor="text1"/>
        </w:rPr>
      </w:pPr>
    </w:p>
    <w:p w14:paraId="1C4A535D" w14:textId="77777777" w:rsidR="00C23A7B" w:rsidRPr="00077A55" w:rsidRDefault="00C23A7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En esa línea, de conformidad con el artículo 38 del Bando Municipal del Ayuntamiento de Tepotzotlán</w:t>
      </w:r>
      <w:r w:rsidR="002F7F61" w:rsidRPr="00077A55">
        <w:rPr>
          <w:rFonts w:ascii="Palatino Linotype" w:eastAsia="Palatino Linotype" w:hAnsi="Palatino Linotype" w:cs="Palatino Linotype"/>
          <w:color w:val="000000" w:themeColor="text1"/>
        </w:rPr>
        <w:t xml:space="preserve">, se tiene que el </w:t>
      </w:r>
      <w:r w:rsidR="002F7F61" w:rsidRPr="00077A55">
        <w:rPr>
          <w:rFonts w:ascii="Palatino Linotype" w:eastAsia="Palatino Linotype" w:hAnsi="Palatino Linotype" w:cs="Palatino Linotype"/>
          <w:b/>
          <w:color w:val="000000" w:themeColor="text1"/>
        </w:rPr>
        <w:t xml:space="preserve">SUJETO OBLIGADO </w:t>
      </w:r>
      <w:r w:rsidR="002F7F61" w:rsidRPr="00077A55">
        <w:rPr>
          <w:rFonts w:ascii="Palatino Linotype" w:eastAsia="Palatino Linotype" w:hAnsi="Palatino Linotype" w:cs="Palatino Linotype"/>
          <w:color w:val="000000" w:themeColor="text1"/>
        </w:rPr>
        <w:t xml:space="preserve">cuenta con las siguientes áreas. </w:t>
      </w:r>
    </w:p>
    <w:p w14:paraId="6C69E90F"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b/>
          <w:i/>
          <w:color w:val="000000" w:themeColor="text1"/>
        </w:rPr>
        <w:t>ARTÍCULO 38.-</w:t>
      </w:r>
      <w:r w:rsidRPr="00077A55">
        <w:rPr>
          <w:rFonts w:ascii="Palatino Linotype" w:eastAsia="Palatino Linotype" w:hAnsi="Palatino Linotype" w:cs="Palatino Linotype"/>
          <w:i/>
          <w:color w:val="000000" w:themeColor="text1"/>
        </w:rPr>
        <w:t xml:space="preserve"> La Presidenta Municipal se auxiliará en el ejercicio de sus facultades establecidas en las leyes correspondientes, ejecutando las mismas a través de las siguientes direcciones y áreas de la Administración Pública Municipal, mismas que estarán bajo su subordinación: I. DEPENDENCIAS ADMINISTRATIVAS </w:t>
      </w:r>
    </w:p>
    <w:p w14:paraId="361ED4C5"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1. Secretaría del Ayuntamiento; </w:t>
      </w:r>
    </w:p>
    <w:p w14:paraId="57D547D5"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2. Secretaría Técnica y Particular; </w:t>
      </w:r>
    </w:p>
    <w:p w14:paraId="2C318E0C"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3. Oficina de Asesores; </w:t>
      </w:r>
    </w:p>
    <w:p w14:paraId="042329C5"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4. Dirección de Administración y Finanzas con funciones de Tesorería; </w:t>
      </w:r>
    </w:p>
    <w:p w14:paraId="54062203"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5. Contraloría Interna Municipal; </w:t>
      </w:r>
    </w:p>
    <w:p w14:paraId="0A53B6D1"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6. Juzgado Cívico; </w:t>
      </w:r>
    </w:p>
    <w:p w14:paraId="48992EB7"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7. Dirección de Seguridad Pública, Vial y Tránsito; </w:t>
      </w:r>
    </w:p>
    <w:p w14:paraId="37A20490"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8. Dirección Jurídica; </w:t>
      </w:r>
    </w:p>
    <w:p w14:paraId="5D95D93C"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9. Dirección de Servicios Públicos; </w:t>
      </w:r>
    </w:p>
    <w:p w14:paraId="58BBB33A" w14:textId="77777777" w:rsidR="002F7F61" w:rsidRPr="00077A55" w:rsidRDefault="002F7F61" w:rsidP="00077A55">
      <w:pPr>
        <w:pBdr>
          <w:top w:val="nil"/>
          <w:left w:val="nil"/>
          <w:bottom w:val="nil"/>
          <w:right w:val="nil"/>
          <w:between w:val="nil"/>
        </w:pBdr>
        <w:jc w:val="both"/>
        <w:rPr>
          <w:rFonts w:ascii="Palatino Linotype" w:hAnsi="Palatino Linotype"/>
          <w:b/>
          <w:i/>
          <w:color w:val="000000" w:themeColor="text1"/>
        </w:rPr>
      </w:pPr>
      <w:r w:rsidRPr="00077A55">
        <w:rPr>
          <w:rFonts w:ascii="Palatino Linotype" w:eastAsia="Palatino Linotype" w:hAnsi="Palatino Linotype" w:cs="Palatino Linotype"/>
          <w:b/>
          <w:i/>
          <w:color w:val="000000" w:themeColor="text1"/>
        </w:rPr>
        <w:t>10. Dirección de Desarrollo y Fomento Económico;</w:t>
      </w:r>
      <w:r w:rsidRPr="00077A55">
        <w:rPr>
          <w:rFonts w:ascii="Palatino Linotype" w:hAnsi="Palatino Linotype"/>
          <w:b/>
          <w:i/>
          <w:color w:val="000000" w:themeColor="text1"/>
        </w:rPr>
        <w:t xml:space="preserve"> </w:t>
      </w:r>
    </w:p>
    <w:p w14:paraId="33D7AF82"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lastRenderedPageBreak/>
        <w:t xml:space="preserve">11. Dirección de Obras Públicas; </w:t>
      </w:r>
    </w:p>
    <w:p w14:paraId="7474D63B"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12. Dirección de Desarrollo Urbano y Metropolitano; </w:t>
      </w:r>
    </w:p>
    <w:p w14:paraId="414B84A1"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13. Dirección de Medio Ambiente; </w:t>
      </w:r>
    </w:p>
    <w:p w14:paraId="092BDD3F"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14. Dirección de Educación y Bienestar Social; </w:t>
      </w:r>
    </w:p>
    <w:p w14:paraId="72D37BAC"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15. Dirección de Agua Potable, Drenaje y Alcantarillado; </w:t>
      </w:r>
    </w:p>
    <w:p w14:paraId="363C61C2"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16. Dirección de Turismo y Cultura; </w:t>
      </w:r>
    </w:p>
    <w:p w14:paraId="457F1516"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17. Dirección de las Mujeres; </w:t>
      </w:r>
    </w:p>
    <w:p w14:paraId="3758BD04"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18. Unidad de Información, Planeación, Programación y Evaluación; </w:t>
      </w:r>
    </w:p>
    <w:p w14:paraId="62581BFE"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19. Secretaria Técnica del Consejo Municipal de Seguridad Pública; </w:t>
      </w:r>
    </w:p>
    <w:p w14:paraId="6936BB6F"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20. Unidad de Transparencia y Acceso a la Información Pública; </w:t>
      </w:r>
    </w:p>
    <w:p w14:paraId="73C17B32"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21. Centro de Control, Comando, Comunicaciones y Cómputo (C4); </w:t>
      </w:r>
    </w:p>
    <w:p w14:paraId="60A02041"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22. Coordinación Municipal de Protección Civil  y Bomberos; </w:t>
      </w:r>
    </w:p>
    <w:p w14:paraId="7A023773"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23. Coordinación General Municipal de Mejora Regulatoria.</w:t>
      </w:r>
    </w:p>
    <w:p w14:paraId="42162ED0" w14:textId="77777777" w:rsidR="00C23A7B" w:rsidRPr="00077A55" w:rsidRDefault="00C23A7B" w:rsidP="00077A55">
      <w:pPr>
        <w:pStyle w:val="Prrafodelista"/>
        <w:ind w:left="0"/>
        <w:rPr>
          <w:rFonts w:ascii="Palatino Linotype" w:eastAsia="Palatino Linotype" w:hAnsi="Palatino Linotype" w:cs="Palatino Linotype"/>
          <w:color w:val="000000" w:themeColor="text1"/>
        </w:rPr>
      </w:pPr>
    </w:p>
    <w:p w14:paraId="680EBB1A" w14:textId="77777777" w:rsidR="002F7F61" w:rsidRPr="00077A55" w:rsidRDefault="002F7F61"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Del artículo anterior, se tiene que el Ayuntamiento de Tepotzotlán cuenta con la Dirección de Desarrollo y Fomento Económico, quien de acuerdo con el artículo 75 del Bando Municipal cuenta con las siguientes funciones. </w:t>
      </w:r>
    </w:p>
    <w:p w14:paraId="182CB09C" w14:textId="77777777" w:rsidR="002F7F61" w:rsidRPr="00077A55" w:rsidRDefault="002F7F61" w:rsidP="00077A55">
      <w:pPr>
        <w:pBdr>
          <w:top w:val="nil"/>
          <w:left w:val="nil"/>
          <w:bottom w:val="nil"/>
          <w:right w:val="nil"/>
          <w:between w:val="nil"/>
        </w:pBdr>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 xml:space="preserve">ARTÍCULO 75.- Corresponde al Ayuntamiento, a través de la Dirección de Desarrollo y Fomento Económico, regular, promover y fomentar el desarrollo económico del municipio, cuya función regular, consistirá en: </w:t>
      </w:r>
    </w:p>
    <w:p w14:paraId="05801430" w14:textId="77777777" w:rsidR="002F7F61" w:rsidRPr="00077A55" w:rsidRDefault="002F7F61" w:rsidP="00077A55">
      <w:pPr>
        <w:pStyle w:val="Prrafodelista"/>
        <w:numPr>
          <w:ilvl w:val="0"/>
          <w:numId w:val="14"/>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Fomentar y promover el desarrollo económico sustentable del Municipio; </w:t>
      </w:r>
    </w:p>
    <w:p w14:paraId="1D931BCE" w14:textId="77777777" w:rsidR="002F7F61" w:rsidRPr="00077A55" w:rsidRDefault="002F7F61" w:rsidP="00077A55">
      <w:pPr>
        <w:pStyle w:val="Prrafodelista"/>
        <w:numPr>
          <w:ilvl w:val="0"/>
          <w:numId w:val="14"/>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Motivar la inversión privada en actividades productivas para fomentar la generación de empleos; </w:t>
      </w:r>
    </w:p>
    <w:p w14:paraId="2F9E6150" w14:textId="77777777" w:rsidR="002F7F61" w:rsidRPr="00077A55" w:rsidRDefault="002F7F61" w:rsidP="00077A55">
      <w:pPr>
        <w:pStyle w:val="Prrafodelista"/>
        <w:numPr>
          <w:ilvl w:val="0"/>
          <w:numId w:val="14"/>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Promover programas e instrumentos de apoyo empresarial, con el objeto de facilitar y agilizar los trámites ante las dependencias y Organismos Auxiliares de la Administración Pública Municipal;</w:t>
      </w:r>
    </w:p>
    <w:p w14:paraId="6A080BBB" w14:textId="77777777" w:rsidR="002F7F61" w:rsidRPr="00077A55" w:rsidRDefault="002F7F61" w:rsidP="00077A55">
      <w:pPr>
        <w:pStyle w:val="Prrafodelista"/>
        <w:numPr>
          <w:ilvl w:val="0"/>
          <w:numId w:val="14"/>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Promover y difundir, dentro y fuera del Municipio, las ventajas competitivas que se ofrecen en la localidad a la inversión productiva;</w:t>
      </w:r>
    </w:p>
    <w:p w14:paraId="51B704B0" w14:textId="77777777" w:rsidR="002F7F61" w:rsidRPr="00077A55" w:rsidRDefault="002F7F61" w:rsidP="00077A55">
      <w:pPr>
        <w:pStyle w:val="Prrafodelista"/>
        <w:numPr>
          <w:ilvl w:val="0"/>
          <w:numId w:val="14"/>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Fomentar y promover el desarrollo económico sustentable del Municipio; Motivar la inversión privada en actividades productivas para fomentar la generación de empleos; Promover programas e instrumentos de apoyo empresarial, con el objeto de facilitar y agilizar los trámites ante las dependencias y Organismos Auxiliares de la Administración Pública Municipal; Promover y difundir, dentro y fuera del Municipio, las ventajas competitivas que se ofrecen en la localidad a la inversión productiva; </w:t>
      </w:r>
    </w:p>
    <w:p w14:paraId="753BA229" w14:textId="77777777" w:rsidR="002F7F61" w:rsidRPr="00077A55" w:rsidRDefault="002F7F61" w:rsidP="00077A55">
      <w:pPr>
        <w:pStyle w:val="Prrafodelista"/>
        <w:numPr>
          <w:ilvl w:val="0"/>
          <w:numId w:val="14"/>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lastRenderedPageBreak/>
        <w:t xml:space="preserve">Promover la vinculación del sector educativo con el aparato productivo, como factor para la creación de empleos y de financiamiento y vinculación de la investigación académica con el sector empresarial; </w:t>
      </w:r>
    </w:p>
    <w:p w14:paraId="0BC8F104"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VI. Gestionar y promover los acuerdos necesarios en los distintos niveles de gobierno en el que deberá preservar su valor ambiental, cultural e histórico para impulsar el desarrollo económico municipal; </w:t>
      </w:r>
    </w:p>
    <w:p w14:paraId="36D2CC25"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VII. Desarrollar y difundir un sistema de información y promoción del sector productivo del </w:t>
      </w:r>
    </w:p>
    <w:p w14:paraId="4FEE68EE"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 xml:space="preserve">VIII. Fomentar y promover la actividad comercial, incentivando su desarrollo ordenado y equilibrado; </w:t>
      </w:r>
    </w:p>
    <w:p w14:paraId="083C42DD"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IX. Impulsar la participación del sector privado en el desarrollo ambiental, turístico, comercial, agropecuario, forestal e industrial;</w:t>
      </w:r>
    </w:p>
    <w:p w14:paraId="0ADDC7F1"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X. Promover el desarrollo de proyectos productivos en diversas comunidades del Municipio, para el fomento del empleo en estas zonas</w:t>
      </w:r>
    </w:p>
    <w:p w14:paraId="794C301B"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XI. Impulsar la participación del sector privado en el desarrollo ambiental, turístico, comercial, agropecuario, forestal e industrial; </w:t>
      </w:r>
    </w:p>
    <w:p w14:paraId="7ADE678D" w14:textId="77777777" w:rsidR="00C21424"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Promover el desarrollo de proyectos productivos en diversas comunidades del Municipio, para el fomento del empleo en estas zonas; </w:t>
      </w:r>
    </w:p>
    <w:p w14:paraId="41379438"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Fomentar el empleo a favor de los habitantes y vecinos del Municipio gestionando ante las empresas, industrias y comercios establecidos en el territorio municipal su contratación; </w:t>
      </w:r>
    </w:p>
    <w:p w14:paraId="0C3DF5E6"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XII. Generar programas de empleo emergente; </w:t>
      </w:r>
    </w:p>
    <w:p w14:paraId="400F2BF5"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 xml:space="preserve">XIII. Mantener contacto regular con comerciantes del municipio, empresarios e industria del Municipio; </w:t>
      </w:r>
    </w:p>
    <w:p w14:paraId="211620B6"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XIV. Proveer lo necesario para la generación de oportunidades de negocios para la planta productiva y la ampliación de servicios y empleos para la comunidad; </w:t>
      </w:r>
    </w:p>
    <w:p w14:paraId="68F19D43"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XV. Coadyuvar para generar la competitividad empresarial; generando capacitaciones y atracción de inversiones; </w:t>
      </w:r>
    </w:p>
    <w:p w14:paraId="182B078E"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XVI. Verificar, supervisar, inspeccionar, regular y en su caso sancionar a los comerciantes y prestadores de servicios que entreguen bajo cualquier causa, contenedores desechables o bolsas de plástico en el desarrollo de su actividad, y que sean diferentes a aquellos contenedores y bolsas biodegradables permitidas por las leyes y reglamentos aplicables;</w:t>
      </w:r>
      <w:r w:rsidRPr="00077A55">
        <w:rPr>
          <w:rFonts w:ascii="Palatino Linotype" w:hAnsi="Palatino Linotype"/>
          <w:b/>
          <w:i/>
          <w:color w:val="000000" w:themeColor="text1"/>
        </w:rPr>
        <w:t xml:space="preserve"> </w:t>
      </w:r>
    </w:p>
    <w:p w14:paraId="45CDA1DC"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XVII. Promover el desarrollo rural sustentable, así como promover, organizar y planear la producción agropecuaria, forestal, su industrialización y comercialización y aquellas actividades tendientes a elevar la calidad de vida de la población rural dentro del ámbito de competencia municipal; para lo cual se expedirá un permiso para la venta de elote fresco a partir de doscientas piezas; </w:t>
      </w:r>
    </w:p>
    <w:p w14:paraId="7CC75580"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XVIII. Operar, supervisar y coordinar la Ventanilla</w:t>
      </w:r>
      <w:r w:rsidRPr="00077A55">
        <w:rPr>
          <w:rFonts w:ascii="Palatino Linotype" w:hAnsi="Palatino Linotype"/>
          <w:b/>
          <w:i/>
          <w:color w:val="000000" w:themeColor="text1"/>
        </w:rPr>
        <w:t xml:space="preserve"> </w:t>
      </w:r>
      <w:r w:rsidRPr="00077A55">
        <w:rPr>
          <w:rFonts w:ascii="Palatino Linotype" w:eastAsia="Palatino Linotype" w:hAnsi="Palatino Linotype" w:cs="Palatino Linotype"/>
          <w:b/>
          <w:i/>
          <w:color w:val="000000" w:themeColor="text1"/>
        </w:rPr>
        <w:t xml:space="preserve">Única a través de disposición por escrito que emita la Presidenta Municipal; </w:t>
      </w:r>
    </w:p>
    <w:p w14:paraId="062814E0" w14:textId="77777777" w:rsidR="002F7F61" w:rsidRPr="00077A55" w:rsidRDefault="002F7F61" w:rsidP="00077A55">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 xml:space="preserve">XIX. Las demás que le señalen otras disposiciones legales y reglamentarias. </w:t>
      </w:r>
    </w:p>
    <w:p w14:paraId="33274FA9" w14:textId="77777777" w:rsidR="00C21424" w:rsidRPr="00077A55" w:rsidRDefault="00C21424"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 xml:space="preserve">De lo anterior, se tiene que </w:t>
      </w:r>
      <w:r w:rsidR="00954BE4" w:rsidRPr="00077A55">
        <w:rPr>
          <w:rFonts w:ascii="Palatino Linotype" w:eastAsia="Palatino Linotype" w:hAnsi="Palatino Linotype" w:cs="Palatino Linotype"/>
          <w:color w:val="000000" w:themeColor="text1"/>
        </w:rPr>
        <w:t xml:space="preserve">la Dirección de Desarrollo  y Fomento Económico es el área encargada del Ayuntamiento de regular, promover y fomentar el desarrollo económico del municipio, situación por la cual se colige que la solicitud de información fue atendida por el área habilitada del </w:t>
      </w:r>
      <w:r w:rsidR="00954BE4" w:rsidRPr="00077A55">
        <w:rPr>
          <w:rFonts w:ascii="Palatino Linotype" w:eastAsia="Palatino Linotype" w:hAnsi="Palatino Linotype" w:cs="Palatino Linotype"/>
          <w:b/>
          <w:color w:val="000000" w:themeColor="text1"/>
        </w:rPr>
        <w:t xml:space="preserve">SUJETO OBLIGADO. </w:t>
      </w:r>
    </w:p>
    <w:p w14:paraId="0627C81C" w14:textId="77777777" w:rsidR="00954BE4" w:rsidRPr="00077A55" w:rsidRDefault="00954BE4" w:rsidP="00077A5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F34991D" w14:textId="77777777" w:rsidR="00954BE4" w:rsidRPr="00077A55" w:rsidRDefault="00954BE4"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En esa línea, se debe de precisar que la información solicitada por el </w:t>
      </w:r>
      <w:r w:rsidRPr="00077A55">
        <w:rPr>
          <w:rFonts w:ascii="Palatino Linotype" w:eastAsia="Palatino Linotype" w:hAnsi="Palatino Linotype" w:cs="Palatino Linotype"/>
          <w:b/>
          <w:color w:val="000000" w:themeColor="text1"/>
        </w:rPr>
        <w:t xml:space="preserve">RECURRENTE </w:t>
      </w:r>
      <w:r w:rsidRPr="00077A55">
        <w:rPr>
          <w:rFonts w:ascii="Palatino Linotype" w:eastAsia="Palatino Linotype" w:hAnsi="Palatino Linotype" w:cs="Palatino Linotype"/>
          <w:color w:val="000000" w:themeColor="text1"/>
        </w:rPr>
        <w:t xml:space="preserve">forma parte de las obligaciones de transparencia común de acuerdo con el artículo 92 fracción XXXII de la Ley de Transparencia y Acceso a la Información Pública del Estado de México y Municipios. </w:t>
      </w:r>
    </w:p>
    <w:p w14:paraId="179A9B7C" w14:textId="77777777" w:rsidR="00954BE4" w:rsidRPr="00077A55" w:rsidRDefault="00954BE4" w:rsidP="00077A55">
      <w:pPr>
        <w:pBdr>
          <w:top w:val="nil"/>
          <w:left w:val="nil"/>
          <w:bottom w:val="nil"/>
          <w:right w:val="nil"/>
          <w:between w:val="nil"/>
        </w:pBd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b/>
          <w:i/>
          <w:color w:val="000000" w:themeColor="text1"/>
        </w:rPr>
        <w:t>Artículo 92.</w:t>
      </w:r>
      <w:r w:rsidRPr="00077A55">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XXXII. Las concesiones, contratos, convenios, permisos, </w:t>
      </w:r>
      <w:r w:rsidRPr="00077A55">
        <w:rPr>
          <w:rFonts w:ascii="Palatino Linotype" w:eastAsia="Palatino Linotype" w:hAnsi="Palatino Linotype" w:cs="Palatino Linotype"/>
          <w:b/>
          <w:i/>
          <w:color w:val="000000" w:themeColor="text1"/>
        </w:rPr>
        <w:t>licencias o autorizaciones otorgados</w:t>
      </w:r>
      <w:r w:rsidRPr="00077A55">
        <w:rPr>
          <w:rFonts w:ascii="Palatino Linotype" w:eastAsia="Palatino Linotype" w:hAnsi="Palatino Linotype" w:cs="Palatino Linotype"/>
          <w:i/>
          <w:color w:val="000000" w:themeColor="text1"/>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214B9EDE" w14:textId="77777777" w:rsidR="00954BE4" w:rsidRPr="00077A55" w:rsidRDefault="00954BE4" w:rsidP="00077A55">
      <w:pPr>
        <w:pStyle w:val="Prrafodelista"/>
        <w:ind w:left="0"/>
        <w:rPr>
          <w:rFonts w:ascii="Palatino Linotype" w:eastAsia="Palatino Linotype" w:hAnsi="Palatino Linotype" w:cs="Palatino Linotype"/>
          <w:color w:val="000000" w:themeColor="text1"/>
        </w:rPr>
      </w:pPr>
    </w:p>
    <w:p w14:paraId="6D1A74AD" w14:textId="77777777" w:rsidR="00B87D0E" w:rsidRPr="00077A55" w:rsidRDefault="00B87D0E"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De lo referido en el párrafo anterior, se tiene que la respuesta proporcionada por el </w:t>
      </w:r>
      <w:r w:rsidRPr="00077A55">
        <w:rPr>
          <w:rFonts w:ascii="Palatino Linotype" w:eastAsia="Palatino Linotype" w:hAnsi="Palatino Linotype" w:cs="Palatino Linotype"/>
          <w:b/>
          <w:color w:val="000000" w:themeColor="text1"/>
        </w:rPr>
        <w:t xml:space="preserve">SUJETO OBLIGADO </w:t>
      </w:r>
      <w:r w:rsidRPr="00077A55">
        <w:rPr>
          <w:rFonts w:ascii="Palatino Linotype" w:eastAsia="Palatino Linotype" w:hAnsi="Palatino Linotype" w:cs="Palatino Linotype"/>
          <w:color w:val="000000" w:themeColor="text1"/>
        </w:rPr>
        <w:t xml:space="preserve">no puede ser validada, toda vez que forma parte de las obligaciones de transparencia común, por lo cual su entrega debe de realizarse para colmar el derecho de acceso a la información del </w:t>
      </w:r>
      <w:r w:rsidRPr="00077A55">
        <w:rPr>
          <w:rFonts w:ascii="Palatino Linotype" w:eastAsia="Palatino Linotype" w:hAnsi="Palatino Linotype" w:cs="Palatino Linotype"/>
          <w:b/>
          <w:color w:val="000000" w:themeColor="text1"/>
        </w:rPr>
        <w:t xml:space="preserve">RECURRENTE. </w:t>
      </w:r>
    </w:p>
    <w:p w14:paraId="2AFAFC5F" w14:textId="77777777" w:rsidR="00B87D0E" w:rsidRPr="00077A55" w:rsidRDefault="00B87D0E" w:rsidP="00077A5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79B09529" w14:textId="77777777" w:rsidR="00B87D0E" w:rsidRPr="00077A55" w:rsidRDefault="00B87D0E"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Seguidamente, se debe de precisar que de acuerdo con el artículo 159 del Código Financiero del Estado de México, regula que para la expedición de licencias de venta de bebidas alcohólicas, existe una tarifa, tal y como se muestra en la siguiente captura de pantalla. </w:t>
      </w:r>
    </w:p>
    <w:p w14:paraId="06573F22" w14:textId="26B95DFE" w:rsidR="00B87D0E" w:rsidRPr="00077A55" w:rsidRDefault="00B87D0E" w:rsidP="00077A55">
      <w:pPr>
        <w:pStyle w:val="Prrafodelista"/>
        <w:ind w:left="0"/>
        <w:rPr>
          <w:rFonts w:ascii="Palatino Linotype" w:eastAsia="Palatino Linotype" w:hAnsi="Palatino Linotype" w:cs="Palatino Linotype"/>
          <w:b/>
          <w:color w:val="000000" w:themeColor="text1"/>
        </w:rPr>
      </w:pPr>
    </w:p>
    <w:p w14:paraId="5C1DAAEE" w14:textId="77777777" w:rsidR="00B87D0E" w:rsidRPr="00077A55" w:rsidRDefault="00B87D0E" w:rsidP="00077A55">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noProof/>
          <w:color w:val="000000" w:themeColor="text1"/>
          <w:lang w:val="es-MX"/>
        </w:rPr>
        <w:drawing>
          <wp:inline distT="0" distB="0" distL="0" distR="0" wp14:anchorId="6AEF0B73" wp14:editId="6F973E33">
            <wp:extent cx="3218946" cy="2673350"/>
            <wp:effectExtent l="152400" t="152400" r="362585" b="3556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3049" cy="2676758"/>
                    </a:xfrm>
                    <a:prstGeom prst="rect">
                      <a:avLst/>
                    </a:prstGeom>
                    <a:ln>
                      <a:noFill/>
                    </a:ln>
                    <a:effectLst>
                      <a:outerShdw blurRad="292100" dist="139700" dir="2700000" algn="tl" rotWithShape="0">
                        <a:srgbClr val="333333">
                          <a:alpha val="65000"/>
                        </a:srgbClr>
                      </a:outerShdw>
                    </a:effectLst>
                  </pic:spPr>
                </pic:pic>
              </a:graphicData>
            </a:graphic>
          </wp:inline>
        </w:drawing>
      </w:r>
    </w:p>
    <w:p w14:paraId="79335369" w14:textId="77777777" w:rsidR="00B87D0E" w:rsidRPr="00077A55" w:rsidRDefault="00B87D0E"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En esa línea, de acuerdo con el Manual de Procedimientos de la Dirección de Desarrollo y Fomento Económico, </w:t>
      </w:r>
      <w:r w:rsidR="00CE263D" w:rsidRPr="00077A55">
        <w:rPr>
          <w:rFonts w:ascii="Palatino Linotype" w:eastAsia="Palatino Linotype" w:hAnsi="Palatino Linotype" w:cs="Palatino Linotype"/>
          <w:color w:val="000000" w:themeColor="text1"/>
        </w:rPr>
        <w:t xml:space="preserve">se tiene que para la expedición de una licencia se debe de seguir el siguiente procedimiento. </w:t>
      </w:r>
    </w:p>
    <w:p w14:paraId="4113D303" w14:textId="77777777" w:rsidR="00CE263D" w:rsidRPr="00077A55" w:rsidRDefault="00CE263D" w:rsidP="00077A5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noProof/>
          <w:color w:val="000000" w:themeColor="text1"/>
          <w:lang w:val="es-MX"/>
        </w:rPr>
        <mc:AlternateContent>
          <mc:Choice Requires="wps">
            <w:drawing>
              <wp:anchor distT="0" distB="0" distL="114300" distR="114300" simplePos="0" relativeHeight="251661312" behindDoc="0" locked="0" layoutInCell="1" allowOverlap="1" wp14:anchorId="183A1B72" wp14:editId="10C738AA">
                <wp:simplePos x="0" y="0"/>
                <wp:positionH relativeFrom="margin">
                  <wp:align>left</wp:align>
                </wp:positionH>
                <wp:positionV relativeFrom="paragraph">
                  <wp:posOffset>59295</wp:posOffset>
                </wp:positionV>
                <wp:extent cx="6090249" cy="3200400"/>
                <wp:effectExtent l="0" t="0" r="25400" b="19050"/>
                <wp:wrapNone/>
                <wp:docPr id="4" name="Conector recto 4"/>
                <wp:cNvGraphicFramePr/>
                <a:graphic xmlns:a="http://schemas.openxmlformats.org/drawingml/2006/main">
                  <a:graphicData uri="http://schemas.microsoft.com/office/word/2010/wordprocessingShape">
                    <wps:wsp>
                      <wps:cNvCnPr/>
                      <wps:spPr>
                        <a:xfrm>
                          <a:off x="0" y="0"/>
                          <a:ext cx="6090249" cy="3200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33429" id="Conector recto 4"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5pt" to="479.5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" strokecolor="black [3200]" strokeweight="1pt">
                <v:stroke joinstyle="miter"/>
                <w10:wrap anchorx="margin"/>
              </v:line>
            </w:pict>
          </mc:Fallback>
        </mc:AlternateContent>
      </w:r>
    </w:p>
    <w:p w14:paraId="3092FB46" w14:textId="77777777" w:rsidR="00C710E3" w:rsidRPr="00077A55" w:rsidRDefault="00C710E3" w:rsidP="00077A55">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11BE7676" w14:textId="77777777" w:rsidR="00C710E3" w:rsidRPr="00077A55" w:rsidRDefault="00C710E3" w:rsidP="00077A55">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52D35206" w14:textId="77777777" w:rsidR="00C710E3" w:rsidRPr="00077A55" w:rsidRDefault="00C710E3" w:rsidP="00077A55">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0FFEA31F" w14:textId="77777777" w:rsidR="00C710E3" w:rsidRPr="00077A55" w:rsidRDefault="00C710E3" w:rsidP="00077A55">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36C4A82A" w14:textId="77777777" w:rsidR="00CE263D" w:rsidRPr="00077A55" w:rsidRDefault="00CE263D" w:rsidP="00077A55">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noProof/>
          <w:color w:val="000000" w:themeColor="text1"/>
          <w:lang w:val="es-MX"/>
        </w:rPr>
        <w:lastRenderedPageBreak/>
        <w:drawing>
          <wp:inline distT="0" distB="0" distL="0" distR="0" wp14:anchorId="7577A6DF" wp14:editId="0A49A9C8">
            <wp:extent cx="2598608" cy="3975100"/>
            <wp:effectExtent l="152400" t="152400" r="354330" b="368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5181" cy="39851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742D2C" w14:textId="77777777" w:rsidR="00822184" w:rsidRPr="00077A55" w:rsidRDefault="00C710E3"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Del cuadro anterior, se determina que la Dirección de Desarrollo y Fomento Económico, es el área que se encarga de emitir y entregar lo relacionado con la licencias de funcionamiento de bajo, mediano y alto impacto. </w:t>
      </w:r>
    </w:p>
    <w:p w14:paraId="50F5C9A0" w14:textId="77777777" w:rsidR="00C710E3" w:rsidRPr="00077A55" w:rsidRDefault="00C710E3" w:rsidP="00077A5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0044D466" w14:textId="77777777" w:rsidR="00C710E3" w:rsidRPr="00077A55" w:rsidRDefault="00C710E3"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Seguidamente, se debe de analizar que por la obtención de una licencia de funcionamiento las personas físicas o jurídico colectivas deben de pagar por el permiso tal y como se muestra en las siguientes capturas de pantalla.</w:t>
      </w:r>
    </w:p>
    <w:p w14:paraId="6B94F54A" w14:textId="77777777" w:rsidR="00C710E3" w:rsidRPr="00077A55" w:rsidRDefault="00C710E3" w:rsidP="00077A55">
      <w:pPr>
        <w:pStyle w:val="Prrafodelista"/>
        <w:ind w:left="0"/>
        <w:rPr>
          <w:rFonts w:ascii="Palatino Linotype" w:eastAsia="Palatino Linotype" w:hAnsi="Palatino Linotype" w:cs="Palatino Linotype"/>
          <w:b/>
          <w:color w:val="000000" w:themeColor="text1"/>
        </w:rPr>
      </w:pPr>
    </w:p>
    <w:p w14:paraId="4C93067A" w14:textId="77777777" w:rsidR="00C710E3" w:rsidRPr="00077A55" w:rsidRDefault="00C710E3" w:rsidP="00077A5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3F6C6271" w14:textId="77777777" w:rsidR="00C710E3" w:rsidRPr="00077A55" w:rsidRDefault="00C710E3" w:rsidP="00077A55">
      <w:pPr>
        <w:pStyle w:val="Prrafodelista"/>
        <w:ind w:left="0"/>
        <w:rPr>
          <w:rFonts w:ascii="Palatino Linotype" w:eastAsia="Palatino Linotype" w:hAnsi="Palatino Linotype" w:cs="Palatino Linotype"/>
          <w:b/>
          <w:color w:val="000000" w:themeColor="text1"/>
        </w:rPr>
      </w:pPr>
    </w:p>
    <w:p w14:paraId="3C096703" w14:textId="3C77CBCA" w:rsidR="00C710E3" w:rsidRPr="00077A55" w:rsidRDefault="00884273" w:rsidP="00077A5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noProof/>
          <w:color w:val="000000" w:themeColor="text1"/>
          <w:lang w:val="es-MX"/>
        </w:rPr>
        <w:lastRenderedPageBreak/>
        <w:drawing>
          <wp:anchor distT="0" distB="0" distL="114300" distR="114300" simplePos="0" relativeHeight="251662336" behindDoc="0" locked="0" layoutInCell="1" allowOverlap="1" wp14:anchorId="47031F5E" wp14:editId="6997F6C9">
            <wp:simplePos x="0" y="0"/>
            <wp:positionH relativeFrom="column">
              <wp:posOffset>-48679</wp:posOffset>
            </wp:positionH>
            <wp:positionV relativeFrom="paragraph">
              <wp:posOffset>305327</wp:posOffset>
            </wp:positionV>
            <wp:extent cx="2800967" cy="2965450"/>
            <wp:effectExtent l="152400" t="152400" r="361950" b="36830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967" cy="2965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77A55">
        <w:rPr>
          <w:rFonts w:ascii="Palatino Linotype" w:eastAsia="Palatino Linotype" w:hAnsi="Palatino Linotype" w:cs="Palatino Linotype"/>
          <w:noProof/>
          <w:color w:val="000000" w:themeColor="text1"/>
          <w:lang w:val="es-MX"/>
        </w:rPr>
        <w:drawing>
          <wp:anchor distT="0" distB="0" distL="114300" distR="114300" simplePos="0" relativeHeight="251663360" behindDoc="0" locked="0" layoutInCell="1" allowOverlap="1" wp14:anchorId="2583B1CC" wp14:editId="32CBEAB3">
            <wp:simplePos x="0" y="0"/>
            <wp:positionH relativeFrom="column">
              <wp:posOffset>3492823</wp:posOffset>
            </wp:positionH>
            <wp:positionV relativeFrom="paragraph">
              <wp:posOffset>288075</wp:posOffset>
            </wp:positionV>
            <wp:extent cx="2680368" cy="2965450"/>
            <wp:effectExtent l="152400" t="152400" r="367665" b="36830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0368" cy="2965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FC1AF63" w14:textId="2731CC4F"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547245E0"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3EEF8535"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05D60C23"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7F9C51EF"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2B003902"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4297CCE1"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549BB4B2"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746FEC26"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04C365B2"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572102C1"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28737C95"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717F2B21"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36A68A5F"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2E17423E"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4D55154C"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541ED71B"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noProof/>
          <w:color w:val="000000" w:themeColor="text1"/>
          <w:lang w:val="es-MX"/>
        </w:rPr>
        <w:drawing>
          <wp:anchor distT="0" distB="0" distL="114300" distR="114300" simplePos="0" relativeHeight="251664384" behindDoc="0" locked="0" layoutInCell="1" allowOverlap="1" wp14:anchorId="2659D191" wp14:editId="3AFD5575">
            <wp:simplePos x="0" y="0"/>
            <wp:positionH relativeFrom="column">
              <wp:posOffset>1806120</wp:posOffset>
            </wp:positionH>
            <wp:positionV relativeFrom="paragraph">
              <wp:posOffset>5379</wp:posOffset>
            </wp:positionV>
            <wp:extent cx="2719985" cy="2698750"/>
            <wp:effectExtent l="152400" t="152400" r="366395" b="36830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9985" cy="2698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E2F0020"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2C2492E2"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1223B7FA"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7F55BD6B"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1750BCA4"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0F61A258"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2F9DB760"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5090BA90"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5B51F43D"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72139E66"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75B0B1E0"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16A4E446"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4ED61BAF"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06F0E2A4"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62336DCA" w14:textId="77777777" w:rsidR="00C710E3" w:rsidRPr="00077A55" w:rsidRDefault="00C710E3" w:rsidP="00077A55">
      <w:pPr>
        <w:pStyle w:val="Prrafodelista"/>
        <w:ind w:left="0"/>
        <w:rPr>
          <w:rFonts w:ascii="Palatino Linotype" w:eastAsia="Palatino Linotype" w:hAnsi="Palatino Linotype" w:cs="Palatino Linotype"/>
          <w:color w:val="000000" w:themeColor="text1"/>
        </w:rPr>
      </w:pPr>
    </w:p>
    <w:p w14:paraId="6A07D1C5" w14:textId="77777777" w:rsidR="00F10614" w:rsidRPr="00077A55" w:rsidRDefault="00BD0473"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De las imágenes insertadas anteriormente, se observa que los solicitantes a obtener una licencia de funcionamiento deben de realizar el pago por medio de efectivo o tarjetas, </w:t>
      </w:r>
      <w:r w:rsidRPr="00077A55">
        <w:rPr>
          <w:rFonts w:ascii="Palatino Linotype" w:eastAsia="Palatino Linotype" w:hAnsi="Palatino Linotype" w:cs="Palatino Linotype"/>
          <w:color w:val="000000" w:themeColor="text1"/>
        </w:rPr>
        <w:lastRenderedPageBreak/>
        <w:t>situación por la cual se tiene que para la generación de la licencia de funcionamiento</w:t>
      </w:r>
      <w:r w:rsidR="00466CDA" w:rsidRPr="00077A55">
        <w:rPr>
          <w:rFonts w:ascii="Palatino Linotype" w:eastAsia="Palatino Linotype" w:hAnsi="Palatino Linotype" w:cs="Palatino Linotype"/>
          <w:color w:val="000000" w:themeColor="text1"/>
        </w:rPr>
        <w:t xml:space="preserve"> se debe de entregar el formato del pago. </w:t>
      </w:r>
    </w:p>
    <w:p w14:paraId="49076847" w14:textId="77777777" w:rsidR="00466CDA" w:rsidRPr="00077A55" w:rsidRDefault="00466CDA" w:rsidP="00077A5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3C385358" w14:textId="77777777" w:rsidR="001B2CAB" w:rsidRPr="00077A55" w:rsidRDefault="001B2CAB"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De lo analizado anteriormente, se tiene que el </w:t>
      </w:r>
      <w:r w:rsidRPr="00077A55">
        <w:rPr>
          <w:rFonts w:ascii="Palatino Linotype" w:eastAsia="Palatino Linotype" w:hAnsi="Palatino Linotype" w:cs="Palatino Linotype"/>
          <w:b/>
          <w:color w:val="000000" w:themeColor="text1"/>
        </w:rPr>
        <w:t xml:space="preserve">SUJETO OBLIGADO </w:t>
      </w:r>
      <w:r w:rsidRPr="00077A55">
        <w:rPr>
          <w:rFonts w:ascii="Palatino Linotype" w:eastAsia="Palatino Linotype" w:hAnsi="Palatino Linotype" w:cs="Palatino Linotype"/>
          <w:color w:val="000000" w:themeColor="text1"/>
        </w:rPr>
        <w:t xml:space="preserve">cuenta con la información solicitada por el </w:t>
      </w:r>
      <w:r w:rsidRPr="00077A55">
        <w:rPr>
          <w:rFonts w:ascii="Palatino Linotype" w:eastAsia="Palatino Linotype" w:hAnsi="Palatino Linotype" w:cs="Palatino Linotype"/>
          <w:b/>
          <w:color w:val="000000" w:themeColor="text1"/>
        </w:rPr>
        <w:t xml:space="preserve">RECURRENTE, </w:t>
      </w:r>
      <w:r w:rsidRPr="00077A55">
        <w:rPr>
          <w:rFonts w:ascii="Palatino Linotype" w:eastAsia="Palatino Linotype" w:hAnsi="Palatino Linotype" w:cs="Palatino Linotype"/>
          <w:color w:val="000000" w:themeColor="text1"/>
        </w:rPr>
        <w:t>situación por la cual para que sea colmado el derecho de acceso a la información se deberán de entregar las licencias de funcionamiento autorizadas p</w:t>
      </w:r>
      <w:r w:rsidR="00740068" w:rsidRPr="00077A55">
        <w:rPr>
          <w:rFonts w:ascii="Palatino Linotype" w:eastAsia="Palatino Linotype" w:hAnsi="Palatino Linotype" w:cs="Palatino Linotype"/>
          <w:color w:val="000000" w:themeColor="text1"/>
        </w:rPr>
        <w:t xml:space="preserve">ara la venta de bebidas alcohólicas, así como los comprobantes de pago </w:t>
      </w:r>
    </w:p>
    <w:p w14:paraId="57E231DB" w14:textId="77777777" w:rsidR="001B2CAB" w:rsidRPr="00077A55" w:rsidRDefault="001B2CAB" w:rsidP="00077A55">
      <w:pPr>
        <w:pStyle w:val="Prrafodelista"/>
        <w:ind w:left="0"/>
        <w:rPr>
          <w:rFonts w:ascii="Palatino Linotype" w:eastAsia="Palatino Linotype" w:hAnsi="Palatino Linotype" w:cs="Palatino Linotype"/>
          <w:color w:val="000000" w:themeColor="text1"/>
        </w:rPr>
      </w:pPr>
    </w:p>
    <w:p w14:paraId="1B9F8510" w14:textId="77777777" w:rsidR="00740068" w:rsidRPr="00077A55" w:rsidRDefault="00740068"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Ahora bien, se debe de referir que de la información que sea entregada por el </w:t>
      </w:r>
      <w:r w:rsidRPr="00077A55">
        <w:rPr>
          <w:rFonts w:ascii="Palatino Linotype" w:eastAsia="Palatino Linotype" w:hAnsi="Palatino Linotype" w:cs="Palatino Linotype"/>
          <w:b/>
          <w:color w:val="000000" w:themeColor="text1"/>
        </w:rPr>
        <w:t xml:space="preserve">SUJETO OBLIGADO </w:t>
      </w:r>
      <w:r w:rsidRPr="00077A55">
        <w:rPr>
          <w:rFonts w:ascii="Palatino Linotype" w:eastAsia="Palatino Linotype" w:hAnsi="Palatino Linotype" w:cs="Palatino Linotype"/>
          <w:color w:val="000000" w:themeColor="text1"/>
        </w:rPr>
        <w:t xml:space="preserve">pueden encontrarse datos </w:t>
      </w:r>
      <w:r w:rsidR="001228D8" w:rsidRPr="00077A55">
        <w:rPr>
          <w:rFonts w:ascii="Palatino Linotype" w:eastAsia="Palatino Linotype" w:hAnsi="Palatino Linotype" w:cs="Palatino Linotype"/>
          <w:color w:val="000000" w:themeColor="text1"/>
        </w:rPr>
        <w:t xml:space="preserve">que sean susceptibles de ser clasificados como confidenciales, los cuales de manera enunciativa más no limitativa son los siguientes. </w:t>
      </w:r>
    </w:p>
    <w:p w14:paraId="51C07CDF" w14:textId="77777777" w:rsidR="00740068" w:rsidRPr="00077A55" w:rsidRDefault="00740068" w:rsidP="00077A55">
      <w:pPr>
        <w:rPr>
          <w:rFonts w:ascii="Palatino Linotype" w:eastAsia="Palatino Linotype" w:hAnsi="Palatino Linotype" w:cs="Palatino Linotype"/>
          <w:color w:val="000000" w:themeColor="text1"/>
        </w:rPr>
      </w:pPr>
    </w:p>
    <w:p w14:paraId="60834A7B"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b/>
          <w:color w:val="000000" w:themeColor="text1"/>
        </w:rPr>
        <w:t>Registro Federal de Contribuyentes</w:t>
      </w:r>
      <w:r w:rsidRPr="00077A55">
        <w:rPr>
          <w:rFonts w:ascii="Palatino Linotype" w:eastAsia="Palatino Linotype" w:hAnsi="Palatino Linotype" w:cs="Palatino Linotype"/>
          <w:color w:val="000000" w:themeColor="text1"/>
        </w:rPr>
        <w:t xml:space="preserve"> (RFC)</w:t>
      </w:r>
    </w:p>
    <w:p w14:paraId="06E4D156"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133F7EA0"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05E98450"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A85AFC6"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25B54068"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574AAD3"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57CA40B6"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5215AB7"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6BA1D4BA"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en el cual se señala lo siguiente:</w:t>
      </w:r>
    </w:p>
    <w:p w14:paraId="2EDC9545" w14:textId="77777777" w:rsidR="006752C5" w:rsidRPr="00077A55" w:rsidRDefault="006752C5"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i/>
          <w:color w:val="000000" w:themeColor="text1"/>
        </w:rPr>
        <w:t>“</w:t>
      </w:r>
      <w:r w:rsidRPr="00077A55">
        <w:rPr>
          <w:rFonts w:ascii="Palatino Linotype" w:eastAsia="Palatino Linotype" w:hAnsi="Palatino Linotype" w:cs="Palatino Linotype"/>
          <w:b/>
          <w:i/>
          <w:color w:val="000000" w:themeColor="text1"/>
        </w:rPr>
        <w:t>Registro Federal de Contribuyentes (RFC) de personas físicas</w:t>
      </w:r>
      <w:r w:rsidRPr="00077A55">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14:paraId="5F5734C2" w14:textId="77777777" w:rsidR="006752C5" w:rsidRPr="00077A55" w:rsidRDefault="006752C5" w:rsidP="00077A55">
      <w:pPr>
        <w:jc w:val="both"/>
        <w:rPr>
          <w:rFonts w:ascii="Palatino Linotype" w:eastAsia="Palatino Linotype" w:hAnsi="Palatino Linotype" w:cs="Palatino Linotype"/>
          <w:color w:val="000000" w:themeColor="text1"/>
        </w:rPr>
      </w:pPr>
    </w:p>
    <w:p w14:paraId="2F8FD543"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A213641" w14:textId="77777777" w:rsidR="006752C5" w:rsidRPr="00077A55" w:rsidRDefault="006752C5" w:rsidP="00077A55">
      <w:pPr>
        <w:spacing w:line="360" w:lineRule="auto"/>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color w:val="000000" w:themeColor="text1"/>
        </w:rPr>
        <w:lastRenderedPageBreak/>
        <w:t>Clave única de Registro de Población –CURP-.</w:t>
      </w:r>
    </w:p>
    <w:p w14:paraId="51A57E2E"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El artículo 36 de la Constitución Política de los Estados Unidos Mexicanos, dispone la obligación de los ciudadanos de inscribirse en el Registro Nacional de Ciudadanos. </w:t>
      </w:r>
    </w:p>
    <w:p w14:paraId="54E68BE4"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2B919A39"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El artículo 85 de la Ley General de Población, prevé que corresponde a la Secretaría de Gobernación el registro y acreditación de la identidad de todas las personas residentes en el país y de los nacionales que residan en el extranjero.</w:t>
      </w:r>
    </w:p>
    <w:p w14:paraId="0BD641DF"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35A9AE3A"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98DB2F9" w14:textId="77777777" w:rsidR="006752C5" w:rsidRPr="00077A55" w:rsidRDefault="006752C5" w:rsidP="00077A55">
      <w:pPr>
        <w:spacing w:line="360" w:lineRule="auto"/>
        <w:jc w:val="both"/>
        <w:rPr>
          <w:rFonts w:ascii="Palatino Linotype" w:eastAsia="Palatino Linotype" w:hAnsi="Palatino Linotype" w:cs="Palatino Linotype"/>
          <w:b/>
          <w:color w:val="000000" w:themeColor="text1"/>
        </w:rPr>
      </w:pPr>
    </w:p>
    <w:p w14:paraId="5C17D45F"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De conformidad con lo precisado por la propia Secretaría de Gobernación en la dirección </w:t>
      </w:r>
      <w:hyperlink r:id="rId13">
        <w:r w:rsidRPr="00077A55">
          <w:rPr>
            <w:rFonts w:ascii="Palatino Linotype" w:eastAsia="Palatino Linotype" w:hAnsi="Palatino Linotype" w:cs="Palatino Linotype"/>
            <w:color w:val="000000" w:themeColor="text1"/>
            <w:u w:val="single"/>
          </w:rPr>
          <w:t>https://consultas.curp.gob.mx/CurpSP/html/informacionecurpPS.html</w:t>
        </w:r>
      </w:hyperlink>
      <w:r w:rsidRPr="00077A55">
        <w:rPr>
          <w:rFonts w:ascii="Palatino Linotype" w:eastAsia="Palatino Linotype" w:hAnsi="Palatino Linotype" w:cs="Palatino Linotype"/>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077A55">
        <w:rPr>
          <w:rFonts w:ascii="Palatino Linotype" w:eastAsia="Palatino Linotype" w:hAnsi="Palatino Linotype" w:cs="Palatino Linotype"/>
          <w:b/>
          <w:color w:val="000000" w:themeColor="text1"/>
        </w:rPr>
        <w:t xml:space="preserve">se generan a partir de los datos contenidos en el documento probatorio de la identidad del interesado </w:t>
      </w:r>
      <w:r w:rsidRPr="00077A55">
        <w:rPr>
          <w:rFonts w:ascii="Palatino Linotype" w:eastAsia="Palatino Linotype" w:hAnsi="Palatino Linotype" w:cs="Palatino Linotype"/>
          <w:color w:val="000000" w:themeColor="text1"/>
        </w:rPr>
        <w:t>(acta de nacimiento, carta de naturalización o documento migratorio) de la siguiente forma:</w:t>
      </w:r>
    </w:p>
    <w:p w14:paraId="0B40C271"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 • El primero y segundo apellidos, así como al nombre de pila.</w:t>
      </w:r>
    </w:p>
    <w:p w14:paraId="4E701149"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 • La fecha de nacimiento.</w:t>
      </w:r>
    </w:p>
    <w:p w14:paraId="3C540C1D"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 xml:space="preserve"> • El sexo.</w:t>
      </w:r>
    </w:p>
    <w:p w14:paraId="7F619244"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 • La entidad federativa de nacimiento.</w:t>
      </w:r>
    </w:p>
    <w:p w14:paraId="5D3543D2"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Los dos últimos elementos de la CURP evitan la duplicidad de la Clave y garantizan su correcta integración.</w:t>
      </w:r>
    </w:p>
    <w:p w14:paraId="5F77B8B6"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0EF60DC3"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107ABE0C"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4FD97B6B"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Resulta aplicable en la especie, como argumento orientador, el Criterio 3/10, emitido por el INAI.</w:t>
      </w:r>
    </w:p>
    <w:p w14:paraId="47DC2118" w14:textId="77777777" w:rsidR="006752C5" w:rsidRPr="00077A55" w:rsidRDefault="006752C5" w:rsidP="00077A55">
      <w:pPr>
        <w:jc w:val="both"/>
        <w:rPr>
          <w:rFonts w:ascii="Palatino Linotype" w:eastAsia="Palatino Linotype" w:hAnsi="Palatino Linotype" w:cs="Palatino Linotype"/>
          <w:i/>
          <w:color w:val="000000" w:themeColor="text1"/>
        </w:rPr>
      </w:pPr>
      <w:r w:rsidRPr="00077A55">
        <w:rPr>
          <w:rFonts w:ascii="Palatino Linotype" w:eastAsia="Palatino Linotype" w:hAnsi="Palatino Linotype" w:cs="Palatino Linotype"/>
          <w:b/>
          <w:i/>
          <w:color w:val="000000" w:themeColor="text1"/>
        </w:rPr>
        <w:t xml:space="preserve">Clave Única de Registro de Población (CURP) es un dato personal confidencial. </w:t>
      </w:r>
      <w:r w:rsidRPr="00077A55">
        <w:rPr>
          <w:rFonts w:ascii="Palatino Linotype" w:eastAsia="Palatino Linotype" w:hAnsi="Palatino Linotype" w:cs="Palatino Linotype"/>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2EE7C98" w14:textId="77777777" w:rsidR="006752C5" w:rsidRPr="00077A55" w:rsidRDefault="006752C5" w:rsidP="00077A55">
      <w:pPr>
        <w:jc w:val="both"/>
        <w:rPr>
          <w:rFonts w:ascii="Palatino Linotype" w:eastAsia="Palatino Linotype" w:hAnsi="Palatino Linotype" w:cs="Palatino Linotype"/>
          <w:color w:val="000000" w:themeColor="text1"/>
        </w:rPr>
      </w:pPr>
    </w:p>
    <w:p w14:paraId="722EBC1E"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De acuerdo con lo anterior, se la clave CURP, es un dato personal confidencial, en términos del artículo 143, fracción I, de la Ley de Transparencia y Acceso a la Información Pública del Estado de México y Municipios.</w:t>
      </w:r>
    </w:p>
    <w:p w14:paraId="151446B1" w14:textId="77777777" w:rsidR="00260A19" w:rsidRPr="00077A55" w:rsidRDefault="00260A19" w:rsidP="00077A55">
      <w:pPr>
        <w:contextualSpacing/>
        <w:rPr>
          <w:rFonts w:ascii="Palatino Linotype" w:hAnsi="Palatino Linotype"/>
          <w:color w:val="000000" w:themeColor="text1"/>
          <w:lang w:val="es-ES"/>
        </w:rPr>
      </w:pPr>
    </w:p>
    <w:p w14:paraId="45E89FE9" w14:textId="77777777" w:rsidR="00260A19" w:rsidRPr="00884273" w:rsidRDefault="00260A19" w:rsidP="00077A55">
      <w:pPr>
        <w:spacing w:line="360" w:lineRule="auto"/>
        <w:jc w:val="both"/>
        <w:rPr>
          <w:rFonts w:ascii="Palatino Linotype" w:hAnsi="Palatino Linotype"/>
          <w:b/>
          <w:bCs/>
          <w:iCs/>
          <w:color w:val="000000" w:themeColor="text1"/>
        </w:rPr>
      </w:pPr>
      <w:r w:rsidRPr="00884273">
        <w:rPr>
          <w:rFonts w:ascii="Palatino Linotype" w:hAnsi="Palatino Linotype"/>
          <w:b/>
          <w:bCs/>
          <w:iCs/>
          <w:color w:val="000000" w:themeColor="text1"/>
        </w:rPr>
        <w:lastRenderedPageBreak/>
        <w:t>Nombre de particulares.</w:t>
      </w:r>
    </w:p>
    <w:p w14:paraId="084B7C8C" w14:textId="77777777" w:rsidR="00260A19" w:rsidRPr="00884273" w:rsidRDefault="00260A19" w:rsidP="00077A55">
      <w:pPr>
        <w:numPr>
          <w:ilvl w:val="0"/>
          <w:numId w:val="1"/>
        </w:numPr>
        <w:pBdr>
          <w:top w:val="nil"/>
          <w:left w:val="nil"/>
          <w:bottom w:val="nil"/>
          <w:right w:val="nil"/>
          <w:between w:val="nil"/>
        </w:pBdr>
        <w:spacing w:line="360" w:lineRule="auto"/>
        <w:ind w:left="0" w:firstLine="0"/>
        <w:jc w:val="both"/>
        <w:rPr>
          <w:rFonts w:ascii="Palatino Linotype" w:hAnsi="Palatino Linotype" w:cs="Tahoma"/>
          <w:b/>
          <w:bCs/>
          <w:color w:val="000000" w:themeColor="text1"/>
        </w:rPr>
      </w:pPr>
      <w:r w:rsidRPr="00884273">
        <w:rPr>
          <w:rFonts w:ascii="Palatino Linotype" w:eastAsia="Palatino Linotype" w:hAnsi="Palatino Linotype" w:cs="Palatino Linotype"/>
          <w:color w:val="000000" w:themeColor="text1"/>
        </w:rPr>
        <w:t>Al</w:t>
      </w:r>
      <w:r w:rsidRPr="00884273">
        <w:rPr>
          <w:rFonts w:ascii="Palatino Linotype" w:hAnsi="Palatino Linotype" w:cs="Tahoma"/>
          <w:bCs/>
          <w:color w:val="000000" w:themeColor="text1"/>
        </w:rPr>
        <w:t xml:space="preserve">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884273">
        <w:rPr>
          <w:rFonts w:ascii="Palatino Linotype" w:hAnsi="Palatino Linotype" w:cs="Tahoma"/>
          <w:bCs/>
          <w:i/>
          <w:color w:val="000000" w:themeColor="text1"/>
        </w:rPr>
        <w:t>per se</w:t>
      </w:r>
      <w:r w:rsidRPr="00884273">
        <w:rPr>
          <w:rFonts w:ascii="Palatino Linotype" w:hAnsi="Palatino Linotype" w:cs="Tahoma"/>
          <w:bCs/>
          <w:color w:val="000000" w:themeColor="text1"/>
        </w:rPr>
        <w:t xml:space="preserve"> es un elemento que hace a una persona física identificada o identificable, por lo que, </w:t>
      </w:r>
      <w:r w:rsidRPr="00884273">
        <w:rPr>
          <w:rFonts w:ascii="Palatino Linotype" w:hAnsi="Palatino Linotype" w:cs="Tahoma"/>
          <w:b/>
          <w:bCs/>
          <w:color w:val="000000" w:themeColor="text1"/>
        </w:rPr>
        <w:t>se considera un dato personal.</w:t>
      </w:r>
    </w:p>
    <w:p w14:paraId="52F5C499" w14:textId="77777777" w:rsidR="00260A19" w:rsidRPr="00884273" w:rsidRDefault="00260A19" w:rsidP="00077A55">
      <w:pPr>
        <w:rPr>
          <w:rFonts w:ascii="Palatino Linotype" w:hAnsi="Palatino Linotype" w:cs="Tahoma"/>
          <w:b/>
          <w:bCs/>
          <w:color w:val="000000" w:themeColor="text1"/>
        </w:rPr>
      </w:pPr>
    </w:p>
    <w:p w14:paraId="39841532" w14:textId="77777777" w:rsidR="00260A19" w:rsidRPr="00884273" w:rsidRDefault="00260A19" w:rsidP="00077A55">
      <w:pPr>
        <w:numPr>
          <w:ilvl w:val="0"/>
          <w:numId w:val="1"/>
        </w:numPr>
        <w:pBdr>
          <w:top w:val="nil"/>
          <w:left w:val="nil"/>
          <w:bottom w:val="nil"/>
          <w:right w:val="nil"/>
          <w:between w:val="nil"/>
        </w:pBdr>
        <w:spacing w:line="360" w:lineRule="auto"/>
        <w:ind w:left="0" w:firstLine="0"/>
        <w:jc w:val="both"/>
        <w:rPr>
          <w:rFonts w:ascii="Palatino Linotype" w:hAnsi="Palatino Linotype" w:cs="Tahoma"/>
          <w:b/>
          <w:bCs/>
          <w:color w:val="000000" w:themeColor="text1"/>
          <w:lang w:val="es-ES"/>
        </w:rPr>
      </w:pPr>
      <w:r w:rsidRPr="00884273">
        <w:rPr>
          <w:rFonts w:ascii="Palatino Linotype" w:hAnsi="Palatino Linotype" w:cs="Tahoma"/>
          <w:bCs/>
          <w:color w:val="000000" w:themeColor="text1"/>
        </w:rPr>
        <w:t xml:space="preserve">Al respecto </w:t>
      </w:r>
      <w:r w:rsidRPr="00884273">
        <w:rPr>
          <w:rFonts w:ascii="Palatino Linotype" w:hAnsi="Palatino Linotype" w:cs="Tahoma"/>
          <w:bCs/>
          <w:color w:val="000000" w:themeColor="text1"/>
          <w:lang w:val="es-ES"/>
        </w:rPr>
        <w:t xml:space="preserve">cabe señalar lo previsto en la tesis aislada número 1a. CCXIV/2009, emitida por la Primera Sala de la Suprema Corte de Justicia de la Nación, publicada </w:t>
      </w:r>
      <w:r w:rsidRPr="00884273">
        <w:rPr>
          <w:rFonts w:ascii="Palatino Linotype" w:hAnsi="Palatino Linotype" w:cs="Tahoma"/>
          <w:bCs/>
          <w:iCs/>
          <w:color w:val="000000" w:themeColor="text1"/>
          <w:lang w:val="es-ES"/>
        </w:rPr>
        <w:t xml:space="preserve">en la Gaceta del Semanario Judicial de la Federación, Tomo XXX, de diciembre de 2009, página 277, de la Novena Época, previamente referida, que establece el derecho a la vida privada </w:t>
      </w:r>
      <w:r w:rsidRPr="00884273">
        <w:rPr>
          <w:rFonts w:ascii="Palatino Linotype" w:hAnsi="Palatino Linotype" w:cs="Tahoma"/>
          <w:bCs/>
          <w:color w:val="000000" w:themeColor="text1"/>
          <w:lang w:val="es-ES"/>
        </w:rPr>
        <w:t xml:space="preserve">de una persona. De conformidad con lo señalado, se colige que </w:t>
      </w:r>
      <w:r w:rsidRPr="00884273">
        <w:rPr>
          <w:rFonts w:ascii="Palatino Linotype" w:hAnsi="Palatino Linotype" w:cs="Tahoma"/>
          <w:b/>
          <w:bCs/>
          <w:color w:val="000000" w:themeColor="text1"/>
          <w:lang w:val="es-ES"/>
        </w:rPr>
        <w:t>las actividades que realicen los particulares, dentro del ámbito privado, o dentro de la esfera particular, es información que debe protegerse.</w:t>
      </w:r>
    </w:p>
    <w:p w14:paraId="05F3B021" w14:textId="7E5B23D3"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70B8A4BF" w14:textId="77777777" w:rsidR="006752C5" w:rsidRPr="00077A55" w:rsidRDefault="006752C5" w:rsidP="00077A55">
      <w:pPr>
        <w:spacing w:line="360" w:lineRule="auto"/>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color w:val="000000" w:themeColor="text1"/>
        </w:rPr>
        <w:t>Domicilio</w:t>
      </w:r>
    </w:p>
    <w:p w14:paraId="54002427"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w:t>
      </w:r>
      <w:r w:rsidRPr="00077A55">
        <w:rPr>
          <w:rFonts w:ascii="Palatino Linotype" w:eastAsia="Palatino Linotype" w:hAnsi="Palatino Linotype" w:cs="Palatino Linotype"/>
          <w:color w:val="000000" w:themeColor="text1"/>
        </w:rPr>
        <w:lastRenderedPageBreak/>
        <w:t xml:space="preserve">que </w:t>
      </w:r>
      <w:r w:rsidRPr="00077A55">
        <w:rPr>
          <w:rFonts w:ascii="Palatino Linotype" w:eastAsia="Palatino Linotype" w:hAnsi="Palatino Linotype" w:cs="Palatino Linotype"/>
          <w:b/>
          <w:color w:val="000000" w:themeColor="text1"/>
        </w:rPr>
        <w:t>el domicilio particular</w:t>
      </w:r>
      <w:r w:rsidRPr="00077A55">
        <w:rPr>
          <w:rFonts w:ascii="Palatino Linotype" w:eastAsia="Palatino Linotype" w:hAnsi="Palatino Linotype" w:cs="Palatino Linotype"/>
          <w:color w:val="000000" w:themeColor="text1"/>
        </w:rPr>
        <w:t xml:space="preserve"> es confidencial, en términos del artículo 143, fracción I de la Ley de Transparencia y Acceso a la Información Pública del Estado de México y Municipios. </w:t>
      </w:r>
    </w:p>
    <w:p w14:paraId="2477C81B"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224488C8" w14:textId="77777777" w:rsidR="006752C5" w:rsidRPr="00077A55" w:rsidRDefault="006752C5" w:rsidP="00077A55">
      <w:pPr>
        <w:spacing w:line="360" w:lineRule="auto"/>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color w:val="000000" w:themeColor="text1"/>
        </w:rPr>
        <w:t>Estado civil.</w:t>
      </w:r>
    </w:p>
    <w:p w14:paraId="47346F51"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419F52AA"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18330E3D"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79B602C3" w14:textId="77777777" w:rsidR="006752C5" w:rsidRPr="00077A55" w:rsidRDefault="006752C5" w:rsidP="00077A55">
      <w:pPr>
        <w:pBdr>
          <w:top w:val="nil"/>
          <w:left w:val="nil"/>
          <w:bottom w:val="nil"/>
          <w:right w:val="nil"/>
          <w:between w:val="nil"/>
        </w:pBdr>
        <w:rPr>
          <w:rFonts w:ascii="Palatino Linotype" w:eastAsia="Palatino Linotype" w:hAnsi="Palatino Linotype" w:cs="Palatino Linotype"/>
          <w:color w:val="000000" w:themeColor="text1"/>
        </w:rPr>
      </w:pPr>
    </w:p>
    <w:p w14:paraId="5694F36A"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b/>
          <w:color w:val="000000" w:themeColor="text1"/>
        </w:rPr>
        <w:t>Teléfono y celular particular.</w:t>
      </w:r>
    </w:p>
    <w:p w14:paraId="7BCB90F6"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El número asignado a un teléfono particular o celular permite localizar a una persona física identificada o identificable, ya sea a través de un dispositivo móvil o bien, en un lugar como el domicilio. </w:t>
      </w:r>
    </w:p>
    <w:p w14:paraId="4B8523D4"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4DBC5C99"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En ese sentido, se colige que la titularidad de este, corresponde a la persona física en su calidad de particular y no como servidor público.</w:t>
      </w:r>
    </w:p>
    <w:p w14:paraId="4E393897" w14:textId="77777777" w:rsidR="006752C5" w:rsidRPr="00077A55" w:rsidRDefault="006752C5" w:rsidP="00077A55">
      <w:pPr>
        <w:spacing w:line="360" w:lineRule="auto"/>
        <w:jc w:val="both"/>
        <w:rPr>
          <w:rFonts w:ascii="Palatino Linotype" w:eastAsia="Palatino Linotype" w:hAnsi="Palatino Linotype" w:cs="Palatino Linotype"/>
          <w:color w:val="000000" w:themeColor="text1"/>
        </w:rPr>
      </w:pPr>
    </w:p>
    <w:p w14:paraId="043CDEFD"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En tales consideraciones, dicho dato personal es susceptible de ser clasificado como confidencial, con fundamento en el artículo 143, fracción I de la Ley de Transparencia y Acceso a la Información Pública.</w:t>
      </w:r>
    </w:p>
    <w:p w14:paraId="2E433321" w14:textId="77777777" w:rsidR="006752C5" w:rsidRPr="00077A55" w:rsidRDefault="006752C5" w:rsidP="00077A55">
      <w:pPr>
        <w:pBdr>
          <w:top w:val="nil"/>
          <w:left w:val="nil"/>
          <w:bottom w:val="nil"/>
          <w:right w:val="nil"/>
          <w:between w:val="nil"/>
        </w:pBdr>
        <w:rPr>
          <w:rFonts w:ascii="Palatino Linotype" w:eastAsia="Palatino Linotype" w:hAnsi="Palatino Linotype" w:cs="Palatino Linotype"/>
          <w:color w:val="000000" w:themeColor="text1"/>
        </w:rPr>
      </w:pPr>
    </w:p>
    <w:p w14:paraId="630D3AB3" w14:textId="77777777" w:rsidR="006752C5" w:rsidRPr="00077A55" w:rsidRDefault="006752C5" w:rsidP="00077A55">
      <w:pPr>
        <w:pBdr>
          <w:top w:val="nil"/>
          <w:left w:val="nil"/>
          <w:bottom w:val="nil"/>
          <w:right w:val="nil"/>
          <w:between w:val="nil"/>
        </w:pBdr>
        <w:rPr>
          <w:rFonts w:ascii="Palatino Linotype" w:eastAsia="Palatino Linotype" w:hAnsi="Palatino Linotype" w:cs="Palatino Linotype"/>
          <w:color w:val="000000" w:themeColor="text1"/>
        </w:rPr>
      </w:pPr>
    </w:p>
    <w:p w14:paraId="0D91CA55"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Si el servidor público incumple con estas formalidades y entrega la información sin proteger los datos personales incumple con lo que estipula las disposiciones legales establecidas. </w:t>
      </w:r>
    </w:p>
    <w:p w14:paraId="2D0BE889" w14:textId="77777777" w:rsidR="006752C5" w:rsidRPr="00077A55" w:rsidRDefault="006752C5" w:rsidP="00077A55">
      <w:pPr>
        <w:pBdr>
          <w:top w:val="nil"/>
          <w:left w:val="nil"/>
          <w:bottom w:val="nil"/>
          <w:right w:val="nil"/>
          <w:between w:val="nil"/>
        </w:pBdr>
        <w:rPr>
          <w:rFonts w:ascii="Palatino Linotype" w:eastAsia="Palatino Linotype" w:hAnsi="Palatino Linotype" w:cs="Palatino Linotype"/>
          <w:color w:val="000000" w:themeColor="text1"/>
        </w:rPr>
      </w:pPr>
    </w:p>
    <w:p w14:paraId="3CE49873"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Por lo anteriormente expuesto y fundado, este </w:t>
      </w:r>
      <w:r w:rsidRPr="00077A55">
        <w:rPr>
          <w:rFonts w:ascii="Palatino Linotype" w:eastAsia="Palatino Linotype" w:hAnsi="Palatino Linotype" w:cs="Palatino Linotype"/>
          <w:b/>
          <w:color w:val="000000" w:themeColor="text1"/>
        </w:rPr>
        <w:t>ÓRGANO GARANTE</w:t>
      </w:r>
      <w:r w:rsidRPr="00077A55">
        <w:rPr>
          <w:rFonts w:ascii="Palatino Linotype" w:eastAsia="Palatino Linotype" w:hAnsi="Palatino Linotype" w:cs="Palatino Linotype"/>
          <w:color w:val="000000" w:themeColor="text1"/>
        </w:rPr>
        <w:t xml:space="preserve"> emite los siguientes:</w:t>
      </w:r>
    </w:p>
    <w:p w14:paraId="28B954F6" w14:textId="77777777" w:rsidR="006752C5" w:rsidRPr="00077A55" w:rsidRDefault="006752C5" w:rsidP="00077A55">
      <w:pPr>
        <w:pBdr>
          <w:top w:val="nil"/>
          <w:left w:val="nil"/>
          <w:bottom w:val="nil"/>
          <w:right w:val="nil"/>
          <w:between w:val="nil"/>
        </w:pBdr>
        <w:rPr>
          <w:rFonts w:ascii="Palatino Linotype" w:eastAsia="Palatino Linotype" w:hAnsi="Palatino Linotype" w:cs="Palatino Linotype"/>
          <w:color w:val="000000" w:themeColor="text1"/>
        </w:rPr>
      </w:pPr>
    </w:p>
    <w:p w14:paraId="68FD2B65" w14:textId="77777777" w:rsidR="006752C5" w:rsidRPr="00077A55" w:rsidRDefault="006752C5" w:rsidP="00077A55">
      <w:pPr>
        <w:pStyle w:val="Prrafodelista"/>
        <w:numPr>
          <w:ilvl w:val="0"/>
          <w:numId w:val="16"/>
        </w:numPr>
        <w:spacing w:line="360" w:lineRule="auto"/>
        <w:ind w:left="0" w:firstLine="0"/>
        <w:jc w:val="both"/>
        <w:rPr>
          <w:rFonts w:ascii="Palatino Linotype" w:hAnsi="Palatino Linotype" w:cs="Tahoma"/>
          <w:color w:val="000000" w:themeColor="text1"/>
        </w:rPr>
      </w:pPr>
      <w:r w:rsidRPr="00077A55">
        <w:rPr>
          <w:rFonts w:ascii="Palatino Linotype" w:hAnsi="Palatino Linotype" w:cs="Tahoma"/>
          <w:b/>
          <w:color w:val="000000" w:themeColor="text1"/>
        </w:rPr>
        <w:t>Correo electrónico particular.</w:t>
      </w:r>
    </w:p>
    <w:p w14:paraId="0ADFE390"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hAnsi="Palatino Linotype" w:cs="Tahoma"/>
          <w:bCs/>
          <w:color w:val="000000" w:themeColor="text1"/>
          <w:lang w:eastAsia="en-US"/>
        </w:rPr>
      </w:pPr>
      <w:r w:rsidRPr="00077A55">
        <w:rPr>
          <w:rFonts w:ascii="Palatino Linotype" w:hAnsi="Palatino Linotype" w:cs="Tahoma"/>
          <w:bCs/>
          <w:color w:val="000000" w:themeColor="text1"/>
          <w:lang w:eastAsia="en-US"/>
        </w:rPr>
        <w:t xml:space="preserve">El correo electrónico es un sistema de transmisión de mensajes por computadora a través de redes </w:t>
      </w:r>
      <w:r w:rsidRPr="00077A55">
        <w:rPr>
          <w:rFonts w:ascii="Palatino Linotype" w:eastAsia="Palatino Linotype" w:hAnsi="Palatino Linotype" w:cs="Palatino Linotype"/>
          <w:color w:val="000000" w:themeColor="text1"/>
        </w:rPr>
        <w:t>informáticas</w:t>
      </w:r>
      <w:r w:rsidRPr="00077A55">
        <w:rPr>
          <w:rFonts w:ascii="Palatino Linotype" w:hAnsi="Palatino Linotype" w:cs="Tahoma"/>
          <w:bCs/>
          <w:color w:val="000000" w:themeColor="text1"/>
          <w:lang w:eastAsia="en-US"/>
        </w:rPr>
        <w:t>.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4A29B0DA" w14:textId="77777777" w:rsidR="006752C5" w:rsidRPr="00077A55" w:rsidRDefault="006752C5" w:rsidP="00077A55">
      <w:pPr>
        <w:spacing w:line="360" w:lineRule="auto"/>
        <w:jc w:val="both"/>
        <w:rPr>
          <w:rFonts w:ascii="Palatino Linotype" w:hAnsi="Palatino Linotype" w:cs="Tahoma"/>
          <w:bCs/>
          <w:color w:val="000000" w:themeColor="text1"/>
          <w:lang w:eastAsia="en-US"/>
        </w:rPr>
      </w:pPr>
    </w:p>
    <w:p w14:paraId="3C72751C" w14:textId="77777777" w:rsidR="006752C5" w:rsidRPr="00077A55" w:rsidRDefault="006752C5" w:rsidP="00077A55">
      <w:pPr>
        <w:numPr>
          <w:ilvl w:val="0"/>
          <w:numId w:val="1"/>
        </w:numPr>
        <w:pBdr>
          <w:top w:val="nil"/>
          <w:left w:val="nil"/>
          <w:bottom w:val="nil"/>
          <w:right w:val="nil"/>
          <w:between w:val="nil"/>
        </w:pBdr>
        <w:spacing w:line="360" w:lineRule="auto"/>
        <w:ind w:left="0" w:firstLine="0"/>
        <w:jc w:val="both"/>
        <w:rPr>
          <w:rFonts w:ascii="Palatino Linotype" w:hAnsi="Palatino Linotype" w:cs="Tahoma"/>
          <w:bCs/>
          <w:color w:val="000000" w:themeColor="text1"/>
          <w:lang w:eastAsia="en-US"/>
        </w:rPr>
      </w:pPr>
      <w:r w:rsidRPr="00077A55">
        <w:rPr>
          <w:rFonts w:ascii="Palatino Linotype" w:hAnsi="Palatino Linotype" w:cs="Tahoma"/>
          <w:bCs/>
          <w:color w:val="000000" w:themeColor="text1"/>
          <w:lang w:eastAsia="en-US"/>
        </w:rPr>
        <w:t>En ese sentido,  cabe señalar que el correo electrónico corresponde a un dato personal que actualiza la causal de clasificación establecida en el artículo 143, fracción I de la Ley de Transparencia y Acceso a la Información Pública del Estado de México y Municipios.</w:t>
      </w:r>
    </w:p>
    <w:p w14:paraId="0E038BD1" w14:textId="77777777" w:rsidR="00837F64" w:rsidRPr="00077A55" w:rsidRDefault="00837F64" w:rsidP="00077A55">
      <w:pPr>
        <w:pStyle w:val="Prrafodelista"/>
        <w:ind w:left="0"/>
        <w:rPr>
          <w:rFonts w:ascii="Palatino Linotype" w:hAnsi="Palatino Linotype" w:cs="Tahoma"/>
          <w:bCs/>
          <w:color w:val="000000" w:themeColor="text1"/>
          <w:lang w:eastAsia="en-US"/>
        </w:rPr>
      </w:pPr>
    </w:p>
    <w:p w14:paraId="39177FD5" w14:textId="77777777" w:rsidR="00837F64" w:rsidRPr="00077A55" w:rsidRDefault="00837F64" w:rsidP="00077A5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De ser el caso que no se hubieran otorgado licencias de funcionamiento por la venta de bebidas alcohólicas bastara con que el </w:t>
      </w:r>
      <w:r w:rsidRPr="00077A55">
        <w:rPr>
          <w:rFonts w:ascii="Palatino Linotype" w:eastAsia="Palatino Linotype" w:hAnsi="Palatino Linotype" w:cs="Palatino Linotype"/>
          <w:b/>
          <w:color w:val="000000" w:themeColor="text1"/>
        </w:rPr>
        <w:t xml:space="preserve">SUJETO OBLIGADO </w:t>
      </w:r>
      <w:r w:rsidRPr="00077A55">
        <w:rPr>
          <w:rFonts w:ascii="Palatino Linotype" w:eastAsia="Palatino Linotype" w:hAnsi="Palatino Linotype" w:cs="Palatino Linotype"/>
          <w:color w:val="000000" w:themeColor="text1"/>
        </w:rPr>
        <w:t xml:space="preserve">lo haga del conocimiento </w:t>
      </w:r>
      <w:r w:rsidRPr="00077A55">
        <w:rPr>
          <w:rFonts w:ascii="Palatino Linotype" w:eastAsia="Palatino Linotype" w:hAnsi="Palatino Linotype" w:cs="Palatino Linotype"/>
          <w:color w:val="000000" w:themeColor="text1"/>
        </w:rPr>
        <w:lastRenderedPageBreak/>
        <w:t xml:space="preserve">del </w:t>
      </w:r>
      <w:r w:rsidRPr="00077A55">
        <w:rPr>
          <w:rFonts w:ascii="Palatino Linotype" w:eastAsia="Palatino Linotype" w:hAnsi="Palatino Linotype" w:cs="Palatino Linotype"/>
          <w:b/>
          <w:color w:val="000000" w:themeColor="text1"/>
        </w:rPr>
        <w:t xml:space="preserve">RECURRENTE </w:t>
      </w:r>
      <w:r w:rsidRPr="00077A55">
        <w:rPr>
          <w:rFonts w:ascii="Palatino Linotype" w:eastAsia="Palatino Linotype" w:hAnsi="Palatino Linotype" w:cs="Palatino Linotype"/>
          <w:color w:val="000000" w:themeColor="text1"/>
        </w:rPr>
        <w:t xml:space="preserve">de conformidad con el artículo 19 párrafo segundo de la Ley de Transparencia y Acceso a la Información Pública del Estado de México y Municipios. </w:t>
      </w:r>
    </w:p>
    <w:p w14:paraId="4E5C83A5" w14:textId="77777777" w:rsidR="00260A19" w:rsidRPr="00077A55" w:rsidRDefault="00260A19" w:rsidP="00077A55">
      <w:pPr>
        <w:pStyle w:val="Prrafodelista"/>
        <w:ind w:left="0"/>
        <w:rPr>
          <w:rFonts w:ascii="Palatino Linotype" w:eastAsia="Palatino Linotype" w:hAnsi="Palatino Linotype" w:cs="Palatino Linotype"/>
          <w:color w:val="000000" w:themeColor="text1"/>
        </w:rPr>
      </w:pPr>
    </w:p>
    <w:p w14:paraId="4E332D67" w14:textId="77777777" w:rsidR="00260A19" w:rsidRPr="00884273" w:rsidRDefault="00260A19" w:rsidP="00077A55">
      <w:pPr>
        <w:keepNext/>
        <w:keepLines/>
        <w:tabs>
          <w:tab w:val="left" w:pos="284"/>
        </w:tabs>
        <w:spacing w:before="240"/>
        <w:outlineLvl w:val="0"/>
        <w:rPr>
          <w:rFonts w:ascii="Palatino Linotype" w:eastAsia="MS Gothic" w:hAnsi="Palatino Linotype" w:cstheme="majorBidi"/>
          <w:b/>
          <w:color w:val="000000" w:themeColor="text1"/>
        </w:rPr>
      </w:pPr>
      <w:bookmarkStart w:id="8" w:name="_Toc68793658"/>
      <w:bookmarkStart w:id="9" w:name="_Toc87549681"/>
      <w:r w:rsidRPr="00884273">
        <w:rPr>
          <w:rFonts w:ascii="Palatino Linotype" w:eastAsia="MS Gothic" w:hAnsi="Palatino Linotype" w:cstheme="majorBidi"/>
          <w:b/>
          <w:color w:val="000000" w:themeColor="text1"/>
        </w:rPr>
        <w:t>QUINTO. Vista al órgano de control interno competente.</w:t>
      </w:r>
      <w:bookmarkEnd w:id="8"/>
      <w:bookmarkEnd w:id="9"/>
    </w:p>
    <w:p w14:paraId="6CE0489A" w14:textId="77777777" w:rsidR="00260A19" w:rsidRPr="00884273" w:rsidRDefault="00260A19"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Theme="minorEastAsia" w:hAnsi="Palatino Linotype" w:cs="Arial"/>
          <w:color w:val="000000" w:themeColor="text1"/>
        </w:rPr>
      </w:pPr>
      <w:r w:rsidRPr="00884273">
        <w:rPr>
          <w:rFonts w:ascii="Palatino Linotype" w:eastAsiaTheme="minorEastAsia" w:hAnsi="Palatino Linotype" w:cs="Arial"/>
          <w:color w:val="000000" w:themeColor="text1"/>
        </w:rPr>
        <w:t xml:space="preserve">La </w:t>
      </w:r>
      <w:r w:rsidRPr="00884273">
        <w:rPr>
          <w:rFonts w:ascii="Palatino Linotype" w:eastAsia="Palatino Linotype" w:hAnsi="Palatino Linotype" w:cs="Palatino Linotype"/>
          <w:color w:val="000000" w:themeColor="text1"/>
        </w:rPr>
        <w:t>Ley</w:t>
      </w:r>
      <w:r w:rsidRPr="00884273">
        <w:rPr>
          <w:rFonts w:ascii="Palatino Linotype" w:eastAsiaTheme="minorEastAsia" w:hAnsi="Palatino Linotype" w:cs="Arial"/>
          <w:color w:val="000000" w:themeColor="text1"/>
        </w:rPr>
        <w:t xml:space="preserve"> de Transparencia y Acceso a la Información Pública del Estado de México y Municipios en los artículos 222 fracción I y II, 162 y 59 fracción I y II establecen los siguiente:</w:t>
      </w:r>
    </w:p>
    <w:p w14:paraId="734E25E4" w14:textId="77777777" w:rsidR="00260A19" w:rsidRPr="00884273" w:rsidRDefault="00260A19" w:rsidP="00077A55">
      <w:pPr>
        <w:tabs>
          <w:tab w:val="left" w:pos="284"/>
        </w:tabs>
        <w:contextualSpacing/>
        <w:jc w:val="both"/>
        <w:rPr>
          <w:rFonts w:ascii="Palatino Linotype" w:hAnsi="Palatino Linotype"/>
          <w:i/>
          <w:iCs/>
          <w:color w:val="000000" w:themeColor="text1"/>
        </w:rPr>
      </w:pPr>
      <w:r w:rsidRPr="00884273">
        <w:rPr>
          <w:rFonts w:ascii="Palatino Linotype" w:hAnsi="Palatino Linotype"/>
          <w:i/>
          <w:iCs/>
          <w:color w:val="000000" w:themeColor="text1"/>
        </w:rPr>
        <w:t>Artículo 222. Son causas de responsabilidad administrativa de los servidores públicos de los sujetos obligados, por incumplimiento de las obligaciones establecidas en la materia de la presente Ley, las siguientes:</w:t>
      </w:r>
    </w:p>
    <w:p w14:paraId="1810960A" w14:textId="77777777" w:rsidR="00260A19" w:rsidRPr="00884273" w:rsidRDefault="00260A19" w:rsidP="00077A55">
      <w:pPr>
        <w:tabs>
          <w:tab w:val="left" w:pos="284"/>
        </w:tabs>
        <w:contextualSpacing/>
        <w:jc w:val="both"/>
        <w:rPr>
          <w:rFonts w:ascii="Palatino Linotype" w:hAnsi="Palatino Linotype"/>
          <w:i/>
          <w:iCs/>
          <w:color w:val="000000" w:themeColor="text1"/>
        </w:rPr>
      </w:pPr>
      <w:r w:rsidRPr="00884273">
        <w:rPr>
          <w:rFonts w:ascii="Palatino Linotype" w:hAnsi="Palatino Linotype"/>
          <w:i/>
          <w:iCs/>
          <w:color w:val="000000" w:themeColor="text1"/>
        </w:rPr>
        <w:t xml:space="preserve">I. Cualquier acto u omisión que provoque la suspensión o deficiencia en la atención de las solicitudes de información; </w:t>
      </w:r>
    </w:p>
    <w:p w14:paraId="4F58BB00" w14:textId="77777777" w:rsidR="00260A19" w:rsidRPr="00884273" w:rsidRDefault="00260A19" w:rsidP="00077A55">
      <w:pPr>
        <w:tabs>
          <w:tab w:val="left" w:pos="284"/>
        </w:tabs>
        <w:contextualSpacing/>
        <w:jc w:val="both"/>
        <w:rPr>
          <w:rFonts w:ascii="Palatino Linotype" w:hAnsi="Palatino Linotype"/>
          <w:i/>
          <w:iCs/>
          <w:color w:val="000000" w:themeColor="text1"/>
        </w:rPr>
      </w:pPr>
      <w:r w:rsidRPr="00884273">
        <w:rPr>
          <w:rFonts w:ascii="Palatino Linotype" w:hAnsi="Palatino Linotype"/>
          <w:i/>
          <w:iCs/>
          <w:color w:val="000000" w:themeColor="text1"/>
        </w:rPr>
        <w:t>II. La falta de respuesta a las solicitudes de información en los plazos señalados en la normatividad aplicable;</w:t>
      </w:r>
    </w:p>
    <w:p w14:paraId="1A0ABFC6" w14:textId="77777777" w:rsidR="00260A19" w:rsidRPr="00884273" w:rsidRDefault="00260A19" w:rsidP="00077A55">
      <w:pPr>
        <w:tabs>
          <w:tab w:val="left" w:pos="284"/>
        </w:tabs>
        <w:contextualSpacing/>
        <w:jc w:val="both"/>
        <w:rPr>
          <w:rFonts w:ascii="Palatino Linotype" w:hAnsi="Palatino Linotype"/>
          <w:i/>
          <w:iCs/>
          <w:color w:val="000000" w:themeColor="text1"/>
        </w:rPr>
      </w:pPr>
      <w:r w:rsidRPr="00884273">
        <w:rPr>
          <w:rFonts w:ascii="Palatino Linotype" w:hAnsi="Palatino Linotype"/>
          <w:i/>
          <w:iCs/>
          <w:color w:val="000000" w:themeColor="text1"/>
        </w:rPr>
        <w:t>III. a XXI. …</w:t>
      </w:r>
    </w:p>
    <w:p w14:paraId="296BE16D" w14:textId="77777777" w:rsidR="00260A19" w:rsidRPr="00884273" w:rsidRDefault="00260A19" w:rsidP="00077A55">
      <w:pPr>
        <w:tabs>
          <w:tab w:val="left" w:pos="284"/>
        </w:tabs>
        <w:contextualSpacing/>
        <w:jc w:val="both"/>
        <w:rPr>
          <w:rFonts w:ascii="Palatino Linotype" w:hAnsi="Palatino Linotype"/>
          <w:i/>
          <w:iCs/>
          <w:color w:val="000000" w:themeColor="text1"/>
        </w:rPr>
      </w:pPr>
      <w:r w:rsidRPr="00884273">
        <w:rPr>
          <w:rFonts w:ascii="Palatino Linotype" w:hAnsi="Palatino Linotype"/>
          <w:i/>
          <w:iCs/>
          <w:color w:val="000000" w:themeColor="text1"/>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AB3EBEA" w14:textId="77777777" w:rsidR="00260A19" w:rsidRPr="00884273" w:rsidRDefault="00260A19" w:rsidP="00077A55">
      <w:pPr>
        <w:tabs>
          <w:tab w:val="left" w:pos="284"/>
        </w:tabs>
        <w:contextualSpacing/>
        <w:jc w:val="both"/>
        <w:rPr>
          <w:rFonts w:ascii="Palatino Linotype" w:hAnsi="Palatino Linotype"/>
          <w:i/>
          <w:iCs/>
          <w:color w:val="000000" w:themeColor="text1"/>
        </w:rPr>
      </w:pPr>
    </w:p>
    <w:p w14:paraId="536E3744" w14:textId="77777777" w:rsidR="00260A19" w:rsidRPr="00884273" w:rsidRDefault="00260A19" w:rsidP="00077A55">
      <w:pPr>
        <w:tabs>
          <w:tab w:val="left" w:pos="284"/>
        </w:tabs>
        <w:contextualSpacing/>
        <w:jc w:val="both"/>
        <w:rPr>
          <w:rFonts w:ascii="Palatino Linotype" w:hAnsi="Palatino Linotype"/>
          <w:i/>
          <w:iCs/>
          <w:color w:val="000000" w:themeColor="text1"/>
        </w:rPr>
      </w:pPr>
      <w:r w:rsidRPr="00884273">
        <w:rPr>
          <w:rFonts w:ascii="Palatino Linotype" w:hAnsi="Palatino Linotype"/>
          <w:i/>
          <w:iCs/>
          <w:color w:val="000000" w:themeColor="text1"/>
        </w:rPr>
        <w:t>Artículo 59. Los servidores públicos habilitados tendrán las funciones siguientes:</w:t>
      </w:r>
    </w:p>
    <w:p w14:paraId="464AFB94" w14:textId="77777777" w:rsidR="00260A19" w:rsidRPr="00884273" w:rsidRDefault="00260A19" w:rsidP="00077A55">
      <w:pPr>
        <w:tabs>
          <w:tab w:val="left" w:pos="284"/>
        </w:tabs>
        <w:contextualSpacing/>
        <w:jc w:val="both"/>
        <w:rPr>
          <w:rFonts w:ascii="Palatino Linotype" w:hAnsi="Palatino Linotype"/>
          <w:i/>
          <w:iCs/>
          <w:color w:val="000000" w:themeColor="text1"/>
        </w:rPr>
      </w:pPr>
    </w:p>
    <w:p w14:paraId="45A2285E" w14:textId="77777777" w:rsidR="00260A19" w:rsidRPr="00884273" w:rsidRDefault="00260A19" w:rsidP="00077A55">
      <w:pPr>
        <w:tabs>
          <w:tab w:val="left" w:pos="284"/>
        </w:tabs>
        <w:contextualSpacing/>
        <w:jc w:val="both"/>
        <w:rPr>
          <w:rFonts w:ascii="Palatino Linotype" w:hAnsi="Palatino Linotype"/>
          <w:i/>
          <w:iCs/>
          <w:color w:val="000000" w:themeColor="text1"/>
        </w:rPr>
      </w:pPr>
      <w:r w:rsidRPr="00884273">
        <w:rPr>
          <w:rFonts w:ascii="Palatino Linotype" w:hAnsi="Palatino Linotype"/>
          <w:i/>
          <w:iCs/>
          <w:color w:val="000000" w:themeColor="text1"/>
        </w:rPr>
        <w:t xml:space="preserve">I. Localizar la información que le solicite la Unidad de Transparencia; </w:t>
      </w:r>
    </w:p>
    <w:p w14:paraId="78F3828D" w14:textId="77777777" w:rsidR="00260A19" w:rsidRPr="00884273" w:rsidRDefault="00260A19" w:rsidP="00077A55">
      <w:pPr>
        <w:tabs>
          <w:tab w:val="left" w:pos="284"/>
        </w:tabs>
        <w:contextualSpacing/>
        <w:jc w:val="both"/>
        <w:rPr>
          <w:rFonts w:ascii="Palatino Linotype" w:hAnsi="Palatino Linotype"/>
          <w:i/>
          <w:iCs/>
          <w:color w:val="000000" w:themeColor="text1"/>
        </w:rPr>
      </w:pPr>
      <w:r w:rsidRPr="00884273">
        <w:rPr>
          <w:rFonts w:ascii="Palatino Linotype" w:hAnsi="Palatino Linotype"/>
          <w:i/>
          <w:iCs/>
          <w:color w:val="000000" w:themeColor="text1"/>
        </w:rPr>
        <w:t>II. Proporcionar la información que obre en los archivos y que le sea solicitada por la Unidad de Transparencia;</w:t>
      </w:r>
    </w:p>
    <w:p w14:paraId="30E44459" w14:textId="77777777" w:rsidR="00260A19" w:rsidRPr="00884273" w:rsidRDefault="00260A19" w:rsidP="00077A55">
      <w:pPr>
        <w:tabs>
          <w:tab w:val="left" w:pos="284"/>
        </w:tabs>
        <w:contextualSpacing/>
        <w:jc w:val="both"/>
        <w:rPr>
          <w:rFonts w:ascii="Palatino Linotype" w:hAnsi="Palatino Linotype"/>
          <w:i/>
          <w:iCs/>
          <w:color w:val="000000" w:themeColor="text1"/>
        </w:rPr>
      </w:pPr>
      <w:r w:rsidRPr="00884273">
        <w:rPr>
          <w:rFonts w:ascii="Palatino Linotype" w:hAnsi="Palatino Linotype"/>
          <w:i/>
          <w:iCs/>
          <w:color w:val="000000" w:themeColor="text1"/>
        </w:rPr>
        <w:t>III. a VII. …”</w:t>
      </w:r>
    </w:p>
    <w:p w14:paraId="401EDE2D" w14:textId="77777777" w:rsidR="00260A19" w:rsidRPr="00884273" w:rsidRDefault="00260A19" w:rsidP="00077A55">
      <w:pPr>
        <w:tabs>
          <w:tab w:val="left" w:pos="284"/>
        </w:tabs>
        <w:spacing w:line="360" w:lineRule="auto"/>
        <w:contextualSpacing/>
        <w:jc w:val="both"/>
        <w:rPr>
          <w:rFonts w:ascii="Palatino Linotype" w:eastAsiaTheme="minorEastAsia" w:hAnsi="Palatino Linotype" w:cs="Arial"/>
          <w:i/>
          <w:iCs/>
          <w:color w:val="000000" w:themeColor="text1"/>
        </w:rPr>
      </w:pPr>
    </w:p>
    <w:p w14:paraId="7B3E4800" w14:textId="77777777" w:rsidR="00260A19" w:rsidRPr="00884273" w:rsidRDefault="00260A19"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Theme="minorEastAsia" w:hAnsi="Palatino Linotype" w:cs="Arial"/>
          <w:color w:val="000000" w:themeColor="text1"/>
        </w:rPr>
      </w:pPr>
      <w:r w:rsidRPr="00884273">
        <w:rPr>
          <w:rFonts w:ascii="Palatino Linotype" w:eastAsiaTheme="minorEastAsia" w:hAnsi="Palatino Linotype" w:cs="Arial"/>
          <w:color w:val="000000" w:themeColor="text1"/>
        </w:rPr>
        <w:t xml:space="preserve">Las Unidades de Transparencia cuando reciben solicitudes deben identificar la información solicitada, a efecto de realizar el turno a las áreas que de acuerdo a sus atribuciones, </w:t>
      </w:r>
      <w:r w:rsidRPr="00884273">
        <w:rPr>
          <w:rFonts w:ascii="Palatino Linotype" w:eastAsia="Palatino Linotype" w:hAnsi="Palatino Linotype" w:cs="Palatino Linotype"/>
          <w:color w:val="000000" w:themeColor="text1"/>
        </w:rPr>
        <w:t>facultades</w:t>
      </w:r>
      <w:r w:rsidRPr="00884273">
        <w:rPr>
          <w:rFonts w:ascii="Palatino Linotype" w:eastAsiaTheme="minorEastAsia" w:hAnsi="Palatino Linotype" w:cs="Arial"/>
          <w:color w:val="000000" w:themeColor="text1"/>
        </w:rPr>
        <w:t xml:space="preserve"> y competencias deban generar, administrar y/o poseer lo requerido; para que, a su vez, realicen la búsqueda exhaustiva y razonable y entreguen los documentos necesarios para generar la respuesta y proporcionarla al recurrente.</w:t>
      </w:r>
    </w:p>
    <w:p w14:paraId="51750050" w14:textId="77777777" w:rsidR="00260A19" w:rsidRPr="00884273" w:rsidRDefault="00260A19"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Theme="minorEastAsia" w:hAnsi="Palatino Linotype" w:cs="Arial"/>
          <w:color w:val="000000" w:themeColor="text1"/>
        </w:rPr>
      </w:pPr>
      <w:r w:rsidRPr="00884273">
        <w:rPr>
          <w:rFonts w:ascii="Palatino Linotype" w:eastAsiaTheme="minorEastAsia" w:hAnsi="Palatino Linotype" w:cs="Arial"/>
          <w:color w:val="000000" w:themeColor="text1"/>
        </w:rPr>
        <w:lastRenderedPageBreak/>
        <w:t xml:space="preserve">La omisión a las obligaciones, tanto del Titular de la Unidad de Transparencia como de los </w:t>
      </w:r>
      <w:r w:rsidRPr="00884273">
        <w:rPr>
          <w:rFonts w:ascii="Palatino Linotype" w:eastAsia="Palatino Linotype" w:hAnsi="Palatino Linotype" w:cs="Palatino Linotype"/>
          <w:color w:val="000000" w:themeColor="text1"/>
        </w:rPr>
        <w:t>servidores</w:t>
      </w:r>
      <w:r w:rsidRPr="00884273">
        <w:rPr>
          <w:rFonts w:ascii="Palatino Linotype" w:eastAsiaTheme="minorEastAsia" w:hAnsi="Palatino Linotype" w:cs="Arial"/>
          <w:color w:val="000000" w:themeColor="text1"/>
        </w:rPr>
        <w:t xml:space="preserve"> públicos habilitados puede causar la suspensión, deficiencia o la falta de respuesta a las solicitudes de acceso a la información que formulen los particulares, siendo esto una causa de responsabilidad.</w:t>
      </w:r>
    </w:p>
    <w:p w14:paraId="1099DCF9" w14:textId="77777777" w:rsidR="00260A19" w:rsidRPr="00884273" w:rsidRDefault="00260A19" w:rsidP="00077A55">
      <w:pPr>
        <w:tabs>
          <w:tab w:val="left" w:pos="284"/>
        </w:tabs>
        <w:spacing w:line="360" w:lineRule="auto"/>
        <w:jc w:val="both"/>
        <w:rPr>
          <w:rFonts w:ascii="Palatino Linotype" w:eastAsiaTheme="minorEastAsia" w:hAnsi="Palatino Linotype" w:cs="Arial"/>
          <w:color w:val="000000" w:themeColor="text1"/>
        </w:rPr>
      </w:pPr>
    </w:p>
    <w:p w14:paraId="79BF031C" w14:textId="77777777" w:rsidR="00260A19" w:rsidRPr="00884273" w:rsidRDefault="00260A19"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Theme="minorEastAsia" w:hAnsi="Palatino Linotype" w:cs="Arial"/>
          <w:color w:val="000000" w:themeColor="text1"/>
        </w:rPr>
      </w:pPr>
      <w:r w:rsidRPr="00884273">
        <w:rPr>
          <w:rFonts w:ascii="Palatino Linotype" w:eastAsiaTheme="minorEastAsia" w:hAnsi="Palatino Linotype" w:cs="Arial"/>
          <w:color w:val="000000" w:themeColor="text1"/>
        </w:rPr>
        <w:t xml:space="preserve">En el presente asunto en particular, se tiene que el Titular de la Unidad de </w:t>
      </w:r>
      <w:r w:rsidRPr="00884273">
        <w:rPr>
          <w:rFonts w:ascii="Palatino Linotype" w:eastAsia="Palatino Linotype" w:hAnsi="Palatino Linotype" w:cs="Palatino Linotype"/>
          <w:color w:val="000000" w:themeColor="text1"/>
        </w:rPr>
        <w:t>Transparencia</w:t>
      </w:r>
      <w:r w:rsidRPr="00884273">
        <w:rPr>
          <w:rFonts w:ascii="Palatino Linotype" w:eastAsiaTheme="minorEastAsia" w:hAnsi="Palatino Linotype" w:cs="Arial"/>
          <w:color w:val="000000" w:themeColor="text1"/>
        </w:rPr>
        <w:t xml:space="preserve"> no turnó la solicitud al Servidor Público Habilitado.</w:t>
      </w:r>
    </w:p>
    <w:p w14:paraId="2FE75464" w14:textId="77777777" w:rsidR="00260A19" w:rsidRPr="00884273" w:rsidRDefault="00260A19" w:rsidP="00077A55">
      <w:pPr>
        <w:pBdr>
          <w:top w:val="nil"/>
          <w:left w:val="nil"/>
          <w:bottom w:val="nil"/>
          <w:right w:val="nil"/>
          <w:between w:val="nil"/>
        </w:pBdr>
        <w:tabs>
          <w:tab w:val="left" w:pos="0"/>
        </w:tabs>
        <w:spacing w:line="360" w:lineRule="auto"/>
        <w:jc w:val="both"/>
        <w:rPr>
          <w:rFonts w:ascii="Palatino Linotype" w:eastAsiaTheme="minorEastAsia" w:hAnsi="Palatino Linotype" w:cs="Arial"/>
          <w:color w:val="000000" w:themeColor="text1"/>
        </w:rPr>
      </w:pPr>
    </w:p>
    <w:p w14:paraId="589D46AF" w14:textId="77777777" w:rsidR="00260A19" w:rsidRPr="00884273" w:rsidRDefault="00260A19"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Theme="minorEastAsia" w:hAnsi="Palatino Linotype" w:cstheme="minorBidi"/>
          <w:color w:val="000000" w:themeColor="text1"/>
        </w:rPr>
      </w:pPr>
      <w:r w:rsidRPr="00884273">
        <w:rPr>
          <w:rFonts w:ascii="Palatino Linotype" w:hAnsi="Palatino Linotype" w:cs="Arial"/>
          <w:color w:val="000000" w:themeColor="text1"/>
        </w:rPr>
        <w:t>Se tiene que el Titular de la Unidad de Transparencia incumplió con sus funciones, atribuciones y competencias, al no dar trámite a la solicitud, lo cual tuvo como consecuencia la falta de respuesta a ambas solicitudes.</w:t>
      </w:r>
    </w:p>
    <w:p w14:paraId="24AD96EB" w14:textId="77777777" w:rsidR="00260A19" w:rsidRPr="00884273" w:rsidRDefault="00260A19" w:rsidP="00077A55">
      <w:pPr>
        <w:pStyle w:val="Prrafodelista"/>
        <w:ind w:left="0"/>
        <w:rPr>
          <w:rFonts w:ascii="Palatino Linotype" w:eastAsiaTheme="minorEastAsia" w:hAnsi="Palatino Linotype" w:cstheme="minorBidi"/>
          <w:color w:val="000000" w:themeColor="text1"/>
        </w:rPr>
      </w:pPr>
    </w:p>
    <w:p w14:paraId="558FDCFA" w14:textId="15946B97" w:rsidR="00837F64" w:rsidRPr="00884273" w:rsidRDefault="00260A19"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884273">
        <w:rPr>
          <w:rFonts w:ascii="Palatino Linotype" w:hAnsi="Palatino Linotype"/>
          <w:color w:val="000000" w:themeColor="text1"/>
        </w:rPr>
        <w:t xml:space="preserve">Entonces, la falta de respuesta a las solicitudes de acceso a la información pública por parte del Sujeto Obligado actualiza una causa de responsabilidad, por lo que, de acuerdo a los artículos 190 y 36 fracción X, de la Ley de Trasparencia y Acceso a la Información Pública del Estado de México y Municipios, la Secretaría Técnica del Pleno hará del conocimiento del </w:t>
      </w:r>
      <w:r w:rsidRPr="00884273">
        <w:rPr>
          <w:rFonts w:ascii="Palatino Linotype" w:eastAsia="MS Gothic" w:hAnsi="Palatino Linotype" w:cstheme="majorBidi"/>
          <w:color w:val="000000" w:themeColor="text1"/>
        </w:rPr>
        <w:t xml:space="preserve">órgano interno de </w:t>
      </w:r>
      <w:r w:rsidRPr="00884273">
        <w:rPr>
          <w:rFonts w:ascii="Palatino Linotype" w:eastAsia="Palatino Linotype" w:hAnsi="Palatino Linotype" w:cs="Palatino Linotype"/>
          <w:color w:val="000000" w:themeColor="text1"/>
        </w:rPr>
        <w:t>control</w:t>
      </w:r>
      <w:r w:rsidRPr="00884273">
        <w:rPr>
          <w:rFonts w:ascii="Palatino Linotype" w:eastAsia="MS Gothic" w:hAnsi="Palatino Linotype" w:cstheme="majorBidi"/>
          <w:color w:val="000000" w:themeColor="text1"/>
        </w:rPr>
        <w:t xml:space="preserve"> </w:t>
      </w:r>
      <w:r w:rsidRPr="00884273">
        <w:rPr>
          <w:rFonts w:ascii="Palatino Linotype" w:hAnsi="Palatino Linotype"/>
          <w:color w:val="000000" w:themeColor="text1"/>
        </w:rPr>
        <w:t>competente, para que inicie, en su caso, el procedimiento de responsabilidad respectivo.</w:t>
      </w:r>
    </w:p>
    <w:p w14:paraId="0B1D516B" w14:textId="77777777" w:rsidR="006752C5" w:rsidRPr="00884273" w:rsidRDefault="006752C5" w:rsidP="00077A55">
      <w:pPr>
        <w:pStyle w:val="Prrafodelista"/>
        <w:ind w:left="0"/>
        <w:rPr>
          <w:rFonts w:ascii="Palatino Linotype" w:eastAsia="Palatino Linotype" w:hAnsi="Palatino Linotype" w:cs="Palatino Linotype"/>
          <w:color w:val="000000" w:themeColor="text1"/>
        </w:rPr>
      </w:pPr>
    </w:p>
    <w:p w14:paraId="7EC92D3D" w14:textId="4F6EC740" w:rsidR="00AD363B" w:rsidRPr="00884273" w:rsidRDefault="00260A19" w:rsidP="00077A55">
      <w:pPr>
        <w:spacing w:line="360" w:lineRule="auto"/>
        <w:jc w:val="both"/>
        <w:rPr>
          <w:rFonts w:ascii="Palatino Linotype" w:eastAsia="Palatino Linotype" w:hAnsi="Palatino Linotype" w:cs="Palatino Linotype"/>
          <w:color w:val="000000" w:themeColor="text1"/>
        </w:rPr>
      </w:pPr>
      <w:r w:rsidRPr="00884273">
        <w:rPr>
          <w:rFonts w:ascii="Palatino Linotype" w:eastAsia="Palatino Linotype" w:hAnsi="Palatino Linotype" w:cs="Palatino Linotype"/>
          <w:b/>
          <w:color w:val="000000" w:themeColor="text1"/>
        </w:rPr>
        <w:t>SEXTO</w:t>
      </w:r>
      <w:r w:rsidR="00AD363B" w:rsidRPr="00884273">
        <w:rPr>
          <w:rFonts w:ascii="Palatino Linotype" w:eastAsia="Palatino Linotype" w:hAnsi="Palatino Linotype" w:cs="Palatino Linotype"/>
          <w:b/>
          <w:color w:val="000000" w:themeColor="text1"/>
        </w:rPr>
        <w:t>. De la versión pública.</w:t>
      </w:r>
    </w:p>
    <w:p w14:paraId="62013B37" w14:textId="77777777" w:rsidR="00AD363B" w:rsidRPr="00884273" w:rsidRDefault="00AD363B" w:rsidP="00077A55">
      <w:pPr>
        <w:pStyle w:val="Ttulo1"/>
        <w:numPr>
          <w:ilvl w:val="0"/>
          <w:numId w:val="2"/>
        </w:numPr>
        <w:tabs>
          <w:tab w:val="left" w:pos="284"/>
        </w:tabs>
        <w:spacing w:before="0" w:line="360" w:lineRule="auto"/>
        <w:ind w:left="0" w:firstLine="0"/>
        <w:rPr>
          <w:rFonts w:ascii="Palatino Linotype" w:eastAsia="Palatino Linotype" w:hAnsi="Palatino Linotype" w:cs="Palatino Linotype"/>
          <w:b/>
          <w:color w:val="000000" w:themeColor="text1"/>
          <w:sz w:val="24"/>
          <w:szCs w:val="24"/>
        </w:rPr>
      </w:pPr>
      <w:bookmarkStart w:id="10" w:name="_heading=h.4hm3vlrjjcw2" w:colFirst="0" w:colLast="0"/>
      <w:bookmarkEnd w:id="10"/>
      <w:r w:rsidRPr="00884273">
        <w:rPr>
          <w:rFonts w:ascii="Palatino Linotype" w:eastAsia="Palatino Linotype" w:hAnsi="Palatino Linotype" w:cs="Palatino Linotype"/>
          <w:b/>
          <w:color w:val="000000" w:themeColor="text1"/>
          <w:sz w:val="24"/>
          <w:szCs w:val="24"/>
        </w:rPr>
        <w:t xml:space="preserve">Nociones generales. </w:t>
      </w:r>
    </w:p>
    <w:p w14:paraId="770A7253" w14:textId="77777777" w:rsidR="00AD363B" w:rsidRPr="00884273" w:rsidRDefault="00AD363B"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84273">
        <w:rPr>
          <w:rFonts w:ascii="Palatino Linotype" w:eastAsia="Palatino Linotype" w:hAnsi="Palatino Linotype" w:cs="Palatino Linotype"/>
          <w:color w:val="000000" w:themeColor="text1"/>
        </w:rPr>
        <w:t>Debe destacarse que, debido a la naturaleza de la información solicitada,</w:t>
      </w:r>
      <w:r w:rsidRPr="00884273">
        <w:rPr>
          <w:rFonts w:ascii="Palatino Linotype" w:eastAsia="Palatino Linotype" w:hAnsi="Palatino Linotype" w:cs="Palatino Linotype"/>
          <w:b/>
          <w:color w:val="000000" w:themeColor="text1"/>
        </w:rPr>
        <w:t xml:space="preserve"> </w:t>
      </w:r>
      <w:r w:rsidRPr="00884273">
        <w:rPr>
          <w:rFonts w:ascii="Palatino Linotype" w:eastAsia="Palatino Linotype" w:hAnsi="Palatino Linotype" w:cs="Palatino Linotype"/>
          <w:color w:val="000000" w:themeColor="text1"/>
        </w:rPr>
        <w:t xml:space="preserve">eventualmente pudiera obrar datos personales susceptibles de protegerse, así como información susceptible de clasificarse como reservada, el </w:t>
      </w:r>
      <w:r w:rsidRPr="00884273">
        <w:rPr>
          <w:rFonts w:ascii="Palatino Linotype" w:eastAsia="Palatino Linotype" w:hAnsi="Palatino Linotype" w:cs="Palatino Linotype"/>
          <w:b/>
          <w:color w:val="000000" w:themeColor="text1"/>
        </w:rPr>
        <w:t xml:space="preserve">Sujeto Obligado </w:t>
      </w:r>
      <w:r w:rsidRPr="00884273">
        <w:rPr>
          <w:rFonts w:ascii="Palatino Linotype" w:eastAsia="Palatino Linotype" w:hAnsi="Palatino Linotype" w:cs="Palatino Linotype"/>
          <w:color w:val="000000" w:themeColor="text1"/>
        </w:rPr>
        <w:t xml:space="preserve">deberá de hacer </w:t>
      </w:r>
      <w:r w:rsidRPr="00884273">
        <w:rPr>
          <w:rFonts w:ascii="Palatino Linotype" w:eastAsia="Palatino Linotype" w:hAnsi="Palatino Linotype" w:cs="Palatino Linotype"/>
          <w:color w:val="000000" w:themeColor="text1"/>
        </w:rPr>
        <w:lastRenderedPageBreak/>
        <w:t xml:space="preserve">la adecuada versión pública, protegiendo los datos que no son susceptibles de ser proporcionados. </w:t>
      </w:r>
    </w:p>
    <w:p w14:paraId="66D0CFF0" w14:textId="77777777" w:rsidR="00AD363B" w:rsidRPr="00884273" w:rsidRDefault="00AD363B" w:rsidP="00077A55">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rPr>
      </w:pPr>
    </w:p>
    <w:p w14:paraId="73C618B4" w14:textId="77777777" w:rsidR="00AD363B" w:rsidRPr="00077A55" w:rsidRDefault="00AD363B"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84273">
        <w:rPr>
          <w:rFonts w:ascii="Palatino Linotype" w:eastAsia="Palatino Linotype" w:hAnsi="Palatino Linotype" w:cs="Palatino Linotype"/>
          <w:color w:val="000000" w:themeColor="text1"/>
        </w:rPr>
        <w:t>No pasa desapercibido para este Órgano Gara</w:t>
      </w:r>
      <w:r w:rsidRPr="00077A55">
        <w:rPr>
          <w:rFonts w:ascii="Palatino Linotype" w:eastAsia="Palatino Linotype" w:hAnsi="Palatino Linotype" w:cs="Palatino Linotype"/>
          <w:color w:val="000000" w:themeColor="text1"/>
        </w:rPr>
        <w:t xml:space="preserve">nte que los </w:t>
      </w:r>
      <w:r w:rsidRPr="00077A55">
        <w:rPr>
          <w:rFonts w:ascii="Palatino Linotype" w:eastAsia="Palatino Linotype" w:hAnsi="Palatino Linotype" w:cs="Palatino Linotype"/>
          <w:b/>
          <w:color w:val="000000" w:themeColor="text1"/>
        </w:rPr>
        <w:t xml:space="preserve">Sujetos Obligados </w:t>
      </w:r>
      <w:r w:rsidRPr="00077A55">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1AEAE86"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p>
    <w:tbl>
      <w:tblPr>
        <w:tblW w:w="9497"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52"/>
        <w:gridCol w:w="6945"/>
      </w:tblGrid>
      <w:tr w:rsidR="00077A55" w:rsidRPr="00077A55" w14:paraId="1D602726" w14:textId="77777777" w:rsidTr="00884273">
        <w:tc>
          <w:tcPr>
            <w:tcW w:w="2552" w:type="dxa"/>
            <w:tcBorders>
              <w:top w:val="single" w:sz="4" w:space="0" w:color="BFBFBF"/>
              <w:left w:val="single" w:sz="4" w:space="0" w:color="BFBFBF"/>
              <w:bottom w:val="single" w:sz="4" w:space="0" w:color="BFBFBF"/>
              <w:right w:val="single" w:sz="4" w:space="0" w:color="BFBFBF"/>
            </w:tcBorders>
          </w:tcPr>
          <w:p w14:paraId="756A0B57" w14:textId="77777777" w:rsidR="00AD363B" w:rsidRPr="00077A55" w:rsidRDefault="00AD363B" w:rsidP="00077A55">
            <w:pPr>
              <w:tabs>
                <w:tab w:val="left" w:pos="284"/>
              </w:tabs>
              <w:spacing w:line="360" w:lineRule="auto"/>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a) Requisitos previos.</w:t>
            </w:r>
          </w:p>
        </w:tc>
        <w:tc>
          <w:tcPr>
            <w:tcW w:w="6945" w:type="dxa"/>
            <w:tcBorders>
              <w:top w:val="single" w:sz="4" w:space="0" w:color="BFBFBF"/>
              <w:left w:val="single" w:sz="4" w:space="0" w:color="BFBFBF"/>
              <w:bottom w:val="single" w:sz="4" w:space="0" w:color="BFBFBF"/>
              <w:right w:val="single" w:sz="4" w:space="0" w:color="BFBFBF"/>
            </w:tcBorders>
          </w:tcPr>
          <w:p w14:paraId="0041FF72"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EF16F2F"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0F4355D0"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14:paraId="253FD878"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077A55">
              <w:rPr>
                <w:rFonts w:ascii="Palatino Linotype" w:eastAsia="Palatino Linotype" w:hAnsi="Palatino Linotype" w:cs="Palatino Linotype"/>
                <w:color w:val="000000" w:themeColor="text1"/>
                <w:u w:val="single"/>
              </w:rPr>
              <w:t xml:space="preserve">no se puede hacer un acuerdo para clasificar de manera general </w:t>
            </w:r>
            <w:r w:rsidRPr="00077A55">
              <w:rPr>
                <w:rFonts w:ascii="Palatino Linotype" w:eastAsia="Palatino Linotype" w:hAnsi="Palatino Linotype" w:cs="Palatino Linotype"/>
                <w:color w:val="000000" w:themeColor="text1"/>
                <w:u w:val="single"/>
              </w:rPr>
              <w:lastRenderedPageBreak/>
              <w:t>todos los documentos de un expediente o área, sin</w:t>
            </w:r>
            <w:r w:rsidRPr="00077A55">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077A55" w:rsidRPr="00077A55" w14:paraId="14B39B94" w14:textId="77777777" w:rsidTr="00884273">
        <w:tc>
          <w:tcPr>
            <w:tcW w:w="2552" w:type="dxa"/>
            <w:tcBorders>
              <w:top w:val="single" w:sz="4" w:space="0" w:color="BFBFBF"/>
              <w:left w:val="single" w:sz="4" w:space="0" w:color="BFBFBF"/>
              <w:bottom w:val="single" w:sz="4" w:space="0" w:color="BFBFBF"/>
              <w:right w:val="single" w:sz="4" w:space="0" w:color="BFBFBF"/>
            </w:tcBorders>
          </w:tcPr>
          <w:p w14:paraId="0CCA8F16" w14:textId="77777777" w:rsidR="00AD363B" w:rsidRPr="00077A55" w:rsidRDefault="00AD363B" w:rsidP="00077A55">
            <w:pPr>
              <w:tabs>
                <w:tab w:val="left" w:pos="284"/>
              </w:tabs>
              <w:spacing w:line="360" w:lineRule="auto"/>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b) Supuestos de clasificación.</w:t>
            </w:r>
          </w:p>
        </w:tc>
        <w:tc>
          <w:tcPr>
            <w:tcW w:w="6945" w:type="dxa"/>
            <w:tcBorders>
              <w:top w:val="single" w:sz="4" w:space="0" w:color="BFBFBF"/>
              <w:left w:val="single" w:sz="4" w:space="0" w:color="BFBFBF"/>
              <w:bottom w:val="single" w:sz="4" w:space="0" w:color="BFBFBF"/>
              <w:right w:val="single" w:sz="4" w:space="0" w:color="BFBFBF"/>
            </w:tcBorders>
          </w:tcPr>
          <w:p w14:paraId="51DFEDE6"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16B65F28"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D6D49C2"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El </w:t>
            </w:r>
            <w:r w:rsidRPr="00077A55">
              <w:rPr>
                <w:rFonts w:ascii="Palatino Linotype" w:eastAsia="Palatino Linotype" w:hAnsi="Palatino Linotype" w:cs="Palatino Linotype"/>
                <w:b/>
                <w:color w:val="000000" w:themeColor="text1"/>
              </w:rPr>
              <w:t>Sujeto Obligado</w:t>
            </w:r>
            <w:r w:rsidRPr="00077A55">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77A55" w:rsidRPr="00077A55" w14:paraId="6CAD9798" w14:textId="77777777" w:rsidTr="00884273">
        <w:tc>
          <w:tcPr>
            <w:tcW w:w="2552" w:type="dxa"/>
            <w:tcBorders>
              <w:top w:val="single" w:sz="4" w:space="0" w:color="BFBFBF"/>
              <w:left w:val="single" w:sz="4" w:space="0" w:color="BFBFBF"/>
              <w:bottom w:val="single" w:sz="4" w:space="0" w:color="BFBFBF"/>
              <w:right w:val="single" w:sz="4" w:space="0" w:color="BFBFBF"/>
            </w:tcBorders>
          </w:tcPr>
          <w:p w14:paraId="4964393C" w14:textId="77777777" w:rsidR="00AD363B" w:rsidRPr="00077A55" w:rsidRDefault="00AD363B" w:rsidP="00077A55">
            <w:pPr>
              <w:tabs>
                <w:tab w:val="left" w:pos="284"/>
              </w:tabs>
              <w:spacing w:line="360" w:lineRule="auto"/>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c) Formalidades para emitir el acuerdo de clasificación.</w:t>
            </w:r>
          </w:p>
        </w:tc>
        <w:tc>
          <w:tcPr>
            <w:tcW w:w="6945" w:type="dxa"/>
            <w:tcBorders>
              <w:top w:val="single" w:sz="4" w:space="0" w:color="BFBFBF"/>
              <w:left w:val="single" w:sz="4" w:space="0" w:color="BFBFBF"/>
              <w:bottom w:val="single" w:sz="4" w:space="0" w:color="BFBFBF"/>
              <w:right w:val="single" w:sz="4" w:space="0" w:color="BFBFBF"/>
            </w:tcBorders>
          </w:tcPr>
          <w:p w14:paraId="24F47CAE"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525FD66F"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Es necesario que </w:t>
            </w:r>
            <w:r w:rsidRPr="00077A55">
              <w:rPr>
                <w:rFonts w:ascii="Palatino Linotype" w:eastAsia="Palatino Linotype" w:hAnsi="Palatino Linotype" w:cs="Palatino Linotype"/>
                <w:b/>
                <w:color w:val="000000" w:themeColor="text1"/>
                <w:u w:val="single"/>
              </w:rPr>
              <w:t>el acto reúna con los requisitos elementales</w:t>
            </w:r>
            <w:r w:rsidRPr="00077A55">
              <w:rPr>
                <w:rFonts w:ascii="Palatino Linotype" w:eastAsia="Palatino Linotype" w:hAnsi="Palatino Linotype" w:cs="Palatino Linotype"/>
                <w:color w:val="000000" w:themeColor="text1"/>
              </w:rPr>
              <w:t>, entre ellos, que la autoridad que va a emitir el acto de autoridad sea la legalmente facultada para ello.</w:t>
            </w:r>
          </w:p>
          <w:p w14:paraId="41B23525"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77A55" w:rsidRPr="00077A55" w14:paraId="219EA7CB" w14:textId="77777777" w:rsidTr="00884273">
        <w:tc>
          <w:tcPr>
            <w:tcW w:w="2552" w:type="dxa"/>
            <w:tcBorders>
              <w:top w:val="single" w:sz="4" w:space="0" w:color="BFBFBF"/>
              <w:left w:val="single" w:sz="4" w:space="0" w:color="BFBFBF"/>
              <w:bottom w:val="single" w:sz="4" w:space="0" w:color="BFBFBF"/>
              <w:right w:val="single" w:sz="4" w:space="0" w:color="BFBFBF"/>
            </w:tcBorders>
          </w:tcPr>
          <w:p w14:paraId="5A9D832D" w14:textId="77777777" w:rsidR="00AD363B" w:rsidRPr="00077A55" w:rsidRDefault="00AD363B" w:rsidP="00077A55">
            <w:pPr>
              <w:tabs>
                <w:tab w:val="left" w:pos="284"/>
              </w:tabs>
              <w:spacing w:line="360" w:lineRule="auto"/>
              <w:rPr>
                <w:rFonts w:ascii="Palatino Linotype" w:eastAsia="Palatino Linotype" w:hAnsi="Palatino Linotype" w:cs="Palatino Linotype"/>
                <w:color w:val="000000" w:themeColor="text1"/>
              </w:rPr>
            </w:pPr>
          </w:p>
          <w:p w14:paraId="67BE30FC"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d) Requisitos de fondo del acuerdo de clasificación. </w:t>
            </w:r>
          </w:p>
        </w:tc>
        <w:tc>
          <w:tcPr>
            <w:tcW w:w="6945" w:type="dxa"/>
            <w:tcBorders>
              <w:top w:val="single" w:sz="4" w:space="0" w:color="BFBFBF"/>
              <w:left w:val="single" w:sz="4" w:space="0" w:color="BFBFBF"/>
              <w:bottom w:val="single" w:sz="4" w:space="0" w:color="BFBFBF"/>
              <w:right w:val="single" w:sz="4" w:space="0" w:color="BFBFBF"/>
            </w:tcBorders>
          </w:tcPr>
          <w:p w14:paraId="066A1302"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77A55">
              <w:rPr>
                <w:rFonts w:ascii="Palatino Linotype" w:eastAsia="Palatino Linotype" w:hAnsi="Palatino Linotype" w:cs="Palatino Linotype"/>
                <w:b/>
                <w:color w:val="000000" w:themeColor="text1"/>
              </w:rPr>
              <w:t>Sujetos Obligados</w:t>
            </w:r>
            <w:r w:rsidRPr="00077A55">
              <w:rPr>
                <w:rFonts w:ascii="Palatino Linotype" w:eastAsia="Palatino Linotype" w:hAnsi="Palatino Linotype" w:cs="Palatino Linotype"/>
                <w:color w:val="000000" w:themeColor="text1"/>
              </w:rPr>
              <w:t xml:space="preserve">, por lo que deberán fundar y motivar debidamente la clasificación. </w:t>
            </w:r>
          </w:p>
          <w:p w14:paraId="2E67F6F0"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 xml:space="preserve">De lo anterior, se desprende que para una correcta </w:t>
            </w:r>
            <w:r w:rsidRPr="00077A55">
              <w:rPr>
                <w:rFonts w:ascii="Palatino Linotype" w:eastAsia="Palatino Linotype" w:hAnsi="Palatino Linotype" w:cs="Palatino Linotype"/>
                <w:b/>
                <w:color w:val="000000" w:themeColor="text1"/>
              </w:rPr>
              <w:t>clasificación total o parcial</w:t>
            </w:r>
            <w:r w:rsidRPr="00077A55">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5792C67"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4A955BD"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1F4B2A33"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Ahora bien, </w:t>
            </w:r>
            <w:r w:rsidRPr="00077A55">
              <w:rPr>
                <w:rFonts w:ascii="Palatino Linotype" w:eastAsia="Palatino Linotype" w:hAnsi="Palatino Linotype" w:cs="Palatino Linotype"/>
                <w:b/>
                <w:color w:val="000000" w:themeColor="text1"/>
                <w:u w:val="single"/>
              </w:rPr>
              <w:t>para cada caso además de fundar y motivar</w:t>
            </w:r>
            <w:r w:rsidRPr="00077A55">
              <w:rPr>
                <w:rFonts w:ascii="Palatino Linotype" w:eastAsia="Palatino Linotype" w:hAnsi="Palatino Linotype" w:cs="Palatino Linotype"/>
                <w:color w:val="000000" w:themeColor="text1"/>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w:t>
            </w:r>
            <w:r w:rsidRPr="00077A55">
              <w:rPr>
                <w:rFonts w:ascii="Palatino Linotype" w:eastAsia="Palatino Linotype" w:hAnsi="Palatino Linotype" w:cs="Palatino Linotype"/>
                <w:color w:val="000000" w:themeColor="text1"/>
              </w:rPr>
              <w:lastRenderedPageBreak/>
              <w:t>comercial, fiscal, bursátil y postal, cuya titularidad corresponda a particulares, entre otros.</w:t>
            </w:r>
          </w:p>
        </w:tc>
      </w:tr>
      <w:tr w:rsidR="00AD363B" w:rsidRPr="00077A55" w14:paraId="6D77662D" w14:textId="77777777" w:rsidTr="00884273">
        <w:tc>
          <w:tcPr>
            <w:tcW w:w="2552" w:type="dxa"/>
            <w:tcBorders>
              <w:top w:val="single" w:sz="4" w:space="0" w:color="BFBFBF"/>
              <w:left w:val="single" w:sz="4" w:space="0" w:color="BFBFBF"/>
              <w:bottom w:val="single" w:sz="4" w:space="0" w:color="BFBFBF"/>
              <w:right w:val="single" w:sz="4" w:space="0" w:color="BFBFBF"/>
            </w:tcBorders>
          </w:tcPr>
          <w:p w14:paraId="5E97D23D"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945" w:type="dxa"/>
            <w:tcBorders>
              <w:top w:val="single" w:sz="4" w:space="0" w:color="BFBFBF"/>
              <w:left w:val="single" w:sz="4" w:space="0" w:color="BFBFBF"/>
              <w:bottom w:val="single" w:sz="4" w:space="0" w:color="BFBFBF"/>
              <w:right w:val="single" w:sz="4" w:space="0" w:color="BFBFBF"/>
            </w:tcBorders>
          </w:tcPr>
          <w:p w14:paraId="0169508C"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4043AAEE"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F013C68" w14:textId="77777777" w:rsidR="00AD363B" w:rsidRPr="00077A55" w:rsidRDefault="00AD363B" w:rsidP="00077A55">
            <w:pPr>
              <w:tabs>
                <w:tab w:val="left" w:pos="284"/>
              </w:tabs>
              <w:spacing w:line="360" w:lineRule="auto"/>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897CB0E" w14:textId="77777777" w:rsidR="00AD363B" w:rsidRPr="00077A55" w:rsidRDefault="00AD363B" w:rsidP="00077A55">
      <w:pPr>
        <w:pBdr>
          <w:top w:val="nil"/>
          <w:left w:val="nil"/>
          <w:bottom w:val="nil"/>
          <w:right w:val="nil"/>
          <w:between w:val="nil"/>
        </w:pBdr>
        <w:tabs>
          <w:tab w:val="left" w:pos="284"/>
        </w:tabs>
        <w:rPr>
          <w:rFonts w:ascii="Palatino Linotype" w:eastAsia="Palatino Linotype" w:hAnsi="Palatino Linotype" w:cs="Palatino Linotype"/>
          <w:color w:val="000000" w:themeColor="text1"/>
        </w:rPr>
      </w:pPr>
    </w:p>
    <w:p w14:paraId="1255918F" w14:textId="77777777" w:rsidR="00AD363B" w:rsidRPr="00077A55" w:rsidRDefault="00AD363B"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7BDDAA3" w14:textId="77777777" w:rsidR="00AD363B" w:rsidRPr="00077A55" w:rsidRDefault="00AD363B" w:rsidP="00077A55">
      <w:pPr>
        <w:pBdr>
          <w:top w:val="nil"/>
          <w:left w:val="nil"/>
          <w:bottom w:val="nil"/>
          <w:right w:val="nil"/>
          <w:between w:val="nil"/>
        </w:pBdr>
        <w:rPr>
          <w:rFonts w:ascii="Palatino Linotype" w:eastAsia="Palatino Linotype" w:hAnsi="Palatino Linotype" w:cs="Palatino Linotype"/>
          <w:color w:val="000000" w:themeColor="text1"/>
        </w:rPr>
      </w:pPr>
    </w:p>
    <w:p w14:paraId="49798830" w14:textId="5CA8F880" w:rsidR="00AD363B" w:rsidRPr="00077A55" w:rsidRDefault="00AD363B" w:rsidP="00077A5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Por lo anteriormente expuesto y fundado, este </w:t>
      </w:r>
      <w:r w:rsidRPr="00077A55">
        <w:rPr>
          <w:rFonts w:ascii="Palatino Linotype" w:eastAsia="Palatino Linotype" w:hAnsi="Palatino Linotype" w:cs="Palatino Linotype"/>
          <w:b/>
          <w:color w:val="000000" w:themeColor="text1"/>
        </w:rPr>
        <w:t>ÓRGANO GARANTE</w:t>
      </w:r>
      <w:r w:rsidRPr="00077A55">
        <w:rPr>
          <w:rFonts w:ascii="Palatino Linotype" w:eastAsia="Palatino Linotype" w:hAnsi="Palatino Linotype" w:cs="Palatino Linotype"/>
          <w:color w:val="000000" w:themeColor="text1"/>
        </w:rPr>
        <w:t xml:space="preserve"> emite los siguientes:</w:t>
      </w:r>
      <w:r w:rsidR="00884273">
        <w:rPr>
          <w:rFonts w:ascii="Palatino Linotype" w:eastAsia="Palatino Linotype" w:hAnsi="Palatino Linotype" w:cs="Palatino Linotype"/>
          <w:color w:val="000000" w:themeColor="text1"/>
        </w:rPr>
        <w:t xml:space="preserve"> ---------------------------------------------------------------------------------------------------------</w:t>
      </w:r>
    </w:p>
    <w:p w14:paraId="23273BBA" w14:textId="77777777" w:rsidR="00AD363B" w:rsidRPr="00077A55" w:rsidRDefault="00AD363B" w:rsidP="00077A55">
      <w:pPr>
        <w:pStyle w:val="Ttulo1"/>
        <w:jc w:val="center"/>
        <w:rPr>
          <w:rFonts w:ascii="Palatino Linotype" w:eastAsia="Palatino Linotype" w:hAnsi="Palatino Linotype" w:cs="Palatino Linotype"/>
          <w:b/>
          <w:color w:val="000000" w:themeColor="text1"/>
          <w:sz w:val="24"/>
          <w:szCs w:val="24"/>
        </w:rPr>
      </w:pPr>
      <w:bookmarkStart w:id="11" w:name="_heading=h.lnxbz9" w:colFirst="0" w:colLast="0"/>
      <w:bookmarkEnd w:id="11"/>
      <w:r w:rsidRPr="00077A55">
        <w:rPr>
          <w:rFonts w:ascii="Palatino Linotype" w:eastAsia="Palatino Linotype" w:hAnsi="Palatino Linotype" w:cs="Palatino Linotype"/>
          <w:b/>
          <w:color w:val="000000" w:themeColor="text1"/>
          <w:sz w:val="24"/>
          <w:szCs w:val="24"/>
        </w:rPr>
        <w:lastRenderedPageBreak/>
        <w:t>R E S O L U T I V O S</w:t>
      </w:r>
    </w:p>
    <w:p w14:paraId="332B05DE"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b/>
          <w:color w:val="000000" w:themeColor="text1"/>
        </w:rPr>
      </w:pPr>
    </w:p>
    <w:p w14:paraId="148CF170"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color w:val="000000" w:themeColor="text1"/>
        </w:rPr>
        <w:t xml:space="preserve">PRIMERO. </w:t>
      </w:r>
      <w:r w:rsidRPr="00077A55">
        <w:rPr>
          <w:rFonts w:ascii="Palatino Linotype" w:eastAsia="Palatino Linotype" w:hAnsi="Palatino Linotype" w:cs="Palatino Linotype"/>
          <w:color w:val="000000" w:themeColor="text1"/>
        </w:rPr>
        <w:t>Resultan fundadas las</w:t>
      </w:r>
      <w:r w:rsidRPr="00077A55">
        <w:rPr>
          <w:rFonts w:ascii="Palatino Linotype" w:eastAsia="Palatino Linotype" w:hAnsi="Palatino Linotype" w:cs="Palatino Linotype"/>
          <w:b/>
          <w:color w:val="000000" w:themeColor="text1"/>
        </w:rPr>
        <w:t xml:space="preserve"> </w:t>
      </w:r>
      <w:r w:rsidRPr="00077A55">
        <w:rPr>
          <w:rFonts w:ascii="Palatino Linotype" w:eastAsia="Palatino Linotype" w:hAnsi="Palatino Linotype" w:cs="Palatino Linotype"/>
          <w:color w:val="000000" w:themeColor="text1"/>
        </w:rPr>
        <w:t xml:space="preserve">razones o motivos de inconformidad hechos valer en el recurso de revisión </w:t>
      </w:r>
      <w:r w:rsidRPr="00077A55">
        <w:rPr>
          <w:rFonts w:ascii="Palatino Linotype" w:eastAsia="Palatino Linotype" w:hAnsi="Palatino Linotype" w:cs="Palatino Linotype"/>
          <w:b/>
          <w:color w:val="000000" w:themeColor="text1"/>
        </w:rPr>
        <w:t xml:space="preserve">09463/INFOEM/IP/RR/2025 </w:t>
      </w:r>
      <w:r w:rsidRPr="00077A55">
        <w:rPr>
          <w:rFonts w:ascii="Palatino Linotype" w:eastAsia="Palatino Linotype" w:hAnsi="Palatino Linotype" w:cs="Palatino Linotype"/>
          <w:color w:val="000000" w:themeColor="text1"/>
        </w:rPr>
        <w:t xml:space="preserve">en términos de los </w:t>
      </w:r>
      <w:r w:rsidRPr="00077A55">
        <w:rPr>
          <w:rFonts w:ascii="Palatino Linotype" w:eastAsia="Palatino Linotype" w:hAnsi="Palatino Linotype" w:cs="Palatino Linotype"/>
          <w:b/>
          <w:color w:val="000000" w:themeColor="text1"/>
        </w:rPr>
        <w:t xml:space="preserve">Considerandos CUARTO y SEXTO </w:t>
      </w:r>
      <w:r w:rsidRPr="00077A55">
        <w:rPr>
          <w:rFonts w:ascii="Palatino Linotype" w:eastAsia="Palatino Linotype" w:hAnsi="Palatino Linotype" w:cs="Palatino Linotype"/>
          <w:color w:val="000000" w:themeColor="text1"/>
        </w:rPr>
        <w:t>de la presente resolución.</w:t>
      </w:r>
    </w:p>
    <w:p w14:paraId="7E171CB7"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p>
    <w:p w14:paraId="57B5A02D" w14:textId="77777777" w:rsidR="00AD363B" w:rsidRPr="00077A55" w:rsidRDefault="00AD363B"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b/>
          <w:color w:val="000000" w:themeColor="text1"/>
        </w:rPr>
        <w:t xml:space="preserve">SEGUNDO. </w:t>
      </w:r>
      <w:r w:rsidRPr="00077A55">
        <w:rPr>
          <w:rFonts w:ascii="Palatino Linotype" w:eastAsia="Palatino Linotype" w:hAnsi="Palatino Linotype" w:cs="Palatino Linotype"/>
          <w:color w:val="000000" w:themeColor="text1"/>
        </w:rPr>
        <w:t xml:space="preserve">Se </w:t>
      </w:r>
      <w:r w:rsidRPr="00077A55">
        <w:rPr>
          <w:rFonts w:ascii="Palatino Linotype" w:eastAsia="Palatino Linotype" w:hAnsi="Palatino Linotype" w:cs="Palatino Linotype"/>
          <w:b/>
          <w:color w:val="000000" w:themeColor="text1"/>
        </w:rPr>
        <w:t xml:space="preserve">ORDENA </w:t>
      </w:r>
      <w:r w:rsidRPr="00077A55">
        <w:rPr>
          <w:rFonts w:ascii="Palatino Linotype" w:eastAsia="Palatino Linotype" w:hAnsi="Palatino Linotype" w:cs="Palatino Linotype"/>
          <w:color w:val="000000" w:themeColor="text1"/>
        </w:rPr>
        <w:t xml:space="preserve">al </w:t>
      </w:r>
      <w:r w:rsidRPr="00077A55">
        <w:rPr>
          <w:rFonts w:ascii="Palatino Linotype" w:eastAsia="Palatino Linotype" w:hAnsi="Palatino Linotype" w:cs="Palatino Linotype"/>
          <w:b/>
          <w:color w:val="000000" w:themeColor="text1"/>
        </w:rPr>
        <w:t xml:space="preserve">Ayuntamiento de Tepotzotlán </w:t>
      </w:r>
      <w:r w:rsidRPr="00077A55">
        <w:rPr>
          <w:rFonts w:ascii="Palatino Linotype" w:eastAsia="Palatino Linotype" w:hAnsi="Palatino Linotype" w:cs="Palatino Linotype"/>
          <w:color w:val="000000" w:themeColor="text1"/>
        </w:rPr>
        <w:t xml:space="preserve">entregar vía Sistema de Acceso a la Información Mexiquense </w:t>
      </w:r>
      <w:r w:rsidRPr="00077A55">
        <w:rPr>
          <w:rFonts w:ascii="Palatino Linotype" w:eastAsia="Palatino Linotype" w:hAnsi="Palatino Linotype" w:cs="Palatino Linotype"/>
          <w:b/>
          <w:color w:val="000000" w:themeColor="text1"/>
        </w:rPr>
        <w:t>(SAIMEX)</w:t>
      </w:r>
      <w:r w:rsidRPr="00077A55">
        <w:rPr>
          <w:rFonts w:ascii="Palatino Linotype" w:eastAsia="Palatino Linotype" w:hAnsi="Palatino Linotype" w:cs="Palatino Linotype"/>
          <w:color w:val="000000" w:themeColor="text1"/>
        </w:rPr>
        <w:t xml:space="preserve">, la siguiente información. </w:t>
      </w:r>
    </w:p>
    <w:p w14:paraId="6DCEB663" w14:textId="77777777" w:rsidR="00AD363B" w:rsidRPr="00077A55" w:rsidRDefault="00AD363B" w:rsidP="00077A55">
      <w:pPr>
        <w:spacing w:line="360" w:lineRule="auto"/>
        <w:jc w:val="both"/>
        <w:rPr>
          <w:rFonts w:ascii="Palatino Linotype" w:eastAsia="Palatino Linotype" w:hAnsi="Palatino Linotype" w:cs="Palatino Linotype"/>
          <w:b/>
          <w:color w:val="000000" w:themeColor="text1"/>
        </w:rPr>
      </w:pPr>
    </w:p>
    <w:p w14:paraId="2E37DE37" w14:textId="19D5ACB1" w:rsidR="00AD363B" w:rsidRPr="00077A55" w:rsidRDefault="00ED6708" w:rsidP="00077A55">
      <w:pPr>
        <w:numPr>
          <w:ilvl w:val="0"/>
          <w:numId w:val="9"/>
        </w:numPr>
        <w:pBdr>
          <w:top w:val="nil"/>
          <w:left w:val="nil"/>
          <w:bottom w:val="nil"/>
          <w:right w:val="nil"/>
          <w:between w:val="nil"/>
        </w:pBdr>
        <w:spacing w:line="259" w:lineRule="auto"/>
        <w:ind w:left="0" w:firstLine="0"/>
        <w:jc w:val="both"/>
        <w:rPr>
          <w:rFonts w:ascii="Palatino Linotype" w:eastAsia="Palatino Linotype" w:hAnsi="Palatino Linotype" w:cs="Palatino Linotype"/>
          <w:b/>
          <w:i/>
          <w:color w:val="000000" w:themeColor="text1"/>
        </w:rPr>
      </w:pPr>
      <w:r w:rsidRPr="00077A55">
        <w:rPr>
          <w:rFonts w:ascii="Palatino Linotype" w:eastAsia="Palatino Linotype" w:hAnsi="Palatino Linotype" w:cs="Palatino Linotype"/>
          <w:b/>
          <w:i/>
          <w:color w:val="000000" w:themeColor="text1"/>
        </w:rPr>
        <w:t xml:space="preserve">Licencias de </w:t>
      </w:r>
      <w:r w:rsidRPr="00884273">
        <w:rPr>
          <w:rFonts w:ascii="Palatino Linotype" w:eastAsia="Palatino Linotype" w:hAnsi="Palatino Linotype" w:cs="Palatino Linotype"/>
          <w:b/>
          <w:i/>
          <w:color w:val="000000" w:themeColor="text1"/>
        </w:rPr>
        <w:t xml:space="preserve">funcionamiento y </w:t>
      </w:r>
      <w:r w:rsidR="00260A19" w:rsidRPr="00884273">
        <w:rPr>
          <w:rFonts w:ascii="Palatino Linotype" w:eastAsia="Palatino Linotype" w:hAnsi="Palatino Linotype" w:cs="Palatino Linotype"/>
          <w:b/>
          <w:i/>
          <w:color w:val="000000" w:themeColor="text1"/>
        </w:rPr>
        <w:t xml:space="preserve">recibos </w:t>
      </w:r>
      <w:r w:rsidRPr="00884273">
        <w:rPr>
          <w:rFonts w:ascii="Palatino Linotype" w:eastAsia="Palatino Linotype" w:hAnsi="Palatino Linotype" w:cs="Palatino Linotype"/>
          <w:b/>
          <w:i/>
          <w:color w:val="000000" w:themeColor="text1"/>
        </w:rPr>
        <w:t>de pago</w:t>
      </w:r>
      <w:r w:rsidRPr="00077A55">
        <w:rPr>
          <w:rFonts w:ascii="Palatino Linotype" w:eastAsia="Palatino Linotype" w:hAnsi="Palatino Linotype" w:cs="Palatino Linotype"/>
          <w:b/>
          <w:i/>
          <w:color w:val="000000" w:themeColor="text1"/>
        </w:rPr>
        <w:t xml:space="preserve"> por la venta de bebidas alcohólicas, del uno de enero al diecinueve de junio de dos mil veinticinco. </w:t>
      </w:r>
      <w:r w:rsidR="00AD363B" w:rsidRPr="00077A55">
        <w:rPr>
          <w:rFonts w:ascii="Palatino Linotype" w:eastAsia="Palatino Linotype" w:hAnsi="Palatino Linotype" w:cs="Palatino Linotype"/>
          <w:b/>
          <w:i/>
          <w:color w:val="000000" w:themeColor="text1"/>
        </w:rPr>
        <w:t xml:space="preserve"> </w:t>
      </w:r>
    </w:p>
    <w:p w14:paraId="3054AD56" w14:textId="77777777" w:rsidR="00AD363B" w:rsidRPr="00077A55" w:rsidRDefault="00AD363B" w:rsidP="00077A55">
      <w:pPr>
        <w:pBdr>
          <w:top w:val="nil"/>
          <w:left w:val="nil"/>
          <w:bottom w:val="nil"/>
          <w:right w:val="nil"/>
          <w:between w:val="nil"/>
        </w:pBdr>
        <w:spacing w:after="160" w:line="259" w:lineRule="auto"/>
        <w:jc w:val="both"/>
        <w:rPr>
          <w:rFonts w:ascii="Palatino Linotype" w:eastAsia="Palatino Linotype" w:hAnsi="Palatino Linotype" w:cs="Palatino Linotype"/>
          <w:b/>
          <w:color w:val="000000" w:themeColor="text1"/>
        </w:rPr>
      </w:pPr>
    </w:p>
    <w:p w14:paraId="3B8A8F6A" w14:textId="77777777" w:rsidR="00AD363B" w:rsidRPr="00077A55" w:rsidRDefault="00AD363B" w:rsidP="00077A55">
      <w:pPr>
        <w:tabs>
          <w:tab w:val="left" w:pos="8080"/>
        </w:tabs>
        <w:spacing w:line="360" w:lineRule="auto"/>
        <w:jc w:val="both"/>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77A55">
        <w:rPr>
          <w:rFonts w:ascii="Palatino Linotype" w:eastAsia="Palatino Linotype" w:hAnsi="Palatino Linotype" w:cs="Palatino Linotype"/>
          <w:b/>
          <w:color w:val="000000" w:themeColor="text1"/>
        </w:rPr>
        <w:t>RECURRENTE.</w:t>
      </w:r>
    </w:p>
    <w:p w14:paraId="4DACA0CF" w14:textId="77777777" w:rsidR="0019146E" w:rsidRPr="00077A55" w:rsidRDefault="0019146E" w:rsidP="00077A55">
      <w:pPr>
        <w:tabs>
          <w:tab w:val="left" w:pos="8080"/>
        </w:tabs>
        <w:spacing w:line="360" w:lineRule="auto"/>
        <w:jc w:val="both"/>
        <w:rPr>
          <w:rFonts w:ascii="Palatino Linotype" w:eastAsia="Palatino Linotype" w:hAnsi="Palatino Linotype" w:cs="Palatino Linotype"/>
          <w:b/>
          <w:color w:val="000000" w:themeColor="text1"/>
        </w:rPr>
      </w:pPr>
    </w:p>
    <w:p w14:paraId="72A21417" w14:textId="77777777" w:rsidR="00AD363B" w:rsidRPr="00077A55" w:rsidRDefault="0019146E" w:rsidP="00077A55">
      <w:pPr>
        <w:tabs>
          <w:tab w:val="left" w:pos="284"/>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 xml:space="preserve">De ser el caso que no se hubieran otorgado licencias de funcionamiento por la venta de bebidas alcohólicas bastara con que el </w:t>
      </w:r>
      <w:r w:rsidRPr="00077A55">
        <w:rPr>
          <w:rFonts w:ascii="Palatino Linotype" w:eastAsia="Palatino Linotype" w:hAnsi="Palatino Linotype" w:cs="Palatino Linotype"/>
          <w:b/>
          <w:color w:val="000000" w:themeColor="text1"/>
        </w:rPr>
        <w:t xml:space="preserve">SUJETO OBLIGADO </w:t>
      </w:r>
      <w:r w:rsidRPr="00077A55">
        <w:rPr>
          <w:rFonts w:ascii="Palatino Linotype" w:eastAsia="Palatino Linotype" w:hAnsi="Palatino Linotype" w:cs="Palatino Linotype"/>
          <w:color w:val="000000" w:themeColor="text1"/>
        </w:rPr>
        <w:t xml:space="preserve">lo haga del conocimiento del </w:t>
      </w:r>
      <w:r w:rsidRPr="00077A55">
        <w:rPr>
          <w:rFonts w:ascii="Palatino Linotype" w:eastAsia="Palatino Linotype" w:hAnsi="Palatino Linotype" w:cs="Palatino Linotype"/>
          <w:b/>
          <w:color w:val="000000" w:themeColor="text1"/>
        </w:rPr>
        <w:t xml:space="preserve">RECURRENTE </w:t>
      </w:r>
      <w:r w:rsidRPr="00077A55">
        <w:rPr>
          <w:rFonts w:ascii="Palatino Linotype" w:eastAsia="Palatino Linotype" w:hAnsi="Palatino Linotype" w:cs="Palatino Linotype"/>
          <w:color w:val="000000" w:themeColor="text1"/>
        </w:rPr>
        <w:t xml:space="preserve">de conformidad con el artículo 19 párrafo segundo de la Ley de Transparencia y Acceso a la Información Pública del Estado de México y Municipios. </w:t>
      </w:r>
    </w:p>
    <w:p w14:paraId="4EE9AFF7" w14:textId="77777777" w:rsidR="0019146E" w:rsidRPr="00077A55" w:rsidRDefault="0019146E" w:rsidP="00077A55">
      <w:pPr>
        <w:tabs>
          <w:tab w:val="left" w:pos="284"/>
        </w:tabs>
        <w:spacing w:line="360" w:lineRule="auto"/>
        <w:jc w:val="both"/>
        <w:rPr>
          <w:rFonts w:ascii="Palatino Linotype" w:eastAsia="Palatino Linotype" w:hAnsi="Palatino Linotype" w:cs="Palatino Linotype"/>
          <w:color w:val="000000" w:themeColor="text1"/>
        </w:rPr>
      </w:pPr>
    </w:p>
    <w:p w14:paraId="76106913" w14:textId="77777777" w:rsidR="00AD363B" w:rsidRPr="00077A55" w:rsidRDefault="00AD363B" w:rsidP="00077A55">
      <w:pPr>
        <w:tabs>
          <w:tab w:val="left" w:pos="284"/>
          <w:tab w:val="left" w:pos="8080"/>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b/>
          <w:color w:val="000000" w:themeColor="text1"/>
        </w:rPr>
        <w:lastRenderedPageBreak/>
        <w:t>TERCERO. NOTIFÍQUESE</w:t>
      </w:r>
      <w:r w:rsidRPr="00077A55">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77A55">
        <w:rPr>
          <w:rFonts w:ascii="Palatino Linotype" w:eastAsia="Palatino Linotype" w:hAnsi="Palatino Linotype" w:cs="Palatino Linotype"/>
          <w:b/>
          <w:color w:val="000000" w:themeColor="text1"/>
        </w:rPr>
        <w:t>dé cumplimiento a lo ordenado dentro del plazo de diez días hábiles</w:t>
      </w:r>
      <w:r w:rsidRPr="00077A55">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E9BEFA4" w14:textId="77777777" w:rsidR="00AD363B" w:rsidRPr="00077A55" w:rsidRDefault="00AD363B" w:rsidP="00077A55">
      <w:pPr>
        <w:tabs>
          <w:tab w:val="left" w:pos="284"/>
          <w:tab w:val="left" w:pos="8080"/>
        </w:tabs>
        <w:spacing w:line="360" w:lineRule="auto"/>
        <w:jc w:val="both"/>
        <w:rPr>
          <w:rFonts w:ascii="Palatino Linotype" w:eastAsia="Palatino Linotype" w:hAnsi="Palatino Linotype" w:cs="Palatino Linotype"/>
          <w:color w:val="000000" w:themeColor="text1"/>
        </w:rPr>
      </w:pPr>
    </w:p>
    <w:p w14:paraId="6F455C96" w14:textId="77777777" w:rsidR="00AD363B" w:rsidRPr="00077A55" w:rsidRDefault="00AD363B" w:rsidP="00077A55">
      <w:pPr>
        <w:tabs>
          <w:tab w:val="left" w:pos="8080"/>
        </w:tabs>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b/>
          <w:color w:val="000000" w:themeColor="text1"/>
        </w:rPr>
        <w:t xml:space="preserve">CUARTO. </w:t>
      </w:r>
      <w:r w:rsidRPr="00077A55">
        <w:rPr>
          <w:rFonts w:ascii="Palatino Linotype" w:eastAsia="Palatino Linotype" w:hAnsi="Palatino Linotype" w:cs="Palatino Linotype"/>
          <w:color w:val="000000" w:themeColor="text1"/>
        </w:rPr>
        <w:t xml:space="preserve">Notifíquese a </w:t>
      </w:r>
      <w:r w:rsidRPr="00077A55">
        <w:rPr>
          <w:rFonts w:ascii="Palatino Linotype" w:eastAsia="Palatino Linotype" w:hAnsi="Palatino Linotype" w:cs="Palatino Linotype"/>
          <w:b/>
          <w:color w:val="000000" w:themeColor="text1"/>
        </w:rPr>
        <w:t>EL RECURRENTE</w:t>
      </w:r>
      <w:r w:rsidRPr="00077A55">
        <w:rPr>
          <w:rFonts w:ascii="Palatino Linotype" w:eastAsia="Palatino Linotype" w:hAnsi="Palatino Linotype" w:cs="Palatino Linotype"/>
          <w:color w:val="000000" w:themeColor="text1"/>
        </w:rPr>
        <w:t xml:space="preserve"> la presente resolución, vía SAIMEX.</w:t>
      </w:r>
    </w:p>
    <w:p w14:paraId="52FDE9FE" w14:textId="77777777" w:rsidR="00AD363B" w:rsidRPr="00077A55" w:rsidRDefault="00AD363B" w:rsidP="00077A55">
      <w:pPr>
        <w:shd w:val="clear" w:color="auto" w:fill="FFFFFF"/>
        <w:spacing w:line="360" w:lineRule="auto"/>
        <w:jc w:val="both"/>
        <w:rPr>
          <w:rFonts w:ascii="Palatino Linotype" w:eastAsia="Palatino Linotype" w:hAnsi="Palatino Linotype" w:cs="Palatino Linotype"/>
          <w:color w:val="000000" w:themeColor="text1"/>
        </w:rPr>
      </w:pPr>
    </w:p>
    <w:p w14:paraId="720686B8"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b/>
          <w:color w:val="000000" w:themeColor="text1"/>
        </w:rPr>
        <w:t xml:space="preserve">QUINTO. Gírese </w:t>
      </w:r>
      <w:r w:rsidRPr="00077A55">
        <w:rPr>
          <w:rFonts w:ascii="Palatino Linotype" w:eastAsia="Palatino Linotype" w:hAnsi="Palatino Linotype" w:cs="Palatino Linotype"/>
          <w:color w:val="000000" w:themeColor="text1"/>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077A55">
        <w:rPr>
          <w:rFonts w:ascii="Palatino Linotype" w:eastAsia="Palatino Linotype" w:hAnsi="Palatino Linotype" w:cs="Palatino Linotype"/>
          <w:b/>
          <w:color w:val="000000" w:themeColor="text1"/>
        </w:rPr>
        <w:t>CUARTO</w:t>
      </w:r>
      <w:r w:rsidRPr="00077A55">
        <w:rPr>
          <w:rFonts w:ascii="Palatino Linotype" w:eastAsia="Palatino Linotype" w:hAnsi="Palatino Linotype" w:cs="Palatino Linotype"/>
          <w:color w:val="000000" w:themeColor="text1"/>
        </w:rPr>
        <w:t xml:space="preserve"> de la presente resolución.</w:t>
      </w:r>
    </w:p>
    <w:p w14:paraId="7F6B2BB0" w14:textId="77777777" w:rsidR="00AD363B" w:rsidRPr="00077A55" w:rsidRDefault="00AD363B" w:rsidP="00077A55">
      <w:pPr>
        <w:shd w:val="clear" w:color="auto" w:fill="FFFFFF"/>
        <w:spacing w:line="360" w:lineRule="auto"/>
        <w:jc w:val="both"/>
        <w:rPr>
          <w:rFonts w:ascii="Palatino Linotype" w:eastAsia="Palatino Linotype" w:hAnsi="Palatino Linotype" w:cs="Palatino Linotype"/>
          <w:color w:val="000000" w:themeColor="text1"/>
        </w:rPr>
      </w:pPr>
    </w:p>
    <w:p w14:paraId="4D78000A" w14:textId="77777777" w:rsidR="00AD363B" w:rsidRPr="00077A55" w:rsidRDefault="00AD363B" w:rsidP="00077A55">
      <w:pPr>
        <w:shd w:val="clear" w:color="auto" w:fill="FFFFFF"/>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b/>
          <w:color w:val="000000" w:themeColor="text1"/>
        </w:rPr>
        <w:t>SEXTO</w:t>
      </w:r>
      <w:r w:rsidRPr="00077A55">
        <w:rPr>
          <w:rFonts w:ascii="Palatino Linotype" w:eastAsia="Palatino Linotype" w:hAnsi="Palatino Linotype" w:cs="Palatino Linotype"/>
          <w:color w:val="000000" w:themeColor="text1"/>
        </w:rPr>
        <w:t xml:space="preserve">. Hágase del conocimiento del </w:t>
      </w:r>
      <w:r w:rsidRPr="00077A55">
        <w:rPr>
          <w:rFonts w:ascii="Palatino Linotype" w:eastAsia="Palatino Linotype" w:hAnsi="Palatino Linotype" w:cs="Palatino Linotype"/>
          <w:b/>
          <w:color w:val="000000" w:themeColor="text1"/>
        </w:rPr>
        <w:t>RECURRENTE</w:t>
      </w:r>
      <w:r w:rsidRPr="00077A55">
        <w:rPr>
          <w:rFonts w:ascii="Palatino Linotype" w:eastAsia="Palatino Linotype" w:hAnsi="Palatino Linotype" w:cs="Palatino Linotype"/>
          <w:color w:val="000000" w:themeColor="text1"/>
        </w:rPr>
        <w:t xml:space="preserve"> que la respuesta que dé </w:t>
      </w:r>
      <w:r w:rsidRPr="00077A55">
        <w:rPr>
          <w:rFonts w:ascii="Palatino Linotype" w:eastAsia="Palatino Linotype" w:hAnsi="Palatino Linotype" w:cs="Palatino Linotype"/>
          <w:b/>
          <w:color w:val="000000" w:themeColor="text1"/>
        </w:rPr>
        <w:t>EL SUJETO OBLIGADO</w:t>
      </w:r>
      <w:r w:rsidRPr="00077A55">
        <w:rPr>
          <w:rFonts w:ascii="Palatino Linotype" w:eastAsia="Palatino Linotype" w:hAnsi="Palatino Linotype" w:cs="Palatino Linotype"/>
          <w:color w:val="000000" w:themeColor="text1"/>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sidRPr="00077A55">
        <w:rPr>
          <w:rFonts w:ascii="Palatino Linotype" w:eastAsia="Palatino Linotype" w:hAnsi="Palatino Linotype" w:cs="Palatino Linotype"/>
          <w:color w:val="000000" w:themeColor="text1"/>
        </w:rPr>
        <w:tab/>
      </w:r>
    </w:p>
    <w:p w14:paraId="0FA65847" w14:textId="77777777" w:rsidR="00AD363B" w:rsidRPr="00077A55" w:rsidRDefault="00AD363B" w:rsidP="00077A55">
      <w:pPr>
        <w:shd w:val="clear" w:color="auto" w:fill="FFFFFF"/>
        <w:spacing w:line="360" w:lineRule="auto"/>
        <w:jc w:val="both"/>
        <w:rPr>
          <w:rFonts w:ascii="Palatino Linotype" w:eastAsia="Palatino Linotype" w:hAnsi="Palatino Linotype" w:cs="Palatino Linotype"/>
          <w:color w:val="000000" w:themeColor="text1"/>
        </w:rPr>
      </w:pPr>
    </w:p>
    <w:p w14:paraId="7B954AB2" w14:textId="77777777" w:rsidR="00AD363B" w:rsidRPr="00077A55" w:rsidRDefault="00AD363B" w:rsidP="00077A55">
      <w:pPr>
        <w:shd w:val="clear" w:color="auto" w:fill="FFFFFF"/>
        <w:spacing w:line="360" w:lineRule="auto"/>
        <w:jc w:val="both"/>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b/>
          <w:color w:val="000000" w:themeColor="text1"/>
        </w:rPr>
        <w:lastRenderedPageBreak/>
        <w:t>SÉPTIMA.</w:t>
      </w:r>
      <w:r w:rsidRPr="00077A55">
        <w:rPr>
          <w:rFonts w:ascii="Palatino Linotype" w:eastAsia="Palatino Linotype" w:hAnsi="Palatino Linotype" w:cs="Palatino Linotype"/>
          <w:color w:val="000000" w:themeColor="text1"/>
        </w:rPr>
        <w:t xml:space="preserve"> Se hace del conocimiento del </w:t>
      </w:r>
      <w:r w:rsidRPr="00077A55">
        <w:rPr>
          <w:rFonts w:ascii="Palatino Linotype" w:eastAsia="Palatino Linotype" w:hAnsi="Palatino Linotype" w:cs="Palatino Linotype"/>
          <w:b/>
          <w:color w:val="000000" w:themeColor="text1"/>
        </w:rPr>
        <w:t xml:space="preserve">RECURRENTE </w:t>
      </w:r>
      <w:r w:rsidRPr="00077A55">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59521D0A" w14:textId="77777777" w:rsidR="00884273" w:rsidRDefault="00884273" w:rsidP="00C71066">
      <w:pPr>
        <w:tabs>
          <w:tab w:val="left" w:pos="5387"/>
        </w:tabs>
        <w:spacing w:line="360" w:lineRule="auto"/>
        <w:ind w:right="49"/>
        <w:jc w:val="both"/>
        <w:rPr>
          <w:rFonts w:ascii="Palatino Linotype" w:eastAsia="Palatino Linotype" w:hAnsi="Palatino Linotype" w:cs="Palatino Linotype"/>
        </w:rPr>
      </w:pPr>
      <w:bookmarkStart w:id="12" w:name="_heading=h.30j0zll" w:colFirst="0" w:colLast="0"/>
      <w:bookmarkEnd w:id="12"/>
    </w:p>
    <w:p w14:paraId="008E6D7A" w14:textId="1AA35D6C" w:rsidR="00C71066" w:rsidRPr="00444783" w:rsidRDefault="00C71066" w:rsidP="00C71066">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7E3F88" w:rsidRPr="00575AE2">
        <w:rPr>
          <w:rFonts w:ascii="Palatino Linotype" w:eastAsia="Palatino Linotype" w:hAnsi="Palatino Linotype" w:cs="Palatino Linotype"/>
        </w:rPr>
        <w:t xml:space="preserve">EN LA </w:t>
      </w:r>
      <w:r w:rsidR="007E3F88">
        <w:rPr>
          <w:rFonts w:ascii="Palatino Linotype" w:eastAsia="Palatino Linotype" w:hAnsi="Palatino Linotype" w:cs="Palatino Linotype"/>
        </w:rPr>
        <w:t xml:space="preserve">CUADRAGÉSIMA </w:t>
      </w:r>
      <w:r w:rsidR="007E3F88" w:rsidRPr="00575AE2">
        <w:rPr>
          <w:rFonts w:ascii="Palatino Linotype" w:eastAsia="Palatino Linotype" w:hAnsi="Palatino Linotype" w:cs="Palatino Linotype"/>
        </w:rPr>
        <w:t>SESIÓN ORDINARIA, CELEBRADA EL</w:t>
      </w:r>
      <w:r w:rsidR="007E3F88">
        <w:rPr>
          <w:rFonts w:ascii="Palatino Linotype" w:eastAsia="Palatino Linotype" w:hAnsi="Palatino Linotype" w:cs="Palatino Linotype"/>
        </w:rPr>
        <w:t xml:space="preserve"> DOCE (12</w:t>
      </w:r>
      <w:r w:rsidR="007E3F88" w:rsidRPr="00575AE2">
        <w:rPr>
          <w:rFonts w:ascii="Palatino Linotype" w:eastAsia="Palatino Linotype" w:hAnsi="Palatino Linotype" w:cs="Palatino Linotype"/>
        </w:rPr>
        <w:t xml:space="preserve">) DE </w:t>
      </w:r>
      <w:r w:rsidR="007E3F88">
        <w:rPr>
          <w:rFonts w:ascii="Palatino Linotype" w:eastAsia="Palatino Linotype" w:hAnsi="Palatino Linotype" w:cs="Palatino Linotype"/>
        </w:rPr>
        <w:t>NOVIEMBRE</w:t>
      </w:r>
      <w:r>
        <w:rPr>
          <w:rFonts w:ascii="Palatino Linotype" w:eastAsia="Palatino Linotype" w:hAnsi="Palatino Linotype" w:cs="Palatino Linotype"/>
        </w:rPr>
        <w:t xml:space="preserve"> </w:t>
      </w:r>
      <w:r w:rsidRPr="00575AE2">
        <w:rPr>
          <w:rFonts w:ascii="Palatino Linotype" w:eastAsia="Palatino Linotype" w:hAnsi="Palatino Linotype" w:cs="Palatino Linotype"/>
        </w:rPr>
        <w:t>DE DOS MIL VEINTICINCO, ANTE EL SECRETARIO TÉCNICO DEL PLENO ALEXIS TAPIA RAMÍREZ.</w:t>
      </w:r>
    </w:p>
    <w:p w14:paraId="50497FCB" w14:textId="746923C7" w:rsidR="00AD363B" w:rsidRPr="00077A55" w:rsidRDefault="00AD363B" w:rsidP="00077A55">
      <w:pPr>
        <w:spacing w:before="240" w:after="240" w:line="360" w:lineRule="auto"/>
        <w:jc w:val="both"/>
        <w:rPr>
          <w:rFonts w:ascii="Palatino Linotype" w:eastAsia="Palatino Linotype" w:hAnsi="Palatino Linotype" w:cs="Palatino Linotype"/>
          <w:color w:val="000000" w:themeColor="text1"/>
        </w:rPr>
      </w:pPr>
    </w:p>
    <w:p w14:paraId="2EB87373"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p>
    <w:p w14:paraId="7531E169"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p>
    <w:p w14:paraId="15A162CC" w14:textId="77777777" w:rsidR="00AD363B" w:rsidRPr="00077A55" w:rsidRDefault="00AD363B" w:rsidP="00077A55">
      <w:pPr>
        <w:spacing w:line="360" w:lineRule="auto"/>
        <w:jc w:val="both"/>
        <w:rPr>
          <w:rFonts w:ascii="Palatino Linotype" w:eastAsia="Palatino Linotype" w:hAnsi="Palatino Linotype" w:cs="Palatino Linotype"/>
          <w:color w:val="000000" w:themeColor="text1"/>
        </w:rPr>
      </w:pPr>
    </w:p>
    <w:p w14:paraId="6B57E414" w14:textId="77777777" w:rsidR="00AD363B" w:rsidRPr="00077A55" w:rsidRDefault="00AD363B" w:rsidP="00077A55">
      <w:pPr>
        <w:spacing w:line="360" w:lineRule="auto"/>
        <w:rPr>
          <w:rFonts w:ascii="Palatino Linotype" w:eastAsia="Palatino Linotype" w:hAnsi="Palatino Linotype" w:cs="Palatino Linotype"/>
          <w:color w:val="000000" w:themeColor="text1"/>
        </w:rPr>
      </w:pPr>
    </w:p>
    <w:p w14:paraId="25D5C768" w14:textId="77777777" w:rsidR="00AD363B" w:rsidRPr="00077A55" w:rsidRDefault="00AD363B" w:rsidP="00077A55">
      <w:pPr>
        <w:spacing w:line="360" w:lineRule="auto"/>
        <w:rPr>
          <w:rFonts w:ascii="Palatino Linotype" w:eastAsia="Palatino Linotype" w:hAnsi="Palatino Linotype" w:cs="Palatino Linotype"/>
          <w:color w:val="000000" w:themeColor="text1"/>
        </w:rPr>
      </w:pPr>
    </w:p>
    <w:p w14:paraId="154FA93D" w14:textId="77777777" w:rsidR="00AD363B" w:rsidRPr="00077A55" w:rsidRDefault="00AD363B" w:rsidP="00077A55">
      <w:pPr>
        <w:spacing w:line="360" w:lineRule="auto"/>
        <w:rPr>
          <w:rFonts w:ascii="Palatino Linotype" w:eastAsia="Palatino Linotype" w:hAnsi="Palatino Linotype" w:cs="Palatino Linotype"/>
          <w:color w:val="000000" w:themeColor="text1"/>
        </w:rPr>
      </w:pPr>
    </w:p>
    <w:p w14:paraId="2C1C5570" w14:textId="77777777" w:rsidR="00AD363B" w:rsidRPr="00077A55" w:rsidRDefault="00AD363B" w:rsidP="00077A55">
      <w:pPr>
        <w:spacing w:line="360" w:lineRule="auto"/>
        <w:rPr>
          <w:rFonts w:ascii="Palatino Linotype" w:eastAsia="Palatino Linotype" w:hAnsi="Palatino Linotype" w:cs="Palatino Linotype"/>
          <w:color w:val="000000" w:themeColor="text1"/>
        </w:rPr>
      </w:pPr>
    </w:p>
    <w:p w14:paraId="56068014" w14:textId="77777777" w:rsidR="00AD363B" w:rsidRPr="00077A55" w:rsidRDefault="00AD363B" w:rsidP="00077A55">
      <w:pPr>
        <w:spacing w:line="360" w:lineRule="auto"/>
        <w:rPr>
          <w:rFonts w:ascii="Palatino Linotype" w:eastAsia="Palatino Linotype" w:hAnsi="Palatino Linotype" w:cs="Palatino Linotype"/>
          <w:color w:val="000000" w:themeColor="text1"/>
        </w:rPr>
      </w:pPr>
    </w:p>
    <w:p w14:paraId="526C69AA" w14:textId="77777777" w:rsidR="00AD363B" w:rsidRPr="00077A55" w:rsidRDefault="00AD363B" w:rsidP="00077A55">
      <w:pPr>
        <w:spacing w:line="360" w:lineRule="auto"/>
        <w:rPr>
          <w:rFonts w:ascii="Palatino Linotype" w:eastAsia="Palatino Linotype" w:hAnsi="Palatino Linotype" w:cs="Palatino Linotype"/>
          <w:color w:val="000000" w:themeColor="text1"/>
        </w:rPr>
      </w:pPr>
    </w:p>
    <w:p w14:paraId="241E75E7" w14:textId="77777777" w:rsidR="00AD363B" w:rsidRPr="00077A55" w:rsidRDefault="00AD363B" w:rsidP="00077A55">
      <w:pPr>
        <w:spacing w:line="360" w:lineRule="auto"/>
        <w:rPr>
          <w:rFonts w:ascii="Palatino Linotype" w:eastAsia="Palatino Linotype" w:hAnsi="Palatino Linotype" w:cs="Palatino Linotype"/>
          <w:color w:val="000000" w:themeColor="text1"/>
        </w:rPr>
      </w:pPr>
    </w:p>
    <w:p w14:paraId="3F9DDBE9" w14:textId="77777777" w:rsidR="00AD363B" w:rsidRPr="00077A55" w:rsidRDefault="00AD363B" w:rsidP="00077A55">
      <w:pPr>
        <w:tabs>
          <w:tab w:val="left" w:pos="3374"/>
        </w:tabs>
        <w:spacing w:line="360" w:lineRule="auto"/>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ab/>
      </w:r>
    </w:p>
    <w:p w14:paraId="260A4DF1" w14:textId="77777777" w:rsidR="00AD363B" w:rsidRPr="00077A55" w:rsidRDefault="00AD363B" w:rsidP="00077A55">
      <w:pPr>
        <w:tabs>
          <w:tab w:val="left" w:pos="3374"/>
        </w:tabs>
        <w:spacing w:line="360" w:lineRule="auto"/>
        <w:rPr>
          <w:rFonts w:ascii="Palatino Linotype" w:eastAsia="Palatino Linotype" w:hAnsi="Palatino Linotype" w:cs="Palatino Linotype"/>
          <w:color w:val="000000" w:themeColor="text1"/>
        </w:rPr>
      </w:pPr>
    </w:p>
    <w:p w14:paraId="745CD749" w14:textId="77777777" w:rsidR="00AD363B" w:rsidRPr="00077A55" w:rsidRDefault="00AD363B" w:rsidP="00077A55">
      <w:pPr>
        <w:tabs>
          <w:tab w:val="left" w:pos="3374"/>
        </w:tabs>
        <w:spacing w:line="360" w:lineRule="auto"/>
        <w:rPr>
          <w:rFonts w:ascii="Palatino Linotype" w:eastAsia="Palatino Linotype" w:hAnsi="Palatino Linotype" w:cs="Palatino Linotype"/>
          <w:color w:val="000000" w:themeColor="text1"/>
        </w:rPr>
      </w:pPr>
    </w:p>
    <w:p w14:paraId="28BC0953" w14:textId="77777777" w:rsidR="00AD363B" w:rsidRPr="00077A55" w:rsidRDefault="00AD363B" w:rsidP="00077A55">
      <w:pPr>
        <w:tabs>
          <w:tab w:val="left" w:pos="3374"/>
        </w:tabs>
        <w:spacing w:line="360" w:lineRule="auto"/>
        <w:rPr>
          <w:rFonts w:ascii="Palatino Linotype" w:eastAsia="Palatino Linotype" w:hAnsi="Palatino Linotype" w:cs="Palatino Linotype"/>
          <w:color w:val="000000" w:themeColor="text1"/>
        </w:rPr>
      </w:pPr>
    </w:p>
    <w:p w14:paraId="50BE8E17" w14:textId="77777777" w:rsidR="00AD363B" w:rsidRPr="00077A55" w:rsidRDefault="00AD363B" w:rsidP="00077A55">
      <w:pPr>
        <w:rPr>
          <w:rFonts w:ascii="Palatino Linotype" w:hAnsi="Palatino Linotype"/>
          <w:color w:val="000000" w:themeColor="text1"/>
        </w:rPr>
      </w:pPr>
      <w:r w:rsidRPr="00077A55">
        <w:rPr>
          <w:rFonts w:ascii="Palatino Linotype" w:eastAsia="Palatino Linotype" w:hAnsi="Palatino Linotype" w:cs="Palatino Linotype"/>
          <w:color w:val="000000" w:themeColor="text1"/>
        </w:rPr>
        <w:t xml:space="preserve"> </w:t>
      </w:r>
    </w:p>
    <w:p w14:paraId="395DF97F" w14:textId="77777777" w:rsidR="00AD363B" w:rsidRPr="00077A55" w:rsidRDefault="00AD363B" w:rsidP="00077A55">
      <w:pPr>
        <w:rPr>
          <w:rFonts w:ascii="Palatino Linotype" w:hAnsi="Palatino Linotype"/>
          <w:color w:val="000000" w:themeColor="text1"/>
        </w:rPr>
      </w:pPr>
    </w:p>
    <w:p w14:paraId="6539619D" w14:textId="77777777" w:rsidR="00AD363B" w:rsidRPr="00077A55" w:rsidRDefault="00AD363B" w:rsidP="00077A55">
      <w:pPr>
        <w:rPr>
          <w:rFonts w:ascii="Palatino Linotype" w:hAnsi="Palatino Linotype"/>
          <w:color w:val="000000" w:themeColor="text1"/>
        </w:rPr>
      </w:pPr>
    </w:p>
    <w:p w14:paraId="6562B420" w14:textId="77777777" w:rsidR="00AD363B" w:rsidRPr="00077A55" w:rsidRDefault="00AD363B" w:rsidP="00077A55">
      <w:pPr>
        <w:rPr>
          <w:rFonts w:ascii="Palatino Linotype" w:hAnsi="Palatino Linotype"/>
          <w:color w:val="000000" w:themeColor="text1"/>
        </w:rPr>
      </w:pPr>
    </w:p>
    <w:p w14:paraId="16A525A4" w14:textId="77777777" w:rsidR="00AD363B" w:rsidRPr="00077A55" w:rsidRDefault="00AD363B" w:rsidP="00077A55">
      <w:pPr>
        <w:rPr>
          <w:rFonts w:ascii="Palatino Linotype" w:hAnsi="Palatino Linotype"/>
          <w:color w:val="000000" w:themeColor="text1"/>
        </w:rPr>
      </w:pPr>
    </w:p>
    <w:p w14:paraId="58A1BB46" w14:textId="77777777" w:rsidR="00AD363B" w:rsidRPr="00077A55" w:rsidRDefault="00AD363B" w:rsidP="00077A55">
      <w:pPr>
        <w:rPr>
          <w:rFonts w:ascii="Palatino Linotype" w:hAnsi="Palatino Linotype"/>
          <w:color w:val="000000" w:themeColor="text1"/>
        </w:rPr>
      </w:pPr>
    </w:p>
    <w:p w14:paraId="4F9A5D32" w14:textId="77777777" w:rsidR="00AD363B" w:rsidRPr="00077A55" w:rsidRDefault="00AD363B" w:rsidP="00077A55">
      <w:pPr>
        <w:rPr>
          <w:rFonts w:ascii="Palatino Linotype" w:hAnsi="Palatino Linotype"/>
          <w:color w:val="000000" w:themeColor="text1"/>
        </w:rPr>
      </w:pPr>
    </w:p>
    <w:p w14:paraId="6FF62F29" w14:textId="77777777" w:rsidR="00AD363B" w:rsidRPr="00077A55" w:rsidRDefault="00AD363B" w:rsidP="00077A55">
      <w:pPr>
        <w:rPr>
          <w:rFonts w:ascii="Palatino Linotype" w:hAnsi="Palatino Linotype"/>
          <w:color w:val="000000" w:themeColor="text1"/>
        </w:rPr>
      </w:pPr>
    </w:p>
    <w:p w14:paraId="527C3C97" w14:textId="77777777" w:rsidR="00AD363B" w:rsidRPr="00077A55" w:rsidRDefault="00AD363B" w:rsidP="00077A55">
      <w:pPr>
        <w:rPr>
          <w:rFonts w:ascii="Palatino Linotype" w:hAnsi="Palatino Linotype"/>
          <w:color w:val="000000" w:themeColor="text1"/>
        </w:rPr>
      </w:pPr>
    </w:p>
    <w:p w14:paraId="032D6113" w14:textId="77777777" w:rsidR="00480BA6" w:rsidRPr="00077A55" w:rsidRDefault="00480BA6" w:rsidP="00077A55">
      <w:pPr>
        <w:rPr>
          <w:rFonts w:ascii="Palatino Linotype" w:hAnsi="Palatino Linotype"/>
          <w:color w:val="000000" w:themeColor="text1"/>
        </w:rPr>
      </w:pPr>
    </w:p>
    <w:sectPr w:rsidR="00480BA6" w:rsidRPr="00077A55" w:rsidSect="00884273">
      <w:headerReference w:type="even" r:id="rId14"/>
      <w:headerReference w:type="default" r:id="rId15"/>
      <w:footerReference w:type="default" r:id="rId16"/>
      <w:headerReference w:type="first" r:id="rId17"/>
      <w:footerReference w:type="first" r:id="rId18"/>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C74235" w14:textId="77777777" w:rsidR="00B118C0" w:rsidRDefault="00B118C0" w:rsidP="00AD363B">
      <w:r>
        <w:separator/>
      </w:r>
    </w:p>
  </w:endnote>
  <w:endnote w:type="continuationSeparator" w:id="0">
    <w:p w14:paraId="779461ED" w14:textId="77777777" w:rsidR="00B118C0" w:rsidRDefault="00B118C0" w:rsidP="00AD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F8771" w14:textId="77777777" w:rsidR="002F7F61" w:rsidRDefault="002F7F6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84273">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84273">
      <w:rPr>
        <w:rFonts w:ascii="Palatino Linotype" w:eastAsia="Palatino Linotype" w:hAnsi="Palatino Linotype" w:cs="Palatino Linotype"/>
        <w:noProof/>
        <w:color w:val="000000"/>
        <w:sz w:val="20"/>
        <w:szCs w:val="20"/>
      </w:rPr>
      <w:t>38</w:t>
    </w:r>
    <w:r>
      <w:rPr>
        <w:rFonts w:ascii="Palatino Linotype" w:eastAsia="Palatino Linotype" w:hAnsi="Palatino Linotype" w:cs="Palatino Linotype"/>
        <w:color w:val="000000"/>
        <w:sz w:val="20"/>
        <w:szCs w:val="20"/>
      </w:rPr>
      <w:fldChar w:fldCharType="end"/>
    </w:r>
  </w:p>
  <w:p w14:paraId="4B1BF11D" w14:textId="77777777" w:rsidR="002F7F61" w:rsidRDefault="002F7F6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2DC66" w14:textId="77777777" w:rsidR="002F7F61" w:rsidRDefault="002F7F6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84273">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84273">
      <w:rPr>
        <w:rFonts w:ascii="Palatino Linotype" w:eastAsia="Palatino Linotype" w:hAnsi="Palatino Linotype" w:cs="Palatino Linotype"/>
        <w:noProof/>
        <w:color w:val="000000"/>
        <w:sz w:val="20"/>
        <w:szCs w:val="20"/>
      </w:rPr>
      <w:t>38</w:t>
    </w:r>
    <w:r>
      <w:rPr>
        <w:rFonts w:ascii="Palatino Linotype" w:eastAsia="Palatino Linotype" w:hAnsi="Palatino Linotype" w:cs="Palatino Linotype"/>
        <w:color w:val="000000"/>
        <w:sz w:val="20"/>
        <w:szCs w:val="20"/>
      </w:rPr>
      <w:fldChar w:fldCharType="end"/>
    </w:r>
  </w:p>
  <w:p w14:paraId="0E8DFDE3" w14:textId="77777777" w:rsidR="002F7F61" w:rsidRDefault="002F7F6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5F500" w14:textId="77777777" w:rsidR="00B118C0" w:rsidRDefault="00B118C0" w:rsidP="00AD363B">
      <w:r>
        <w:separator/>
      </w:r>
    </w:p>
  </w:footnote>
  <w:footnote w:type="continuationSeparator" w:id="0">
    <w:p w14:paraId="56E80C21" w14:textId="77777777" w:rsidR="00B118C0" w:rsidRDefault="00B118C0" w:rsidP="00AD363B">
      <w:r>
        <w:continuationSeparator/>
      </w:r>
    </w:p>
  </w:footnote>
  <w:footnote w:id="1">
    <w:p w14:paraId="0E3E33D9" w14:textId="77777777" w:rsidR="002F7F61" w:rsidRDefault="002F7F61" w:rsidP="00AD363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0357BA97" w14:textId="77777777" w:rsidR="002F7F61" w:rsidRDefault="002F7F61" w:rsidP="00AD363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579DF384" w14:textId="77777777" w:rsidR="002F7F61" w:rsidRDefault="002F7F61" w:rsidP="00AD363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619405CA" w14:textId="77777777" w:rsidR="002F7F61" w:rsidRDefault="002F7F61" w:rsidP="00AD363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78B0D" w14:textId="77777777" w:rsidR="002F7F61" w:rsidRDefault="00B118C0">
    <w:pPr>
      <w:pBdr>
        <w:top w:val="nil"/>
        <w:left w:val="nil"/>
        <w:bottom w:val="nil"/>
        <w:right w:val="nil"/>
        <w:between w:val="nil"/>
      </w:pBdr>
      <w:tabs>
        <w:tab w:val="center" w:pos="4419"/>
        <w:tab w:val="right" w:pos="8838"/>
      </w:tabs>
      <w:rPr>
        <w:color w:val="000000"/>
      </w:rPr>
    </w:pPr>
    <w:r>
      <w:rPr>
        <w:color w:val="000000"/>
      </w:rPr>
      <w:pict w14:anchorId="30AA5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609.4pt;height:793.75pt;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410A4" w14:textId="77777777" w:rsidR="002F7F61" w:rsidRDefault="002F7F61">
    <w:pPr>
      <w:widowControl w:val="0"/>
      <w:pBdr>
        <w:top w:val="nil"/>
        <w:left w:val="nil"/>
        <w:bottom w:val="nil"/>
        <w:right w:val="nil"/>
        <w:between w:val="nil"/>
      </w:pBdr>
      <w:spacing w:line="276" w:lineRule="auto"/>
      <w:rPr>
        <w:color w:val="000000"/>
      </w:rPr>
    </w:pPr>
  </w:p>
  <w:tbl>
    <w:tblPr>
      <w:tblW w:w="7174" w:type="dxa"/>
      <w:tblInd w:w="3032" w:type="dxa"/>
      <w:tblLayout w:type="fixed"/>
      <w:tblLook w:val="0400" w:firstRow="0" w:lastRow="0" w:firstColumn="0" w:lastColumn="0" w:noHBand="0" w:noVBand="1"/>
    </w:tblPr>
    <w:tblGrid>
      <w:gridCol w:w="2976"/>
      <w:gridCol w:w="4198"/>
    </w:tblGrid>
    <w:tr w:rsidR="002F7F61" w14:paraId="023AC867" w14:textId="77777777" w:rsidTr="00077A55">
      <w:trPr>
        <w:trHeight w:val="227"/>
      </w:trPr>
      <w:tc>
        <w:tcPr>
          <w:tcW w:w="2976" w:type="dxa"/>
          <w:vAlign w:val="center"/>
        </w:tcPr>
        <w:p w14:paraId="46BF36E6" w14:textId="77777777" w:rsidR="002F7F61" w:rsidRPr="00077A55" w:rsidRDefault="002F7F61" w:rsidP="00077A55">
          <w:pPr>
            <w:ind w:right="34"/>
            <w:jc w:val="right"/>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color w:val="000000" w:themeColor="text1"/>
            </w:rPr>
            <w:t>Recurso de Revisión:</w:t>
          </w:r>
        </w:p>
      </w:tc>
      <w:tc>
        <w:tcPr>
          <w:tcW w:w="4198" w:type="dxa"/>
          <w:vAlign w:val="center"/>
        </w:tcPr>
        <w:p w14:paraId="30A9EECC" w14:textId="77777777" w:rsidR="002F7F61" w:rsidRPr="00077A55" w:rsidRDefault="002F7F61" w:rsidP="00077A55">
          <w:pPr>
            <w:pBdr>
              <w:top w:val="nil"/>
              <w:left w:val="nil"/>
              <w:bottom w:val="nil"/>
              <w:right w:val="nil"/>
              <w:between w:val="nil"/>
            </w:pBdr>
            <w:tabs>
              <w:tab w:val="right" w:pos="8838"/>
            </w:tabs>
            <w:rPr>
              <w:rFonts w:ascii="Palatino Linotype" w:eastAsia="Palatino Linotype" w:hAnsi="Palatino Linotype" w:cs="Palatino Linotype"/>
              <w:color w:val="000000" w:themeColor="text1"/>
              <w:highlight w:val="green"/>
            </w:rPr>
          </w:pPr>
          <w:r w:rsidRPr="00077A55">
            <w:rPr>
              <w:rFonts w:ascii="Palatino Linotype" w:eastAsia="Palatino Linotype" w:hAnsi="Palatino Linotype" w:cs="Palatino Linotype"/>
              <w:color w:val="000000" w:themeColor="text1"/>
            </w:rPr>
            <w:t>09463/INFOEM/IP/RR/2025</w:t>
          </w:r>
        </w:p>
      </w:tc>
    </w:tr>
    <w:tr w:rsidR="002F7F61" w14:paraId="1C7BBF35" w14:textId="77777777" w:rsidTr="00077A55">
      <w:trPr>
        <w:trHeight w:val="242"/>
      </w:trPr>
      <w:tc>
        <w:tcPr>
          <w:tcW w:w="2976" w:type="dxa"/>
          <w:vAlign w:val="center"/>
        </w:tcPr>
        <w:p w14:paraId="2426C50D" w14:textId="77777777" w:rsidR="002F7F61" w:rsidRPr="00077A55" w:rsidRDefault="002F7F61" w:rsidP="00077A55">
          <w:pPr>
            <w:ind w:right="34"/>
            <w:jc w:val="right"/>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color w:val="000000" w:themeColor="text1"/>
            </w:rPr>
            <w:t>Sujeto Obligado:</w:t>
          </w:r>
        </w:p>
      </w:tc>
      <w:tc>
        <w:tcPr>
          <w:tcW w:w="4198" w:type="dxa"/>
          <w:vAlign w:val="center"/>
        </w:tcPr>
        <w:p w14:paraId="7E624EF3" w14:textId="77777777" w:rsidR="002F7F61" w:rsidRPr="00077A55" w:rsidRDefault="002F7F61" w:rsidP="00077A55">
          <w:pPr>
            <w:pBdr>
              <w:top w:val="nil"/>
              <w:left w:val="nil"/>
              <w:bottom w:val="nil"/>
              <w:right w:val="nil"/>
              <w:between w:val="nil"/>
            </w:pBdr>
            <w:tabs>
              <w:tab w:val="right" w:pos="8838"/>
            </w:tabs>
            <w:jc w:val="both"/>
            <w:rPr>
              <w:rFonts w:ascii="Palatino Linotype" w:eastAsia="Palatino Linotype" w:hAnsi="Palatino Linotype" w:cs="Palatino Linotype"/>
              <w:color w:val="000000" w:themeColor="text1"/>
              <w:highlight w:val="green"/>
            </w:rPr>
          </w:pPr>
          <w:r w:rsidRPr="00077A55">
            <w:rPr>
              <w:rFonts w:ascii="Palatino Linotype" w:eastAsia="Palatino Linotype" w:hAnsi="Palatino Linotype" w:cs="Palatino Linotype"/>
              <w:color w:val="000000" w:themeColor="text1"/>
            </w:rPr>
            <w:t>Ayuntamiento de Tepotzotlán</w:t>
          </w:r>
        </w:p>
      </w:tc>
    </w:tr>
    <w:tr w:rsidR="002F7F61" w14:paraId="20D49657" w14:textId="77777777" w:rsidTr="00077A55">
      <w:trPr>
        <w:trHeight w:val="342"/>
      </w:trPr>
      <w:tc>
        <w:tcPr>
          <w:tcW w:w="2976" w:type="dxa"/>
          <w:vAlign w:val="center"/>
        </w:tcPr>
        <w:p w14:paraId="526322B4" w14:textId="77777777" w:rsidR="002F7F61" w:rsidRPr="00077A55" w:rsidRDefault="002F7F61" w:rsidP="00077A55">
          <w:pPr>
            <w:ind w:right="34"/>
            <w:jc w:val="right"/>
            <w:rPr>
              <w:rFonts w:ascii="Palatino Linotype" w:eastAsia="Palatino Linotype" w:hAnsi="Palatino Linotype" w:cs="Palatino Linotype"/>
              <w:b/>
              <w:color w:val="000000" w:themeColor="text1"/>
            </w:rPr>
          </w:pPr>
          <w:r w:rsidRPr="00077A55">
            <w:rPr>
              <w:rFonts w:ascii="Palatino Linotype" w:eastAsia="Palatino Linotype" w:hAnsi="Palatino Linotype" w:cs="Palatino Linotype"/>
              <w:b/>
              <w:color w:val="000000" w:themeColor="text1"/>
            </w:rPr>
            <w:t>Comisionada Ponente:</w:t>
          </w:r>
        </w:p>
      </w:tc>
      <w:tc>
        <w:tcPr>
          <w:tcW w:w="4198" w:type="dxa"/>
          <w:vAlign w:val="center"/>
        </w:tcPr>
        <w:p w14:paraId="4037340C" w14:textId="77777777" w:rsidR="002F7F61" w:rsidRPr="00077A55" w:rsidRDefault="002F7F61" w:rsidP="00077A55">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María del Rosario Mejía Ayala</w:t>
          </w:r>
        </w:p>
      </w:tc>
    </w:tr>
  </w:tbl>
  <w:p w14:paraId="16984340" w14:textId="77777777" w:rsidR="002F7F61" w:rsidRDefault="00B118C0">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10D36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82.3pt;margin-top:-110.1pt;width:609.4pt;height:793.75pt;z-index:-25165721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58" w:type="dxa"/>
      <w:tblInd w:w="3402" w:type="dxa"/>
      <w:tblLayout w:type="fixed"/>
      <w:tblLook w:val="0400" w:firstRow="0" w:lastRow="0" w:firstColumn="0" w:lastColumn="0" w:noHBand="0" w:noVBand="1"/>
    </w:tblPr>
    <w:tblGrid>
      <w:gridCol w:w="2977"/>
      <w:gridCol w:w="3881"/>
    </w:tblGrid>
    <w:tr w:rsidR="002F7F61" w14:paraId="0A7C7C99" w14:textId="77777777" w:rsidTr="00884273">
      <w:trPr>
        <w:trHeight w:val="227"/>
      </w:trPr>
      <w:tc>
        <w:tcPr>
          <w:tcW w:w="2977" w:type="dxa"/>
          <w:vAlign w:val="center"/>
        </w:tcPr>
        <w:p w14:paraId="6670AE21" w14:textId="77777777" w:rsidR="002F7F61" w:rsidRPr="00077A55" w:rsidRDefault="002F7F61" w:rsidP="00077A55">
          <w:pPr>
            <w:jc w:val="right"/>
            <w:rPr>
              <w:rFonts w:ascii="Palatino Linotype" w:eastAsia="Palatino Linotype" w:hAnsi="Palatino Linotype" w:cs="Palatino Linotype"/>
              <w:b/>
            </w:rPr>
          </w:pPr>
          <w:r w:rsidRPr="00077A55">
            <w:rPr>
              <w:rFonts w:ascii="Palatino Linotype" w:eastAsia="Palatino Linotype" w:hAnsi="Palatino Linotype" w:cs="Palatino Linotype"/>
              <w:b/>
            </w:rPr>
            <w:t>Recurso de Revisión:</w:t>
          </w:r>
        </w:p>
      </w:tc>
      <w:tc>
        <w:tcPr>
          <w:tcW w:w="3881" w:type="dxa"/>
          <w:vAlign w:val="center"/>
        </w:tcPr>
        <w:p w14:paraId="0BD521C0" w14:textId="77777777" w:rsidR="002F7F61" w:rsidRPr="00077A55" w:rsidRDefault="002F7F61" w:rsidP="00077A5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highlight w:val="green"/>
            </w:rPr>
          </w:pPr>
          <w:r w:rsidRPr="00077A55">
            <w:rPr>
              <w:rFonts w:ascii="Palatino Linotype" w:eastAsia="Palatino Linotype" w:hAnsi="Palatino Linotype" w:cs="Palatino Linotype"/>
              <w:color w:val="000000" w:themeColor="text1"/>
            </w:rPr>
            <w:t>09463/INFOEM/IP/RR/2025</w:t>
          </w:r>
        </w:p>
      </w:tc>
    </w:tr>
    <w:tr w:rsidR="002F7F61" w14:paraId="091D7BF9" w14:textId="77777777" w:rsidTr="00884273">
      <w:trPr>
        <w:trHeight w:val="242"/>
      </w:trPr>
      <w:tc>
        <w:tcPr>
          <w:tcW w:w="2977" w:type="dxa"/>
          <w:vAlign w:val="center"/>
        </w:tcPr>
        <w:p w14:paraId="64C4B5BF" w14:textId="77777777" w:rsidR="002F7F61" w:rsidRPr="00077A55" w:rsidRDefault="002F7F61" w:rsidP="00077A55">
          <w:pPr>
            <w:jc w:val="right"/>
            <w:rPr>
              <w:rFonts w:ascii="Palatino Linotype" w:eastAsia="Palatino Linotype" w:hAnsi="Palatino Linotype" w:cs="Palatino Linotype"/>
              <w:b/>
            </w:rPr>
          </w:pPr>
          <w:r w:rsidRPr="00077A55">
            <w:rPr>
              <w:rFonts w:ascii="Palatino Linotype" w:eastAsia="Palatino Linotype" w:hAnsi="Palatino Linotype" w:cs="Palatino Linotype"/>
              <w:b/>
            </w:rPr>
            <w:t>Recurrente:</w:t>
          </w:r>
        </w:p>
      </w:tc>
      <w:tc>
        <w:tcPr>
          <w:tcW w:w="3881" w:type="dxa"/>
        </w:tcPr>
        <w:p w14:paraId="697D5B1E" w14:textId="646D6CFE" w:rsidR="002F7F61" w:rsidRPr="00077A55" w:rsidRDefault="002F7F61" w:rsidP="00077A55">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themeColor="text1"/>
              <w:highlight w:val="green"/>
            </w:rPr>
          </w:pPr>
          <w:r w:rsidRPr="00077A55">
            <w:rPr>
              <w:rFonts w:ascii="Palatino Linotype" w:eastAsia="Palatino Linotype" w:hAnsi="Palatino Linotype" w:cs="Palatino Linotype"/>
              <w:color w:val="000000" w:themeColor="text1"/>
            </w:rPr>
            <w:t> </w:t>
          </w:r>
        </w:p>
      </w:tc>
    </w:tr>
    <w:tr w:rsidR="002F7F61" w14:paraId="540F810A" w14:textId="77777777" w:rsidTr="00884273">
      <w:trPr>
        <w:trHeight w:val="342"/>
      </w:trPr>
      <w:tc>
        <w:tcPr>
          <w:tcW w:w="2977" w:type="dxa"/>
          <w:vAlign w:val="center"/>
        </w:tcPr>
        <w:p w14:paraId="4B29AC6A" w14:textId="77777777" w:rsidR="002F7F61" w:rsidRPr="00077A55" w:rsidRDefault="002F7F61" w:rsidP="00077A55">
          <w:pPr>
            <w:jc w:val="right"/>
            <w:rPr>
              <w:rFonts w:ascii="Palatino Linotype" w:eastAsia="Palatino Linotype" w:hAnsi="Palatino Linotype" w:cs="Palatino Linotype"/>
              <w:b/>
            </w:rPr>
          </w:pPr>
          <w:r w:rsidRPr="00077A55">
            <w:rPr>
              <w:rFonts w:ascii="Palatino Linotype" w:eastAsia="Palatino Linotype" w:hAnsi="Palatino Linotype" w:cs="Palatino Linotype"/>
              <w:b/>
            </w:rPr>
            <w:t>Sujeto Obligado:</w:t>
          </w:r>
        </w:p>
      </w:tc>
      <w:tc>
        <w:tcPr>
          <w:tcW w:w="3881" w:type="dxa"/>
          <w:vAlign w:val="center"/>
        </w:tcPr>
        <w:p w14:paraId="18C837C0" w14:textId="77777777" w:rsidR="002F7F61" w:rsidRPr="00077A55" w:rsidRDefault="002F7F61" w:rsidP="00077A5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themeColor="text1"/>
              <w:highlight w:val="green"/>
            </w:rPr>
          </w:pPr>
          <w:r w:rsidRPr="00077A55">
            <w:rPr>
              <w:rFonts w:ascii="Palatino Linotype" w:eastAsia="Palatino Linotype" w:hAnsi="Palatino Linotype" w:cs="Palatino Linotype"/>
              <w:color w:val="000000" w:themeColor="text1"/>
            </w:rPr>
            <w:t>Ayuntamiento de Tepotzotlán</w:t>
          </w:r>
        </w:p>
      </w:tc>
    </w:tr>
    <w:tr w:rsidR="002F7F61" w14:paraId="450F6368" w14:textId="77777777" w:rsidTr="00884273">
      <w:trPr>
        <w:trHeight w:val="342"/>
      </w:trPr>
      <w:tc>
        <w:tcPr>
          <w:tcW w:w="2977" w:type="dxa"/>
          <w:vAlign w:val="center"/>
        </w:tcPr>
        <w:p w14:paraId="71D630A0" w14:textId="77777777" w:rsidR="002F7F61" w:rsidRPr="00077A55" w:rsidRDefault="002F7F61" w:rsidP="00077A55">
          <w:pPr>
            <w:jc w:val="right"/>
            <w:rPr>
              <w:rFonts w:ascii="Palatino Linotype" w:eastAsia="Palatino Linotype" w:hAnsi="Palatino Linotype" w:cs="Palatino Linotype"/>
              <w:b/>
            </w:rPr>
          </w:pPr>
          <w:r w:rsidRPr="00077A55">
            <w:rPr>
              <w:rFonts w:ascii="Palatino Linotype" w:eastAsia="Palatino Linotype" w:hAnsi="Palatino Linotype" w:cs="Palatino Linotype"/>
              <w:b/>
            </w:rPr>
            <w:t>Comisionada Ponente:</w:t>
          </w:r>
        </w:p>
      </w:tc>
      <w:tc>
        <w:tcPr>
          <w:tcW w:w="3881" w:type="dxa"/>
          <w:vAlign w:val="center"/>
        </w:tcPr>
        <w:p w14:paraId="41145BB7" w14:textId="77777777" w:rsidR="002F7F61" w:rsidRPr="00077A55" w:rsidRDefault="002F7F61" w:rsidP="00077A5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077A55">
            <w:rPr>
              <w:rFonts w:ascii="Palatino Linotype" w:eastAsia="Palatino Linotype" w:hAnsi="Palatino Linotype" w:cs="Palatino Linotype"/>
              <w:color w:val="000000" w:themeColor="text1"/>
            </w:rPr>
            <w:t>María del Rosario Mejía Ayala</w:t>
          </w:r>
        </w:p>
      </w:tc>
    </w:tr>
  </w:tbl>
  <w:p w14:paraId="7A656425" w14:textId="77777777" w:rsidR="002F7F61" w:rsidRDefault="00B118C0">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18584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619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12C0C"/>
    <w:multiLevelType w:val="multilevel"/>
    <w:tmpl w:val="E3D8820E"/>
    <w:lvl w:ilvl="0">
      <w:start w:val="1"/>
      <w:numFmt w:val="lowerLetter"/>
      <w:lvlText w:val="%1)"/>
      <w:lvlJc w:val="left"/>
      <w:pPr>
        <w:ind w:left="178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1" w15:restartNumberingAfterBreak="0">
    <w:nsid w:val="06F521DE"/>
    <w:multiLevelType w:val="hybridMultilevel"/>
    <w:tmpl w:val="C6CAB260"/>
    <w:lvl w:ilvl="0" w:tplc="31D8848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15:restartNumberingAfterBreak="0">
    <w:nsid w:val="11620C5E"/>
    <w:multiLevelType w:val="multilevel"/>
    <w:tmpl w:val="56209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D874E9"/>
    <w:multiLevelType w:val="multilevel"/>
    <w:tmpl w:val="9BB62E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00671B"/>
    <w:multiLevelType w:val="multilevel"/>
    <w:tmpl w:val="652A9CD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5"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43428C"/>
    <w:multiLevelType w:val="multilevel"/>
    <w:tmpl w:val="869A6D0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27023DD0"/>
    <w:multiLevelType w:val="multilevel"/>
    <w:tmpl w:val="048A73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1D1611"/>
    <w:multiLevelType w:val="multilevel"/>
    <w:tmpl w:val="943A21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AA6902"/>
    <w:multiLevelType w:val="multilevel"/>
    <w:tmpl w:val="67F82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DF16C9"/>
    <w:multiLevelType w:val="hybridMultilevel"/>
    <w:tmpl w:val="B34865A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1" w15:restartNumberingAfterBreak="0">
    <w:nsid w:val="560839D1"/>
    <w:multiLevelType w:val="hybridMultilevel"/>
    <w:tmpl w:val="1E449844"/>
    <w:lvl w:ilvl="0" w:tplc="C302A056">
      <w:start w:val="1"/>
      <w:numFmt w:val="decimal"/>
      <w:lvlText w:val="%1."/>
      <w:lvlJc w:val="left"/>
      <w:pPr>
        <w:ind w:left="644"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75335CF"/>
    <w:multiLevelType w:val="multilevel"/>
    <w:tmpl w:val="20BA0158"/>
    <w:lvl w:ilvl="0">
      <w:start w:val="1"/>
      <w:numFmt w:val="upperRoman"/>
      <w:pStyle w:val="Listaconvietas2"/>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4" w15:restartNumberingAfterBreak="0">
    <w:nsid w:val="69984A87"/>
    <w:multiLevelType w:val="multilevel"/>
    <w:tmpl w:val="A6967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7A76B6"/>
    <w:multiLevelType w:val="multilevel"/>
    <w:tmpl w:val="DF320D4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4"/>
  </w:num>
  <w:num w:numId="4">
    <w:abstractNumId w:val="15"/>
  </w:num>
  <w:num w:numId="5">
    <w:abstractNumId w:val="2"/>
  </w:num>
  <w:num w:numId="6">
    <w:abstractNumId w:val="9"/>
  </w:num>
  <w:num w:numId="7">
    <w:abstractNumId w:val="6"/>
  </w:num>
  <w:num w:numId="8">
    <w:abstractNumId w:val="8"/>
  </w:num>
  <w:num w:numId="9">
    <w:abstractNumId w:val="0"/>
  </w:num>
  <w:num w:numId="10">
    <w:abstractNumId w:val="14"/>
  </w:num>
  <w:num w:numId="11">
    <w:abstractNumId w:val="13"/>
  </w:num>
  <w:num w:numId="12">
    <w:abstractNumId w:val="11"/>
  </w:num>
  <w:num w:numId="13">
    <w:abstractNumId w:val="10"/>
  </w:num>
  <w:num w:numId="14">
    <w:abstractNumId w:val="1"/>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63B"/>
    <w:rsid w:val="0001114A"/>
    <w:rsid w:val="00077A55"/>
    <w:rsid w:val="000821EB"/>
    <w:rsid w:val="000D4AE4"/>
    <w:rsid w:val="001228D8"/>
    <w:rsid w:val="001540C0"/>
    <w:rsid w:val="0019146E"/>
    <w:rsid w:val="001B2CAB"/>
    <w:rsid w:val="00260A19"/>
    <w:rsid w:val="002F7F61"/>
    <w:rsid w:val="00350EB4"/>
    <w:rsid w:val="00466CDA"/>
    <w:rsid w:val="00480BA6"/>
    <w:rsid w:val="004F06AD"/>
    <w:rsid w:val="005B7BE2"/>
    <w:rsid w:val="005E29FD"/>
    <w:rsid w:val="006752C5"/>
    <w:rsid w:val="00675EED"/>
    <w:rsid w:val="00740068"/>
    <w:rsid w:val="007E3F88"/>
    <w:rsid w:val="00822184"/>
    <w:rsid w:val="00837F64"/>
    <w:rsid w:val="00854E5D"/>
    <w:rsid w:val="00881170"/>
    <w:rsid w:val="00884273"/>
    <w:rsid w:val="00954BE4"/>
    <w:rsid w:val="009E6DD0"/>
    <w:rsid w:val="00A27755"/>
    <w:rsid w:val="00A85AEC"/>
    <w:rsid w:val="00AD363B"/>
    <w:rsid w:val="00B118C0"/>
    <w:rsid w:val="00B87D0E"/>
    <w:rsid w:val="00BD0473"/>
    <w:rsid w:val="00BE2E89"/>
    <w:rsid w:val="00C21424"/>
    <w:rsid w:val="00C23A7B"/>
    <w:rsid w:val="00C71066"/>
    <w:rsid w:val="00C710E3"/>
    <w:rsid w:val="00C920DA"/>
    <w:rsid w:val="00CD420D"/>
    <w:rsid w:val="00CE263D"/>
    <w:rsid w:val="00E805BA"/>
    <w:rsid w:val="00EA2A25"/>
    <w:rsid w:val="00ED6708"/>
    <w:rsid w:val="00F106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9D9E0A"/>
  <w15:chartTrackingRefBased/>
  <w15:docId w15:val="{7EE25677-8EDE-4FA7-A0AB-6F595ED41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363B"/>
    <w:pPr>
      <w:spacing w:after="0" w:line="240" w:lineRule="auto"/>
    </w:pPr>
    <w:rPr>
      <w:rFonts w:ascii="Calibri" w:eastAsia="Calibri" w:hAnsi="Calibri" w:cs="Calibri"/>
      <w:sz w:val="24"/>
      <w:szCs w:val="24"/>
      <w:lang w:val="es-ES_tradnl" w:eastAsia="es-MX"/>
    </w:rPr>
  </w:style>
  <w:style w:type="paragraph" w:styleId="Ttulo1">
    <w:name w:val="heading 1"/>
    <w:basedOn w:val="Normal"/>
    <w:next w:val="Normal"/>
    <w:link w:val="Ttulo1Car"/>
    <w:rsid w:val="00AD363B"/>
    <w:pPr>
      <w:keepNext/>
      <w:keepLines/>
      <w:spacing w:before="240"/>
      <w:outlineLvl w:val="0"/>
    </w:pPr>
    <w:rPr>
      <w:color w:val="2E75B5"/>
      <w:sz w:val="32"/>
      <w:szCs w:val="32"/>
    </w:rPr>
  </w:style>
  <w:style w:type="paragraph" w:styleId="Ttulo2">
    <w:name w:val="heading 2"/>
    <w:basedOn w:val="Normal"/>
    <w:next w:val="Normal"/>
    <w:link w:val="Ttulo2Car"/>
    <w:rsid w:val="00AD363B"/>
    <w:pPr>
      <w:keepNext/>
      <w:keepLines/>
      <w:spacing w:before="40"/>
      <w:outlineLvl w:val="1"/>
    </w:pPr>
    <w:rPr>
      <w:color w:val="2E75B5"/>
      <w:sz w:val="26"/>
      <w:szCs w:val="26"/>
    </w:rPr>
  </w:style>
  <w:style w:type="paragraph" w:styleId="Ttulo3">
    <w:name w:val="heading 3"/>
    <w:basedOn w:val="Normal"/>
    <w:next w:val="Normal"/>
    <w:link w:val="Ttulo3Car"/>
    <w:rsid w:val="00AD363B"/>
    <w:pPr>
      <w:keepNext/>
      <w:keepLines/>
      <w:spacing w:before="280" w:after="80"/>
      <w:outlineLvl w:val="2"/>
    </w:pPr>
    <w:rPr>
      <w:b/>
      <w:sz w:val="28"/>
      <w:szCs w:val="28"/>
    </w:rPr>
  </w:style>
  <w:style w:type="paragraph" w:styleId="Ttulo4">
    <w:name w:val="heading 4"/>
    <w:basedOn w:val="Normal"/>
    <w:next w:val="Normal"/>
    <w:link w:val="Ttulo4Car"/>
    <w:rsid w:val="00AD363B"/>
    <w:pPr>
      <w:keepNext/>
      <w:keepLines/>
      <w:spacing w:before="240" w:after="40"/>
      <w:outlineLvl w:val="3"/>
    </w:pPr>
    <w:rPr>
      <w:b/>
    </w:rPr>
  </w:style>
  <w:style w:type="paragraph" w:styleId="Ttulo5">
    <w:name w:val="heading 5"/>
    <w:basedOn w:val="Normal"/>
    <w:next w:val="Normal"/>
    <w:link w:val="Ttulo5Car"/>
    <w:rsid w:val="00AD363B"/>
    <w:pPr>
      <w:keepNext/>
      <w:keepLines/>
      <w:spacing w:before="220" w:after="40"/>
      <w:outlineLvl w:val="4"/>
    </w:pPr>
    <w:rPr>
      <w:b/>
      <w:sz w:val="22"/>
      <w:szCs w:val="22"/>
    </w:rPr>
  </w:style>
  <w:style w:type="paragraph" w:styleId="Ttulo6">
    <w:name w:val="heading 6"/>
    <w:basedOn w:val="Normal"/>
    <w:next w:val="Normal"/>
    <w:link w:val="Ttulo6Car"/>
    <w:rsid w:val="00AD363B"/>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D363B"/>
    <w:rPr>
      <w:rFonts w:ascii="Calibri" w:eastAsia="Calibri" w:hAnsi="Calibri" w:cs="Calibri"/>
      <w:color w:val="2E75B5"/>
      <w:sz w:val="32"/>
      <w:szCs w:val="32"/>
      <w:lang w:val="es-ES_tradnl" w:eastAsia="es-MX"/>
    </w:rPr>
  </w:style>
  <w:style w:type="character" w:customStyle="1" w:styleId="Ttulo2Car">
    <w:name w:val="Título 2 Car"/>
    <w:basedOn w:val="Fuentedeprrafopredeter"/>
    <w:link w:val="Ttulo2"/>
    <w:rsid w:val="00AD363B"/>
    <w:rPr>
      <w:rFonts w:ascii="Calibri" w:eastAsia="Calibri" w:hAnsi="Calibri" w:cs="Calibri"/>
      <w:color w:val="2E75B5"/>
      <w:sz w:val="26"/>
      <w:szCs w:val="26"/>
      <w:lang w:val="es-ES_tradnl" w:eastAsia="es-MX"/>
    </w:rPr>
  </w:style>
  <w:style w:type="character" w:customStyle="1" w:styleId="Ttulo3Car">
    <w:name w:val="Título 3 Car"/>
    <w:basedOn w:val="Fuentedeprrafopredeter"/>
    <w:link w:val="Ttulo3"/>
    <w:rsid w:val="00AD363B"/>
    <w:rPr>
      <w:rFonts w:ascii="Calibri" w:eastAsia="Calibri" w:hAnsi="Calibri" w:cs="Calibri"/>
      <w:b/>
      <w:sz w:val="28"/>
      <w:szCs w:val="28"/>
      <w:lang w:val="es-ES_tradnl" w:eastAsia="es-MX"/>
    </w:rPr>
  </w:style>
  <w:style w:type="character" w:customStyle="1" w:styleId="Ttulo4Car">
    <w:name w:val="Título 4 Car"/>
    <w:basedOn w:val="Fuentedeprrafopredeter"/>
    <w:link w:val="Ttulo4"/>
    <w:rsid w:val="00AD363B"/>
    <w:rPr>
      <w:rFonts w:ascii="Calibri" w:eastAsia="Calibri" w:hAnsi="Calibri" w:cs="Calibri"/>
      <w:b/>
      <w:sz w:val="24"/>
      <w:szCs w:val="24"/>
      <w:lang w:val="es-ES_tradnl" w:eastAsia="es-MX"/>
    </w:rPr>
  </w:style>
  <w:style w:type="character" w:customStyle="1" w:styleId="Ttulo5Car">
    <w:name w:val="Título 5 Car"/>
    <w:basedOn w:val="Fuentedeprrafopredeter"/>
    <w:link w:val="Ttulo5"/>
    <w:rsid w:val="00AD363B"/>
    <w:rPr>
      <w:rFonts w:ascii="Calibri" w:eastAsia="Calibri" w:hAnsi="Calibri" w:cs="Calibri"/>
      <w:b/>
      <w:lang w:val="es-ES_tradnl" w:eastAsia="es-MX"/>
    </w:rPr>
  </w:style>
  <w:style w:type="character" w:customStyle="1" w:styleId="Ttulo6Car">
    <w:name w:val="Título 6 Car"/>
    <w:basedOn w:val="Fuentedeprrafopredeter"/>
    <w:link w:val="Ttulo6"/>
    <w:rsid w:val="00AD363B"/>
    <w:rPr>
      <w:rFonts w:ascii="Calibri" w:eastAsia="Calibri" w:hAnsi="Calibri" w:cs="Calibri"/>
      <w:b/>
      <w:sz w:val="20"/>
      <w:szCs w:val="20"/>
      <w:lang w:val="es-ES_tradnl" w:eastAsia="es-MX"/>
    </w:rPr>
  </w:style>
  <w:style w:type="paragraph" w:styleId="Puesto">
    <w:name w:val="Title"/>
    <w:basedOn w:val="Normal"/>
    <w:next w:val="Normal"/>
    <w:link w:val="PuestoCar"/>
    <w:rsid w:val="00AD363B"/>
    <w:pPr>
      <w:keepNext/>
      <w:keepLines/>
      <w:spacing w:before="480" w:after="120"/>
    </w:pPr>
    <w:rPr>
      <w:b/>
      <w:sz w:val="72"/>
      <w:szCs w:val="72"/>
    </w:rPr>
  </w:style>
  <w:style w:type="character" w:customStyle="1" w:styleId="PuestoCar">
    <w:name w:val="Puesto Car"/>
    <w:basedOn w:val="Fuentedeprrafopredeter"/>
    <w:link w:val="Puesto"/>
    <w:rsid w:val="00AD363B"/>
    <w:rPr>
      <w:rFonts w:ascii="Calibri" w:eastAsia="Calibri" w:hAnsi="Calibri" w:cs="Calibri"/>
      <w:b/>
      <w:sz w:val="72"/>
      <w:szCs w:val="72"/>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D36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D363B"/>
    <w:rPr>
      <w:rFonts w:ascii="Calibri" w:eastAsia="Calibri" w:hAnsi="Calibri" w:cs="Calibri"/>
      <w:sz w:val="24"/>
      <w:szCs w:val="24"/>
      <w:lang w:val="es-ES_tradnl" w:eastAsia="es-MX"/>
    </w:rPr>
  </w:style>
  <w:style w:type="paragraph" w:styleId="Listaconvietas2">
    <w:name w:val="List Bullet 2"/>
    <w:basedOn w:val="Normal"/>
    <w:uiPriority w:val="99"/>
    <w:unhideWhenUsed/>
    <w:qFormat/>
    <w:rsid w:val="00AD363B"/>
    <w:pPr>
      <w:numPr>
        <w:numId w:val="11"/>
      </w:numPr>
      <w:contextualSpacing/>
    </w:pPr>
  </w:style>
  <w:style w:type="paragraph" w:styleId="Piedepgina">
    <w:name w:val="footer"/>
    <w:basedOn w:val="Normal"/>
    <w:link w:val="PiedepginaCar"/>
    <w:uiPriority w:val="99"/>
    <w:unhideWhenUsed/>
    <w:rsid w:val="00AD363B"/>
    <w:pPr>
      <w:tabs>
        <w:tab w:val="center" w:pos="4419"/>
        <w:tab w:val="right" w:pos="8838"/>
      </w:tabs>
    </w:pPr>
  </w:style>
  <w:style w:type="character" w:customStyle="1" w:styleId="PiedepginaCar">
    <w:name w:val="Pie de página Car"/>
    <w:basedOn w:val="Fuentedeprrafopredeter"/>
    <w:link w:val="Piedepgina"/>
    <w:uiPriority w:val="99"/>
    <w:rsid w:val="00AD363B"/>
    <w:rPr>
      <w:rFonts w:ascii="Calibri" w:eastAsia="Calibri" w:hAnsi="Calibri" w:cs="Calibri"/>
      <w:sz w:val="24"/>
      <w:szCs w:val="24"/>
      <w:lang w:val="es-ES_tradnl" w:eastAsia="es-MX"/>
    </w:rPr>
  </w:style>
  <w:style w:type="paragraph" w:styleId="Subttulo">
    <w:name w:val="Subtitle"/>
    <w:basedOn w:val="Normal"/>
    <w:next w:val="Normal"/>
    <w:link w:val="SubttuloCar"/>
    <w:rsid w:val="00AD363B"/>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AD363B"/>
    <w:rPr>
      <w:rFonts w:ascii="Georgia" w:eastAsia="Georgia" w:hAnsi="Georgia" w:cs="Georgia"/>
      <w:i/>
      <w:color w:val="666666"/>
      <w:sz w:val="48"/>
      <w:szCs w:val="48"/>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s.curp.gob.mx/CurpSP/html/informacionecurpPS.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8E112-22B5-466B-A12D-160393643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8828</Words>
  <Characters>48555</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INFOEM403</dc:creator>
  <cp:keywords/>
  <dc:description/>
  <cp:lastModifiedBy>Cuenta Microsoft</cp:lastModifiedBy>
  <cp:revision>7</cp:revision>
  <dcterms:created xsi:type="dcterms:W3CDTF">2025-11-03T19:29:00Z</dcterms:created>
  <dcterms:modified xsi:type="dcterms:W3CDTF">2025-12-17T18:17:00Z</dcterms:modified>
</cp:coreProperties>
</file>