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E69" w:rsidRPr="00EB748F" w:rsidRDefault="008D3E69">
      <w:pPr>
        <w:widowControl w:val="0"/>
        <w:pBdr>
          <w:top w:val="nil"/>
          <w:left w:val="nil"/>
          <w:bottom w:val="nil"/>
          <w:right w:val="nil"/>
          <w:between w:val="nil"/>
        </w:pBdr>
        <w:spacing w:line="276" w:lineRule="auto"/>
        <w:rPr>
          <w:rFonts w:ascii="Palatino Linotype" w:hAnsi="Palatino Linotype"/>
        </w:rPr>
      </w:pPr>
    </w:p>
    <w:p w:rsidR="008D3E69" w:rsidRPr="002202CA" w:rsidRDefault="00EB748F">
      <w:pPr>
        <w:spacing w:line="360" w:lineRule="auto"/>
        <w:ind w:right="-1132"/>
        <w:jc w:val="both"/>
        <w:rPr>
          <w:rFonts w:ascii="Palatino Linotype" w:eastAsia="Palatino Linotype" w:hAnsi="Palatino Linotype" w:cs="Palatino Linotype"/>
        </w:rPr>
      </w:pPr>
      <w:r w:rsidRPr="002202CA">
        <w:rPr>
          <w:rFonts w:ascii="Palatino Linotype" w:eastAsia="Palatino Linotype" w:hAnsi="Palatino Linotype" w:cs="Palatino Linotype"/>
        </w:rPr>
        <w:t>Resolució</w:t>
      </w:r>
      <w:bookmarkStart w:id="0" w:name="_GoBack"/>
      <w:bookmarkEnd w:id="0"/>
      <w:r w:rsidRPr="002202CA">
        <w:rPr>
          <w:rFonts w:ascii="Palatino Linotype" w:eastAsia="Palatino Linotype" w:hAnsi="Palatino Linotype" w:cs="Palatino Linotype"/>
        </w:rPr>
        <w:t xml:space="preserve">n del Pleno del Instituto de Transparencia, Acceso a la Información Pública y Protección de Datos Personales del Estado de México y Municipios, con domicilio en Metepec, Estado de México; de fecha doce (12) de febrero de dos mil veinticinco. </w:t>
      </w:r>
    </w:p>
    <w:p w:rsidR="008D3E69" w:rsidRPr="002202CA" w:rsidRDefault="008D3E69">
      <w:pPr>
        <w:spacing w:line="360" w:lineRule="auto"/>
        <w:ind w:right="-1132"/>
        <w:jc w:val="both"/>
        <w:rPr>
          <w:rFonts w:ascii="Palatino Linotype" w:eastAsia="Palatino Linotype" w:hAnsi="Palatino Linotype" w:cs="Palatino Linotype"/>
        </w:rPr>
      </w:pPr>
    </w:p>
    <w:p w:rsidR="008D3E69" w:rsidRPr="002202CA" w:rsidRDefault="00EB748F">
      <w:pPr>
        <w:spacing w:line="360" w:lineRule="auto"/>
        <w:ind w:right="-1132"/>
        <w:jc w:val="both"/>
        <w:rPr>
          <w:rFonts w:ascii="Palatino Linotype" w:eastAsia="Palatino Linotype" w:hAnsi="Palatino Linotype" w:cs="Palatino Linotype"/>
        </w:rPr>
      </w:pPr>
      <w:r w:rsidRPr="002202CA">
        <w:rPr>
          <w:rFonts w:ascii="Palatino Linotype" w:eastAsia="Palatino Linotype" w:hAnsi="Palatino Linotype" w:cs="Palatino Linotype"/>
          <w:b/>
        </w:rPr>
        <w:t>VISTO</w:t>
      </w:r>
      <w:r w:rsidRPr="002202CA">
        <w:rPr>
          <w:rFonts w:ascii="Palatino Linotype" w:eastAsia="Palatino Linotype" w:hAnsi="Palatino Linotype" w:cs="Palatino Linotype"/>
        </w:rPr>
        <w:t xml:space="preserve"> el expediente electrónico formado con motivo del recurso de revisión </w:t>
      </w:r>
      <w:r w:rsidRPr="002202CA">
        <w:rPr>
          <w:rFonts w:ascii="Palatino Linotype" w:eastAsia="Palatino Linotype" w:hAnsi="Palatino Linotype" w:cs="Palatino Linotype"/>
          <w:b/>
        </w:rPr>
        <w:t xml:space="preserve"> 00013/INFOEM/IP/RR/2025, </w:t>
      </w:r>
      <w:r w:rsidRPr="002202CA">
        <w:rPr>
          <w:rFonts w:ascii="Palatino Linotype" w:eastAsia="Palatino Linotype" w:hAnsi="Palatino Linotype" w:cs="Palatino Linotype"/>
        </w:rPr>
        <w:t>promovido por</w:t>
      </w:r>
      <w:r w:rsidRPr="002202CA">
        <w:rPr>
          <w:rFonts w:ascii="Palatino Linotype" w:eastAsia="Palatino Linotype" w:hAnsi="Palatino Linotype" w:cs="Palatino Linotype"/>
          <w:b/>
        </w:rPr>
        <w:t xml:space="preserve"> </w:t>
      </w:r>
      <w:r w:rsidR="00C947E7">
        <w:rPr>
          <w:rFonts w:ascii="Palatino Linotype" w:eastAsia="Palatino Linotype" w:hAnsi="Palatino Linotype" w:cs="Palatino Linotype"/>
          <w:b/>
        </w:rPr>
        <w:t xml:space="preserve">XXXX XXXXX </w:t>
      </w:r>
      <w:proofErr w:type="spellStart"/>
      <w:r w:rsidR="00C947E7">
        <w:rPr>
          <w:rFonts w:ascii="Palatino Linotype" w:eastAsia="Palatino Linotype" w:hAnsi="Palatino Linotype" w:cs="Palatino Linotype"/>
          <w:b/>
        </w:rPr>
        <w:t>XXXXX</w:t>
      </w:r>
      <w:proofErr w:type="spellEnd"/>
      <w:r w:rsidRPr="002202CA">
        <w:rPr>
          <w:rFonts w:ascii="Palatino Linotype" w:eastAsia="Palatino Linotype" w:hAnsi="Palatino Linotype" w:cs="Palatino Linotype"/>
          <w:b/>
        </w:rPr>
        <w:t>,</w:t>
      </w:r>
      <w:r w:rsidRPr="002202CA">
        <w:rPr>
          <w:rFonts w:ascii="Palatino Linotype" w:eastAsia="Palatino Linotype" w:hAnsi="Palatino Linotype" w:cs="Palatino Linotype"/>
        </w:rPr>
        <w:t xml:space="preserve"> a quien en lo sucesivo se identificará como </w:t>
      </w:r>
      <w:r w:rsidRPr="002202CA">
        <w:rPr>
          <w:rFonts w:ascii="Palatino Linotype" w:eastAsia="Palatino Linotype" w:hAnsi="Palatino Linotype" w:cs="Palatino Linotype"/>
          <w:b/>
        </w:rPr>
        <w:t>EL RECURRENTE</w:t>
      </w:r>
      <w:r w:rsidRPr="002202CA">
        <w:rPr>
          <w:rFonts w:ascii="Palatino Linotype" w:eastAsia="Palatino Linotype" w:hAnsi="Palatino Linotype" w:cs="Palatino Linotype"/>
        </w:rPr>
        <w:t xml:space="preserve">, en contra de la respuesta del </w:t>
      </w:r>
      <w:r w:rsidRPr="002202CA">
        <w:rPr>
          <w:rFonts w:ascii="Palatino Linotype" w:eastAsia="Palatino Linotype" w:hAnsi="Palatino Linotype" w:cs="Palatino Linotype"/>
          <w:b/>
        </w:rPr>
        <w:t xml:space="preserve">Ayuntamiento de Nextlalpan, </w:t>
      </w:r>
      <w:r w:rsidRPr="002202CA">
        <w:rPr>
          <w:rFonts w:ascii="Palatino Linotype" w:eastAsia="Palatino Linotype" w:hAnsi="Palatino Linotype" w:cs="Palatino Linotype"/>
        </w:rPr>
        <w:t>en adelante el</w:t>
      </w:r>
      <w:r w:rsidRPr="002202CA">
        <w:rPr>
          <w:rFonts w:ascii="Palatino Linotype" w:eastAsia="Palatino Linotype" w:hAnsi="Palatino Linotype" w:cs="Palatino Linotype"/>
          <w:b/>
        </w:rPr>
        <w:t xml:space="preserve"> SUJETO OBLIGADO</w:t>
      </w:r>
      <w:r w:rsidRPr="002202CA">
        <w:rPr>
          <w:rFonts w:ascii="Palatino Linotype" w:eastAsia="Palatino Linotype" w:hAnsi="Palatino Linotype" w:cs="Palatino Linotype"/>
        </w:rPr>
        <w:t>, por lo que se procede a dictar la presente resolución, con base en los siguientes:</w:t>
      </w:r>
    </w:p>
    <w:p w:rsidR="008D3E69" w:rsidRPr="002202CA" w:rsidRDefault="008D3E69">
      <w:pPr>
        <w:spacing w:line="360" w:lineRule="auto"/>
        <w:ind w:right="-1132"/>
        <w:jc w:val="both"/>
        <w:rPr>
          <w:rFonts w:ascii="Palatino Linotype" w:eastAsia="Palatino Linotype" w:hAnsi="Palatino Linotype" w:cs="Palatino Linotype"/>
          <w:b/>
        </w:rPr>
      </w:pPr>
    </w:p>
    <w:p w:rsidR="008D3E69" w:rsidRPr="002202CA" w:rsidRDefault="00EB748F">
      <w:pPr>
        <w:keepNext/>
        <w:keepLines/>
        <w:spacing w:line="360" w:lineRule="auto"/>
        <w:ind w:right="-1132"/>
        <w:jc w:val="center"/>
        <w:rPr>
          <w:rFonts w:ascii="Palatino Linotype" w:eastAsia="Palatino Linotype" w:hAnsi="Palatino Linotype" w:cs="Palatino Linotype"/>
          <w:b/>
        </w:rPr>
      </w:pPr>
      <w:r w:rsidRPr="002202CA">
        <w:rPr>
          <w:rFonts w:ascii="Palatino Linotype" w:eastAsia="Palatino Linotype" w:hAnsi="Palatino Linotype" w:cs="Palatino Linotype"/>
          <w:b/>
        </w:rPr>
        <w:t>A N T E C E D E N T E S</w:t>
      </w:r>
    </w:p>
    <w:p w:rsidR="008D3E69" w:rsidRPr="002202CA" w:rsidRDefault="008D3E69">
      <w:pPr>
        <w:spacing w:line="360" w:lineRule="auto"/>
        <w:ind w:right="-1132"/>
        <w:rPr>
          <w:rFonts w:ascii="Palatino Linotype" w:eastAsia="Palatino Linotype" w:hAnsi="Palatino Linotype" w:cs="Palatino Linotype"/>
        </w:rPr>
      </w:pPr>
    </w:p>
    <w:p w:rsidR="008D3E69" w:rsidRPr="002202CA" w:rsidRDefault="00EB748F">
      <w:pPr>
        <w:numPr>
          <w:ilvl w:val="0"/>
          <w:numId w:val="2"/>
        </w:numPr>
        <w:pBdr>
          <w:top w:val="nil"/>
          <w:left w:val="nil"/>
          <w:bottom w:val="nil"/>
          <w:right w:val="nil"/>
          <w:between w:val="nil"/>
        </w:pBdr>
        <w:spacing w:line="360" w:lineRule="auto"/>
        <w:ind w:left="0" w:right="-1132" w:firstLine="0"/>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color w:val="000000"/>
        </w:rPr>
        <w:t xml:space="preserve">El dos de diciembre de dos mil veinticuatro, </w:t>
      </w:r>
      <w:r w:rsidRPr="002202CA">
        <w:rPr>
          <w:rFonts w:ascii="Palatino Linotype" w:eastAsia="Palatino Linotype" w:hAnsi="Palatino Linotype" w:cs="Palatino Linotype"/>
          <w:b/>
          <w:color w:val="000000"/>
        </w:rPr>
        <w:t>EL RECURRENTE,</w:t>
      </w:r>
      <w:r w:rsidRPr="002202CA">
        <w:rPr>
          <w:rFonts w:ascii="Palatino Linotype" w:eastAsia="Palatino Linotype" w:hAnsi="Palatino Linotype" w:cs="Palatino Linotype"/>
          <w:color w:val="000000"/>
        </w:rPr>
        <w:t xml:space="preserve"> ante el </w:t>
      </w:r>
      <w:r w:rsidRPr="002202CA">
        <w:rPr>
          <w:rFonts w:ascii="Palatino Linotype" w:eastAsia="Palatino Linotype" w:hAnsi="Palatino Linotype" w:cs="Palatino Linotype"/>
          <w:b/>
          <w:color w:val="000000"/>
        </w:rPr>
        <w:t>SUJETO OBLIGADO</w:t>
      </w:r>
      <w:r w:rsidRPr="002202CA">
        <w:rPr>
          <w:rFonts w:ascii="Palatino Linotype" w:eastAsia="Palatino Linotype" w:hAnsi="Palatino Linotype" w:cs="Palatino Linotype"/>
          <w:color w:val="000000"/>
        </w:rPr>
        <w:t xml:space="preserve"> a través del Sistema de Acceso a la Información Mexiquense (SAIMEX), presentó una solicitud de información registrada con el número </w:t>
      </w:r>
      <w:r w:rsidRPr="002202CA">
        <w:rPr>
          <w:rFonts w:ascii="Palatino Linotype" w:eastAsia="Palatino Linotype" w:hAnsi="Palatino Linotype" w:cs="Palatino Linotype"/>
          <w:b/>
          <w:color w:val="000000"/>
        </w:rPr>
        <w:t xml:space="preserve">00094/NEXTLAL/IP/2024, </w:t>
      </w:r>
      <w:r w:rsidRPr="002202CA">
        <w:rPr>
          <w:rFonts w:ascii="Palatino Linotype" w:eastAsia="Palatino Linotype" w:hAnsi="Palatino Linotype" w:cs="Palatino Linotype"/>
        </w:rPr>
        <w:t>en la que</w:t>
      </w:r>
      <w:r w:rsidRPr="002202CA">
        <w:rPr>
          <w:rFonts w:ascii="Palatino Linotype" w:eastAsia="Palatino Linotype" w:hAnsi="Palatino Linotype" w:cs="Palatino Linotype"/>
          <w:color w:val="000000"/>
        </w:rPr>
        <w:t xml:space="preserve"> se solicitó lo siguiente:</w:t>
      </w:r>
    </w:p>
    <w:p w:rsidR="008D3E69" w:rsidRPr="002202CA" w:rsidRDefault="008D3E69">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8D3E69" w:rsidRPr="002202CA" w:rsidRDefault="00EB748F" w:rsidP="002F0DFC">
      <w:pPr>
        <w:pBdr>
          <w:top w:val="nil"/>
          <w:left w:val="nil"/>
          <w:bottom w:val="nil"/>
          <w:right w:val="nil"/>
          <w:between w:val="nil"/>
        </w:pBdr>
        <w:spacing w:line="360" w:lineRule="auto"/>
        <w:ind w:left="720" w:right="709"/>
        <w:jc w:val="both"/>
        <w:rPr>
          <w:rFonts w:ascii="Palatino Linotype" w:eastAsia="Palatino Linotype" w:hAnsi="Palatino Linotype" w:cs="Palatino Linotype"/>
          <w:i/>
          <w:color w:val="000000"/>
        </w:rPr>
      </w:pPr>
      <w:r w:rsidRPr="002202CA">
        <w:rPr>
          <w:rFonts w:ascii="Palatino Linotype" w:eastAsia="Palatino Linotype" w:hAnsi="Palatino Linotype" w:cs="Palatino Linotype"/>
          <w:i/>
          <w:color w:val="000000"/>
        </w:rPr>
        <w:t xml:space="preserve">“.Cuántos y cuáles fueron los permisos otorgados y a qué dependencia se </w:t>
      </w:r>
      <w:proofErr w:type="spellStart"/>
      <w:r w:rsidRPr="002202CA">
        <w:rPr>
          <w:rFonts w:ascii="Palatino Linotype" w:eastAsia="Palatino Linotype" w:hAnsi="Palatino Linotype" w:cs="Palatino Linotype"/>
          <w:i/>
          <w:color w:val="000000"/>
        </w:rPr>
        <w:t>otorgo</w:t>
      </w:r>
      <w:proofErr w:type="spellEnd"/>
      <w:r w:rsidRPr="002202CA">
        <w:rPr>
          <w:rFonts w:ascii="Palatino Linotype" w:eastAsia="Palatino Linotype" w:hAnsi="Palatino Linotype" w:cs="Palatino Linotype"/>
          <w:i/>
          <w:color w:val="000000"/>
        </w:rPr>
        <w:t xml:space="preserve">; para la realización de la obra y/o proyecto de reparación y/o reconstrucción del puente conocido como “Puente de Santiago”, que atraviesa el Gran Canal de Desagüe en el municipio de Nextlalpan, Estado de México.” (Sic) </w:t>
      </w:r>
    </w:p>
    <w:p w:rsidR="008D3E69" w:rsidRPr="002202CA" w:rsidRDefault="00EB748F" w:rsidP="002F0DFC">
      <w:pPr>
        <w:pStyle w:val="Prrafodelista"/>
        <w:numPr>
          <w:ilvl w:val="0"/>
          <w:numId w:val="11"/>
        </w:num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color w:val="000000"/>
        </w:rPr>
        <w:t>Se señaló como modalidad de entrega a través de SAIMEX.</w:t>
      </w:r>
    </w:p>
    <w:p w:rsidR="008D3E69" w:rsidRPr="002202CA" w:rsidRDefault="00EB748F">
      <w:pPr>
        <w:numPr>
          <w:ilvl w:val="0"/>
          <w:numId w:val="2"/>
        </w:numPr>
        <w:pBdr>
          <w:top w:val="nil"/>
          <w:left w:val="nil"/>
          <w:bottom w:val="nil"/>
          <w:right w:val="nil"/>
          <w:between w:val="nil"/>
        </w:pBdr>
        <w:spacing w:line="360" w:lineRule="auto"/>
        <w:ind w:left="0" w:right="-1132" w:firstLine="0"/>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color w:val="000000"/>
        </w:rPr>
        <w:lastRenderedPageBreak/>
        <w:t>El diecinueve de diciembre  de dos mil veinticuatro, el Sujeto Obligado dio respuesta a la solicitud de información a través del archivo electrónico siguiente.</w:t>
      </w:r>
    </w:p>
    <w:p w:rsidR="008D3E69" w:rsidRPr="002202CA" w:rsidRDefault="008D3E69">
      <w:pPr>
        <w:pBdr>
          <w:top w:val="nil"/>
          <w:left w:val="nil"/>
          <w:bottom w:val="nil"/>
          <w:right w:val="nil"/>
          <w:between w:val="nil"/>
        </w:pBdr>
        <w:spacing w:line="360" w:lineRule="auto"/>
        <w:ind w:left="720" w:right="-1132"/>
        <w:jc w:val="both"/>
        <w:rPr>
          <w:rFonts w:ascii="Palatino Linotype" w:eastAsia="Palatino Linotype" w:hAnsi="Palatino Linotype" w:cs="Palatino Linotype"/>
        </w:rPr>
      </w:pPr>
    </w:p>
    <w:p w:rsidR="008D3E69" w:rsidRPr="002202CA" w:rsidRDefault="00EB748F" w:rsidP="002F0DFC">
      <w:pPr>
        <w:numPr>
          <w:ilvl w:val="0"/>
          <w:numId w:val="3"/>
        </w:num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color w:val="000000"/>
        </w:rPr>
        <w:t>R</w:t>
      </w:r>
      <w:r w:rsidRPr="002202CA">
        <w:rPr>
          <w:rFonts w:ascii="Palatino Linotype" w:eastAsia="Palatino Linotype" w:hAnsi="Palatino Linotype" w:cs="Palatino Linotype"/>
          <w:color w:val="000000"/>
          <w:sz w:val="22"/>
          <w:szCs w:val="22"/>
        </w:rPr>
        <w:t>ESPUESTA-SOLICITUD-00094-2024-1.pdf: Oficio suscrito por el Director de Desarrollo Urbano de Nextlalpan, mediante el cual refiere “Que después de una búsqueda exhaustiva en esta unidad administrativa, no se ha encontrado registro alguno de la información solicitada aclarando que la creación de esta dirección data de enero de 2022 por lo que toda información previa relativa a obras públicas debe constar en la Dirección de Obras Públicas, antes Dirección de Obras Públicas y Desarrollo Urbano.”</w:t>
      </w:r>
    </w:p>
    <w:p w:rsidR="008D3E69" w:rsidRPr="002202CA" w:rsidRDefault="008D3E69" w:rsidP="002F0DFC">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8D3E69" w:rsidRPr="002202CA" w:rsidRDefault="00EB748F" w:rsidP="002F0DFC">
      <w:pPr>
        <w:numPr>
          <w:ilvl w:val="0"/>
          <w:numId w:val="2"/>
        </w:numPr>
        <w:pBdr>
          <w:top w:val="nil"/>
          <w:left w:val="nil"/>
          <w:bottom w:val="nil"/>
          <w:right w:val="nil"/>
          <w:between w:val="nil"/>
        </w:pBdr>
        <w:spacing w:line="360" w:lineRule="auto"/>
        <w:ind w:left="0" w:right="-1132" w:firstLine="0"/>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color w:val="000000"/>
        </w:rPr>
        <w:t xml:space="preserve">El veintidós de diciembre de dos mil veinticuatro, </w:t>
      </w:r>
      <w:r w:rsidRPr="002202CA">
        <w:rPr>
          <w:rFonts w:ascii="Palatino Linotype" w:eastAsia="Palatino Linotype" w:hAnsi="Palatino Linotype" w:cs="Palatino Linotype"/>
          <w:b/>
          <w:color w:val="000000"/>
        </w:rPr>
        <w:t>EL RECURRENTE</w:t>
      </w:r>
      <w:r w:rsidRPr="002202CA">
        <w:rPr>
          <w:rFonts w:ascii="Palatino Linotype" w:eastAsia="Palatino Linotype" w:hAnsi="Palatino Linotype" w:cs="Palatino Linotype"/>
          <w:color w:val="000000"/>
        </w:rPr>
        <w:t xml:space="preserve"> interpuso el recurso de revisión, en contra de la respuesta, señalando como:</w:t>
      </w:r>
    </w:p>
    <w:p w:rsidR="002F0DFC" w:rsidRPr="002202CA" w:rsidRDefault="002F0DFC" w:rsidP="002F0DFC">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8D3E69" w:rsidRPr="002202CA" w:rsidRDefault="00EB748F" w:rsidP="002F0DFC">
      <w:pPr>
        <w:numPr>
          <w:ilvl w:val="0"/>
          <w:numId w:val="1"/>
        </w:numPr>
        <w:pBdr>
          <w:top w:val="nil"/>
          <w:left w:val="nil"/>
          <w:bottom w:val="nil"/>
          <w:right w:val="nil"/>
          <w:between w:val="nil"/>
        </w:pBdr>
        <w:spacing w:line="360" w:lineRule="auto"/>
        <w:ind w:right="-283"/>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b/>
          <w:color w:val="000000"/>
          <w:sz w:val="22"/>
          <w:szCs w:val="22"/>
        </w:rPr>
        <w:t>Acto impugnado</w:t>
      </w:r>
      <w:r w:rsidRPr="002202CA">
        <w:rPr>
          <w:rFonts w:ascii="Palatino Linotype" w:eastAsia="Palatino Linotype" w:hAnsi="Palatino Linotype" w:cs="Palatino Linotype"/>
          <w:b/>
          <w:i/>
          <w:color w:val="000000"/>
          <w:sz w:val="22"/>
          <w:szCs w:val="22"/>
        </w:rPr>
        <w:t>:</w:t>
      </w:r>
      <w:r w:rsidRPr="002202CA">
        <w:rPr>
          <w:rFonts w:ascii="Palatino Linotype" w:eastAsia="Palatino Linotype" w:hAnsi="Palatino Linotype" w:cs="Palatino Linotype"/>
          <w:i/>
          <w:color w:val="000000"/>
          <w:sz w:val="22"/>
          <w:szCs w:val="22"/>
        </w:rPr>
        <w:t xml:space="preserve"> "Cuántos y cuáles fueron los permisos otorgados y a qué dependencia se </w:t>
      </w:r>
      <w:proofErr w:type="spellStart"/>
      <w:r w:rsidRPr="002202CA">
        <w:rPr>
          <w:rFonts w:ascii="Palatino Linotype" w:eastAsia="Palatino Linotype" w:hAnsi="Palatino Linotype" w:cs="Palatino Linotype"/>
          <w:i/>
          <w:color w:val="000000"/>
          <w:sz w:val="22"/>
          <w:szCs w:val="22"/>
        </w:rPr>
        <w:t>otorgo</w:t>
      </w:r>
      <w:proofErr w:type="spellEnd"/>
      <w:r w:rsidRPr="002202CA">
        <w:rPr>
          <w:rFonts w:ascii="Palatino Linotype" w:eastAsia="Palatino Linotype" w:hAnsi="Palatino Linotype" w:cs="Palatino Linotype"/>
          <w:i/>
          <w:color w:val="000000"/>
          <w:sz w:val="22"/>
          <w:szCs w:val="22"/>
        </w:rPr>
        <w:t>; para la realización de la obra y/o proyecto de reparación y/o reconstrucción del puente conocido como “Puente de Santiago”, que atraviesa el Gran Canal de Desagüe en el municipio de Nextlalpan, Estado de México.." (Sic)</w:t>
      </w:r>
    </w:p>
    <w:p w:rsidR="008D3E69" w:rsidRPr="002202CA" w:rsidRDefault="00EB748F" w:rsidP="002F0DFC">
      <w:pPr>
        <w:numPr>
          <w:ilvl w:val="0"/>
          <w:numId w:val="10"/>
        </w:numPr>
        <w:pBdr>
          <w:top w:val="nil"/>
          <w:left w:val="nil"/>
          <w:bottom w:val="nil"/>
          <w:right w:val="nil"/>
          <w:between w:val="nil"/>
        </w:pBdr>
        <w:spacing w:line="360" w:lineRule="auto"/>
        <w:ind w:right="-283"/>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b/>
          <w:color w:val="000000"/>
          <w:sz w:val="22"/>
          <w:szCs w:val="22"/>
        </w:rPr>
        <w:t xml:space="preserve">Razones o Motivos de inconformidad: </w:t>
      </w:r>
      <w:r w:rsidRPr="002202CA">
        <w:rPr>
          <w:rFonts w:ascii="Palatino Linotype" w:eastAsia="Palatino Linotype" w:hAnsi="Palatino Linotype" w:cs="Palatino Linotype"/>
          <w:i/>
          <w:color w:val="000000"/>
          <w:sz w:val="22"/>
          <w:szCs w:val="22"/>
        </w:rPr>
        <w:t>"Aducen no contar con la información puesto que se la turnaron a la Dirección de Desarrollo Urbano de Nextlalpan para lo cual su director dice que la creación de esa dirección data de enero de 2022. Y remite a la Dirección de Obras Públicas sin embargo la Unidad de Transparencia del Sujeto Obligado no da vista a dicha dirección. Cabe mencionar que dicho puente fue construido en el año 2022 y tuvo conocimiento la presidenta Lorena Alameda Juárez administración 2022 - 2024; tal como se constata en capturas de pantalla que se anexan</w:t>
      </w:r>
      <w:proofErr w:type="gramStart"/>
      <w:r w:rsidRPr="002202CA">
        <w:rPr>
          <w:rFonts w:ascii="Palatino Linotype" w:eastAsia="Palatino Linotype" w:hAnsi="Palatino Linotype" w:cs="Palatino Linotype"/>
          <w:i/>
          <w:color w:val="000000"/>
          <w:sz w:val="22"/>
          <w:szCs w:val="22"/>
        </w:rPr>
        <w:t>..”</w:t>
      </w:r>
      <w:proofErr w:type="gramEnd"/>
      <w:r w:rsidRPr="002202CA">
        <w:rPr>
          <w:rFonts w:ascii="Palatino Linotype" w:eastAsia="Palatino Linotype" w:hAnsi="Palatino Linotype" w:cs="Palatino Linotype"/>
          <w:i/>
          <w:color w:val="000000"/>
          <w:sz w:val="22"/>
          <w:szCs w:val="22"/>
        </w:rPr>
        <w:t xml:space="preserve"> (Sic)</w:t>
      </w:r>
    </w:p>
    <w:p w:rsidR="008D3E69" w:rsidRPr="002202CA" w:rsidRDefault="008D3E69">
      <w:pPr>
        <w:pBdr>
          <w:top w:val="nil"/>
          <w:left w:val="nil"/>
          <w:bottom w:val="nil"/>
          <w:right w:val="nil"/>
          <w:between w:val="nil"/>
        </w:pBdr>
        <w:spacing w:line="360" w:lineRule="auto"/>
        <w:ind w:left="720" w:right="-1132"/>
        <w:jc w:val="both"/>
        <w:rPr>
          <w:rFonts w:ascii="Palatino Linotype" w:hAnsi="Palatino Linotype"/>
          <w:color w:val="000000"/>
        </w:rPr>
      </w:pPr>
    </w:p>
    <w:p w:rsidR="008D3E69" w:rsidRPr="002202CA" w:rsidRDefault="00EB748F">
      <w:pPr>
        <w:pBdr>
          <w:top w:val="nil"/>
          <w:left w:val="nil"/>
          <w:bottom w:val="nil"/>
          <w:right w:val="nil"/>
          <w:between w:val="nil"/>
        </w:pBdr>
        <w:spacing w:line="360" w:lineRule="auto"/>
        <w:ind w:left="720" w:right="-1132"/>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color w:val="000000"/>
          <w:sz w:val="22"/>
          <w:szCs w:val="22"/>
        </w:rPr>
        <w:t>A si interposición del Recurso de Revisión, adjunto el siguiente archivo electrónico.</w:t>
      </w:r>
    </w:p>
    <w:p w:rsidR="008D3E69" w:rsidRPr="002202CA" w:rsidRDefault="00EB748F" w:rsidP="002F0DFC">
      <w:pPr>
        <w:numPr>
          <w:ilvl w:val="0"/>
          <w:numId w:val="3"/>
        </w:numPr>
        <w:pBdr>
          <w:top w:val="nil"/>
          <w:left w:val="nil"/>
          <w:bottom w:val="nil"/>
          <w:right w:val="nil"/>
          <w:between w:val="nil"/>
        </w:pBdr>
        <w:spacing w:line="360" w:lineRule="auto"/>
        <w:ind w:left="1560" w:right="284"/>
        <w:jc w:val="both"/>
        <w:rPr>
          <w:rFonts w:ascii="Palatino Linotype" w:eastAsia="Palatino Linotype" w:hAnsi="Palatino Linotype" w:cs="Palatino Linotype"/>
          <w:b/>
          <w:color w:val="000000"/>
          <w:sz w:val="22"/>
          <w:szCs w:val="22"/>
        </w:rPr>
      </w:pPr>
      <w:r w:rsidRPr="002202CA">
        <w:rPr>
          <w:rFonts w:ascii="Palatino Linotype" w:eastAsia="Palatino Linotype" w:hAnsi="Palatino Linotype" w:cs="Palatino Linotype"/>
          <w:b/>
          <w:color w:val="000000"/>
          <w:sz w:val="22"/>
          <w:szCs w:val="22"/>
        </w:rPr>
        <w:t xml:space="preserve">Pruebas 94-24.pdf: </w:t>
      </w:r>
      <w:r w:rsidRPr="002202CA">
        <w:rPr>
          <w:rFonts w:ascii="Palatino Linotype" w:eastAsia="Palatino Linotype" w:hAnsi="Palatino Linotype" w:cs="Palatino Linotype"/>
          <w:color w:val="000000"/>
          <w:sz w:val="22"/>
          <w:szCs w:val="22"/>
        </w:rPr>
        <w:t xml:space="preserve">Contiene dos imágenes de una publicación del Comisariado Ejidal de Santa Ana Nextlalpan, en donde refiere la construcción de un nuevo puente en Santiago </w:t>
      </w:r>
      <w:proofErr w:type="spellStart"/>
      <w:r w:rsidRPr="002202CA">
        <w:rPr>
          <w:rFonts w:ascii="Palatino Linotype" w:eastAsia="Palatino Linotype" w:hAnsi="Palatino Linotype" w:cs="Palatino Linotype"/>
          <w:color w:val="000000"/>
          <w:sz w:val="22"/>
          <w:szCs w:val="22"/>
        </w:rPr>
        <w:t>Atocan</w:t>
      </w:r>
      <w:proofErr w:type="spellEnd"/>
      <w:r w:rsidRPr="002202CA">
        <w:rPr>
          <w:rFonts w:ascii="Palatino Linotype" w:eastAsia="Palatino Linotype" w:hAnsi="Palatino Linotype" w:cs="Palatino Linotype"/>
          <w:color w:val="000000"/>
          <w:sz w:val="22"/>
          <w:szCs w:val="22"/>
        </w:rPr>
        <w:t>.</w:t>
      </w:r>
    </w:p>
    <w:p w:rsidR="008D3E69" w:rsidRPr="002202CA" w:rsidRDefault="008D3E69">
      <w:pPr>
        <w:spacing w:line="360" w:lineRule="auto"/>
        <w:ind w:right="-1132"/>
        <w:jc w:val="both"/>
        <w:rPr>
          <w:rFonts w:ascii="Palatino Linotype" w:eastAsia="Palatino Linotype" w:hAnsi="Palatino Linotype" w:cs="Palatino Linotype"/>
          <w:i/>
        </w:rPr>
      </w:pPr>
    </w:p>
    <w:p w:rsidR="008D3E69" w:rsidRPr="002202CA" w:rsidRDefault="00EB748F">
      <w:pPr>
        <w:numPr>
          <w:ilvl w:val="0"/>
          <w:numId w:val="2"/>
        </w:numPr>
        <w:pBdr>
          <w:top w:val="nil"/>
          <w:left w:val="nil"/>
          <w:bottom w:val="nil"/>
          <w:right w:val="nil"/>
          <w:between w:val="nil"/>
        </w:pBdr>
        <w:spacing w:line="360" w:lineRule="auto"/>
        <w:ind w:left="0" w:right="-1132" w:firstLine="0"/>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sidRPr="002202CA">
        <w:rPr>
          <w:rFonts w:ascii="Palatino Linotype" w:eastAsia="Palatino Linotype" w:hAnsi="Palatino Linotype" w:cs="Palatino Linotype"/>
          <w:b/>
          <w:color w:val="000000"/>
        </w:rPr>
        <w:t xml:space="preserve">Ley de Transparencia y Acceso a la Información Pública del Estado de México y Municipios </w:t>
      </w:r>
      <w:r w:rsidRPr="002202CA">
        <w:rPr>
          <w:rFonts w:ascii="Palatino Linotype" w:eastAsia="Palatino Linotype" w:hAnsi="Palatino Linotype" w:cs="Palatino Linotype"/>
          <w:color w:val="000000"/>
        </w:rPr>
        <w:t xml:space="preserve">se </w:t>
      </w:r>
      <w:r w:rsidRPr="002202CA">
        <w:rPr>
          <w:rFonts w:ascii="Palatino Linotype" w:eastAsia="Palatino Linotype" w:hAnsi="Palatino Linotype" w:cs="Palatino Linotype"/>
        </w:rPr>
        <w:t>turna</w:t>
      </w:r>
      <w:r w:rsidRPr="002202CA">
        <w:rPr>
          <w:rFonts w:ascii="Palatino Linotype" w:eastAsia="Palatino Linotype" w:hAnsi="Palatino Linotype" w:cs="Palatino Linotype"/>
          <w:color w:val="000000"/>
        </w:rPr>
        <w:t xml:space="preserve"> a la </w:t>
      </w:r>
      <w:r w:rsidRPr="002202CA">
        <w:rPr>
          <w:rFonts w:ascii="Palatino Linotype" w:eastAsia="Palatino Linotype" w:hAnsi="Palatino Linotype" w:cs="Palatino Linotype"/>
          <w:b/>
          <w:color w:val="000000"/>
        </w:rPr>
        <w:t xml:space="preserve">Comisionada María del Rosario Mejía Ayala, </w:t>
      </w:r>
      <w:r w:rsidRPr="002202CA">
        <w:rPr>
          <w:rFonts w:ascii="Palatino Linotype" w:eastAsia="Palatino Linotype" w:hAnsi="Palatino Linotype" w:cs="Palatino Linotype"/>
        </w:rPr>
        <w:t xml:space="preserve">para </w:t>
      </w:r>
      <w:r w:rsidRPr="002202CA">
        <w:rPr>
          <w:rFonts w:ascii="Palatino Linotype" w:eastAsia="Palatino Linotype" w:hAnsi="Palatino Linotype" w:cs="Palatino Linotype"/>
          <w:color w:val="000000"/>
        </w:rPr>
        <w:t xml:space="preserve">su análisis. </w:t>
      </w:r>
    </w:p>
    <w:p w:rsidR="008D3E69" w:rsidRPr="002202CA" w:rsidRDefault="008D3E69">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8D3E69" w:rsidRPr="002202CA" w:rsidRDefault="00EB748F">
      <w:pPr>
        <w:numPr>
          <w:ilvl w:val="0"/>
          <w:numId w:val="2"/>
        </w:numPr>
        <w:pBdr>
          <w:top w:val="nil"/>
          <w:left w:val="nil"/>
          <w:bottom w:val="nil"/>
          <w:right w:val="nil"/>
          <w:between w:val="nil"/>
        </w:pBdr>
        <w:spacing w:line="360" w:lineRule="auto"/>
        <w:ind w:left="0" w:right="-1132" w:firstLine="0"/>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rPr>
        <w:t>La</w:t>
      </w:r>
      <w:r w:rsidRPr="002202CA">
        <w:rPr>
          <w:rFonts w:ascii="Palatino Linotype" w:eastAsia="Palatino Linotype" w:hAnsi="Palatino Linotype" w:cs="Palatino Linotype"/>
          <w:color w:val="000000"/>
        </w:rPr>
        <w:t xml:space="preserve"> Comisionad</w:t>
      </w:r>
      <w:r w:rsidRPr="002202CA">
        <w:rPr>
          <w:rFonts w:ascii="Palatino Linotype" w:eastAsia="Palatino Linotype" w:hAnsi="Palatino Linotype" w:cs="Palatino Linotype"/>
        </w:rPr>
        <w:t>a</w:t>
      </w:r>
      <w:r w:rsidRPr="002202CA">
        <w:rPr>
          <w:rFonts w:ascii="Palatino Linotype" w:eastAsia="Palatino Linotype" w:hAnsi="Palatino Linotype" w:cs="Palatino Linotype"/>
          <w:color w:val="000000"/>
        </w:rPr>
        <w:t xml:space="preserve"> Ponente con fundamento en lo dispuesto por el artículo 185 fracción II de la ley de la materia, a través del acuerdo de admisión del dieciséis de enero de dos mil veinticinco, puso a disposición de las partes el expediente electrónico vía </w:t>
      </w:r>
      <w:r w:rsidRPr="002202CA">
        <w:rPr>
          <w:rFonts w:ascii="Palatino Linotype" w:eastAsia="Palatino Linotype" w:hAnsi="Palatino Linotype" w:cs="Palatino Linotype"/>
          <w:b/>
          <w:color w:val="000000"/>
        </w:rPr>
        <w:t xml:space="preserve">SAIMEX </w:t>
      </w:r>
      <w:r w:rsidRPr="002202CA">
        <w:rPr>
          <w:rFonts w:ascii="Palatino Linotype" w:eastAsia="Palatino Linotype" w:hAnsi="Palatino Linotype" w:cs="Palatino Linotype"/>
          <w:color w:val="000000"/>
        </w:rPr>
        <w:t xml:space="preserve">a efecto de que en un plazo máximo de siete días </w:t>
      </w:r>
      <w:r w:rsidRPr="002202CA">
        <w:rPr>
          <w:rFonts w:ascii="Palatino Linotype" w:eastAsia="Palatino Linotype" w:hAnsi="Palatino Linotype" w:cs="Palatino Linotype"/>
        </w:rPr>
        <w:t>manifestara</w:t>
      </w:r>
      <w:r w:rsidRPr="002202CA">
        <w:rPr>
          <w:rFonts w:ascii="Palatino Linotype" w:eastAsia="Palatino Linotype" w:hAnsi="Palatino Linotype" w:cs="Palatino Linotype"/>
          <w:color w:val="000000"/>
        </w:rPr>
        <w:t xml:space="preserve"> lo que a derecho </w:t>
      </w:r>
      <w:r w:rsidRPr="002202CA">
        <w:rPr>
          <w:rFonts w:ascii="Palatino Linotype" w:eastAsia="Palatino Linotype" w:hAnsi="Palatino Linotype" w:cs="Palatino Linotype"/>
        </w:rPr>
        <w:t>conviniera</w:t>
      </w:r>
      <w:r w:rsidRPr="002202CA">
        <w:rPr>
          <w:rFonts w:ascii="Palatino Linotype" w:eastAsia="Palatino Linotype" w:hAnsi="Palatino Linotype" w:cs="Palatino Linotype"/>
          <w:color w:val="000000"/>
        </w:rPr>
        <w:t xml:space="preserve">, </w:t>
      </w:r>
      <w:r w:rsidRPr="002202CA">
        <w:rPr>
          <w:rFonts w:ascii="Palatino Linotype" w:eastAsia="Palatino Linotype" w:hAnsi="Palatino Linotype" w:cs="Palatino Linotype"/>
        </w:rPr>
        <w:t>ofreciera</w:t>
      </w:r>
      <w:r w:rsidRPr="002202CA">
        <w:rPr>
          <w:rFonts w:ascii="Palatino Linotype" w:eastAsia="Palatino Linotype" w:hAnsi="Palatino Linotype" w:cs="Palatino Linotype"/>
          <w:color w:val="000000"/>
        </w:rPr>
        <w:t xml:space="preserve"> pruebas y alegatos según corresponda al caso concreto, de esta forma para que el </w:t>
      </w:r>
      <w:r w:rsidRPr="002202CA">
        <w:rPr>
          <w:rFonts w:ascii="Palatino Linotype" w:eastAsia="Palatino Linotype" w:hAnsi="Palatino Linotype" w:cs="Palatino Linotype"/>
          <w:b/>
          <w:color w:val="000000"/>
        </w:rPr>
        <w:t>SUJETO OBLIGADO</w:t>
      </w:r>
      <w:r w:rsidRPr="002202CA">
        <w:rPr>
          <w:rFonts w:ascii="Palatino Linotype" w:eastAsia="Palatino Linotype" w:hAnsi="Palatino Linotype" w:cs="Palatino Linotype"/>
          <w:color w:val="000000"/>
        </w:rPr>
        <w:t xml:space="preserve"> </w:t>
      </w:r>
      <w:r w:rsidRPr="002202CA">
        <w:rPr>
          <w:rFonts w:ascii="Palatino Linotype" w:eastAsia="Palatino Linotype" w:hAnsi="Palatino Linotype" w:cs="Palatino Linotype"/>
        </w:rPr>
        <w:t>presentará</w:t>
      </w:r>
      <w:r w:rsidRPr="002202CA">
        <w:rPr>
          <w:rFonts w:ascii="Palatino Linotype" w:eastAsia="Palatino Linotype" w:hAnsi="Palatino Linotype" w:cs="Palatino Linotype"/>
          <w:color w:val="000000"/>
        </w:rPr>
        <w:t xml:space="preserve"> el informe justificado procedente. </w:t>
      </w:r>
    </w:p>
    <w:p w:rsidR="008D3E69" w:rsidRPr="002202CA" w:rsidRDefault="008D3E69">
      <w:pPr>
        <w:pBdr>
          <w:top w:val="nil"/>
          <w:left w:val="nil"/>
          <w:bottom w:val="nil"/>
          <w:right w:val="nil"/>
          <w:between w:val="nil"/>
        </w:pBdr>
        <w:spacing w:line="360" w:lineRule="auto"/>
        <w:ind w:left="720" w:right="-1132"/>
        <w:jc w:val="both"/>
        <w:rPr>
          <w:rFonts w:ascii="Palatino Linotype" w:eastAsia="Palatino Linotype" w:hAnsi="Palatino Linotype" w:cs="Palatino Linotype"/>
        </w:rPr>
      </w:pPr>
    </w:p>
    <w:p w:rsidR="008D3E69" w:rsidRPr="002202CA" w:rsidRDefault="00EB748F">
      <w:pPr>
        <w:numPr>
          <w:ilvl w:val="0"/>
          <w:numId w:val="2"/>
        </w:numPr>
        <w:pBdr>
          <w:top w:val="nil"/>
          <w:left w:val="nil"/>
          <w:bottom w:val="nil"/>
          <w:right w:val="nil"/>
          <w:between w:val="nil"/>
        </w:pBdr>
        <w:spacing w:line="360" w:lineRule="auto"/>
        <w:ind w:left="0" w:right="-1132" w:firstLine="0"/>
        <w:jc w:val="both"/>
        <w:rPr>
          <w:rFonts w:ascii="Palatino Linotype" w:eastAsia="Palatino Linotype" w:hAnsi="Palatino Linotype" w:cs="Palatino Linotype"/>
        </w:rPr>
      </w:pPr>
      <w:r w:rsidRPr="002202CA">
        <w:rPr>
          <w:rFonts w:ascii="Palatino Linotype" w:eastAsia="Palatino Linotype" w:hAnsi="Palatino Linotype" w:cs="Palatino Linotype"/>
          <w:color w:val="000000"/>
        </w:rPr>
        <w:t>De las constancias del expediente electrónico SAIMEX, se advierte que el Recurrente y el Sujeto Obligado dejaron  de realizar manifestaciones que a su derecho conviniera y asistiera.</w:t>
      </w:r>
    </w:p>
    <w:p w:rsidR="008D3E69" w:rsidRPr="002202CA" w:rsidRDefault="008D3E69">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8D3E69" w:rsidRPr="002202CA" w:rsidRDefault="00EB748F">
      <w:pPr>
        <w:numPr>
          <w:ilvl w:val="0"/>
          <w:numId w:val="2"/>
        </w:numPr>
        <w:pBdr>
          <w:top w:val="nil"/>
          <w:left w:val="nil"/>
          <w:bottom w:val="nil"/>
          <w:right w:val="nil"/>
          <w:between w:val="nil"/>
        </w:pBdr>
        <w:spacing w:line="360" w:lineRule="auto"/>
        <w:ind w:left="0" w:right="-1132" w:firstLine="0"/>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color w:val="000000"/>
        </w:rPr>
        <w:t>La Comisionada Ponente decretó el cierre de instrucción mediante el acuerdo del veintinueve de enero de dos mil veinticinco.</w:t>
      </w:r>
    </w:p>
    <w:p w:rsidR="008D3E69" w:rsidRPr="002202CA" w:rsidRDefault="008D3E69">
      <w:pPr>
        <w:pBdr>
          <w:top w:val="nil"/>
          <w:left w:val="nil"/>
          <w:bottom w:val="nil"/>
          <w:right w:val="nil"/>
          <w:between w:val="nil"/>
        </w:pBdr>
        <w:spacing w:line="360" w:lineRule="auto"/>
        <w:ind w:right="-1132"/>
        <w:jc w:val="both"/>
        <w:rPr>
          <w:rFonts w:ascii="Palatino Linotype" w:eastAsia="Palatino Linotype" w:hAnsi="Palatino Linotype" w:cs="Palatino Linotype"/>
        </w:rPr>
      </w:pPr>
    </w:p>
    <w:p w:rsidR="008D3E69" w:rsidRPr="002202CA" w:rsidRDefault="008D3E69">
      <w:pPr>
        <w:spacing w:line="360" w:lineRule="auto"/>
        <w:ind w:right="-1132"/>
        <w:rPr>
          <w:rFonts w:ascii="Palatino Linotype" w:eastAsia="Palatino Linotype" w:hAnsi="Palatino Linotype" w:cs="Palatino Linotype"/>
        </w:rPr>
      </w:pPr>
    </w:p>
    <w:p w:rsidR="008D3E69" w:rsidRPr="002202CA" w:rsidRDefault="00EB748F">
      <w:pPr>
        <w:spacing w:line="360" w:lineRule="auto"/>
        <w:ind w:right="-1132"/>
        <w:jc w:val="center"/>
        <w:rPr>
          <w:rFonts w:ascii="Palatino Linotype" w:eastAsia="Palatino Linotype" w:hAnsi="Palatino Linotype" w:cs="Palatino Linotype"/>
        </w:rPr>
      </w:pPr>
      <w:bookmarkStart w:id="1" w:name="_heading=h.30j0zll" w:colFirst="0" w:colLast="0"/>
      <w:bookmarkEnd w:id="1"/>
      <w:r w:rsidRPr="002202CA">
        <w:rPr>
          <w:rFonts w:ascii="Palatino Linotype" w:eastAsia="Palatino Linotype" w:hAnsi="Palatino Linotype" w:cs="Palatino Linotype"/>
          <w:b/>
        </w:rPr>
        <w:t>C O N S I D E R A N D O</w:t>
      </w:r>
    </w:p>
    <w:p w:rsidR="008D3E69" w:rsidRPr="002202CA" w:rsidRDefault="008D3E69">
      <w:pPr>
        <w:spacing w:line="360" w:lineRule="auto"/>
        <w:ind w:right="-1132"/>
        <w:jc w:val="center"/>
        <w:rPr>
          <w:rFonts w:ascii="Palatino Linotype" w:eastAsia="Palatino Linotype" w:hAnsi="Palatino Linotype" w:cs="Palatino Linotype"/>
        </w:rPr>
      </w:pPr>
    </w:p>
    <w:p w:rsidR="008D3E69" w:rsidRPr="002202CA" w:rsidRDefault="00EB748F">
      <w:pPr>
        <w:spacing w:line="360" w:lineRule="auto"/>
        <w:ind w:right="-1132"/>
        <w:jc w:val="both"/>
        <w:rPr>
          <w:rFonts w:ascii="Palatino Linotype" w:eastAsia="Palatino Linotype" w:hAnsi="Palatino Linotype" w:cs="Palatino Linotype"/>
          <w:b/>
        </w:rPr>
      </w:pPr>
      <w:bookmarkStart w:id="2" w:name="_heading=h.1fob9te" w:colFirst="0" w:colLast="0"/>
      <w:bookmarkEnd w:id="2"/>
      <w:r w:rsidRPr="002202CA">
        <w:rPr>
          <w:rFonts w:ascii="Palatino Linotype" w:eastAsia="Palatino Linotype" w:hAnsi="Palatino Linotype" w:cs="Palatino Linotype"/>
          <w:b/>
        </w:rPr>
        <w:t>PRIMERO. De la competencia</w:t>
      </w:r>
    </w:p>
    <w:p w:rsidR="008D3E69" w:rsidRPr="002202CA" w:rsidRDefault="00EB748F">
      <w:pPr>
        <w:numPr>
          <w:ilvl w:val="0"/>
          <w:numId w:val="2"/>
        </w:numPr>
        <w:pBdr>
          <w:top w:val="nil"/>
          <w:left w:val="nil"/>
          <w:bottom w:val="nil"/>
          <w:right w:val="nil"/>
          <w:between w:val="nil"/>
        </w:pBdr>
        <w:spacing w:before="240" w:line="360" w:lineRule="auto"/>
        <w:ind w:left="0" w:right="-1132" w:firstLine="0"/>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8D3E69" w:rsidRPr="002202CA" w:rsidRDefault="008D3E69">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8D3E69" w:rsidRPr="002202CA" w:rsidRDefault="00EB748F">
      <w:pPr>
        <w:keepNext/>
        <w:keepLines/>
        <w:spacing w:line="360" w:lineRule="auto"/>
        <w:ind w:right="-1132"/>
        <w:rPr>
          <w:rFonts w:ascii="Palatino Linotype" w:eastAsia="Palatino Linotype" w:hAnsi="Palatino Linotype" w:cs="Palatino Linotype"/>
          <w:b/>
        </w:rPr>
      </w:pPr>
      <w:bookmarkStart w:id="3" w:name="_heading=h.3znysh7" w:colFirst="0" w:colLast="0"/>
      <w:bookmarkEnd w:id="3"/>
      <w:r w:rsidRPr="002202CA">
        <w:rPr>
          <w:rFonts w:ascii="Palatino Linotype" w:eastAsia="Palatino Linotype" w:hAnsi="Palatino Linotype" w:cs="Palatino Linotype"/>
          <w:b/>
        </w:rPr>
        <w:t>SEGUNDO. De la oportunidad y procedencia.</w:t>
      </w:r>
    </w:p>
    <w:p w:rsidR="008D3E69" w:rsidRPr="002202CA" w:rsidRDefault="00EB748F">
      <w:pPr>
        <w:numPr>
          <w:ilvl w:val="0"/>
          <w:numId w:val="2"/>
        </w:numPr>
        <w:pBdr>
          <w:top w:val="nil"/>
          <w:left w:val="nil"/>
          <w:bottom w:val="nil"/>
          <w:right w:val="nil"/>
          <w:between w:val="nil"/>
        </w:pBdr>
        <w:spacing w:line="360" w:lineRule="auto"/>
        <w:ind w:left="0" w:right="-1132" w:firstLine="0"/>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color w:val="000000"/>
        </w:rPr>
        <w:t xml:space="preserve">El medio de impugnación fue presentado a través del </w:t>
      </w:r>
      <w:r w:rsidRPr="002202CA">
        <w:rPr>
          <w:rFonts w:ascii="Palatino Linotype" w:eastAsia="Palatino Linotype" w:hAnsi="Palatino Linotype" w:cs="Palatino Linotype"/>
          <w:b/>
          <w:color w:val="000000"/>
        </w:rPr>
        <w:t>SAIMEX,</w:t>
      </w:r>
      <w:r w:rsidRPr="002202CA">
        <w:rPr>
          <w:rFonts w:ascii="Palatino Linotype" w:eastAsia="Palatino Linotype" w:hAnsi="Palatino Linotype" w:cs="Palatino Linotype"/>
          <w:color w:val="000000"/>
        </w:rPr>
        <w:t xml:space="preserve"> en el formato previamente aprobado para tal efecto y dentro del plazo legal de quince días hábiles otorgados; siendo así que el </w:t>
      </w:r>
      <w:r w:rsidRPr="002202CA">
        <w:rPr>
          <w:rFonts w:ascii="Palatino Linotype" w:eastAsia="Palatino Linotype" w:hAnsi="Palatino Linotype" w:cs="Palatino Linotype"/>
          <w:b/>
          <w:color w:val="000000"/>
        </w:rPr>
        <w:t>SUJETO OBLIGADO</w:t>
      </w:r>
      <w:r w:rsidRPr="002202CA">
        <w:rPr>
          <w:rFonts w:ascii="Palatino Linotype" w:eastAsia="Palatino Linotype" w:hAnsi="Palatino Linotype" w:cs="Palatino Linotype"/>
          <w:color w:val="000000"/>
        </w:rPr>
        <w:t xml:space="preserve"> entregó respuesta a la solicitud el día diecinueve de diciembre de dos mil veinticuatro, de tal forma que el plazo para interponer el recurso de revisión transcurrió del veinte (20) de diciembre de dos mil veinticuatro al treinta (30) de enero de dos mil veinticinco; en consecuencia, presentó su inconformidad el </w:t>
      </w:r>
      <w:r w:rsidRPr="002202CA">
        <w:rPr>
          <w:rFonts w:ascii="Palatino Linotype" w:eastAsia="Palatino Linotype" w:hAnsi="Palatino Linotype" w:cs="Palatino Linotype"/>
          <w:color w:val="000000"/>
        </w:rPr>
        <w:lastRenderedPageBreak/>
        <w:t xml:space="preserve">día veintidós (22) de diciembre de dos mil veinticuatro, por lo que se encuentra dentro de los márgenes temporales previstos en el artículo 178 de la </w:t>
      </w:r>
      <w:r w:rsidRPr="002202CA">
        <w:rPr>
          <w:rFonts w:ascii="Palatino Linotype" w:eastAsia="Palatino Linotype" w:hAnsi="Palatino Linotype" w:cs="Palatino Linotype"/>
          <w:b/>
          <w:color w:val="000000"/>
        </w:rPr>
        <w:t xml:space="preserve">Ley de Transparencia y Acceso a la Información Pública del Estado de México y Municipios </w:t>
      </w:r>
      <w:r w:rsidRPr="002202CA">
        <w:rPr>
          <w:rFonts w:ascii="Palatino Linotype" w:eastAsia="Palatino Linotype" w:hAnsi="Palatino Linotype" w:cs="Palatino Linotype"/>
          <w:color w:val="000000"/>
        </w:rPr>
        <w:t>vigente.</w:t>
      </w:r>
    </w:p>
    <w:p w:rsidR="008D3E69" w:rsidRPr="002202CA" w:rsidRDefault="008D3E69">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8D3E69" w:rsidRPr="002202CA" w:rsidRDefault="00EB748F">
      <w:pPr>
        <w:numPr>
          <w:ilvl w:val="0"/>
          <w:numId w:val="2"/>
        </w:numPr>
        <w:pBdr>
          <w:top w:val="nil"/>
          <w:left w:val="nil"/>
          <w:bottom w:val="nil"/>
          <w:right w:val="nil"/>
          <w:between w:val="nil"/>
        </w:pBdr>
        <w:spacing w:line="360" w:lineRule="auto"/>
        <w:ind w:left="0" w:right="-1132" w:firstLine="0"/>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color w:val="000000"/>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D3E69" w:rsidRPr="002202CA" w:rsidRDefault="008D3E69">
      <w:pPr>
        <w:pBdr>
          <w:top w:val="nil"/>
          <w:left w:val="nil"/>
          <w:bottom w:val="nil"/>
          <w:right w:val="nil"/>
          <w:between w:val="nil"/>
        </w:pBdr>
        <w:ind w:left="720" w:right="-1132"/>
        <w:rPr>
          <w:rFonts w:ascii="Palatino Linotype" w:eastAsia="Palatino Linotype" w:hAnsi="Palatino Linotype" w:cs="Palatino Linotype"/>
          <w:color w:val="000000"/>
        </w:rPr>
      </w:pPr>
    </w:p>
    <w:p w:rsidR="008D3E69" w:rsidRPr="002202CA" w:rsidRDefault="00EB748F">
      <w:pPr>
        <w:spacing w:line="360" w:lineRule="auto"/>
        <w:ind w:right="-1132"/>
        <w:jc w:val="both"/>
        <w:rPr>
          <w:rFonts w:ascii="Palatino Linotype" w:eastAsia="Palatino Linotype" w:hAnsi="Palatino Linotype" w:cs="Palatino Linotype"/>
          <w:b/>
        </w:rPr>
      </w:pPr>
      <w:bookmarkStart w:id="4" w:name="_heading=h.2et92p0" w:colFirst="0" w:colLast="0"/>
      <w:bookmarkEnd w:id="4"/>
      <w:r w:rsidRPr="002202CA">
        <w:rPr>
          <w:rFonts w:ascii="Palatino Linotype" w:eastAsia="Palatino Linotype" w:hAnsi="Palatino Linotype" w:cs="Palatino Linotype"/>
          <w:b/>
        </w:rPr>
        <w:t>TERCERO. Planteamiento de la Litis.</w:t>
      </w: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rPr>
      </w:pPr>
      <w:r w:rsidRPr="002202CA">
        <w:rPr>
          <w:rFonts w:ascii="Palatino Linotype" w:eastAsia="Palatino Linotype" w:hAnsi="Palatino Linotype" w:cs="Palatino Linotype"/>
        </w:rPr>
        <w:t>Se solicitó tener acceso, a la información que a continuación se desagrega:</w:t>
      </w:r>
    </w:p>
    <w:p w:rsidR="008D3E69" w:rsidRPr="002202CA" w:rsidRDefault="00EB748F">
      <w:pPr>
        <w:spacing w:line="360" w:lineRule="auto"/>
        <w:ind w:left="993" w:right="-565"/>
        <w:jc w:val="both"/>
        <w:rPr>
          <w:rFonts w:ascii="Palatino Linotype" w:eastAsia="Palatino Linotype" w:hAnsi="Palatino Linotype" w:cs="Palatino Linotype"/>
          <w:sz w:val="22"/>
          <w:szCs w:val="22"/>
        </w:rPr>
      </w:pPr>
      <w:r w:rsidRPr="002202CA">
        <w:rPr>
          <w:rFonts w:ascii="Palatino Linotype" w:eastAsia="Palatino Linotype" w:hAnsi="Palatino Linotype" w:cs="Palatino Linotype"/>
          <w:sz w:val="22"/>
          <w:szCs w:val="22"/>
        </w:rPr>
        <w:t>De la obra y/o proyecto de reparación y/o reconstrucción del puente conocido  “Puente de Santiago”, que atraviesa el Gran Canal de Desagüe en el municipio de Nextlalpan, Estado de México.</w:t>
      </w:r>
    </w:p>
    <w:p w:rsidR="008D3E69" w:rsidRPr="002202CA" w:rsidRDefault="008D3E69">
      <w:pPr>
        <w:spacing w:line="360" w:lineRule="auto"/>
        <w:ind w:right="-565"/>
        <w:jc w:val="both"/>
        <w:rPr>
          <w:rFonts w:ascii="Palatino Linotype" w:eastAsia="Palatino Linotype" w:hAnsi="Palatino Linotype" w:cs="Palatino Linotype"/>
          <w:sz w:val="22"/>
          <w:szCs w:val="22"/>
        </w:rPr>
      </w:pPr>
    </w:p>
    <w:p w:rsidR="008D3E69" w:rsidRPr="002202CA" w:rsidRDefault="00EB748F">
      <w:pPr>
        <w:spacing w:line="360" w:lineRule="auto"/>
        <w:ind w:left="993" w:right="-565"/>
        <w:jc w:val="both"/>
        <w:rPr>
          <w:rFonts w:ascii="Palatino Linotype" w:eastAsia="Palatino Linotype" w:hAnsi="Palatino Linotype" w:cs="Palatino Linotype"/>
          <w:sz w:val="22"/>
          <w:szCs w:val="22"/>
        </w:rPr>
      </w:pPr>
      <w:r w:rsidRPr="002202CA">
        <w:rPr>
          <w:rFonts w:ascii="Palatino Linotype" w:eastAsia="Palatino Linotype" w:hAnsi="Palatino Linotype" w:cs="Palatino Linotype"/>
          <w:sz w:val="22"/>
          <w:szCs w:val="22"/>
        </w:rPr>
        <w:t>1. Cuántos y cuáles fueron los permisos otorgados.</w:t>
      </w:r>
    </w:p>
    <w:p w:rsidR="008D3E69" w:rsidRPr="002202CA" w:rsidRDefault="00EB748F">
      <w:pPr>
        <w:spacing w:line="360" w:lineRule="auto"/>
        <w:ind w:left="993" w:right="-565"/>
        <w:jc w:val="both"/>
        <w:rPr>
          <w:rFonts w:ascii="Palatino Linotype" w:eastAsia="Palatino Linotype" w:hAnsi="Palatino Linotype" w:cs="Palatino Linotype"/>
          <w:sz w:val="22"/>
          <w:szCs w:val="22"/>
        </w:rPr>
      </w:pPr>
      <w:r w:rsidRPr="002202CA">
        <w:rPr>
          <w:rFonts w:ascii="Palatino Linotype" w:eastAsia="Palatino Linotype" w:hAnsi="Palatino Linotype" w:cs="Palatino Linotype"/>
          <w:sz w:val="22"/>
          <w:szCs w:val="22"/>
        </w:rPr>
        <w:t>2.  Dependencia a la que se le otorgo la realización.</w:t>
      </w:r>
    </w:p>
    <w:p w:rsidR="008D3E69" w:rsidRPr="002202CA" w:rsidRDefault="008D3E69">
      <w:pPr>
        <w:spacing w:line="360" w:lineRule="auto"/>
        <w:ind w:right="-1132"/>
        <w:jc w:val="both"/>
        <w:rPr>
          <w:rFonts w:ascii="Palatino Linotype" w:eastAsia="Palatino Linotype" w:hAnsi="Palatino Linotype" w:cs="Palatino Linotype"/>
          <w:i/>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rPr>
        <w:t xml:space="preserve">En respuesta, el Sujeto Obligado informó, </w:t>
      </w:r>
      <w:r w:rsidRPr="002202CA">
        <w:rPr>
          <w:rFonts w:ascii="Palatino Linotype" w:eastAsia="Palatino Linotype" w:hAnsi="Palatino Linotype" w:cs="Palatino Linotype"/>
          <w:color w:val="000000"/>
        </w:rPr>
        <w:t>que después de una búsqueda exhaustiva no se ha encontrado registro alguno de la información solicitada y aclaró que la creación de la Dirección de Desarrollo Urbano data de enero de 2022 por lo que toda información previa relativa a obras públicas debe constar en la Dirección de Obras Públicas, antes Dirección de Obras Públicas y Desarrollo Urbano.</w:t>
      </w:r>
    </w:p>
    <w:p w:rsidR="008D3E69" w:rsidRPr="002202CA" w:rsidRDefault="008D3E69">
      <w:pPr>
        <w:ind w:right="-1132"/>
        <w:rPr>
          <w:rFonts w:ascii="Palatino Linotype" w:eastAsia="Palatino Linotype" w:hAnsi="Palatino Linotype" w:cs="Palatino Linotype"/>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rPr>
      </w:pPr>
      <w:r w:rsidRPr="002202CA">
        <w:rPr>
          <w:rFonts w:ascii="Palatino Linotype" w:eastAsia="Palatino Linotype" w:hAnsi="Palatino Linotype" w:cs="Palatino Linotype"/>
        </w:rPr>
        <w:lastRenderedPageBreak/>
        <w:t xml:space="preserve">Posteriormente, el Recurrente interpuso recurso de revisión en el que señaló </w:t>
      </w:r>
      <w:r w:rsidRPr="002202CA">
        <w:rPr>
          <w:rFonts w:ascii="Palatino Linotype" w:eastAsia="Palatino Linotype" w:hAnsi="Palatino Linotype" w:cs="Palatino Linotype"/>
          <w:color w:val="000000"/>
        </w:rPr>
        <w:t xml:space="preserve">que  la Unidad de Transparencia del Sujeto Obligado no da vista a dicha dirección. </w:t>
      </w:r>
    </w:p>
    <w:p w:rsidR="002F0DFC" w:rsidRPr="002202CA" w:rsidRDefault="002F0DFC" w:rsidP="002F0DFC">
      <w:pPr>
        <w:spacing w:line="360" w:lineRule="auto"/>
        <w:ind w:right="-1132"/>
        <w:jc w:val="both"/>
        <w:rPr>
          <w:rFonts w:ascii="Palatino Linotype" w:eastAsia="Palatino Linotype" w:hAnsi="Palatino Linotype" w:cs="Palatino Linotype"/>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rPr>
      </w:pPr>
      <w:r w:rsidRPr="002202CA">
        <w:rPr>
          <w:rFonts w:ascii="Palatino Linotype" w:eastAsia="Palatino Linotype" w:hAnsi="Palatino Linotype" w:cs="Palatino Linotype"/>
        </w:rPr>
        <w:t xml:space="preserve">En consecuencia, la Litis a resolver en este recurso, se circunscribe a determinar si la respuesta colma con lo solicitado o si se actualiza la causal de procedencia prevista en el artículo 179, fracción XI  de la Ley de Transparencia y Acceso a la Información Pública del Estado de México y Municipios; que establece la falta de tramite a una solicitud.  </w:t>
      </w:r>
    </w:p>
    <w:p w:rsidR="008D3E69" w:rsidRPr="002202CA" w:rsidRDefault="008D3E69">
      <w:pPr>
        <w:spacing w:line="360" w:lineRule="auto"/>
        <w:ind w:right="-1132"/>
        <w:jc w:val="both"/>
        <w:rPr>
          <w:rFonts w:ascii="Palatino Linotype" w:eastAsia="Palatino Linotype" w:hAnsi="Palatino Linotype" w:cs="Palatino Linotype"/>
        </w:rPr>
      </w:pPr>
    </w:p>
    <w:p w:rsidR="002F0DFC" w:rsidRPr="002202CA" w:rsidRDefault="00EB748F">
      <w:pPr>
        <w:keepNext/>
        <w:keepLines/>
        <w:spacing w:line="360" w:lineRule="auto"/>
        <w:ind w:right="-1132"/>
        <w:rPr>
          <w:rFonts w:ascii="Palatino Linotype" w:eastAsia="Palatino Linotype" w:hAnsi="Palatino Linotype" w:cs="Palatino Linotype"/>
          <w:b/>
        </w:rPr>
      </w:pPr>
      <w:bookmarkStart w:id="5" w:name="_heading=h.tyjcwt" w:colFirst="0" w:colLast="0"/>
      <w:bookmarkEnd w:id="5"/>
      <w:r w:rsidRPr="002202CA">
        <w:rPr>
          <w:rFonts w:ascii="Palatino Linotype" w:eastAsia="Palatino Linotype" w:hAnsi="Palatino Linotype" w:cs="Palatino Linotype"/>
          <w:b/>
        </w:rPr>
        <w:t>CUARTO. Del estudio y resolución del recurso de revisión.</w:t>
      </w:r>
    </w:p>
    <w:p w:rsidR="002F0DFC" w:rsidRPr="002202CA" w:rsidRDefault="002F0DFC">
      <w:pPr>
        <w:keepNext/>
        <w:keepLines/>
        <w:spacing w:line="360" w:lineRule="auto"/>
        <w:ind w:right="-1132"/>
        <w:rPr>
          <w:rFonts w:ascii="Palatino Linotype" w:eastAsia="Palatino Linotype" w:hAnsi="Palatino Linotype" w:cs="Palatino Linotype"/>
          <w:b/>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rPr>
      </w:pPr>
      <w:r w:rsidRPr="002202CA">
        <w:rPr>
          <w:rFonts w:ascii="Palatino Linotype" w:eastAsia="Palatino Linotype" w:hAnsi="Palatino Linotype" w:cs="Palatino Linotype"/>
        </w:rPr>
        <w:t>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Ley de Transparencia y Acceso a la Información Pública del Estado de México y Municipios.</w:t>
      </w:r>
    </w:p>
    <w:p w:rsidR="008D3E69" w:rsidRPr="002202CA" w:rsidRDefault="008D3E69">
      <w:pPr>
        <w:spacing w:line="360" w:lineRule="auto"/>
        <w:ind w:right="-1132"/>
        <w:jc w:val="both"/>
        <w:rPr>
          <w:rFonts w:ascii="Palatino Linotype" w:eastAsia="Palatino Linotype" w:hAnsi="Palatino Linotype" w:cs="Palatino Linotype"/>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rPr>
      </w:pPr>
      <w:r w:rsidRPr="002202CA">
        <w:rPr>
          <w:rFonts w:ascii="Palatino Linotype" w:eastAsia="Palatino Linotype" w:hAnsi="Palatino Linotype" w:cs="Palatino Linotype"/>
        </w:rPr>
        <w:t xml:space="preserve">Ahora bien, en el presente caso, el Recurrente solicitó </w:t>
      </w:r>
    </w:p>
    <w:p w:rsidR="008D3E69" w:rsidRPr="002202CA" w:rsidRDefault="00EB748F">
      <w:pPr>
        <w:spacing w:line="360" w:lineRule="auto"/>
        <w:ind w:left="993" w:right="-565"/>
        <w:jc w:val="both"/>
        <w:rPr>
          <w:rFonts w:ascii="Palatino Linotype" w:eastAsia="Palatino Linotype" w:hAnsi="Palatino Linotype" w:cs="Palatino Linotype"/>
          <w:sz w:val="22"/>
          <w:szCs w:val="22"/>
        </w:rPr>
      </w:pPr>
      <w:r w:rsidRPr="002202CA">
        <w:rPr>
          <w:rFonts w:ascii="Palatino Linotype" w:eastAsia="Palatino Linotype" w:hAnsi="Palatino Linotype" w:cs="Palatino Linotype"/>
          <w:sz w:val="22"/>
          <w:szCs w:val="22"/>
        </w:rPr>
        <w:t>De la obra y/o proyecto de reparación y/o reconstrucción del puente conocido  “Puente de Santiago”, que atraviesa el Gran Canal de Desagüe en el municipio de Nextlalpan, Estado de México.</w:t>
      </w:r>
    </w:p>
    <w:p w:rsidR="008D3E69" w:rsidRPr="002202CA" w:rsidRDefault="008D3E69">
      <w:pPr>
        <w:spacing w:line="360" w:lineRule="auto"/>
        <w:ind w:right="-565"/>
        <w:jc w:val="both"/>
        <w:rPr>
          <w:rFonts w:ascii="Palatino Linotype" w:eastAsia="Palatino Linotype" w:hAnsi="Palatino Linotype" w:cs="Palatino Linotype"/>
          <w:sz w:val="22"/>
          <w:szCs w:val="22"/>
        </w:rPr>
      </w:pPr>
    </w:p>
    <w:p w:rsidR="008D3E69" w:rsidRPr="002202CA" w:rsidRDefault="00EB748F">
      <w:pPr>
        <w:spacing w:line="360" w:lineRule="auto"/>
        <w:ind w:left="993" w:right="-565"/>
        <w:jc w:val="both"/>
        <w:rPr>
          <w:rFonts w:ascii="Palatino Linotype" w:eastAsia="Palatino Linotype" w:hAnsi="Palatino Linotype" w:cs="Palatino Linotype"/>
          <w:sz w:val="22"/>
          <w:szCs w:val="22"/>
        </w:rPr>
      </w:pPr>
      <w:r w:rsidRPr="002202CA">
        <w:rPr>
          <w:rFonts w:ascii="Palatino Linotype" w:eastAsia="Palatino Linotype" w:hAnsi="Palatino Linotype" w:cs="Palatino Linotype"/>
          <w:sz w:val="22"/>
          <w:szCs w:val="22"/>
        </w:rPr>
        <w:t>1. Cuántos y cuáles fueron los permisos otorgados.</w:t>
      </w:r>
    </w:p>
    <w:p w:rsidR="008D3E69" w:rsidRPr="002202CA" w:rsidRDefault="00EB748F">
      <w:pPr>
        <w:spacing w:line="360" w:lineRule="auto"/>
        <w:ind w:left="993" w:right="-565"/>
        <w:jc w:val="both"/>
        <w:rPr>
          <w:rFonts w:ascii="Palatino Linotype" w:eastAsia="Palatino Linotype" w:hAnsi="Palatino Linotype" w:cs="Palatino Linotype"/>
          <w:sz w:val="22"/>
          <w:szCs w:val="22"/>
        </w:rPr>
      </w:pPr>
      <w:r w:rsidRPr="002202CA">
        <w:rPr>
          <w:rFonts w:ascii="Palatino Linotype" w:eastAsia="Palatino Linotype" w:hAnsi="Palatino Linotype" w:cs="Palatino Linotype"/>
          <w:sz w:val="22"/>
          <w:szCs w:val="22"/>
        </w:rPr>
        <w:t>2. Dependencia a la que se le otorgo la realización.</w:t>
      </w:r>
    </w:p>
    <w:p w:rsidR="008D3E69" w:rsidRPr="002202CA" w:rsidRDefault="008D3E69">
      <w:pPr>
        <w:pBdr>
          <w:top w:val="nil"/>
          <w:left w:val="nil"/>
          <w:bottom w:val="nil"/>
          <w:right w:val="nil"/>
          <w:between w:val="nil"/>
        </w:pBdr>
        <w:ind w:left="720" w:right="-565"/>
        <w:rPr>
          <w:rFonts w:ascii="Palatino Linotype" w:eastAsia="Palatino Linotype" w:hAnsi="Palatino Linotype" w:cs="Palatino Linotype"/>
          <w:color w:val="000000"/>
          <w:sz w:val="22"/>
          <w:szCs w:val="22"/>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rPr>
        <w:lastRenderedPageBreak/>
        <w:t xml:space="preserve">En respuesta, el Sujeto Obligado informó, </w:t>
      </w:r>
      <w:r w:rsidRPr="002202CA">
        <w:rPr>
          <w:rFonts w:ascii="Palatino Linotype" w:eastAsia="Palatino Linotype" w:hAnsi="Palatino Linotype" w:cs="Palatino Linotype"/>
          <w:color w:val="000000"/>
        </w:rPr>
        <w:t>que después de una búsqueda exhaustiva no se ha encontrado registro alguno de la información solicitada y aclaró que la creación de la Dirección de Desarrollo Urbano data de enero de 2022 por lo que toda información previa relativa a obras públicas debe constar en la Dirección de Obras Públicas, antes Dirección de Obras Públicas y Desarrollo Urbano.</w:t>
      </w:r>
    </w:p>
    <w:p w:rsidR="008D3E69" w:rsidRPr="002202CA" w:rsidRDefault="008D3E69">
      <w:pPr>
        <w:spacing w:line="360" w:lineRule="auto"/>
        <w:ind w:right="-1132"/>
        <w:jc w:val="both"/>
        <w:rPr>
          <w:rFonts w:ascii="Palatino Linotype" w:eastAsia="Palatino Linotype" w:hAnsi="Palatino Linotype" w:cs="Palatino Linotype"/>
          <w:color w:val="000000"/>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rPr>
      </w:pPr>
      <w:r w:rsidRPr="002202CA">
        <w:rPr>
          <w:rFonts w:ascii="Palatino Linotype" w:eastAsia="Palatino Linotype" w:hAnsi="Palatino Linotype" w:cs="Palatino Linotype"/>
        </w:rPr>
        <w:t xml:space="preserve">Posteriormente, el Recurrente interpuso recurso de revisión en el que señalo, </w:t>
      </w:r>
      <w:r w:rsidRPr="002202CA">
        <w:rPr>
          <w:rFonts w:ascii="Palatino Linotype" w:eastAsia="Palatino Linotype" w:hAnsi="Palatino Linotype" w:cs="Palatino Linotype"/>
          <w:color w:val="000000"/>
        </w:rPr>
        <w:t xml:space="preserve">que  la Unidad de Transparencia del Sujeto Obligado no da vista a dicha dirección. </w:t>
      </w:r>
    </w:p>
    <w:p w:rsidR="008D3E69" w:rsidRPr="002202CA" w:rsidRDefault="008D3E69">
      <w:pPr>
        <w:spacing w:line="360" w:lineRule="auto"/>
        <w:ind w:right="-1132"/>
        <w:jc w:val="both"/>
        <w:rPr>
          <w:rFonts w:ascii="Palatino Linotype" w:eastAsia="Palatino Linotype" w:hAnsi="Palatino Linotype" w:cs="Palatino Linotype"/>
          <w:color w:val="000000"/>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rPr>
      </w:pPr>
      <w:r w:rsidRPr="002202CA">
        <w:rPr>
          <w:rFonts w:ascii="Palatino Linotype" w:eastAsia="Palatino Linotype" w:hAnsi="Palatino Linotype" w:cs="Palatino Linotype"/>
          <w:color w:val="000000"/>
        </w:rPr>
        <w:t xml:space="preserve">Derivado de la respuesta emitida por el Sujeto Obligado resulta necesario señalar de manera enunciativa mas no limitativa que la información que pudiera colmar lo solicitado por el Recurrente, pudieran ser licencias de construcción, por lo que es oportuno señalar </w:t>
      </w:r>
      <w:r w:rsidRPr="002202CA">
        <w:rPr>
          <w:rFonts w:ascii="Palatino Linotype" w:eastAsia="Palatino Linotype" w:hAnsi="Palatino Linotype" w:cs="Palatino Linotype"/>
        </w:rPr>
        <w:t xml:space="preserve">al respecto sobre las </w:t>
      </w:r>
      <w:r w:rsidRPr="002202CA">
        <w:rPr>
          <w:rFonts w:ascii="Palatino Linotype" w:eastAsia="Palatino Linotype" w:hAnsi="Palatino Linotype" w:cs="Palatino Linotype"/>
          <w:b/>
          <w:u w:val="single"/>
        </w:rPr>
        <w:t>licencias de construcción</w:t>
      </w:r>
      <w:r w:rsidRPr="002202CA">
        <w:rPr>
          <w:rFonts w:ascii="Palatino Linotype" w:eastAsia="Palatino Linotype" w:hAnsi="Palatino Linotype" w:cs="Palatino Linotype"/>
        </w:rPr>
        <w:t>, por lo que  se trae a colación lo establecido por el Código Administrativo del Estado de México el cual establece lo siguiente:</w:t>
      </w:r>
    </w:p>
    <w:p w:rsidR="008D3E69" w:rsidRPr="002202CA" w:rsidRDefault="00EB748F">
      <w:pPr>
        <w:spacing w:line="360" w:lineRule="auto"/>
        <w:ind w:left="567"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b/>
          <w:i/>
          <w:sz w:val="22"/>
          <w:szCs w:val="22"/>
        </w:rPr>
        <w:t>Artículo 18.20.-</w:t>
      </w:r>
      <w:r w:rsidRPr="002202CA">
        <w:rPr>
          <w:rFonts w:ascii="Palatino Linotype" w:eastAsia="Palatino Linotype" w:hAnsi="Palatino Linotype" w:cs="Palatino Linotype"/>
          <w:i/>
          <w:sz w:val="22"/>
          <w:szCs w:val="22"/>
        </w:rPr>
        <w:t xml:space="preserve"> La licencia de construcción tiene por objeto autorizar:</w:t>
      </w:r>
    </w:p>
    <w:p w:rsidR="008D3E69" w:rsidRPr="002202CA" w:rsidRDefault="00EB748F">
      <w:pPr>
        <w:spacing w:line="360" w:lineRule="auto"/>
        <w:ind w:left="567"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I. Obra nueva;</w:t>
      </w:r>
    </w:p>
    <w:p w:rsidR="008D3E69" w:rsidRPr="002202CA" w:rsidRDefault="00EB748F">
      <w:pPr>
        <w:spacing w:line="360" w:lineRule="auto"/>
        <w:ind w:left="567"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II. Ampliación, modificación o reparación que afecte elementos estructurales de la obra existente;</w:t>
      </w:r>
    </w:p>
    <w:p w:rsidR="008D3E69" w:rsidRPr="002202CA" w:rsidRDefault="00EB748F">
      <w:pPr>
        <w:spacing w:line="360" w:lineRule="auto"/>
        <w:ind w:left="567"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III. Demolición parcial o total;</w:t>
      </w:r>
    </w:p>
    <w:p w:rsidR="008D3E69" w:rsidRPr="002202CA" w:rsidRDefault="00EB748F">
      <w:pPr>
        <w:spacing w:line="360" w:lineRule="auto"/>
        <w:ind w:left="567"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IV. Excavación o relleno;</w:t>
      </w:r>
    </w:p>
    <w:p w:rsidR="008D3E69" w:rsidRPr="002202CA" w:rsidRDefault="00EB748F">
      <w:pPr>
        <w:spacing w:line="360" w:lineRule="auto"/>
        <w:ind w:left="567"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V. Construcción de bardas;</w:t>
      </w:r>
    </w:p>
    <w:p w:rsidR="008D3E69" w:rsidRPr="002202CA" w:rsidRDefault="00EB748F">
      <w:pPr>
        <w:spacing w:line="360" w:lineRule="auto"/>
        <w:ind w:left="567"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VI. Obras de conexión a las redes de agua potable y drenaje;</w:t>
      </w:r>
    </w:p>
    <w:p w:rsidR="008D3E69" w:rsidRPr="002202CA" w:rsidRDefault="00EB748F">
      <w:pPr>
        <w:spacing w:line="360" w:lineRule="auto"/>
        <w:ind w:left="567"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VII. Modificación del proyecto de una obra autorizada;</w:t>
      </w:r>
    </w:p>
    <w:p w:rsidR="008D3E69" w:rsidRPr="002202CA" w:rsidRDefault="00EB748F">
      <w:pPr>
        <w:spacing w:line="360" w:lineRule="auto"/>
        <w:ind w:left="567"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VIII. Construcción e instalación de estaciones repetidoras y antenas para radiotelecomunicaciones;</w:t>
      </w:r>
    </w:p>
    <w:p w:rsidR="008D3E69" w:rsidRPr="002202CA" w:rsidRDefault="00EB748F">
      <w:pPr>
        <w:spacing w:line="360" w:lineRule="auto"/>
        <w:ind w:left="567"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IX. Anuncios publicitarios que requieran de elementos estructurales; y</w:t>
      </w:r>
    </w:p>
    <w:p w:rsidR="008D3E69" w:rsidRPr="002202CA" w:rsidRDefault="00EB748F">
      <w:pPr>
        <w:spacing w:line="360" w:lineRule="auto"/>
        <w:ind w:left="567"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lastRenderedPageBreak/>
        <w:t>X. Instalaciones o modificaciones de ascensores para personas, montacargas, escaleras mecánicas o cualquier otro mecanismo de transporte electromecánico.</w:t>
      </w:r>
    </w:p>
    <w:p w:rsidR="008D3E69" w:rsidRPr="002202CA" w:rsidRDefault="00EB748F">
      <w:pPr>
        <w:spacing w:line="360" w:lineRule="auto"/>
        <w:ind w:left="567"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La licencia de construcción tendrá vigencia de un año y podrá autorizar, además del uso de la vía pública, uno o más de los rubros señalados, conforme a la solicitud que se presente.</w:t>
      </w:r>
    </w:p>
    <w:p w:rsidR="008D3E69" w:rsidRPr="002202CA" w:rsidRDefault="008D3E69">
      <w:pPr>
        <w:spacing w:line="360" w:lineRule="auto"/>
        <w:ind w:left="567" w:right="-565"/>
        <w:jc w:val="both"/>
        <w:rPr>
          <w:rFonts w:ascii="Palatino Linotype" w:eastAsia="Palatino Linotype" w:hAnsi="Palatino Linotype" w:cs="Palatino Linotype"/>
          <w:i/>
          <w:sz w:val="22"/>
          <w:szCs w:val="22"/>
        </w:rPr>
      </w:pPr>
    </w:p>
    <w:p w:rsidR="008D3E69" w:rsidRPr="002202CA" w:rsidRDefault="00EB748F">
      <w:pPr>
        <w:spacing w:line="360" w:lineRule="auto"/>
        <w:ind w:left="567"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La autoridad municipal que emita la licencia de construcción deberá revisar que en el proyecto que autoriza se observen las disposiciones de este Libro, las Normas Técnicas y demás disposiciones jurídicas aplicables y deberá otorgar o negar la misma dando respuesta en un plazo no mayor de tres días hábiles posteriores a la fecha de presentación o recepción de la solicitud que reúna todos los requisitos establecidos en la Ley.</w:t>
      </w:r>
    </w:p>
    <w:p w:rsidR="008D3E69" w:rsidRPr="002202CA" w:rsidRDefault="00EB748F">
      <w:pPr>
        <w:spacing w:line="360" w:lineRule="auto"/>
        <w:ind w:left="567"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w:t>
      </w:r>
    </w:p>
    <w:p w:rsidR="008D3E69" w:rsidRPr="002202CA" w:rsidRDefault="008D3E69">
      <w:pPr>
        <w:spacing w:line="360" w:lineRule="auto"/>
        <w:ind w:left="567" w:right="-1132"/>
        <w:jc w:val="both"/>
        <w:rPr>
          <w:rFonts w:ascii="Palatino Linotype" w:eastAsia="Palatino Linotype" w:hAnsi="Palatino Linotype" w:cs="Palatino Linotype"/>
          <w:i/>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color w:val="000000"/>
        </w:rPr>
        <w:t>Con</w:t>
      </w:r>
      <w:r w:rsidRPr="002202CA">
        <w:rPr>
          <w:rFonts w:ascii="Palatino Linotype" w:eastAsia="Palatino Linotype" w:hAnsi="Palatino Linotype" w:cs="Palatino Linotype"/>
        </w:rPr>
        <w:t xml:space="preserve"> la normatividad transcrita, se concluye que el Sujeto Obligado tiene la facultad para emitir licencias de construcción, mismas que son interés del Particular, por lo que debe tener en sus archivos los documentos de los que se desprenda lo que el Recurrente solicita; respecto las licencias de construcción.</w:t>
      </w:r>
    </w:p>
    <w:p w:rsidR="008D3E69" w:rsidRPr="002202CA" w:rsidRDefault="008D3E69">
      <w:pPr>
        <w:spacing w:line="360" w:lineRule="auto"/>
        <w:ind w:right="-1132"/>
        <w:jc w:val="both"/>
        <w:rPr>
          <w:rFonts w:ascii="Palatino Linotype" w:eastAsia="Palatino Linotype" w:hAnsi="Palatino Linotype" w:cs="Palatino Linotype"/>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rPr>
      </w:pPr>
      <w:r w:rsidRPr="002202CA">
        <w:rPr>
          <w:rFonts w:ascii="Palatino Linotype" w:eastAsia="Palatino Linotype" w:hAnsi="Palatino Linotype" w:cs="Palatino Linotype"/>
        </w:rPr>
        <w:t>Ahora bien, derivado de la respuesta del Sujeto Obligado y de la  inconformidad realizada por el Recurrente en el Recurso, resulta necesario traer a contexto la Ley Orgánica Municipal del Estado de México, la cual establece lo siguiente.</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b/>
          <w:i/>
          <w:color w:val="000000"/>
          <w:sz w:val="22"/>
          <w:szCs w:val="22"/>
        </w:rPr>
        <w:t>Artículo 87</w:t>
      </w:r>
      <w:r w:rsidRPr="002202CA">
        <w:rPr>
          <w:rFonts w:ascii="Palatino Linotype" w:eastAsia="Palatino Linotype" w:hAnsi="Palatino Linotype" w:cs="Palatino Linotype"/>
          <w:i/>
          <w:color w:val="000000"/>
          <w:sz w:val="22"/>
          <w:szCs w:val="22"/>
        </w:rPr>
        <w:t>.- Para el despacho, estudio y planeación de los diversos asuntos de la</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proofErr w:type="gramStart"/>
      <w:r w:rsidRPr="002202CA">
        <w:rPr>
          <w:rFonts w:ascii="Palatino Linotype" w:eastAsia="Palatino Linotype" w:hAnsi="Palatino Linotype" w:cs="Palatino Linotype"/>
          <w:i/>
          <w:color w:val="000000"/>
          <w:sz w:val="22"/>
          <w:szCs w:val="22"/>
        </w:rPr>
        <w:t>administración</w:t>
      </w:r>
      <w:proofErr w:type="gramEnd"/>
      <w:r w:rsidRPr="002202CA">
        <w:rPr>
          <w:rFonts w:ascii="Palatino Linotype" w:eastAsia="Palatino Linotype" w:hAnsi="Palatino Linotype" w:cs="Palatino Linotype"/>
          <w:i/>
          <w:color w:val="000000"/>
          <w:sz w:val="22"/>
          <w:szCs w:val="22"/>
        </w:rPr>
        <w:t xml:space="preserve"> municipal, el ayuntamiento contará por lo menos con las siguientes</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Dependencias:</w:t>
      </w:r>
    </w:p>
    <w:p w:rsidR="008D3E69" w:rsidRPr="002202CA" w:rsidRDefault="008D3E69">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III. La Dirección de Obras Públicas o equivalente.</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V. La Dirección de Desarrollo Urbano o equivalente;</w:t>
      </w:r>
    </w:p>
    <w:p w:rsidR="008D3E69" w:rsidRPr="002202CA" w:rsidRDefault="008D3E69">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p>
    <w:p w:rsidR="008D3E69" w:rsidRPr="002202CA" w:rsidRDefault="008D3E69">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b/>
          <w:i/>
          <w:color w:val="000000"/>
          <w:sz w:val="22"/>
          <w:szCs w:val="22"/>
        </w:rPr>
        <w:t>Artículo 96. Bis.-</w:t>
      </w:r>
      <w:r w:rsidRPr="002202CA">
        <w:rPr>
          <w:rFonts w:ascii="Palatino Linotype" w:eastAsia="Palatino Linotype" w:hAnsi="Palatino Linotype" w:cs="Palatino Linotype"/>
          <w:i/>
          <w:color w:val="000000"/>
          <w:sz w:val="22"/>
          <w:szCs w:val="22"/>
        </w:rPr>
        <w:t xml:space="preserve"> El Director de Obras Públicas o el Titular de la Unidad Administrativa equivalente, tiene las siguientes atribuciones: </w:t>
      </w:r>
    </w:p>
    <w:p w:rsidR="008D3E69" w:rsidRPr="002202CA" w:rsidRDefault="008D3E69">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p>
    <w:p w:rsidR="008D3E69" w:rsidRPr="002202CA" w:rsidRDefault="00EB748F">
      <w:pPr>
        <w:numPr>
          <w:ilvl w:val="0"/>
          <w:numId w:val="7"/>
        </w:numPr>
        <w:pBdr>
          <w:top w:val="nil"/>
          <w:left w:val="nil"/>
          <w:bottom w:val="nil"/>
          <w:right w:val="nil"/>
          <w:between w:val="nil"/>
        </w:pBdr>
        <w:ind w:left="851" w:right="-565" w:hanging="22"/>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Realizar la programación y ejecución de las obras públicas y servicios relacionados, que por orden expresa del Ayuntamiento requieran prioridad; </w:t>
      </w:r>
    </w:p>
    <w:p w:rsidR="008D3E69" w:rsidRPr="002202CA" w:rsidRDefault="00EB748F">
      <w:pPr>
        <w:numPr>
          <w:ilvl w:val="0"/>
          <w:numId w:val="7"/>
        </w:numPr>
        <w:pBdr>
          <w:top w:val="nil"/>
          <w:left w:val="nil"/>
          <w:bottom w:val="nil"/>
          <w:right w:val="nil"/>
          <w:between w:val="nil"/>
        </w:pBdr>
        <w:ind w:left="851" w:right="-565" w:hanging="22"/>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Planear y coordinar los proyectos de obras públicas y servicios relacionados con las mismas que autorice el Ayuntamiento, una vez que se cumplan los requisitos de licitación y otros que determine la ley de la materia;</w:t>
      </w:r>
    </w:p>
    <w:p w:rsidR="008D3E69" w:rsidRPr="002202CA" w:rsidRDefault="00EB748F">
      <w:pPr>
        <w:pBdr>
          <w:top w:val="nil"/>
          <w:left w:val="nil"/>
          <w:bottom w:val="nil"/>
          <w:right w:val="nil"/>
          <w:between w:val="nil"/>
        </w:pBdr>
        <w:ind w:left="829"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829"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IV. Construir y ejecutar todas aquellas obras públicas y servicios relacionados, que aumenten y mantengan la infraestructura municipal y que estén consideradas en el programa respectivo; </w:t>
      </w:r>
    </w:p>
    <w:p w:rsidR="008D3E69" w:rsidRPr="002202CA" w:rsidRDefault="00EB748F">
      <w:pPr>
        <w:ind w:left="851"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V Determinar y cuantificar los materiales y trabajos necesarios para programas de construcción y mantenimiento de obras públicas y servicios relacionados; </w:t>
      </w:r>
    </w:p>
    <w:p w:rsidR="008D3E69" w:rsidRPr="002202CA" w:rsidRDefault="00EB748F">
      <w:pPr>
        <w:numPr>
          <w:ilvl w:val="0"/>
          <w:numId w:val="8"/>
        </w:numPr>
        <w:pBdr>
          <w:top w:val="nil"/>
          <w:left w:val="nil"/>
          <w:bottom w:val="nil"/>
          <w:right w:val="nil"/>
          <w:between w:val="nil"/>
        </w:pBdr>
        <w:ind w:left="851" w:right="-565" w:firstLine="0"/>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Vigilar que se cumplan y lleven a cabo los programas de construcción y mantenimiento de obras públicas y servicios relacionados; </w:t>
      </w:r>
    </w:p>
    <w:p w:rsidR="008D3E69" w:rsidRPr="002202CA" w:rsidRDefault="00EB748F">
      <w:pPr>
        <w:numPr>
          <w:ilvl w:val="0"/>
          <w:numId w:val="8"/>
        </w:numPr>
        <w:pBdr>
          <w:top w:val="nil"/>
          <w:left w:val="nil"/>
          <w:bottom w:val="nil"/>
          <w:right w:val="nil"/>
          <w:between w:val="nil"/>
        </w:pBdr>
        <w:ind w:left="851" w:right="-565" w:firstLine="0"/>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Cuidar que las obras públicas y servicios relacionados cumplan con los requisitos de seguridad y observen las normas de construcción y términos establecidos;</w:t>
      </w:r>
    </w:p>
    <w:p w:rsidR="008D3E69" w:rsidRPr="002202CA" w:rsidRDefault="00EB748F">
      <w:pPr>
        <w:numPr>
          <w:ilvl w:val="0"/>
          <w:numId w:val="8"/>
        </w:numPr>
        <w:pBdr>
          <w:top w:val="nil"/>
          <w:left w:val="nil"/>
          <w:bottom w:val="nil"/>
          <w:right w:val="nil"/>
          <w:between w:val="nil"/>
        </w:pBdr>
        <w:ind w:left="851" w:right="-565" w:firstLine="0"/>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Vigilar la construcción en las obras por contrato y por administración que hayan sido adjudicadas a los contratistas;</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IX. Administrar y ejercer, en el ámbito de su competencia, de manera coordinada con el Tesorero municipal, los recursos públicos destinados a la planeación, programación, </w:t>
      </w:r>
      <w:proofErr w:type="spellStart"/>
      <w:r w:rsidRPr="002202CA">
        <w:rPr>
          <w:rFonts w:ascii="Palatino Linotype" w:eastAsia="Palatino Linotype" w:hAnsi="Palatino Linotype" w:cs="Palatino Linotype"/>
          <w:i/>
          <w:color w:val="000000"/>
          <w:sz w:val="22"/>
          <w:szCs w:val="22"/>
        </w:rPr>
        <w:t>presupuestación</w:t>
      </w:r>
      <w:proofErr w:type="spellEnd"/>
      <w:r w:rsidRPr="002202CA">
        <w:rPr>
          <w:rFonts w:ascii="Palatino Linotype" w:eastAsia="Palatino Linotype" w:hAnsi="Palatino Linotype" w:cs="Palatino Linotype"/>
          <w:i/>
          <w:color w:val="000000"/>
          <w:sz w:val="22"/>
          <w:szCs w:val="22"/>
        </w:rPr>
        <w:t>, adjudicación, contratación, ejecución y control de la obra pública, conforme a las disposiciones legales aplicables y en congruencia con los planes, programas, especificaciones técnicas, controles y procedimientos administrativos aprobados;</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 X. Verificar que las obras públicas y los servicios relacionados con la misma, hayan sido programadas, presupuestadas, ejecutadas, adquiridas y contratadas en estricto apego a las disposiciones legales aplicables; </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XI. Integrar y verificar que se elaboren de manera correcta y completa las bitácoras y/o expedientes abiertos con motivo de la obra pública y servicios relacionados con la misma, conforme a lo establecido en las disposiciones legales aplicables; </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XII. Promover la construcción de urbanización, infraestructura y equipamiento urbano; </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 </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 </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XVII. Ejecutar y mantener las obras públicas que acuerde el Ayuntamiento, de acuerdo a la legislación y normatividad aplicable, a los planes, presupuestos y programas previamente establecidos, coordinándose, en su caso, previo acuerdo con el Presidente Municipal, con las </w:t>
      </w:r>
      <w:r w:rsidRPr="002202CA">
        <w:rPr>
          <w:rFonts w:ascii="Palatino Linotype" w:eastAsia="Palatino Linotype" w:hAnsi="Palatino Linotype" w:cs="Palatino Linotype"/>
          <w:i/>
          <w:color w:val="000000"/>
          <w:sz w:val="22"/>
          <w:szCs w:val="22"/>
        </w:rPr>
        <w:lastRenderedPageBreak/>
        <w:t xml:space="preserve">autoridades Federales, Estatales y municipales concurrentes; XVIII. Vigilar que la ejecución de la obra pública adjudicada y los servicios relacionados con ésta, se sujeten a las condiciones contratadas; </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XIX. Establecer los lineamientos para la realización de estudios y proyectos de construcción de obras públicas;</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XX. Autorizar para su pago, previa validación del avance y calidad de las obras, los presupuestos y estimaciones que presenten los contratistas de obras públicas municipales;</w:t>
      </w: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XXII. Coordinar y supervisar que todo el proceso de las obras públicas que se realicen en el municipio se realice conforme a la legislación y normatividad en materia de obra pública;</w:t>
      </w:r>
    </w:p>
    <w:p w:rsidR="008D3E69" w:rsidRPr="002202CA" w:rsidRDefault="008D3E69">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b/>
          <w:i/>
          <w:color w:val="000000"/>
          <w:sz w:val="22"/>
          <w:szCs w:val="22"/>
        </w:rPr>
        <w:t xml:space="preserve">Artículo 96. </w:t>
      </w:r>
      <w:proofErr w:type="spellStart"/>
      <w:r w:rsidRPr="002202CA">
        <w:rPr>
          <w:rFonts w:ascii="Palatino Linotype" w:eastAsia="Palatino Linotype" w:hAnsi="Palatino Linotype" w:cs="Palatino Linotype"/>
          <w:b/>
          <w:i/>
          <w:color w:val="000000"/>
          <w:sz w:val="22"/>
          <w:szCs w:val="22"/>
        </w:rPr>
        <w:t>Sexies</w:t>
      </w:r>
      <w:proofErr w:type="spellEnd"/>
      <w:r w:rsidRPr="002202CA">
        <w:rPr>
          <w:rFonts w:ascii="Palatino Linotype" w:eastAsia="Palatino Linotype" w:hAnsi="Palatino Linotype" w:cs="Palatino Linotype"/>
          <w:b/>
          <w:i/>
          <w:color w:val="000000"/>
          <w:sz w:val="22"/>
          <w:szCs w:val="22"/>
        </w:rPr>
        <w:t>.</w:t>
      </w:r>
      <w:r w:rsidRPr="002202CA">
        <w:rPr>
          <w:rFonts w:ascii="Palatino Linotype" w:eastAsia="Palatino Linotype" w:hAnsi="Palatino Linotype" w:cs="Palatino Linotype"/>
          <w:i/>
          <w:color w:val="000000"/>
          <w:sz w:val="22"/>
          <w:szCs w:val="22"/>
        </w:rPr>
        <w:t xml:space="preserve"> El Director de Desarrollo Urbano o el Titular de la Unidad Administrativa equivalente, tiene las atribuciones siguientes: </w:t>
      </w:r>
    </w:p>
    <w:p w:rsidR="008D3E69" w:rsidRPr="002202CA" w:rsidRDefault="008D3E69">
      <w:pPr>
        <w:pBdr>
          <w:top w:val="nil"/>
          <w:left w:val="nil"/>
          <w:bottom w:val="nil"/>
          <w:right w:val="nil"/>
          <w:between w:val="nil"/>
        </w:pBdr>
        <w:ind w:left="851" w:right="-565"/>
        <w:jc w:val="both"/>
        <w:rPr>
          <w:rFonts w:ascii="Palatino Linotype" w:eastAsia="Palatino Linotype" w:hAnsi="Palatino Linotype" w:cs="Palatino Linotype"/>
          <w:i/>
          <w:color w:val="000000"/>
          <w:sz w:val="22"/>
          <w:szCs w:val="22"/>
        </w:rPr>
      </w:pPr>
    </w:p>
    <w:p w:rsidR="008D3E69" w:rsidRPr="002202CA" w:rsidRDefault="00EB748F">
      <w:pPr>
        <w:ind w:left="851"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I. Ejecutar la política en materia de reordenamiento urbano; </w:t>
      </w:r>
    </w:p>
    <w:p w:rsidR="008D3E69" w:rsidRPr="002202CA" w:rsidRDefault="00EB748F">
      <w:pPr>
        <w:ind w:left="851"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II. Formular y conducir las políticas municipales de asentamientos humanos, urbanismo y vivienda; </w:t>
      </w:r>
    </w:p>
    <w:p w:rsidR="008D3E69" w:rsidRPr="002202CA" w:rsidRDefault="00EB748F">
      <w:pPr>
        <w:ind w:left="851"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III. Aplicar y vigilar el cumplimiento de las disposiciones legales en materia de ordenamiento territorial de los asentamientos humanos, del desarrollo urbano y vivienda; </w:t>
      </w:r>
    </w:p>
    <w:p w:rsidR="008D3E69" w:rsidRPr="002202CA" w:rsidRDefault="00EB748F">
      <w:pPr>
        <w:ind w:left="851"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IV. Proponer el plan municipal de desarrollo urbano, así como sus modificaciones, y los parciales que de ellos deriven; </w:t>
      </w:r>
    </w:p>
    <w:p w:rsidR="008D3E69" w:rsidRPr="002202CA" w:rsidRDefault="00EB748F">
      <w:pPr>
        <w:ind w:left="851"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V. Participar en la elaboración o modificación del respectivo plan regional de desarrollo urbano o de los parciales que de éste deriven, cuando incluya parte o la totalidad de su territorio; </w:t>
      </w:r>
    </w:p>
    <w:p w:rsidR="008D3E69" w:rsidRPr="002202CA" w:rsidRDefault="00EB748F">
      <w:pPr>
        <w:ind w:left="851"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VI. Analizar las cédulas informativas de zonificación, licencias de uso de suelo y licencias de construcción; </w:t>
      </w:r>
    </w:p>
    <w:p w:rsidR="008D3E69" w:rsidRPr="002202CA" w:rsidRDefault="00EB748F">
      <w:pPr>
        <w:ind w:left="851"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VII. Vigilar la utilización y aprovechamiento del suelo con fines urbanos, en su circunscripción territorial; </w:t>
      </w:r>
    </w:p>
    <w:p w:rsidR="008D3E69" w:rsidRPr="002202CA" w:rsidRDefault="00EB748F">
      <w:pPr>
        <w:ind w:left="851"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VIII. Proponer al Presidente Municipal, convenios, contratos y acuerdos, y </w:t>
      </w:r>
    </w:p>
    <w:p w:rsidR="008D3E69" w:rsidRPr="002202CA" w:rsidRDefault="00EB748F">
      <w:pPr>
        <w:ind w:left="851"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IX. Las demás que le sean conferidas por el Presidente Municipal o por el Ayuntamiento y las establecidas en las disposiciones jurídicas aplicables.</w:t>
      </w:r>
    </w:p>
    <w:p w:rsidR="008D3E69" w:rsidRPr="002202CA" w:rsidRDefault="008D3E69">
      <w:pPr>
        <w:ind w:left="851" w:right="-1132"/>
        <w:jc w:val="both"/>
        <w:rPr>
          <w:rFonts w:ascii="Palatino Linotype" w:eastAsia="Palatino Linotype" w:hAnsi="Palatino Linotype" w:cs="Palatino Linotype"/>
          <w:i/>
        </w:rPr>
      </w:pPr>
    </w:p>
    <w:p w:rsidR="008D3E69" w:rsidRPr="002202CA" w:rsidRDefault="008D3E69">
      <w:pPr>
        <w:ind w:left="851" w:right="-1132"/>
        <w:jc w:val="both"/>
        <w:rPr>
          <w:rFonts w:ascii="Palatino Linotype" w:eastAsia="Palatino Linotype" w:hAnsi="Palatino Linotype" w:cs="Palatino Linotype"/>
          <w:i/>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rPr>
      </w:pPr>
      <w:r w:rsidRPr="002202CA">
        <w:rPr>
          <w:rFonts w:ascii="Palatino Linotype" w:eastAsia="Palatino Linotype" w:hAnsi="Palatino Linotype" w:cs="Palatino Linotype"/>
        </w:rPr>
        <w:t xml:space="preserve">La Ley Orgánica Municipal del Estado de México, establece que los ayuntamientos, podrán contar con dependencias  para el despacho de sus asuntos, entre los que cabe señalar se encuentran la Dirección de Obras Públicas y la Dirección de Desarrollo Urbano, de igual manera esta les otorga facultades y atribuciones, para el estudio y planeación de los asuntos </w:t>
      </w:r>
    </w:p>
    <w:p w:rsidR="008D3E69" w:rsidRPr="002202CA" w:rsidRDefault="008D3E69">
      <w:pPr>
        <w:spacing w:line="360" w:lineRule="auto"/>
        <w:ind w:right="-1132"/>
        <w:jc w:val="both"/>
        <w:rPr>
          <w:rFonts w:ascii="Palatino Linotype" w:eastAsia="Palatino Linotype" w:hAnsi="Palatino Linotype" w:cs="Palatino Linotype"/>
          <w:color w:val="000000"/>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rPr>
        <w:lastRenderedPageBreak/>
        <w:t>El</w:t>
      </w:r>
      <w:r w:rsidRPr="002202CA">
        <w:rPr>
          <w:rFonts w:ascii="Palatino Linotype" w:eastAsia="Palatino Linotype" w:hAnsi="Palatino Linotype" w:cs="Palatino Linotype"/>
          <w:color w:val="000000"/>
        </w:rPr>
        <w:t xml:space="preserve"> Bando Municipal del Ayuntamiento de </w:t>
      </w:r>
      <w:r w:rsidRPr="002202CA">
        <w:rPr>
          <w:rFonts w:ascii="Palatino Linotype" w:eastAsia="Palatino Linotype" w:hAnsi="Palatino Linotype" w:cs="Palatino Linotype"/>
        </w:rPr>
        <w:t>Nextlalpan</w:t>
      </w:r>
      <w:r w:rsidRPr="002202CA">
        <w:rPr>
          <w:rFonts w:ascii="Palatino Linotype" w:eastAsia="Palatino Linotype" w:hAnsi="Palatino Linotype" w:cs="Palatino Linotype"/>
          <w:color w:val="000000"/>
        </w:rPr>
        <w:t xml:space="preserve"> establece lo siguiente.</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Artículo 42.- Para el ejercicio de sus atribuciones y responsabilidades ejecutivas, el Ayuntamiento se auxiliará de las siguientes Dependencias de la Administración Pública Municipal, mismas que están subordinadas a la Presidenta Municipal:</w:t>
      </w:r>
    </w:p>
    <w:p w:rsidR="008D3E69" w:rsidRPr="002202CA" w:rsidRDefault="008D3E69">
      <w:pPr>
        <w:spacing w:line="360" w:lineRule="auto"/>
        <w:ind w:left="425" w:right="-565"/>
        <w:jc w:val="both"/>
        <w:rPr>
          <w:rFonts w:ascii="Palatino Linotype" w:eastAsia="Palatino Linotype" w:hAnsi="Palatino Linotype" w:cs="Palatino Linotype"/>
          <w:i/>
          <w:sz w:val="22"/>
          <w:szCs w:val="22"/>
        </w:rPr>
      </w:pPr>
    </w:p>
    <w:p w:rsidR="008D3E69" w:rsidRPr="002202CA" w:rsidRDefault="00EB748F">
      <w:pPr>
        <w:spacing w:line="360" w:lineRule="auto"/>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w:t>
      </w:r>
    </w:p>
    <w:p w:rsidR="008D3E69" w:rsidRPr="002202CA" w:rsidRDefault="00EB748F">
      <w:pPr>
        <w:numPr>
          <w:ilvl w:val="0"/>
          <w:numId w:val="7"/>
        </w:numPr>
        <w:pBdr>
          <w:top w:val="nil"/>
          <w:left w:val="nil"/>
          <w:bottom w:val="nil"/>
          <w:right w:val="nil"/>
          <w:between w:val="nil"/>
        </w:pBdr>
        <w:spacing w:line="360" w:lineRule="auto"/>
        <w:ind w:left="425" w:right="-565" w:firstLine="0"/>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Direcciones de:</w:t>
      </w:r>
    </w:p>
    <w:p w:rsidR="008D3E69" w:rsidRPr="002202CA" w:rsidRDefault="00EB748F">
      <w:pPr>
        <w:pBdr>
          <w:top w:val="nil"/>
          <w:left w:val="nil"/>
          <w:bottom w:val="nil"/>
          <w:right w:val="nil"/>
          <w:between w:val="nil"/>
        </w:pBdr>
        <w:spacing w:line="360" w:lineRule="auto"/>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spacing w:line="360" w:lineRule="auto"/>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spacing w:line="360" w:lineRule="auto"/>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d). Obras Públicas; </w:t>
      </w:r>
    </w:p>
    <w:p w:rsidR="008D3E69" w:rsidRPr="002202CA" w:rsidRDefault="00EB748F">
      <w:pPr>
        <w:pBdr>
          <w:top w:val="nil"/>
          <w:left w:val="nil"/>
          <w:bottom w:val="nil"/>
          <w:right w:val="nil"/>
          <w:between w:val="nil"/>
        </w:pBdr>
        <w:spacing w:line="360" w:lineRule="auto"/>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e). Desarrollo Urbano;</w:t>
      </w:r>
    </w:p>
    <w:p w:rsidR="008D3E69" w:rsidRPr="002202CA" w:rsidRDefault="00EB748F">
      <w:pPr>
        <w:pBdr>
          <w:top w:val="nil"/>
          <w:left w:val="nil"/>
          <w:bottom w:val="nil"/>
          <w:right w:val="nil"/>
          <w:between w:val="nil"/>
        </w:pBdr>
        <w:spacing w:line="360" w:lineRule="auto"/>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8D3E69">
      <w:pPr>
        <w:pBdr>
          <w:top w:val="nil"/>
          <w:left w:val="nil"/>
          <w:bottom w:val="nil"/>
          <w:right w:val="nil"/>
          <w:between w:val="nil"/>
        </w:pBdr>
        <w:spacing w:line="360" w:lineRule="auto"/>
        <w:ind w:left="425" w:right="-565"/>
        <w:jc w:val="both"/>
        <w:rPr>
          <w:rFonts w:ascii="Palatino Linotype" w:eastAsia="Palatino Linotype" w:hAnsi="Palatino Linotype" w:cs="Palatino Linotype"/>
          <w:i/>
          <w:color w:val="000000"/>
          <w:sz w:val="22"/>
          <w:szCs w:val="22"/>
        </w:rPr>
      </w:pPr>
    </w:p>
    <w:p w:rsidR="008D3E69" w:rsidRPr="002202CA" w:rsidRDefault="00EB748F">
      <w:pPr>
        <w:spacing w:line="360" w:lineRule="auto"/>
        <w:ind w:left="425" w:right="-565"/>
        <w:jc w:val="center"/>
        <w:rPr>
          <w:rFonts w:ascii="Palatino Linotype" w:eastAsia="Palatino Linotype" w:hAnsi="Palatino Linotype" w:cs="Palatino Linotype"/>
          <w:b/>
          <w:i/>
          <w:sz w:val="22"/>
          <w:szCs w:val="22"/>
        </w:rPr>
      </w:pPr>
      <w:r w:rsidRPr="002202CA">
        <w:rPr>
          <w:rFonts w:ascii="Palatino Linotype" w:eastAsia="Palatino Linotype" w:hAnsi="Palatino Linotype" w:cs="Palatino Linotype"/>
          <w:b/>
          <w:i/>
          <w:sz w:val="22"/>
          <w:szCs w:val="22"/>
        </w:rPr>
        <w:t>CAPÍTULO IX.</w:t>
      </w:r>
    </w:p>
    <w:p w:rsidR="008D3E69" w:rsidRPr="002202CA" w:rsidRDefault="00EB748F">
      <w:pPr>
        <w:spacing w:line="360" w:lineRule="auto"/>
        <w:ind w:left="425" w:right="-565"/>
        <w:jc w:val="center"/>
        <w:rPr>
          <w:rFonts w:ascii="Palatino Linotype" w:eastAsia="Palatino Linotype" w:hAnsi="Palatino Linotype" w:cs="Palatino Linotype"/>
          <w:b/>
          <w:i/>
          <w:sz w:val="22"/>
          <w:szCs w:val="22"/>
        </w:rPr>
      </w:pPr>
      <w:r w:rsidRPr="002202CA">
        <w:rPr>
          <w:rFonts w:ascii="Palatino Linotype" w:eastAsia="Palatino Linotype" w:hAnsi="Palatino Linotype" w:cs="Palatino Linotype"/>
          <w:b/>
          <w:i/>
          <w:sz w:val="22"/>
          <w:szCs w:val="22"/>
        </w:rPr>
        <w:t>DIRECCIÓN DE OBRAS</w:t>
      </w:r>
    </w:p>
    <w:p w:rsidR="008D3E69" w:rsidRPr="002202CA" w:rsidRDefault="00EB748F">
      <w:pPr>
        <w:spacing w:line="360" w:lineRule="auto"/>
        <w:ind w:left="425" w:right="-565"/>
        <w:jc w:val="center"/>
        <w:rPr>
          <w:rFonts w:ascii="Palatino Linotype" w:eastAsia="Palatino Linotype" w:hAnsi="Palatino Linotype" w:cs="Palatino Linotype"/>
          <w:b/>
          <w:i/>
          <w:sz w:val="22"/>
          <w:szCs w:val="22"/>
        </w:rPr>
      </w:pPr>
      <w:r w:rsidRPr="002202CA">
        <w:rPr>
          <w:rFonts w:ascii="Palatino Linotype" w:eastAsia="Palatino Linotype" w:hAnsi="Palatino Linotype" w:cs="Palatino Linotype"/>
          <w:b/>
          <w:i/>
          <w:sz w:val="22"/>
          <w:szCs w:val="22"/>
        </w:rPr>
        <w:t>PÚBLICAS</w:t>
      </w: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Artículo 66.- La Dirección de Obras Públicas, tiene como objeto planear, programar, presupuestar, adjudicar, contratar, ejecutar, vigilar, supervisar, controlar, recibir, conservar y mantener las Obras Públicas Municipales, de acuerdo a las disposiciones legales aplicables. Para el desarrollo de sus funciones se integrará de Subdirecciones, Coordinaciones, área de concursos y contratos, área de planeación y proyectos así como área de supervisión de obra. </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Artículo 67.- La Dirección de Obras Públicas, con fundamento en el Libro Décimo Segundo del Código Administrativo del Estado de México, la Ley de Contratación Pública del Estado de México y Municipios, la Ley de Obras Publicas y Adquisiciones de la Federación; así como sus respectivos Reglamentos y demás disposiciones administrativas, tiene las siguientes atribuciones en materia de Obra Pública: </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numPr>
          <w:ilvl w:val="0"/>
          <w:numId w:val="9"/>
        </w:numPr>
        <w:pBdr>
          <w:top w:val="nil"/>
          <w:left w:val="nil"/>
          <w:bottom w:val="nil"/>
          <w:right w:val="nil"/>
          <w:between w:val="nil"/>
        </w:pBdr>
        <w:ind w:left="425" w:right="-565" w:firstLine="0"/>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numPr>
          <w:ilvl w:val="0"/>
          <w:numId w:val="9"/>
        </w:numPr>
        <w:pBdr>
          <w:top w:val="nil"/>
          <w:left w:val="nil"/>
          <w:bottom w:val="nil"/>
          <w:right w:val="nil"/>
          <w:between w:val="nil"/>
        </w:pBdr>
        <w:ind w:left="425" w:right="-565" w:firstLine="0"/>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Ejecutar las Obras Publicas de los Programas Anuales aprobados, por Administración o Contrato;</w:t>
      </w:r>
    </w:p>
    <w:p w:rsidR="008D3E69" w:rsidRPr="002202CA" w:rsidRDefault="008D3E69">
      <w:pPr>
        <w:ind w:left="425" w:right="-565"/>
        <w:jc w:val="both"/>
        <w:rPr>
          <w:rFonts w:ascii="Palatino Linotype" w:eastAsia="Palatino Linotype" w:hAnsi="Palatino Linotype" w:cs="Palatino Linotype"/>
          <w:i/>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lastRenderedPageBreak/>
        <w:t xml:space="preserve">III. Licitar, concursar o asignar, según sea el caso, servicios de obras y las obras publicas aprobadas en los programas Anuales, de conformidad con la normatividad de la fuente de recursos y los montos aprobados; </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IV. Ejecutar las obras por administración directa aprobadas en el Programa Anual; </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 </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VII. Elaborar estudios y proyectos de ingeniería vial; </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8D3E69">
      <w:pPr>
        <w:ind w:left="425" w:right="-565"/>
        <w:jc w:val="both"/>
        <w:rPr>
          <w:rFonts w:ascii="Palatino Linotype" w:eastAsia="Palatino Linotype" w:hAnsi="Palatino Linotype" w:cs="Palatino Linotype"/>
          <w:i/>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XI. Planear, coordinar y ejecutar los proyectos de obras públicas y servicios que autorice el Ayuntamiento, una vez que se cumplan los requisitos de licitación y otros que determine la ley de la materia; </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XIII. Construir y ejecutar todas aquellas obras públicas y servicios relacionados, que aumenten y mantengan la infraestructura municipal y que estén consideradas en el programa respectivo;</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XVII. Vigilar la construcción en las obras por contrato y por administración que hayan sido adjudicadas a los contratistas;</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XIX. Verificar que las obras públicas y los servicios relacionados con la misma, hayan sido programadas, presupuestadas, ejecutadas, adquiridas y contratadas en estricto apego a las disposiciones legales aplicables; </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XX. Integrar y verificar que se elaboren de manera correcta y completa las bitácoras y/o expedientes abiertos con motivo de la obra pública y servicios relacionados con la misma, conforme a lo establecido en las disposiciones legales aplicables;</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lastRenderedPageBreak/>
        <w:t xml:space="preserve">XXIII. Ejecutar las obras de reparación, adaptación y demolición de inmuebles propiedad del Municipio que le sean asignadas; </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XXIV. Ejecutar y mantener las obras públicas que acuerde el Ayuntamiento, de acuerdo a la legislación y normatividad aplicable, a los planes, presupuestos y programas previamente establecidos, coordinándose, en su caso, previo acuerdo con la Presidenta Municipal, con las Autoridades Federales, Estatales y Municipales correspondientes; </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XXV. Vigilar que la ejecución de la obra pública adjudicada y los servicios relacionados con ésta, se sujeten a las condiciones contratadas; </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XXVI. Establecer los lineamientos para la realización de estudios y proyectos de construcción de obras públicas; </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XXIX. Coordinar y supervisar que todo el proceso de las obras públicas que se realicen en el Municipio se realice conforme a la legislación y normatividad en materia de obra pública;</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 xml:space="preserve">XXXII. Formular las bases y expedir la convocatoria a los concursos para la realización de las Obras Públicas Municipales, de acuerdo con los requisitos que para dichos actos señale la legislación y normatividad aplicable, vigilando su correcta ejecución; </w:t>
      </w:r>
    </w:p>
    <w:p w:rsidR="008D3E69" w:rsidRPr="002202CA" w:rsidRDefault="008D3E69">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p>
    <w:p w:rsidR="008D3E69" w:rsidRPr="002202CA" w:rsidRDefault="00EB748F">
      <w:pPr>
        <w:pBdr>
          <w:top w:val="nil"/>
          <w:left w:val="nil"/>
          <w:bottom w:val="nil"/>
          <w:right w:val="nil"/>
          <w:between w:val="nil"/>
        </w:pBdr>
        <w:ind w:left="425"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XXXIII. Las demás que les señalen las disposiciones aplicables.</w:t>
      </w:r>
    </w:p>
    <w:p w:rsidR="008D3E69" w:rsidRPr="002202CA" w:rsidRDefault="008D3E69">
      <w:pPr>
        <w:ind w:left="425" w:right="-565"/>
        <w:jc w:val="both"/>
        <w:rPr>
          <w:rFonts w:ascii="Palatino Linotype" w:eastAsia="Palatino Linotype" w:hAnsi="Palatino Linotype" w:cs="Palatino Linotype"/>
          <w:i/>
          <w:sz w:val="22"/>
          <w:szCs w:val="22"/>
        </w:rPr>
      </w:pPr>
    </w:p>
    <w:p w:rsidR="008D3E69" w:rsidRPr="002202CA" w:rsidRDefault="008D3E69">
      <w:pPr>
        <w:ind w:left="425" w:right="-565"/>
        <w:jc w:val="both"/>
        <w:rPr>
          <w:rFonts w:ascii="Palatino Linotype" w:eastAsia="Palatino Linotype" w:hAnsi="Palatino Linotype" w:cs="Palatino Linotype"/>
          <w:i/>
          <w:sz w:val="22"/>
          <w:szCs w:val="22"/>
        </w:rPr>
      </w:pPr>
    </w:p>
    <w:p w:rsidR="008D3E69" w:rsidRPr="002202CA" w:rsidRDefault="008D3E69">
      <w:pPr>
        <w:ind w:left="425" w:right="-565"/>
        <w:jc w:val="both"/>
        <w:rPr>
          <w:rFonts w:ascii="Palatino Linotype" w:eastAsia="Palatino Linotype" w:hAnsi="Palatino Linotype" w:cs="Palatino Linotype"/>
          <w:i/>
          <w:sz w:val="22"/>
          <w:szCs w:val="22"/>
        </w:rPr>
      </w:pPr>
    </w:p>
    <w:p w:rsidR="008D3E69" w:rsidRPr="002202CA" w:rsidRDefault="00EB748F">
      <w:pPr>
        <w:spacing w:line="360" w:lineRule="auto"/>
        <w:ind w:left="425" w:right="-565"/>
        <w:jc w:val="center"/>
        <w:rPr>
          <w:rFonts w:ascii="Palatino Linotype" w:eastAsia="Palatino Linotype" w:hAnsi="Palatino Linotype" w:cs="Palatino Linotype"/>
          <w:b/>
          <w:i/>
          <w:sz w:val="22"/>
          <w:szCs w:val="22"/>
        </w:rPr>
      </w:pPr>
      <w:r w:rsidRPr="002202CA">
        <w:rPr>
          <w:rFonts w:ascii="Palatino Linotype" w:eastAsia="Palatino Linotype" w:hAnsi="Palatino Linotype" w:cs="Palatino Linotype"/>
          <w:b/>
          <w:i/>
          <w:sz w:val="22"/>
          <w:szCs w:val="22"/>
        </w:rPr>
        <w:t>CAPITULO X.</w:t>
      </w:r>
    </w:p>
    <w:p w:rsidR="008D3E69" w:rsidRPr="002202CA" w:rsidRDefault="00EB748F">
      <w:pPr>
        <w:spacing w:line="360" w:lineRule="auto"/>
        <w:ind w:left="425" w:right="-565"/>
        <w:jc w:val="center"/>
        <w:rPr>
          <w:rFonts w:ascii="Palatino Linotype" w:eastAsia="Palatino Linotype" w:hAnsi="Palatino Linotype" w:cs="Palatino Linotype"/>
          <w:b/>
          <w:i/>
          <w:sz w:val="22"/>
          <w:szCs w:val="22"/>
        </w:rPr>
      </w:pPr>
      <w:r w:rsidRPr="002202CA">
        <w:rPr>
          <w:rFonts w:ascii="Palatino Linotype" w:eastAsia="Palatino Linotype" w:hAnsi="Palatino Linotype" w:cs="Palatino Linotype"/>
          <w:b/>
          <w:i/>
          <w:sz w:val="22"/>
          <w:szCs w:val="22"/>
        </w:rPr>
        <w:t>DIRECCIÓN DE DESARROLLO URBANO.</w:t>
      </w:r>
    </w:p>
    <w:p w:rsidR="008D3E69" w:rsidRPr="002202CA" w:rsidRDefault="008D3E69">
      <w:pPr>
        <w:spacing w:line="360" w:lineRule="auto"/>
        <w:ind w:left="425" w:right="-565"/>
        <w:jc w:val="both"/>
        <w:rPr>
          <w:rFonts w:ascii="Palatino Linotype" w:eastAsia="Palatino Linotype" w:hAnsi="Palatino Linotype" w:cs="Palatino Linotype"/>
          <w:i/>
          <w:sz w:val="22"/>
          <w:szCs w:val="22"/>
        </w:rPr>
      </w:pPr>
    </w:p>
    <w:p w:rsidR="008D3E69" w:rsidRPr="002202CA" w:rsidRDefault="00EB748F">
      <w:pPr>
        <w:spacing w:line="360" w:lineRule="auto"/>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b/>
          <w:i/>
          <w:sz w:val="22"/>
          <w:szCs w:val="22"/>
        </w:rPr>
        <w:t>Artículo 68.-</w:t>
      </w:r>
      <w:r w:rsidRPr="002202CA">
        <w:rPr>
          <w:rFonts w:ascii="Palatino Linotype" w:eastAsia="Palatino Linotype" w:hAnsi="Palatino Linotype" w:cs="Palatino Linotype"/>
          <w:i/>
          <w:sz w:val="22"/>
          <w:szCs w:val="22"/>
        </w:rPr>
        <w:t xml:space="preserve"> La Dirección de Desarrollo Urbano se encargara del ordenamiento de los Asentamientos Humanos y del control del desarrollo urbano dentro del territorio municipal, mediante funciones de planeación, regulación, supervisión, autorización, enfocando su atención a factores que propicien la armonía, la salud, la equidad de las comunidades y de sus habitantes, </w:t>
      </w:r>
      <w:r w:rsidRPr="002202CA">
        <w:rPr>
          <w:rFonts w:ascii="Palatino Linotype" w:eastAsia="Palatino Linotype" w:hAnsi="Palatino Linotype" w:cs="Palatino Linotype"/>
          <w:i/>
          <w:sz w:val="22"/>
          <w:szCs w:val="22"/>
        </w:rPr>
        <w:lastRenderedPageBreak/>
        <w:t>cuidando aspectos de vialidad, equipamiento, urbanización, servicios, regularización de la tenencia de la tierra, uso de suelo y otros afines.</w:t>
      </w:r>
    </w:p>
    <w:p w:rsidR="008D3E69" w:rsidRPr="002202CA" w:rsidRDefault="008D3E69">
      <w:pPr>
        <w:spacing w:line="360" w:lineRule="auto"/>
        <w:ind w:left="425" w:right="-565"/>
        <w:jc w:val="both"/>
        <w:rPr>
          <w:rFonts w:ascii="Palatino Linotype" w:eastAsia="Palatino Linotype" w:hAnsi="Palatino Linotype" w:cs="Palatino Linotype"/>
          <w:i/>
          <w:sz w:val="22"/>
          <w:szCs w:val="22"/>
        </w:rPr>
      </w:pPr>
    </w:p>
    <w:p w:rsidR="008D3E69" w:rsidRPr="002202CA" w:rsidRDefault="00EB748F">
      <w:pPr>
        <w:spacing w:line="360" w:lineRule="auto"/>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b/>
          <w:i/>
          <w:sz w:val="22"/>
          <w:szCs w:val="22"/>
        </w:rPr>
        <w:t>Artículo 69.-</w:t>
      </w:r>
      <w:r w:rsidRPr="002202CA">
        <w:rPr>
          <w:rFonts w:ascii="Palatino Linotype" w:eastAsia="Palatino Linotype" w:hAnsi="Palatino Linotype" w:cs="Palatino Linotype"/>
          <w:i/>
          <w:sz w:val="22"/>
          <w:szCs w:val="22"/>
        </w:rPr>
        <w:t xml:space="preserve"> La Dirección de Desarrollo Urbano, de conformidad con la legislación aplicable, contará con las siguientes atribuciones: </w:t>
      </w:r>
    </w:p>
    <w:p w:rsidR="008D3E69" w:rsidRPr="002202CA" w:rsidRDefault="008D3E69">
      <w:pPr>
        <w:spacing w:line="360" w:lineRule="auto"/>
        <w:ind w:left="425" w:right="-565"/>
        <w:jc w:val="both"/>
        <w:rPr>
          <w:rFonts w:ascii="Palatino Linotype" w:eastAsia="Palatino Linotype" w:hAnsi="Palatino Linotype" w:cs="Palatino Linotype"/>
          <w:i/>
          <w:sz w:val="22"/>
          <w:szCs w:val="22"/>
        </w:rPr>
      </w:pP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I. Formular, aprobar, ejecutar, evaluar, modificar y actualizar los Planes Municipales de Desarrollo Urbano y los Parciales que de ellos deriven;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II. Participar en la elaboración o modificación del respectivo Plan Regional de Desarrollo Urbano o de los Parciales que de éste deriven, cuando incluya parte o la totalidad de su Territorio;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III. Aprobar los Proyectos Ejecutivos, las memorias de cálculo y las especificaciones técnicas de las obras de infraestructura hidráulica, sanitaria y de urbanización, que establezcan los acuerdos de autorización de conjuntos urbanos, subdivisiones y condominios, con excepción de los proyectos que sean de competencia de las Autoridades Estatales o Federales;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IV. Supervisar la ejecución de las obras de urbanización e infraestructura hidráulica y sanitaria que establezcan los acuerdos de autorización de conjuntos urbanos, subdivisiones y condominios, que sean de su ámbito de competencia, verificando que éstos cumplan las condiciones para la adecuada prestación de servicios públicos;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V. Recibir, conservar y operar las áreas de donación establecidas a favor del Municipio, así como, las obras de urbanización, infraestructura y equipamiento urbano de los conjuntos urbanos, subdivisiones y condominios conforme al Libro Quinto del Código Administrativo del Estado de México y su reglamentación;</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VI. Expedir cédulas informativas de zonificación, licencias de uso de suelo y licencias de construcción;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VII. Autorizar cambios de uso del suelo, del coeficiente de ocupación, del coeficiente de utilización, densidad y altura de edificaciones;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VIII. Autorizar, controlar y vigilar la utilización y aprovechamiento del suelo con fines urbanos, en sus circunscripciones territoriales;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IX. Difundir los planes de desarrollo urbano, así como los trámites para obtener las autorizaciones y licencias;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 Participar en los órganos de coordinación estatal, regional y metropolitana, en materia de ordenamiento territorial de los asentamientos humanos, desarrollo urbano de los centros de población y vivienda;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XI. Participar en la creación y administración de reservas territoriales para el desarrollo urbano y la vivienda, así como generar los instrumentos que permitan la disponibilidad de tierra para personas en situación de pobreza o vulnerabilidad;</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lastRenderedPageBreak/>
        <w:t xml:space="preserve">XII. Ejercer indistintamente con el Estado, el derecho de preferencia para adquirir en igualdad de condiciones, predios comprendidos en las áreas urbanizables señaladas en los planes o programas de desarrollo urbano aplicables, cuando éstos vayan a ser objeto de enajenación a título oneroso;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XIII. Crear órganos técnicos de participación social, consulta, coordinación, evaluación y seguimiento Municipales o Vecinales con carácter honorífico, en materia de Desarrollo Urbano así como Institutos Municipales de Planeación;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XIV. Celebrar convenios, acuerdos y contratos en materia de Desarrollo Urbano dentro del Territorio Municipal;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XV. Emitir dictámenes, factibilidades y opiniones técnicas en materia de Desarrollo Urbano;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XVI. Establecer medidas y ejecutar acciones para evitar asentamientos humanos irregulares;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XVII. Intervenir en la regularización de la tenencia de la tierra;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XVIII. Expedir los reglamentos y disposiciones administrativas de su competencia, de conformidad con lo dispuesto por este Libro Quinto del Código Administrativo del Estado de México y su reglamentación;</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XIX. Vigilar el cumplimiento del Quinto del Código Administrativo del Estado de México y sus disposiciones reglamentarias, de los planes de desarrollo urbano, de las disposiciones administrativas y reglamentarias que emita en la materia y de las autorizaciones y licencias que otorgue;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XX. Determinar infracciones de los particulares a las disposiciones del Libro Quinto del Código Administrativo del Estado de México y de su reglamentación e imponer las medidas de seguridad y sanciones que establece el mismo, así como dar vista a las autoridades competentes para la aplicación de las sanciones penales conducentes;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XXI. Solicitar a la Secretaría los dictámenes de congruencia de los planes de desarrollo urbano de su competencia, así como su correspondiente inscripción en el Instituto de la Función Registral del Estado de México;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XXII. Informar anualmente a la ciudadanía sobre la aplicación y ejecución de los planes o programas de desarrollo urbano;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XXIII. Promover y ejecutar acciones para prevenir y mitigar el riesgo de los Asentamientos Humanos y aumentar la resiliencia de los mismos ante fenómenos naturales y antropogénicos;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XXIV. Atender y cumplir los lineamientos y normas relativas a polígonos de protección y salvaguarda en zonas de riesgo, así como de zonas restringidas o identificadas como áreas no urbanizables;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XXV. Promover con la participación del Estado, polígonos de actuación; polígonos sujetos a densificación y polígonos para el desarrollo o aprovechamiento prioritario o estratégico de inmuebles, que permitan llevar a cabo acciones específicas para el crecimiento, consolidación, mejoramiento y conservación de los centros de población;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XXVI. Presentar anteproyectos de Normas Técnicas al Comité;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XXVII. Expedir licencias, permisos y constancias en materia de construcción, previo cumplimiento con los requisitos establecidos en los Ordenamientos Legales aplicables, así como presentar el pago </w:t>
      </w:r>
      <w:r w:rsidRPr="002202CA">
        <w:rPr>
          <w:rFonts w:ascii="Palatino Linotype" w:eastAsia="Palatino Linotype" w:hAnsi="Palatino Linotype" w:cs="Palatino Linotype"/>
          <w:i/>
          <w:sz w:val="22"/>
          <w:szCs w:val="22"/>
        </w:rPr>
        <w:lastRenderedPageBreak/>
        <w:t xml:space="preserve">del impuesto predial y el pago de derechos por el suministro de agua potable al corriente, ambos del predio donde se pretende llevar a cabo la construcción;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XXVIII. Fijar las restricciones a que deban sujetarse las construcciones;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XXIX. Difundir la normatividad y los </w:t>
      </w:r>
      <w:proofErr w:type="gramStart"/>
      <w:r w:rsidRPr="002202CA">
        <w:rPr>
          <w:rFonts w:ascii="Palatino Linotype" w:eastAsia="Palatino Linotype" w:hAnsi="Palatino Linotype" w:cs="Palatino Linotype"/>
          <w:i/>
          <w:sz w:val="22"/>
          <w:szCs w:val="22"/>
        </w:rPr>
        <w:t>tramites</w:t>
      </w:r>
      <w:proofErr w:type="gramEnd"/>
      <w:r w:rsidRPr="002202CA">
        <w:rPr>
          <w:rFonts w:ascii="Palatino Linotype" w:eastAsia="Palatino Linotype" w:hAnsi="Palatino Linotype" w:cs="Palatino Linotype"/>
          <w:i/>
          <w:sz w:val="22"/>
          <w:szCs w:val="22"/>
        </w:rPr>
        <w:t xml:space="preserve"> en la materia en sus respectivos ámbitos territoriales;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XXX. Asesorar a los particulares respecto a las disposiciones de la legislación aplicable en la materia;</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XXXI. Vigilar que las construcciones en proceso, terminadas o en demolición, se ajusten a las disposiciones de la legislación y normatividad aplicable, de los planes municipales de desarrollo urbano, de las licencias y permisos de construcción;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XXXII. Imponer las sanciones que correspondan por las infracciones cometidas a las disposiciones del Libro XVIII del Código Administrativo del Estado de México, las Normas Técnicas, los Planes Municipales de Desarrollo Urbano, las licencias y permisos de construcción y demás legislación aplicable en la materia, teniendo la facultad para iniciar, tramitar, resolver y sancionar mediante Procedimientos Administrativos Comunes;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 xml:space="preserve">XXXIII. Auxiliarse de la fuerza pública cuando fuere necesario para hacer cumplir sus determinaciones; y </w:t>
      </w:r>
    </w:p>
    <w:p w:rsidR="008D3E69" w:rsidRPr="002202CA" w:rsidRDefault="00EB748F">
      <w:pPr>
        <w:ind w:left="425" w:right="-565"/>
        <w:jc w:val="both"/>
        <w:rPr>
          <w:rFonts w:ascii="Palatino Linotype" w:eastAsia="Palatino Linotype" w:hAnsi="Palatino Linotype" w:cs="Palatino Linotype"/>
          <w:i/>
          <w:sz w:val="22"/>
          <w:szCs w:val="22"/>
        </w:rPr>
      </w:pPr>
      <w:r w:rsidRPr="002202CA">
        <w:rPr>
          <w:rFonts w:ascii="Palatino Linotype" w:eastAsia="Palatino Linotype" w:hAnsi="Palatino Linotype" w:cs="Palatino Linotype"/>
          <w:i/>
          <w:sz w:val="22"/>
          <w:szCs w:val="22"/>
        </w:rPr>
        <w:t>XXXIV. Las demás que confieran las leyes en la materia.</w:t>
      </w:r>
    </w:p>
    <w:p w:rsidR="008D3E69" w:rsidRPr="002202CA" w:rsidRDefault="008D3E69">
      <w:pPr>
        <w:ind w:left="851" w:right="-565"/>
        <w:jc w:val="both"/>
        <w:rPr>
          <w:rFonts w:ascii="Palatino Linotype" w:eastAsia="Palatino Linotype" w:hAnsi="Palatino Linotype" w:cs="Palatino Linotype"/>
          <w:i/>
        </w:rPr>
      </w:pPr>
    </w:p>
    <w:p w:rsidR="008D3E69" w:rsidRPr="002202CA" w:rsidRDefault="008D3E69">
      <w:pPr>
        <w:ind w:left="851" w:right="-1132"/>
        <w:jc w:val="both"/>
        <w:rPr>
          <w:rFonts w:ascii="Palatino Linotype" w:eastAsia="Palatino Linotype" w:hAnsi="Palatino Linotype" w:cs="Palatino Linotype"/>
          <w:i/>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rPr>
      </w:pPr>
      <w:r w:rsidRPr="002202CA">
        <w:rPr>
          <w:rFonts w:ascii="Palatino Linotype" w:eastAsia="Palatino Linotype" w:hAnsi="Palatino Linotype" w:cs="Palatino Linotype"/>
        </w:rPr>
        <w:t>El Bando Municipal del Ayuntamiento de Nextlalpan, establece que el Ayuntamiento  se auxiliará de dependencias, entre las que señala la Dirección de Obras Públicas y la Dirección de Desarrollo Urbano, la primera de ellas tiene como objeto planear, programar, presupuestar, adjudicar, contratar, ejecutar, vigilar, supervisar, controlar, recibir y mantener las obras públicas municipales, la Dirección de Desarrollo Urbano será la encargada del ordenamiento de los Asentamientos Humanos y del control del desarrollo urbano , mediante funciones de planeación, regulación, supervisión, autorización, cuidando aspectos de vialidad, equipamiento, urbanización, servicios, regularización de la tenencia de la tierra y uso de suelo.</w:t>
      </w:r>
    </w:p>
    <w:p w:rsidR="008D3E69" w:rsidRPr="002202CA" w:rsidRDefault="008D3E69">
      <w:pPr>
        <w:spacing w:line="360" w:lineRule="auto"/>
        <w:ind w:right="-1132"/>
        <w:jc w:val="both"/>
        <w:rPr>
          <w:rFonts w:ascii="Palatino Linotype" w:eastAsia="Palatino Linotype" w:hAnsi="Palatino Linotype" w:cs="Palatino Linotype"/>
        </w:rPr>
      </w:pPr>
    </w:p>
    <w:p w:rsidR="008D3E69" w:rsidRPr="002202CA" w:rsidRDefault="00EB748F">
      <w:pPr>
        <w:numPr>
          <w:ilvl w:val="0"/>
          <w:numId w:val="2"/>
        </w:numPr>
        <w:spacing w:line="360" w:lineRule="auto"/>
        <w:ind w:left="0" w:right="-1132" w:firstLine="0"/>
        <w:jc w:val="both"/>
        <w:rPr>
          <w:rFonts w:ascii="Palatino Linotype" w:eastAsia="Calibri" w:hAnsi="Palatino Linotype" w:cs="Calibri"/>
          <w:color w:val="000000"/>
        </w:rPr>
      </w:pPr>
      <w:r w:rsidRPr="002202CA">
        <w:rPr>
          <w:rFonts w:ascii="Palatino Linotype" w:eastAsia="Palatino Linotype" w:hAnsi="Palatino Linotype" w:cs="Palatino Linotype"/>
          <w:color w:val="000000"/>
        </w:rPr>
        <w:t xml:space="preserve">Ahora bien, el Recurrente en su interposición, señaló que la Unidad de Transparencia del Sujeto Obligado no da vista a  dicha Dirección por lo que resulta  es necesario realizar </w:t>
      </w:r>
      <w:r w:rsidRPr="002202CA">
        <w:rPr>
          <w:rFonts w:ascii="Palatino Linotype" w:eastAsia="Palatino Linotype" w:hAnsi="Palatino Linotype" w:cs="Palatino Linotype"/>
          <w:color w:val="000000"/>
        </w:rPr>
        <w:lastRenderedPageBreak/>
        <w:t xml:space="preserve">las siguientes anotaciones, el artículo 162 de la de la Ley de Transparencia y Acceso a la Información Pública del Estado de México y Municipios, regula que las Unidades de Transparencia deben de garantizar que las solicitudes </w:t>
      </w:r>
      <w:r w:rsidRPr="002202CA">
        <w:rPr>
          <w:rFonts w:ascii="Palatino Linotype" w:eastAsia="Palatino Linotype" w:hAnsi="Palatino Linotype" w:cs="Palatino Linotype"/>
          <w:b/>
          <w:color w:val="000000"/>
        </w:rPr>
        <w:t>se turnen a todas las Áreas competentes que cuenten con la información o deban tenerla de acuerdo a sus facultades,</w:t>
      </w:r>
      <w:r w:rsidRPr="002202CA">
        <w:rPr>
          <w:rFonts w:ascii="Palatino Linotype" w:eastAsia="Palatino Linotype" w:hAnsi="Palatino Linotype" w:cs="Palatino Linotype"/>
          <w:color w:val="000000"/>
        </w:rPr>
        <w:t xml:space="preserve"> competencias y funciones, </w:t>
      </w:r>
      <w:r w:rsidRPr="002202CA">
        <w:rPr>
          <w:rFonts w:ascii="Palatino Linotype" w:eastAsia="Palatino Linotype" w:hAnsi="Palatino Linotype" w:cs="Palatino Linotype"/>
          <w:b/>
          <w:color w:val="000000"/>
          <w:u w:val="single"/>
        </w:rPr>
        <w:t>con el objeto de que realicen una búsqueda exhaustiva y razonable de la información solicitada</w:t>
      </w:r>
      <w:r w:rsidRPr="002202CA">
        <w:rPr>
          <w:rFonts w:ascii="Palatino Linotype" w:eastAsia="Palatino Linotype" w:hAnsi="Palatino Linotype" w:cs="Palatino Linotype"/>
          <w:color w:val="000000"/>
        </w:rPr>
        <w:t xml:space="preserve">, situación que no fue realizada por el Titular de la Unidad de Transparencia del </w:t>
      </w:r>
      <w:r w:rsidRPr="002202CA">
        <w:rPr>
          <w:rFonts w:ascii="Palatino Linotype" w:eastAsia="Palatino Linotype" w:hAnsi="Palatino Linotype" w:cs="Palatino Linotype"/>
          <w:b/>
          <w:color w:val="000000"/>
        </w:rPr>
        <w:t>Sujeto Obligado</w:t>
      </w:r>
      <w:r w:rsidRPr="002202CA">
        <w:rPr>
          <w:rFonts w:ascii="Palatino Linotype" w:eastAsia="Palatino Linotype" w:hAnsi="Palatino Linotype" w:cs="Palatino Linotype"/>
          <w:color w:val="000000"/>
        </w:rPr>
        <w:t>.</w:t>
      </w:r>
    </w:p>
    <w:p w:rsidR="008D3E69" w:rsidRPr="002202CA" w:rsidRDefault="008D3E69">
      <w:pPr>
        <w:spacing w:line="360" w:lineRule="auto"/>
        <w:ind w:right="-1132"/>
        <w:jc w:val="both"/>
        <w:rPr>
          <w:rFonts w:ascii="Palatino Linotype" w:eastAsia="Palatino Linotype" w:hAnsi="Palatino Linotype" w:cs="Palatino Linotype"/>
          <w:color w:val="000000"/>
        </w:rPr>
      </w:pPr>
    </w:p>
    <w:p w:rsidR="008D3E69" w:rsidRPr="002202CA" w:rsidRDefault="00EB748F">
      <w:pPr>
        <w:numPr>
          <w:ilvl w:val="0"/>
          <w:numId w:val="2"/>
        </w:numPr>
        <w:spacing w:line="360" w:lineRule="auto"/>
        <w:ind w:left="0" w:right="-1132" w:firstLine="0"/>
        <w:jc w:val="both"/>
        <w:rPr>
          <w:rFonts w:ascii="Palatino Linotype" w:eastAsia="Calibri" w:hAnsi="Palatino Linotype" w:cs="Calibri"/>
          <w:color w:val="000000"/>
        </w:rPr>
      </w:pPr>
      <w:r w:rsidRPr="002202CA">
        <w:rPr>
          <w:rFonts w:ascii="Palatino Linotype" w:eastAsia="Palatino Linotype" w:hAnsi="Palatino Linotype" w:cs="Palatino Linotype"/>
          <w:color w:val="000000"/>
        </w:rPr>
        <w:t>A efecto de determinar la legalidad de dicha respuesta, es necesario tomar en cuenta las siguientes disposiciones de la Ley de la materia.</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w:t>
      </w:r>
      <w:r w:rsidRPr="002202CA">
        <w:rPr>
          <w:rFonts w:ascii="Palatino Linotype" w:eastAsia="Palatino Linotype" w:hAnsi="Palatino Linotype" w:cs="Palatino Linotype"/>
          <w:b/>
          <w:i/>
          <w:color w:val="000000"/>
          <w:sz w:val="22"/>
          <w:szCs w:val="22"/>
        </w:rPr>
        <w:t>Artículo 50.</w:t>
      </w:r>
      <w:r w:rsidRPr="002202CA">
        <w:rPr>
          <w:rFonts w:ascii="Palatino Linotype" w:eastAsia="Palatino Linotype" w:hAnsi="Palatino Linotype" w:cs="Palatino Linotype"/>
          <w:i/>
          <w:color w:val="000000"/>
          <w:sz w:val="22"/>
          <w:szCs w:val="22"/>
        </w:rPr>
        <w:t xml:space="preserve"> Los sujetos obligados contarán con un área responsable para la atención de las solicitudes de información, a la que se le denominará Unidad de Transparencia.</w:t>
      </w:r>
    </w:p>
    <w:p w:rsidR="008D3E69" w:rsidRPr="002202CA" w:rsidRDefault="008D3E69">
      <w:pPr>
        <w:ind w:left="1134" w:right="-565"/>
        <w:jc w:val="both"/>
        <w:rPr>
          <w:rFonts w:ascii="Palatino Linotype" w:eastAsia="Palatino Linotype" w:hAnsi="Palatino Linotype" w:cs="Palatino Linotype"/>
          <w:i/>
          <w:color w:val="000000"/>
          <w:sz w:val="22"/>
          <w:szCs w:val="22"/>
        </w:rPr>
      </w:pP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b/>
          <w:i/>
          <w:color w:val="000000"/>
          <w:sz w:val="22"/>
          <w:szCs w:val="22"/>
        </w:rPr>
        <w:t>Artículo 51</w:t>
      </w:r>
      <w:r w:rsidRPr="002202CA">
        <w:rPr>
          <w:rFonts w:ascii="Palatino Linotype" w:eastAsia="Palatino Linotype" w:hAnsi="Palatino Linotype" w:cs="Palatino Linotype"/>
          <w:i/>
          <w:color w:val="000000"/>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8D3E69" w:rsidRPr="002202CA" w:rsidRDefault="008D3E69">
      <w:pPr>
        <w:ind w:left="1134" w:right="-565"/>
        <w:jc w:val="both"/>
        <w:rPr>
          <w:rFonts w:ascii="Palatino Linotype" w:eastAsia="Palatino Linotype" w:hAnsi="Palatino Linotype" w:cs="Palatino Linotype"/>
          <w:i/>
          <w:color w:val="000000"/>
          <w:sz w:val="22"/>
          <w:szCs w:val="22"/>
        </w:rPr>
      </w:pP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b/>
          <w:i/>
          <w:color w:val="000000"/>
          <w:sz w:val="22"/>
          <w:szCs w:val="22"/>
        </w:rPr>
        <w:t>Artículo 53</w:t>
      </w:r>
      <w:r w:rsidRPr="002202CA">
        <w:rPr>
          <w:rFonts w:ascii="Palatino Linotype" w:eastAsia="Palatino Linotype" w:hAnsi="Palatino Linotype" w:cs="Palatino Linotype"/>
          <w:i/>
          <w:color w:val="000000"/>
          <w:sz w:val="22"/>
          <w:szCs w:val="22"/>
        </w:rPr>
        <w:t>. Las Unidades de Transparencia tendrán las siguientes funciones:</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8D3E69" w:rsidRPr="002202CA" w:rsidRDefault="00EB748F">
      <w:pPr>
        <w:ind w:left="1134" w:right="-565"/>
        <w:jc w:val="both"/>
        <w:rPr>
          <w:rFonts w:ascii="Palatino Linotype" w:eastAsia="Palatino Linotype" w:hAnsi="Palatino Linotype" w:cs="Palatino Linotype"/>
          <w:b/>
          <w:i/>
          <w:color w:val="000000"/>
          <w:sz w:val="22"/>
          <w:szCs w:val="22"/>
        </w:rPr>
      </w:pPr>
      <w:r w:rsidRPr="002202CA">
        <w:rPr>
          <w:rFonts w:ascii="Palatino Linotype" w:eastAsia="Palatino Linotype" w:hAnsi="Palatino Linotype" w:cs="Palatino Linotype"/>
          <w:b/>
          <w:i/>
          <w:color w:val="000000"/>
          <w:sz w:val="22"/>
          <w:szCs w:val="22"/>
        </w:rPr>
        <w:t xml:space="preserve">II. Recibir, </w:t>
      </w:r>
      <w:r w:rsidRPr="002202CA">
        <w:rPr>
          <w:rFonts w:ascii="Palatino Linotype" w:eastAsia="Palatino Linotype" w:hAnsi="Palatino Linotype" w:cs="Palatino Linotype"/>
          <w:b/>
          <w:i/>
          <w:color w:val="000000"/>
          <w:sz w:val="22"/>
          <w:szCs w:val="22"/>
          <w:u w:val="single"/>
        </w:rPr>
        <w:t>tramitar</w:t>
      </w:r>
      <w:r w:rsidRPr="002202CA">
        <w:rPr>
          <w:rFonts w:ascii="Palatino Linotype" w:eastAsia="Palatino Linotype" w:hAnsi="Palatino Linotype" w:cs="Palatino Linotype"/>
          <w:b/>
          <w:i/>
          <w:color w:val="000000"/>
          <w:sz w:val="22"/>
          <w:szCs w:val="22"/>
        </w:rPr>
        <w:t xml:space="preserve"> y dar respuesta a las solicitudes de acceso a la información;</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III. Auxiliar a los particulares en la elaboración de solicitudes de acceso a la información y, en su caso, orientarlos sobre los sujetos obligados competentes conforme a la normatividad aplicable;</w:t>
      </w:r>
    </w:p>
    <w:p w:rsidR="008D3E69" w:rsidRPr="002202CA" w:rsidRDefault="00EB748F">
      <w:pPr>
        <w:ind w:left="1134" w:right="-565"/>
        <w:jc w:val="both"/>
        <w:rPr>
          <w:rFonts w:ascii="Palatino Linotype" w:eastAsia="Palatino Linotype" w:hAnsi="Palatino Linotype" w:cs="Palatino Linotype"/>
          <w:b/>
          <w:i/>
          <w:color w:val="000000"/>
          <w:sz w:val="22"/>
          <w:szCs w:val="22"/>
        </w:rPr>
      </w:pPr>
      <w:r w:rsidRPr="002202CA">
        <w:rPr>
          <w:rFonts w:ascii="Palatino Linotype" w:eastAsia="Palatino Linotype" w:hAnsi="Palatino Linotype" w:cs="Palatino Linotype"/>
          <w:b/>
          <w:i/>
          <w:color w:val="000000"/>
          <w:sz w:val="22"/>
          <w:szCs w:val="22"/>
        </w:rPr>
        <w:t>IV. Realizar, con efectividad, los trámites internos necesarios para la atención de las solicitudes de acceso a la información;</w:t>
      </w:r>
    </w:p>
    <w:p w:rsidR="008D3E69" w:rsidRPr="002202CA" w:rsidRDefault="00EB748F">
      <w:pPr>
        <w:ind w:left="1134" w:right="-565"/>
        <w:jc w:val="both"/>
        <w:rPr>
          <w:rFonts w:ascii="Palatino Linotype" w:eastAsia="Palatino Linotype" w:hAnsi="Palatino Linotype" w:cs="Palatino Linotype"/>
          <w:b/>
          <w:i/>
          <w:color w:val="000000"/>
          <w:sz w:val="22"/>
          <w:szCs w:val="22"/>
        </w:rPr>
      </w:pPr>
      <w:r w:rsidRPr="002202CA">
        <w:rPr>
          <w:rFonts w:ascii="Palatino Linotype" w:eastAsia="Palatino Linotype" w:hAnsi="Palatino Linotype" w:cs="Palatino Linotype"/>
          <w:b/>
          <w:i/>
          <w:color w:val="000000"/>
          <w:sz w:val="22"/>
          <w:szCs w:val="22"/>
        </w:rPr>
        <w:t>V. Entregar, en su caso, a los particulares la información solicitada;</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VI. Efectuar las notificaciones a los solicitantes;</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lastRenderedPageBreak/>
        <w:t>VII. Proponer al Comité de Transparencia, los procedimientos internos que aseguren la mayor eficiencia en la gestión de las solicitudes de acceso a la información, conforme a la normatividad aplicable;</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VIII. Proponer a quien preside el Comité de Transparencia, personal habilitado que sea necesario para recibir y dar trámite a las solicitudes de acceso a la información;</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X. Presentar ante el Comité, el proyecto de clasificación de información;</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XI. Promover e implementar políticas de transparencia proactiva procurando su accesibilidad;</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XII. Fomentar la transparencia y accesibilidad al interior del sujeto obligado;</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XIII. Hacer del conocimiento de la instancia competente la probable responsabilidad por el incumplimiento de las obligaciones previstas en la presente Ley; y</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XIV. Las demás que resulten necesarias para facilitar el acceso a la información y aquellas que se desprenden de la presente Ley y demás disposiciones jurídicas aplicables.</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8D3E69" w:rsidRPr="002202CA" w:rsidRDefault="008D3E69">
      <w:pPr>
        <w:ind w:left="1134" w:right="-565"/>
        <w:jc w:val="both"/>
        <w:rPr>
          <w:rFonts w:ascii="Palatino Linotype" w:eastAsia="Palatino Linotype" w:hAnsi="Palatino Linotype" w:cs="Palatino Linotype"/>
          <w:i/>
          <w:color w:val="000000"/>
          <w:sz w:val="22"/>
          <w:szCs w:val="22"/>
        </w:rPr>
      </w:pP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b/>
          <w:i/>
          <w:color w:val="000000"/>
          <w:sz w:val="22"/>
          <w:szCs w:val="22"/>
        </w:rPr>
        <w:t>Artículo 59</w:t>
      </w:r>
      <w:r w:rsidRPr="002202CA">
        <w:rPr>
          <w:rFonts w:ascii="Palatino Linotype" w:eastAsia="Palatino Linotype" w:hAnsi="Palatino Linotype" w:cs="Palatino Linotype"/>
          <w:i/>
          <w:color w:val="000000"/>
          <w:sz w:val="22"/>
          <w:szCs w:val="22"/>
        </w:rPr>
        <w:t xml:space="preserve">. </w:t>
      </w:r>
      <w:r w:rsidRPr="002202CA">
        <w:rPr>
          <w:rFonts w:ascii="Palatino Linotype" w:eastAsia="Palatino Linotype" w:hAnsi="Palatino Linotype" w:cs="Palatino Linotype"/>
          <w:b/>
          <w:i/>
          <w:color w:val="000000"/>
          <w:sz w:val="22"/>
          <w:szCs w:val="22"/>
        </w:rPr>
        <w:t>Los servidores públicos habilitados</w:t>
      </w:r>
      <w:r w:rsidRPr="002202CA">
        <w:rPr>
          <w:rFonts w:ascii="Palatino Linotype" w:eastAsia="Palatino Linotype" w:hAnsi="Palatino Linotype" w:cs="Palatino Linotype"/>
          <w:i/>
          <w:color w:val="000000"/>
          <w:sz w:val="22"/>
          <w:szCs w:val="22"/>
        </w:rPr>
        <w:t xml:space="preserve"> tendrán las funciones siguientes:</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I. Localizar la información que le solicite la Unidad de Transparencia;</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II. Proporcionar la información que obre en los archivos y que le sea solicitada por la Unidad de Transparencia;</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III. Apoyar a la Unidad de Transparencia en lo que esta le solicite para el cumplimiento de sus funciones;</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IV. Proporcionar a la Unidad de Transparencia, las modificaciones a la información pública de oficio que obre en su poder;</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V. Integrar y presentar al responsable de la Unidad de Transparencia la propuesta de clasificación de información, la cual tendrá los fundamentos y argumentos en que se basa dicha propuesta;</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lastRenderedPageBreak/>
        <w:t>VI. Verificar, una vez analizado el contenido de la información, que no se encuentre en los supuestos de información clasificada; y</w:t>
      </w: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VII. Dar cuenta a la Unidad de Transparencia del vencimiento de los plazos de reserva.</w:t>
      </w:r>
    </w:p>
    <w:p w:rsidR="008D3E69" w:rsidRPr="002202CA" w:rsidRDefault="008D3E69">
      <w:pPr>
        <w:ind w:left="1134" w:right="-565"/>
        <w:jc w:val="both"/>
        <w:rPr>
          <w:rFonts w:ascii="Palatino Linotype" w:eastAsia="Palatino Linotype" w:hAnsi="Palatino Linotype" w:cs="Palatino Linotype"/>
          <w:i/>
          <w:color w:val="000000"/>
          <w:sz w:val="22"/>
          <w:szCs w:val="22"/>
        </w:rPr>
      </w:pPr>
    </w:p>
    <w:p w:rsidR="008D3E69" w:rsidRPr="002202CA" w:rsidRDefault="00EB748F">
      <w:pPr>
        <w:ind w:left="1134" w:right="-565"/>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b/>
          <w:i/>
          <w:color w:val="000000"/>
          <w:sz w:val="22"/>
          <w:szCs w:val="22"/>
        </w:rPr>
        <w:t>Artículo 162</w:t>
      </w:r>
      <w:r w:rsidRPr="002202CA">
        <w:rPr>
          <w:rFonts w:ascii="Palatino Linotype" w:eastAsia="Palatino Linotype" w:hAnsi="Palatino Linotype" w:cs="Palatino Linotype"/>
          <w:i/>
          <w:color w:val="000000"/>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8D3E69" w:rsidRPr="002202CA" w:rsidRDefault="008D3E69">
      <w:pPr>
        <w:ind w:right="-1132"/>
        <w:jc w:val="both"/>
        <w:rPr>
          <w:rFonts w:ascii="Palatino Linotype" w:eastAsia="Palatino Linotype" w:hAnsi="Palatino Linotype" w:cs="Palatino Linotype"/>
          <w:i/>
        </w:rPr>
      </w:pPr>
    </w:p>
    <w:p w:rsidR="008D3E69" w:rsidRPr="002202CA" w:rsidRDefault="008D3E69">
      <w:pPr>
        <w:ind w:right="-1132"/>
        <w:jc w:val="both"/>
        <w:rPr>
          <w:rFonts w:ascii="Palatino Linotype" w:eastAsia="Palatino Linotype" w:hAnsi="Palatino Linotype" w:cs="Palatino Linotype"/>
          <w:i/>
        </w:rPr>
      </w:pPr>
    </w:p>
    <w:p w:rsidR="008D3E69" w:rsidRPr="002202CA" w:rsidRDefault="00EB748F">
      <w:pPr>
        <w:numPr>
          <w:ilvl w:val="0"/>
          <w:numId w:val="2"/>
        </w:numPr>
        <w:spacing w:line="360" w:lineRule="auto"/>
        <w:ind w:left="0" w:right="-1132" w:firstLine="0"/>
        <w:jc w:val="both"/>
        <w:rPr>
          <w:rFonts w:ascii="Palatino Linotype" w:eastAsia="Calibri" w:hAnsi="Palatino Linotype" w:cs="Calibri"/>
          <w:color w:val="000000"/>
        </w:rPr>
      </w:pPr>
      <w:r w:rsidRPr="002202CA">
        <w:rPr>
          <w:rFonts w:ascii="Palatino Linotype" w:eastAsia="Palatino Linotype" w:hAnsi="Palatino Linotype" w:cs="Palatino Linotype"/>
          <w:color w:val="000000"/>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w:t>
      </w:r>
      <w:r w:rsidRPr="002202CA">
        <w:rPr>
          <w:rFonts w:ascii="Palatino Linotype" w:eastAsia="Palatino Linotype" w:hAnsi="Palatino Linotype" w:cs="Palatino Linotype"/>
          <w:b/>
          <w:color w:val="000000"/>
        </w:rPr>
        <w:t xml:space="preserve"> SUJETO OBLIGADO</w:t>
      </w:r>
      <w:r w:rsidRPr="002202CA">
        <w:rPr>
          <w:rFonts w:ascii="Palatino Linotype" w:eastAsia="Palatino Linotype" w:hAnsi="Palatino Linotype" w:cs="Palatino Linotype"/>
          <w:color w:val="000000"/>
        </w:rPr>
        <w:t xml:space="preserve"> y los solicitantes, y tiene bajo su responsabilidad el tramitar internamente la solicitud de información.</w:t>
      </w:r>
    </w:p>
    <w:p w:rsidR="008D3E69" w:rsidRPr="002202CA" w:rsidRDefault="008D3E69">
      <w:pPr>
        <w:spacing w:line="360" w:lineRule="auto"/>
        <w:ind w:right="-1132"/>
        <w:jc w:val="both"/>
        <w:rPr>
          <w:rFonts w:ascii="Palatino Linotype" w:eastAsia="Palatino Linotype" w:hAnsi="Palatino Linotype" w:cs="Palatino Linotype"/>
          <w:color w:val="000000"/>
        </w:rPr>
      </w:pPr>
    </w:p>
    <w:p w:rsidR="008D3E69" w:rsidRPr="002202CA" w:rsidRDefault="00EB748F">
      <w:pPr>
        <w:numPr>
          <w:ilvl w:val="0"/>
          <w:numId w:val="2"/>
        </w:numPr>
        <w:spacing w:line="360" w:lineRule="auto"/>
        <w:ind w:left="0" w:right="-1132" w:firstLine="0"/>
        <w:jc w:val="both"/>
        <w:rPr>
          <w:rFonts w:ascii="Palatino Linotype" w:eastAsia="Calibri" w:hAnsi="Palatino Linotype" w:cs="Calibri"/>
          <w:color w:val="000000"/>
        </w:rPr>
      </w:pPr>
      <w:r w:rsidRPr="002202CA">
        <w:rPr>
          <w:rFonts w:ascii="Palatino Linotype" w:eastAsia="Palatino Linotype" w:hAnsi="Palatino Linotype" w:cs="Palatino Linotype"/>
          <w:color w:val="000000"/>
        </w:rPr>
        <w:t xml:space="preserve">De tal manera que, si bien, el Titular de la Unidad de Transparencia dio respuesta a la solicitud de información en cuestión, tenía que haber realizado el procedimiento, de turnar dentro de las áreas que conforman la estructura del </w:t>
      </w:r>
      <w:r w:rsidRPr="002202CA">
        <w:rPr>
          <w:rFonts w:ascii="Palatino Linotype" w:eastAsia="Palatino Linotype" w:hAnsi="Palatino Linotype" w:cs="Palatino Linotype"/>
          <w:b/>
          <w:color w:val="000000"/>
        </w:rPr>
        <w:t>Sujeto Obligado</w:t>
      </w:r>
      <w:r w:rsidRPr="002202CA">
        <w:rPr>
          <w:rFonts w:ascii="Palatino Linotype" w:eastAsia="Palatino Linotype" w:hAnsi="Palatino Linotype" w:cs="Palatino Linotype"/>
          <w:color w:val="000000"/>
        </w:rPr>
        <w:t>, a fin de que el responsable del área diera respuesta a la misma, tal y como lo marca la normatividad invocada, es por ello que debe turnar la solicitud a todas las áreas que pudieran generar, administrar o poseer la información requerida por el particular; pues los mismos, tienen como función, buscar, localizar y poseer la información, así como entregarla.</w:t>
      </w:r>
    </w:p>
    <w:p w:rsidR="008D3E69" w:rsidRPr="002202CA" w:rsidRDefault="008D3E69">
      <w:pPr>
        <w:spacing w:line="360" w:lineRule="auto"/>
        <w:ind w:right="-1132"/>
        <w:jc w:val="both"/>
        <w:rPr>
          <w:rFonts w:ascii="Palatino Linotype" w:eastAsia="Palatino Linotype" w:hAnsi="Palatino Linotype" w:cs="Palatino Linotype"/>
          <w:color w:val="000000"/>
        </w:rPr>
      </w:pPr>
    </w:p>
    <w:p w:rsidR="008D3E69" w:rsidRPr="002202CA" w:rsidRDefault="00EB748F">
      <w:pPr>
        <w:numPr>
          <w:ilvl w:val="0"/>
          <w:numId w:val="2"/>
        </w:numPr>
        <w:spacing w:line="360" w:lineRule="auto"/>
        <w:ind w:left="0" w:right="-1132" w:firstLine="0"/>
        <w:jc w:val="both"/>
        <w:rPr>
          <w:rFonts w:ascii="Palatino Linotype" w:eastAsia="Calibri" w:hAnsi="Palatino Linotype" w:cs="Calibri"/>
          <w:color w:val="000000"/>
        </w:rPr>
      </w:pPr>
      <w:r w:rsidRPr="002202CA">
        <w:rPr>
          <w:rFonts w:ascii="Palatino Linotype" w:eastAsia="Palatino Linotype" w:hAnsi="Palatino Linotype" w:cs="Palatino Linotype"/>
          <w:color w:val="000000"/>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rsidR="008D3E69" w:rsidRPr="002202CA" w:rsidRDefault="008D3E69">
      <w:pPr>
        <w:spacing w:line="360" w:lineRule="auto"/>
        <w:ind w:right="-1132"/>
        <w:jc w:val="both"/>
        <w:rPr>
          <w:rFonts w:ascii="Palatino Linotype" w:eastAsia="Calibri" w:hAnsi="Palatino Linotype" w:cs="Calibri"/>
          <w:color w:val="000000"/>
        </w:rPr>
      </w:pPr>
    </w:p>
    <w:p w:rsidR="008D3E69" w:rsidRPr="002202CA" w:rsidRDefault="00EB748F">
      <w:pPr>
        <w:numPr>
          <w:ilvl w:val="0"/>
          <w:numId w:val="2"/>
        </w:numPr>
        <w:spacing w:line="360" w:lineRule="auto"/>
        <w:ind w:left="0" w:right="-1132" w:firstLine="0"/>
        <w:jc w:val="both"/>
        <w:rPr>
          <w:rFonts w:ascii="Palatino Linotype" w:eastAsia="Calibri" w:hAnsi="Palatino Linotype" w:cs="Calibri"/>
          <w:color w:val="000000"/>
        </w:rPr>
      </w:pPr>
      <w:r w:rsidRPr="002202CA">
        <w:rPr>
          <w:rFonts w:ascii="Palatino Linotype" w:eastAsia="Palatino Linotype" w:hAnsi="Palatino Linotype" w:cs="Palatino Linotype"/>
          <w:color w:val="000000"/>
        </w:rPr>
        <w:t xml:space="preserve">De lo anterior, es de precisar que la información que resulta de interés para el particular obra en los archivos del </w:t>
      </w:r>
      <w:r w:rsidRPr="002202CA">
        <w:rPr>
          <w:rFonts w:ascii="Palatino Linotype" w:eastAsia="Palatino Linotype" w:hAnsi="Palatino Linotype" w:cs="Palatino Linotype"/>
          <w:b/>
          <w:color w:val="000000"/>
        </w:rPr>
        <w:t xml:space="preserve">SUJETO OBLIGADO </w:t>
      </w:r>
      <w:r w:rsidRPr="002202CA">
        <w:rPr>
          <w:rFonts w:ascii="Palatino Linotype" w:eastAsia="Palatino Linotype" w:hAnsi="Palatino Linotype" w:cs="Palatino Linotype"/>
          <w:color w:val="000000"/>
        </w:rPr>
        <w:t>y por lo tanto debe proceder a realizar una búsqueda exhaustiva a efecto de proporcionar los documentos donde obre la misma de tal forma que cumpla con los requisitos de la Ley en la materia.</w:t>
      </w:r>
    </w:p>
    <w:p w:rsidR="008D3E69" w:rsidRPr="002202CA" w:rsidRDefault="008D3E69">
      <w:pPr>
        <w:spacing w:line="360" w:lineRule="auto"/>
        <w:ind w:right="-1132"/>
        <w:jc w:val="both"/>
        <w:rPr>
          <w:rFonts w:ascii="Palatino Linotype" w:eastAsia="Palatino Linotype" w:hAnsi="Palatino Linotype" w:cs="Palatino Linotype"/>
          <w:color w:val="000000"/>
        </w:rPr>
      </w:pPr>
    </w:p>
    <w:p w:rsidR="008D3E69" w:rsidRPr="002202CA" w:rsidRDefault="00EB748F">
      <w:pPr>
        <w:numPr>
          <w:ilvl w:val="0"/>
          <w:numId w:val="2"/>
        </w:numPr>
        <w:spacing w:line="360" w:lineRule="auto"/>
        <w:ind w:left="0" w:right="-1132" w:firstLine="0"/>
        <w:jc w:val="both"/>
        <w:rPr>
          <w:rFonts w:ascii="Palatino Linotype" w:eastAsia="Calibri" w:hAnsi="Palatino Linotype" w:cs="Calibri"/>
          <w:color w:val="000000"/>
        </w:rPr>
      </w:pPr>
      <w:r w:rsidRPr="002202CA">
        <w:rPr>
          <w:rFonts w:ascii="Palatino Linotype" w:eastAsia="Palatino Linotype" w:hAnsi="Palatino Linotype" w:cs="Palatino Linotype"/>
          <w:color w:val="000000"/>
        </w:rPr>
        <w:t xml:space="preserve">Conforme a lo anterior, se puede advertir que el </w:t>
      </w:r>
      <w:r w:rsidRPr="002202CA">
        <w:rPr>
          <w:rFonts w:ascii="Palatino Linotype" w:eastAsia="Palatino Linotype" w:hAnsi="Palatino Linotype" w:cs="Palatino Linotype"/>
          <w:b/>
          <w:color w:val="000000"/>
        </w:rPr>
        <w:t>SUJETO OBLIGADO</w:t>
      </w:r>
      <w:r w:rsidRPr="002202CA">
        <w:rPr>
          <w:rFonts w:ascii="Palatino Linotype" w:eastAsia="Palatino Linotype" w:hAnsi="Palatino Linotype" w:cs="Palatino Linotype"/>
          <w:color w:val="000000"/>
        </w:rPr>
        <w:t xml:space="preserve"> no turnó la solicitud de información a todas  las unidad administrativa habilitadas de conocer de la solicitud de información, por lo que se concluye, que el </w:t>
      </w:r>
      <w:r w:rsidRPr="002202CA">
        <w:rPr>
          <w:rFonts w:ascii="Palatino Linotype" w:eastAsia="Palatino Linotype" w:hAnsi="Palatino Linotype" w:cs="Palatino Linotype"/>
          <w:b/>
          <w:color w:val="000000"/>
        </w:rPr>
        <w:t>SUJETO OBLIGADO</w:t>
      </w:r>
      <w:r w:rsidRPr="002202CA">
        <w:rPr>
          <w:rFonts w:ascii="Palatino Linotype" w:eastAsia="Palatino Linotype" w:hAnsi="Palatino Linotype" w:cs="Palatino Linotype"/>
          <w:color w:val="000000"/>
        </w:rPr>
        <w:t xml:space="preserve"> incumplió con el procedimiento de búsqueda establecido en el artículo 162 de la Ley de Transparencia y Acceso a la Información Pública del Estado de México y Municipios, por lo que no se acreditó que la búsqueda fuera exhaustiva y razonable; para lograr dicha situación, en principio, resulta necesario determinar, que es una investigación con esas características.</w:t>
      </w:r>
    </w:p>
    <w:p w:rsidR="008D3E69" w:rsidRPr="002202CA" w:rsidRDefault="008D3E69">
      <w:pPr>
        <w:spacing w:line="360" w:lineRule="auto"/>
        <w:ind w:right="-1132"/>
        <w:jc w:val="both"/>
        <w:rPr>
          <w:rFonts w:ascii="Palatino Linotype" w:eastAsia="Palatino Linotype" w:hAnsi="Palatino Linotype" w:cs="Palatino Linotype"/>
          <w:color w:val="000000"/>
        </w:rPr>
      </w:pPr>
    </w:p>
    <w:p w:rsidR="008D3E69" w:rsidRPr="002202CA" w:rsidRDefault="00EB748F">
      <w:pPr>
        <w:numPr>
          <w:ilvl w:val="0"/>
          <w:numId w:val="2"/>
        </w:numPr>
        <w:spacing w:line="360" w:lineRule="auto"/>
        <w:ind w:left="0" w:right="-1132" w:firstLine="0"/>
        <w:jc w:val="both"/>
        <w:rPr>
          <w:rFonts w:ascii="Palatino Linotype" w:eastAsia="Calibri" w:hAnsi="Palatino Linotype" w:cs="Calibri"/>
          <w:color w:val="000000"/>
        </w:rPr>
      </w:pPr>
      <w:r w:rsidRPr="002202CA">
        <w:rPr>
          <w:rFonts w:ascii="Palatino Linotype" w:eastAsia="Palatino Linotype" w:hAnsi="Palatino Linotype" w:cs="Palatino Linotype"/>
          <w:color w:val="000000"/>
        </w:rPr>
        <w:t>Aunado a lo expuesto,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8D3E69" w:rsidRPr="002202CA" w:rsidRDefault="008D3E69">
      <w:pPr>
        <w:spacing w:line="360" w:lineRule="auto"/>
        <w:ind w:right="-1132"/>
        <w:jc w:val="both"/>
        <w:rPr>
          <w:rFonts w:ascii="Palatino Linotype" w:eastAsia="Palatino Linotype" w:hAnsi="Palatino Linotype" w:cs="Palatino Linotype"/>
          <w:color w:val="000000"/>
        </w:rPr>
      </w:pPr>
    </w:p>
    <w:p w:rsidR="008D3E69" w:rsidRPr="002202CA" w:rsidRDefault="00EB748F">
      <w:pPr>
        <w:numPr>
          <w:ilvl w:val="0"/>
          <w:numId w:val="2"/>
        </w:numPr>
        <w:spacing w:line="360" w:lineRule="auto"/>
        <w:ind w:left="0" w:right="-1132" w:firstLine="0"/>
        <w:jc w:val="both"/>
        <w:rPr>
          <w:rFonts w:ascii="Palatino Linotype" w:eastAsia="Calibri" w:hAnsi="Palatino Linotype" w:cs="Calibri"/>
          <w:color w:val="000000"/>
        </w:rPr>
      </w:pPr>
      <w:r w:rsidRPr="002202CA">
        <w:rPr>
          <w:rFonts w:ascii="Palatino Linotype" w:eastAsia="Palatino Linotype" w:hAnsi="Palatino Linotype" w:cs="Palatino Linotype"/>
          <w:color w:val="000000"/>
        </w:rPr>
        <w:t xml:space="preserve">En ese contexto, de conformidad con los </w:t>
      </w:r>
      <w:r w:rsidRPr="002202CA">
        <w:rPr>
          <w:rFonts w:ascii="Palatino Linotype" w:eastAsia="Palatino Linotype" w:hAnsi="Palatino Linotype" w:cs="Palatino Linotype"/>
          <w:b/>
          <w:color w:val="000000"/>
        </w:rPr>
        <w:t>criterios 12/10 y 04/19,</w:t>
      </w:r>
      <w:r w:rsidRPr="002202CA">
        <w:rPr>
          <w:rFonts w:ascii="Palatino Linotype" w:eastAsia="Palatino Linotype" w:hAnsi="Palatino Linotype" w:cs="Palatino Linotype"/>
          <w:color w:val="000000"/>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sidRPr="002202CA">
        <w:rPr>
          <w:rFonts w:ascii="Palatino Linotype" w:eastAsia="Palatino Linotype" w:hAnsi="Palatino Linotype" w:cs="Palatino Linotype"/>
          <w:b/>
          <w:color w:val="000000"/>
        </w:rPr>
        <w:t>elementos suficientes</w:t>
      </w:r>
      <w:r w:rsidRPr="002202CA">
        <w:rPr>
          <w:rFonts w:ascii="Palatino Linotype" w:eastAsia="Palatino Linotype" w:hAnsi="Palatino Linotype" w:cs="Palatino Linotype"/>
          <w:color w:val="000000"/>
        </w:rPr>
        <w:t xml:space="preserve"> del carácter exhaustivo de la indagación realizada, a saber, los siguientes:</w:t>
      </w:r>
    </w:p>
    <w:p w:rsidR="008D3E69" w:rsidRPr="002202CA" w:rsidRDefault="00EB748F">
      <w:pPr>
        <w:numPr>
          <w:ilvl w:val="0"/>
          <w:numId w:val="4"/>
        </w:numPr>
        <w:ind w:left="1134" w:right="-1132"/>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lastRenderedPageBreak/>
        <w:t>Motivación por las que se buscó la información, en determinadas unidades administrativas;</w:t>
      </w:r>
    </w:p>
    <w:p w:rsidR="008D3E69" w:rsidRPr="002202CA" w:rsidRDefault="00EB748F">
      <w:pPr>
        <w:numPr>
          <w:ilvl w:val="0"/>
          <w:numId w:val="4"/>
        </w:numPr>
        <w:ind w:left="1134" w:right="-1132"/>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Los criterios de búsqueda utilizados, y</w:t>
      </w:r>
    </w:p>
    <w:p w:rsidR="008D3E69" w:rsidRPr="002202CA" w:rsidRDefault="00EB748F">
      <w:pPr>
        <w:numPr>
          <w:ilvl w:val="0"/>
          <w:numId w:val="4"/>
        </w:numPr>
        <w:ind w:left="1134" w:right="-1132"/>
        <w:jc w:val="both"/>
        <w:rPr>
          <w:rFonts w:ascii="Palatino Linotype" w:eastAsia="Palatino Linotype" w:hAnsi="Palatino Linotype" w:cs="Palatino Linotype"/>
          <w:i/>
          <w:color w:val="000000"/>
          <w:sz w:val="22"/>
          <w:szCs w:val="22"/>
        </w:rPr>
      </w:pPr>
      <w:r w:rsidRPr="002202CA">
        <w:rPr>
          <w:rFonts w:ascii="Palatino Linotype" w:eastAsia="Palatino Linotype" w:hAnsi="Palatino Linotype" w:cs="Palatino Linotype"/>
          <w:i/>
          <w:color w:val="000000"/>
          <w:sz w:val="22"/>
          <w:szCs w:val="22"/>
        </w:rPr>
        <w:t>Las circunstancias que fueron tomadas en cuenta.</w:t>
      </w:r>
    </w:p>
    <w:p w:rsidR="008D3E69" w:rsidRPr="002202CA" w:rsidRDefault="008D3E69">
      <w:pPr>
        <w:spacing w:line="360" w:lineRule="auto"/>
        <w:ind w:right="-1132"/>
        <w:jc w:val="both"/>
        <w:rPr>
          <w:rFonts w:ascii="Palatino Linotype" w:eastAsia="Palatino Linotype" w:hAnsi="Palatino Linotype" w:cs="Palatino Linotype"/>
          <w:color w:val="000000"/>
          <w:sz w:val="22"/>
          <w:szCs w:val="22"/>
        </w:rPr>
      </w:pPr>
    </w:p>
    <w:p w:rsidR="008D3E69" w:rsidRPr="002202CA" w:rsidRDefault="00EB748F">
      <w:pPr>
        <w:numPr>
          <w:ilvl w:val="0"/>
          <w:numId w:val="2"/>
        </w:numPr>
        <w:spacing w:line="360" w:lineRule="auto"/>
        <w:ind w:left="0" w:right="-1132" w:firstLine="0"/>
        <w:jc w:val="both"/>
        <w:rPr>
          <w:rFonts w:ascii="Palatino Linotype" w:eastAsia="Calibri" w:hAnsi="Palatino Linotype" w:cs="Calibri"/>
          <w:color w:val="000000"/>
        </w:rPr>
      </w:pPr>
      <w:r w:rsidRPr="002202CA">
        <w:rPr>
          <w:rFonts w:ascii="Palatino Linotype" w:eastAsia="Palatino Linotype" w:hAnsi="Palatino Linotype" w:cs="Palatino Linotype"/>
          <w:color w:val="000000"/>
        </w:rPr>
        <w:t>De tales circunstancias, se considera que para que los Sujetos Obligado justifiquen que realizaron una búsqueda exhaustiva y razonable, deben indicar de manera clara, lo siguiente:</w:t>
      </w:r>
    </w:p>
    <w:p w:rsidR="008D3E69" w:rsidRPr="002202CA" w:rsidRDefault="00EB748F">
      <w:pPr>
        <w:numPr>
          <w:ilvl w:val="0"/>
          <w:numId w:val="5"/>
        </w:numPr>
        <w:ind w:left="1134" w:right="-1132" w:firstLine="0"/>
        <w:jc w:val="both"/>
        <w:rPr>
          <w:rFonts w:ascii="Palatino Linotype" w:eastAsia="Palatino Linotype" w:hAnsi="Palatino Linotype" w:cs="Palatino Linotype"/>
          <w:b/>
          <w:i/>
          <w:color w:val="000000"/>
          <w:sz w:val="22"/>
          <w:szCs w:val="22"/>
        </w:rPr>
      </w:pPr>
      <w:r w:rsidRPr="002202CA">
        <w:rPr>
          <w:rFonts w:ascii="Palatino Linotype" w:eastAsia="Palatino Linotype" w:hAnsi="Palatino Linotype" w:cs="Palatino Linotype"/>
          <w:b/>
          <w:i/>
          <w:color w:val="000000"/>
          <w:sz w:val="22"/>
          <w:szCs w:val="22"/>
        </w:rPr>
        <w:t>Las áreas donde se buscó la información;</w:t>
      </w:r>
    </w:p>
    <w:p w:rsidR="008D3E69" w:rsidRPr="002202CA" w:rsidRDefault="00EB748F">
      <w:pPr>
        <w:numPr>
          <w:ilvl w:val="0"/>
          <w:numId w:val="5"/>
        </w:numPr>
        <w:ind w:left="1134" w:right="-1132" w:firstLine="0"/>
        <w:jc w:val="both"/>
        <w:rPr>
          <w:rFonts w:ascii="Palatino Linotype" w:eastAsia="Palatino Linotype" w:hAnsi="Palatino Linotype" w:cs="Palatino Linotype"/>
          <w:b/>
          <w:i/>
          <w:color w:val="000000"/>
          <w:sz w:val="22"/>
          <w:szCs w:val="22"/>
        </w:rPr>
      </w:pPr>
      <w:r w:rsidRPr="002202CA">
        <w:rPr>
          <w:rFonts w:ascii="Palatino Linotype" w:eastAsia="Palatino Linotype" w:hAnsi="Palatino Linotype" w:cs="Palatino Linotype"/>
          <w:b/>
          <w:i/>
          <w:color w:val="000000"/>
          <w:sz w:val="22"/>
          <w:szCs w:val="22"/>
        </w:rPr>
        <w:t>Tipo de archivos buscados (físicos o electrónicos);</w:t>
      </w:r>
    </w:p>
    <w:p w:rsidR="008D3E69" w:rsidRPr="002202CA" w:rsidRDefault="00EB748F">
      <w:pPr>
        <w:numPr>
          <w:ilvl w:val="0"/>
          <w:numId w:val="5"/>
        </w:numPr>
        <w:ind w:left="1134" w:right="-1132" w:firstLine="0"/>
        <w:jc w:val="both"/>
        <w:rPr>
          <w:rFonts w:ascii="Palatino Linotype" w:eastAsia="Palatino Linotype" w:hAnsi="Palatino Linotype" w:cs="Palatino Linotype"/>
          <w:b/>
          <w:i/>
          <w:color w:val="000000"/>
          <w:sz w:val="22"/>
          <w:szCs w:val="22"/>
        </w:rPr>
      </w:pPr>
      <w:r w:rsidRPr="002202CA">
        <w:rPr>
          <w:rFonts w:ascii="Palatino Linotype" w:eastAsia="Palatino Linotype" w:hAnsi="Palatino Linotype" w:cs="Palatino Linotype"/>
          <w:b/>
          <w:i/>
          <w:color w:val="000000"/>
          <w:sz w:val="22"/>
          <w:szCs w:val="22"/>
        </w:rPr>
        <w:t xml:space="preserve">Los criterios de búsqueda utilizados, y </w:t>
      </w:r>
    </w:p>
    <w:p w:rsidR="008D3E69" w:rsidRPr="002202CA" w:rsidRDefault="00EB748F">
      <w:pPr>
        <w:numPr>
          <w:ilvl w:val="0"/>
          <w:numId w:val="5"/>
        </w:numPr>
        <w:ind w:left="1134" w:right="-1132" w:firstLine="0"/>
        <w:jc w:val="both"/>
        <w:rPr>
          <w:rFonts w:ascii="Palatino Linotype" w:eastAsia="Palatino Linotype" w:hAnsi="Palatino Linotype" w:cs="Palatino Linotype"/>
          <w:b/>
          <w:i/>
          <w:color w:val="000000"/>
          <w:sz w:val="22"/>
          <w:szCs w:val="22"/>
        </w:rPr>
      </w:pPr>
      <w:r w:rsidRPr="002202CA">
        <w:rPr>
          <w:rFonts w:ascii="Palatino Linotype" w:eastAsia="Palatino Linotype" w:hAnsi="Palatino Linotype" w:cs="Palatino Linotype"/>
          <w:b/>
          <w:i/>
          <w:color w:val="000000"/>
          <w:sz w:val="22"/>
          <w:szCs w:val="22"/>
        </w:rPr>
        <w:t>Las circunstancias que fueron tomadas en cuenta.</w:t>
      </w:r>
      <w:r w:rsidRPr="002202CA">
        <w:rPr>
          <w:rFonts w:ascii="Palatino Linotype" w:eastAsia="Palatino Linotype" w:hAnsi="Palatino Linotype" w:cs="Palatino Linotype"/>
          <w:b/>
          <w:i/>
          <w:color w:val="000000"/>
          <w:sz w:val="22"/>
          <w:szCs w:val="22"/>
        </w:rPr>
        <w:tab/>
      </w:r>
    </w:p>
    <w:p w:rsidR="008D3E69" w:rsidRPr="002202CA" w:rsidRDefault="008D3E69">
      <w:pPr>
        <w:spacing w:line="360" w:lineRule="auto"/>
        <w:ind w:right="-1132"/>
        <w:jc w:val="both"/>
        <w:rPr>
          <w:rFonts w:ascii="Palatino Linotype" w:eastAsia="Palatino Linotype" w:hAnsi="Palatino Linotype" w:cs="Palatino Linotype"/>
          <w:color w:val="000000"/>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b/>
          <w:color w:val="000000"/>
        </w:rPr>
      </w:pPr>
      <w:r w:rsidRPr="002202CA">
        <w:rPr>
          <w:rFonts w:ascii="Palatino Linotype" w:eastAsia="Palatino Linotype" w:hAnsi="Palatino Linotype" w:cs="Palatino Linotype"/>
          <w:color w:val="000000"/>
        </w:rPr>
        <w:t xml:space="preserve">Conforme a lo anterior, este Instituto considera que el </w:t>
      </w:r>
      <w:r w:rsidR="002F0DFC" w:rsidRPr="002202CA">
        <w:rPr>
          <w:rFonts w:ascii="Palatino Linotype" w:eastAsia="Palatino Linotype" w:hAnsi="Palatino Linotype" w:cs="Palatino Linotype"/>
          <w:color w:val="000000"/>
        </w:rPr>
        <w:t xml:space="preserve">Ayuntamiento de Nextlalpan, </w:t>
      </w:r>
      <w:r w:rsidRPr="002202CA">
        <w:rPr>
          <w:rFonts w:ascii="Palatino Linotype" w:eastAsia="Palatino Linotype" w:hAnsi="Palatino Linotype" w:cs="Palatino Linotype"/>
          <w:color w:val="000000"/>
        </w:rPr>
        <w:t xml:space="preserve">no cumplió con ninguno de los requisitos previamente señalados por lo consiguiente no turnó la solicitud de información a las diversas áreas, toda vez que de la respuesta entregada no se pronuncian todos los servidores públicos habilitados, por lo que, no se logró advertir que esta haya realizado una indagación de lo requerido, </w:t>
      </w:r>
      <w:r w:rsidRPr="002202CA">
        <w:rPr>
          <w:rFonts w:ascii="Palatino Linotype" w:eastAsia="Palatino Linotype" w:hAnsi="Palatino Linotype" w:cs="Palatino Linotype"/>
          <w:b/>
          <w:color w:val="000000"/>
        </w:rPr>
        <w:t>no se indago en documentos físicos o también electrónicos y no se logró desprender los criterios de búsqueda utilizados, pues no precisó cómo realizó la misma.</w:t>
      </w:r>
    </w:p>
    <w:p w:rsidR="008D3E69" w:rsidRPr="002202CA" w:rsidRDefault="008D3E69">
      <w:pPr>
        <w:spacing w:line="360" w:lineRule="auto"/>
        <w:ind w:right="-1132"/>
        <w:jc w:val="both"/>
        <w:rPr>
          <w:rFonts w:ascii="Palatino Linotype" w:eastAsia="Palatino Linotype" w:hAnsi="Palatino Linotype" w:cs="Palatino Linotype"/>
          <w:i/>
        </w:rPr>
      </w:pPr>
    </w:p>
    <w:p w:rsidR="008D3E69" w:rsidRPr="002202CA" w:rsidRDefault="00EB748F">
      <w:pPr>
        <w:numPr>
          <w:ilvl w:val="0"/>
          <w:numId w:val="2"/>
        </w:numPr>
        <w:spacing w:line="360" w:lineRule="auto"/>
        <w:ind w:left="0" w:right="-1132" w:firstLine="0"/>
        <w:jc w:val="both"/>
        <w:rPr>
          <w:rFonts w:ascii="Palatino Linotype" w:eastAsia="Calibri" w:hAnsi="Palatino Linotype" w:cs="Calibri"/>
          <w:color w:val="000000"/>
        </w:rPr>
      </w:pPr>
      <w:r w:rsidRPr="002202CA">
        <w:rPr>
          <w:rFonts w:ascii="Palatino Linotype" w:eastAsia="Palatino Linotype" w:hAnsi="Palatino Linotype" w:cs="Palatino Linotype"/>
          <w:color w:val="000000"/>
        </w:rPr>
        <w:t>De lo anterior, se concluye que la búsqueda exhaustiva y razonable de la información debe estar sustentada con los respectivos criterios de búsqueda exhaustiva que el sujeto obligado utilizó.</w:t>
      </w:r>
    </w:p>
    <w:p w:rsidR="00EB748F" w:rsidRPr="002202CA" w:rsidRDefault="00EB748F" w:rsidP="00EB748F">
      <w:pPr>
        <w:spacing w:line="360" w:lineRule="auto"/>
        <w:ind w:right="-1132"/>
        <w:jc w:val="both"/>
        <w:rPr>
          <w:rFonts w:ascii="Palatino Linotype" w:eastAsia="Calibri" w:hAnsi="Palatino Linotype" w:cs="Calibri"/>
          <w:color w:val="000000"/>
        </w:rPr>
      </w:pPr>
    </w:p>
    <w:p w:rsidR="00EB748F" w:rsidRPr="002202CA" w:rsidRDefault="00EB748F">
      <w:pPr>
        <w:numPr>
          <w:ilvl w:val="0"/>
          <w:numId w:val="2"/>
        </w:numPr>
        <w:spacing w:line="360" w:lineRule="auto"/>
        <w:ind w:left="0" w:right="-1132" w:firstLine="0"/>
        <w:jc w:val="both"/>
        <w:rPr>
          <w:rFonts w:ascii="Palatino Linotype" w:eastAsia="Calibri" w:hAnsi="Palatino Linotype" w:cs="Calibri"/>
          <w:color w:val="000000"/>
        </w:rPr>
      </w:pPr>
      <w:r w:rsidRPr="002202CA">
        <w:rPr>
          <w:rFonts w:ascii="Palatino Linotype" w:eastAsia="Calibri" w:hAnsi="Palatino Linotype" w:cs="Calibri"/>
          <w:color w:val="000000"/>
        </w:rPr>
        <w:t xml:space="preserve">Finalmente, no se soslaya la información que el ahora </w:t>
      </w:r>
      <w:r w:rsidRPr="002202CA">
        <w:rPr>
          <w:rFonts w:ascii="Palatino Linotype" w:eastAsia="Calibri" w:hAnsi="Palatino Linotype" w:cs="Calibri"/>
          <w:b/>
          <w:color w:val="000000"/>
        </w:rPr>
        <w:t xml:space="preserve">RECURRENTE </w:t>
      </w:r>
      <w:r w:rsidRPr="002202CA">
        <w:rPr>
          <w:rFonts w:ascii="Palatino Linotype" w:eastAsia="Calibri" w:hAnsi="Palatino Linotype" w:cs="Calibri"/>
          <w:color w:val="000000"/>
        </w:rPr>
        <w:t>adjunto al momento de interponer el recurso de revisión que nos ocupa, cuyo contenido a efecto de precisión, se inserta a continuación :</w:t>
      </w:r>
    </w:p>
    <w:p w:rsidR="00EB748F" w:rsidRPr="002202CA" w:rsidRDefault="00F674E2" w:rsidP="00EB748F">
      <w:pPr>
        <w:spacing w:line="360" w:lineRule="auto"/>
        <w:ind w:right="-1132"/>
        <w:jc w:val="center"/>
        <w:rPr>
          <w:rFonts w:ascii="Palatino Linotype" w:eastAsia="Calibri" w:hAnsi="Palatino Linotype" w:cs="Calibri"/>
          <w:color w:val="000000"/>
        </w:rPr>
      </w:pPr>
      <w:r w:rsidRPr="002202CA">
        <w:rPr>
          <w:rFonts w:ascii="Palatino Linotype" w:eastAsia="Calibri" w:hAnsi="Palatino Linotype" w:cs="Calibri"/>
          <w:noProof/>
          <w:color w:val="000000"/>
        </w:rPr>
        <w:lastRenderedPageBreak/>
        <w:drawing>
          <wp:inline distT="0" distB="0" distL="0" distR="0" wp14:anchorId="5CB0F067" wp14:editId="6B372FF8">
            <wp:extent cx="5001323" cy="7392432"/>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1323" cy="7392432"/>
                    </a:xfrm>
                    <a:prstGeom prst="rect">
                      <a:avLst/>
                    </a:prstGeom>
                  </pic:spPr>
                </pic:pic>
              </a:graphicData>
            </a:graphic>
          </wp:inline>
        </w:drawing>
      </w:r>
    </w:p>
    <w:p w:rsidR="00F674E2" w:rsidRPr="002202CA" w:rsidRDefault="00F674E2" w:rsidP="00EB748F">
      <w:pPr>
        <w:spacing w:line="360" w:lineRule="auto"/>
        <w:ind w:right="-1132"/>
        <w:jc w:val="center"/>
        <w:rPr>
          <w:rFonts w:ascii="Palatino Linotype" w:eastAsia="Calibri" w:hAnsi="Palatino Linotype" w:cs="Calibri"/>
          <w:color w:val="000000"/>
        </w:rPr>
      </w:pPr>
      <w:r w:rsidRPr="002202CA">
        <w:rPr>
          <w:rFonts w:ascii="Palatino Linotype" w:eastAsia="Calibri" w:hAnsi="Palatino Linotype" w:cs="Calibri"/>
          <w:noProof/>
          <w:color w:val="000000"/>
        </w:rPr>
        <w:lastRenderedPageBreak/>
        <w:drawing>
          <wp:inline distT="0" distB="0" distL="0" distR="0" wp14:anchorId="358C43AD" wp14:editId="24F5B970">
            <wp:extent cx="4877481" cy="6830378"/>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7481" cy="6830378"/>
                    </a:xfrm>
                    <a:prstGeom prst="rect">
                      <a:avLst/>
                    </a:prstGeom>
                  </pic:spPr>
                </pic:pic>
              </a:graphicData>
            </a:graphic>
          </wp:inline>
        </w:drawing>
      </w:r>
    </w:p>
    <w:p w:rsidR="008D3E69" w:rsidRPr="002202CA" w:rsidRDefault="008D3E69">
      <w:pPr>
        <w:spacing w:line="360" w:lineRule="auto"/>
        <w:ind w:left="720" w:right="-1132"/>
        <w:jc w:val="both"/>
        <w:rPr>
          <w:rFonts w:ascii="Palatino Linotype" w:eastAsia="Palatino Linotype" w:hAnsi="Palatino Linotype" w:cs="Palatino Linotype"/>
        </w:rPr>
      </w:pPr>
    </w:p>
    <w:p w:rsidR="00EB748F" w:rsidRPr="002202CA" w:rsidRDefault="00EB748F" w:rsidP="00EB748F">
      <w:pPr>
        <w:numPr>
          <w:ilvl w:val="0"/>
          <w:numId w:val="2"/>
        </w:numPr>
        <w:spacing w:line="360" w:lineRule="auto"/>
        <w:ind w:left="0" w:right="-1132" w:firstLine="0"/>
        <w:jc w:val="both"/>
        <w:rPr>
          <w:rFonts w:ascii="Palatino Linotype" w:eastAsia="Calibri" w:hAnsi="Palatino Linotype" w:cs="Calibri"/>
          <w:color w:val="000000"/>
        </w:rPr>
      </w:pPr>
      <w:r w:rsidRPr="002202CA">
        <w:rPr>
          <w:rFonts w:ascii="Palatino Linotype" w:eastAsia="Calibri" w:hAnsi="Palatino Linotype" w:cs="Calibri"/>
          <w:color w:val="000000"/>
        </w:rPr>
        <w:lastRenderedPageBreak/>
        <w:t>De la</w:t>
      </w:r>
      <w:r w:rsidR="00F674E2" w:rsidRPr="002202CA">
        <w:rPr>
          <w:rFonts w:ascii="Palatino Linotype" w:eastAsia="Calibri" w:hAnsi="Palatino Linotype" w:cs="Calibri"/>
          <w:color w:val="000000"/>
        </w:rPr>
        <w:t>s capturas anteriores, que corresponden a la página del Comisariado Ejidal de Santa Ana Nextlalpan</w:t>
      </w:r>
      <w:r w:rsidRPr="002202CA">
        <w:rPr>
          <w:rFonts w:ascii="Palatino Linotype" w:eastAsia="Calibri" w:hAnsi="Palatino Linotype" w:cs="Calibri"/>
          <w:color w:val="000000"/>
        </w:rPr>
        <w:t>, se</w:t>
      </w:r>
      <w:r w:rsidR="00F674E2" w:rsidRPr="002202CA">
        <w:rPr>
          <w:rFonts w:ascii="Palatino Linotype" w:eastAsia="Calibri" w:hAnsi="Palatino Linotype" w:cs="Calibri"/>
          <w:color w:val="000000"/>
        </w:rPr>
        <w:t xml:space="preserve"> observa que las obras comenzaron aproximadamente el ve</w:t>
      </w:r>
      <w:r w:rsidR="001631AD" w:rsidRPr="002202CA">
        <w:rPr>
          <w:rFonts w:ascii="Palatino Linotype" w:eastAsia="Calibri" w:hAnsi="Palatino Linotype" w:cs="Calibri"/>
          <w:color w:val="000000"/>
        </w:rPr>
        <w:t xml:space="preserve">intiocho de dos mil veintidós, siendo que </w:t>
      </w:r>
      <w:r w:rsidR="00F674E2" w:rsidRPr="002202CA">
        <w:rPr>
          <w:rFonts w:ascii="Palatino Linotype" w:eastAsia="Calibri" w:hAnsi="Palatino Linotype" w:cs="Calibri"/>
          <w:color w:val="000000"/>
        </w:rPr>
        <w:t xml:space="preserve">al siete de julio </w:t>
      </w:r>
      <w:r w:rsidR="001631AD" w:rsidRPr="002202CA">
        <w:rPr>
          <w:rFonts w:ascii="Palatino Linotype" w:eastAsia="Calibri" w:hAnsi="Palatino Linotype" w:cs="Calibri"/>
          <w:color w:val="000000"/>
        </w:rPr>
        <w:t xml:space="preserve">del años dos mil </w:t>
      </w:r>
      <w:proofErr w:type="spellStart"/>
      <w:r w:rsidR="001631AD" w:rsidRPr="002202CA">
        <w:rPr>
          <w:rFonts w:ascii="Palatino Linotype" w:eastAsia="Calibri" w:hAnsi="Palatino Linotype" w:cs="Calibri"/>
          <w:color w:val="000000"/>
        </w:rPr>
        <w:t>veintidos</w:t>
      </w:r>
      <w:proofErr w:type="spellEnd"/>
      <w:r w:rsidR="00F674E2" w:rsidRPr="002202CA">
        <w:rPr>
          <w:rFonts w:ascii="Palatino Linotype" w:eastAsia="Calibri" w:hAnsi="Palatino Linotype" w:cs="Calibri"/>
          <w:color w:val="000000"/>
        </w:rPr>
        <w:t xml:space="preserve">, la misma se encontraba aún en proceso de construcción, situación que </w:t>
      </w:r>
      <w:r w:rsidRPr="002202CA">
        <w:rPr>
          <w:rFonts w:ascii="Palatino Linotype" w:eastAsia="Calibri" w:hAnsi="Palatino Linotype" w:cs="Calibri"/>
          <w:color w:val="000000"/>
        </w:rPr>
        <w:t xml:space="preserve"> permite establecer</w:t>
      </w:r>
      <w:r w:rsidR="00F674E2" w:rsidRPr="002202CA">
        <w:rPr>
          <w:rFonts w:ascii="Palatino Linotype" w:eastAsia="Calibri" w:hAnsi="Palatino Linotype" w:cs="Calibri"/>
          <w:color w:val="000000"/>
        </w:rPr>
        <w:t xml:space="preserve"> la temporalidad, la existencia de</w:t>
      </w:r>
      <w:r w:rsidRPr="002202CA">
        <w:rPr>
          <w:rFonts w:ascii="Palatino Linotype" w:eastAsia="Calibri" w:hAnsi="Palatino Linotype" w:cs="Calibri"/>
          <w:color w:val="000000"/>
        </w:rPr>
        <w:t xml:space="preserve"> la información solicitada</w:t>
      </w:r>
      <w:r w:rsidR="001631AD" w:rsidRPr="002202CA">
        <w:rPr>
          <w:rFonts w:ascii="Palatino Linotype" w:eastAsia="Calibri" w:hAnsi="Palatino Linotype" w:cs="Calibri"/>
          <w:color w:val="000000"/>
        </w:rPr>
        <w:t>, así como la certeza que</w:t>
      </w:r>
      <w:r w:rsidRPr="002202CA">
        <w:rPr>
          <w:rFonts w:ascii="Palatino Linotype" w:eastAsia="Calibri" w:hAnsi="Palatino Linotype" w:cs="Calibri"/>
          <w:color w:val="000000"/>
        </w:rPr>
        <w:t xml:space="preserve"> efectivamente el </w:t>
      </w:r>
      <w:r w:rsidRPr="002202CA">
        <w:rPr>
          <w:rFonts w:ascii="Palatino Linotype" w:eastAsia="Calibri" w:hAnsi="Palatino Linotype" w:cs="Calibri"/>
          <w:b/>
          <w:color w:val="000000"/>
        </w:rPr>
        <w:t xml:space="preserve">AYUNTAMIENTO DE NEXTLALPAN </w:t>
      </w:r>
      <w:r w:rsidRPr="002202CA">
        <w:rPr>
          <w:rFonts w:ascii="Palatino Linotype" w:eastAsia="Calibri" w:hAnsi="Palatino Linotype" w:cs="Calibri"/>
          <w:color w:val="000000"/>
        </w:rPr>
        <w:t xml:space="preserve">intervino en dicha obra, por lo que </w:t>
      </w:r>
      <w:r w:rsidRPr="002202CA">
        <w:rPr>
          <w:rFonts w:ascii="Palatino Linotype" w:eastAsia="Palatino Linotype" w:hAnsi="Palatino Linotype" w:cs="Palatino Linotype"/>
          <w:color w:val="000000"/>
        </w:rPr>
        <w:t xml:space="preserve">resulta dable </w:t>
      </w:r>
      <w:r w:rsidRPr="002202CA">
        <w:rPr>
          <w:rFonts w:ascii="Palatino Linotype" w:eastAsia="Palatino Linotype" w:hAnsi="Palatino Linotype" w:cs="Palatino Linotype"/>
          <w:b/>
          <w:color w:val="000000"/>
        </w:rPr>
        <w:t>ORDENAR</w:t>
      </w:r>
      <w:r w:rsidRPr="002202CA">
        <w:rPr>
          <w:rFonts w:ascii="Palatino Linotype" w:eastAsia="Palatino Linotype" w:hAnsi="Palatino Linotype" w:cs="Palatino Linotype"/>
          <w:color w:val="000000"/>
        </w:rPr>
        <w:t xml:space="preserve"> al Sujeto Obligado, realice la entrega del documento o documentos donde conste la siguiente información:</w:t>
      </w:r>
    </w:p>
    <w:p w:rsidR="00EB748F" w:rsidRPr="002202CA" w:rsidRDefault="00EB748F" w:rsidP="00EB748F">
      <w:pPr>
        <w:spacing w:line="360" w:lineRule="auto"/>
        <w:ind w:right="-1132"/>
        <w:jc w:val="both"/>
        <w:rPr>
          <w:rFonts w:ascii="Palatino Linotype" w:eastAsia="Palatino Linotype" w:hAnsi="Palatino Linotype" w:cs="Palatino Linotype"/>
          <w:color w:val="000000"/>
        </w:rPr>
      </w:pPr>
    </w:p>
    <w:p w:rsidR="008D3E69" w:rsidRPr="002202CA" w:rsidRDefault="00EB748F" w:rsidP="00EB748F">
      <w:pPr>
        <w:pStyle w:val="Prrafodelista"/>
        <w:numPr>
          <w:ilvl w:val="0"/>
          <w:numId w:val="11"/>
        </w:numPr>
        <w:spacing w:line="360" w:lineRule="auto"/>
        <w:ind w:right="-283"/>
        <w:jc w:val="both"/>
        <w:rPr>
          <w:rFonts w:ascii="Palatino Linotype" w:eastAsia="Calibri" w:hAnsi="Palatino Linotype" w:cs="Calibri"/>
          <w:color w:val="000000"/>
        </w:rPr>
      </w:pPr>
      <w:r w:rsidRPr="002202CA">
        <w:rPr>
          <w:rFonts w:ascii="Palatino Linotype" w:eastAsia="Palatino Linotype" w:hAnsi="Palatino Linotype" w:cs="Palatino Linotype"/>
          <w:color w:val="000000"/>
        </w:rPr>
        <w:t xml:space="preserve">Permisos para </w:t>
      </w:r>
      <w:r w:rsidRPr="002202CA">
        <w:rPr>
          <w:rFonts w:ascii="Palatino Linotype" w:eastAsia="Palatino Linotype" w:hAnsi="Palatino Linotype" w:cs="Palatino Linotype"/>
        </w:rPr>
        <w:t>la obra y/o proyecto de reparación y/o reconstrucción del  “Puente de Santiago”, que atraviesa el Gran Canal de Desagüe en el municipio de Nextlalpan, Estado de México.</w:t>
      </w:r>
    </w:p>
    <w:p w:rsidR="008D3E69" w:rsidRPr="002202CA" w:rsidRDefault="008D3E69">
      <w:pPr>
        <w:shd w:val="clear" w:color="auto" w:fill="FFFFFF"/>
        <w:spacing w:line="360" w:lineRule="auto"/>
        <w:ind w:right="-1132"/>
        <w:jc w:val="both"/>
        <w:rPr>
          <w:rFonts w:ascii="Palatino Linotype" w:eastAsia="Palatino Linotype" w:hAnsi="Palatino Linotype" w:cs="Palatino Linotype"/>
          <w:b/>
          <w:color w:val="000000"/>
        </w:rPr>
      </w:pPr>
    </w:p>
    <w:p w:rsidR="008D3E69" w:rsidRPr="002202CA" w:rsidRDefault="00EB748F">
      <w:pPr>
        <w:keepNext/>
        <w:keepLines/>
        <w:ind w:right="-1132"/>
        <w:rPr>
          <w:rFonts w:ascii="Palatino Linotype" w:eastAsia="Palatino Linotype" w:hAnsi="Palatino Linotype" w:cs="Palatino Linotype"/>
          <w:b/>
          <w:color w:val="000000"/>
        </w:rPr>
      </w:pPr>
      <w:r w:rsidRPr="002202CA">
        <w:rPr>
          <w:rFonts w:ascii="Palatino Linotype" w:eastAsia="Palatino Linotype" w:hAnsi="Palatino Linotype" w:cs="Palatino Linotype"/>
          <w:b/>
          <w:color w:val="000000"/>
        </w:rPr>
        <w:t>QUINTO. De la versión pública.</w:t>
      </w:r>
    </w:p>
    <w:p w:rsidR="00EB748F" w:rsidRPr="002202CA" w:rsidRDefault="00EB748F">
      <w:pPr>
        <w:keepNext/>
        <w:keepLines/>
        <w:ind w:right="-1132"/>
        <w:rPr>
          <w:rFonts w:ascii="Palatino Linotype" w:eastAsia="Palatino Linotype" w:hAnsi="Palatino Linotype" w:cs="Palatino Linotype"/>
          <w:b/>
          <w:color w:val="000000"/>
        </w:rPr>
      </w:pPr>
    </w:p>
    <w:p w:rsidR="008D3E69" w:rsidRPr="002202CA" w:rsidRDefault="00EB748F">
      <w:pPr>
        <w:keepNext/>
        <w:keepLines/>
        <w:numPr>
          <w:ilvl w:val="0"/>
          <w:numId w:val="6"/>
        </w:numPr>
        <w:tabs>
          <w:tab w:val="left" w:pos="284"/>
        </w:tabs>
        <w:spacing w:line="360" w:lineRule="auto"/>
        <w:ind w:left="0" w:right="-1132" w:firstLine="0"/>
        <w:rPr>
          <w:rFonts w:ascii="Palatino Linotype" w:eastAsia="Palatino Linotype" w:hAnsi="Palatino Linotype" w:cs="Palatino Linotype"/>
          <w:b/>
          <w:color w:val="000000"/>
        </w:rPr>
      </w:pPr>
      <w:bookmarkStart w:id="6" w:name="_heading=h.4d34og8" w:colFirst="0" w:colLast="0"/>
      <w:bookmarkEnd w:id="6"/>
      <w:r w:rsidRPr="002202CA">
        <w:rPr>
          <w:rFonts w:ascii="Palatino Linotype" w:eastAsia="Palatino Linotype" w:hAnsi="Palatino Linotype" w:cs="Palatino Linotype"/>
          <w:b/>
          <w:color w:val="000000"/>
        </w:rPr>
        <w:t xml:space="preserve">Nociones generales. </w:t>
      </w: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rPr>
        <w:t xml:space="preserve"> </w:t>
      </w:r>
      <w:r w:rsidRPr="002202CA">
        <w:rPr>
          <w:rFonts w:ascii="Palatino Linotype" w:eastAsia="Palatino Linotype" w:hAnsi="Palatino Linotype" w:cs="Palatino Linotype"/>
          <w:color w:val="000000"/>
        </w:rPr>
        <w:t>Debe destacarse que, debido a la naturaleza de la información solicitada</w:t>
      </w:r>
      <w:r w:rsidRPr="002202CA">
        <w:rPr>
          <w:rFonts w:ascii="Palatino Linotype" w:eastAsia="Palatino Linotype" w:hAnsi="Palatino Linotype" w:cs="Palatino Linotype"/>
          <w:b/>
          <w:color w:val="000000"/>
        </w:rPr>
        <w:t xml:space="preserve">, </w:t>
      </w:r>
      <w:r w:rsidRPr="002202CA">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2202CA">
        <w:rPr>
          <w:rFonts w:ascii="Palatino Linotype" w:eastAsia="Palatino Linotype" w:hAnsi="Palatino Linotype" w:cs="Palatino Linotype"/>
          <w:b/>
          <w:color w:val="000000"/>
        </w:rPr>
        <w:t xml:space="preserve">Sujeto Obligado </w:t>
      </w:r>
      <w:r w:rsidRPr="002202CA">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8D3E69" w:rsidRPr="002202CA" w:rsidRDefault="008D3E69">
      <w:pPr>
        <w:spacing w:line="360" w:lineRule="auto"/>
        <w:ind w:right="-1132"/>
        <w:jc w:val="both"/>
        <w:rPr>
          <w:rFonts w:ascii="Palatino Linotype" w:eastAsia="Palatino Linotype" w:hAnsi="Palatino Linotype" w:cs="Palatino Linotype"/>
          <w:color w:val="000000"/>
        </w:rPr>
      </w:pPr>
      <w:bookmarkStart w:id="7" w:name="_heading=h.gjdgxs" w:colFirst="0" w:colLast="0"/>
      <w:bookmarkEnd w:id="7"/>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rPr>
      </w:pPr>
      <w:r w:rsidRPr="002202CA">
        <w:rPr>
          <w:rFonts w:ascii="Palatino Linotype" w:eastAsia="Palatino Linotype" w:hAnsi="Palatino Linotype" w:cs="Palatino Linotype"/>
        </w:rPr>
        <w:t xml:space="preserve"> </w:t>
      </w:r>
      <w:r w:rsidRPr="002202CA">
        <w:rPr>
          <w:rFonts w:ascii="Palatino Linotype" w:eastAsia="Palatino Linotype" w:hAnsi="Palatino Linotype" w:cs="Palatino Linotype"/>
          <w:color w:val="000000"/>
        </w:rPr>
        <w:t xml:space="preserve">Resultando dable primeramente señalar que por lo que hace a nombre de personas o </w:t>
      </w:r>
      <w:r w:rsidRPr="002202CA">
        <w:rPr>
          <w:rFonts w:ascii="Palatino Linotype" w:eastAsia="Palatino Linotype" w:hAnsi="Palatino Linotype" w:cs="Palatino Linotype"/>
          <w:i/>
          <w:color w:val="000000"/>
        </w:rPr>
        <w:t>personalidades</w:t>
      </w:r>
      <w:r w:rsidRPr="002202CA">
        <w:rPr>
          <w:rFonts w:ascii="Palatino Linotype" w:eastAsia="Palatino Linotype" w:hAnsi="Palatino Linotype" w:cs="Palatino Linotype"/>
          <w:color w:val="000000"/>
        </w:rPr>
        <w:t xml:space="preserve">, </w:t>
      </w:r>
      <w:r w:rsidRPr="002202CA">
        <w:rPr>
          <w:rFonts w:ascii="Palatino Linotype" w:eastAsia="Palatino Linotype" w:hAnsi="Palatino Linotype" w:cs="Palatino Linotype"/>
        </w:rPr>
        <w:t>sólo</w:t>
      </w:r>
      <w:r w:rsidRPr="002202CA">
        <w:rPr>
          <w:rFonts w:ascii="Palatino Linotype" w:eastAsia="Palatino Linotype" w:hAnsi="Palatino Linotype" w:cs="Palatino Linotype"/>
          <w:color w:val="000000"/>
        </w:rPr>
        <w:t xml:space="preserve"> es dable dar a conocer aquellas que al momento de que eventualmente haya entregado su aportación tuvieran el carácter de servidor público, caso contrario,</w:t>
      </w:r>
      <w:r w:rsidRPr="002202CA">
        <w:rPr>
          <w:rFonts w:ascii="Palatino Linotype" w:eastAsia="Palatino Linotype" w:hAnsi="Palatino Linotype" w:cs="Palatino Linotype"/>
          <w:b/>
          <w:color w:val="000000"/>
        </w:rPr>
        <w:t xml:space="preserve"> los </w:t>
      </w:r>
      <w:r w:rsidRPr="002202CA">
        <w:rPr>
          <w:rFonts w:ascii="Palatino Linotype" w:eastAsia="Palatino Linotype" w:hAnsi="Palatino Linotype" w:cs="Palatino Linotype"/>
          <w:b/>
          <w:color w:val="000000"/>
        </w:rPr>
        <w:lastRenderedPageBreak/>
        <w:t>nombres de los particulares</w:t>
      </w:r>
      <w:r w:rsidRPr="002202CA">
        <w:rPr>
          <w:rFonts w:ascii="Palatino Linotype" w:eastAsia="Palatino Linotype" w:hAnsi="Palatino Linotype" w:cs="Palatino Linotype"/>
          <w:color w:val="000000"/>
        </w:rPr>
        <w:t>, son datos personales que no pueden ser remitidos en respuesta, de ser el caso en el soporte documental donde consten u obren deberán ser clasificados como confidenciales.</w:t>
      </w:r>
    </w:p>
    <w:p w:rsidR="008D3E69" w:rsidRPr="002202CA" w:rsidRDefault="008D3E69">
      <w:pPr>
        <w:pBdr>
          <w:top w:val="nil"/>
          <w:left w:val="nil"/>
          <w:bottom w:val="nil"/>
          <w:right w:val="nil"/>
          <w:between w:val="nil"/>
        </w:pBdr>
        <w:tabs>
          <w:tab w:val="left" w:pos="284"/>
        </w:tabs>
        <w:spacing w:line="360" w:lineRule="auto"/>
        <w:ind w:right="-1132"/>
        <w:jc w:val="both"/>
        <w:rPr>
          <w:rFonts w:ascii="Palatino Linotype" w:eastAsia="Palatino Linotype" w:hAnsi="Palatino Linotype" w:cs="Palatino Linotype"/>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color w:val="000000"/>
        </w:rPr>
        <w:t xml:space="preserve">No pasa desapercibido para este Órgano Garante que los </w:t>
      </w:r>
      <w:r w:rsidRPr="002202CA">
        <w:rPr>
          <w:rFonts w:ascii="Palatino Linotype" w:eastAsia="Palatino Linotype" w:hAnsi="Palatino Linotype" w:cs="Palatino Linotype"/>
          <w:b/>
          <w:color w:val="000000"/>
        </w:rPr>
        <w:t xml:space="preserve">Sujetos Obligados </w:t>
      </w:r>
      <w:r w:rsidRPr="002202CA">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a"/>
        <w:tblW w:w="951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530"/>
      </w:tblGrid>
      <w:tr w:rsidR="008D3E69" w:rsidRPr="002202CA">
        <w:tc>
          <w:tcPr>
            <w:tcW w:w="1980" w:type="dxa"/>
          </w:tcPr>
          <w:p w:rsidR="008D3E69" w:rsidRPr="002202CA" w:rsidRDefault="00EB748F">
            <w:pPr>
              <w:tabs>
                <w:tab w:val="left" w:pos="284"/>
              </w:tabs>
              <w:spacing w:line="360" w:lineRule="auto"/>
              <w:ind w:right="-102"/>
              <w:rPr>
                <w:rFonts w:ascii="Palatino Linotype" w:eastAsia="Palatino Linotype" w:hAnsi="Palatino Linotype" w:cs="Palatino Linotype"/>
                <w:sz w:val="22"/>
                <w:szCs w:val="22"/>
              </w:rPr>
            </w:pPr>
            <w:r w:rsidRPr="002202CA">
              <w:rPr>
                <w:rFonts w:ascii="Palatino Linotype" w:eastAsia="Palatino Linotype" w:hAnsi="Palatino Linotype" w:cs="Palatino Linotype"/>
                <w:sz w:val="22"/>
                <w:szCs w:val="22"/>
              </w:rPr>
              <w:t>a) Requisitos previos.</w:t>
            </w:r>
          </w:p>
        </w:tc>
        <w:tc>
          <w:tcPr>
            <w:tcW w:w="7530" w:type="dxa"/>
          </w:tcPr>
          <w:p w:rsidR="008D3E69" w:rsidRPr="002202CA" w:rsidRDefault="00EB748F">
            <w:pPr>
              <w:tabs>
                <w:tab w:val="left" w:pos="284"/>
              </w:tabs>
              <w:spacing w:line="360" w:lineRule="auto"/>
              <w:ind w:right="-102"/>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8D3E69" w:rsidRPr="002202CA" w:rsidRDefault="00EB748F">
            <w:pPr>
              <w:tabs>
                <w:tab w:val="left" w:pos="284"/>
              </w:tabs>
              <w:spacing w:line="360" w:lineRule="auto"/>
              <w:ind w:right="-102"/>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rsidR="008D3E69" w:rsidRPr="002202CA" w:rsidRDefault="00EB748F">
            <w:pPr>
              <w:tabs>
                <w:tab w:val="left" w:pos="284"/>
              </w:tabs>
              <w:spacing w:line="360" w:lineRule="auto"/>
              <w:ind w:right="-102"/>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rsidR="008D3E69" w:rsidRPr="002202CA" w:rsidRDefault="00EB748F">
            <w:pPr>
              <w:tabs>
                <w:tab w:val="left" w:pos="284"/>
              </w:tabs>
              <w:spacing w:line="360" w:lineRule="auto"/>
              <w:ind w:right="-102"/>
              <w:jc w:val="both"/>
              <w:rPr>
                <w:rFonts w:ascii="Palatino Linotype" w:eastAsia="Palatino Linotype" w:hAnsi="Palatino Linotype" w:cs="Palatino Linotype"/>
                <w:sz w:val="22"/>
                <w:szCs w:val="22"/>
              </w:rPr>
            </w:pPr>
            <w:r w:rsidRPr="002202CA">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sidRPr="002202CA">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2202CA">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8D3E69" w:rsidRPr="002202CA">
        <w:tc>
          <w:tcPr>
            <w:tcW w:w="1980" w:type="dxa"/>
          </w:tcPr>
          <w:p w:rsidR="008D3E69" w:rsidRPr="002202CA" w:rsidRDefault="00EB748F">
            <w:pPr>
              <w:tabs>
                <w:tab w:val="left" w:pos="284"/>
              </w:tabs>
              <w:spacing w:line="360" w:lineRule="auto"/>
              <w:ind w:right="-102"/>
              <w:rPr>
                <w:rFonts w:ascii="Palatino Linotype" w:eastAsia="Palatino Linotype" w:hAnsi="Palatino Linotype" w:cs="Palatino Linotype"/>
                <w:sz w:val="22"/>
                <w:szCs w:val="22"/>
              </w:rPr>
            </w:pPr>
            <w:r w:rsidRPr="002202CA">
              <w:rPr>
                <w:rFonts w:ascii="Palatino Linotype" w:eastAsia="Palatino Linotype" w:hAnsi="Palatino Linotype" w:cs="Palatino Linotype"/>
                <w:sz w:val="22"/>
                <w:szCs w:val="22"/>
              </w:rPr>
              <w:lastRenderedPageBreak/>
              <w:t>b) Supuestos de clasificación.</w:t>
            </w:r>
          </w:p>
        </w:tc>
        <w:tc>
          <w:tcPr>
            <w:tcW w:w="7530" w:type="dxa"/>
          </w:tcPr>
          <w:p w:rsidR="008D3E69" w:rsidRPr="002202CA" w:rsidRDefault="00EB748F">
            <w:pPr>
              <w:tabs>
                <w:tab w:val="left" w:pos="284"/>
              </w:tabs>
              <w:spacing w:line="360" w:lineRule="auto"/>
              <w:ind w:right="-102"/>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rsidR="008D3E69" w:rsidRPr="002202CA" w:rsidRDefault="00EB748F">
            <w:pPr>
              <w:tabs>
                <w:tab w:val="left" w:pos="284"/>
              </w:tabs>
              <w:spacing w:line="360" w:lineRule="auto"/>
              <w:ind w:right="-102"/>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8D3E69" w:rsidRPr="002202CA" w:rsidRDefault="00EB748F">
            <w:pPr>
              <w:tabs>
                <w:tab w:val="left" w:pos="284"/>
              </w:tabs>
              <w:spacing w:line="360" w:lineRule="auto"/>
              <w:ind w:right="-102"/>
              <w:jc w:val="both"/>
              <w:rPr>
                <w:rFonts w:ascii="Palatino Linotype" w:eastAsia="Palatino Linotype" w:hAnsi="Palatino Linotype" w:cs="Palatino Linotype"/>
                <w:sz w:val="22"/>
                <w:szCs w:val="22"/>
              </w:rPr>
            </w:pPr>
            <w:r w:rsidRPr="002202CA">
              <w:rPr>
                <w:rFonts w:ascii="Palatino Linotype" w:eastAsia="Palatino Linotype" w:hAnsi="Palatino Linotype" w:cs="Palatino Linotype"/>
                <w:color w:val="000000"/>
                <w:sz w:val="22"/>
                <w:szCs w:val="22"/>
              </w:rPr>
              <w:t xml:space="preserve">El </w:t>
            </w:r>
            <w:r w:rsidRPr="002202CA">
              <w:rPr>
                <w:rFonts w:ascii="Palatino Linotype" w:eastAsia="Palatino Linotype" w:hAnsi="Palatino Linotype" w:cs="Palatino Linotype"/>
                <w:b/>
                <w:color w:val="000000"/>
                <w:sz w:val="22"/>
                <w:szCs w:val="22"/>
              </w:rPr>
              <w:t>Sujeto Obligado</w:t>
            </w:r>
            <w:r w:rsidRPr="002202CA">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D3E69" w:rsidRPr="002202CA">
        <w:tc>
          <w:tcPr>
            <w:tcW w:w="1980" w:type="dxa"/>
          </w:tcPr>
          <w:p w:rsidR="008D3E69" w:rsidRPr="002202CA" w:rsidRDefault="00EB748F">
            <w:pPr>
              <w:tabs>
                <w:tab w:val="left" w:pos="284"/>
              </w:tabs>
              <w:spacing w:line="360" w:lineRule="auto"/>
              <w:ind w:right="-102"/>
              <w:rPr>
                <w:rFonts w:ascii="Palatino Linotype" w:eastAsia="Palatino Linotype" w:hAnsi="Palatino Linotype" w:cs="Palatino Linotype"/>
                <w:sz w:val="22"/>
                <w:szCs w:val="22"/>
              </w:rPr>
            </w:pPr>
            <w:r w:rsidRPr="002202CA">
              <w:rPr>
                <w:rFonts w:ascii="Palatino Linotype" w:eastAsia="Palatino Linotype" w:hAnsi="Palatino Linotype" w:cs="Palatino Linotype"/>
                <w:sz w:val="22"/>
                <w:szCs w:val="22"/>
              </w:rPr>
              <w:t>c) Formalidades para emitir el acuerdo de clasificación.</w:t>
            </w:r>
          </w:p>
        </w:tc>
        <w:tc>
          <w:tcPr>
            <w:tcW w:w="7530" w:type="dxa"/>
          </w:tcPr>
          <w:p w:rsidR="008D3E69" w:rsidRPr="002202CA" w:rsidRDefault="00EB748F">
            <w:pPr>
              <w:tabs>
                <w:tab w:val="left" w:pos="284"/>
              </w:tabs>
              <w:spacing w:line="360" w:lineRule="auto"/>
              <w:ind w:right="-102"/>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rsidR="008D3E69" w:rsidRPr="002202CA" w:rsidRDefault="00EB748F">
            <w:pPr>
              <w:tabs>
                <w:tab w:val="left" w:pos="284"/>
              </w:tabs>
              <w:spacing w:line="360" w:lineRule="auto"/>
              <w:ind w:right="-102"/>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color w:val="000000"/>
                <w:sz w:val="22"/>
                <w:szCs w:val="22"/>
              </w:rPr>
              <w:t xml:space="preserve">Es necesario que </w:t>
            </w:r>
            <w:r w:rsidRPr="002202CA">
              <w:rPr>
                <w:rFonts w:ascii="Palatino Linotype" w:eastAsia="Palatino Linotype" w:hAnsi="Palatino Linotype" w:cs="Palatino Linotype"/>
                <w:b/>
                <w:color w:val="000000"/>
                <w:sz w:val="22"/>
                <w:szCs w:val="22"/>
                <w:u w:val="single"/>
              </w:rPr>
              <w:t>el acto reúna con los requisitos elementales</w:t>
            </w:r>
            <w:r w:rsidRPr="002202CA">
              <w:rPr>
                <w:rFonts w:ascii="Palatino Linotype" w:eastAsia="Palatino Linotype" w:hAnsi="Palatino Linotype" w:cs="Palatino Linotype"/>
                <w:color w:val="000000"/>
                <w:sz w:val="22"/>
                <w:szCs w:val="22"/>
              </w:rPr>
              <w:t>, entre ellos, que la autoridad que va a emitir el acto de autoridad sea la legalmente facultada para ello.</w:t>
            </w:r>
          </w:p>
          <w:p w:rsidR="008D3E69" w:rsidRPr="002202CA" w:rsidRDefault="00EB748F">
            <w:pPr>
              <w:tabs>
                <w:tab w:val="left" w:pos="284"/>
              </w:tabs>
              <w:spacing w:line="360" w:lineRule="auto"/>
              <w:ind w:right="-102"/>
              <w:jc w:val="both"/>
              <w:rPr>
                <w:rFonts w:ascii="Palatino Linotype" w:eastAsia="Palatino Linotype" w:hAnsi="Palatino Linotype" w:cs="Palatino Linotype"/>
                <w:sz w:val="22"/>
                <w:szCs w:val="22"/>
              </w:rPr>
            </w:pPr>
            <w:r w:rsidRPr="002202CA">
              <w:rPr>
                <w:rFonts w:ascii="Palatino Linotype" w:eastAsia="Palatino Linotype" w:hAnsi="Palatino Linotype" w:cs="Palatino Linotype"/>
                <w:color w:val="000000"/>
                <w:sz w:val="22"/>
                <w:szCs w:val="22"/>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w:t>
            </w:r>
            <w:r w:rsidRPr="002202CA">
              <w:rPr>
                <w:rFonts w:ascii="Palatino Linotype" w:eastAsia="Palatino Linotype" w:hAnsi="Palatino Linotype" w:cs="Palatino Linotype"/>
                <w:color w:val="000000"/>
                <w:sz w:val="22"/>
                <w:szCs w:val="22"/>
              </w:rPr>
              <w:lastRenderedPageBreak/>
              <w:t>decisiones adoptadas previamente por los titulares de áreas y que son sujetas a control, en primera instancia, por el Comité de Transparencia.</w:t>
            </w:r>
          </w:p>
        </w:tc>
      </w:tr>
      <w:tr w:rsidR="008D3E69" w:rsidRPr="002202CA">
        <w:tc>
          <w:tcPr>
            <w:tcW w:w="1980" w:type="dxa"/>
          </w:tcPr>
          <w:p w:rsidR="008D3E69" w:rsidRPr="002202CA" w:rsidRDefault="008D3E69">
            <w:pPr>
              <w:tabs>
                <w:tab w:val="left" w:pos="284"/>
              </w:tabs>
              <w:spacing w:line="360" w:lineRule="auto"/>
              <w:ind w:right="-102"/>
              <w:rPr>
                <w:rFonts w:ascii="Palatino Linotype" w:eastAsia="Palatino Linotype" w:hAnsi="Palatino Linotype" w:cs="Palatino Linotype"/>
                <w:sz w:val="22"/>
                <w:szCs w:val="22"/>
              </w:rPr>
            </w:pPr>
          </w:p>
          <w:p w:rsidR="008D3E69" w:rsidRPr="002202CA" w:rsidRDefault="00EB748F">
            <w:pPr>
              <w:tabs>
                <w:tab w:val="left" w:pos="284"/>
              </w:tabs>
              <w:spacing w:line="360" w:lineRule="auto"/>
              <w:ind w:right="-102"/>
              <w:jc w:val="both"/>
              <w:rPr>
                <w:rFonts w:ascii="Palatino Linotype" w:eastAsia="Palatino Linotype" w:hAnsi="Palatino Linotype" w:cs="Palatino Linotype"/>
                <w:sz w:val="22"/>
                <w:szCs w:val="22"/>
              </w:rPr>
            </w:pPr>
            <w:r w:rsidRPr="002202CA">
              <w:rPr>
                <w:rFonts w:ascii="Palatino Linotype" w:eastAsia="Palatino Linotype" w:hAnsi="Palatino Linotype" w:cs="Palatino Linotype"/>
                <w:color w:val="000000"/>
                <w:sz w:val="22"/>
                <w:szCs w:val="22"/>
              </w:rPr>
              <w:t xml:space="preserve">d) Requisitos de fondo del acuerdo de clasificación. </w:t>
            </w:r>
          </w:p>
        </w:tc>
        <w:tc>
          <w:tcPr>
            <w:tcW w:w="7530" w:type="dxa"/>
          </w:tcPr>
          <w:p w:rsidR="008D3E69" w:rsidRPr="002202CA" w:rsidRDefault="00EB748F">
            <w:pPr>
              <w:tabs>
                <w:tab w:val="left" w:pos="284"/>
              </w:tabs>
              <w:spacing w:line="360" w:lineRule="auto"/>
              <w:ind w:right="-102"/>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202CA">
              <w:rPr>
                <w:rFonts w:ascii="Palatino Linotype" w:eastAsia="Palatino Linotype" w:hAnsi="Palatino Linotype" w:cs="Palatino Linotype"/>
                <w:b/>
                <w:color w:val="000000"/>
                <w:sz w:val="22"/>
                <w:szCs w:val="22"/>
              </w:rPr>
              <w:t>Sujetos Obligados</w:t>
            </w:r>
            <w:r w:rsidRPr="002202CA">
              <w:rPr>
                <w:rFonts w:ascii="Palatino Linotype" w:eastAsia="Palatino Linotype" w:hAnsi="Palatino Linotype" w:cs="Palatino Linotype"/>
                <w:color w:val="000000"/>
                <w:sz w:val="22"/>
                <w:szCs w:val="22"/>
              </w:rPr>
              <w:t xml:space="preserve">, por lo que deberán fundar y motivar debidamente la clasificación. </w:t>
            </w:r>
          </w:p>
          <w:p w:rsidR="008D3E69" w:rsidRPr="002202CA" w:rsidRDefault="00EB748F">
            <w:pPr>
              <w:tabs>
                <w:tab w:val="left" w:pos="284"/>
              </w:tabs>
              <w:spacing w:line="360" w:lineRule="auto"/>
              <w:ind w:right="-102"/>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color w:val="000000"/>
                <w:sz w:val="22"/>
                <w:szCs w:val="22"/>
              </w:rPr>
              <w:t xml:space="preserve">De lo anterior, se desprende que para una correcta </w:t>
            </w:r>
            <w:r w:rsidRPr="002202CA">
              <w:rPr>
                <w:rFonts w:ascii="Palatino Linotype" w:eastAsia="Palatino Linotype" w:hAnsi="Palatino Linotype" w:cs="Palatino Linotype"/>
                <w:b/>
                <w:color w:val="000000"/>
                <w:sz w:val="22"/>
                <w:szCs w:val="22"/>
              </w:rPr>
              <w:t>clasificación total o parcial</w:t>
            </w:r>
            <w:r w:rsidRPr="002202CA">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D3E69" w:rsidRPr="002202CA" w:rsidRDefault="00EB748F">
            <w:pPr>
              <w:tabs>
                <w:tab w:val="left" w:pos="284"/>
              </w:tabs>
              <w:spacing w:line="360" w:lineRule="auto"/>
              <w:ind w:right="-102"/>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8D3E69" w:rsidRPr="002202CA" w:rsidRDefault="00EB748F">
            <w:pPr>
              <w:tabs>
                <w:tab w:val="left" w:pos="284"/>
              </w:tabs>
              <w:spacing w:line="360" w:lineRule="auto"/>
              <w:ind w:right="-102"/>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rsidR="008D3E69" w:rsidRPr="002202CA" w:rsidRDefault="00EB748F">
            <w:pPr>
              <w:tabs>
                <w:tab w:val="left" w:pos="284"/>
              </w:tabs>
              <w:spacing w:line="360" w:lineRule="auto"/>
              <w:ind w:right="-102"/>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color w:val="000000"/>
                <w:sz w:val="22"/>
                <w:szCs w:val="22"/>
              </w:rPr>
              <w:t xml:space="preserve">Ahora bien, </w:t>
            </w:r>
            <w:r w:rsidRPr="002202CA">
              <w:rPr>
                <w:rFonts w:ascii="Palatino Linotype" w:eastAsia="Palatino Linotype" w:hAnsi="Palatino Linotype" w:cs="Palatino Linotype"/>
                <w:b/>
                <w:color w:val="000000"/>
                <w:sz w:val="22"/>
                <w:szCs w:val="22"/>
                <w:u w:val="single"/>
              </w:rPr>
              <w:t>para cada caso además de fundar y motivar</w:t>
            </w:r>
            <w:r w:rsidRPr="002202CA">
              <w:rPr>
                <w:rFonts w:ascii="Palatino Linotype" w:eastAsia="Palatino Linotype" w:hAnsi="Palatino Linotype" w:cs="Palatino Linotype"/>
                <w:color w:val="000000"/>
                <w:sz w:val="22"/>
                <w:szCs w:val="22"/>
              </w:rPr>
              <w:t xml:space="preserve">, se debe identificar con claridad que datos contenidos en las documentales que son susceptibles </w:t>
            </w:r>
            <w:r w:rsidRPr="002202CA">
              <w:rPr>
                <w:rFonts w:ascii="Palatino Linotype" w:eastAsia="Palatino Linotype" w:hAnsi="Palatino Linotype" w:cs="Palatino Linotype"/>
                <w:color w:val="000000"/>
                <w:sz w:val="22"/>
                <w:szCs w:val="22"/>
              </w:rPr>
              <w:lastRenderedPageBreak/>
              <w:t>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D3E69" w:rsidRPr="002202CA">
        <w:tc>
          <w:tcPr>
            <w:tcW w:w="1980" w:type="dxa"/>
          </w:tcPr>
          <w:p w:rsidR="008D3E69" w:rsidRPr="002202CA" w:rsidRDefault="00EB748F">
            <w:pPr>
              <w:tabs>
                <w:tab w:val="left" w:pos="284"/>
              </w:tabs>
              <w:spacing w:line="360" w:lineRule="auto"/>
              <w:ind w:right="-102"/>
              <w:jc w:val="both"/>
              <w:rPr>
                <w:rFonts w:ascii="Palatino Linotype" w:eastAsia="Palatino Linotype" w:hAnsi="Palatino Linotype" w:cs="Palatino Linotype"/>
                <w:sz w:val="22"/>
                <w:szCs w:val="22"/>
              </w:rPr>
            </w:pPr>
            <w:r w:rsidRPr="002202CA">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7530" w:type="dxa"/>
          </w:tcPr>
          <w:p w:rsidR="008D3E69" w:rsidRPr="002202CA" w:rsidRDefault="00EB748F">
            <w:pPr>
              <w:tabs>
                <w:tab w:val="left" w:pos="284"/>
              </w:tabs>
              <w:spacing w:line="360" w:lineRule="auto"/>
              <w:ind w:right="-102"/>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rsidR="008D3E69" w:rsidRPr="002202CA" w:rsidRDefault="00EB748F">
            <w:pPr>
              <w:tabs>
                <w:tab w:val="left" w:pos="284"/>
              </w:tabs>
              <w:spacing w:line="360" w:lineRule="auto"/>
              <w:ind w:right="-102"/>
              <w:jc w:val="both"/>
              <w:rPr>
                <w:rFonts w:ascii="Palatino Linotype" w:eastAsia="Palatino Linotype" w:hAnsi="Palatino Linotype" w:cs="Palatino Linotype"/>
                <w:color w:val="000000"/>
                <w:sz w:val="22"/>
                <w:szCs w:val="22"/>
              </w:rPr>
            </w:pPr>
            <w:r w:rsidRPr="002202CA">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D3E69" w:rsidRPr="002202CA" w:rsidRDefault="00EB748F">
            <w:pPr>
              <w:tabs>
                <w:tab w:val="left" w:pos="284"/>
              </w:tabs>
              <w:spacing w:line="360" w:lineRule="auto"/>
              <w:ind w:right="-102"/>
              <w:rPr>
                <w:rFonts w:ascii="Palatino Linotype" w:eastAsia="Palatino Linotype" w:hAnsi="Palatino Linotype" w:cs="Palatino Linotype"/>
                <w:sz w:val="22"/>
                <w:szCs w:val="22"/>
              </w:rPr>
            </w:pPr>
            <w:r w:rsidRPr="002202CA">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8D3E69" w:rsidRPr="002202CA" w:rsidRDefault="008D3E69">
      <w:pPr>
        <w:pBdr>
          <w:top w:val="nil"/>
          <w:left w:val="nil"/>
          <w:bottom w:val="nil"/>
          <w:right w:val="nil"/>
          <w:between w:val="nil"/>
        </w:pBdr>
        <w:tabs>
          <w:tab w:val="left" w:pos="284"/>
        </w:tabs>
        <w:ind w:right="-1132"/>
        <w:rPr>
          <w:rFonts w:ascii="Palatino Linotype" w:eastAsia="Palatino Linotype" w:hAnsi="Palatino Linotype" w:cs="Palatino Linotype"/>
          <w:color w:val="000000"/>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color w:val="000000"/>
        </w:rPr>
      </w:pPr>
      <w:r w:rsidRPr="002202CA">
        <w:rPr>
          <w:rFonts w:ascii="Palatino Linotype" w:eastAsia="Palatino Linotype" w:hAnsi="Palatino Linotype" w:cs="Palatino Linotype"/>
          <w:b/>
        </w:rPr>
        <w:t xml:space="preserve"> </w:t>
      </w:r>
      <w:r w:rsidRPr="002202CA">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8D3E69" w:rsidRPr="002202CA" w:rsidRDefault="008D3E69">
      <w:pPr>
        <w:shd w:val="clear" w:color="auto" w:fill="FFFFFF"/>
        <w:spacing w:line="360" w:lineRule="auto"/>
        <w:ind w:right="-1132"/>
        <w:jc w:val="both"/>
        <w:rPr>
          <w:rFonts w:ascii="Palatino Linotype" w:eastAsia="Palatino Linotype" w:hAnsi="Palatino Linotype" w:cs="Palatino Linotype"/>
          <w:b/>
          <w:color w:val="000000"/>
        </w:rPr>
      </w:pPr>
    </w:p>
    <w:p w:rsidR="008D3E69" w:rsidRPr="002202CA" w:rsidRDefault="00EB748F">
      <w:pPr>
        <w:numPr>
          <w:ilvl w:val="0"/>
          <w:numId w:val="2"/>
        </w:numPr>
        <w:spacing w:line="360" w:lineRule="auto"/>
        <w:ind w:left="0" w:right="-1132" w:firstLine="0"/>
        <w:jc w:val="both"/>
        <w:rPr>
          <w:rFonts w:ascii="Palatino Linotype" w:eastAsia="Palatino Linotype" w:hAnsi="Palatino Linotype" w:cs="Palatino Linotype"/>
        </w:rPr>
      </w:pPr>
      <w:r w:rsidRPr="002202CA">
        <w:rPr>
          <w:rFonts w:ascii="Palatino Linotype" w:eastAsia="Palatino Linotype" w:hAnsi="Palatino Linotype" w:cs="Palatino Linotype"/>
        </w:rPr>
        <w:t xml:space="preserve">Por lo anteriormente expuesto y fundado, este </w:t>
      </w:r>
      <w:r w:rsidRPr="002202CA">
        <w:rPr>
          <w:rFonts w:ascii="Palatino Linotype" w:eastAsia="Palatino Linotype" w:hAnsi="Palatino Linotype" w:cs="Palatino Linotype"/>
          <w:b/>
        </w:rPr>
        <w:t>ÓRGANO GARANTE</w:t>
      </w:r>
      <w:r w:rsidRPr="002202CA">
        <w:rPr>
          <w:rFonts w:ascii="Palatino Linotype" w:eastAsia="Palatino Linotype" w:hAnsi="Palatino Linotype" w:cs="Palatino Linotype"/>
        </w:rPr>
        <w:t xml:space="preserve"> emite los siguientes:</w:t>
      </w:r>
    </w:p>
    <w:p w:rsidR="008D3E69" w:rsidRPr="002202CA" w:rsidRDefault="008D3E69">
      <w:pPr>
        <w:pBdr>
          <w:top w:val="nil"/>
          <w:left w:val="nil"/>
          <w:bottom w:val="nil"/>
          <w:right w:val="nil"/>
          <w:between w:val="nil"/>
        </w:pBdr>
        <w:ind w:left="720" w:right="-1132"/>
        <w:rPr>
          <w:rFonts w:ascii="Palatino Linotype" w:eastAsia="Palatino Linotype" w:hAnsi="Palatino Linotype" w:cs="Palatino Linotype"/>
          <w:color w:val="000000"/>
        </w:rPr>
      </w:pPr>
    </w:p>
    <w:p w:rsidR="008D3E69" w:rsidRPr="002202CA" w:rsidRDefault="00EB748F">
      <w:pPr>
        <w:pStyle w:val="Ttulo1"/>
        <w:ind w:right="-1132"/>
        <w:jc w:val="center"/>
        <w:rPr>
          <w:rFonts w:ascii="Palatino Linotype" w:eastAsia="Palatino Linotype" w:hAnsi="Palatino Linotype" w:cs="Palatino Linotype"/>
          <w:b/>
          <w:color w:val="000000"/>
          <w:sz w:val="24"/>
          <w:szCs w:val="24"/>
        </w:rPr>
      </w:pPr>
      <w:r w:rsidRPr="002202CA">
        <w:rPr>
          <w:rFonts w:ascii="Palatino Linotype" w:eastAsia="Palatino Linotype" w:hAnsi="Palatino Linotype" w:cs="Palatino Linotype"/>
          <w:b/>
          <w:color w:val="000000"/>
          <w:sz w:val="24"/>
          <w:szCs w:val="24"/>
        </w:rPr>
        <w:lastRenderedPageBreak/>
        <w:t>R E S O L U T I V O S</w:t>
      </w:r>
    </w:p>
    <w:p w:rsidR="008D3E69" w:rsidRPr="002202CA" w:rsidRDefault="008D3E69">
      <w:pPr>
        <w:keepNext/>
        <w:keepLines/>
        <w:spacing w:line="360" w:lineRule="auto"/>
        <w:ind w:right="-1132"/>
        <w:jc w:val="center"/>
        <w:rPr>
          <w:rFonts w:ascii="Palatino Linotype" w:eastAsia="Palatino Linotype" w:hAnsi="Palatino Linotype" w:cs="Palatino Linotype"/>
          <w:b/>
        </w:rPr>
      </w:pPr>
    </w:p>
    <w:p w:rsidR="008D3E69" w:rsidRPr="002202CA" w:rsidRDefault="00EB748F">
      <w:pPr>
        <w:spacing w:line="360" w:lineRule="auto"/>
        <w:ind w:right="-1132"/>
        <w:jc w:val="both"/>
        <w:rPr>
          <w:rFonts w:ascii="Palatino Linotype" w:eastAsia="Palatino Linotype" w:hAnsi="Palatino Linotype" w:cs="Palatino Linotype"/>
        </w:rPr>
      </w:pPr>
      <w:r w:rsidRPr="002202CA">
        <w:rPr>
          <w:rFonts w:ascii="Palatino Linotype" w:eastAsia="Palatino Linotype" w:hAnsi="Palatino Linotype" w:cs="Palatino Linotype"/>
          <w:b/>
        </w:rPr>
        <w:t xml:space="preserve">PRIMERO. </w:t>
      </w:r>
      <w:r w:rsidRPr="002202CA">
        <w:rPr>
          <w:rFonts w:ascii="Palatino Linotype" w:eastAsia="Palatino Linotype" w:hAnsi="Palatino Linotype" w:cs="Palatino Linotype"/>
        </w:rPr>
        <w:t>Resultan fundadas las</w:t>
      </w:r>
      <w:r w:rsidRPr="002202CA">
        <w:rPr>
          <w:rFonts w:ascii="Palatino Linotype" w:eastAsia="Palatino Linotype" w:hAnsi="Palatino Linotype" w:cs="Palatino Linotype"/>
          <w:b/>
        </w:rPr>
        <w:t xml:space="preserve"> </w:t>
      </w:r>
      <w:r w:rsidRPr="002202CA">
        <w:rPr>
          <w:rFonts w:ascii="Palatino Linotype" w:eastAsia="Palatino Linotype" w:hAnsi="Palatino Linotype" w:cs="Palatino Linotype"/>
        </w:rPr>
        <w:t xml:space="preserve">razones o motivos de inconformidad hechos valer en el recurso de revisión </w:t>
      </w:r>
      <w:r w:rsidRPr="002202CA">
        <w:rPr>
          <w:rFonts w:ascii="Palatino Linotype" w:eastAsia="Palatino Linotype" w:hAnsi="Palatino Linotype" w:cs="Palatino Linotype"/>
          <w:b/>
        </w:rPr>
        <w:t xml:space="preserve"> 00013/INFOEM/IP/RR/2025 </w:t>
      </w:r>
      <w:r w:rsidRPr="002202CA">
        <w:rPr>
          <w:rFonts w:ascii="Palatino Linotype" w:eastAsia="Palatino Linotype" w:hAnsi="Palatino Linotype" w:cs="Palatino Linotype"/>
        </w:rPr>
        <w:t>en términos del</w:t>
      </w:r>
      <w:r w:rsidRPr="002202CA">
        <w:rPr>
          <w:rFonts w:ascii="Palatino Linotype" w:eastAsia="Palatino Linotype" w:hAnsi="Palatino Linotype" w:cs="Palatino Linotype"/>
          <w:b/>
        </w:rPr>
        <w:t xml:space="preserve"> Considerando</w:t>
      </w:r>
      <w:r w:rsidRPr="002202CA">
        <w:rPr>
          <w:rFonts w:ascii="Palatino Linotype" w:eastAsia="Palatino Linotype" w:hAnsi="Palatino Linotype" w:cs="Palatino Linotype"/>
        </w:rPr>
        <w:t xml:space="preserve"> </w:t>
      </w:r>
      <w:r w:rsidRPr="002202CA">
        <w:rPr>
          <w:rFonts w:ascii="Palatino Linotype" w:eastAsia="Palatino Linotype" w:hAnsi="Palatino Linotype" w:cs="Palatino Linotype"/>
          <w:b/>
        </w:rPr>
        <w:t xml:space="preserve">CUARTO </w:t>
      </w:r>
      <w:r w:rsidRPr="002202CA">
        <w:rPr>
          <w:rFonts w:ascii="Palatino Linotype" w:eastAsia="Palatino Linotype" w:hAnsi="Palatino Linotype" w:cs="Palatino Linotype"/>
        </w:rPr>
        <w:t>de la presente Resolución.</w:t>
      </w:r>
    </w:p>
    <w:p w:rsidR="008D3E69" w:rsidRPr="002202CA" w:rsidRDefault="008D3E69">
      <w:pPr>
        <w:spacing w:line="360" w:lineRule="auto"/>
        <w:ind w:right="-1132"/>
        <w:jc w:val="both"/>
        <w:rPr>
          <w:rFonts w:ascii="Palatino Linotype" w:eastAsia="Palatino Linotype" w:hAnsi="Palatino Linotype" w:cs="Palatino Linotype"/>
          <w:b/>
        </w:rPr>
      </w:pPr>
    </w:p>
    <w:p w:rsidR="008D3E69" w:rsidRPr="002202CA" w:rsidRDefault="00EB748F">
      <w:pPr>
        <w:spacing w:line="360" w:lineRule="auto"/>
        <w:ind w:right="-1132"/>
        <w:jc w:val="both"/>
        <w:rPr>
          <w:rFonts w:ascii="Palatino Linotype" w:eastAsia="Palatino Linotype" w:hAnsi="Palatino Linotype" w:cs="Palatino Linotype"/>
        </w:rPr>
      </w:pPr>
      <w:bookmarkStart w:id="8" w:name="_heading=h.17dp8vu" w:colFirst="0" w:colLast="0"/>
      <w:bookmarkEnd w:id="8"/>
      <w:r w:rsidRPr="002202CA">
        <w:rPr>
          <w:rFonts w:ascii="Palatino Linotype" w:eastAsia="Palatino Linotype" w:hAnsi="Palatino Linotype" w:cs="Palatino Linotype"/>
          <w:b/>
        </w:rPr>
        <w:t xml:space="preserve">SEGUNDO. </w:t>
      </w:r>
      <w:r w:rsidRPr="002202CA">
        <w:rPr>
          <w:rFonts w:ascii="Palatino Linotype" w:eastAsia="Palatino Linotype" w:hAnsi="Palatino Linotype" w:cs="Palatino Linotype"/>
        </w:rPr>
        <w:t xml:space="preserve">Se </w:t>
      </w:r>
      <w:r w:rsidRPr="002202CA">
        <w:rPr>
          <w:rFonts w:ascii="Palatino Linotype" w:eastAsia="Palatino Linotype" w:hAnsi="Palatino Linotype" w:cs="Palatino Linotype"/>
          <w:b/>
        </w:rPr>
        <w:t>REVOCA</w:t>
      </w:r>
      <w:r w:rsidR="000130D3" w:rsidRPr="002202CA">
        <w:rPr>
          <w:rFonts w:ascii="Palatino Linotype" w:eastAsia="Palatino Linotype" w:hAnsi="Palatino Linotype" w:cs="Palatino Linotype"/>
        </w:rPr>
        <w:t xml:space="preserve"> la respuesta emitida por el</w:t>
      </w:r>
      <w:r w:rsidRPr="002202CA">
        <w:rPr>
          <w:rFonts w:ascii="Palatino Linotype" w:eastAsia="Palatino Linotype" w:hAnsi="Palatino Linotype" w:cs="Palatino Linotype"/>
        </w:rPr>
        <w:t xml:space="preserve"> Ayuntamiento de Nextlalpan y se ORDENA entregar vía Sistema de Acceso a la Información Mexiquense (SAIMEX), de ser procedente en versión pública, la siguiente información:</w:t>
      </w:r>
    </w:p>
    <w:p w:rsidR="008D3E69" w:rsidRPr="002202CA" w:rsidRDefault="008D3E69">
      <w:pPr>
        <w:spacing w:line="360" w:lineRule="auto"/>
        <w:ind w:right="-1132"/>
        <w:jc w:val="both"/>
        <w:rPr>
          <w:rFonts w:ascii="Palatino Linotype" w:eastAsia="Palatino Linotype" w:hAnsi="Palatino Linotype" w:cs="Palatino Linotype"/>
        </w:rPr>
      </w:pPr>
    </w:p>
    <w:p w:rsidR="008D3E69" w:rsidRPr="002202CA" w:rsidRDefault="00EB748F" w:rsidP="00EB748F">
      <w:pPr>
        <w:spacing w:line="360" w:lineRule="auto"/>
        <w:ind w:left="1133" w:right="-141"/>
        <w:jc w:val="both"/>
        <w:rPr>
          <w:rFonts w:ascii="Palatino Linotype" w:eastAsia="Palatino Linotype" w:hAnsi="Palatino Linotype" w:cs="Palatino Linotype"/>
        </w:rPr>
      </w:pPr>
      <w:r w:rsidRPr="002202CA">
        <w:rPr>
          <w:rFonts w:ascii="Palatino Linotype" w:eastAsia="Palatino Linotype" w:hAnsi="Palatino Linotype" w:cs="Palatino Linotype"/>
        </w:rPr>
        <w:t>Permisos para la obra y/o proyecto de reparación y/o reconstrucción del  “Puente de Santiago”, que atraviesa el Gran Canal de Desagüe en el municipio de Nextlalpan, Estado de México.</w:t>
      </w:r>
    </w:p>
    <w:p w:rsidR="008D3E69" w:rsidRPr="002202CA" w:rsidRDefault="008D3E69">
      <w:pPr>
        <w:spacing w:line="360" w:lineRule="auto"/>
        <w:ind w:right="-1132"/>
        <w:jc w:val="both"/>
        <w:rPr>
          <w:rFonts w:ascii="Palatino Linotype" w:eastAsia="Palatino Linotype" w:hAnsi="Palatino Linotype" w:cs="Palatino Linotype"/>
        </w:rPr>
      </w:pPr>
    </w:p>
    <w:p w:rsidR="008D3E69" w:rsidRPr="002202CA" w:rsidRDefault="00EB748F">
      <w:pPr>
        <w:tabs>
          <w:tab w:val="left" w:pos="0"/>
        </w:tabs>
        <w:spacing w:line="360" w:lineRule="auto"/>
        <w:ind w:right="-787"/>
        <w:jc w:val="both"/>
        <w:rPr>
          <w:rFonts w:ascii="Palatino Linotype" w:eastAsia="Palatino Linotype" w:hAnsi="Palatino Linotype" w:cs="Palatino Linotype"/>
        </w:rPr>
      </w:pPr>
      <w:r w:rsidRPr="002202CA">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2202CA">
        <w:rPr>
          <w:rFonts w:ascii="Palatino Linotype" w:eastAsia="Palatino Linotype" w:hAnsi="Palatino Linotype" w:cs="Palatino Linotype"/>
          <w:b/>
        </w:rPr>
        <w:t>LA RECURRENTE</w:t>
      </w:r>
      <w:r w:rsidRPr="002202CA">
        <w:rPr>
          <w:rFonts w:ascii="Palatino Linotype" w:eastAsia="Palatino Linotype" w:hAnsi="Palatino Linotype" w:cs="Palatino Linotype"/>
        </w:rPr>
        <w:t>.</w:t>
      </w:r>
    </w:p>
    <w:p w:rsidR="008D3E69" w:rsidRPr="002202CA" w:rsidRDefault="008D3E69">
      <w:pPr>
        <w:spacing w:line="360" w:lineRule="auto"/>
        <w:ind w:left="993" w:right="-1132"/>
        <w:jc w:val="both"/>
        <w:rPr>
          <w:rFonts w:ascii="Palatino Linotype" w:eastAsia="Palatino Linotype" w:hAnsi="Palatino Linotype" w:cs="Palatino Linotype"/>
        </w:rPr>
      </w:pPr>
    </w:p>
    <w:p w:rsidR="008D3E69" w:rsidRPr="002202CA" w:rsidRDefault="00EB748F">
      <w:pPr>
        <w:tabs>
          <w:tab w:val="left" w:pos="8080"/>
        </w:tabs>
        <w:spacing w:line="360" w:lineRule="auto"/>
        <w:ind w:right="-1132"/>
        <w:jc w:val="both"/>
        <w:rPr>
          <w:rFonts w:ascii="Palatino Linotype" w:eastAsia="Palatino Linotype" w:hAnsi="Palatino Linotype" w:cs="Palatino Linotype"/>
          <w:b/>
        </w:rPr>
      </w:pPr>
      <w:r w:rsidRPr="002202CA">
        <w:rPr>
          <w:rFonts w:ascii="Palatino Linotype" w:eastAsia="Palatino Linotype" w:hAnsi="Palatino Linotype" w:cs="Palatino Linotype"/>
          <w:b/>
          <w:color w:val="000000"/>
        </w:rPr>
        <w:t>TERCERO.</w:t>
      </w:r>
      <w:r w:rsidRPr="002202CA">
        <w:rPr>
          <w:rFonts w:ascii="Palatino Linotype" w:eastAsia="Palatino Linotype" w:hAnsi="Palatino Linotype" w:cs="Palatino Linotype"/>
          <w:color w:val="000000"/>
        </w:rPr>
        <w:t xml:space="preserve"> </w:t>
      </w:r>
      <w:r w:rsidRPr="002202CA">
        <w:rPr>
          <w:rFonts w:ascii="Palatino Linotype" w:eastAsia="Palatino Linotype" w:hAnsi="Palatino Linotype" w:cs="Palatino Linotype"/>
          <w:b/>
        </w:rPr>
        <w:t xml:space="preserve">Notifíquese </w:t>
      </w:r>
      <w:r w:rsidRPr="002202CA">
        <w:rPr>
          <w:rFonts w:ascii="Palatino Linotype" w:eastAsia="Palatino Linotype" w:hAnsi="Palatino Linotype" w:cs="Palatino Linotype"/>
        </w:rPr>
        <w:t xml:space="preserve">la presente resolución al Titular de la Unidad de Transparencia del Sujeto Obligado vía </w:t>
      </w:r>
      <w:r w:rsidRPr="002202CA">
        <w:rPr>
          <w:rFonts w:ascii="Palatino Linotype" w:eastAsia="Palatino Linotype" w:hAnsi="Palatino Linotype" w:cs="Palatino Linotype"/>
          <w:b/>
        </w:rPr>
        <w:t>SAIMEX</w:t>
      </w:r>
      <w:r w:rsidRPr="002202CA">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w:t>
      </w:r>
      <w:r w:rsidRPr="002202CA">
        <w:rPr>
          <w:rFonts w:ascii="Palatino Linotype" w:eastAsia="Palatino Linotype" w:hAnsi="Palatino Linotype" w:cs="Palatino Linotype"/>
        </w:rPr>
        <w:lastRenderedPageBreak/>
        <w:t xml:space="preserve">Estado de México y Municipios </w:t>
      </w:r>
      <w:r w:rsidRPr="002202CA">
        <w:rPr>
          <w:rFonts w:ascii="Palatino Linotype" w:eastAsia="Palatino Linotype" w:hAnsi="Palatino Linotype" w:cs="Palatino Linotype"/>
          <w:b/>
        </w:rPr>
        <w:t>dé cumplimiento a lo ordenado dentro del plazo de diez días hábiles,</w:t>
      </w:r>
      <w:r w:rsidRPr="002202CA">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8D3E69" w:rsidRPr="002202CA" w:rsidRDefault="008D3E69">
      <w:pPr>
        <w:tabs>
          <w:tab w:val="left" w:pos="8080"/>
        </w:tabs>
        <w:spacing w:line="360" w:lineRule="auto"/>
        <w:ind w:right="-1132"/>
        <w:jc w:val="both"/>
        <w:rPr>
          <w:rFonts w:ascii="Palatino Linotype" w:eastAsia="Palatino Linotype" w:hAnsi="Palatino Linotype" w:cs="Palatino Linotype"/>
          <w:b/>
        </w:rPr>
      </w:pPr>
    </w:p>
    <w:p w:rsidR="008D3E69" w:rsidRPr="002202CA" w:rsidRDefault="00EB748F">
      <w:pPr>
        <w:shd w:val="clear" w:color="auto" w:fill="FFFFFF"/>
        <w:spacing w:line="360" w:lineRule="auto"/>
        <w:ind w:right="-1132"/>
        <w:jc w:val="both"/>
        <w:rPr>
          <w:rFonts w:ascii="Palatino Linotype" w:eastAsia="Palatino Linotype" w:hAnsi="Palatino Linotype" w:cs="Palatino Linotype"/>
        </w:rPr>
      </w:pPr>
      <w:r w:rsidRPr="002202CA">
        <w:rPr>
          <w:rFonts w:ascii="Palatino Linotype" w:eastAsia="Palatino Linotype" w:hAnsi="Palatino Linotype" w:cs="Palatino Linotype"/>
          <w:b/>
        </w:rPr>
        <w:t xml:space="preserve">CUARTO. </w:t>
      </w:r>
      <w:r w:rsidRPr="002202CA">
        <w:rPr>
          <w:rFonts w:ascii="Palatino Linotype" w:eastAsia="Palatino Linotype" w:hAnsi="Palatino Linotype" w:cs="Palatino Linotype"/>
          <w:b/>
          <w:color w:val="222222"/>
        </w:rPr>
        <w:t>Notifíquese al</w:t>
      </w:r>
      <w:r w:rsidRPr="002202CA">
        <w:rPr>
          <w:rFonts w:ascii="Palatino Linotype" w:eastAsia="Palatino Linotype" w:hAnsi="Palatino Linotype" w:cs="Palatino Linotype"/>
          <w:b/>
        </w:rPr>
        <w:t xml:space="preserve"> RECURRENTE</w:t>
      </w:r>
      <w:r w:rsidRPr="002202CA">
        <w:rPr>
          <w:rFonts w:ascii="Palatino Linotype" w:eastAsia="Palatino Linotype" w:hAnsi="Palatino Linotype" w:cs="Palatino Linotype"/>
        </w:rPr>
        <w:t xml:space="preserve"> la presente resolución, vía Sistema de Acceso a la Información Mexiquense (SAIMEX).</w:t>
      </w:r>
    </w:p>
    <w:p w:rsidR="008D3E69" w:rsidRPr="002202CA" w:rsidRDefault="008D3E69">
      <w:pPr>
        <w:shd w:val="clear" w:color="auto" w:fill="FFFFFF"/>
        <w:spacing w:line="360" w:lineRule="auto"/>
        <w:ind w:right="-1132"/>
        <w:jc w:val="both"/>
        <w:rPr>
          <w:rFonts w:ascii="Palatino Linotype" w:eastAsia="Palatino Linotype" w:hAnsi="Palatino Linotype" w:cs="Palatino Linotype"/>
        </w:rPr>
      </w:pPr>
    </w:p>
    <w:p w:rsidR="008D3E69" w:rsidRPr="002202CA" w:rsidRDefault="00EB748F">
      <w:pPr>
        <w:spacing w:line="360" w:lineRule="auto"/>
        <w:ind w:right="-1132"/>
        <w:jc w:val="both"/>
        <w:rPr>
          <w:rFonts w:ascii="Palatino Linotype" w:eastAsia="Palatino Linotype" w:hAnsi="Palatino Linotype" w:cs="Palatino Linotype"/>
        </w:rPr>
      </w:pPr>
      <w:r w:rsidRPr="002202CA">
        <w:rPr>
          <w:rFonts w:ascii="Palatino Linotype" w:eastAsia="Palatino Linotype" w:hAnsi="Palatino Linotype" w:cs="Palatino Linotype"/>
          <w:b/>
        </w:rPr>
        <w:t>QUINTO.</w:t>
      </w:r>
      <w:r w:rsidRPr="002202CA">
        <w:rPr>
          <w:rFonts w:ascii="Palatino Linotype" w:eastAsia="Palatino Linotype" w:hAnsi="Palatino Linotype" w:cs="Palatino Linotype"/>
        </w:rPr>
        <w:t xml:space="preserve"> Se hace del conocimiento del</w:t>
      </w:r>
      <w:r w:rsidRPr="002202CA">
        <w:rPr>
          <w:rFonts w:ascii="Palatino Linotype" w:eastAsia="Palatino Linotype" w:hAnsi="Palatino Linotype" w:cs="Palatino Linotype"/>
          <w:b/>
        </w:rPr>
        <w:t xml:space="preserve"> Recurrente </w:t>
      </w:r>
      <w:r w:rsidRPr="002202CA">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a través del juicio de amparo en los términos de las leyes aplicables.</w:t>
      </w:r>
    </w:p>
    <w:p w:rsidR="008D3E69" w:rsidRPr="002202CA" w:rsidRDefault="008D3E69">
      <w:pPr>
        <w:spacing w:line="360" w:lineRule="auto"/>
        <w:ind w:right="-1132"/>
        <w:jc w:val="both"/>
        <w:rPr>
          <w:rFonts w:ascii="Palatino Linotype" w:eastAsia="Palatino Linotype" w:hAnsi="Palatino Linotype" w:cs="Palatino Linotype"/>
        </w:rPr>
      </w:pPr>
    </w:p>
    <w:p w:rsidR="008D3E69" w:rsidRPr="002202CA" w:rsidRDefault="00EB748F">
      <w:pPr>
        <w:spacing w:line="360" w:lineRule="auto"/>
        <w:ind w:right="-1132"/>
        <w:jc w:val="both"/>
        <w:rPr>
          <w:rFonts w:ascii="Palatino Linotype" w:eastAsia="Palatino Linotype" w:hAnsi="Palatino Linotype" w:cs="Palatino Linotype"/>
        </w:rPr>
      </w:pPr>
      <w:r w:rsidRPr="002202CA">
        <w:rPr>
          <w:rFonts w:ascii="Palatino Linotype" w:eastAsia="Palatino Linotype" w:hAnsi="Palatino Linotype" w:cs="Palatino Linotype"/>
          <w:b/>
        </w:rPr>
        <w:t>SEXTO.-</w:t>
      </w:r>
      <w:r w:rsidRPr="002202CA">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8D3E69" w:rsidRPr="002202CA" w:rsidRDefault="008D3E69">
      <w:pPr>
        <w:spacing w:line="360" w:lineRule="auto"/>
        <w:ind w:right="-1132"/>
        <w:jc w:val="both"/>
        <w:rPr>
          <w:rFonts w:ascii="Palatino Linotype" w:eastAsia="Palatino Linotype" w:hAnsi="Palatino Linotype" w:cs="Palatino Linotype"/>
        </w:rPr>
      </w:pPr>
    </w:p>
    <w:p w:rsidR="000130D3" w:rsidRPr="003C7186" w:rsidRDefault="000130D3" w:rsidP="000130D3">
      <w:pPr>
        <w:spacing w:line="360" w:lineRule="auto"/>
        <w:ind w:left="-142" w:right="-1133" w:firstLine="1"/>
        <w:jc w:val="both"/>
        <w:rPr>
          <w:rFonts w:ascii="Palatino Linotype" w:hAnsi="Palatino Linotype"/>
        </w:rPr>
      </w:pPr>
      <w:r w:rsidRPr="002202CA">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Pr="002202CA">
        <w:rPr>
          <w:rFonts w:ascii="Palatino Linotype" w:hAnsi="Palatino Linotype"/>
        </w:rPr>
        <w:lastRenderedPageBreak/>
        <w:t>SHARON CRISTINA MORALES MARTÍNEZ; LUIS GUSTAVO PARRA NORIEGA Y GUADALUPE RAMÍREZ PEÑA; EN LA QUINTA SESIÓN ORDINARIA CELEBRADA EL DOCE (12) DE FEBRERO DE DOS MIL VEINTICINCO, ANTE EL SECRETARIO TÉCNICO DEL PLENO ALEXIS TAPIA RAMÍREZ.</w:t>
      </w:r>
      <w:r w:rsidRPr="003C7186">
        <w:rPr>
          <w:rFonts w:ascii="Palatino Linotype" w:hAnsi="Palatino Linotype"/>
        </w:rPr>
        <w:t xml:space="preserve"> </w:t>
      </w:r>
    </w:p>
    <w:p w:rsidR="008D3E69" w:rsidRPr="00EB748F" w:rsidRDefault="008D3E69">
      <w:pPr>
        <w:spacing w:before="240" w:after="240" w:line="360" w:lineRule="auto"/>
        <w:ind w:right="-1132"/>
        <w:jc w:val="both"/>
        <w:rPr>
          <w:rFonts w:ascii="Palatino Linotype" w:eastAsia="Palatino Linotype" w:hAnsi="Palatino Linotype" w:cs="Palatino Linotype"/>
        </w:rPr>
      </w:pPr>
    </w:p>
    <w:p w:rsidR="008D3E69" w:rsidRPr="00EB748F" w:rsidRDefault="008D3E69">
      <w:pPr>
        <w:spacing w:before="240" w:after="240" w:line="360" w:lineRule="auto"/>
        <w:ind w:right="-1132"/>
        <w:jc w:val="both"/>
        <w:rPr>
          <w:rFonts w:ascii="Palatino Linotype" w:eastAsia="Palatino Linotype" w:hAnsi="Palatino Linotype" w:cs="Palatino Linotype"/>
        </w:rPr>
      </w:pPr>
    </w:p>
    <w:p w:rsidR="008D3E69" w:rsidRPr="00EB748F" w:rsidRDefault="008D3E69">
      <w:pPr>
        <w:spacing w:before="240" w:after="240" w:line="360" w:lineRule="auto"/>
        <w:ind w:right="-1132"/>
        <w:jc w:val="both"/>
        <w:rPr>
          <w:rFonts w:ascii="Palatino Linotype" w:eastAsia="Palatino Linotype" w:hAnsi="Palatino Linotype" w:cs="Palatino Linotype"/>
        </w:rPr>
      </w:pPr>
    </w:p>
    <w:p w:rsidR="008D3E69" w:rsidRPr="00EB748F" w:rsidRDefault="008D3E69">
      <w:pPr>
        <w:spacing w:before="240" w:after="240" w:line="360" w:lineRule="auto"/>
        <w:ind w:right="-1132"/>
        <w:jc w:val="both"/>
        <w:rPr>
          <w:rFonts w:ascii="Palatino Linotype" w:eastAsia="Palatino Linotype" w:hAnsi="Palatino Linotype" w:cs="Palatino Linotype"/>
        </w:rPr>
      </w:pPr>
    </w:p>
    <w:p w:rsidR="008D3E69" w:rsidRPr="00EB748F" w:rsidRDefault="008D3E69">
      <w:pPr>
        <w:spacing w:before="240" w:after="240" w:line="360" w:lineRule="auto"/>
        <w:ind w:right="-1132"/>
        <w:jc w:val="both"/>
        <w:rPr>
          <w:rFonts w:ascii="Palatino Linotype" w:eastAsia="Palatino Linotype" w:hAnsi="Palatino Linotype" w:cs="Palatino Linotype"/>
        </w:rPr>
      </w:pPr>
    </w:p>
    <w:p w:rsidR="008D3E69" w:rsidRPr="00EB748F" w:rsidRDefault="008D3E69">
      <w:pPr>
        <w:spacing w:before="240" w:after="240" w:line="360" w:lineRule="auto"/>
        <w:ind w:right="-1132"/>
        <w:jc w:val="both"/>
        <w:rPr>
          <w:rFonts w:ascii="Palatino Linotype" w:eastAsia="Palatino Linotype" w:hAnsi="Palatino Linotype" w:cs="Palatino Linotype"/>
        </w:rPr>
      </w:pPr>
    </w:p>
    <w:p w:rsidR="008D3E69" w:rsidRPr="00EB748F" w:rsidRDefault="008D3E69">
      <w:pPr>
        <w:spacing w:before="240" w:after="240" w:line="360" w:lineRule="auto"/>
        <w:ind w:right="-1132"/>
        <w:jc w:val="both"/>
        <w:rPr>
          <w:rFonts w:ascii="Palatino Linotype" w:eastAsia="Palatino Linotype" w:hAnsi="Palatino Linotype" w:cs="Palatino Linotype"/>
          <w:b/>
        </w:rPr>
      </w:pPr>
    </w:p>
    <w:p w:rsidR="008D3E69" w:rsidRPr="00EB748F" w:rsidRDefault="008D3E69">
      <w:pPr>
        <w:spacing w:line="360" w:lineRule="auto"/>
        <w:ind w:right="-1132"/>
        <w:jc w:val="both"/>
        <w:rPr>
          <w:rFonts w:ascii="Palatino Linotype" w:eastAsia="Palatino Linotype" w:hAnsi="Palatino Linotype" w:cs="Palatino Linotype"/>
        </w:rPr>
      </w:pPr>
    </w:p>
    <w:p w:rsidR="008D3E69" w:rsidRPr="00EB748F" w:rsidRDefault="008D3E69">
      <w:pPr>
        <w:ind w:right="-1132"/>
        <w:rPr>
          <w:rFonts w:ascii="Palatino Linotype" w:hAnsi="Palatino Linotype"/>
        </w:rPr>
      </w:pPr>
    </w:p>
    <w:p w:rsidR="008D3E69" w:rsidRPr="00EB748F" w:rsidRDefault="008D3E69">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8D3E69" w:rsidRDefault="008D3E69">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2202CA" w:rsidRDefault="002202CA">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2202CA" w:rsidRDefault="002202CA">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2202CA" w:rsidRDefault="002202CA">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2202CA" w:rsidRDefault="002202CA">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2202CA" w:rsidRDefault="002202CA">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2202CA" w:rsidRDefault="002202CA">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2202CA" w:rsidRDefault="002202CA">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2202CA" w:rsidRDefault="002202CA">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2202CA" w:rsidRPr="00EB748F" w:rsidRDefault="002202CA">
      <w:pPr>
        <w:pBdr>
          <w:top w:val="nil"/>
          <w:left w:val="nil"/>
          <w:bottom w:val="nil"/>
          <w:right w:val="nil"/>
          <w:between w:val="nil"/>
        </w:pBdr>
        <w:spacing w:line="360" w:lineRule="auto"/>
        <w:ind w:right="-1132"/>
        <w:jc w:val="both"/>
        <w:rPr>
          <w:rFonts w:ascii="Palatino Linotype" w:eastAsia="Palatino Linotype" w:hAnsi="Palatino Linotype" w:cs="Palatino Linotype"/>
          <w:color w:val="000000"/>
        </w:rPr>
      </w:pPr>
    </w:p>
    <w:p w:rsidR="008D3E69" w:rsidRPr="00EB748F" w:rsidRDefault="008D3E69">
      <w:pPr>
        <w:ind w:right="-1132"/>
        <w:rPr>
          <w:rFonts w:ascii="Palatino Linotype" w:hAnsi="Palatino Linotype"/>
        </w:rPr>
      </w:pPr>
    </w:p>
    <w:p w:rsidR="008D3E69" w:rsidRPr="00EB748F" w:rsidRDefault="008D3E69">
      <w:pPr>
        <w:ind w:right="-1132"/>
        <w:rPr>
          <w:rFonts w:ascii="Palatino Linotype" w:hAnsi="Palatino Linotype"/>
        </w:rPr>
      </w:pPr>
    </w:p>
    <w:p w:rsidR="008D3E69" w:rsidRPr="00EB748F" w:rsidRDefault="008D3E69">
      <w:pPr>
        <w:ind w:right="-1132"/>
        <w:rPr>
          <w:rFonts w:ascii="Palatino Linotype" w:hAnsi="Palatino Linotype"/>
        </w:rPr>
      </w:pPr>
    </w:p>
    <w:p w:rsidR="008D3E69" w:rsidRPr="00EB748F" w:rsidRDefault="008D3E69">
      <w:pPr>
        <w:ind w:right="-1132"/>
        <w:rPr>
          <w:rFonts w:ascii="Palatino Linotype" w:hAnsi="Palatino Linotype"/>
        </w:rPr>
      </w:pPr>
    </w:p>
    <w:p w:rsidR="008D3E69" w:rsidRPr="00EB748F" w:rsidRDefault="008D3E69">
      <w:pPr>
        <w:ind w:right="-1132"/>
        <w:rPr>
          <w:rFonts w:ascii="Palatino Linotype" w:hAnsi="Palatino Linotype"/>
        </w:rPr>
      </w:pPr>
    </w:p>
    <w:p w:rsidR="008D3E69" w:rsidRPr="00EB748F" w:rsidRDefault="008D3E69">
      <w:pPr>
        <w:ind w:right="-1132"/>
        <w:rPr>
          <w:rFonts w:ascii="Palatino Linotype" w:hAnsi="Palatino Linotype"/>
        </w:rPr>
      </w:pPr>
    </w:p>
    <w:p w:rsidR="008D3E69" w:rsidRPr="00EB748F" w:rsidRDefault="008D3E69">
      <w:pPr>
        <w:ind w:right="-1132"/>
        <w:rPr>
          <w:rFonts w:ascii="Palatino Linotype" w:hAnsi="Palatino Linotype"/>
        </w:rPr>
      </w:pPr>
    </w:p>
    <w:p w:rsidR="008D3E69" w:rsidRPr="00EB748F" w:rsidRDefault="008D3E69">
      <w:pPr>
        <w:ind w:right="-1132"/>
        <w:rPr>
          <w:rFonts w:ascii="Palatino Linotype" w:hAnsi="Palatino Linotype"/>
          <w:b/>
        </w:rPr>
      </w:pPr>
    </w:p>
    <w:sectPr w:rsidR="008D3E69" w:rsidRPr="00EB748F">
      <w:headerReference w:type="even" r:id="rId10"/>
      <w:headerReference w:type="default" r:id="rId11"/>
      <w:footerReference w:type="default" r:id="rId12"/>
      <w:headerReference w:type="first" r:id="rId13"/>
      <w:footerReference w:type="first" r:id="rId14"/>
      <w:pgSz w:w="12240" w:h="15840"/>
      <w:pgMar w:top="80" w:right="2146"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DAE" w:rsidRDefault="00F65DAE">
      <w:r>
        <w:separator/>
      </w:r>
    </w:p>
  </w:endnote>
  <w:endnote w:type="continuationSeparator" w:id="0">
    <w:p w:rsidR="00F65DAE" w:rsidRDefault="00F65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4E2" w:rsidRDefault="00F674E2">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947E7">
      <w:rPr>
        <w:b/>
        <w:noProof/>
        <w:color w:val="000000"/>
      </w:rPr>
      <w:t>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947E7">
      <w:rPr>
        <w:b/>
        <w:noProof/>
        <w:color w:val="000000"/>
      </w:rPr>
      <w:t>32</w:t>
    </w:r>
    <w:r>
      <w:rPr>
        <w:b/>
        <w:color w:val="000000"/>
      </w:rPr>
      <w:fldChar w:fldCharType="end"/>
    </w:r>
  </w:p>
  <w:p w:rsidR="00F674E2" w:rsidRDefault="00F674E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4E2" w:rsidRDefault="00F674E2">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947E7">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947E7">
      <w:rPr>
        <w:b/>
        <w:noProof/>
        <w:color w:val="000000"/>
      </w:rPr>
      <w:t>32</w:t>
    </w:r>
    <w:r>
      <w:rPr>
        <w:b/>
        <w:color w:val="000000"/>
      </w:rPr>
      <w:fldChar w:fldCharType="end"/>
    </w:r>
  </w:p>
  <w:p w:rsidR="00F674E2" w:rsidRDefault="00F674E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DAE" w:rsidRDefault="00F65DAE">
      <w:r>
        <w:separator/>
      </w:r>
    </w:p>
  </w:footnote>
  <w:footnote w:type="continuationSeparator" w:id="0">
    <w:p w:rsidR="00F65DAE" w:rsidRDefault="00F65D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4E2" w:rsidRDefault="00F65DA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4E2" w:rsidRDefault="00F674E2">
    <w:pPr>
      <w:widowControl w:val="0"/>
      <w:pBdr>
        <w:top w:val="nil"/>
        <w:left w:val="nil"/>
        <w:bottom w:val="nil"/>
        <w:right w:val="nil"/>
        <w:between w:val="nil"/>
      </w:pBdr>
      <w:spacing w:line="276" w:lineRule="auto"/>
      <w:rPr>
        <w:color w:val="000000"/>
      </w:rPr>
    </w:pPr>
  </w:p>
  <w:tbl>
    <w:tblPr>
      <w:tblStyle w:val="a0"/>
      <w:tblW w:w="9214" w:type="dxa"/>
      <w:tblInd w:w="-115" w:type="dxa"/>
      <w:tblLayout w:type="fixed"/>
      <w:tblLook w:val="0400" w:firstRow="0" w:lastRow="0" w:firstColumn="0" w:lastColumn="0" w:noHBand="0" w:noVBand="1"/>
    </w:tblPr>
    <w:tblGrid>
      <w:gridCol w:w="2268"/>
      <w:gridCol w:w="6946"/>
    </w:tblGrid>
    <w:tr w:rsidR="00F674E2">
      <w:trPr>
        <w:trHeight w:val="1435"/>
      </w:trPr>
      <w:tc>
        <w:tcPr>
          <w:tcW w:w="2268" w:type="dxa"/>
          <w:shd w:val="clear" w:color="auto" w:fill="auto"/>
        </w:tcPr>
        <w:p w:rsidR="00F674E2" w:rsidRDefault="00F674E2">
          <w:pPr>
            <w:tabs>
              <w:tab w:val="right" w:pos="4273"/>
            </w:tabs>
            <w:rPr>
              <w:rFonts w:ascii="Garamond" w:eastAsia="Garamond" w:hAnsi="Garamond" w:cs="Garamond"/>
              <w:sz w:val="16"/>
              <w:szCs w:val="16"/>
            </w:rPr>
          </w:pPr>
        </w:p>
      </w:tc>
      <w:tc>
        <w:tcPr>
          <w:tcW w:w="6946" w:type="dxa"/>
          <w:shd w:val="clear" w:color="auto" w:fill="auto"/>
        </w:tcPr>
        <w:p w:rsidR="00F674E2" w:rsidRDefault="00F674E2"/>
        <w:tbl>
          <w:tblPr>
            <w:tblStyle w:val="a1"/>
            <w:tblW w:w="6662" w:type="dxa"/>
            <w:tblInd w:w="40" w:type="dxa"/>
            <w:tblLayout w:type="fixed"/>
            <w:tblLook w:val="0400" w:firstRow="0" w:lastRow="0" w:firstColumn="0" w:lastColumn="0" w:noHBand="0" w:noVBand="1"/>
          </w:tblPr>
          <w:tblGrid>
            <w:gridCol w:w="2551"/>
            <w:gridCol w:w="4111"/>
          </w:tblGrid>
          <w:tr w:rsidR="00F674E2">
            <w:trPr>
              <w:trHeight w:val="150"/>
            </w:trPr>
            <w:tc>
              <w:tcPr>
                <w:tcW w:w="2551" w:type="dxa"/>
                <w:shd w:val="clear" w:color="auto" w:fill="auto"/>
              </w:tcPr>
              <w:p w:rsidR="00F674E2" w:rsidRDefault="00F674E2">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tcPr>
              <w:p w:rsidR="00F674E2" w:rsidRDefault="000130D3">
                <w:pPr>
                  <w:tabs>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00013/INFOEM/IP/RR/2025</w:t>
                </w:r>
                <w:r w:rsidR="00F674E2">
                  <w:rPr>
                    <w:rFonts w:ascii="Palatino Linotype" w:eastAsia="Palatino Linotype" w:hAnsi="Palatino Linotype" w:cs="Palatino Linotype"/>
                    <w:b/>
                    <w:sz w:val="22"/>
                    <w:szCs w:val="22"/>
                  </w:rPr>
                  <w:t xml:space="preserve"> </w:t>
                </w:r>
              </w:p>
            </w:tc>
          </w:tr>
          <w:tr w:rsidR="00F674E2">
            <w:trPr>
              <w:trHeight w:val="295"/>
            </w:trPr>
            <w:tc>
              <w:tcPr>
                <w:tcW w:w="2551" w:type="dxa"/>
                <w:shd w:val="clear" w:color="auto" w:fill="auto"/>
              </w:tcPr>
              <w:p w:rsidR="00F674E2" w:rsidRDefault="00F674E2">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tcPr>
              <w:p w:rsidR="00F674E2" w:rsidRDefault="00F674E2">
                <w:pPr>
                  <w:tabs>
                    <w:tab w:val="left" w:pos="2834"/>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Nextlalpan</w:t>
                </w:r>
              </w:p>
            </w:tc>
          </w:tr>
          <w:tr w:rsidR="00F674E2">
            <w:trPr>
              <w:trHeight w:val="295"/>
            </w:trPr>
            <w:tc>
              <w:tcPr>
                <w:tcW w:w="2551" w:type="dxa"/>
                <w:shd w:val="clear" w:color="auto" w:fill="auto"/>
              </w:tcPr>
              <w:p w:rsidR="00F674E2" w:rsidRDefault="00F674E2">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1" w:type="dxa"/>
                <w:shd w:val="clear" w:color="auto" w:fill="auto"/>
              </w:tcPr>
              <w:p w:rsidR="00F674E2" w:rsidRDefault="00F674E2">
                <w:pPr>
                  <w:tabs>
                    <w:tab w:val="right" w:pos="8838"/>
                  </w:tabs>
                  <w:ind w:left="-10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F674E2" w:rsidRDefault="00F674E2">
                <w:pPr>
                  <w:tabs>
                    <w:tab w:val="right" w:pos="8838"/>
                  </w:tabs>
                  <w:ind w:left="-108" w:right="171"/>
                  <w:jc w:val="both"/>
                  <w:rPr>
                    <w:rFonts w:ascii="Palatino Linotype" w:eastAsia="Palatino Linotype" w:hAnsi="Palatino Linotype" w:cs="Palatino Linotype"/>
                    <w:b/>
                    <w:sz w:val="22"/>
                    <w:szCs w:val="22"/>
                  </w:rPr>
                </w:pPr>
              </w:p>
            </w:tc>
          </w:tr>
        </w:tbl>
        <w:p w:rsidR="00F674E2" w:rsidRDefault="00F674E2">
          <w:pPr>
            <w:tabs>
              <w:tab w:val="right" w:pos="8838"/>
            </w:tabs>
            <w:ind w:left="-28"/>
            <w:jc w:val="both"/>
            <w:rPr>
              <w:rFonts w:ascii="Arial" w:eastAsia="Arial" w:hAnsi="Arial" w:cs="Arial"/>
              <w:b/>
              <w:sz w:val="22"/>
              <w:szCs w:val="22"/>
            </w:rPr>
          </w:pPr>
        </w:p>
      </w:tc>
    </w:tr>
  </w:tbl>
  <w:p w:rsidR="00F674E2" w:rsidRDefault="00F65DAE">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4E2" w:rsidRDefault="00F674E2">
    <w:pPr>
      <w:widowControl w:val="0"/>
      <w:pBdr>
        <w:top w:val="nil"/>
        <w:left w:val="nil"/>
        <w:bottom w:val="nil"/>
        <w:right w:val="nil"/>
        <w:between w:val="nil"/>
      </w:pBdr>
      <w:spacing w:line="276" w:lineRule="auto"/>
      <w:rPr>
        <w:color w:val="000000"/>
        <w:sz w:val="14"/>
        <w:szCs w:val="14"/>
      </w:rPr>
    </w:pPr>
  </w:p>
  <w:tbl>
    <w:tblPr>
      <w:tblStyle w:val="a2"/>
      <w:tblW w:w="9072" w:type="dxa"/>
      <w:tblInd w:w="-115" w:type="dxa"/>
      <w:tblLayout w:type="fixed"/>
      <w:tblLook w:val="0400" w:firstRow="0" w:lastRow="0" w:firstColumn="0" w:lastColumn="0" w:noHBand="0" w:noVBand="1"/>
    </w:tblPr>
    <w:tblGrid>
      <w:gridCol w:w="2268"/>
      <w:gridCol w:w="6804"/>
    </w:tblGrid>
    <w:tr w:rsidR="00F674E2">
      <w:trPr>
        <w:trHeight w:val="1435"/>
      </w:trPr>
      <w:tc>
        <w:tcPr>
          <w:tcW w:w="2268" w:type="dxa"/>
          <w:shd w:val="clear" w:color="auto" w:fill="auto"/>
        </w:tcPr>
        <w:p w:rsidR="00F674E2" w:rsidRDefault="00F674E2">
          <w:pPr>
            <w:tabs>
              <w:tab w:val="right" w:pos="4273"/>
            </w:tabs>
            <w:rPr>
              <w:rFonts w:ascii="Garamond" w:eastAsia="Garamond" w:hAnsi="Garamond" w:cs="Garamond"/>
              <w:sz w:val="22"/>
              <w:szCs w:val="22"/>
            </w:rPr>
          </w:pPr>
        </w:p>
      </w:tc>
      <w:tc>
        <w:tcPr>
          <w:tcW w:w="6804" w:type="dxa"/>
          <w:shd w:val="clear" w:color="auto" w:fill="auto"/>
        </w:tcPr>
        <w:p w:rsidR="00F674E2" w:rsidRDefault="00F674E2">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3"/>
            <w:tblW w:w="6662" w:type="dxa"/>
            <w:tblInd w:w="40" w:type="dxa"/>
            <w:tblLayout w:type="fixed"/>
            <w:tblLook w:val="0400" w:firstRow="0" w:lastRow="0" w:firstColumn="0" w:lastColumn="0" w:noHBand="0" w:noVBand="1"/>
          </w:tblPr>
          <w:tblGrid>
            <w:gridCol w:w="2444"/>
            <w:gridCol w:w="4218"/>
          </w:tblGrid>
          <w:tr w:rsidR="00F674E2">
            <w:trPr>
              <w:trHeight w:val="281"/>
            </w:trPr>
            <w:tc>
              <w:tcPr>
                <w:tcW w:w="2444" w:type="dxa"/>
                <w:shd w:val="clear" w:color="auto" w:fill="auto"/>
              </w:tcPr>
              <w:p w:rsidR="00F674E2" w:rsidRDefault="00F674E2">
                <w:pPr>
                  <w:tabs>
                    <w:tab w:val="right" w:pos="8838"/>
                  </w:tabs>
                  <w:ind w:left="-264" w:right="-105" w:firstLine="19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18" w:type="dxa"/>
                <w:shd w:val="clear" w:color="auto" w:fill="auto"/>
              </w:tcPr>
              <w:p w:rsidR="00F674E2" w:rsidRDefault="00F674E2">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00013/INFOEM/IP/RR/2025</w:t>
                </w:r>
              </w:p>
            </w:tc>
          </w:tr>
          <w:tr w:rsidR="00F674E2">
            <w:trPr>
              <w:trHeight w:val="281"/>
            </w:trPr>
            <w:tc>
              <w:tcPr>
                <w:tcW w:w="2444" w:type="dxa"/>
                <w:shd w:val="clear" w:color="auto" w:fill="auto"/>
              </w:tcPr>
              <w:p w:rsidR="00F674E2" w:rsidRDefault="00F674E2">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18" w:type="dxa"/>
                <w:shd w:val="clear" w:color="auto" w:fill="auto"/>
              </w:tcPr>
              <w:p w:rsidR="00F674E2" w:rsidRDefault="00C947E7">
                <w:pPr>
                  <w:tabs>
                    <w:tab w:val="left" w:pos="3122"/>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XXXX </w:t>
                </w:r>
                <w:proofErr w:type="spellStart"/>
                <w:r>
                  <w:rPr>
                    <w:rFonts w:ascii="Palatino Linotype" w:eastAsia="Palatino Linotype" w:hAnsi="Palatino Linotype" w:cs="Palatino Linotype"/>
                    <w:sz w:val="22"/>
                    <w:szCs w:val="22"/>
                  </w:rPr>
                  <w:t>XXXX</w:t>
                </w:r>
                <w:proofErr w:type="spellEnd"/>
                <w:r>
                  <w:rPr>
                    <w:rFonts w:ascii="Palatino Linotype" w:eastAsia="Palatino Linotype" w:hAnsi="Palatino Linotype" w:cs="Palatino Linotype"/>
                    <w:sz w:val="22"/>
                    <w:szCs w:val="22"/>
                  </w:rPr>
                  <w:t xml:space="preserve"> </w:t>
                </w:r>
                <w:proofErr w:type="spellStart"/>
                <w:r>
                  <w:rPr>
                    <w:rFonts w:ascii="Palatino Linotype" w:eastAsia="Palatino Linotype" w:hAnsi="Palatino Linotype" w:cs="Palatino Linotype"/>
                    <w:sz w:val="22"/>
                    <w:szCs w:val="22"/>
                  </w:rPr>
                  <w:t>XXXX</w:t>
                </w:r>
                <w:proofErr w:type="spellEnd"/>
                <w:r w:rsidR="00F674E2">
                  <w:rPr>
                    <w:rFonts w:ascii="Palatino Linotype" w:eastAsia="Palatino Linotype" w:hAnsi="Palatino Linotype" w:cs="Palatino Linotype"/>
                    <w:sz w:val="22"/>
                    <w:szCs w:val="22"/>
                  </w:rPr>
                  <w:t>.</w:t>
                </w:r>
              </w:p>
            </w:tc>
          </w:tr>
          <w:tr w:rsidR="00F674E2">
            <w:trPr>
              <w:trHeight w:val="281"/>
            </w:trPr>
            <w:tc>
              <w:tcPr>
                <w:tcW w:w="2444" w:type="dxa"/>
                <w:shd w:val="clear" w:color="auto" w:fill="auto"/>
              </w:tcPr>
              <w:p w:rsidR="00F674E2" w:rsidRDefault="00F674E2">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18" w:type="dxa"/>
                <w:shd w:val="clear" w:color="auto" w:fill="auto"/>
              </w:tcPr>
              <w:p w:rsidR="00F674E2" w:rsidRDefault="00F674E2">
                <w:pPr>
                  <w:tabs>
                    <w:tab w:val="left" w:pos="2834"/>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Nextlalpan.</w:t>
                </w:r>
              </w:p>
            </w:tc>
          </w:tr>
          <w:tr w:rsidR="00F674E2">
            <w:trPr>
              <w:trHeight w:val="563"/>
            </w:trPr>
            <w:tc>
              <w:tcPr>
                <w:tcW w:w="2444" w:type="dxa"/>
                <w:shd w:val="clear" w:color="auto" w:fill="auto"/>
              </w:tcPr>
              <w:p w:rsidR="00F674E2" w:rsidRDefault="00F674E2">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218" w:type="dxa"/>
                <w:shd w:val="clear" w:color="auto" w:fill="auto"/>
              </w:tcPr>
              <w:p w:rsidR="00F674E2" w:rsidRDefault="00F674E2">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F674E2" w:rsidRDefault="00F674E2">
                <w:pPr>
                  <w:tabs>
                    <w:tab w:val="right" w:pos="8838"/>
                  </w:tabs>
                  <w:ind w:left="-74" w:right="-105"/>
                  <w:jc w:val="both"/>
                  <w:rPr>
                    <w:rFonts w:ascii="Palatino Linotype" w:eastAsia="Palatino Linotype" w:hAnsi="Palatino Linotype" w:cs="Palatino Linotype"/>
                    <w:b/>
                    <w:sz w:val="22"/>
                    <w:szCs w:val="22"/>
                  </w:rPr>
                </w:pPr>
              </w:p>
            </w:tc>
          </w:tr>
        </w:tbl>
        <w:p w:rsidR="00F674E2" w:rsidRDefault="00F674E2">
          <w:pPr>
            <w:tabs>
              <w:tab w:val="right" w:pos="8838"/>
            </w:tabs>
            <w:ind w:left="-28"/>
            <w:jc w:val="both"/>
            <w:rPr>
              <w:rFonts w:ascii="Arial" w:eastAsia="Arial" w:hAnsi="Arial" w:cs="Arial"/>
              <w:b/>
              <w:sz w:val="22"/>
              <w:szCs w:val="22"/>
            </w:rPr>
          </w:pPr>
        </w:p>
      </w:tc>
    </w:tr>
  </w:tbl>
  <w:p w:rsidR="00F674E2" w:rsidRDefault="00F65DAE">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C7BE4"/>
    <w:multiLevelType w:val="multilevel"/>
    <w:tmpl w:val="3C76D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EE09B6"/>
    <w:multiLevelType w:val="multilevel"/>
    <w:tmpl w:val="89A87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42560A"/>
    <w:multiLevelType w:val="multilevel"/>
    <w:tmpl w:val="0A1AE8E0"/>
    <w:lvl w:ilvl="0">
      <w:start w:val="6"/>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20812F2F"/>
    <w:multiLevelType w:val="hybridMultilevel"/>
    <w:tmpl w:val="63F64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792F08"/>
    <w:multiLevelType w:val="multilevel"/>
    <w:tmpl w:val="16B695FA"/>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2331453"/>
    <w:multiLevelType w:val="multilevel"/>
    <w:tmpl w:val="DDEE7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015C22"/>
    <w:multiLevelType w:val="multilevel"/>
    <w:tmpl w:val="90BCF02A"/>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7" w15:restartNumberingAfterBreak="0">
    <w:nsid w:val="428D5B8C"/>
    <w:multiLevelType w:val="multilevel"/>
    <w:tmpl w:val="8B14E9DE"/>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875656C"/>
    <w:multiLevelType w:val="multilevel"/>
    <w:tmpl w:val="54BAF602"/>
    <w:lvl w:ilvl="0">
      <w:start w:val="1"/>
      <w:numFmt w:val="decimal"/>
      <w:lvlText w:val="%1."/>
      <w:lvlJc w:val="left"/>
      <w:pPr>
        <w:ind w:left="72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4BD30F3"/>
    <w:multiLevelType w:val="multilevel"/>
    <w:tmpl w:val="167AC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6EC037C"/>
    <w:multiLevelType w:val="multilevel"/>
    <w:tmpl w:val="A5CAA76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8"/>
  </w:num>
  <w:num w:numId="3">
    <w:abstractNumId w:val="5"/>
  </w:num>
  <w:num w:numId="4">
    <w:abstractNumId w:val="6"/>
  </w:num>
  <w:num w:numId="5">
    <w:abstractNumId w:val="0"/>
  </w:num>
  <w:num w:numId="6">
    <w:abstractNumId w:val="10"/>
  </w:num>
  <w:num w:numId="7">
    <w:abstractNumId w:val="4"/>
  </w:num>
  <w:num w:numId="8">
    <w:abstractNumId w:val="2"/>
  </w:num>
  <w:num w:numId="9">
    <w:abstractNumId w:val="7"/>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E69"/>
    <w:rsid w:val="000130D3"/>
    <w:rsid w:val="001631AD"/>
    <w:rsid w:val="0017138E"/>
    <w:rsid w:val="002202CA"/>
    <w:rsid w:val="002F0DFC"/>
    <w:rsid w:val="008D3E69"/>
    <w:rsid w:val="008D490E"/>
    <w:rsid w:val="009E4842"/>
    <w:rsid w:val="00C947E7"/>
    <w:rsid w:val="00D42E6A"/>
    <w:rsid w:val="00D51A3A"/>
    <w:rsid w:val="00EB748F"/>
    <w:rsid w:val="00F65DAE"/>
    <w:rsid w:val="00F674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FC3A8A5-5C27-4FFD-B74D-BC0600C7A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30B"/>
  </w:style>
  <w:style w:type="paragraph" w:styleId="Ttulo1">
    <w:name w:val="heading 1"/>
    <w:basedOn w:val="Normal"/>
    <w:next w:val="Normal"/>
    <w:link w:val="Ttulo1Car"/>
    <w:uiPriority w:val="9"/>
    <w:qFormat/>
    <w:rsid w:val="00077FA9"/>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2457DB"/>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3Car">
    <w:name w:val="Título 3 Car"/>
    <w:basedOn w:val="Fuentedeprrafopredeter"/>
    <w:link w:val="Ttulo3"/>
    <w:uiPriority w:val="9"/>
    <w:rsid w:val="002457DB"/>
    <w:rPr>
      <w:rFonts w:asciiTheme="majorHAnsi" w:eastAsiaTheme="majorEastAsia" w:hAnsiTheme="majorHAnsi" w:cstheme="majorBidi"/>
      <w:color w:val="1F4D78" w:themeColor="accent1" w:themeShade="7F"/>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2457DB"/>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457D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2457DB"/>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457D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457DB"/>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457DB"/>
    <w:rPr>
      <w:rFonts w:ascii="Calibri" w:eastAsia="Calibri" w:hAnsi="Calibri" w:cs="Times New Roman"/>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2457DB"/>
    <w:rPr>
      <w:vertAlign w:val="superscript"/>
    </w:rPr>
  </w:style>
  <w:style w:type="paragraph" w:customStyle="1" w:styleId="Default">
    <w:name w:val="Default"/>
    <w:rsid w:val="002457DB"/>
    <w:pPr>
      <w:autoSpaceDE w:val="0"/>
      <w:autoSpaceDN w:val="0"/>
      <w:adjustRightInd w:val="0"/>
    </w:pPr>
    <w:rPr>
      <w:rFonts w:ascii="Arial" w:hAnsi="Arial" w:cs="Arial"/>
      <w:color w:val="000000"/>
    </w:rPr>
  </w:style>
  <w:style w:type="paragraph" w:styleId="Piedepgina">
    <w:name w:val="footer"/>
    <w:basedOn w:val="Normal"/>
    <w:link w:val="PiedepginaCar"/>
    <w:uiPriority w:val="99"/>
    <w:unhideWhenUsed/>
    <w:rsid w:val="002457DB"/>
    <w:pPr>
      <w:tabs>
        <w:tab w:val="center" w:pos="4419"/>
        <w:tab w:val="right" w:pos="8838"/>
      </w:tabs>
    </w:pPr>
  </w:style>
  <w:style w:type="character" w:customStyle="1" w:styleId="PiedepginaCar">
    <w:name w:val="Pie de página Car"/>
    <w:basedOn w:val="Fuentedeprrafopredeter"/>
    <w:link w:val="Piedepgina"/>
    <w:uiPriority w:val="99"/>
    <w:rsid w:val="002457DB"/>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077FA9"/>
    <w:rPr>
      <w:rFonts w:asciiTheme="majorHAnsi" w:eastAsiaTheme="majorEastAsia" w:hAnsiTheme="majorHAnsi" w:cstheme="majorBidi"/>
      <w:color w:val="2E74B5" w:themeColor="accent1" w:themeShade="BF"/>
      <w:sz w:val="32"/>
      <w:szCs w:val="32"/>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gX8cgWRASRWSikP6Hr9d+XXCEw==">CgMxLjAyCGguZ2pkZ3hzMgloLjMwajB6bGwyCWguMWZvYjl0ZTIJaC4zem55c2g3MgloLjJldDkycDAyCGgudHlqY3d0MgloLjRkMzRvZzgyCGguZ2pkZ3hzMgloLjE3ZHA4dnU4AHIhMVdSc3dFbVBiejdMR1NWeko1MDMxZlhqZElEeTl3SmU5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7758</Words>
  <Characters>42672</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INFOEM403</cp:lastModifiedBy>
  <cp:revision>5</cp:revision>
  <cp:lastPrinted>2025-02-13T15:54:00Z</cp:lastPrinted>
  <dcterms:created xsi:type="dcterms:W3CDTF">2025-02-10T23:47:00Z</dcterms:created>
  <dcterms:modified xsi:type="dcterms:W3CDTF">2025-03-25T01:31:00Z</dcterms:modified>
</cp:coreProperties>
</file>