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rPr>
        <w:id w:val="1831946835"/>
        <w:docPartObj>
          <w:docPartGallery w:val="Table of Contents"/>
          <w:docPartUnique/>
        </w:docPartObj>
      </w:sdtPr>
      <w:sdtEndPr>
        <w:rPr>
          <w:b/>
          <w:bCs/>
        </w:rPr>
      </w:sdtEndPr>
      <w:sdtContent>
        <w:p w14:paraId="28225226" w14:textId="462BCD8A" w:rsidR="00A50615" w:rsidRPr="002314BF" w:rsidRDefault="00C04044" w:rsidP="00C04044">
          <w:pPr>
            <w:pStyle w:val="TtulodeTDC"/>
            <w:spacing w:before="0" w:line="360" w:lineRule="auto"/>
            <w:jc w:val="center"/>
            <w:rPr>
              <w:rFonts w:ascii="Palatino Linotype" w:hAnsi="Palatino Linotype"/>
              <w:color w:val="auto"/>
              <w:sz w:val="22"/>
              <w:szCs w:val="22"/>
            </w:rPr>
          </w:pPr>
          <w:r w:rsidRPr="002314BF">
            <w:rPr>
              <w:rFonts w:ascii="Palatino Linotype" w:hAnsi="Palatino Linotype"/>
              <w:color w:val="auto"/>
              <w:sz w:val="22"/>
              <w:szCs w:val="22"/>
            </w:rPr>
            <w:t xml:space="preserve">RESOLUCIÓN DEL RECURSO DE REVISIÓN </w:t>
          </w:r>
          <w:r w:rsidR="004F30BA" w:rsidRPr="002314BF">
            <w:rPr>
              <w:rFonts w:ascii="Palatino Linotype" w:hAnsi="Palatino Linotype"/>
              <w:color w:val="auto"/>
              <w:sz w:val="22"/>
              <w:szCs w:val="22"/>
            </w:rPr>
            <w:t>00436</w:t>
          </w:r>
          <w:r w:rsidRPr="002314BF">
            <w:rPr>
              <w:rFonts w:ascii="Palatino Linotype" w:hAnsi="Palatino Linotype"/>
              <w:color w:val="auto"/>
              <w:sz w:val="22"/>
              <w:szCs w:val="22"/>
            </w:rPr>
            <w:t>/INFOEM/IP/RR/202</w:t>
          </w:r>
          <w:r w:rsidR="004F30BA" w:rsidRPr="002314BF">
            <w:rPr>
              <w:rFonts w:ascii="Palatino Linotype" w:hAnsi="Palatino Linotype"/>
              <w:color w:val="auto"/>
              <w:sz w:val="22"/>
              <w:szCs w:val="22"/>
            </w:rPr>
            <w:t>5</w:t>
          </w:r>
        </w:p>
        <w:p w14:paraId="7C0428A1" w14:textId="77777777" w:rsidR="0016042E" w:rsidRDefault="00A50615">
          <w:pPr>
            <w:pStyle w:val="TDC1"/>
            <w:tabs>
              <w:tab w:val="right" w:leader="dot" w:pos="9204"/>
            </w:tabs>
            <w:rPr>
              <w:rFonts w:asciiTheme="minorHAnsi" w:eastAsiaTheme="minorEastAsia" w:hAnsiTheme="minorHAnsi" w:cstheme="minorBidi"/>
              <w:noProof/>
              <w:color w:val="auto"/>
            </w:rPr>
          </w:pPr>
          <w:r w:rsidRPr="002314BF">
            <w:fldChar w:fldCharType="begin"/>
          </w:r>
          <w:r w:rsidRPr="002314BF">
            <w:instrText xml:space="preserve"> TOC \o "1-3" \h \z \u </w:instrText>
          </w:r>
          <w:r w:rsidRPr="002314BF">
            <w:fldChar w:fldCharType="separate"/>
          </w:r>
          <w:hyperlink w:anchor="_Toc192175292" w:history="1">
            <w:r w:rsidR="0016042E" w:rsidRPr="00C4334A">
              <w:rPr>
                <w:rStyle w:val="Hipervnculo"/>
                <w:noProof/>
              </w:rPr>
              <w:t>A N T E C E D E N T E S</w:t>
            </w:r>
            <w:r w:rsidR="0016042E">
              <w:rPr>
                <w:noProof/>
                <w:webHidden/>
              </w:rPr>
              <w:tab/>
            </w:r>
            <w:r w:rsidR="0016042E">
              <w:rPr>
                <w:noProof/>
                <w:webHidden/>
              </w:rPr>
              <w:fldChar w:fldCharType="begin"/>
            </w:r>
            <w:r w:rsidR="0016042E">
              <w:rPr>
                <w:noProof/>
                <w:webHidden/>
              </w:rPr>
              <w:instrText xml:space="preserve"> PAGEREF _Toc192175292 \h </w:instrText>
            </w:r>
            <w:r w:rsidR="0016042E">
              <w:rPr>
                <w:noProof/>
                <w:webHidden/>
              </w:rPr>
            </w:r>
            <w:r w:rsidR="0016042E">
              <w:rPr>
                <w:noProof/>
                <w:webHidden/>
              </w:rPr>
              <w:fldChar w:fldCharType="separate"/>
            </w:r>
            <w:r w:rsidR="005D295D">
              <w:rPr>
                <w:noProof/>
                <w:webHidden/>
              </w:rPr>
              <w:t>2</w:t>
            </w:r>
            <w:r w:rsidR="0016042E">
              <w:rPr>
                <w:noProof/>
                <w:webHidden/>
              </w:rPr>
              <w:fldChar w:fldCharType="end"/>
            </w:r>
          </w:hyperlink>
        </w:p>
        <w:p w14:paraId="4697AAA3"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3" w:history="1">
            <w:r w:rsidR="0016042E" w:rsidRPr="00C4334A">
              <w:rPr>
                <w:rStyle w:val="Hipervnculo"/>
                <w:noProof/>
              </w:rPr>
              <w:t>I. Presentación de la solicitud</w:t>
            </w:r>
            <w:r w:rsidR="0016042E">
              <w:rPr>
                <w:noProof/>
                <w:webHidden/>
              </w:rPr>
              <w:tab/>
            </w:r>
            <w:r w:rsidR="0016042E">
              <w:rPr>
                <w:noProof/>
                <w:webHidden/>
              </w:rPr>
              <w:fldChar w:fldCharType="begin"/>
            </w:r>
            <w:r w:rsidR="0016042E">
              <w:rPr>
                <w:noProof/>
                <w:webHidden/>
              </w:rPr>
              <w:instrText xml:space="preserve"> PAGEREF _Toc192175293 \h </w:instrText>
            </w:r>
            <w:r w:rsidR="0016042E">
              <w:rPr>
                <w:noProof/>
                <w:webHidden/>
              </w:rPr>
            </w:r>
            <w:r w:rsidR="0016042E">
              <w:rPr>
                <w:noProof/>
                <w:webHidden/>
              </w:rPr>
              <w:fldChar w:fldCharType="separate"/>
            </w:r>
            <w:r w:rsidR="005D295D">
              <w:rPr>
                <w:noProof/>
                <w:webHidden/>
              </w:rPr>
              <w:t>2</w:t>
            </w:r>
            <w:r w:rsidR="0016042E">
              <w:rPr>
                <w:noProof/>
                <w:webHidden/>
              </w:rPr>
              <w:fldChar w:fldCharType="end"/>
            </w:r>
          </w:hyperlink>
        </w:p>
        <w:p w14:paraId="437A1CAF"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4" w:history="1">
            <w:r w:rsidR="0016042E" w:rsidRPr="00C4334A">
              <w:rPr>
                <w:rStyle w:val="Hipervnculo"/>
                <w:noProof/>
              </w:rPr>
              <w:t>II. Respuesta del Sujeto Obligado</w:t>
            </w:r>
            <w:r w:rsidR="0016042E">
              <w:rPr>
                <w:noProof/>
                <w:webHidden/>
              </w:rPr>
              <w:tab/>
            </w:r>
            <w:r w:rsidR="0016042E">
              <w:rPr>
                <w:noProof/>
                <w:webHidden/>
              </w:rPr>
              <w:fldChar w:fldCharType="begin"/>
            </w:r>
            <w:r w:rsidR="0016042E">
              <w:rPr>
                <w:noProof/>
                <w:webHidden/>
              </w:rPr>
              <w:instrText xml:space="preserve"> PAGEREF _Toc192175294 \h </w:instrText>
            </w:r>
            <w:r w:rsidR="0016042E">
              <w:rPr>
                <w:noProof/>
                <w:webHidden/>
              </w:rPr>
            </w:r>
            <w:r w:rsidR="0016042E">
              <w:rPr>
                <w:noProof/>
                <w:webHidden/>
              </w:rPr>
              <w:fldChar w:fldCharType="separate"/>
            </w:r>
            <w:r w:rsidR="005D295D">
              <w:rPr>
                <w:noProof/>
                <w:webHidden/>
              </w:rPr>
              <w:t>3</w:t>
            </w:r>
            <w:r w:rsidR="0016042E">
              <w:rPr>
                <w:noProof/>
                <w:webHidden/>
              </w:rPr>
              <w:fldChar w:fldCharType="end"/>
            </w:r>
          </w:hyperlink>
        </w:p>
        <w:p w14:paraId="3EAB4DE0"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5" w:history="1">
            <w:r w:rsidR="0016042E" w:rsidRPr="00C4334A">
              <w:rPr>
                <w:rStyle w:val="Hipervnculo"/>
                <w:noProof/>
              </w:rPr>
              <w:t>III. Interposición del Recurso de Revisión</w:t>
            </w:r>
            <w:r w:rsidR="0016042E">
              <w:rPr>
                <w:noProof/>
                <w:webHidden/>
              </w:rPr>
              <w:tab/>
            </w:r>
            <w:r w:rsidR="0016042E">
              <w:rPr>
                <w:noProof/>
                <w:webHidden/>
              </w:rPr>
              <w:fldChar w:fldCharType="begin"/>
            </w:r>
            <w:r w:rsidR="0016042E">
              <w:rPr>
                <w:noProof/>
                <w:webHidden/>
              </w:rPr>
              <w:instrText xml:space="preserve"> PAGEREF _Toc192175295 \h </w:instrText>
            </w:r>
            <w:r w:rsidR="0016042E">
              <w:rPr>
                <w:noProof/>
                <w:webHidden/>
              </w:rPr>
            </w:r>
            <w:r w:rsidR="0016042E">
              <w:rPr>
                <w:noProof/>
                <w:webHidden/>
              </w:rPr>
              <w:fldChar w:fldCharType="separate"/>
            </w:r>
            <w:r w:rsidR="005D295D">
              <w:rPr>
                <w:noProof/>
                <w:webHidden/>
              </w:rPr>
              <w:t>3</w:t>
            </w:r>
            <w:r w:rsidR="0016042E">
              <w:rPr>
                <w:noProof/>
                <w:webHidden/>
              </w:rPr>
              <w:fldChar w:fldCharType="end"/>
            </w:r>
          </w:hyperlink>
        </w:p>
        <w:p w14:paraId="4CD75E38"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6" w:history="1">
            <w:r w:rsidR="0016042E" w:rsidRPr="00C4334A">
              <w:rPr>
                <w:rStyle w:val="Hipervnculo"/>
                <w:noProof/>
              </w:rPr>
              <w:t>IV. Trámite del Recurso de Revisión ante este Instituto</w:t>
            </w:r>
            <w:r w:rsidR="0016042E">
              <w:rPr>
                <w:noProof/>
                <w:webHidden/>
              </w:rPr>
              <w:tab/>
            </w:r>
            <w:r w:rsidR="0016042E">
              <w:rPr>
                <w:noProof/>
                <w:webHidden/>
              </w:rPr>
              <w:fldChar w:fldCharType="begin"/>
            </w:r>
            <w:r w:rsidR="0016042E">
              <w:rPr>
                <w:noProof/>
                <w:webHidden/>
              </w:rPr>
              <w:instrText xml:space="preserve"> PAGEREF _Toc192175296 \h </w:instrText>
            </w:r>
            <w:r w:rsidR="0016042E">
              <w:rPr>
                <w:noProof/>
                <w:webHidden/>
              </w:rPr>
            </w:r>
            <w:r w:rsidR="0016042E">
              <w:rPr>
                <w:noProof/>
                <w:webHidden/>
              </w:rPr>
              <w:fldChar w:fldCharType="separate"/>
            </w:r>
            <w:r w:rsidR="005D295D">
              <w:rPr>
                <w:noProof/>
                <w:webHidden/>
              </w:rPr>
              <w:t>4</w:t>
            </w:r>
            <w:r w:rsidR="0016042E">
              <w:rPr>
                <w:noProof/>
                <w:webHidden/>
              </w:rPr>
              <w:fldChar w:fldCharType="end"/>
            </w:r>
          </w:hyperlink>
        </w:p>
        <w:p w14:paraId="7D466DFF" w14:textId="77777777" w:rsidR="0016042E" w:rsidRDefault="006621FD">
          <w:pPr>
            <w:pStyle w:val="TDC1"/>
            <w:tabs>
              <w:tab w:val="right" w:leader="dot" w:pos="9204"/>
            </w:tabs>
            <w:rPr>
              <w:rFonts w:asciiTheme="minorHAnsi" w:eastAsiaTheme="minorEastAsia" w:hAnsiTheme="minorHAnsi" w:cstheme="minorBidi"/>
              <w:noProof/>
              <w:color w:val="auto"/>
            </w:rPr>
          </w:pPr>
          <w:hyperlink w:anchor="_Toc192175297" w:history="1">
            <w:r w:rsidR="0016042E" w:rsidRPr="00C4334A">
              <w:rPr>
                <w:rStyle w:val="Hipervnculo"/>
                <w:noProof/>
              </w:rPr>
              <w:t>C O N S I D E R A N D O S</w:t>
            </w:r>
            <w:r w:rsidR="0016042E">
              <w:rPr>
                <w:noProof/>
                <w:webHidden/>
              </w:rPr>
              <w:tab/>
            </w:r>
            <w:r w:rsidR="0016042E">
              <w:rPr>
                <w:noProof/>
                <w:webHidden/>
              </w:rPr>
              <w:fldChar w:fldCharType="begin"/>
            </w:r>
            <w:r w:rsidR="0016042E">
              <w:rPr>
                <w:noProof/>
                <w:webHidden/>
              </w:rPr>
              <w:instrText xml:space="preserve"> PAGEREF _Toc192175297 \h </w:instrText>
            </w:r>
            <w:r w:rsidR="0016042E">
              <w:rPr>
                <w:noProof/>
                <w:webHidden/>
              </w:rPr>
            </w:r>
            <w:r w:rsidR="0016042E">
              <w:rPr>
                <w:noProof/>
                <w:webHidden/>
              </w:rPr>
              <w:fldChar w:fldCharType="separate"/>
            </w:r>
            <w:r w:rsidR="005D295D">
              <w:rPr>
                <w:noProof/>
                <w:webHidden/>
              </w:rPr>
              <w:t>5</w:t>
            </w:r>
            <w:r w:rsidR="0016042E">
              <w:rPr>
                <w:noProof/>
                <w:webHidden/>
              </w:rPr>
              <w:fldChar w:fldCharType="end"/>
            </w:r>
          </w:hyperlink>
        </w:p>
        <w:p w14:paraId="11F6BFCF"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8" w:history="1">
            <w:r w:rsidR="0016042E" w:rsidRPr="00C4334A">
              <w:rPr>
                <w:rStyle w:val="Hipervnculo"/>
                <w:noProof/>
              </w:rPr>
              <w:t>PRIMERO. Competencia</w:t>
            </w:r>
            <w:r w:rsidR="0016042E">
              <w:rPr>
                <w:noProof/>
                <w:webHidden/>
              </w:rPr>
              <w:tab/>
            </w:r>
            <w:r w:rsidR="0016042E">
              <w:rPr>
                <w:noProof/>
                <w:webHidden/>
              </w:rPr>
              <w:fldChar w:fldCharType="begin"/>
            </w:r>
            <w:r w:rsidR="0016042E">
              <w:rPr>
                <w:noProof/>
                <w:webHidden/>
              </w:rPr>
              <w:instrText xml:space="preserve"> PAGEREF _Toc192175298 \h </w:instrText>
            </w:r>
            <w:r w:rsidR="0016042E">
              <w:rPr>
                <w:noProof/>
                <w:webHidden/>
              </w:rPr>
            </w:r>
            <w:r w:rsidR="0016042E">
              <w:rPr>
                <w:noProof/>
                <w:webHidden/>
              </w:rPr>
              <w:fldChar w:fldCharType="separate"/>
            </w:r>
            <w:r w:rsidR="005D295D">
              <w:rPr>
                <w:noProof/>
                <w:webHidden/>
              </w:rPr>
              <w:t>5</w:t>
            </w:r>
            <w:r w:rsidR="0016042E">
              <w:rPr>
                <w:noProof/>
                <w:webHidden/>
              </w:rPr>
              <w:fldChar w:fldCharType="end"/>
            </w:r>
          </w:hyperlink>
        </w:p>
        <w:p w14:paraId="42291887"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299" w:history="1">
            <w:r w:rsidR="0016042E" w:rsidRPr="00C4334A">
              <w:rPr>
                <w:rStyle w:val="Hipervnculo"/>
                <w:noProof/>
              </w:rPr>
              <w:t>SEGUNDO. Causales de improcedencia y sobreseimiento</w:t>
            </w:r>
            <w:r w:rsidR="0016042E">
              <w:rPr>
                <w:noProof/>
                <w:webHidden/>
              </w:rPr>
              <w:tab/>
            </w:r>
            <w:r w:rsidR="0016042E">
              <w:rPr>
                <w:noProof/>
                <w:webHidden/>
              </w:rPr>
              <w:fldChar w:fldCharType="begin"/>
            </w:r>
            <w:r w:rsidR="0016042E">
              <w:rPr>
                <w:noProof/>
                <w:webHidden/>
              </w:rPr>
              <w:instrText xml:space="preserve"> PAGEREF _Toc192175299 \h </w:instrText>
            </w:r>
            <w:r w:rsidR="0016042E">
              <w:rPr>
                <w:noProof/>
                <w:webHidden/>
              </w:rPr>
            </w:r>
            <w:r w:rsidR="0016042E">
              <w:rPr>
                <w:noProof/>
                <w:webHidden/>
              </w:rPr>
              <w:fldChar w:fldCharType="separate"/>
            </w:r>
            <w:r w:rsidR="005D295D">
              <w:rPr>
                <w:noProof/>
                <w:webHidden/>
              </w:rPr>
              <w:t>6</w:t>
            </w:r>
            <w:r w:rsidR="0016042E">
              <w:rPr>
                <w:noProof/>
                <w:webHidden/>
              </w:rPr>
              <w:fldChar w:fldCharType="end"/>
            </w:r>
          </w:hyperlink>
        </w:p>
        <w:p w14:paraId="3D9ED2F4"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300" w:history="1">
            <w:r w:rsidR="0016042E" w:rsidRPr="00C4334A">
              <w:rPr>
                <w:rStyle w:val="Hipervnculo"/>
                <w:noProof/>
              </w:rPr>
              <w:t>TERCERO. Determinación de la Controversia.</w:t>
            </w:r>
            <w:r w:rsidR="0016042E">
              <w:rPr>
                <w:noProof/>
                <w:webHidden/>
              </w:rPr>
              <w:tab/>
            </w:r>
            <w:r w:rsidR="0016042E">
              <w:rPr>
                <w:noProof/>
                <w:webHidden/>
              </w:rPr>
              <w:fldChar w:fldCharType="begin"/>
            </w:r>
            <w:r w:rsidR="0016042E">
              <w:rPr>
                <w:noProof/>
                <w:webHidden/>
              </w:rPr>
              <w:instrText xml:space="preserve"> PAGEREF _Toc192175300 \h </w:instrText>
            </w:r>
            <w:r w:rsidR="0016042E">
              <w:rPr>
                <w:noProof/>
                <w:webHidden/>
              </w:rPr>
            </w:r>
            <w:r w:rsidR="0016042E">
              <w:rPr>
                <w:noProof/>
                <w:webHidden/>
              </w:rPr>
              <w:fldChar w:fldCharType="separate"/>
            </w:r>
            <w:r w:rsidR="005D295D">
              <w:rPr>
                <w:noProof/>
                <w:webHidden/>
              </w:rPr>
              <w:t>7</w:t>
            </w:r>
            <w:r w:rsidR="0016042E">
              <w:rPr>
                <w:noProof/>
                <w:webHidden/>
              </w:rPr>
              <w:fldChar w:fldCharType="end"/>
            </w:r>
          </w:hyperlink>
        </w:p>
        <w:p w14:paraId="110FA14D"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301" w:history="1">
            <w:r w:rsidR="0016042E" w:rsidRPr="00C4334A">
              <w:rPr>
                <w:rStyle w:val="Hipervnculo"/>
                <w:noProof/>
              </w:rPr>
              <w:t>CUARTO. Marco normativo aplicable en materia de transparencia y acceso a la información pública</w:t>
            </w:r>
            <w:r w:rsidR="0016042E">
              <w:rPr>
                <w:noProof/>
                <w:webHidden/>
              </w:rPr>
              <w:tab/>
            </w:r>
            <w:r w:rsidR="0016042E">
              <w:rPr>
                <w:noProof/>
                <w:webHidden/>
              </w:rPr>
              <w:fldChar w:fldCharType="begin"/>
            </w:r>
            <w:r w:rsidR="0016042E">
              <w:rPr>
                <w:noProof/>
                <w:webHidden/>
              </w:rPr>
              <w:instrText xml:space="preserve"> PAGEREF _Toc192175301 \h </w:instrText>
            </w:r>
            <w:r w:rsidR="0016042E">
              <w:rPr>
                <w:noProof/>
                <w:webHidden/>
              </w:rPr>
            </w:r>
            <w:r w:rsidR="0016042E">
              <w:rPr>
                <w:noProof/>
                <w:webHidden/>
              </w:rPr>
              <w:fldChar w:fldCharType="separate"/>
            </w:r>
            <w:r w:rsidR="005D295D">
              <w:rPr>
                <w:noProof/>
                <w:webHidden/>
              </w:rPr>
              <w:t>8</w:t>
            </w:r>
            <w:r w:rsidR="0016042E">
              <w:rPr>
                <w:noProof/>
                <w:webHidden/>
              </w:rPr>
              <w:fldChar w:fldCharType="end"/>
            </w:r>
          </w:hyperlink>
        </w:p>
        <w:p w14:paraId="1FABC577"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302" w:history="1">
            <w:r w:rsidR="0016042E" w:rsidRPr="00C4334A">
              <w:rPr>
                <w:rStyle w:val="Hipervnculo"/>
                <w:caps/>
                <w:noProof/>
              </w:rPr>
              <w:t>Quinto.</w:t>
            </w:r>
            <w:r w:rsidR="0016042E" w:rsidRPr="00C4334A">
              <w:rPr>
                <w:rStyle w:val="Hipervnculo"/>
                <w:noProof/>
              </w:rPr>
              <w:t xml:space="preserve"> Estudio de Fondo</w:t>
            </w:r>
            <w:r w:rsidR="0016042E">
              <w:rPr>
                <w:noProof/>
                <w:webHidden/>
              </w:rPr>
              <w:tab/>
            </w:r>
            <w:r w:rsidR="0016042E">
              <w:rPr>
                <w:noProof/>
                <w:webHidden/>
              </w:rPr>
              <w:fldChar w:fldCharType="begin"/>
            </w:r>
            <w:r w:rsidR="0016042E">
              <w:rPr>
                <w:noProof/>
                <w:webHidden/>
              </w:rPr>
              <w:instrText xml:space="preserve"> PAGEREF _Toc192175302 \h </w:instrText>
            </w:r>
            <w:r w:rsidR="0016042E">
              <w:rPr>
                <w:noProof/>
                <w:webHidden/>
              </w:rPr>
            </w:r>
            <w:r w:rsidR="0016042E">
              <w:rPr>
                <w:noProof/>
                <w:webHidden/>
              </w:rPr>
              <w:fldChar w:fldCharType="separate"/>
            </w:r>
            <w:r w:rsidR="005D295D">
              <w:rPr>
                <w:noProof/>
                <w:webHidden/>
              </w:rPr>
              <w:t>10</w:t>
            </w:r>
            <w:r w:rsidR="0016042E">
              <w:rPr>
                <w:noProof/>
                <w:webHidden/>
              </w:rPr>
              <w:fldChar w:fldCharType="end"/>
            </w:r>
          </w:hyperlink>
        </w:p>
        <w:p w14:paraId="1BC32C71" w14:textId="77777777" w:rsidR="0016042E" w:rsidRDefault="006621FD">
          <w:pPr>
            <w:pStyle w:val="TDC2"/>
            <w:tabs>
              <w:tab w:val="right" w:leader="dot" w:pos="9204"/>
            </w:tabs>
            <w:rPr>
              <w:rFonts w:asciiTheme="minorHAnsi" w:eastAsiaTheme="minorEastAsia" w:hAnsiTheme="minorHAnsi" w:cstheme="minorBidi"/>
              <w:noProof/>
              <w:color w:val="auto"/>
            </w:rPr>
          </w:pPr>
          <w:hyperlink w:anchor="_Toc192175303" w:history="1">
            <w:r w:rsidR="0016042E" w:rsidRPr="00C4334A">
              <w:rPr>
                <w:rStyle w:val="Hipervnculo"/>
                <w:noProof/>
              </w:rPr>
              <w:t>SEXTO. Decisión</w:t>
            </w:r>
            <w:r w:rsidR="0016042E">
              <w:rPr>
                <w:noProof/>
                <w:webHidden/>
              </w:rPr>
              <w:tab/>
            </w:r>
            <w:r w:rsidR="0016042E">
              <w:rPr>
                <w:noProof/>
                <w:webHidden/>
              </w:rPr>
              <w:fldChar w:fldCharType="begin"/>
            </w:r>
            <w:r w:rsidR="0016042E">
              <w:rPr>
                <w:noProof/>
                <w:webHidden/>
              </w:rPr>
              <w:instrText xml:space="preserve"> PAGEREF _Toc192175303 \h </w:instrText>
            </w:r>
            <w:r w:rsidR="0016042E">
              <w:rPr>
                <w:noProof/>
                <w:webHidden/>
              </w:rPr>
            </w:r>
            <w:r w:rsidR="0016042E">
              <w:rPr>
                <w:noProof/>
                <w:webHidden/>
              </w:rPr>
              <w:fldChar w:fldCharType="separate"/>
            </w:r>
            <w:r w:rsidR="005D295D">
              <w:rPr>
                <w:noProof/>
                <w:webHidden/>
              </w:rPr>
              <w:t>27</w:t>
            </w:r>
            <w:r w:rsidR="0016042E">
              <w:rPr>
                <w:noProof/>
                <w:webHidden/>
              </w:rPr>
              <w:fldChar w:fldCharType="end"/>
            </w:r>
          </w:hyperlink>
        </w:p>
        <w:p w14:paraId="298CA619" w14:textId="77777777" w:rsidR="0016042E" w:rsidRDefault="006621FD">
          <w:pPr>
            <w:pStyle w:val="TDC1"/>
            <w:tabs>
              <w:tab w:val="right" w:leader="dot" w:pos="9204"/>
            </w:tabs>
            <w:rPr>
              <w:rFonts w:asciiTheme="minorHAnsi" w:eastAsiaTheme="minorEastAsia" w:hAnsiTheme="minorHAnsi" w:cstheme="minorBidi"/>
              <w:noProof/>
              <w:color w:val="auto"/>
            </w:rPr>
          </w:pPr>
          <w:hyperlink w:anchor="_Toc192175304" w:history="1">
            <w:r w:rsidR="0016042E" w:rsidRPr="00C4334A">
              <w:rPr>
                <w:rStyle w:val="Hipervnculo"/>
                <w:noProof/>
              </w:rPr>
              <w:t>R E S U E L V E</w:t>
            </w:r>
            <w:r w:rsidR="0016042E">
              <w:rPr>
                <w:noProof/>
                <w:webHidden/>
              </w:rPr>
              <w:tab/>
            </w:r>
            <w:r w:rsidR="0016042E">
              <w:rPr>
                <w:noProof/>
                <w:webHidden/>
              </w:rPr>
              <w:fldChar w:fldCharType="begin"/>
            </w:r>
            <w:r w:rsidR="0016042E">
              <w:rPr>
                <w:noProof/>
                <w:webHidden/>
              </w:rPr>
              <w:instrText xml:space="preserve"> PAGEREF _Toc192175304 \h </w:instrText>
            </w:r>
            <w:r w:rsidR="0016042E">
              <w:rPr>
                <w:noProof/>
                <w:webHidden/>
              </w:rPr>
            </w:r>
            <w:r w:rsidR="0016042E">
              <w:rPr>
                <w:noProof/>
                <w:webHidden/>
              </w:rPr>
              <w:fldChar w:fldCharType="separate"/>
            </w:r>
            <w:r w:rsidR="005D295D">
              <w:rPr>
                <w:noProof/>
                <w:webHidden/>
              </w:rPr>
              <w:t>28</w:t>
            </w:r>
            <w:r w:rsidR="0016042E">
              <w:rPr>
                <w:noProof/>
                <w:webHidden/>
              </w:rPr>
              <w:fldChar w:fldCharType="end"/>
            </w:r>
          </w:hyperlink>
        </w:p>
        <w:p w14:paraId="47B63EDE" w14:textId="793B3E95" w:rsidR="00A50615" w:rsidRPr="002314BF" w:rsidRDefault="00A50615" w:rsidP="00C04044">
          <w:pPr>
            <w:spacing w:after="0" w:line="360" w:lineRule="auto"/>
          </w:pPr>
          <w:r w:rsidRPr="002314BF">
            <w:rPr>
              <w:b/>
              <w:bCs/>
            </w:rPr>
            <w:fldChar w:fldCharType="end"/>
          </w:r>
        </w:p>
      </w:sdtContent>
    </w:sdt>
    <w:p w14:paraId="1C288FC1" w14:textId="10D8A7A3" w:rsidR="00CE58A5" w:rsidRPr="002314BF" w:rsidRDefault="00C04044" w:rsidP="00C04044">
      <w:pPr>
        <w:spacing w:after="0" w:line="360" w:lineRule="auto"/>
      </w:pPr>
      <w:r w:rsidRPr="002314BF">
        <w:br w:type="column"/>
      </w:r>
      <w:r w:rsidR="00CE4466" w:rsidRPr="002314BF">
        <w:lastRenderedPageBreak/>
        <w:t xml:space="preserve">Resolución del Pleno del Instituto de Transparencia, Acceso a la Información Pública y Protección de Datos Personales del Estado de México y Municipios, con domicilio en Metepec, Estado de México, de </w:t>
      </w:r>
      <w:r w:rsidR="004F30BA" w:rsidRPr="002314BF">
        <w:t xml:space="preserve">fecha </w:t>
      </w:r>
      <w:r w:rsidR="001B1903" w:rsidRPr="002314BF">
        <w:t>seis de marzo</w:t>
      </w:r>
      <w:r w:rsidR="00E87065" w:rsidRPr="002314BF">
        <w:t xml:space="preserve"> de dos mil veinticinco</w:t>
      </w:r>
      <w:r w:rsidR="00CE4466" w:rsidRPr="002314BF">
        <w:t>.</w:t>
      </w:r>
    </w:p>
    <w:p w14:paraId="5B1FA2B3" w14:textId="77777777" w:rsidR="00CE58A5" w:rsidRPr="002314BF" w:rsidRDefault="00CE58A5" w:rsidP="00C04044">
      <w:pPr>
        <w:spacing w:after="0" w:line="360" w:lineRule="auto"/>
        <w:rPr>
          <w:b/>
        </w:rPr>
      </w:pPr>
    </w:p>
    <w:p w14:paraId="67B180B8" w14:textId="3EDA567E" w:rsidR="00CE58A5" w:rsidRPr="002314BF" w:rsidRDefault="00CE4466" w:rsidP="00C04044">
      <w:pPr>
        <w:spacing w:after="0" w:line="360" w:lineRule="auto"/>
      </w:pPr>
      <w:r w:rsidRPr="002314BF">
        <w:rPr>
          <w:b/>
        </w:rPr>
        <w:t>VISTO</w:t>
      </w:r>
      <w:r w:rsidRPr="002314BF">
        <w:t xml:space="preserve"> el expediente conformado con motivo del Recurso de Revisión </w:t>
      </w:r>
      <w:r w:rsidR="004F30BA" w:rsidRPr="00661E10">
        <w:rPr>
          <w:b/>
          <w:bCs/>
        </w:rPr>
        <w:t>00436/INFOEM/IP/RR/2025</w:t>
      </w:r>
      <w:r w:rsidRPr="002314BF">
        <w:rPr>
          <w:bCs/>
        </w:rPr>
        <w:t xml:space="preserve">, interpuesto </w:t>
      </w:r>
      <w:r w:rsidR="001A54EF" w:rsidRPr="002314BF">
        <w:rPr>
          <w:bCs/>
        </w:rPr>
        <w:t xml:space="preserve">por </w:t>
      </w:r>
      <w:r w:rsidR="00B02095" w:rsidRPr="00B02095">
        <w:rPr>
          <w:highlight w:val="black"/>
        </w:rPr>
        <w:t>XXXXXXXXXXXX</w:t>
      </w:r>
      <w:r w:rsidR="006D4068" w:rsidRPr="002314BF">
        <w:rPr>
          <w:bCs/>
        </w:rPr>
        <w:t xml:space="preserve">, </w:t>
      </w:r>
      <w:r w:rsidR="001B1903" w:rsidRPr="002314BF">
        <w:rPr>
          <w:bCs/>
        </w:rPr>
        <w:t>en lo sucesivo la persona</w:t>
      </w:r>
      <w:r w:rsidR="006D4068" w:rsidRPr="002314BF">
        <w:rPr>
          <w:bCs/>
        </w:rPr>
        <w:t xml:space="preserve"> </w:t>
      </w:r>
      <w:r w:rsidRPr="002314BF">
        <w:rPr>
          <w:bCs/>
        </w:rPr>
        <w:t xml:space="preserve">Recurrente o Particular, en contra de la respuesta del Sujeto Obligado, </w:t>
      </w:r>
      <w:r w:rsidR="00E17CD4" w:rsidRPr="00661E10">
        <w:rPr>
          <w:b/>
          <w:bCs/>
        </w:rPr>
        <w:t>Sistema Municipal p</w:t>
      </w:r>
      <w:r w:rsidR="004F30BA" w:rsidRPr="00661E10">
        <w:rPr>
          <w:b/>
          <w:bCs/>
        </w:rPr>
        <w:t>ara el Desarrollo Integral de la Familia de Toluca</w:t>
      </w:r>
      <w:r w:rsidRPr="00661E10">
        <w:rPr>
          <w:b/>
          <w:bCs/>
        </w:rPr>
        <w:t xml:space="preserve">, </w:t>
      </w:r>
      <w:r w:rsidRPr="002314BF">
        <w:rPr>
          <w:bCs/>
        </w:rPr>
        <w:t xml:space="preserve">a la solicitud de acceso a la información </w:t>
      </w:r>
      <w:r w:rsidR="00E17CD4" w:rsidRPr="002314BF">
        <w:rPr>
          <w:bCs/>
          <w:color w:val="0D0D0D"/>
        </w:rPr>
        <w:t>00016/DIFTOLUCA/IP/2025</w:t>
      </w:r>
      <w:r w:rsidRPr="002314BF">
        <w:rPr>
          <w:bCs/>
        </w:rPr>
        <w:t>, se emite la presente</w:t>
      </w:r>
      <w:r w:rsidRPr="002314BF">
        <w:t xml:space="preserve"> Resolución, con base en los Antecedentes y Considerandos que se exponen a continuación:</w:t>
      </w:r>
      <w:r w:rsidR="00B02095">
        <w:t xml:space="preserve"> </w:t>
      </w:r>
      <w:bookmarkStart w:id="0" w:name="_GoBack"/>
      <w:bookmarkEnd w:id="0"/>
    </w:p>
    <w:p w14:paraId="1FA40EED" w14:textId="77777777" w:rsidR="00CE58A5" w:rsidRPr="002314BF" w:rsidRDefault="00CE58A5" w:rsidP="00C04044">
      <w:pPr>
        <w:spacing w:after="0" w:line="360" w:lineRule="auto"/>
      </w:pPr>
    </w:p>
    <w:p w14:paraId="73DD6C24" w14:textId="6D4C9EA9" w:rsidR="00CE58A5" w:rsidRPr="002314BF" w:rsidRDefault="00CE4466" w:rsidP="00C04044">
      <w:pPr>
        <w:pStyle w:val="Ttulo1"/>
        <w:spacing w:before="0" w:after="0"/>
      </w:pPr>
      <w:bookmarkStart w:id="1" w:name="_Toc179975594"/>
      <w:bookmarkStart w:id="2" w:name="_Toc192175292"/>
      <w:r w:rsidRPr="002314BF">
        <w:t>A N T E C E D E N T E S</w:t>
      </w:r>
      <w:bookmarkEnd w:id="1"/>
      <w:bookmarkEnd w:id="2"/>
    </w:p>
    <w:p w14:paraId="108A9D50" w14:textId="77777777" w:rsidR="00CE58A5" w:rsidRPr="002314BF" w:rsidRDefault="00CE58A5" w:rsidP="00C04044">
      <w:pPr>
        <w:spacing w:after="0" w:line="360" w:lineRule="auto"/>
      </w:pPr>
    </w:p>
    <w:p w14:paraId="30C1BFAF" w14:textId="34BE2403" w:rsidR="00CE58A5" w:rsidRPr="002314BF" w:rsidRDefault="00CE4466" w:rsidP="00C04044">
      <w:pPr>
        <w:pStyle w:val="Ttulo2"/>
        <w:spacing w:before="0" w:after="0"/>
      </w:pPr>
      <w:bookmarkStart w:id="3" w:name="_Toc179975595"/>
      <w:bookmarkStart w:id="4" w:name="_Toc192175293"/>
      <w:r w:rsidRPr="002314BF">
        <w:t>I. Presentación</w:t>
      </w:r>
      <w:bookmarkEnd w:id="3"/>
      <w:r w:rsidRPr="002314BF">
        <w:t xml:space="preserve"> </w:t>
      </w:r>
      <w:r w:rsidR="00E57161" w:rsidRPr="002314BF">
        <w:t>de la solicitud</w:t>
      </w:r>
      <w:bookmarkEnd w:id="4"/>
    </w:p>
    <w:p w14:paraId="13E36A34" w14:textId="77777777" w:rsidR="00CE58A5" w:rsidRPr="002314BF" w:rsidRDefault="00CE58A5" w:rsidP="00C04044">
      <w:pPr>
        <w:tabs>
          <w:tab w:val="left" w:pos="567"/>
        </w:tabs>
        <w:spacing w:after="0" w:line="360" w:lineRule="auto"/>
      </w:pPr>
    </w:p>
    <w:p w14:paraId="166E0743" w14:textId="3523CEC0" w:rsidR="00CE58A5" w:rsidRPr="002314BF" w:rsidRDefault="00CE4466" w:rsidP="00C04044">
      <w:pPr>
        <w:spacing w:after="0" w:line="360" w:lineRule="auto"/>
      </w:pPr>
      <w:r w:rsidRPr="002314BF">
        <w:t xml:space="preserve">Con fecha </w:t>
      </w:r>
      <w:r w:rsidR="00E17CD4" w:rsidRPr="002314BF">
        <w:t xml:space="preserve">quince de enero de dos mil </w:t>
      </w:r>
      <w:r w:rsidR="006B72AD" w:rsidRPr="002314BF">
        <w:t>veinticinco</w:t>
      </w:r>
      <w:r w:rsidRPr="002314BF">
        <w:t xml:space="preserve">, el Particular presentó una solicitud de acceso a la información </w:t>
      </w:r>
      <w:r w:rsidR="00E1369F" w:rsidRPr="002314BF">
        <w:t>pública a</w:t>
      </w:r>
      <w:r w:rsidRPr="002314BF">
        <w:t xml:space="preserve"> través del Sistema de Acceso a la Información Mexiquense (SAIMEX), ante el </w:t>
      </w:r>
      <w:r w:rsidR="00B40CD5" w:rsidRPr="002314BF">
        <w:t>Sujeto Obligado</w:t>
      </w:r>
      <w:r w:rsidRPr="002314BF">
        <w:t xml:space="preserve">, en los siguientes términos: </w:t>
      </w:r>
    </w:p>
    <w:p w14:paraId="16195BED" w14:textId="77777777" w:rsidR="00CE58A5" w:rsidRPr="002314BF" w:rsidRDefault="00CE58A5" w:rsidP="00C04044">
      <w:pPr>
        <w:spacing w:after="0" w:line="360" w:lineRule="auto"/>
      </w:pPr>
    </w:p>
    <w:p w14:paraId="65E84A9E" w14:textId="77777777" w:rsidR="00CE58A5" w:rsidRPr="002314BF" w:rsidRDefault="00CE4466" w:rsidP="00C04044">
      <w:pPr>
        <w:tabs>
          <w:tab w:val="left" w:pos="4667"/>
        </w:tabs>
        <w:spacing w:after="0" w:line="360" w:lineRule="auto"/>
        <w:ind w:left="567" w:right="567"/>
        <w:rPr>
          <w:b/>
          <w:i/>
          <w:sz w:val="20"/>
          <w:szCs w:val="20"/>
        </w:rPr>
      </w:pPr>
      <w:r w:rsidRPr="002314BF">
        <w:rPr>
          <w:b/>
          <w:i/>
          <w:sz w:val="20"/>
          <w:szCs w:val="20"/>
        </w:rPr>
        <w:t>“DESCRIPCIÓN CLARA Y PRECISA DE LA INFORMACIÓN SOLICITADA.</w:t>
      </w:r>
    </w:p>
    <w:p w14:paraId="1B838018" w14:textId="55592B3C" w:rsidR="00CE58A5" w:rsidRPr="002314BF" w:rsidRDefault="00E17CD4" w:rsidP="00C04044">
      <w:pPr>
        <w:tabs>
          <w:tab w:val="left" w:pos="4667"/>
        </w:tabs>
        <w:spacing w:after="0" w:line="360" w:lineRule="auto"/>
        <w:ind w:left="567" w:right="567"/>
        <w:rPr>
          <w:i/>
          <w:sz w:val="20"/>
          <w:szCs w:val="20"/>
        </w:rPr>
      </w:pPr>
      <w:r w:rsidRPr="002314BF">
        <w:rPr>
          <w:i/>
          <w:sz w:val="20"/>
          <w:szCs w:val="20"/>
        </w:rPr>
        <w:t xml:space="preserve">SOLICITO DEL SISTEMA MUNICIPAL PARA EL DESARROLLO INTGRAL DE LA FAMILIA DE TOLUCA, TODAS LAS ACTAS DE ENTREGA RECEPCION DE LAS DIRECCIONES QUE INTEGRAN ESTE ORGANISMO, DIRECCIONES, UNIDAD DE PLANEACION, PROPRAMACION Y EVALUACIIO (UIPPE), COMUNICACION SOCIAL, CONTRALORIA, DIRECCION GENERAL, DIRECCION DE ADMINISTRACIÓN Y TESORERIA, PRESIDENCIA DEL DIF, Y TODAS Y CADA UNA DE LAS JEFATURAS, ACTAS DE </w:t>
      </w:r>
      <w:r w:rsidRPr="002314BF">
        <w:rPr>
          <w:i/>
          <w:sz w:val="20"/>
          <w:szCs w:val="20"/>
        </w:rPr>
        <w:lastRenderedPageBreak/>
        <w:t>ENTREGA RECEPCION Y ANEXOS, LAS CUALES SE LLEVARON A CABO PARA ENTREGAR A LOS ENTRANTES DE ESTA ADMINISTRACIÓN 2025 -2027</w:t>
      </w:r>
      <w:r w:rsidR="00B40CD5" w:rsidRPr="002314BF">
        <w:rPr>
          <w:i/>
          <w:sz w:val="20"/>
          <w:szCs w:val="20"/>
        </w:rPr>
        <w:t>.</w:t>
      </w:r>
      <w:r w:rsidR="001A54EF" w:rsidRPr="002314BF">
        <w:rPr>
          <w:i/>
          <w:sz w:val="20"/>
          <w:szCs w:val="20"/>
        </w:rPr>
        <w:t xml:space="preserve">” </w:t>
      </w:r>
      <w:r w:rsidR="001A54EF" w:rsidRPr="002314BF">
        <w:rPr>
          <w:i/>
          <w:sz w:val="16"/>
          <w:szCs w:val="16"/>
        </w:rPr>
        <w:t>(</w:t>
      </w:r>
      <w:r w:rsidR="001A54EF" w:rsidRPr="002314BF">
        <w:rPr>
          <w:i/>
          <w:sz w:val="20"/>
          <w:szCs w:val="20"/>
        </w:rPr>
        <w:t xml:space="preserve">Sic) </w:t>
      </w:r>
    </w:p>
    <w:p w14:paraId="039CE69D" w14:textId="77777777" w:rsidR="001A54EF" w:rsidRPr="002314BF" w:rsidRDefault="001A54EF" w:rsidP="00C04044">
      <w:pPr>
        <w:tabs>
          <w:tab w:val="left" w:pos="4667"/>
        </w:tabs>
        <w:spacing w:after="0" w:line="360" w:lineRule="auto"/>
        <w:ind w:left="567" w:right="567"/>
        <w:rPr>
          <w:b/>
          <w:i/>
          <w:sz w:val="20"/>
          <w:szCs w:val="20"/>
        </w:rPr>
      </w:pPr>
    </w:p>
    <w:p w14:paraId="0C1B5F6D" w14:textId="77777777" w:rsidR="00CE58A5" w:rsidRPr="002314BF" w:rsidRDefault="00CE4466" w:rsidP="00C04044">
      <w:pPr>
        <w:tabs>
          <w:tab w:val="left" w:pos="4667"/>
        </w:tabs>
        <w:spacing w:after="0" w:line="360" w:lineRule="auto"/>
        <w:ind w:left="567" w:right="567"/>
        <w:rPr>
          <w:b/>
          <w:i/>
          <w:sz w:val="20"/>
          <w:szCs w:val="20"/>
        </w:rPr>
      </w:pPr>
      <w:r w:rsidRPr="002314BF">
        <w:rPr>
          <w:b/>
          <w:i/>
          <w:sz w:val="20"/>
          <w:szCs w:val="20"/>
        </w:rPr>
        <w:t>“MODALIDAD DE ENTREGA</w:t>
      </w:r>
    </w:p>
    <w:p w14:paraId="11287FA3" w14:textId="77777777" w:rsidR="00CE58A5" w:rsidRPr="002314BF" w:rsidRDefault="00CE4466" w:rsidP="00C04044">
      <w:pPr>
        <w:spacing w:after="0" w:line="360" w:lineRule="auto"/>
        <w:ind w:left="567" w:right="567"/>
        <w:rPr>
          <w:i/>
          <w:sz w:val="20"/>
          <w:szCs w:val="20"/>
        </w:rPr>
      </w:pPr>
      <w:r w:rsidRPr="002314BF">
        <w:rPr>
          <w:i/>
          <w:sz w:val="20"/>
          <w:szCs w:val="20"/>
        </w:rPr>
        <w:t>A través del SAIMEX”</w:t>
      </w:r>
    </w:p>
    <w:p w14:paraId="59B55C0B" w14:textId="77777777" w:rsidR="00CE58A5" w:rsidRPr="002314BF" w:rsidRDefault="00CE58A5" w:rsidP="00C04044">
      <w:pPr>
        <w:spacing w:after="0" w:line="360" w:lineRule="auto"/>
        <w:rPr>
          <w:b/>
        </w:rPr>
      </w:pPr>
    </w:p>
    <w:p w14:paraId="1D98E4F2" w14:textId="7C3EC496" w:rsidR="00CE58A5" w:rsidRPr="002314BF" w:rsidRDefault="00B40CD5" w:rsidP="00C04044">
      <w:pPr>
        <w:pStyle w:val="Ttulo2"/>
        <w:spacing w:before="0" w:after="0"/>
      </w:pPr>
      <w:bookmarkStart w:id="5" w:name="_Toc179975597"/>
      <w:bookmarkStart w:id="6" w:name="_Toc192175294"/>
      <w:r w:rsidRPr="002314BF">
        <w:t>I</w:t>
      </w:r>
      <w:r w:rsidR="001A54EF" w:rsidRPr="002314BF">
        <w:t>I. Respuesta del Sujeto Obligado</w:t>
      </w:r>
      <w:bookmarkEnd w:id="5"/>
      <w:bookmarkEnd w:id="6"/>
    </w:p>
    <w:p w14:paraId="0D93CE51" w14:textId="77777777" w:rsidR="00CE58A5" w:rsidRPr="002314BF" w:rsidRDefault="00CE58A5" w:rsidP="00C04044">
      <w:pPr>
        <w:spacing w:after="0" w:line="360" w:lineRule="auto"/>
        <w:rPr>
          <w:b/>
        </w:rPr>
      </w:pPr>
    </w:p>
    <w:p w14:paraId="7A5EA7F4" w14:textId="57A10DD9" w:rsidR="00CE58A5" w:rsidRPr="002314BF" w:rsidRDefault="00CE4466" w:rsidP="00C04044">
      <w:pPr>
        <w:spacing w:after="0" w:line="360" w:lineRule="auto"/>
      </w:pPr>
      <w:r w:rsidRPr="002314BF">
        <w:t xml:space="preserve">Con fecha </w:t>
      </w:r>
      <w:r w:rsidR="00E17CD4" w:rsidRPr="002314BF">
        <w:t>veinticuatro de enero de dos mil veinticinco</w:t>
      </w:r>
      <w:r w:rsidRPr="002314BF">
        <w:t xml:space="preserve">, el Sujeto Obligado notificó, a través del Sistema de Acceso a la Información Mexiquense (SAIMEX), la respuesta a la solicitud de acceso a la información pública, a través </w:t>
      </w:r>
      <w:r w:rsidR="00B40CD5" w:rsidRPr="002314BF">
        <w:t xml:space="preserve">oficio </w:t>
      </w:r>
      <w:r w:rsidR="00E17CD4" w:rsidRPr="002314BF">
        <w:t xml:space="preserve">del Titular del Órgano Interno de Control, por medio del cual refiere que remite la información </w:t>
      </w:r>
      <w:r w:rsidR="00682881" w:rsidRPr="002314BF">
        <w:t xml:space="preserve">solicitada en medio óptico </w:t>
      </w:r>
      <w:proofErr w:type="spellStart"/>
      <w:r w:rsidR="00682881" w:rsidRPr="002314BF">
        <w:t>dvd</w:t>
      </w:r>
      <w:proofErr w:type="spellEnd"/>
      <w:r w:rsidR="00682881" w:rsidRPr="002314BF">
        <w:t xml:space="preserve">-r. </w:t>
      </w:r>
      <w:r w:rsidR="00F72062" w:rsidRPr="002314BF">
        <w:t xml:space="preserve">El Sujeto Obligado acompaño a dicha respuesta, la digitalización </w:t>
      </w:r>
      <w:r w:rsidR="00682881" w:rsidRPr="002314BF">
        <w:t xml:space="preserve">del acta de la Primera Sesión Extraordinaria, donde se aprobó la </w:t>
      </w:r>
      <w:r w:rsidR="00924069" w:rsidRPr="002314BF">
        <w:t>clasificación</w:t>
      </w:r>
      <w:r w:rsidR="00682881" w:rsidRPr="002314BF">
        <w:t xml:space="preserve"> de diversa información para dar respuesta a </w:t>
      </w:r>
      <w:r w:rsidR="00924069" w:rsidRPr="002314BF">
        <w:t>diversas</w:t>
      </w:r>
      <w:r w:rsidR="00682881" w:rsidRPr="002314BF">
        <w:t xml:space="preserve"> solicitud</w:t>
      </w:r>
      <w:r w:rsidR="00924069" w:rsidRPr="002314BF">
        <w:t>es de información, incluida la que dio origen al presente recurso.</w:t>
      </w:r>
      <w:r w:rsidR="00682881" w:rsidRPr="002314BF">
        <w:t xml:space="preserve"> </w:t>
      </w:r>
    </w:p>
    <w:p w14:paraId="4F53B270" w14:textId="77777777" w:rsidR="00A07B02" w:rsidRPr="002314BF" w:rsidRDefault="00A07B02" w:rsidP="00C04044">
      <w:pPr>
        <w:spacing w:after="0" w:line="360" w:lineRule="auto"/>
      </w:pPr>
    </w:p>
    <w:p w14:paraId="2FA06B09" w14:textId="55CC6DEE" w:rsidR="00CE58A5" w:rsidRPr="002314BF" w:rsidRDefault="00CE4466" w:rsidP="00C04044">
      <w:pPr>
        <w:pStyle w:val="Ttulo2"/>
        <w:spacing w:before="0" w:after="0"/>
      </w:pPr>
      <w:bookmarkStart w:id="7" w:name="_Toc179975598"/>
      <w:bookmarkStart w:id="8" w:name="_Toc192175295"/>
      <w:r w:rsidRPr="002314BF">
        <w:t>I</w:t>
      </w:r>
      <w:r w:rsidR="00BA7CA9" w:rsidRPr="002314BF">
        <w:t>II</w:t>
      </w:r>
      <w:r w:rsidRPr="002314BF">
        <w:t>. Interposición del Recurso de Revisión</w:t>
      </w:r>
      <w:bookmarkEnd w:id="7"/>
      <w:bookmarkEnd w:id="8"/>
    </w:p>
    <w:p w14:paraId="3837109C" w14:textId="77777777" w:rsidR="00CE58A5" w:rsidRPr="002314BF" w:rsidRDefault="00CE58A5" w:rsidP="00C04044">
      <w:pPr>
        <w:spacing w:after="0" w:line="360" w:lineRule="auto"/>
        <w:rPr>
          <w:b/>
        </w:rPr>
      </w:pPr>
    </w:p>
    <w:p w14:paraId="3385106E" w14:textId="0415AC7D" w:rsidR="00CE58A5" w:rsidRPr="002314BF" w:rsidRDefault="00CE4466" w:rsidP="00C04044">
      <w:pPr>
        <w:spacing w:after="0" w:line="360" w:lineRule="auto"/>
      </w:pPr>
      <w:r w:rsidRPr="002314BF">
        <w:t>Con fecha</w:t>
      </w:r>
      <w:r w:rsidR="00DD7C00" w:rsidRPr="002314BF">
        <w:t xml:space="preserve"> </w:t>
      </w:r>
      <w:r w:rsidR="009C200B" w:rsidRPr="002314BF">
        <w:t>treinta y uno de enero de dos mil veinticinco</w:t>
      </w:r>
      <w:r w:rsidRPr="002314BF">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2314BF" w:rsidRDefault="00CE58A5" w:rsidP="00C04044">
      <w:pPr>
        <w:spacing w:after="0" w:line="360" w:lineRule="auto"/>
      </w:pPr>
    </w:p>
    <w:p w14:paraId="70843217" w14:textId="77777777" w:rsidR="00CE58A5" w:rsidRPr="002314BF" w:rsidRDefault="00CE4466" w:rsidP="00C04044">
      <w:pPr>
        <w:spacing w:after="0" w:line="360" w:lineRule="auto"/>
        <w:ind w:left="567" w:right="567"/>
        <w:rPr>
          <w:i/>
          <w:sz w:val="20"/>
          <w:szCs w:val="20"/>
        </w:rPr>
      </w:pPr>
      <w:r w:rsidRPr="002314BF">
        <w:rPr>
          <w:b/>
          <w:i/>
          <w:sz w:val="20"/>
          <w:szCs w:val="20"/>
        </w:rPr>
        <w:t>“ACTO IMPUGNADO”</w:t>
      </w:r>
    </w:p>
    <w:p w14:paraId="1A82882E" w14:textId="49778DE5" w:rsidR="00CE58A5" w:rsidRPr="002314BF" w:rsidRDefault="009C200B" w:rsidP="00C04044">
      <w:pPr>
        <w:spacing w:after="0" w:line="360" w:lineRule="auto"/>
        <w:ind w:left="567" w:right="567"/>
        <w:rPr>
          <w:i/>
          <w:sz w:val="20"/>
          <w:szCs w:val="20"/>
        </w:rPr>
      </w:pPr>
      <w:proofErr w:type="gramStart"/>
      <w:r w:rsidRPr="002314BF">
        <w:rPr>
          <w:i/>
          <w:color w:val="000000"/>
          <w:sz w:val="20"/>
          <w:szCs w:val="20"/>
        </w:rPr>
        <w:t>la</w:t>
      </w:r>
      <w:proofErr w:type="gramEnd"/>
      <w:r w:rsidRPr="002314BF">
        <w:rPr>
          <w:i/>
          <w:color w:val="000000"/>
          <w:sz w:val="20"/>
          <w:szCs w:val="20"/>
        </w:rPr>
        <w:t xml:space="preserve"> respuesta del </w:t>
      </w:r>
      <w:proofErr w:type="spellStart"/>
      <w:r w:rsidRPr="002314BF">
        <w:rPr>
          <w:i/>
          <w:color w:val="000000"/>
          <w:sz w:val="20"/>
          <w:szCs w:val="20"/>
        </w:rPr>
        <w:t>titulsr</w:t>
      </w:r>
      <w:proofErr w:type="spellEnd"/>
      <w:r w:rsidRPr="002314BF">
        <w:rPr>
          <w:i/>
          <w:color w:val="000000"/>
          <w:sz w:val="20"/>
          <w:szCs w:val="20"/>
        </w:rPr>
        <w:t xml:space="preserve"> del </w:t>
      </w:r>
      <w:proofErr w:type="spellStart"/>
      <w:r w:rsidRPr="002314BF">
        <w:rPr>
          <w:i/>
          <w:color w:val="000000"/>
          <w:sz w:val="20"/>
          <w:szCs w:val="20"/>
        </w:rPr>
        <w:t>orgsno</w:t>
      </w:r>
      <w:proofErr w:type="spellEnd"/>
      <w:r w:rsidRPr="002314BF">
        <w:rPr>
          <w:i/>
          <w:color w:val="000000"/>
          <w:sz w:val="20"/>
          <w:szCs w:val="20"/>
        </w:rPr>
        <w:t xml:space="preserve"> interno de control del sistema </w:t>
      </w:r>
      <w:proofErr w:type="spellStart"/>
      <w:r w:rsidRPr="002314BF">
        <w:rPr>
          <w:i/>
          <w:color w:val="000000"/>
          <w:sz w:val="20"/>
          <w:szCs w:val="20"/>
        </w:rPr>
        <w:t>dif</w:t>
      </w:r>
      <w:proofErr w:type="spellEnd"/>
      <w:r w:rsidRPr="002314BF">
        <w:rPr>
          <w:i/>
          <w:color w:val="000000"/>
          <w:sz w:val="20"/>
          <w:szCs w:val="20"/>
        </w:rPr>
        <w:t xml:space="preserve"> </w:t>
      </w:r>
      <w:proofErr w:type="spellStart"/>
      <w:r w:rsidRPr="002314BF">
        <w:rPr>
          <w:i/>
          <w:color w:val="000000"/>
          <w:sz w:val="20"/>
          <w:szCs w:val="20"/>
        </w:rPr>
        <w:t>toluca</w:t>
      </w:r>
      <w:proofErr w:type="spellEnd"/>
      <w:r w:rsidRPr="002314BF">
        <w:rPr>
          <w:i/>
          <w:color w:val="000000"/>
          <w:sz w:val="20"/>
          <w:szCs w:val="20"/>
        </w:rPr>
        <w:t xml:space="preserve">, mediante oficio 200B10300/020/2025 de fecha 20 de enero de 2025, </w:t>
      </w:r>
      <w:proofErr w:type="spellStart"/>
      <w:r w:rsidRPr="002314BF">
        <w:rPr>
          <w:i/>
          <w:color w:val="000000"/>
          <w:sz w:val="20"/>
          <w:szCs w:val="20"/>
        </w:rPr>
        <w:t>asi</w:t>
      </w:r>
      <w:proofErr w:type="spellEnd"/>
      <w:r w:rsidRPr="002314BF">
        <w:rPr>
          <w:i/>
          <w:color w:val="000000"/>
          <w:sz w:val="20"/>
          <w:szCs w:val="20"/>
        </w:rPr>
        <w:t xml:space="preserve"> como del anexo en donde refiere entregar la </w:t>
      </w:r>
      <w:proofErr w:type="spellStart"/>
      <w:r w:rsidRPr="002314BF">
        <w:rPr>
          <w:i/>
          <w:color w:val="000000"/>
          <w:sz w:val="20"/>
          <w:szCs w:val="20"/>
        </w:rPr>
        <w:t>informacion</w:t>
      </w:r>
      <w:proofErr w:type="spellEnd"/>
      <w:r w:rsidRPr="002314BF">
        <w:rPr>
          <w:i/>
          <w:color w:val="000000"/>
          <w:sz w:val="20"/>
          <w:szCs w:val="20"/>
        </w:rPr>
        <w:t xml:space="preserve"> solicitada en </w:t>
      </w:r>
      <w:proofErr w:type="spellStart"/>
      <w:r w:rsidRPr="002314BF">
        <w:rPr>
          <w:i/>
          <w:color w:val="000000"/>
          <w:sz w:val="20"/>
          <w:szCs w:val="20"/>
        </w:rPr>
        <w:t>dvd</w:t>
      </w:r>
      <w:proofErr w:type="spellEnd"/>
      <w:r w:rsidRPr="002314BF">
        <w:rPr>
          <w:i/>
          <w:color w:val="000000"/>
          <w:sz w:val="20"/>
          <w:szCs w:val="20"/>
        </w:rPr>
        <w:t>-r</w:t>
      </w:r>
      <w:r w:rsidR="00674D7A" w:rsidRPr="002314BF">
        <w:rPr>
          <w:i/>
          <w:color w:val="000000"/>
          <w:sz w:val="20"/>
          <w:szCs w:val="20"/>
        </w:rPr>
        <w:t>.</w:t>
      </w:r>
      <w:r w:rsidR="00791585" w:rsidRPr="002314BF">
        <w:rPr>
          <w:i/>
          <w:sz w:val="20"/>
          <w:szCs w:val="20"/>
        </w:rPr>
        <w:t>” (Sic.)</w:t>
      </w:r>
    </w:p>
    <w:p w14:paraId="1CAF0EE0" w14:textId="77777777" w:rsidR="00CE58A5" w:rsidRPr="002314BF" w:rsidRDefault="00CE58A5" w:rsidP="00C04044">
      <w:pPr>
        <w:spacing w:after="0" w:line="360" w:lineRule="auto"/>
        <w:ind w:left="567" w:right="567"/>
        <w:rPr>
          <w:i/>
          <w:sz w:val="20"/>
          <w:szCs w:val="20"/>
        </w:rPr>
      </w:pPr>
    </w:p>
    <w:p w14:paraId="02DA69C4" w14:textId="77777777" w:rsidR="00CE58A5" w:rsidRPr="002314BF" w:rsidRDefault="00CE4466" w:rsidP="00C04044">
      <w:pPr>
        <w:spacing w:after="0" w:line="360" w:lineRule="auto"/>
        <w:ind w:left="567" w:right="567"/>
        <w:rPr>
          <w:b/>
          <w:i/>
          <w:sz w:val="20"/>
          <w:szCs w:val="20"/>
        </w:rPr>
      </w:pPr>
      <w:r w:rsidRPr="002314BF">
        <w:rPr>
          <w:b/>
          <w:i/>
          <w:sz w:val="20"/>
          <w:szCs w:val="20"/>
        </w:rPr>
        <w:t>“RAZONES O MOTIVOS DE LA INCONFORMIDAD”</w:t>
      </w:r>
    </w:p>
    <w:p w14:paraId="10183522" w14:textId="69BC5BBE" w:rsidR="00CE58A5" w:rsidRPr="002314BF" w:rsidRDefault="009C200B" w:rsidP="00C04044">
      <w:pPr>
        <w:spacing w:after="0" w:line="360" w:lineRule="auto"/>
        <w:ind w:left="567" w:right="567"/>
        <w:rPr>
          <w:i/>
          <w:sz w:val="20"/>
          <w:szCs w:val="20"/>
        </w:rPr>
      </w:pPr>
      <w:proofErr w:type="gramStart"/>
      <w:r w:rsidRPr="002314BF">
        <w:rPr>
          <w:i/>
          <w:color w:val="000000"/>
          <w:sz w:val="20"/>
          <w:szCs w:val="20"/>
        </w:rPr>
        <w:t>no</w:t>
      </w:r>
      <w:proofErr w:type="gramEnd"/>
      <w:r w:rsidRPr="002314BF">
        <w:rPr>
          <w:i/>
          <w:color w:val="000000"/>
          <w:sz w:val="20"/>
          <w:szCs w:val="20"/>
        </w:rPr>
        <w:t xml:space="preserve"> entrega la </w:t>
      </w:r>
      <w:proofErr w:type="spellStart"/>
      <w:r w:rsidRPr="002314BF">
        <w:rPr>
          <w:i/>
          <w:color w:val="000000"/>
          <w:sz w:val="20"/>
          <w:szCs w:val="20"/>
        </w:rPr>
        <w:t>informacion</w:t>
      </w:r>
      <w:proofErr w:type="spellEnd"/>
      <w:r w:rsidRPr="002314BF">
        <w:rPr>
          <w:i/>
          <w:color w:val="000000"/>
          <w:sz w:val="20"/>
          <w:szCs w:val="20"/>
        </w:rPr>
        <w:t xml:space="preserve"> solicitada, parece que no entienden la solicitud</w:t>
      </w:r>
      <w:r w:rsidR="00674D7A" w:rsidRPr="002314BF">
        <w:rPr>
          <w:i/>
          <w:color w:val="000000"/>
          <w:sz w:val="20"/>
          <w:szCs w:val="20"/>
        </w:rPr>
        <w:t>.</w:t>
      </w:r>
      <w:r w:rsidR="00791585" w:rsidRPr="002314BF">
        <w:rPr>
          <w:i/>
          <w:sz w:val="20"/>
          <w:szCs w:val="20"/>
        </w:rPr>
        <w:t>” (Sic.)</w:t>
      </w:r>
    </w:p>
    <w:p w14:paraId="0BBB2449" w14:textId="77777777" w:rsidR="00CE58A5" w:rsidRPr="002314BF" w:rsidRDefault="00CE58A5" w:rsidP="00C04044">
      <w:pPr>
        <w:spacing w:after="0" w:line="360" w:lineRule="auto"/>
      </w:pPr>
    </w:p>
    <w:p w14:paraId="256BC137" w14:textId="764B430C" w:rsidR="00CE58A5" w:rsidRPr="002314BF" w:rsidRDefault="00674D7A" w:rsidP="00C04044">
      <w:pPr>
        <w:pStyle w:val="Ttulo2"/>
        <w:spacing w:before="0" w:after="0"/>
      </w:pPr>
      <w:bookmarkStart w:id="9" w:name="_Toc179975599"/>
      <w:bookmarkStart w:id="10" w:name="_Toc192175296"/>
      <w:r w:rsidRPr="002314BF">
        <w:t>I</w:t>
      </w:r>
      <w:r w:rsidR="00CE4466" w:rsidRPr="002314BF">
        <w:t>V. Trámite del Recurso de Revisión ante este Instituto</w:t>
      </w:r>
      <w:bookmarkEnd w:id="9"/>
      <w:bookmarkEnd w:id="10"/>
    </w:p>
    <w:p w14:paraId="08451C4E" w14:textId="77777777" w:rsidR="001A54EF" w:rsidRPr="002314BF" w:rsidRDefault="001A54EF" w:rsidP="00C04044">
      <w:pPr>
        <w:spacing w:after="0" w:line="360" w:lineRule="auto"/>
        <w:rPr>
          <w:b/>
        </w:rPr>
      </w:pPr>
    </w:p>
    <w:p w14:paraId="31E01367" w14:textId="11972B1C" w:rsidR="00CE58A5" w:rsidRPr="002314BF" w:rsidRDefault="00CE4466" w:rsidP="00C04044">
      <w:pPr>
        <w:spacing w:after="0" w:line="360" w:lineRule="auto"/>
        <w:rPr>
          <w:b/>
        </w:rPr>
      </w:pPr>
      <w:r w:rsidRPr="002314BF">
        <w:rPr>
          <w:b/>
        </w:rPr>
        <w:t>a) Turno del Medio de Impugnación.</w:t>
      </w:r>
      <w:r w:rsidRPr="002314BF">
        <w:t xml:space="preserve"> El </w:t>
      </w:r>
      <w:r w:rsidR="009C200B" w:rsidRPr="002314BF">
        <w:t>treinta y uno de enero de dos mil veinticinco</w:t>
      </w:r>
      <w:r w:rsidRPr="002314BF">
        <w:t xml:space="preserve">, el Sistema de Acceso a la Información Mexiquense (SAIMEX), asignó el número de expediente </w:t>
      </w:r>
      <w:r w:rsidR="009C200B" w:rsidRPr="002314BF">
        <w:rPr>
          <w:b/>
        </w:rPr>
        <w:t>00436/INFOEM/IP/RR/2025</w:t>
      </w:r>
      <w:r w:rsidRPr="002314BF">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2314BF" w:rsidRDefault="00CE58A5" w:rsidP="00C04044">
      <w:pPr>
        <w:spacing w:after="0" w:line="360" w:lineRule="auto"/>
      </w:pPr>
    </w:p>
    <w:p w14:paraId="69DE9485" w14:textId="2B4DD320" w:rsidR="00CE58A5" w:rsidRPr="002314BF" w:rsidRDefault="00CE4466" w:rsidP="00C04044">
      <w:pPr>
        <w:spacing w:after="0" w:line="360" w:lineRule="auto"/>
      </w:pPr>
      <w:r w:rsidRPr="002314BF">
        <w:rPr>
          <w:b/>
        </w:rPr>
        <w:t>b) Admisión del Recurso de Revisión.</w:t>
      </w:r>
      <w:r w:rsidRPr="002314BF">
        <w:t xml:space="preserve"> El </w:t>
      </w:r>
      <w:r w:rsidR="009C200B" w:rsidRPr="002314BF">
        <w:t>cinco de febrero de dos mil veinticinco</w:t>
      </w:r>
      <w:r w:rsidRPr="002314BF">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2314BF">
        <w:t>once</w:t>
      </w:r>
      <w:r w:rsidRPr="002314BF">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BDBC2F4" w14:textId="77777777" w:rsidR="00E14CA1" w:rsidRPr="002314BF" w:rsidRDefault="00E14CA1" w:rsidP="00C04044">
      <w:pPr>
        <w:spacing w:after="0" w:line="360" w:lineRule="auto"/>
        <w:rPr>
          <w:b/>
        </w:rPr>
      </w:pPr>
    </w:p>
    <w:p w14:paraId="515DA072" w14:textId="0194FB34" w:rsidR="001B1903" w:rsidRPr="002314BF" w:rsidRDefault="00CE4466" w:rsidP="00C04044">
      <w:pPr>
        <w:spacing w:after="0" w:line="360" w:lineRule="auto"/>
      </w:pPr>
      <w:r w:rsidRPr="002314BF">
        <w:rPr>
          <w:b/>
          <w:color w:val="000000"/>
        </w:rPr>
        <w:t xml:space="preserve">c) </w:t>
      </w:r>
      <w:r w:rsidRPr="002314BF">
        <w:rPr>
          <w:b/>
        </w:rPr>
        <w:t xml:space="preserve">Informe Justificado. </w:t>
      </w:r>
      <w:r w:rsidR="00372769" w:rsidRPr="002314BF">
        <w:t xml:space="preserve">El </w:t>
      </w:r>
      <w:r w:rsidR="009C200B" w:rsidRPr="002314BF">
        <w:t>dieciocho de febrero de dos mil veinticinco</w:t>
      </w:r>
      <w:r w:rsidR="00372769" w:rsidRPr="002314BF">
        <w:t>,</w:t>
      </w:r>
      <w:r w:rsidR="001B1903" w:rsidRPr="002314BF">
        <w:t xml:space="preserve"> a través del Sistema de Acceso a la Información Mexiquense (SAIMEX),</w:t>
      </w:r>
      <w:r w:rsidR="00372769" w:rsidRPr="002314BF">
        <w:t xml:space="preserve"> el Sujeto Obligado rindió su informe justificado,</w:t>
      </w:r>
      <w:r w:rsidR="004B77C7" w:rsidRPr="002314BF">
        <w:t xml:space="preserve"> </w:t>
      </w:r>
      <w:r w:rsidR="001B1903" w:rsidRPr="002314BF">
        <w:t>a través del oficio número 22B/10100/342/2025, del diecisiete de dicho mes y año, suscrito por la Titular de la Unidad de Transparencia y dirigido al Comisionado Ponente, por medio del cual solicita se confirme la respuesta, pues la solicitud de información había sido atendida en tiempo y forma.</w:t>
      </w:r>
    </w:p>
    <w:p w14:paraId="46F66F17" w14:textId="77777777" w:rsidR="001B1903" w:rsidRPr="002314BF" w:rsidRDefault="001B1903" w:rsidP="00C04044">
      <w:pPr>
        <w:spacing w:after="0" w:line="360" w:lineRule="auto"/>
      </w:pPr>
    </w:p>
    <w:p w14:paraId="10C0067E" w14:textId="667F0EE2" w:rsidR="001B1903" w:rsidRPr="002314BF" w:rsidRDefault="001B1903" w:rsidP="001B1903">
      <w:pPr>
        <w:spacing w:after="0" w:line="360" w:lineRule="auto"/>
        <w:rPr>
          <w:b/>
        </w:rPr>
      </w:pPr>
      <w:bookmarkStart w:id="11" w:name="_Hlk182976945"/>
      <w:r w:rsidRPr="002314BF">
        <w:rPr>
          <w:b/>
        </w:rPr>
        <w:t xml:space="preserve">d) Vista del Informe Justificado. </w:t>
      </w:r>
      <w:r w:rsidRPr="002314BF">
        <w:rPr>
          <w:color w:val="000000"/>
        </w:rPr>
        <w:t xml:space="preserve">El dieciocho de febrero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sidRPr="002314BF">
        <w:rPr>
          <w:b/>
          <w:color w:val="000000"/>
        </w:rPr>
        <w:t>Cabe señalar que el Particular fue omiso en realizar manifestación alguna.</w:t>
      </w:r>
      <w:bookmarkEnd w:id="11"/>
    </w:p>
    <w:p w14:paraId="6FCCCC6B" w14:textId="77777777" w:rsidR="00372769" w:rsidRPr="002314BF" w:rsidRDefault="00372769" w:rsidP="00C04044">
      <w:pPr>
        <w:spacing w:after="0" w:line="360" w:lineRule="auto"/>
        <w:rPr>
          <w:b/>
        </w:rPr>
      </w:pPr>
    </w:p>
    <w:p w14:paraId="13E25C12" w14:textId="60A24810" w:rsidR="00CE58A5" w:rsidRPr="002314BF" w:rsidRDefault="00791585" w:rsidP="00C04044">
      <w:pPr>
        <w:spacing w:after="0" w:line="360" w:lineRule="auto"/>
      </w:pPr>
      <w:r w:rsidRPr="002314BF">
        <w:rPr>
          <w:b/>
        </w:rPr>
        <w:t>e) Cierre de instrucción.</w:t>
      </w:r>
      <w:r w:rsidRPr="002314BF">
        <w:t xml:space="preserve"> El </w:t>
      </w:r>
      <w:r w:rsidR="009E4D0C" w:rsidRPr="009E4D0C">
        <w:t xml:space="preserve">cinco de marzo </w:t>
      </w:r>
      <w:r w:rsidR="004B77C7" w:rsidRPr="009E4D0C">
        <w:t>de dos mil veinticinco</w:t>
      </w:r>
      <w:r w:rsidRPr="009E4D0C">
        <w:t>, al no existir diligencias pendientes por desahogar, se emitió el acuerdo por medio del</w:t>
      </w:r>
      <w:r w:rsidRPr="002314BF">
        <w:t xml:space="preserve">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32B44ED6" w14:textId="77777777" w:rsidR="000503E7" w:rsidRPr="002314BF" w:rsidRDefault="000503E7" w:rsidP="00C04044">
      <w:pPr>
        <w:spacing w:after="0" w:line="360" w:lineRule="auto"/>
        <w:rPr>
          <w:b/>
        </w:rPr>
      </w:pPr>
    </w:p>
    <w:p w14:paraId="1A2D1592" w14:textId="77777777" w:rsidR="00CE58A5" w:rsidRPr="002314BF" w:rsidRDefault="00CE4466" w:rsidP="00C04044">
      <w:pPr>
        <w:spacing w:after="0" w:line="360" w:lineRule="auto"/>
      </w:pPr>
      <w:r w:rsidRPr="002314BF">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2314BF" w:rsidRDefault="00CE58A5" w:rsidP="00C04044">
      <w:pPr>
        <w:spacing w:after="0" w:line="360" w:lineRule="auto"/>
      </w:pPr>
    </w:p>
    <w:p w14:paraId="1E06E728" w14:textId="69856E54" w:rsidR="00CE58A5" w:rsidRPr="002314BF" w:rsidRDefault="00CE4466" w:rsidP="00C04044">
      <w:pPr>
        <w:pStyle w:val="Ttulo1"/>
        <w:spacing w:before="0" w:after="0"/>
      </w:pPr>
      <w:bookmarkStart w:id="12" w:name="_Toc179975600"/>
      <w:bookmarkStart w:id="13" w:name="_Toc192175297"/>
      <w:r w:rsidRPr="002314BF">
        <w:t>C O N S I D E R A N D O S</w:t>
      </w:r>
      <w:bookmarkEnd w:id="12"/>
      <w:bookmarkEnd w:id="13"/>
    </w:p>
    <w:p w14:paraId="09DEA601" w14:textId="77777777" w:rsidR="00CE58A5" w:rsidRPr="002314BF" w:rsidRDefault="00CE58A5" w:rsidP="00C04044">
      <w:pPr>
        <w:spacing w:after="0" w:line="360" w:lineRule="auto"/>
        <w:rPr>
          <w:b/>
        </w:rPr>
      </w:pPr>
    </w:p>
    <w:p w14:paraId="3D9317E1" w14:textId="77777777" w:rsidR="00CE58A5" w:rsidRPr="002314BF" w:rsidRDefault="00CE4466" w:rsidP="00C04044">
      <w:pPr>
        <w:pStyle w:val="Ttulo2"/>
        <w:spacing w:before="0" w:after="0"/>
      </w:pPr>
      <w:bookmarkStart w:id="14" w:name="_Toc179975601"/>
      <w:bookmarkStart w:id="15" w:name="_Toc192175298"/>
      <w:r w:rsidRPr="002314BF">
        <w:t>PRIMERO. Competencia</w:t>
      </w:r>
      <w:bookmarkEnd w:id="14"/>
      <w:bookmarkEnd w:id="15"/>
    </w:p>
    <w:p w14:paraId="4F07F053" w14:textId="77777777" w:rsidR="00CE58A5" w:rsidRPr="002314BF" w:rsidRDefault="00CE58A5" w:rsidP="00C04044">
      <w:pPr>
        <w:spacing w:after="0" w:line="360" w:lineRule="auto"/>
        <w:rPr>
          <w:b/>
        </w:rPr>
      </w:pPr>
    </w:p>
    <w:p w14:paraId="7E9B74F8" w14:textId="050E436F" w:rsidR="00CE58A5" w:rsidRPr="002314BF" w:rsidRDefault="00CE4466" w:rsidP="00C04044">
      <w:pPr>
        <w:spacing w:after="0" w:line="360" w:lineRule="auto"/>
      </w:pPr>
      <w:r w:rsidRPr="002314B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5°, párrafos </w:t>
      </w:r>
      <w:r w:rsidRPr="002314BF">
        <w:rPr>
          <w:color w:val="000000"/>
        </w:rPr>
        <w:t>trigésimo segundo, trigésimo tercero y trigésimo cuarto</w:t>
      </w:r>
      <w:r w:rsidRPr="002314BF">
        <w:t xml:space="preserve">, fracciones I, II, III, IV y V de la </w:t>
      </w:r>
      <w:r w:rsidRPr="002314BF">
        <w:lastRenderedPageBreak/>
        <w:t>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2314BF" w:rsidRDefault="00CE58A5" w:rsidP="00C04044">
      <w:pPr>
        <w:spacing w:after="0" w:line="360" w:lineRule="auto"/>
      </w:pPr>
    </w:p>
    <w:p w14:paraId="250C24B5" w14:textId="77777777" w:rsidR="00CE58A5" w:rsidRPr="002314BF" w:rsidRDefault="00CE4466" w:rsidP="00C04044">
      <w:pPr>
        <w:pStyle w:val="Ttulo2"/>
        <w:spacing w:before="0" w:after="0"/>
      </w:pPr>
      <w:bookmarkStart w:id="16" w:name="_Toc179975602"/>
      <w:bookmarkStart w:id="17" w:name="_Toc192175299"/>
      <w:r w:rsidRPr="002314BF">
        <w:t>SEGUNDO. Causales de improcedencia y sobreseimiento</w:t>
      </w:r>
      <w:bookmarkEnd w:id="16"/>
      <w:bookmarkEnd w:id="17"/>
    </w:p>
    <w:p w14:paraId="5DE8EFD8" w14:textId="77777777" w:rsidR="00CE58A5" w:rsidRPr="002314BF" w:rsidRDefault="00CE58A5" w:rsidP="00C04044">
      <w:pPr>
        <w:spacing w:after="0" w:line="360" w:lineRule="auto"/>
      </w:pPr>
    </w:p>
    <w:p w14:paraId="4C46253C" w14:textId="77777777" w:rsidR="00CE58A5" w:rsidRPr="002314BF" w:rsidRDefault="00CE4466" w:rsidP="00C04044">
      <w:pPr>
        <w:spacing w:after="0" w:line="360" w:lineRule="auto"/>
      </w:pPr>
      <w:r w:rsidRPr="002314BF">
        <w:t xml:space="preserve">De las constancias que forma parte del Recurso de Revisión que se analiza, se advierte que previo al estudio del fondo de la </w:t>
      </w:r>
      <w:proofErr w:type="spellStart"/>
      <w:r w:rsidRPr="002314BF">
        <w:rPr>
          <w:i/>
        </w:rPr>
        <w:t>litis</w:t>
      </w:r>
      <w:proofErr w:type="spellEnd"/>
      <w:r w:rsidRPr="002314BF">
        <w:t>, es necesario estudiar las causales de improcedencia y sobreseimiento que se adviertan, para determinar lo que en Derecho proceda.</w:t>
      </w:r>
    </w:p>
    <w:p w14:paraId="3A0F3AA0" w14:textId="77777777" w:rsidR="00CE58A5" w:rsidRPr="002314BF" w:rsidRDefault="00CE58A5" w:rsidP="00C04044">
      <w:pPr>
        <w:spacing w:after="0" w:line="360" w:lineRule="auto"/>
      </w:pPr>
    </w:p>
    <w:p w14:paraId="7548DF11" w14:textId="77777777" w:rsidR="00CE58A5" w:rsidRPr="002314BF" w:rsidRDefault="00CE4466" w:rsidP="00C04044">
      <w:pPr>
        <w:spacing w:after="0" w:line="360" w:lineRule="auto"/>
        <w:rPr>
          <w:b/>
        </w:rPr>
      </w:pPr>
      <w:r w:rsidRPr="002314BF">
        <w:rPr>
          <w:b/>
        </w:rPr>
        <w:t>Causales de improcedencia</w:t>
      </w:r>
    </w:p>
    <w:p w14:paraId="0EE1F912" w14:textId="77777777" w:rsidR="001B1903" w:rsidRPr="002314BF" w:rsidRDefault="001B1903" w:rsidP="00C04044">
      <w:pPr>
        <w:spacing w:after="0" w:line="360" w:lineRule="auto"/>
      </w:pPr>
    </w:p>
    <w:p w14:paraId="02D368DF" w14:textId="77777777" w:rsidR="00CE58A5" w:rsidRPr="002314BF" w:rsidRDefault="00CE4466" w:rsidP="00C04044">
      <w:pPr>
        <w:spacing w:after="0" w:line="360" w:lineRule="auto"/>
      </w:pPr>
      <w:r w:rsidRPr="002314BF">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2314BF">
        <w:t>./</w:t>
      </w:r>
      <w:proofErr w:type="gramEnd"/>
      <w:r w:rsidRPr="002314BF">
        <w:t>J. 163/2005</w:t>
      </w:r>
      <w:r w:rsidRPr="002314BF">
        <w:rPr>
          <w:b/>
        </w:rPr>
        <w:t xml:space="preserve"> </w:t>
      </w:r>
      <w:r w:rsidRPr="002314BF">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2314BF" w:rsidRDefault="00CE58A5" w:rsidP="00C04044">
      <w:pPr>
        <w:spacing w:after="0" w:line="360" w:lineRule="auto"/>
      </w:pPr>
    </w:p>
    <w:p w14:paraId="35F10868" w14:textId="77777777" w:rsidR="00CE58A5" w:rsidRPr="002314BF" w:rsidRDefault="00CE4466" w:rsidP="00C04044">
      <w:pPr>
        <w:spacing w:after="0" w:line="360" w:lineRule="auto"/>
      </w:pPr>
      <w:r w:rsidRPr="002314BF">
        <w:t xml:space="preserve">En el presente caso, </w:t>
      </w:r>
      <w:r w:rsidRPr="002314BF">
        <w:rPr>
          <w:b/>
        </w:rPr>
        <w:t>no se actualiza ninguna de las causales de improcedencia</w:t>
      </w:r>
      <w:r w:rsidRPr="002314BF">
        <w:t xml:space="preserve"> establecidas en el ordenamiento jurídico previamente señalado, toda vez que este Instituto no tiene </w:t>
      </w:r>
      <w:r w:rsidRPr="002314BF">
        <w:lastRenderedPageBreak/>
        <w:t>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2314BF" w:rsidRDefault="00CE58A5" w:rsidP="00C04044">
      <w:pPr>
        <w:spacing w:after="0" w:line="360" w:lineRule="auto"/>
        <w:rPr>
          <w:b/>
        </w:rPr>
      </w:pPr>
    </w:p>
    <w:p w14:paraId="701A6972" w14:textId="2B575A28" w:rsidR="00CE58A5" w:rsidRPr="002314BF" w:rsidRDefault="00CE4466" w:rsidP="00C04044">
      <w:pPr>
        <w:spacing w:after="0" w:line="360" w:lineRule="auto"/>
      </w:pPr>
      <w:r w:rsidRPr="002314BF">
        <w:t>Asimismo, se actualiza la causal de procedencia del Recurso de Revisión señal</w:t>
      </w:r>
      <w:r w:rsidR="00D52F9F" w:rsidRPr="002314BF">
        <w:t>ada en el</w:t>
      </w:r>
      <w:r w:rsidR="00C503C4" w:rsidRPr="002314BF">
        <w:t xml:space="preserve"> artículo 179, fracciones </w:t>
      </w:r>
      <w:r w:rsidR="001B1903" w:rsidRPr="002314BF">
        <w:t>V</w:t>
      </w:r>
      <w:r w:rsidRPr="002314BF">
        <w:t xml:space="preserve">, de la Ley en cita, pues la Recurrente se inconformó </w:t>
      </w:r>
      <w:r w:rsidR="001B1903" w:rsidRPr="002314BF">
        <w:t>de la entrega de información incompleta.</w:t>
      </w:r>
    </w:p>
    <w:p w14:paraId="404C2A95" w14:textId="77777777" w:rsidR="00CE58A5" w:rsidRPr="002314BF" w:rsidRDefault="00CE58A5" w:rsidP="00C04044">
      <w:pPr>
        <w:spacing w:after="0" w:line="360" w:lineRule="auto"/>
        <w:rPr>
          <w:b/>
        </w:rPr>
      </w:pPr>
    </w:p>
    <w:p w14:paraId="74D31774" w14:textId="77777777" w:rsidR="00922619" w:rsidRPr="002314BF" w:rsidRDefault="00922619" w:rsidP="00C04044">
      <w:pPr>
        <w:spacing w:after="0" w:line="360" w:lineRule="auto"/>
        <w:ind w:right="-28"/>
        <w:contextualSpacing/>
        <w:rPr>
          <w:rFonts w:eastAsia="Calibri" w:cs="Tahoma"/>
          <w:b/>
          <w:color w:val="auto"/>
          <w:lang w:eastAsia="es-ES_tradnl"/>
        </w:rPr>
      </w:pPr>
      <w:r w:rsidRPr="002314BF">
        <w:rPr>
          <w:rFonts w:eastAsia="Calibri" w:cs="Tahoma"/>
          <w:b/>
          <w:color w:val="auto"/>
          <w:lang w:eastAsia="es-ES_tradnl"/>
        </w:rPr>
        <w:t>Causales de sobreseimiento.</w:t>
      </w:r>
    </w:p>
    <w:p w14:paraId="6137A151" w14:textId="77777777" w:rsidR="00922619" w:rsidRPr="002314BF" w:rsidRDefault="00922619" w:rsidP="00C04044">
      <w:pPr>
        <w:spacing w:after="0" w:line="360" w:lineRule="auto"/>
        <w:ind w:right="-28"/>
        <w:contextualSpacing/>
        <w:rPr>
          <w:rFonts w:eastAsia="Calibri" w:cs="Tahoma"/>
          <w:color w:val="auto"/>
          <w:lang w:eastAsia="es-ES_tradnl"/>
        </w:rPr>
      </w:pPr>
    </w:p>
    <w:p w14:paraId="2E349B16" w14:textId="77777777" w:rsidR="00922619" w:rsidRPr="002314BF" w:rsidRDefault="00922619" w:rsidP="00C04044">
      <w:pPr>
        <w:spacing w:after="0" w:line="360" w:lineRule="auto"/>
        <w:contextualSpacing/>
        <w:rPr>
          <w:rFonts w:eastAsia="Times New Roman" w:cs="Tahoma"/>
          <w:color w:val="auto"/>
          <w:szCs w:val="24"/>
          <w:lang w:eastAsia="es-ES"/>
        </w:rPr>
      </w:pPr>
      <w:r w:rsidRPr="002314BF">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2314BF" w:rsidRDefault="00922619" w:rsidP="00C04044">
      <w:pPr>
        <w:spacing w:after="0" w:line="360" w:lineRule="auto"/>
        <w:contextualSpacing/>
        <w:rPr>
          <w:rFonts w:eastAsia="Times New Roman" w:cs="Tahoma"/>
          <w:color w:val="auto"/>
          <w:szCs w:val="24"/>
          <w:lang w:eastAsia="es-ES"/>
        </w:rPr>
      </w:pPr>
    </w:p>
    <w:p w14:paraId="71F450E3" w14:textId="77777777" w:rsidR="001B1903" w:rsidRPr="002314BF" w:rsidRDefault="001B1903" w:rsidP="001B1903">
      <w:pPr>
        <w:spacing w:after="0" w:line="360" w:lineRule="auto"/>
        <w:rPr>
          <w:rFonts w:eastAsia="Times New Roman" w:cs="Tahoma"/>
          <w:color w:val="auto"/>
          <w:szCs w:val="28"/>
          <w:lang w:eastAsia="es-ES"/>
        </w:rPr>
      </w:pPr>
      <w:r w:rsidRPr="002314BF">
        <w:rPr>
          <w:rFonts w:eastAsia="Times New Roman" w:cs="Tahoma"/>
          <w:color w:val="auto"/>
          <w:szCs w:val="28"/>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 </w:t>
      </w:r>
    </w:p>
    <w:p w14:paraId="44CFF62C" w14:textId="77777777" w:rsidR="001B1903" w:rsidRPr="002314BF" w:rsidRDefault="001B1903" w:rsidP="001B1903">
      <w:pPr>
        <w:spacing w:after="0" w:line="360" w:lineRule="auto"/>
        <w:rPr>
          <w:rFonts w:eastAsia="Times New Roman" w:cs="Tahoma"/>
          <w:color w:val="auto"/>
          <w:szCs w:val="28"/>
          <w:lang w:eastAsia="es-ES"/>
        </w:rPr>
      </w:pPr>
    </w:p>
    <w:p w14:paraId="7923CA6D" w14:textId="77777777" w:rsidR="001B1903" w:rsidRPr="002314BF" w:rsidRDefault="001B1903" w:rsidP="001B1903">
      <w:pPr>
        <w:spacing w:after="0" w:line="360" w:lineRule="auto"/>
        <w:rPr>
          <w:rFonts w:eastAsia="Times New Roman" w:cs="Tahoma"/>
          <w:bCs/>
          <w:color w:val="0D0D0D" w:themeColor="text1" w:themeTint="F2"/>
          <w:lang w:eastAsia="es-ES"/>
        </w:rPr>
      </w:pPr>
      <w:r w:rsidRPr="002314BF">
        <w:rPr>
          <w:rFonts w:eastAsia="Times New Roman" w:cs="Tahoma"/>
          <w:bCs/>
          <w:color w:val="0D0D0D" w:themeColor="text1" w:themeTint="F2"/>
          <w:lang w:eastAsia="es-ES"/>
        </w:rPr>
        <w:t xml:space="preserve">Por tales motivos, se considera procedente entrar al fondo del presente asunto. </w:t>
      </w:r>
    </w:p>
    <w:p w14:paraId="5755F7BD" w14:textId="77777777" w:rsidR="00922619" w:rsidRPr="002314BF" w:rsidRDefault="00922619" w:rsidP="00C04044">
      <w:pPr>
        <w:spacing w:after="0" w:line="360" w:lineRule="auto"/>
        <w:contextualSpacing/>
        <w:rPr>
          <w:rFonts w:eastAsia="Times New Roman" w:cs="Tahoma"/>
          <w:color w:val="auto"/>
          <w:szCs w:val="24"/>
          <w:lang w:eastAsia="es-ES"/>
        </w:rPr>
      </w:pPr>
    </w:p>
    <w:p w14:paraId="1E0EBBE3" w14:textId="77777777" w:rsidR="00CE58A5" w:rsidRPr="002314BF" w:rsidRDefault="00CE4466" w:rsidP="00C04044">
      <w:pPr>
        <w:pStyle w:val="Ttulo2"/>
        <w:spacing w:before="0" w:after="0"/>
      </w:pPr>
      <w:bookmarkStart w:id="18" w:name="_Toc179975603"/>
      <w:bookmarkStart w:id="19" w:name="_Toc192175300"/>
      <w:r w:rsidRPr="002314BF">
        <w:t>TERCERO. Determinación de la Controversia.</w:t>
      </w:r>
      <w:bookmarkEnd w:id="18"/>
      <w:bookmarkEnd w:id="19"/>
      <w:r w:rsidRPr="002314BF">
        <w:t xml:space="preserve"> </w:t>
      </w:r>
    </w:p>
    <w:p w14:paraId="364AB4CE" w14:textId="77777777" w:rsidR="00CE58A5" w:rsidRPr="002314BF" w:rsidRDefault="00CE58A5" w:rsidP="00C04044">
      <w:pPr>
        <w:spacing w:after="0" w:line="360" w:lineRule="auto"/>
        <w:rPr>
          <w:b/>
        </w:rPr>
      </w:pPr>
    </w:p>
    <w:p w14:paraId="0F04ABAE" w14:textId="77777777" w:rsidR="001B1903" w:rsidRPr="002314BF" w:rsidRDefault="00CE4466" w:rsidP="00C04044">
      <w:pPr>
        <w:widowControl w:val="0"/>
        <w:spacing w:after="0" w:line="360" w:lineRule="auto"/>
      </w:pPr>
      <w:r w:rsidRPr="002314BF">
        <w:lastRenderedPageBreak/>
        <w:t xml:space="preserve">Una vez realizado el estudio de las constancias que integran el expediente en que se actúa, se desprende que el Recurrente </w:t>
      </w:r>
      <w:r w:rsidR="001B1903" w:rsidRPr="002314BF">
        <w:t>requirió las</w:t>
      </w:r>
      <w:r w:rsidR="00A83357" w:rsidRPr="002314BF">
        <w:t xml:space="preserve"> </w:t>
      </w:r>
      <w:r w:rsidR="001B1903" w:rsidRPr="002314BF">
        <w:t>A</w:t>
      </w:r>
      <w:r w:rsidR="00A83357" w:rsidRPr="002314BF">
        <w:t xml:space="preserve">ctas </w:t>
      </w:r>
      <w:r w:rsidR="001B1903" w:rsidRPr="002314BF">
        <w:t>de E</w:t>
      </w:r>
      <w:r w:rsidR="00A83357" w:rsidRPr="002314BF">
        <w:t>ntrega</w:t>
      </w:r>
      <w:r w:rsidR="001B1903" w:rsidRPr="002314BF">
        <w:t>-R</w:t>
      </w:r>
      <w:r w:rsidR="00A83357" w:rsidRPr="002314BF">
        <w:t>ecepción</w:t>
      </w:r>
      <w:r w:rsidR="001B1903" w:rsidRPr="002314BF">
        <w:t>,</w:t>
      </w:r>
      <w:r w:rsidR="00A83357" w:rsidRPr="002314BF">
        <w:t xml:space="preserve"> con anexos</w:t>
      </w:r>
      <w:r w:rsidR="001B1903" w:rsidRPr="002314BF">
        <w:t>,</w:t>
      </w:r>
      <w:r w:rsidR="00A83357" w:rsidRPr="002314BF">
        <w:t xml:space="preserve"> de las Direcciones y Jefaturas</w:t>
      </w:r>
      <w:r w:rsidR="0097468B" w:rsidRPr="002314BF">
        <w:t>,</w:t>
      </w:r>
      <w:r w:rsidR="00A83357" w:rsidRPr="002314BF">
        <w:t xml:space="preserve"> </w:t>
      </w:r>
      <w:r w:rsidR="0097468B" w:rsidRPr="002314BF">
        <w:t xml:space="preserve">elaboradas </w:t>
      </w:r>
      <w:r w:rsidR="00A83357" w:rsidRPr="002314BF">
        <w:t>con motivo del inicio de la administración 2025- 2027</w:t>
      </w:r>
      <w:r w:rsidR="0097468B" w:rsidRPr="002314BF">
        <w:t xml:space="preserve">. </w:t>
      </w:r>
    </w:p>
    <w:p w14:paraId="0DD7A81A" w14:textId="77777777" w:rsidR="001B1903" w:rsidRPr="002314BF" w:rsidRDefault="001B1903" w:rsidP="00C04044">
      <w:pPr>
        <w:widowControl w:val="0"/>
        <w:spacing w:after="0" w:line="360" w:lineRule="auto"/>
      </w:pPr>
    </w:p>
    <w:p w14:paraId="0EE1EB02" w14:textId="7455575B" w:rsidR="00514FE7" w:rsidRPr="002314BF" w:rsidRDefault="00473647" w:rsidP="00C04044">
      <w:pPr>
        <w:widowControl w:val="0"/>
        <w:spacing w:after="0" w:line="360" w:lineRule="auto"/>
        <w:rPr>
          <w:color w:val="000000"/>
        </w:rPr>
      </w:pPr>
      <w:r w:rsidRPr="002314BF">
        <w:t xml:space="preserve">En respuesta el Sujeto Obligado </w:t>
      </w:r>
      <w:r w:rsidR="0097468B" w:rsidRPr="002314BF">
        <w:t xml:space="preserve">por medio del Titular del Órgano Interno de Control comunicó que remitía la información solicitada en </w:t>
      </w:r>
      <w:proofErr w:type="spellStart"/>
      <w:r w:rsidR="0097468B" w:rsidRPr="002314BF">
        <w:t>dvd</w:t>
      </w:r>
      <w:proofErr w:type="spellEnd"/>
      <w:r w:rsidR="00A7495B" w:rsidRPr="002314BF">
        <w:rPr>
          <w:color w:val="000000"/>
        </w:rPr>
        <w:t>; an</w:t>
      </w:r>
      <w:r w:rsidR="00F80821" w:rsidRPr="002314BF">
        <w:rPr>
          <w:color w:val="000000"/>
        </w:rPr>
        <w:t>te dicha respuesta, la</w:t>
      </w:r>
      <w:r w:rsidR="00A7495B" w:rsidRPr="002314BF">
        <w:rPr>
          <w:color w:val="000000"/>
        </w:rPr>
        <w:t xml:space="preserve"> Particular se inconformó </w:t>
      </w:r>
      <w:r w:rsidR="001B1903" w:rsidRPr="002314BF">
        <w:rPr>
          <w:color w:val="000000"/>
        </w:rPr>
        <w:t>de que no le habían entregado la información referida en respuesta</w:t>
      </w:r>
      <w:r w:rsidR="00690DEB" w:rsidRPr="002314BF">
        <w:rPr>
          <w:color w:val="000000"/>
        </w:rPr>
        <w:t xml:space="preserve">, </w:t>
      </w:r>
      <w:r w:rsidR="00A7495B" w:rsidRPr="002314BF">
        <w:rPr>
          <w:color w:val="000000"/>
        </w:rPr>
        <w:t xml:space="preserve">lo </w:t>
      </w:r>
      <w:r w:rsidR="00690DEB" w:rsidRPr="002314BF">
        <w:rPr>
          <w:color w:val="000000"/>
        </w:rPr>
        <w:t>cual actualiza el</w:t>
      </w:r>
      <w:r w:rsidR="00A7495B" w:rsidRPr="002314BF">
        <w:rPr>
          <w:color w:val="000000"/>
        </w:rPr>
        <w:t xml:space="preserve"> supuesto de procedencia establecido en el </w:t>
      </w:r>
      <w:r w:rsidR="00690DEB" w:rsidRPr="002314BF">
        <w:rPr>
          <w:color w:val="000000"/>
        </w:rPr>
        <w:t xml:space="preserve">artículo 179, fracción </w:t>
      </w:r>
      <w:r w:rsidR="001B1903" w:rsidRPr="002314BF">
        <w:rPr>
          <w:color w:val="000000"/>
        </w:rPr>
        <w:t>V,</w:t>
      </w:r>
      <w:r w:rsidR="00690DEB" w:rsidRPr="002314BF">
        <w:rPr>
          <w:color w:val="000000"/>
        </w:rPr>
        <w:t xml:space="preserve"> </w:t>
      </w:r>
      <w:r w:rsidR="00A7495B" w:rsidRPr="002314BF">
        <w:rPr>
          <w:color w:val="000000"/>
        </w:rPr>
        <w:t xml:space="preserve">de la Ley de </w:t>
      </w:r>
      <w:r w:rsidR="00400449" w:rsidRPr="002314BF">
        <w:rPr>
          <w:color w:val="000000"/>
        </w:rPr>
        <w:t>trasparencia</w:t>
      </w:r>
      <w:r w:rsidR="00A7495B" w:rsidRPr="002314BF">
        <w:rPr>
          <w:color w:val="000000"/>
        </w:rPr>
        <w:t xml:space="preserve"> local. </w:t>
      </w:r>
      <w:r w:rsidR="00CE4466" w:rsidRPr="002314BF">
        <w:rPr>
          <w:color w:val="000000"/>
        </w:rPr>
        <w:t xml:space="preserve">Así las cosas, una vez admitido y notificado el Recurso de Revisión a las partes, </w:t>
      </w:r>
      <w:r w:rsidR="00400449" w:rsidRPr="002314BF">
        <w:rPr>
          <w:color w:val="000000"/>
        </w:rPr>
        <w:t xml:space="preserve">el Sujeto Obligado </w:t>
      </w:r>
      <w:r w:rsidR="00F80821" w:rsidRPr="002314BF">
        <w:rPr>
          <w:color w:val="000000"/>
        </w:rPr>
        <w:t>ratificó su respuesta.</w:t>
      </w:r>
    </w:p>
    <w:p w14:paraId="2E09C468" w14:textId="77777777" w:rsidR="00514FE7" w:rsidRPr="002314BF" w:rsidRDefault="00514FE7" w:rsidP="00C04044">
      <w:pPr>
        <w:widowControl w:val="0"/>
        <w:spacing w:after="0" w:line="360" w:lineRule="auto"/>
        <w:rPr>
          <w:color w:val="000000"/>
        </w:rPr>
      </w:pPr>
    </w:p>
    <w:p w14:paraId="6DC5D7CF" w14:textId="77777777" w:rsidR="00CE58A5" w:rsidRPr="002314BF" w:rsidRDefault="00CE4466" w:rsidP="00C04044">
      <w:pPr>
        <w:spacing w:after="0" w:line="360" w:lineRule="auto"/>
      </w:pPr>
      <w:r w:rsidRPr="002314BF">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2314BF">
        <w:t>recursal</w:t>
      </w:r>
      <w:proofErr w:type="spellEnd"/>
      <w:r w:rsidRPr="002314BF">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2314BF" w:rsidRDefault="00CE58A5" w:rsidP="00C04044">
      <w:pPr>
        <w:spacing w:after="0" w:line="360" w:lineRule="auto"/>
      </w:pPr>
    </w:p>
    <w:p w14:paraId="276834F4" w14:textId="2C1ED29F" w:rsidR="00CE58A5" w:rsidRPr="002314BF" w:rsidRDefault="00CE4466" w:rsidP="00C04044">
      <w:pPr>
        <w:pStyle w:val="Ttulo2"/>
        <w:spacing w:before="0" w:after="0"/>
      </w:pPr>
      <w:bookmarkStart w:id="20" w:name="_Toc179975604"/>
      <w:bookmarkStart w:id="21" w:name="_Toc192175301"/>
      <w:r w:rsidRPr="002314BF">
        <w:t>CUARTO. Marco normativo aplicable en materia de transparencia y acceso a la información pública</w:t>
      </w:r>
      <w:bookmarkEnd w:id="20"/>
      <w:bookmarkEnd w:id="21"/>
    </w:p>
    <w:p w14:paraId="63C42A96" w14:textId="77777777" w:rsidR="00CE58A5" w:rsidRPr="002314BF" w:rsidRDefault="00CE58A5" w:rsidP="00C04044">
      <w:pPr>
        <w:spacing w:after="0" w:line="360" w:lineRule="auto"/>
        <w:rPr>
          <w:color w:val="000000"/>
        </w:rPr>
      </w:pPr>
    </w:p>
    <w:p w14:paraId="77A2B44D" w14:textId="77777777" w:rsidR="00CE58A5" w:rsidRPr="002314BF" w:rsidRDefault="00CE4466" w:rsidP="00C04044">
      <w:pPr>
        <w:spacing w:after="0" w:line="360" w:lineRule="auto"/>
        <w:rPr>
          <w:color w:val="000000"/>
        </w:rPr>
      </w:pPr>
      <w:r w:rsidRPr="002314BF">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2314BF" w:rsidRDefault="00CE58A5" w:rsidP="00C04044">
      <w:pPr>
        <w:spacing w:after="0" w:line="360" w:lineRule="auto"/>
        <w:rPr>
          <w:color w:val="000000"/>
        </w:rPr>
      </w:pPr>
    </w:p>
    <w:p w14:paraId="6DE9CAE0" w14:textId="77777777" w:rsidR="00CE58A5" w:rsidRPr="002314BF" w:rsidRDefault="00CE4466" w:rsidP="00C04044">
      <w:pPr>
        <w:spacing w:after="0" w:line="360" w:lineRule="auto"/>
        <w:rPr>
          <w:color w:val="000000"/>
        </w:rPr>
      </w:pPr>
      <w:r w:rsidRPr="002314BF">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2314BF" w:rsidRDefault="00922619" w:rsidP="00C04044">
      <w:pPr>
        <w:spacing w:after="0" w:line="360" w:lineRule="auto"/>
        <w:rPr>
          <w:color w:val="000000"/>
        </w:rPr>
      </w:pPr>
    </w:p>
    <w:p w14:paraId="7EFDC0B0" w14:textId="5473D89C" w:rsidR="00CE58A5" w:rsidRPr="002314BF" w:rsidRDefault="00CE4466" w:rsidP="00C04044">
      <w:pPr>
        <w:spacing w:after="0" w:line="360" w:lineRule="auto"/>
        <w:rPr>
          <w:color w:val="000000"/>
        </w:rPr>
      </w:pPr>
      <w:r w:rsidRPr="002314BF">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2314BF" w:rsidRDefault="00CE58A5" w:rsidP="00C04044">
      <w:pPr>
        <w:spacing w:after="0" w:line="360" w:lineRule="auto"/>
        <w:rPr>
          <w:color w:val="000000"/>
        </w:rPr>
      </w:pPr>
    </w:p>
    <w:p w14:paraId="1B6E0455" w14:textId="77777777" w:rsidR="00CE58A5" w:rsidRPr="002314BF" w:rsidRDefault="00CE4466" w:rsidP="00C04044">
      <w:pPr>
        <w:spacing w:after="0" w:line="360" w:lineRule="auto"/>
        <w:rPr>
          <w:color w:val="000000"/>
        </w:rPr>
      </w:pPr>
      <w:r w:rsidRPr="002314BF">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2314BF" w:rsidRDefault="00CE58A5" w:rsidP="00C04044">
      <w:pPr>
        <w:spacing w:after="0" w:line="360" w:lineRule="auto"/>
        <w:rPr>
          <w:color w:val="000000"/>
        </w:rPr>
      </w:pPr>
    </w:p>
    <w:p w14:paraId="79D71702" w14:textId="77777777" w:rsidR="00CE58A5" w:rsidRPr="002314BF" w:rsidRDefault="00CE4466" w:rsidP="00C04044">
      <w:pPr>
        <w:spacing w:after="0" w:line="360" w:lineRule="auto"/>
        <w:rPr>
          <w:color w:val="000000"/>
        </w:rPr>
      </w:pPr>
      <w:r w:rsidRPr="002314BF">
        <w:rPr>
          <w:color w:val="000000"/>
        </w:rPr>
        <w:t>El artículo 12, que, quienes generen, recopilen, administren, manejen, procesen, archiven o conserven información pública serán responsables de la misma.</w:t>
      </w:r>
    </w:p>
    <w:p w14:paraId="5C34EA42" w14:textId="77777777" w:rsidR="00D51406" w:rsidRPr="002314BF" w:rsidRDefault="00D51406" w:rsidP="00C04044">
      <w:pPr>
        <w:spacing w:after="0" w:line="360" w:lineRule="auto"/>
        <w:rPr>
          <w:color w:val="000000"/>
        </w:rPr>
      </w:pPr>
    </w:p>
    <w:p w14:paraId="08B8B529" w14:textId="77777777" w:rsidR="00CE58A5" w:rsidRPr="002314BF" w:rsidRDefault="00CE4466" w:rsidP="00C04044">
      <w:pPr>
        <w:widowControl w:val="0"/>
        <w:spacing w:after="0" w:line="360" w:lineRule="auto"/>
        <w:rPr>
          <w:color w:val="000000"/>
        </w:rPr>
      </w:pPr>
      <w:r w:rsidRPr="002314B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2314BF" w:rsidRDefault="00CE58A5" w:rsidP="00C04044">
      <w:pPr>
        <w:spacing w:after="0" w:line="360" w:lineRule="auto"/>
        <w:rPr>
          <w:color w:val="000000"/>
        </w:rPr>
      </w:pPr>
    </w:p>
    <w:p w14:paraId="7EFDFF6E" w14:textId="77777777" w:rsidR="00CE58A5" w:rsidRPr="002314BF" w:rsidRDefault="00CE4466" w:rsidP="00C04044">
      <w:pPr>
        <w:spacing w:after="0" w:line="360" w:lineRule="auto"/>
        <w:rPr>
          <w:color w:val="000000"/>
        </w:rPr>
      </w:pPr>
      <w:r w:rsidRPr="002314B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2314BF" w:rsidRDefault="00CE58A5" w:rsidP="00C04044">
      <w:pPr>
        <w:spacing w:after="0" w:line="360" w:lineRule="auto"/>
      </w:pPr>
    </w:p>
    <w:p w14:paraId="1DF82A1D" w14:textId="4C40B5A6" w:rsidR="00CE58A5" w:rsidRPr="002314BF" w:rsidRDefault="00CE4466" w:rsidP="00C04044">
      <w:pPr>
        <w:pStyle w:val="Ttulo2"/>
        <w:spacing w:before="0" w:after="0"/>
      </w:pPr>
      <w:bookmarkStart w:id="22" w:name="_Toc179975605"/>
      <w:bookmarkStart w:id="23" w:name="_Toc192175302"/>
      <w:r w:rsidRPr="002314BF">
        <w:rPr>
          <w:caps/>
        </w:rPr>
        <w:lastRenderedPageBreak/>
        <w:t>Quinto.</w:t>
      </w:r>
      <w:r w:rsidRPr="002314BF">
        <w:t xml:space="preserve"> Estudio de Fondo</w:t>
      </w:r>
      <w:bookmarkEnd w:id="22"/>
      <w:bookmarkEnd w:id="23"/>
    </w:p>
    <w:p w14:paraId="547460E4" w14:textId="77777777" w:rsidR="00CE58A5" w:rsidRPr="002314BF" w:rsidRDefault="00CE58A5" w:rsidP="00C04044">
      <w:pPr>
        <w:widowControl w:val="0"/>
        <w:spacing w:after="0" w:line="360" w:lineRule="auto"/>
        <w:rPr>
          <w:color w:val="000000"/>
        </w:rPr>
      </w:pPr>
    </w:p>
    <w:p w14:paraId="0B66168B" w14:textId="77777777" w:rsidR="003B0222" w:rsidRPr="002314BF" w:rsidRDefault="00CE4466" w:rsidP="00C04044">
      <w:pPr>
        <w:widowControl w:val="0"/>
        <w:spacing w:after="0" w:line="360" w:lineRule="auto"/>
        <w:rPr>
          <w:color w:val="000000"/>
        </w:rPr>
      </w:pPr>
      <w:r w:rsidRPr="002314BF">
        <w:rPr>
          <w:color w:val="000000"/>
        </w:rPr>
        <w:t xml:space="preserve">Expuestas las posturas de las partes, se procede al análisis del agravio hecho valer por el Recurrente, concerniente a </w:t>
      </w:r>
      <w:r w:rsidR="004E16CA" w:rsidRPr="002314BF">
        <w:rPr>
          <w:color w:val="000000"/>
        </w:rPr>
        <w:t>la negativa</w:t>
      </w:r>
      <w:r w:rsidR="00B12E36" w:rsidRPr="002314BF">
        <w:rPr>
          <w:color w:val="000000"/>
        </w:rPr>
        <w:t xml:space="preserve"> de la información</w:t>
      </w:r>
      <w:r w:rsidRPr="002314BF">
        <w:t xml:space="preserve">, </w:t>
      </w:r>
      <w:r w:rsidRPr="002314BF">
        <w:rPr>
          <w:color w:val="000000"/>
        </w:rPr>
        <w:t>para lo cual, en principio es necesario contextual</w:t>
      </w:r>
      <w:r w:rsidR="00321F56" w:rsidRPr="002314BF">
        <w:rPr>
          <w:color w:val="000000"/>
        </w:rPr>
        <w:t>izar la solicitud</w:t>
      </w:r>
      <w:r w:rsidR="003B0222" w:rsidRPr="002314BF">
        <w:rPr>
          <w:color w:val="000000"/>
        </w:rPr>
        <w:t>.</w:t>
      </w:r>
    </w:p>
    <w:p w14:paraId="2D452251" w14:textId="77777777" w:rsidR="003B0222" w:rsidRPr="002314BF" w:rsidRDefault="003B0222" w:rsidP="00C04044">
      <w:pPr>
        <w:widowControl w:val="0"/>
        <w:spacing w:after="0" w:line="360" w:lineRule="auto"/>
        <w:rPr>
          <w:color w:val="000000"/>
        </w:rPr>
      </w:pPr>
    </w:p>
    <w:p w14:paraId="4E2F0EAB" w14:textId="77777777" w:rsidR="001729D9" w:rsidRPr="001729D9" w:rsidRDefault="001729D9" w:rsidP="001729D9">
      <w:pPr>
        <w:tabs>
          <w:tab w:val="left" w:pos="4962"/>
        </w:tabs>
        <w:spacing w:after="0" w:line="360" w:lineRule="auto"/>
        <w:rPr>
          <w:rFonts w:eastAsia="Calibri" w:cs="Tahoma"/>
          <w:bCs/>
          <w:color w:val="auto"/>
          <w:lang w:eastAsia="es-ES"/>
        </w:rPr>
      </w:pPr>
      <w:r w:rsidRPr="001729D9">
        <w:rPr>
          <w:rFonts w:eastAsia="Calibri" w:cs="Tahoma"/>
          <w:bCs/>
          <w:color w:val="auto"/>
          <w:lang w:eastAsia="es-ES"/>
        </w:rPr>
        <w:t>Al respecto, el artículo 2°, fracciones I, II, incisos a) y b), IV, XV de los Lineamientos que Norman la Entrega-Recepción de los Ayuntamientos, sus Dependencias, Unidades Administrativas y Entidades de la Administración Pública Municipal del Estado de México”, aplicable, que establecen lo siguiente:</w:t>
      </w:r>
    </w:p>
    <w:p w14:paraId="7E52882A" w14:textId="77777777" w:rsidR="001729D9" w:rsidRPr="001729D9" w:rsidRDefault="001729D9" w:rsidP="001729D9">
      <w:pPr>
        <w:tabs>
          <w:tab w:val="left" w:pos="4962"/>
        </w:tabs>
        <w:spacing w:after="0" w:line="360" w:lineRule="auto"/>
        <w:rPr>
          <w:rFonts w:eastAsia="Calibri" w:cs="Tahoma"/>
          <w:bCs/>
          <w:color w:val="auto"/>
          <w:lang w:eastAsia="es-ES"/>
        </w:rPr>
      </w:pPr>
    </w:p>
    <w:p w14:paraId="3F3EAF7D" w14:textId="77777777" w:rsidR="001729D9" w:rsidRPr="001729D9" w:rsidRDefault="001729D9" w:rsidP="001729D9">
      <w:pPr>
        <w:numPr>
          <w:ilvl w:val="0"/>
          <w:numId w:val="38"/>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Entrega-recepción:</w:t>
      </w:r>
      <w:r w:rsidRPr="001729D9">
        <w:rPr>
          <w:rFonts w:eastAsia="Calibri" w:cs="Tahoma"/>
          <w:bCs/>
          <w:color w:val="auto"/>
          <w:lang w:eastAsia="es-ES"/>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62DF2E8B" w14:textId="77777777" w:rsidR="001729D9" w:rsidRPr="001729D9" w:rsidRDefault="001729D9" w:rsidP="001729D9">
      <w:pPr>
        <w:tabs>
          <w:tab w:val="left" w:pos="4962"/>
        </w:tabs>
        <w:spacing w:after="0" w:line="360" w:lineRule="auto"/>
        <w:ind w:left="720"/>
        <w:contextualSpacing/>
        <w:rPr>
          <w:rFonts w:eastAsia="Calibri" w:cs="Tahoma"/>
          <w:bCs/>
          <w:color w:val="auto"/>
          <w:lang w:eastAsia="es-ES"/>
        </w:rPr>
      </w:pPr>
    </w:p>
    <w:p w14:paraId="2709660F" w14:textId="77777777" w:rsidR="001729D9" w:rsidRPr="001729D9" w:rsidRDefault="001729D9" w:rsidP="001729D9">
      <w:pPr>
        <w:numPr>
          <w:ilvl w:val="0"/>
          <w:numId w:val="38"/>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Acta administrativa:</w:t>
      </w:r>
      <w:r w:rsidRPr="001729D9">
        <w:rPr>
          <w:rFonts w:eastAsia="Calibri" w:cs="Tahoma"/>
          <w:bCs/>
          <w:color w:val="auto"/>
          <w:lang w:eastAsia="es-ES"/>
        </w:rPr>
        <w:t xml:space="preserve"> Al instrumento jurídico donde se hacen constar los hechos, motivos o circunstancias que impidan y/o perturben la celebración del proceso y acto de entrega-recepción del empleo, cargo</w:t>
      </w:r>
      <w:r w:rsidRPr="001729D9">
        <w:rPr>
          <w:rFonts w:ascii="Century Gothic" w:eastAsia="Times New Roman" w:hAnsi="Century Gothic" w:cs="Times New Roman"/>
          <w:color w:val="auto"/>
          <w:szCs w:val="24"/>
          <w:lang w:eastAsia="es-ES"/>
        </w:rPr>
        <w:t xml:space="preserve"> o comisión;</w:t>
      </w:r>
    </w:p>
    <w:p w14:paraId="2E9D25F1" w14:textId="77777777" w:rsidR="001729D9" w:rsidRPr="001729D9" w:rsidRDefault="001729D9" w:rsidP="001729D9">
      <w:pPr>
        <w:tabs>
          <w:tab w:val="left" w:pos="4962"/>
        </w:tabs>
        <w:spacing w:after="0" w:line="360" w:lineRule="auto"/>
        <w:rPr>
          <w:rFonts w:eastAsia="Calibri" w:cs="Tahoma"/>
          <w:bCs/>
          <w:color w:val="auto"/>
          <w:lang w:eastAsia="es-ES"/>
        </w:rPr>
      </w:pPr>
    </w:p>
    <w:p w14:paraId="5DC555E2" w14:textId="77777777" w:rsidR="001729D9" w:rsidRPr="001729D9" w:rsidRDefault="001729D9" w:rsidP="001729D9">
      <w:pPr>
        <w:numPr>
          <w:ilvl w:val="0"/>
          <w:numId w:val="38"/>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Acta entrega - recepción:</w:t>
      </w:r>
      <w:r w:rsidRPr="001729D9">
        <w:rPr>
          <w:rFonts w:eastAsia="Calibri" w:cs="Tahoma"/>
          <w:bCs/>
          <w:color w:val="auto"/>
          <w:lang w:eastAsia="es-ES"/>
        </w:rPr>
        <w:t xml:space="preserve"> Al instrumento jurídico que formaliza el proceso y acto de entrega-recepción entre la persona servidora pública saliente y entrante, sobre los recursos asignados, asuntos a su cargo y el estado que guardan, así como la información </w:t>
      </w:r>
      <w:r w:rsidRPr="001729D9">
        <w:rPr>
          <w:rFonts w:eastAsia="Calibri" w:cs="Tahoma"/>
          <w:bCs/>
          <w:color w:val="auto"/>
          <w:lang w:eastAsia="es-ES"/>
        </w:rPr>
        <w:lastRenderedPageBreak/>
        <w:t xml:space="preserve">documental y electrónica que tenga a su disposición, junto con sus formatos y anexos respectivos. </w:t>
      </w:r>
    </w:p>
    <w:p w14:paraId="767C95F1" w14:textId="77777777" w:rsidR="001729D9" w:rsidRPr="001729D9" w:rsidRDefault="001729D9" w:rsidP="001729D9">
      <w:pPr>
        <w:spacing w:after="0" w:line="240" w:lineRule="auto"/>
        <w:ind w:left="720"/>
        <w:contextualSpacing/>
        <w:jc w:val="left"/>
        <w:rPr>
          <w:rFonts w:eastAsia="Calibri" w:cs="Tahoma"/>
          <w:bCs/>
          <w:color w:val="auto"/>
          <w:lang w:eastAsia="es-ES"/>
        </w:rPr>
      </w:pPr>
    </w:p>
    <w:p w14:paraId="24912C66" w14:textId="77777777" w:rsidR="001729D9" w:rsidRPr="001729D9" w:rsidRDefault="001729D9" w:rsidP="001729D9">
      <w:pPr>
        <w:tabs>
          <w:tab w:val="left" w:pos="4962"/>
        </w:tabs>
        <w:spacing w:after="0" w:line="360" w:lineRule="auto"/>
        <w:ind w:left="720"/>
        <w:contextualSpacing/>
        <w:rPr>
          <w:rFonts w:eastAsia="Calibri" w:cs="Tahoma"/>
          <w:bCs/>
          <w:color w:val="auto"/>
          <w:lang w:eastAsia="es-ES"/>
        </w:rPr>
      </w:pPr>
      <w:r w:rsidRPr="001729D9">
        <w:rPr>
          <w:rFonts w:eastAsia="Calibri" w:cs="Tahoma"/>
          <w:bCs/>
          <w:color w:val="auto"/>
          <w:lang w:eastAsia="es-ES"/>
        </w:rPr>
        <w:t>Las actas de entrega-recepción se clasifican en:</w:t>
      </w:r>
    </w:p>
    <w:p w14:paraId="7061039E" w14:textId="77777777" w:rsidR="001729D9" w:rsidRPr="001729D9" w:rsidRDefault="001729D9" w:rsidP="001729D9">
      <w:pPr>
        <w:tabs>
          <w:tab w:val="left" w:pos="4962"/>
        </w:tabs>
        <w:spacing w:after="0" w:line="360" w:lineRule="auto"/>
        <w:ind w:left="720"/>
        <w:contextualSpacing/>
        <w:rPr>
          <w:rFonts w:eastAsia="Calibri" w:cs="Tahoma"/>
          <w:bCs/>
          <w:color w:val="auto"/>
          <w:lang w:eastAsia="es-ES"/>
        </w:rPr>
      </w:pPr>
    </w:p>
    <w:p w14:paraId="54D4B7F0" w14:textId="77777777" w:rsidR="001729D9" w:rsidRPr="001729D9" w:rsidRDefault="001729D9" w:rsidP="001729D9">
      <w:pPr>
        <w:numPr>
          <w:ilvl w:val="0"/>
          <w:numId w:val="39"/>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Acta Ordinaria de Entrega-recepción del Periodo de Gestión Constitucional Municipal (AER-1):</w:t>
      </w:r>
      <w:r w:rsidRPr="001729D9">
        <w:rPr>
          <w:rFonts w:eastAsia="Calibri" w:cs="Tahoma"/>
          <w:bCs/>
          <w:color w:val="auto"/>
          <w:lang w:eastAsia="es-ES"/>
        </w:rPr>
        <w:t xml:space="preserve"> Instrumento jurídico que deben utilizar las personas servidoras públicas al entregar y recibir un empleo, cargo o comisión, dentro del periodo constitucional municipal o derivado de la culminación de éste. </w:t>
      </w:r>
    </w:p>
    <w:p w14:paraId="7FA14F9F" w14:textId="77777777" w:rsidR="001729D9" w:rsidRPr="001729D9" w:rsidRDefault="001729D9" w:rsidP="001729D9">
      <w:pPr>
        <w:tabs>
          <w:tab w:val="left" w:pos="4962"/>
        </w:tabs>
        <w:spacing w:after="0" w:line="360" w:lineRule="auto"/>
        <w:ind w:left="720"/>
        <w:contextualSpacing/>
        <w:rPr>
          <w:rFonts w:eastAsia="Calibri" w:cs="Tahoma"/>
          <w:bCs/>
          <w:color w:val="auto"/>
          <w:lang w:eastAsia="es-ES"/>
        </w:rPr>
      </w:pPr>
    </w:p>
    <w:p w14:paraId="6A787401" w14:textId="77777777" w:rsidR="001729D9" w:rsidRPr="001729D9" w:rsidRDefault="001729D9" w:rsidP="001729D9">
      <w:pPr>
        <w:numPr>
          <w:ilvl w:val="0"/>
          <w:numId w:val="39"/>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Acta Extraordinaria de Entrega-recepción del Periodo de Gestión Constitucional Municipal (AER2):</w:t>
      </w:r>
      <w:r w:rsidRPr="001729D9">
        <w:rPr>
          <w:rFonts w:eastAsia="Calibri" w:cs="Tahoma"/>
          <w:bCs/>
          <w:color w:val="auto"/>
          <w:lang w:eastAsia="es-ES"/>
        </w:rPr>
        <w:t xml:space="preserve"> Instrumento jurídico que deben utilizar las personas servidoras públicas en los actos de entrega - recepción para la presentación de información por casos fortuitos o de fuerza mayor.</w:t>
      </w:r>
    </w:p>
    <w:p w14:paraId="2A074446" w14:textId="77777777" w:rsidR="001729D9" w:rsidRPr="001729D9" w:rsidRDefault="001729D9" w:rsidP="001729D9">
      <w:pPr>
        <w:spacing w:after="0" w:line="240" w:lineRule="auto"/>
        <w:ind w:left="720"/>
        <w:contextualSpacing/>
        <w:jc w:val="left"/>
        <w:rPr>
          <w:rFonts w:eastAsia="Calibri" w:cs="Tahoma"/>
          <w:bCs/>
          <w:color w:val="auto"/>
          <w:lang w:eastAsia="es-ES"/>
        </w:rPr>
      </w:pPr>
    </w:p>
    <w:p w14:paraId="73D2F935" w14:textId="77777777" w:rsidR="001729D9" w:rsidRPr="001729D9" w:rsidRDefault="001729D9" w:rsidP="001729D9">
      <w:pPr>
        <w:numPr>
          <w:ilvl w:val="0"/>
          <w:numId w:val="38"/>
        </w:numPr>
        <w:tabs>
          <w:tab w:val="left" w:pos="4962"/>
        </w:tabs>
        <w:spacing w:after="0" w:line="360" w:lineRule="auto"/>
        <w:contextualSpacing/>
        <w:rPr>
          <w:rFonts w:eastAsia="Calibri" w:cs="Tahoma"/>
          <w:bCs/>
          <w:color w:val="auto"/>
          <w:lang w:eastAsia="es-ES"/>
        </w:rPr>
      </w:pPr>
      <w:r w:rsidRPr="001729D9">
        <w:rPr>
          <w:rFonts w:eastAsia="Calibri" w:cs="Tahoma"/>
          <w:b/>
          <w:bCs/>
          <w:color w:val="auto"/>
          <w:lang w:eastAsia="es-ES"/>
        </w:rPr>
        <w:t>Anexos:</w:t>
      </w:r>
      <w:r w:rsidRPr="001729D9">
        <w:rPr>
          <w:rFonts w:eastAsia="Calibri" w:cs="Tahoma"/>
          <w:bCs/>
          <w:color w:val="auto"/>
          <w:lang w:eastAsia="es-ES"/>
        </w:rPr>
        <w:t xml:space="preserve"> Al conjunto de documentos impresos o electrónicos que acompañan a las actas o formatos autorizados, derivados de los actos de entrega-recepción.</w:t>
      </w:r>
    </w:p>
    <w:p w14:paraId="61569AE0" w14:textId="77777777" w:rsidR="002314BF" w:rsidRPr="002314BF" w:rsidRDefault="002314BF" w:rsidP="002314BF">
      <w:pPr>
        <w:tabs>
          <w:tab w:val="left" w:pos="4962"/>
        </w:tabs>
        <w:spacing w:after="0" w:line="360" w:lineRule="auto"/>
        <w:ind w:right="539"/>
        <w:rPr>
          <w:rFonts w:eastAsia="Times New Roman" w:cs="Tahoma"/>
          <w:b/>
          <w:i/>
          <w:iCs/>
          <w:color w:val="auto"/>
          <w:lang w:eastAsia="es-ES_tradnl"/>
        </w:rPr>
      </w:pPr>
    </w:p>
    <w:p w14:paraId="52807710" w14:textId="103E926E" w:rsidR="002314BF" w:rsidRPr="002314BF" w:rsidRDefault="002314BF" w:rsidP="002314BF">
      <w:pPr>
        <w:tabs>
          <w:tab w:val="left" w:pos="4962"/>
        </w:tabs>
        <w:spacing w:after="0" w:line="360" w:lineRule="auto"/>
        <w:rPr>
          <w:rFonts w:eastAsia="Times New Roman" w:cs="Tahoma"/>
          <w:iCs/>
          <w:color w:val="auto"/>
          <w:lang w:eastAsia="es-ES_tradnl"/>
        </w:rPr>
      </w:pPr>
      <w:bookmarkStart w:id="24" w:name="_Hlk191464985"/>
      <w:r w:rsidRPr="002314BF">
        <w:rPr>
          <w:rFonts w:eastAsia="Times New Roman" w:cs="Tahoma"/>
          <w:iCs/>
          <w:color w:val="auto"/>
          <w:lang w:eastAsia="es-ES_tradnl"/>
        </w:rPr>
        <w:t xml:space="preserve">Además, el artículo </w:t>
      </w:r>
      <w:r>
        <w:rPr>
          <w:rFonts w:eastAsia="Times New Roman" w:cs="Tahoma"/>
          <w:iCs/>
          <w:color w:val="auto"/>
          <w:lang w:eastAsia="es-ES_tradnl"/>
        </w:rPr>
        <w:t>5</w:t>
      </w:r>
      <w:r w:rsidRPr="002314BF">
        <w:rPr>
          <w:rFonts w:eastAsia="Times New Roman" w:cs="Tahoma"/>
          <w:iCs/>
          <w:color w:val="auto"/>
          <w:lang w:eastAsia="es-ES_tradnl"/>
        </w:rPr>
        <w:t xml:space="preserve">˚ de los Lineamientos citados, establece que </w:t>
      </w:r>
      <w:r>
        <w:rPr>
          <w:rFonts w:eastAsia="Times New Roman" w:cs="Tahoma"/>
          <w:iCs/>
          <w:color w:val="auto"/>
          <w:lang w:eastAsia="es-ES_tradnl"/>
        </w:rPr>
        <w:t>las personas servidores públicas titulares o encargadas de las entidades de la administración pública municipal, hasta el nivel jerárquico correspondiente a jefes de departamento</w:t>
      </w:r>
      <w:r w:rsidR="001729D9">
        <w:rPr>
          <w:rFonts w:eastAsia="Times New Roman" w:cs="Tahoma"/>
          <w:iCs/>
          <w:color w:val="auto"/>
          <w:lang w:eastAsia="es-ES_tradnl"/>
        </w:rPr>
        <w:t xml:space="preserve"> </w:t>
      </w:r>
      <w:r w:rsidR="001729D9" w:rsidRPr="00880F7C">
        <w:rPr>
          <w:rFonts w:eastAsia="Calibri" w:cs="Tahoma"/>
          <w:bCs/>
        </w:rPr>
        <w:t>y las demás personas servidoras públicas que, por la naturaleza e importancia de sus funciones, deban llevar a cabo el proceso y acto de entrega-recepción</w:t>
      </w:r>
      <w:r>
        <w:rPr>
          <w:rFonts w:eastAsia="Times New Roman" w:cs="Tahoma"/>
          <w:iCs/>
          <w:color w:val="auto"/>
          <w:lang w:eastAsia="es-ES_tradnl"/>
        </w:rPr>
        <w:t>, son sujetos obligados a llevar a cabo el proceso y acto de entrega-recepción.</w:t>
      </w:r>
    </w:p>
    <w:bookmarkEnd w:id="24"/>
    <w:p w14:paraId="25648C09" w14:textId="77777777" w:rsidR="002314BF" w:rsidRPr="002314BF" w:rsidRDefault="002314BF" w:rsidP="002314BF">
      <w:pPr>
        <w:tabs>
          <w:tab w:val="left" w:pos="4962"/>
        </w:tabs>
        <w:spacing w:after="0" w:line="360" w:lineRule="auto"/>
        <w:rPr>
          <w:rFonts w:eastAsia="Times New Roman" w:cs="Tahoma"/>
          <w:b/>
          <w:i/>
          <w:iCs/>
          <w:color w:val="auto"/>
          <w:lang w:eastAsia="es-ES_tradnl"/>
        </w:rPr>
      </w:pPr>
    </w:p>
    <w:p w14:paraId="5E6D45ED" w14:textId="77777777" w:rsidR="001729D9" w:rsidRPr="001729D9" w:rsidRDefault="001729D9" w:rsidP="001729D9">
      <w:pPr>
        <w:tabs>
          <w:tab w:val="left" w:pos="4962"/>
        </w:tabs>
        <w:spacing w:after="0" w:line="360" w:lineRule="auto"/>
        <w:rPr>
          <w:rFonts w:eastAsia="Batang" w:cs="Tahoma"/>
          <w:bCs/>
          <w:color w:val="auto"/>
          <w:lang w:eastAsia="es-ES"/>
        </w:rPr>
      </w:pPr>
      <w:r w:rsidRPr="001729D9">
        <w:rPr>
          <w:rFonts w:eastAsia="Times New Roman" w:cs="Tahoma"/>
          <w:iCs/>
          <w:color w:val="auto"/>
          <w:lang w:eastAsia="es-ES_tradnl"/>
        </w:rPr>
        <w:t xml:space="preserve">En ese orden de ideas, el artículo 21 de </w:t>
      </w:r>
      <w:r w:rsidRPr="001729D9">
        <w:rPr>
          <w:rFonts w:eastAsia="Batang" w:cs="Tahoma"/>
          <w:bCs/>
          <w:color w:val="auto"/>
          <w:lang w:eastAsia="es-ES"/>
        </w:rPr>
        <w:t xml:space="preserve">los </w:t>
      </w:r>
      <w:r w:rsidRPr="001729D9">
        <w:rPr>
          <w:rFonts w:eastAsia="Calibri" w:cs="Tahoma"/>
          <w:bCs/>
          <w:color w:val="auto"/>
          <w:lang w:eastAsia="es-ES"/>
        </w:rPr>
        <w:t xml:space="preserve">Lineamientos que Norman la Entrega-Recepción de los Ayuntamientos, sus Dependencias, Unidades Administrativas y Entidades de la </w:t>
      </w:r>
      <w:r w:rsidRPr="001729D9">
        <w:rPr>
          <w:rFonts w:eastAsia="Calibri" w:cs="Tahoma"/>
          <w:bCs/>
          <w:color w:val="auto"/>
          <w:lang w:eastAsia="es-ES"/>
        </w:rPr>
        <w:lastRenderedPageBreak/>
        <w:t>Administración Pública Municipal del Estado de México</w:t>
      </w:r>
      <w:r w:rsidRPr="001729D9">
        <w:rPr>
          <w:rFonts w:eastAsia="Batang" w:cs="Tahoma"/>
          <w:bCs/>
          <w:color w:val="auto"/>
          <w:lang w:eastAsia="es-ES"/>
        </w:rPr>
        <w:t>, precisa que el procedimiento administrativo de entrega-recepción, se realizará cuando el servidor público culmine con el periodo constitucional municipal, o cuando se ausente o separe del empleo, cargo o comisión.</w:t>
      </w:r>
    </w:p>
    <w:p w14:paraId="15AF1BA2" w14:textId="77777777" w:rsidR="002314BF" w:rsidRPr="002314BF" w:rsidRDefault="002314BF" w:rsidP="002314BF">
      <w:pPr>
        <w:spacing w:after="0" w:line="360" w:lineRule="auto"/>
        <w:rPr>
          <w:rFonts w:eastAsia="Times New Roman" w:cs="Tahoma"/>
          <w:iCs/>
          <w:color w:val="auto"/>
          <w:lang w:eastAsia="es-ES"/>
        </w:rPr>
      </w:pPr>
    </w:p>
    <w:p w14:paraId="0DD6EEFF" w14:textId="44DB99AE" w:rsidR="002314BF" w:rsidRPr="002314BF" w:rsidRDefault="002314BF" w:rsidP="00E1369F">
      <w:pPr>
        <w:spacing w:after="0" w:line="360" w:lineRule="auto"/>
        <w:rPr>
          <w:color w:val="000000"/>
        </w:rPr>
      </w:pPr>
      <w:r w:rsidRPr="002314BF">
        <w:rPr>
          <w:rFonts w:eastAsia="Times New Roman" w:cs="Tahoma"/>
          <w:iCs/>
          <w:color w:val="auto"/>
          <w:lang w:eastAsia="es-ES"/>
        </w:rPr>
        <w:t xml:space="preserve">En ese contexto, </w:t>
      </w:r>
      <w:bookmarkStart w:id="25" w:name="_Hlk191465333"/>
      <w:r w:rsidRPr="002314BF">
        <w:rPr>
          <w:rFonts w:eastAsia="Times New Roman" w:cs="Tahoma"/>
          <w:iCs/>
          <w:color w:val="auto"/>
          <w:lang w:eastAsia="es-ES"/>
        </w:rPr>
        <w:t>el artículo 3</w:t>
      </w:r>
      <w:r w:rsidR="00E1369F">
        <w:rPr>
          <w:rFonts w:eastAsia="Times New Roman" w:cs="Tahoma"/>
          <w:iCs/>
          <w:color w:val="auto"/>
          <w:lang w:eastAsia="es-ES"/>
        </w:rPr>
        <w:t>3</w:t>
      </w:r>
      <w:r w:rsidRPr="002314BF">
        <w:rPr>
          <w:rFonts w:eastAsia="Times New Roman" w:cs="Tahoma"/>
          <w:iCs/>
          <w:color w:val="auto"/>
          <w:lang w:eastAsia="es-ES"/>
        </w:rPr>
        <w:t xml:space="preserve"> de los Lineamientos referidos, </w:t>
      </w:r>
      <w:r w:rsidR="00E1369F">
        <w:rPr>
          <w:rFonts w:eastAsia="Times New Roman" w:cs="Tahoma"/>
          <w:iCs/>
          <w:color w:val="auto"/>
          <w:lang w:eastAsia="es-ES"/>
        </w:rPr>
        <w:t>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las actas, formatos y anexos.</w:t>
      </w:r>
    </w:p>
    <w:bookmarkEnd w:id="25"/>
    <w:p w14:paraId="4E0BCA6F" w14:textId="77777777" w:rsidR="00E1369F" w:rsidRPr="002314BF" w:rsidRDefault="00E1369F" w:rsidP="00E33F85">
      <w:pPr>
        <w:tabs>
          <w:tab w:val="left" w:pos="4962"/>
        </w:tabs>
        <w:spacing w:after="0" w:line="360" w:lineRule="auto"/>
        <w:rPr>
          <w:rFonts w:eastAsia="Calibri" w:cs="Tahoma"/>
          <w:iCs/>
          <w:color w:val="auto"/>
          <w:szCs w:val="24"/>
          <w:lang w:eastAsia="es-ES_tradnl"/>
        </w:rPr>
      </w:pPr>
    </w:p>
    <w:p w14:paraId="32F72594" w14:textId="4AF39C23" w:rsidR="00E33F85" w:rsidRPr="002314BF" w:rsidRDefault="00E33F85" w:rsidP="00E33F85">
      <w:pPr>
        <w:tabs>
          <w:tab w:val="left" w:pos="4962"/>
        </w:tabs>
        <w:spacing w:after="0" w:line="360" w:lineRule="auto"/>
        <w:rPr>
          <w:rFonts w:eastAsia="Calibri" w:cs="Tahoma"/>
          <w:iCs/>
          <w:color w:val="auto"/>
          <w:szCs w:val="24"/>
          <w:lang w:eastAsia="es-ES_tradnl"/>
        </w:rPr>
      </w:pPr>
      <w:bookmarkStart w:id="26" w:name="_Hlk191465435"/>
      <w:r w:rsidRPr="002314BF">
        <w:rPr>
          <w:rFonts w:eastAsia="Calibri" w:cs="Tahoma"/>
          <w:iCs/>
          <w:color w:val="auto"/>
          <w:szCs w:val="24"/>
          <w:lang w:eastAsia="es-ES_tradnl"/>
        </w:rPr>
        <w:t xml:space="preserve">Conforme a lo anterior, se logra vislumbrar que la pretensión del ahora Recurrente es </w:t>
      </w:r>
      <w:r w:rsidR="00E1369F" w:rsidRPr="002314BF">
        <w:rPr>
          <w:rFonts w:eastAsia="Calibri" w:cs="Tahoma"/>
          <w:iCs/>
          <w:color w:val="auto"/>
          <w:szCs w:val="24"/>
          <w:lang w:eastAsia="es-ES_tradnl"/>
        </w:rPr>
        <w:t>obtener las</w:t>
      </w:r>
      <w:r w:rsidRPr="002314BF">
        <w:rPr>
          <w:rFonts w:eastAsia="Calibri" w:cs="Tahoma"/>
          <w:iCs/>
          <w:color w:val="auto"/>
          <w:szCs w:val="24"/>
          <w:lang w:eastAsia="es-ES_tradnl"/>
        </w:rPr>
        <w:t xml:space="preserve"> Actas de Entrega-Recepción</w:t>
      </w:r>
      <w:r w:rsidR="00E1369F">
        <w:rPr>
          <w:rFonts w:eastAsia="Calibri" w:cs="Tahoma"/>
          <w:iCs/>
          <w:color w:val="auto"/>
          <w:szCs w:val="24"/>
          <w:lang w:eastAsia="es-ES_tradnl"/>
        </w:rPr>
        <w:t xml:space="preserve"> generadas del primero al quince de enero de dos mil veinticinco,</w:t>
      </w:r>
      <w:r w:rsidRPr="002314BF">
        <w:rPr>
          <w:rFonts w:eastAsia="Calibri" w:cs="Tahoma"/>
          <w:iCs/>
          <w:color w:val="auto"/>
          <w:szCs w:val="24"/>
          <w:lang w:eastAsia="es-ES_tradnl"/>
        </w:rPr>
        <w:t xml:space="preserve"> </w:t>
      </w:r>
      <w:r w:rsidR="00364D1C" w:rsidRPr="002314BF">
        <w:rPr>
          <w:rFonts w:eastAsia="Calibri" w:cs="Tahoma"/>
          <w:iCs/>
          <w:color w:val="auto"/>
          <w:szCs w:val="24"/>
          <w:lang w:eastAsia="es-ES_tradnl"/>
        </w:rPr>
        <w:t xml:space="preserve">con </w:t>
      </w:r>
      <w:r w:rsidR="00E1369F">
        <w:rPr>
          <w:rFonts w:eastAsia="Calibri" w:cs="Tahoma"/>
          <w:iCs/>
          <w:color w:val="auto"/>
          <w:szCs w:val="24"/>
          <w:lang w:eastAsia="es-ES_tradnl"/>
        </w:rPr>
        <w:t xml:space="preserve">sus respectivos </w:t>
      </w:r>
      <w:r w:rsidR="00364D1C" w:rsidRPr="002314BF">
        <w:rPr>
          <w:rFonts w:eastAsia="Calibri" w:cs="Tahoma"/>
          <w:iCs/>
          <w:color w:val="auto"/>
          <w:szCs w:val="24"/>
          <w:lang w:eastAsia="es-ES_tradnl"/>
        </w:rPr>
        <w:t>anexos, de las Direcciones y Jefaturas</w:t>
      </w:r>
      <w:r w:rsidR="00E1369F">
        <w:rPr>
          <w:rFonts w:eastAsia="Calibri" w:cs="Tahoma"/>
          <w:iCs/>
          <w:color w:val="auto"/>
          <w:szCs w:val="24"/>
          <w:lang w:eastAsia="es-ES_tradnl"/>
        </w:rPr>
        <w:t xml:space="preserve"> que conformaban al </w:t>
      </w:r>
      <w:r w:rsidR="007A7811">
        <w:t>Sistema Municipal para el Desarrollo Integral de la Familia de Toluca</w:t>
      </w:r>
    </w:p>
    <w:bookmarkEnd w:id="26"/>
    <w:p w14:paraId="023ADF06" w14:textId="77777777" w:rsidR="00F80821" w:rsidRPr="002314BF" w:rsidRDefault="00F80821" w:rsidP="00C04044">
      <w:pPr>
        <w:spacing w:after="0" w:line="360" w:lineRule="auto"/>
        <w:rPr>
          <w:color w:val="000000"/>
        </w:rPr>
      </w:pPr>
    </w:p>
    <w:p w14:paraId="4130E1A1" w14:textId="37EEB808" w:rsidR="00CE58A5" w:rsidRPr="002314BF" w:rsidRDefault="00E1369F" w:rsidP="00E1369F">
      <w:pPr>
        <w:widowControl w:val="0"/>
        <w:spacing w:after="0" w:line="360" w:lineRule="auto"/>
        <w:rPr>
          <w:color w:val="000000"/>
        </w:rPr>
      </w:pPr>
      <w:r>
        <w:rPr>
          <w:color w:val="000000"/>
        </w:rPr>
        <w:t>Establecido lo anterior</w:t>
      </w:r>
      <w:r w:rsidR="0060513D" w:rsidRPr="002314BF">
        <w:t>, es necesario precisar que de las constancias que obran en el expediente se logra vislumbra</w:t>
      </w:r>
      <w:r w:rsidR="00CC04F2" w:rsidRPr="002314BF">
        <w:t>r que el Sujeto Obligado</w:t>
      </w:r>
      <w:r w:rsidR="0060513D" w:rsidRPr="002314BF">
        <w:t xml:space="preserve">, turnó </w:t>
      </w:r>
      <w:r w:rsidR="003E14BE" w:rsidRPr="002314BF">
        <w:t>la solicitud de información al</w:t>
      </w:r>
      <w:r w:rsidR="0060513D" w:rsidRPr="002314BF">
        <w:t xml:space="preserve"> </w:t>
      </w:r>
      <w:r w:rsidR="00364D1C" w:rsidRPr="002314BF">
        <w:t>Órgano Interno de Control</w:t>
      </w:r>
      <w:r w:rsidR="0060513D" w:rsidRPr="002314BF">
        <w:t>,</w:t>
      </w:r>
      <w:r w:rsidR="00760CA6" w:rsidRPr="002314BF">
        <w:t xml:space="preserve"> </w:t>
      </w:r>
      <w:r w:rsidR="0060513D" w:rsidRPr="002314BF">
        <w:t xml:space="preserve">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w:t>
      </w:r>
      <w:r>
        <w:t>el cual establece que las</w:t>
      </w:r>
      <w:r w:rsidR="00CE4466" w:rsidRPr="002314BF">
        <w:rPr>
          <w:color w:val="000000"/>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Pr>
          <w:color w:val="000000"/>
        </w:rPr>
        <w:t>.</w:t>
      </w:r>
    </w:p>
    <w:p w14:paraId="0B4CA3ED" w14:textId="77777777" w:rsidR="00CE58A5" w:rsidRPr="002314BF" w:rsidRDefault="00CE58A5" w:rsidP="00C04044">
      <w:pPr>
        <w:spacing w:after="0" w:line="360" w:lineRule="auto"/>
      </w:pPr>
    </w:p>
    <w:p w14:paraId="52ED37E8" w14:textId="26AA867D" w:rsidR="002E2C77" w:rsidRPr="002314BF" w:rsidRDefault="00CE4466" w:rsidP="00C04044">
      <w:pPr>
        <w:spacing w:after="0" w:line="360" w:lineRule="auto"/>
        <w:ind w:right="-28"/>
        <w:rPr>
          <w:color w:val="000000"/>
        </w:rPr>
      </w:pPr>
      <w:r w:rsidRPr="002314BF">
        <w:rPr>
          <w:color w:val="000000"/>
        </w:rPr>
        <w:lastRenderedPageBreak/>
        <w:t>Así,</w:t>
      </w:r>
      <w:r w:rsidR="00E763D9" w:rsidRPr="002314BF">
        <w:rPr>
          <w:color w:val="000000"/>
        </w:rPr>
        <w:t xml:space="preserve"> a efecto de verificar que el Sujeto Obligado cumplió con el procedimiento de búsqueda señalado, es necesario traer a colación </w:t>
      </w:r>
      <w:r w:rsidR="00F11C2C" w:rsidRPr="002314BF">
        <w:rPr>
          <w:color w:val="000000"/>
        </w:rPr>
        <w:t xml:space="preserve">el Manual de Organización del Sistema Municipal para el Desarrollo Integral de la Familia de Toluca, que contempla como una de las funciones del Órgano Interno de Control, participar </w:t>
      </w:r>
      <w:r w:rsidR="005C7F7A" w:rsidRPr="002314BF">
        <w:rPr>
          <w:color w:val="000000"/>
        </w:rPr>
        <w:t>directamente</w:t>
      </w:r>
      <w:r w:rsidR="00F11C2C" w:rsidRPr="002314BF">
        <w:rPr>
          <w:color w:val="000000"/>
        </w:rPr>
        <w:t xml:space="preserve"> o designar a un representante en los actos de Entrega</w:t>
      </w:r>
      <w:r w:rsidR="005C7F7A" w:rsidRPr="002314BF">
        <w:rPr>
          <w:color w:val="000000"/>
        </w:rPr>
        <w:t>-Recepción de las Unidades Administrativas del Sistema</w:t>
      </w:r>
      <w:r w:rsidR="00E1369F">
        <w:rPr>
          <w:color w:val="000000"/>
        </w:rPr>
        <w:t>; además, que conforme a los multicitados Lineamientos, tiene el resguardo tanto de las Actas, como de los formatos y anexos.</w:t>
      </w:r>
    </w:p>
    <w:p w14:paraId="71869F1D" w14:textId="77777777" w:rsidR="002E2C77" w:rsidRPr="002314BF" w:rsidRDefault="002E2C77" w:rsidP="00C04044">
      <w:pPr>
        <w:spacing w:after="0" w:line="360" w:lineRule="auto"/>
        <w:ind w:right="-28"/>
        <w:rPr>
          <w:color w:val="000000"/>
        </w:rPr>
      </w:pPr>
    </w:p>
    <w:p w14:paraId="32D86025" w14:textId="77E8505F" w:rsidR="00CE58A5" w:rsidRPr="002314BF" w:rsidRDefault="00CF6EC8" w:rsidP="00C04044">
      <w:pPr>
        <w:spacing w:after="0" w:line="360" w:lineRule="auto"/>
        <w:ind w:right="-28"/>
        <w:rPr>
          <w:color w:val="000000"/>
        </w:rPr>
      </w:pPr>
      <w:r w:rsidRPr="002314BF">
        <w:rPr>
          <w:color w:val="000000"/>
        </w:rPr>
        <w:t>De tal circunstancia</w:t>
      </w:r>
      <w:r w:rsidR="00E763D9" w:rsidRPr="002314BF">
        <w:rPr>
          <w:color w:val="000000"/>
        </w:rPr>
        <w:t>, se advierte que el Sujeto Obligado cumplió con el procedimiento de búsqueda establecido en el artículo 162 de la Ley de Transparencia y Acceso a la Información Pública del Estado de México y Municipios, al gestionar el</w:t>
      </w:r>
      <w:r w:rsidR="00C6112D" w:rsidRPr="002314BF">
        <w:rPr>
          <w:color w:val="000000"/>
        </w:rPr>
        <w:t xml:space="preserve"> re</w:t>
      </w:r>
      <w:r w:rsidR="00152404" w:rsidRPr="002314BF">
        <w:rPr>
          <w:color w:val="000000"/>
        </w:rPr>
        <w:t>querimiento de información al</w:t>
      </w:r>
      <w:r w:rsidR="00E763D9" w:rsidRPr="002314BF">
        <w:rPr>
          <w:color w:val="000000"/>
        </w:rPr>
        <w:t xml:space="preserve"> área </w:t>
      </w:r>
      <w:r w:rsidR="005C7F7A" w:rsidRPr="002314BF">
        <w:rPr>
          <w:color w:val="000000"/>
        </w:rPr>
        <w:t xml:space="preserve">responsable de </w:t>
      </w:r>
      <w:r w:rsidR="00E1369F">
        <w:rPr>
          <w:color w:val="000000"/>
        </w:rPr>
        <w:t>resguardar la información requerida.</w:t>
      </w:r>
    </w:p>
    <w:p w14:paraId="54BFF0BA" w14:textId="77777777" w:rsidR="00DE3BBD" w:rsidRPr="002314BF" w:rsidRDefault="00DE3BBD" w:rsidP="00C04044">
      <w:pPr>
        <w:spacing w:after="0" w:line="360" w:lineRule="auto"/>
        <w:ind w:right="-28"/>
        <w:rPr>
          <w:color w:val="000000"/>
        </w:rPr>
      </w:pPr>
    </w:p>
    <w:p w14:paraId="4E5FC1E0" w14:textId="24638BBA" w:rsidR="00E1369F" w:rsidRDefault="00CE4466" w:rsidP="00C04044">
      <w:pPr>
        <w:spacing w:after="0" w:line="360" w:lineRule="auto"/>
        <w:rPr>
          <w:color w:val="000000"/>
        </w:rPr>
      </w:pPr>
      <w:r w:rsidRPr="002314BF">
        <w:rPr>
          <w:color w:val="000000"/>
        </w:rPr>
        <w:t xml:space="preserve">Ahora bien, </w:t>
      </w:r>
      <w:r w:rsidR="00347EC1" w:rsidRPr="002314BF">
        <w:rPr>
          <w:color w:val="000000"/>
        </w:rPr>
        <w:t>e</w:t>
      </w:r>
      <w:r w:rsidR="002E2C77" w:rsidRPr="002314BF">
        <w:rPr>
          <w:color w:val="000000"/>
        </w:rPr>
        <w:t xml:space="preserve">n respuesta el </w:t>
      </w:r>
      <w:r w:rsidR="005C7F7A" w:rsidRPr="002314BF">
        <w:rPr>
          <w:color w:val="000000"/>
        </w:rPr>
        <w:t xml:space="preserve">Órgano </w:t>
      </w:r>
      <w:r w:rsidR="00C6562F" w:rsidRPr="002314BF">
        <w:rPr>
          <w:color w:val="000000"/>
        </w:rPr>
        <w:t>Interno</w:t>
      </w:r>
      <w:r w:rsidR="005C7F7A" w:rsidRPr="002314BF">
        <w:rPr>
          <w:color w:val="000000"/>
        </w:rPr>
        <w:t xml:space="preserve"> de Control,</w:t>
      </w:r>
      <w:r w:rsidR="00E1369F">
        <w:rPr>
          <w:color w:val="000000"/>
        </w:rPr>
        <w:t xml:space="preserve"> señaló que remitía la información a la Unidad de Transparencia, en formato DVD-r</w:t>
      </w:r>
      <w:r w:rsidR="007A7811">
        <w:rPr>
          <w:color w:val="000000"/>
        </w:rPr>
        <w:t>, tal como se muestra a continuación:</w:t>
      </w:r>
    </w:p>
    <w:p w14:paraId="41B9A250" w14:textId="23EBF072" w:rsidR="00347EC1" w:rsidRPr="002314BF" w:rsidRDefault="005C7F7A" w:rsidP="00C04044">
      <w:pPr>
        <w:spacing w:after="0" w:line="360" w:lineRule="auto"/>
        <w:rPr>
          <w:color w:val="000000"/>
        </w:rPr>
      </w:pPr>
      <w:r w:rsidRPr="002314BF">
        <w:rPr>
          <w:color w:val="000000"/>
        </w:rPr>
        <w:t xml:space="preserve"> </w:t>
      </w:r>
    </w:p>
    <w:p w14:paraId="2958F3D3" w14:textId="4CEF855A" w:rsidR="00347EC1" w:rsidRPr="002314BF" w:rsidRDefault="00C6562F" w:rsidP="00C6562F">
      <w:pPr>
        <w:spacing w:after="0" w:line="360" w:lineRule="auto"/>
        <w:jc w:val="center"/>
        <w:rPr>
          <w:color w:val="000000"/>
        </w:rPr>
      </w:pPr>
      <w:r w:rsidRPr="002314BF">
        <w:rPr>
          <w:noProof/>
          <w:color w:val="000000"/>
        </w:rPr>
        <w:drawing>
          <wp:inline distT="0" distB="0" distL="0" distR="0" wp14:anchorId="1BDB9CAC" wp14:editId="17B22764">
            <wp:extent cx="1878359" cy="5048064"/>
            <wp:effectExtent l="0" t="3493" r="4128" b="4127"/>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957" t="9878" r="16888" b="6777"/>
                    <a:stretch/>
                  </pic:blipFill>
                  <pic:spPr bwMode="auto">
                    <a:xfrm rot="16200000">
                      <a:off x="0" y="0"/>
                      <a:ext cx="1891439" cy="5083216"/>
                    </a:xfrm>
                    <a:prstGeom prst="rect">
                      <a:avLst/>
                    </a:prstGeom>
                    <a:ln>
                      <a:noFill/>
                    </a:ln>
                    <a:extLst>
                      <a:ext uri="{53640926-AAD7-44D8-BBD7-CCE9431645EC}">
                        <a14:shadowObscured xmlns:a14="http://schemas.microsoft.com/office/drawing/2010/main"/>
                      </a:ext>
                    </a:extLst>
                  </pic:spPr>
                </pic:pic>
              </a:graphicData>
            </a:graphic>
          </wp:inline>
        </w:drawing>
      </w:r>
    </w:p>
    <w:p w14:paraId="446C3538" w14:textId="77777777" w:rsidR="00F905E5" w:rsidRPr="002314BF" w:rsidRDefault="00F905E5" w:rsidP="00C6562F">
      <w:pPr>
        <w:spacing w:after="0" w:line="360" w:lineRule="auto"/>
        <w:jc w:val="center"/>
        <w:rPr>
          <w:color w:val="000000"/>
        </w:rPr>
      </w:pPr>
    </w:p>
    <w:p w14:paraId="59299242" w14:textId="37DC2309" w:rsidR="00924D87" w:rsidRPr="002314BF" w:rsidRDefault="00E1369F" w:rsidP="00924D87">
      <w:pPr>
        <w:spacing w:after="0" w:line="360" w:lineRule="auto"/>
        <w:rPr>
          <w:rFonts w:eastAsia="Times New Roman" w:cs="Tahoma"/>
          <w:bCs/>
          <w:lang w:eastAsia="es-ES"/>
        </w:rPr>
      </w:pPr>
      <w:r>
        <w:rPr>
          <w:color w:val="000000"/>
        </w:rPr>
        <w:t>Sin embargo</w:t>
      </w:r>
      <w:r w:rsidR="00F905E5" w:rsidRPr="002314BF">
        <w:rPr>
          <w:color w:val="000000"/>
        </w:rPr>
        <w:t xml:space="preserve">, de las constancias que integran el expediente electrónico, este Instituto pudo verificar que </w:t>
      </w:r>
      <w:r>
        <w:rPr>
          <w:color w:val="000000"/>
        </w:rPr>
        <w:t xml:space="preserve">la Unidad de Transparencia no proporcionó el </w:t>
      </w:r>
      <w:proofErr w:type="spellStart"/>
      <w:r>
        <w:rPr>
          <w:color w:val="000000"/>
        </w:rPr>
        <w:t>anexó</w:t>
      </w:r>
      <w:proofErr w:type="spellEnd"/>
      <w:r>
        <w:rPr>
          <w:color w:val="000000"/>
        </w:rPr>
        <w:t xml:space="preserve"> referido por el Órgano Interno de Control.</w:t>
      </w:r>
    </w:p>
    <w:p w14:paraId="255ECFFD" w14:textId="77777777" w:rsidR="00924D87" w:rsidRPr="002314BF" w:rsidRDefault="00924D87" w:rsidP="00924D87">
      <w:pPr>
        <w:spacing w:after="0" w:line="360" w:lineRule="auto"/>
        <w:rPr>
          <w:rFonts w:eastAsia="Times New Roman" w:cs="Tahoma"/>
          <w:bCs/>
          <w:lang w:eastAsia="es-ES"/>
        </w:rPr>
      </w:pPr>
    </w:p>
    <w:p w14:paraId="13263963" w14:textId="45D4AC78" w:rsidR="00887460" w:rsidRPr="002314BF" w:rsidRDefault="00924D87" w:rsidP="00C04044">
      <w:pPr>
        <w:spacing w:after="0" w:line="360" w:lineRule="auto"/>
        <w:rPr>
          <w:color w:val="000000"/>
        </w:rPr>
      </w:pPr>
      <w:r w:rsidRPr="002314BF">
        <w:rPr>
          <w:rFonts w:eastAsia="Times New Roman" w:cs="Tahoma"/>
          <w:bCs/>
          <w:lang w:eastAsia="es-ES"/>
        </w:rPr>
        <w:t xml:space="preserve">En tal sentido, este </w:t>
      </w:r>
      <w:r w:rsidR="00F85619">
        <w:rPr>
          <w:rFonts w:eastAsia="Times New Roman" w:cs="Tahoma"/>
          <w:bCs/>
          <w:lang w:eastAsia="es-ES"/>
        </w:rPr>
        <w:t>Organismo</w:t>
      </w:r>
      <w:r w:rsidRPr="002314BF">
        <w:rPr>
          <w:rFonts w:eastAsia="Times New Roman" w:cs="Tahoma"/>
          <w:bCs/>
          <w:lang w:eastAsia="es-ES"/>
        </w:rPr>
        <w:t xml:space="preserve"> Garante puede apreciar que</w:t>
      </w:r>
      <w:r w:rsidR="00F85619">
        <w:rPr>
          <w:rFonts w:eastAsia="Times New Roman" w:cs="Tahoma"/>
          <w:bCs/>
          <w:lang w:eastAsia="es-ES"/>
        </w:rPr>
        <w:t xml:space="preserve"> si bien el Órgano Interno de Control, señaló que proporcionaba las Actas de Entrega-Recepción, lo cierto es que se omitió entregar dichas documentales, con sus anexos, p</w:t>
      </w:r>
      <w:r w:rsidRPr="002314BF">
        <w:rPr>
          <w:rFonts w:eastAsia="Times New Roman" w:cs="Tahoma"/>
          <w:bCs/>
          <w:lang w:eastAsia="es-ES"/>
        </w:rPr>
        <w:t xml:space="preserve">or lo que se determina que los agravios devienen de </w:t>
      </w:r>
      <w:r w:rsidRPr="002314BF">
        <w:rPr>
          <w:rFonts w:eastAsia="Times New Roman" w:cs="Tahoma"/>
          <w:b/>
          <w:bCs/>
          <w:lang w:eastAsia="es-ES"/>
        </w:rPr>
        <w:t>FUNDADOS.</w:t>
      </w:r>
      <w:r w:rsidR="00F85619">
        <w:rPr>
          <w:rFonts w:eastAsia="Times New Roman" w:cs="Tahoma"/>
          <w:b/>
          <w:bCs/>
          <w:lang w:eastAsia="es-ES"/>
        </w:rPr>
        <w:t xml:space="preserve"> </w:t>
      </w:r>
      <w:r w:rsidR="00F85619">
        <w:rPr>
          <w:color w:val="000000"/>
        </w:rPr>
        <w:t>Además, es necesario precisar que</w:t>
      </w:r>
      <w:r w:rsidR="00D151C0" w:rsidRPr="002314BF">
        <w:rPr>
          <w:color w:val="000000"/>
        </w:rPr>
        <w:t xml:space="preserve"> vía informe justificado el Sujeto Obligado ratificó su respuesta, sin que tampoco se remitiera ninguna de las actas solicitadas</w:t>
      </w:r>
      <w:r w:rsidR="00F85619">
        <w:rPr>
          <w:color w:val="000000"/>
        </w:rPr>
        <w:t>, por lo que, no se puede tener por atendido el requerimiento de información.</w:t>
      </w:r>
      <w:r w:rsidR="00D151C0" w:rsidRPr="002314BF">
        <w:rPr>
          <w:color w:val="000000"/>
        </w:rPr>
        <w:t xml:space="preserve"> </w:t>
      </w:r>
    </w:p>
    <w:p w14:paraId="5EEDBE75" w14:textId="77777777" w:rsidR="00A01C44" w:rsidRPr="002314BF" w:rsidRDefault="00A01C44" w:rsidP="00C04044">
      <w:pPr>
        <w:spacing w:after="0" w:line="360" w:lineRule="auto"/>
        <w:rPr>
          <w:color w:val="000000"/>
        </w:rPr>
      </w:pPr>
    </w:p>
    <w:p w14:paraId="72C192E0" w14:textId="42E5ECEE" w:rsidR="00C6747F" w:rsidRPr="00C6747F" w:rsidRDefault="00C6747F" w:rsidP="00C6747F">
      <w:pPr>
        <w:spacing w:after="0" w:line="360" w:lineRule="auto"/>
        <w:rPr>
          <w:rFonts w:eastAsia="Times New Roman" w:cs="Tahoma"/>
          <w:color w:val="auto"/>
          <w:lang w:eastAsia="es-ES"/>
        </w:rPr>
      </w:pPr>
      <w:r w:rsidRPr="00C6747F">
        <w:rPr>
          <w:rFonts w:eastAsia="Times New Roman" w:cs="Times New Roman"/>
          <w:color w:val="auto"/>
          <w:lang w:val="es-ES" w:eastAsia="es-ES"/>
        </w:rPr>
        <w:t xml:space="preserve">Por lo expuesto, se considera que el </w:t>
      </w:r>
      <w:r>
        <w:rPr>
          <w:rFonts w:eastAsia="Times New Roman" w:cs="Times New Roman"/>
          <w:color w:val="auto"/>
          <w:lang w:val="es-ES" w:eastAsia="es-ES"/>
        </w:rPr>
        <w:t>Sujeto Obligado</w:t>
      </w:r>
      <w:r w:rsidRPr="00C6747F">
        <w:rPr>
          <w:rFonts w:eastAsia="Times New Roman" w:cs="Times New Roman"/>
          <w:color w:val="auto"/>
          <w:lang w:val="es-ES" w:eastAsia="es-ES"/>
        </w:rPr>
        <w:t xml:space="preserve">, para atender el requerimiento de información, deberá entregar las Actas </w:t>
      </w:r>
      <w:r>
        <w:rPr>
          <w:rFonts w:eastAsia="Times New Roman" w:cs="Times New Roman"/>
          <w:color w:val="auto"/>
          <w:lang w:val="es-ES" w:eastAsia="es-ES"/>
        </w:rPr>
        <w:t>solicitadas</w:t>
      </w:r>
      <w:r w:rsidRPr="00C6747F">
        <w:rPr>
          <w:rFonts w:eastAsia="MS Mincho" w:cs="Arial"/>
          <w:color w:val="000000"/>
          <w:lang w:eastAsia="es-ES"/>
        </w:rPr>
        <w:t xml:space="preserve">; </w:t>
      </w:r>
      <w:r w:rsidRPr="00C6747F">
        <w:rPr>
          <w:rFonts w:eastAsia="Times New Roman" w:cs="Tahoma"/>
          <w:bCs/>
          <w:iCs/>
          <w:color w:val="auto"/>
          <w:lang w:eastAsia="en-US"/>
        </w:rPr>
        <w:t>dicha situación toma sustento en</w:t>
      </w:r>
      <w:r w:rsidRPr="00C6747F">
        <w:rPr>
          <w:rFonts w:eastAsia="Times New Roman" w:cs="Tahoma"/>
          <w:bCs/>
          <w:color w:val="auto"/>
          <w:lang w:eastAsia="en-US"/>
        </w:rPr>
        <w:t xml:space="preserve"> el</w:t>
      </w:r>
      <w:r w:rsidRPr="00C6747F">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72C84F4" w14:textId="77777777" w:rsidR="00C6747F" w:rsidRPr="00C6747F" w:rsidRDefault="00C6747F" w:rsidP="00C6747F">
      <w:pPr>
        <w:tabs>
          <w:tab w:val="left" w:pos="4962"/>
        </w:tabs>
        <w:spacing w:after="0" w:line="360" w:lineRule="auto"/>
        <w:rPr>
          <w:rFonts w:eastAsia="Times New Roman" w:cs="Tahoma"/>
          <w:color w:val="auto"/>
          <w:lang w:eastAsia="es-ES"/>
        </w:rPr>
      </w:pPr>
    </w:p>
    <w:p w14:paraId="51F53591" w14:textId="77777777" w:rsidR="00C6747F" w:rsidRPr="00C6747F" w:rsidRDefault="00C6747F" w:rsidP="00C6747F">
      <w:pPr>
        <w:tabs>
          <w:tab w:val="left" w:pos="4962"/>
        </w:tabs>
        <w:spacing w:after="0" w:line="360" w:lineRule="auto"/>
        <w:rPr>
          <w:rFonts w:eastAsia="Times New Roman" w:cs="Tahoma"/>
          <w:color w:val="auto"/>
          <w:lang w:eastAsia="es-ES"/>
        </w:rPr>
      </w:pPr>
      <w:r w:rsidRPr="00C6747F">
        <w:rPr>
          <w:rFonts w:eastAsia="Times New Roman" w:cs="Tahoma"/>
          <w:color w:val="auto"/>
          <w:lang w:eastAsia="es-ES"/>
        </w:rPr>
        <w:t xml:space="preserve">De esta manera, </w:t>
      </w:r>
      <w:r w:rsidRPr="00C6747F">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C6747F">
        <w:rPr>
          <w:rFonts w:eastAsia="Times New Roman" w:cs="Tahoma"/>
          <w:i/>
          <w:color w:val="auto"/>
          <w:lang w:eastAsia="es-ES"/>
        </w:rPr>
        <w:t>ad hoc</w:t>
      </w:r>
      <w:r w:rsidRPr="00C6747F">
        <w:rPr>
          <w:rFonts w:eastAsia="Times New Roman" w:cs="Tahoma"/>
          <w:color w:val="auto"/>
          <w:lang w:eastAsia="es-E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714ECF8" w14:textId="77777777" w:rsidR="00C6747F" w:rsidRPr="00C6747F" w:rsidRDefault="00C6747F" w:rsidP="00C6747F">
      <w:pPr>
        <w:tabs>
          <w:tab w:val="left" w:pos="4962"/>
        </w:tabs>
        <w:spacing w:after="0" w:line="360" w:lineRule="auto"/>
        <w:rPr>
          <w:rFonts w:eastAsia="Times New Roman" w:cs="Tahoma"/>
          <w:color w:val="auto"/>
          <w:szCs w:val="24"/>
          <w:lang w:val="es-ES" w:eastAsia="es-ES"/>
        </w:rPr>
      </w:pPr>
    </w:p>
    <w:p w14:paraId="08D3B226" w14:textId="00A79DEF" w:rsidR="00C6747F" w:rsidRPr="00C6747F" w:rsidRDefault="00C6747F" w:rsidP="00C6747F">
      <w:pPr>
        <w:spacing w:after="0" w:line="360" w:lineRule="auto"/>
        <w:rPr>
          <w:rFonts w:eastAsia="Times New Roman" w:cs="Tahoma"/>
          <w:iCs/>
          <w:color w:val="auto"/>
          <w:szCs w:val="24"/>
          <w:lang w:eastAsia="es-ES_tradnl"/>
        </w:rPr>
      </w:pPr>
      <w:r w:rsidRPr="00C6747F">
        <w:rPr>
          <w:rFonts w:eastAsia="Times New Roman" w:cs="Tahoma"/>
          <w:color w:val="auto"/>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 </w:t>
      </w:r>
      <w:r w:rsidRPr="00C6747F">
        <w:rPr>
          <w:rFonts w:eastAsia="Times New Roman" w:cs="Tahoma"/>
          <w:color w:val="auto"/>
          <w:lang w:val="es-ES" w:eastAsia="es-ES"/>
        </w:rPr>
        <w:lastRenderedPageBreak/>
        <w:t>proporcionar las Actas de Entrega-Recepción</w:t>
      </w:r>
      <w:r w:rsidRPr="00C6747F">
        <w:rPr>
          <w:rFonts w:eastAsia="Times New Roman" w:cs="Tahoma"/>
          <w:color w:val="auto"/>
          <w:lang w:val="x-none" w:eastAsia="es-ES"/>
        </w:rPr>
        <w:t xml:space="preserve"> </w:t>
      </w:r>
      <w:r w:rsidRPr="00C6747F">
        <w:rPr>
          <w:rFonts w:eastAsia="Times New Roman" w:cs="Tahoma"/>
          <w:color w:val="auto"/>
          <w:lang w:eastAsia="es-ES"/>
        </w:rPr>
        <w:t>generadas</w:t>
      </w:r>
      <w:r>
        <w:rPr>
          <w:rFonts w:eastAsia="Times New Roman" w:cs="Tahoma"/>
          <w:color w:val="auto"/>
          <w:lang w:eastAsia="es-ES"/>
        </w:rPr>
        <w:t xml:space="preserve"> del primero al quince enero de dos mil veinticinco,</w:t>
      </w:r>
      <w:r w:rsidRPr="00C6747F">
        <w:rPr>
          <w:rFonts w:eastAsia="Times New Roman" w:cs="Tahoma"/>
          <w:color w:val="auto"/>
          <w:lang w:eastAsia="es-ES"/>
        </w:rPr>
        <w:t xml:space="preserve"> por </w:t>
      </w:r>
      <w:r>
        <w:rPr>
          <w:rFonts w:eastAsia="Times New Roman" w:cs="Tahoma"/>
          <w:color w:val="auto"/>
          <w:lang w:eastAsia="es-ES"/>
        </w:rPr>
        <w:t>las Direcciones y Jefaturas del Sistema Municipal para el Desarrollo Integral de la Familia de Toluca,</w:t>
      </w:r>
      <w:r w:rsidRPr="00C6747F">
        <w:rPr>
          <w:rFonts w:eastAsia="Times New Roman" w:cs="Tahoma"/>
          <w:iCs/>
          <w:color w:val="auto"/>
          <w:szCs w:val="24"/>
          <w:lang w:eastAsia="es-ES_tradnl"/>
        </w:rPr>
        <w:t xml:space="preserve"> con motivo del cambio de administración</w:t>
      </w:r>
      <w:r>
        <w:rPr>
          <w:rFonts w:eastAsia="Times New Roman" w:cs="Tahoma"/>
          <w:iCs/>
          <w:color w:val="auto"/>
          <w:szCs w:val="24"/>
          <w:lang w:eastAsia="es-ES_tradnl"/>
        </w:rPr>
        <w:t>.</w:t>
      </w:r>
    </w:p>
    <w:p w14:paraId="1A6A7A01" w14:textId="77777777" w:rsidR="00C6747F" w:rsidRDefault="00C6747F" w:rsidP="00C6747F">
      <w:pPr>
        <w:spacing w:after="0" w:line="360" w:lineRule="auto"/>
        <w:rPr>
          <w:rFonts w:eastAsia="Times New Roman" w:cs="Tahoma"/>
          <w:color w:val="0D0D0D" w:themeColor="text1" w:themeTint="F2"/>
          <w:lang w:val="es-ES_tradnl"/>
        </w:rPr>
      </w:pPr>
    </w:p>
    <w:p w14:paraId="7B0351C1" w14:textId="6EF19561" w:rsidR="00C6747F" w:rsidRDefault="00C6747F" w:rsidP="00C6747F">
      <w:pPr>
        <w:spacing w:after="0" w:line="360" w:lineRule="auto"/>
        <w:rPr>
          <w:rFonts w:eastAsia="Times New Roman" w:cs="Tahoma"/>
          <w:color w:val="0D0D0D" w:themeColor="text1" w:themeTint="F2"/>
          <w:lang w:val="es-ES_tradnl"/>
        </w:rPr>
      </w:pPr>
      <w:r>
        <w:rPr>
          <w:rFonts w:eastAsia="Times New Roman" w:cs="Tahoma"/>
          <w:color w:val="0D0D0D" w:themeColor="text1" w:themeTint="F2"/>
          <w:lang w:val="es-ES_tradnl"/>
        </w:rPr>
        <w:t>Ahora bien, el Comité de Transparencia, mediante el Acuerdo SMDT-CT-E01-25-003, clasificó los siguientes datos:</w:t>
      </w:r>
    </w:p>
    <w:p w14:paraId="28EEAAAC" w14:textId="77777777" w:rsidR="00C6747F" w:rsidRPr="00C6747F" w:rsidRDefault="00C6747F" w:rsidP="00C6747F">
      <w:pPr>
        <w:spacing w:after="0" w:line="360" w:lineRule="auto"/>
        <w:rPr>
          <w:rFonts w:eastAsia="Times New Roman" w:cs="Tahoma"/>
          <w:color w:val="0D0D0D" w:themeColor="text1" w:themeTint="F2"/>
          <w:lang w:val="es-ES_tradnl"/>
        </w:rPr>
      </w:pPr>
    </w:p>
    <w:p w14:paraId="01D74146"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Nombre de testigos (servidor público o particulares);</w:t>
      </w:r>
    </w:p>
    <w:p w14:paraId="39EFC3CA"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Clave Única de Registro de Población;</w:t>
      </w:r>
    </w:p>
    <w:p w14:paraId="3E37006A"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Registro Federal de Contribuyentes;</w:t>
      </w:r>
    </w:p>
    <w:p w14:paraId="5F17BFCB"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Código Bidimensional;</w:t>
      </w:r>
    </w:p>
    <w:p w14:paraId="2D25AE0E"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Teléfono particular;</w:t>
      </w:r>
    </w:p>
    <w:p w14:paraId="19932ABA"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Número de clave de elector;</w:t>
      </w:r>
    </w:p>
    <w:p w14:paraId="3DDADAAB" w14:textId="77777777" w:rsidR="00C6747F" w:rsidRPr="00C6747F" w:rsidRDefault="00C6747F" w:rsidP="00C6747F">
      <w:pPr>
        <w:numPr>
          <w:ilvl w:val="0"/>
          <w:numId w:val="33"/>
        </w:numPr>
        <w:spacing w:after="0" w:line="360" w:lineRule="auto"/>
        <w:contextualSpacing/>
        <w:rPr>
          <w:rFonts w:eastAsia="Times New Roman" w:cs="Tahoma"/>
          <w:color w:val="0D0D0D" w:themeColor="text1" w:themeTint="F2"/>
          <w:szCs w:val="24"/>
          <w:lang w:val="es-ES_tradnl"/>
        </w:rPr>
      </w:pPr>
      <w:r w:rsidRPr="00C6747F">
        <w:rPr>
          <w:rFonts w:eastAsia="Times New Roman" w:cs="Tahoma"/>
          <w:color w:val="0D0D0D" w:themeColor="text1" w:themeTint="F2"/>
          <w:szCs w:val="24"/>
          <w:lang w:val="es-ES_tradnl"/>
        </w:rPr>
        <w:t>Firma de servidores públicos o particulares.</w:t>
      </w:r>
    </w:p>
    <w:p w14:paraId="10039556" w14:textId="77777777" w:rsidR="00C6747F" w:rsidRPr="00C6747F" w:rsidRDefault="00C6747F" w:rsidP="00C6747F">
      <w:pPr>
        <w:spacing w:after="0" w:line="360" w:lineRule="auto"/>
        <w:rPr>
          <w:rFonts w:eastAsia="Times New Roman" w:cs="Tahoma"/>
          <w:color w:val="0D0D0D" w:themeColor="text1" w:themeTint="F2"/>
          <w:lang w:val="es-ES_tradnl"/>
        </w:rPr>
      </w:pPr>
    </w:p>
    <w:p w14:paraId="7484B518"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Así, se procede analizar si dichos datos son confidenciales o públicos;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62D050A" w14:textId="77777777" w:rsidR="00C6747F" w:rsidRDefault="00C6747F" w:rsidP="00C6747F">
      <w:pPr>
        <w:spacing w:after="0" w:line="360" w:lineRule="auto"/>
        <w:rPr>
          <w:rFonts w:eastAsia="Times New Roman" w:cs="Tahoma"/>
          <w:iCs/>
          <w:color w:val="auto"/>
          <w:szCs w:val="24"/>
          <w:lang w:eastAsia="es-ES_tradnl"/>
        </w:rPr>
      </w:pPr>
    </w:p>
    <w:p w14:paraId="157387FC"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C348612" w14:textId="77777777" w:rsidR="00C6747F" w:rsidRPr="00C6747F" w:rsidRDefault="00C6747F" w:rsidP="00C6747F">
      <w:pPr>
        <w:spacing w:after="0" w:line="360" w:lineRule="auto"/>
        <w:rPr>
          <w:rFonts w:eastAsia="Times New Roman" w:cs="Tahoma"/>
          <w:bCs/>
          <w:lang w:eastAsia="en-US"/>
        </w:rPr>
      </w:pPr>
    </w:p>
    <w:p w14:paraId="56082ADE"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26167AF" w14:textId="77777777" w:rsidR="00C6747F" w:rsidRPr="00C6747F" w:rsidRDefault="00C6747F" w:rsidP="00C6747F">
      <w:pPr>
        <w:spacing w:after="0" w:line="360" w:lineRule="auto"/>
        <w:rPr>
          <w:rFonts w:eastAsia="Times New Roman" w:cs="Tahoma"/>
          <w:bCs/>
          <w:lang w:eastAsia="en-US"/>
        </w:rPr>
      </w:pPr>
    </w:p>
    <w:p w14:paraId="3DD360AB"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1304D85" w14:textId="77777777" w:rsidR="00C6747F" w:rsidRPr="00C6747F" w:rsidRDefault="00C6747F" w:rsidP="00C6747F">
      <w:pPr>
        <w:spacing w:after="0" w:line="360" w:lineRule="auto"/>
        <w:rPr>
          <w:rFonts w:eastAsia="Times New Roman" w:cs="Tahoma"/>
          <w:bCs/>
          <w:lang w:eastAsia="en-US"/>
        </w:rPr>
      </w:pPr>
    </w:p>
    <w:p w14:paraId="651AD981"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217232C" w14:textId="77777777" w:rsidR="00C6747F" w:rsidRPr="00C6747F" w:rsidRDefault="00C6747F" w:rsidP="00C6747F">
      <w:pPr>
        <w:spacing w:after="0" w:line="360" w:lineRule="auto"/>
        <w:rPr>
          <w:rFonts w:eastAsia="Times New Roman" w:cs="Tahoma"/>
          <w:bCs/>
          <w:lang w:eastAsia="en-US"/>
        </w:rPr>
      </w:pPr>
    </w:p>
    <w:p w14:paraId="5CAD2BBF"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A741347" w14:textId="77777777" w:rsidR="00C6747F" w:rsidRPr="00C6747F" w:rsidRDefault="00C6747F" w:rsidP="00C6747F">
      <w:pPr>
        <w:spacing w:after="0" w:line="360" w:lineRule="auto"/>
        <w:rPr>
          <w:rFonts w:eastAsia="Times New Roman" w:cs="Tahoma"/>
          <w:bCs/>
          <w:lang w:eastAsia="en-US"/>
        </w:rPr>
      </w:pPr>
    </w:p>
    <w:p w14:paraId="52148347"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En términos de lo expuesto, la documentación y aquellos datos que se consideren confidenciales, serán una limitante del derecho de acceso a la información, siempre y cuando:</w:t>
      </w:r>
    </w:p>
    <w:p w14:paraId="77FD17A0" w14:textId="77777777" w:rsidR="00C6747F" w:rsidRPr="00C6747F" w:rsidRDefault="00C6747F" w:rsidP="00C6747F">
      <w:pPr>
        <w:spacing w:after="0" w:line="360" w:lineRule="auto"/>
        <w:rPr>
          <w:rFonts w:eastAsia="Times New Roman" w:cs="Tahoma"/>
          <w:bCs/>
          <w:lang w:eastAsia="en-US"/>
        </w:rPr>
      </w:pPr>
    </w:p>
    <w:p w14:paraId="4380575A" w14:textId="77777777" w:rsidR="00C6747F" w:rsidRPr="00C6747F" w:rsidRDefault="00C6747F" w:rsidP="00C6747F">
      <w:pPr>
        <w:numPr>
          <w:ilvl w:val="0"/>
          <w:numId w:val="34"/>
        </w:numPr>
        <w:spacing w:after="0" w:line="360" w:lineRule="auto"/>
        <w:jc w:val="left"/>
        <w:rPr>
          <w:rFonts w:eastAsia="Times New Roman" w:cs="Tahoma"/>
          <w:bCs/>
          <w:lang w:eastAsia="en-US"/>
        </w:rPr>
      </w:pPr>
      <w:r w:rsidRPr="00C6747F">
        <w:rPr>
          <w:rFonts w:eastAsia="Times New Roman" w:cs="Tahoma"/>
          <w:bCs/>
          <w:lang w:eastAsia="en-US"/>
        </w:rPr>
        <w:t xml:space="preserve">Se trate de datos personales o información privada; esto es, información concerniente a una persona física o jurídico colectiva y que esta sea identificada o identificable. </w:t>
      </w:r>
    </w:p>
    <w:p w14:paraId="03B57A9F" w14:textId="77777777" w:rsidR="00C6747F" w:rsidRPr="00C6747F" w:rsidRDefault="00C6747F" w:rsidP="00C6747F">
      <w:pPr>
        <w:numPr>
          <w:ilvl w:val="0"/>
          <w:numId w:val="34"/>
        </w:numPr>
        <w:spacing w:after="0" w:line="360" w:lineRule="auto"/>
        <w:jc w:val="left"/>
        <w:rPr>
          <w:rFonts w:eastAsia="Times New Roman" w:cs="Tahoma"/>
          <w:bCs/>
          <w:lang w:eastAsia="en-US"/>
        </w:rPr>
      </w:pPr>
      <w:r w:rsidRPr="00C6747F">
        <w:rPr>
          <w:rFonts w:eastAsia="Times New Roman" w:cs="Tahoma"/>
          <w:bCs/>
          <w:lang w:eastAsia="en-US"/>
        </w:rPr>
        <w:t xml:space="preserve">Para la difusión de los datos, se requiera el consentimiento del titular. </w:t>
      </w:r>
    </w:p>
    <w:p w14:paraId="642DCF7F" w14:textId="77777777" w:rsidR="00C6747F" w:rsidRPr="00C6747F" w:rsidRDefault="00C6747F" w:rsidP="00C6747F">
      <w:pPr>
        <w:spacing w:after="0" w:line="360" w:lineRule="auto"/>
        <w:rPr>
          <w:rFonts w:eastAsia="Times New Roman" w:cs="Tahoma"/>
          <w:bCs/>
          <w:lang w:eastAsia="en-US"/>
        </w:rPr>
      </w:pPr>
    </w:p>
    <w:p w14:paraId="4C7E1BA5" w14:textId="77777777" w:rsidR="00C6747F" w:rsidRPr="00C6747F" w:rsidRDefault="00C6747F" w:rsidP="00C6747F">
      <w:pPr>
        <w:spacing w:after="0" w:line="360" w:lineRule="auto"/>
        <w:rPr>
          <w:rFonts w:eastAsia="Times New Roman" w:cs="Tahoma"/>
          <w:bCs/>
          <w:lang w:eastAsia="en-US"/>
        </w:rPr>
      </w:pPr>
      <w:r w:rsidRPr="00C6747F">
        <w:rPr>
          <w:rFonts w:eastAsia="Times New Roman" w:cs="Tahoma"/>
          <w:bCs/>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2C0282E" w14:textId="77777777" w:rsidR="00C6747F" w:rsidRDefault="00C6747F" w:rsidP="00C6747F">
      <w:pPr>
        <w:spacing w:after="0" w:line="360" w:lineRule="auto"/>
        <w:rPr>
          <w:rFonts w:eastAsia="Times New Roman" w:cs="Tahoma"/>
          <w:iCs/>
          <w:color w:val="auto"/>
          <w:szCs w:val="24"/>
          <w:lang w:eastAsia="es-ES_tradnl"/>
        </w:rPr>
      </w:pPr>
    </w:p>
    <w:p w14:paraId="055293A1" w14:textId="77777777" w:rsidR="007A7811" w:rsidRPr="007A7811" w:rsidRDefault="007A7811" w:rsidP="007A7811">
      <w:pPr>
        <w:spacing w:after="0" w:line="360" w:lineRule="auto"/>
        <w:rPr>
          <w:rFonts w:eastAsia="Times New Roman" w:cs="Tahoma"/>
          <w:bCs/>
          <w:lang w:eastAsia="en-US"/>
        </w:rPr>
      </w:pPr>
      <w:r w:rsidRPr="007A7811">
        <w:rPr>
          <w:rFonts w:eastAsia="Times New Roman"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4BF63438" w14:textId="77777777" w:rsidR="007A7811" w:rsidRPr="007A7811" w:rsidRDefault="007A7811" w:rsidP="007A7811">
      <w:pPr>
        <w:spacing w:after="0" w:line="360" w:lineRule="auto"/>
        <w:rPr>
          <w:rFonts w:eastAsia="Times New Roman" w:cs="Tahoma"/>
          <w:bCs/>
          <w:lang w:eastAsia="en-US"/>
        </w:rPr>
      </w:pPr>
    </w:p>
    <w:p w14:paraId="3F3E330B" w14:textId="77777777" w:rsidR="007A7811" w:rsidRPr="007A7811" w:rsidRDefault="007A7811" w:rsidP="007A7811">
      <w:pPr>
        <w:numPr>
          <w:ilvl w:val="0"/>
          <w:numId w:val="35"/>
        </w:numPr>
        <w:spacing w:after="0" w:line="360" w:lineRule="auto"/>
        <w:jc w:val="left"/>
        <w:rPr>
          <w:rFonts w:eastAsia="Times New Roman" w:cs="Tahoma"/>
          <w:bCs/>
          <w:lang w:eastAsia="en-US"/>
        </w:rPr>
      </w:pPr>
      <w:r w:rsidRPr="007A7811">
        <w:rPr>
          <w:rFonts w:eastAsia="Times New Roman" w:cs="Tahoma"/>
          <w:b/>
          <w:lang w:eastAsia="en-US"/>
        </w:rPr>
        <w:t>Nombre de testigos (particulares o servidores públicos).</w:t>
      </w:r>
    </w:p>
    <w:p w14:paraId="5038F9A6" w14:textId="77777777" w:rsidR="007A7811" w:rsidRPr="007A7811" w:rsidRDefault="007A7811" w:rsidP="007A7811">
      <w:pPr>
        <w:spacing w:after="0" w:line="360" w:lineRule="auto"/>
        <w:rPr>
          <w:rFonts w:eastAsia="Times New Roman" w:cs="Tahoma"/>
          <w:bCs/>
          <w:lang w:eastAsia="en-US"/>
        </w:rPr>
      </w:pPr>
    </w:p>
    <w:p w14:paraId="34CE282D" w14:textId="77777777" w:rsidR="007A7811" w:rsidRPr="007A7811" w:rsidRDefault="007A7811" w:rsidP="007A7811">
      <w:pPr>
        <w:spacing w:after="0" w:line="360" w:lineRule="auto"/>
        <w:rPr>
          <w:rFonts w:eastAsia="Times New Roman" w:cs="Tahoma"/>
          <w:b/>
          <w:lang w:eastAsia="en-US"/>
        </w:rPr>
      </w:pPr>
      <w:r w:rsidRPr="007A7811">
        <w:rPr>
          <w:rFonts w:eastAsia="Times New Roman" w:cs="Tahoma"/>
          <w:b/>
          <w:lang w:eastAsia="en-US"/>
        </w:rPr>
        <w:t>Particular</w:t>
      </w:r>
    </w:p>
    <w:p w14:paraId="63E81C24" w14:textId="77777777" w:rsidR="007A7811" w:rsidRPr="007A7811" w:rsidRDefault="007A7811" w:rsidP="007A7811">
      <w:pPr>
        <w:spacing w:after="0" w:line="360" w:lineRule="auto"/>
        <w:rPr>
          <w:rFonts w:eastAsia="Times New Roman" w:cs="Tahoma"/>
          <w:bCs/>
          <w:lang w:eastAsia="en-US"/>
        </w:rPr>
      </w:pPr>
    </w:p>
    <w:p w14:paraId="5A8C6A17" w14:textId="77777777" w:rsidR="007A7811" w:rsidRPr="007A7811" w:rsidRDefault="007A7811" w:rsidP="007A7811">
      <w:pPr>
        <w:spacing w:after="0" w:line="360" w:lineRule="auto"/>
        <w:ind w:right="-93"/>
        <w:rPr>
          <w:rFonts w:eastAsia="Times New Roman" w:cs="Tahoma"/>
          <w:b/>
          <w:bCs/>
          <w:color w:val="auto"/>
          <w:lang w:val="es-ES_tradnl" w:eastAsia="en-US"/>
        </w:rPr>
      </w:pPr>
      <w:r w:rsidRPr="007A7811">
        <w:rPr>
          <w:rFonts w:eastAsia="Times New Roman" w:cs="Tahoma"/>
          <w:bCs/>
          <w:color w:val="auto"/>
          <w:lang w:eastAsia="en-US"/>
        </w:rPr>
        <w:t xml:space="preserve">Al respecto, se considera que el nombre de una persona se integra </w:t>
      </w:r>
      <w:r w:rsidRPr="007A7811">
        <w:rPr>
          <w:rFonts w:eastAsia="Times New Roman" w:cs="Tahoma"/>
          <w:bCs/>
          <w:color w:val="auto"/>
          <w:lang w:val="es-ES_tradnl" w:eastAsia="en-US"/>
        </w:rPr>
        <w:t xml:space="preserve">con el sustantivo propio y el primer apellido de los padres, en el orden que, de común acuerdo determinen; asimismo es la </w:t>
      </w:r>
      <w:r w:rsidRPr="007A7811">
        <w:rPr>
          <w:rFonts w:eastAsia="Times New Roman" w:cs="Tahoma"/>
          <w:bCs/>
          <w:color w:val="auto"/>
          <w:lang w:val="es-ES_tradnl" w:eastAsia="en-US"/>
        </w:rPr>
        <w:lastRenderedPageBreak/>
        <w:t xml:space="preserve">manifestación principal del derecho subjetivo a la personalidad y atributo de esta en términos del artículo 2.3 del Código Civil del Estado de México, de tal suerte, el nombre </w:t>
      </w:r>
      <w:r w:rsidRPr="007A7811">
        <w:rPr>
          <w:rFonts w:eastAsia="Times New Roman" w:cs="Tahoma"/>
          <w:bCs/>
          <w:i/>
          <w:color w:val="auto"/>
          <w:lang w:val="es-ES_tradnl" w:eastAsia="en-US"/>
        </w:rPr>
        <w:t>per se</w:t>
      </w:r>
      <w:r w:rsidRPr="007A7811">
        <w:rPr>
          <w:rFonts w:eastAsia="Times New Roman" w:cs="Tahoma"/>
          <w:bCs/>
          <w:color w:val="auto"/>
          <w:lang w:val="es-ES_tradnl" w:eastAsia="en-US"/>
        </w:rPr>
        <w:t xml:space="preserve"> es un elemento que hace a una persona física identificada o identificable, por lo que, </w:t>
      </w:r>
      <w:r w:rsidRPr="007A7811">
        <w:rPr>
          <w:rFonts w:eastAsia="Times New Roman" w:cs="Tahoma"/>
          <w:b/>
          <w:bCs/>
          <w:color w:val="auto"/>
          <w:lang w:val="es-ES_tradnl" w:eastAsia="en-US"/>
        </w:rPr>
        <w:t>se considera un dato personal.</w:t>
      </w:r>
    </w:p>
    <w:p w14:paraId="57CEEC77" w14:textId="77777777" w:rsidR="007A7811" w:rsidRPr="007A7811" w:rsidRDefault="007A7811" w:rsidP="007A7811">
      <w:pPr>
        <w:spacing w:after="0" w:line="360" w:lineRule="auto"/>
        <w:ind w:right="-93"/>
        <w:rPr>
          <w:rFonts w:eastAsia="Times New Roman" w:cs="Tahoma"/>
          <w:b/>
          <w:bCs/>
          <w:color w:val="auto"/>
          <w:lang w:val="es-ES_tradnl" w:eastAsia="en-US"/>
        </w:rPr>
      </w:pPr>
    </w:p>
    <w:p w14:paraId="38527197" w14:textId="77777777" w:rsidR="007A7811" w:rsidRDefault="007A7811" w:rsidP="007A7811">
      <w:pPr>
        <w:spacing w:after="0" w:line="360" w:lineRule="auto"/>
        <w:rPr>
          <w:rFonts w:eastAsia="Times New Roman" w:cs="Tahoma"/>
          <w:color w:val="auto"/>
          <w:lang w:val="es-ES" w:eastAsia="es-ES"/>
        </w:rPr>
      </w:pPr>
      <w:r w:rsidRPr="007A7811">
        <w:rPr>
          <w:rFonts w:eastAsia="Times New Roman" w:cs="Tahoma"/>
          <w:color w:val="auto"/>
          <w:lang w:val="es-ES" w:eastAsia="es-ES"/>
        </w:rPr>
        <w:t>En el presente caso, es de referir que el nombre corresponde a una persona particular que fungió como testigo para el servidor público entrante o saliente, y que no tiene relación alguna con el Ayuntamiento, por lo que, se considera que el dato actualiza la causal de clasificación, establecida en el artículo 143, fracción I, de la Ley de la materia.</w:t>
      </w:r>
    </w:p>
    <w:p w14:paraId="480572C0" w14:textId="77777777" w:rsidR="007A7811" w:rsidRPr="007A7811" w:rsidRDefault="007A7811" w:rsidP="007A7811">
      <w:pPr>
        <w:spacing w:after="0" w:line="360" w:lineRule="auto"/>
        <w:rPr>
          <w:rFonts w:eastAsia="Times New Roman" w:cs="Tahoma"/>
          <w:color w:val="auto"/>
          <w:lang w:val="es-ES" w:eastAsia="es-ES"/>
        </w:rPr>
      </w:pPr>
    </w:p>
    <w:p w14:paraId="4DDC77F6" w14:textId="140FFF40" w:rsidR="007A7811" w:rsidRPr="007A7811" w:rsidRDefault="007A7811" w:rsidP="007A7811">
      <w:pPr>
        <w:spacing w:after="0" w:line="360" w:lineRule="auto"/>
        <w:rPr>
          <w:rFonts w:eastAsia="Times New Roman" w:cs="Tahoma"/>
          <w:b/>
          <w:lang w:eastAsia="en-US"/>
        </w:rPr>
      </w:pPr>
      <w:r w:rsidRPr="007A7811">
        <w:rPr>
          <w:rFonts w:eastAsia="Times New Roman" w:cs="Tahoma"/>
          <w:b/>
          <w:lang w:eastAsia="en-US"/>
        </w:rPr>
        <w:t>Servidor Público</w:t>
      </w:r>
    </w:p>
    <w:p w14:paraId="1DF2E47F" w14:textId="77777777" w:rsidR="007A7811" w:rsidRPr="007A7811" w:rsidRDefault="007A7811" w:rsidP="007A7811">
      <w:pPr>
        <w:spacing w:after="0" w:line="360" w:lineRule="auto"/>
        <w:rPr>
          <w:rFonts w:eastAsia="Times New Roman" w:cs="Tahoma"/>
          <w:b/>
          <w:lang w:eastAsia="en-US"/>
        </w:rPr>
      </w:pPr>
    </w:p>
    <w:p w14:paraId="0A34A499" w14:textId="77777777" w:rsidR="007A7811" w:rsidRPr="007A7811" w:rsidRDefault="007A7811" w:rsidP="007A7811">
      <w:pPr>
        <w:spacing w:after="0" w:line="360" w:lineRule="auto"/>
        <w:ind w:right="-93"/>
        <w:rPr>
          <w:rFonts w:eastAsia="Times New Roman" w:cs="Tahoma"/>
          <w:bCs/>
          <w:color w:val="auto"/>
          <w:lang w:val="es-ES_tradnl" w:eastAsia="en-US"/>
        </w:rPr>
      </w:pPr>
      <w:r w:rsidRPr="007A7811">
        <w:rPr>
          <w:rFonts w:eastAsia="Times New Roman" w:cs="Tahoma"/>
          <w:bCs/>
          <w:color w:val="auto"/>
          <w:lang w:val="es-ES_tradnl" w:eastAsia="en-US"/>
        </w:rPr>
        <w:t>Al respecto,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los nombres de servidores públicos, ya que la difusión de dicho dato constituye una obligación de transparencia por parte de los sujetos obligados.</w:t>
      </w:r>
    </w:p>
    <w:p w14:paraId="209B277F" w14:textId="77777777" w:rsidR="007A7811" w:rsidRPr="007A7811" w:rsidRDefault="007A7811" w:rsidP="007A7811">
      <w:pPr>
        <w:spacing w:after="0" w:line="360" w:lineRule="auto"/>
        <w:ind w:right="-93"/>
        <w:rPr>
          <w:rFonts w:eastAsia="Times New Roman" w:cs="Tahoma"/>
          <w:bCs/>
          <w:color w:val="auto"/>
          <w:lang w:val="es-ES_tradnl" w:eastAsia="en-US"/>
        </w:rPr>
      </w:pPr>
    </w:p>
    <w:p w14:paraId="7B470987" w14:textId="77777777" w:rsidR="007A7811" w:rsidRPr="007A7811" w:rsidRDefault="007A7811" w:rsidP="007A7811">
      <w:pPr>
        <w:spacing w:after="0" w:line="360" w:lineRule="auto"/>
        <w:ind w:right="-93"/>
        <w:rPr>
          <w:rFonts w:eastAsia="Times New Roman" w:cs="Tahoma"/>
          <w:b/>
          <w:bCs/>
          <w:color w:val="auto"/>
          <w:lang w:val="es-ES_tradnl" w:eastAsia="en-US"/>
        </w:rPr>
      </w:pPr>
      <w:r w:rsidRPr="007A7811">
        <w:rPr>
          <w:rFonts w:eastAsia="Times New Roman" w:cs="Tahoma"/>
          <w:bCs/>
          <w:color w:val="auto"/>
          <w:lang w:val="es-ES_tradnl" w:eastAsia="en-US"/>
        </w:rPr>
        <w:t xml:space="preserve">Lo anterior, toma sustento con el artículo 70, fracción VII, de la Ley General de Transparencia y Acceso a la Información Pública y el 92, fracción VII, de la Ley de Transparencia y Acceso a la Información Pública del Estado de México y Municipios,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7A7811">
        <w:rPr>
          <w:rFonts w:eastAsia="Times New Roman" w:cs="Tahoma"/>
          <w:b/>
          <w:bCs/>
          <w:color w:val="auto"/>
          <w:lang w:val="es-ES_tradnl" w:eastAsia="en-US"/>
        </w:rPr>
        <w:t>el nombre del servidor público.</w:t>
      </w:r>
    </w:p>
    <w:p w14:paraId="6F456A70" w14:textId="77777777" w:rsidR="007A7811" w:rsidRPr="007A7811" w:rsidRDefault="007A7811" w:rsidP="007A7811">
      <w:pPr>
        <w:spacing w:after="0" w:line="360" w:lineRule="auto"/>
        <w:ind w:right="-93"/>
        <w:rPr>
          <w:rFonts w:eastAsia="Times New Roman" w:cs="Tahoma"/>
          <w:b/>
          <w:bCs/>
          <w:color w:val="auto"/>
          <w:lang w:val="es-ES_tradnl" w:eastAsia="en-US"/>
        </w:rPr>
      </w:pPr>
    </w:p>
    <w:p w14:paraId="55114831" w14:textId="77777777" w:rsidR="007A7811" w:rsidRPr="007A7811" w:rsidRDefault="007A7811" w:rsidP="007A7811">
      <w:pPr>
        <w:spacing w:after="0" w:line="360" w:lineRule="auto"/>
        <w:ind w:right="-93"/>
        <w:rPr>
          <w:rFonts w:eastAsia="Times New Roman" w:cs="Tahoma"/>
          <w:bCs/>
          <w:color w:val="auto"/>
          <w:lang w:val="es-ES_tradnl" w:eastAsia="en-US"/>
        </w:rPr>
      </w:pPr>
      <w:r w:rsidRPr="007A7811">
        <w:rPr>
          <w:rFonts w:eastAsia="Times New Roman" w:cs="Tahoma"/>
          <w:bCs/>
          <w:color w:val="auto"/>
          <w:lang w:val="es-ES_tradnl" w:eastAsia="en-US"/>
        </w:rPr>
        <w:lastRenderedPageBreak/>
        <w:t xml:space="preserve">Por lo tanto, las Leyes de Transparencia, considera que </w:t>
      </w:r>
      <w:r w:rsidRPr="007A7811">
        <w:rPr>
          <w:rFonts w:eastAsia="Times New Roman" w:cs="Tahoma"/>
          <w:b/>
          <w:bCs/>
          <w:color w:val="auto"/>
          <w:lang w:val="es-ES_tradnl" w:eastAsia="en-US"/>
        </w:rPr>
        <w:t xml:space="preserve">los datos, como el nombre de servidores públicos, por regla general, </w:t>
      </w:r>
      <w:r w:rsidRPr="007A7811">
        <w:rPr>
          <w:rFonts w:eastAsia="Times New Roman" w:cs="Tahoma"/>
          <w:bCs/>
          <w:color w:val="auto"/>
          <w:lang w:val="es-ES_tradnl" w:eastAsia="en-US"/>
        </w:rPr>
        <w:t>son de naturaleza pública, ya que su publicidad orienta a cumplir los objetivos que persigue la Ley y, por lo tanto, no procede la clasificación en términos del artículo 143, fracción I, de la Ley Local.</w:t>
      </w:r>
    </w:p>
    <w:p w14:paraId="130B633C" w14:textId="77777777" w:rsidR="007A7811" w:rsidRPr="007A7811" w:rsidRDefault="007A7811" w:rsidP="007A7811">
      <w:pPr>
        <w:spacing w:after="0" w:line="360" w:lineRule="auto"/>
        <w:rPr>
          <w:rFonts w:eastAsia="Times New Roman" w:cs="Tahoma"/>
          <w:b/>
          <w:lang w:eastAsia="en-US"/>
        </w:rPr>
      </w:pPr>
    </w:p>
    <w:p w14:paraId="36EAA9B2" w14:textId="44C00960" w:rsidR="007A7811" w:rsidRPr="007A7811" w:rsidRDefault="007A7811" w:rsidP="007A7811">
      <w:pPr>
        <w:numPr>
          <w:ilvl w:val="0"/>
          <w:numId w:val="35"/>
        </w:numPr>
        <w:spacing w:after="0" w:line="360" w:lineRule="auto"/>
        <w:contextualSpacing/>
        <w:jc w:val="left"/>
        <w:rPr>
          <w:rFonts w:eastAsia="Times New Roman" w:cs="Tahoma"/>
          <w:b/>
          <w:bCs/>
          <w:color w:val="auto"/>
          <w:lang w:eastAsia="en-US"/>
        </w:rPr>
      </w:pPr>
      <w:r w:rsidRPr="007A7811">
        <w:rPr>
          <w:rFonts w:eastAsia="Times New Roman" w:cs="Tahoma"/>
          <w:b/>
          <w:bCs/>
          <w:color w:val="auto"/>
          <w:lang w:eastAsia="en-US"/>
        </w:rPr>
        <w:t>Domicilio particular, así como, para recibir todo tipo de notificaciones</w:t>
      </w:r>
    </w:p>
    <w:p w14:paraId="637CF4A4" w14:textId="77777777" w:rsidR="007A7811" w:rsidRPr="007A7811" w:rsidRDefault="007A7811" w:rsidP="007A7811">
      <w:pPr>
        <w:spacing w:after="0" w:line="360" w:lineRule="auto"/>
        <w:ind w:left="720"/>
        <w:contextualSpacing/>
        <w:jc w:val="left"/>
        <w:rPr>
          <w:rFonts w:eastAsia="Times New Roman" w:cs="Tahoma"/>
          <w:b/>
          <w:bCs/>
          <w:color w:val="auto"/>
          <w:lang w:eastAsia="en-US"/>
        </w:rPr>
      </w:pPr>
    </w:p>
    <w:p w14:paraId="4BC235C2" w14:textId="77777777" w:rsidR="007A7811" w:rsidRPr="007A7811" w:rsidRDefault="007A7811" w:rsidP="007A7811">
      <w:pPr>
        <w:spacing w:after="0" w:line="360" w:lineRule="auto"/>
        <w:ind w:right="-93"/>
        <w:rPr>
          <w:rFonts w:eastAsia="Times New Roman" w:cs="Tahoma"/>
          <w:color w:val="auto"/>
          <w:lang w:val="es-ES" w:eastAsia="es-ES"/>
        </w:rPr>
      </w:pPr>
      <w:r w:rsidRPr="007A7811">
        <w:rPr>
          <w:rFonts w:eastAsia="Times New Roman" w:cs="Tahoma"/>
          <w:color w:val="auto"/>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49528D1" w14:textId="77777777" w:rsidR="007A7811" w:rsidRPr="007A7811" w:rsidRDefault="007A7811" w:rsidP="007A7811">
      <w:pPr>
        <w:spacing w:after="0" w:line="360" w:lineRule="auto"/>
        <w:ind w:right="-93"/>
        <w:rPr>
          <w:rFonts w:eastAsia="Times New Roman" w:cs="Tahoma"/>
          <w:color w:val="auto"/>
          <w:lang w:val="es-ES" w:eastAsia="es-ES"/>
        </w:rPr>
      </w:pPr>
    </w:p>
    <w:p w14:paraId="194BD5DC" w14:textId="77777777" w:rsidR="007A7811" w:rsidRPr="007A7811" w:rsidRDefault="007A7811" w:rsidP="007A7811">
      <w:pPr>
        <w:spacing w:after="0" w:line="360" w:lineRule="auto"/>
        <w:ind w:right="-93"/>
        <w:rPr>
          <w:rFonts w:eastAsia="Times New Roman" w:cs="Tahoma"/>
          <w:b/>
          <w:color w:val="auto"/>
          <w:lang w:val="es-ES" w:eastAsia="es-ES"/>
        </w:rPr>
      </w:pPr>
      <w:r w:rsidRPr="007A7811">
        <w:rPr>
          <w:rFonts w:eastAsia="Times New Roman" w:cs="Tahoma"/>
          <w:color w:val="auto"/>
          <w:lang w:val="es-ES" w:eastAsia="es-ES"/>
        </w:rPr>
        <w:t>De la misma manera, lo establece el artículo 29 del Código Civil Federal, al precisar que el domicilio de personas físicas</w:t>
      </w:r>
      <w:r w:rsidRPr="007A7811">
        <w:rPr>
          <w:rFonts w:eastAsia="Times New Roman" w:cs="Tahoma"/>
          <w:b/>
          <w:color w:val="auto"/>
          <w:lang w:val="es-ES" w:eastAsia="es-ES"/>
        </w:rPr>
        <w:t>, es el lugar donde residen habitualmente, el lugar del centro principal de sus negocios, donde residan o el lugar donde se encuentren.</w:t>
      </w:r>
    </w:p>
    <w:p w14:paraId="0D581D2F" w14:textId="77777777" w:rsidR="007A7811" w:rsidRPr="007A7811" w:rsidRDefault="007A7811" w:rsidP="007A7811">
      <w:pPr>
        <w:spacing w:after="0" w:line="360" w:lineRule="auto"/>
        <w:rPr>
          <w:rFonts w:eastAsia="Times New Roman" w:cs="Tahoma"/>
          <w:b/>
          <w:bCs/>
          <w:color w:val="auto"/>
          <w:sz w:val="20"/>
          <w:lang w:eastAsia="en-US"/>
        </w:rPr>
      </w:pPr>
    </w:p>
    <w:p w14:paraId="086459C3" w14:textId="77777777" w:rsidR="007A7811" w:rsidRPr="007A7811" w:rsidRDefault="007A7811" w:rsidP="007A7811">
      <w:pPr>
        <w:spacing w:after="0" w:line="360" w:lineRule="auto"/>
        <w:ind w:right="-93"/>
        <w:rPr>
          <w:rFonts w:eastAsia="Times New Roman" w:cs="Tahoma"/>
          <w:color w:val="auto"/>
          <w:lang w:val="es-ES" w:eastAsia="es-ES"/>
        </w:rPr>
      </w:pPr>
      <w:r w:rsidRPr="007A7811">
        <w:rPr>
          <w:rFonts w:eastAsia="Times New Roman" w:cs="Tahoma"/>
          <w:color w:val="auto"/>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CD43E79" w14:textId="77777777" w:rsidR="007A7811" w:rsidRPr="007A7811" w:rsidRDefault="007A7811" w:rsidP="007A7811">
      <w:pPr>
        <w:spacing w:after="0" w:line="360" w:lineRule="auto"/>
        <w:ind w:right="-93"/>
        <w:rPr>
          <w:rFonts w:eastAsia="Times New Roman" w:cs="Tahoma"/>
          <w:color w:val="auto"/>
          <w:lang w:val="es-ES" w:eastAsia="es-ES"/>
        </w:rPr>
      </w:pPr>
    </w:p>
    <w:p w14:paraId="456D5703" w14:textId="77777777" w:rsidR="007A7811" w:rsidRPr="007A7811" w:rsidRDefault="007A7811" w:rsidP="007A7811">
      <w:pPr>
        <w:spacing w:after="0" w:line="360" w:lineRule="auto"/>
        <w:ind w:right="-93"/>
        <w:rPr>
          <w:rFonts w:eastAsia="Times New Roman" w:cs="Tahoma"/>
          <w:color w:val="auto"/>
          <w:lang w:val="es-ES" w:eastAsia="es-ES"/>
        </w:rPr>
      </w:pPr>
      <w:r w:rsidRPr="007A7811">
        <w:rPr>
          <w:rFonts w:eastAsia="Times New Roman" w:cs="Tahoma"/>
          <w:color w:val="auto"/>
          <w:lang w:val="es-ES" w:eastAsia="es-ES"/>
        </w:rPr>
        <w:t xml:space="preserve">La misma suerte corre el comprobante de domicilio, pues mediante este se acredita que la servidora pública vive donde señala en los documentos que entrega; sin embargo, es de señalar que este documento guarda la naturaleza de privado, pues no abona en nada a la transparencia, </w:t>
      </w:r>
      <w:r w:rsidRPr="007A7811">
        <w:rPr>
          <w:rFonts w:eastAsia="Times New Roman" w:cs="Tahoma"/>
          <w:color w:val="auto"/>
          <w:lang w:val="es-ES" w:eastAsia="es-ES"/>
        </w:rPr>
        <w:lastRenderedPageBreak/>
        <w:t>ni rinde cuentas de la forma de actuar de la trabajadora, al contrario, la hace ubicable en su carácter de particular, por lo que, se concluye que el comprobante guarda la naturaleza de privado.</w:t>
      </w:r>
    </w:p>
    <w:p w14:paraId="0EAFEAA1" w14:textId="77777777" w:rsidR="007A7811" w:rsidRPr="007A7811" w:rsidRDefault="007A7811" w:rsidP="007A7811">
      <w:pPr>
        <w:spacing w:after="0" w:line="360" w:lineRule="auto"/>
        <w:ind w:right="-93"/>
        <w:rPr>
          <w:rFonts w:eastAsia="Times New Roman" w:cs="Tahoma"/>
          <w:color w:val="auto"/>
          <w:lang w:val="es-ES" w:eastAsia="es-ES"/>
        </w:rPr>
      </w:pPr>
    </w:p>
    <w:p w14:paraId="0DC8E27B" w14:textId="77777777" w:rsidR="007A7811" w:rsidRPr="007A7811" w:rsidRDefault="007A7811" w:rsidP="007A7811">
      <w:pPr>
        <w:spacing w:after="0" w:line="360" w:lineRule="auto"/>
        <w:ind w:right="-93"/>
        <w:rPr>
          <w:rFonts w:eastAsia="Times New Roman" w:cs="Tahoma"/>
          <w:color w:val="auto"/>
          <w:lang w:val="es-ES" w:eastAsia="es-ES"/>
        </w:rPr>
      </w:pPr>
      <w:r w:rsidRPr="007A7811">
        <w:rPr>
          <w:rFonts w:eastAsia="Times New Roman" w:cs="Tahoma"/>
          <w:color w:val="auto"/>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6EA540CD" w14:textId="77777777" w:rsidR="007A7811" w:rsidRPr="007A7811" w:rsidRDefault="007A7811" w:rsidP="007A7811">
      <w:pPr>
        <w:spacing w:after="0" w:line="360" w:lineRule="auto"/>
        <w:rPr>
          <w:rFonts w:eastAsia="Times New Roman" w:cs="Tahoma"/>
          <w:bCs/>
          <w:lang w:eastAsia="en-US"/>
        </w:rPr>
      </w:pPr>
    </w:p>
    <w:p w14:paraId="54B3FA8C" w14:textId="16347A86" w:rsidR="007A7811" w:rsidRPr="007A7811" w:rsidRDefault="007A7811" w:rsidP="007A7811">
      <w:pPr>
        <w:numPr>
          <w:ilvl w:val="0"/>
          <w:numId w:val="35"/>
        </w:numPr>
        <w:spacing w:after="0" w:line="360" w:lineRule="auto"/>
        <w:jc w:val="left"/>
        <w:rPr>
          <w:rFonts w:eastAsia="Times New Roman" w:cs="Tahoma"/>
          <w:b/>
          <w:bCs/>
          <w:iCs/>
          <w:lang w:val="es-ES_tradnl" w:eastAsia="en-US"/>
        </w:rPr>
      </w:pPr>
      <w:r w:rsidRPr="007A7811">
        <w:rPr>
          <w:rFonts w:eastAsia="Times New Roman" w:cs="Tahoma"/>
          <w:b/>
          <w:bCs/>
          <w:iCs/>
          <w:lang w:eastAsia="en-US"/>
        </w:rPr>
        <w:t>C</w:t>
      </w:r>
      <w:r w:rsidRPr="007A7811">
        <w:rPr>
          <w:rFonts w:eastAsia="Times New Roman" w:cs="Tahoma"/>
          <w:b/>
          <w:bCs/>
          <w:iCs/>
          <w:lang w:val="es-ES_tradnl" w:eastAsia="en-US"/>
        </w:rPr>
        <w:t>lave Única de Registro de Población (CURP)</w:t>
      </w:r>
    </w:p>
    <w:p w14:paraId="179FB34A" w14:textId="77777777" w:rsidR="007A7811" w:rsidRPr="007A7811" w:rsidRDefault="007A7811" w:rsidP="007A7811">
      <w:pPr>
        <w:spacing w:after="0" w:line="360" w:lineRule="auto"/>
        <w:rPr>
          <w:rFonts w:eastAsia="Times New Roman" w:cs="Tahoma"/>
          <w:bCs/>
          <w:iCs/>
          <w:lang w:eastAsia="en-US"/>
        </w:rPr>
      </w:pPr>
    </w:p>
    <w:p w14:paraId="64ADDCF8"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D03140B" w14:textId="77777777" w:rsidR="007A7811" w:rsidRPr="007A7811" w:rsidRDefault="007A7811" w:rsidP="007A7811">
      <w:pPr>
        <w:spacing w:after="0" w:line="360" w:lineRule="auto"/>
        <w:rPr>
          <w:rFonts w:eastAsia="Times New Roman" w:cs="Tahoma"/>
          <w:bCs/>
          <w:iCs/>
          <w:lang w:eastAsia="en-US"/>
        </w:rPr>
      </w:pPr>
    </w:p>
    <w:p w14:paraId="7A24F728"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72AC1D3" w14:textId="77777777" w:rsidR="007A7811" w:rsidRPr="007A7811" w:rsidRDefault="007A7811" w:rsidP="007A7811">
      <w:pPr>
        <w:spacing w:after="0" w:line="360" w:lineRule="auto"/>
        <w:rPr>
          <w:rFonts w:eastAsia="Times New Roman" w:cs="Tahoma"/>
          <w:bCs/>
          <w:iCs/>
          <w:lang w:eastAsia="en-US"/>
        </w:rPr>
      </w:pPr>
    </w:p>
    <w:p w14:paraId="3E5AA514"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En ese orden de ideas, la Secretaría de Gobernación en las direcciones </w:t>
      </w:r>
      <w:hyperlink r:id="rId10" w:history="1">
        <w:r w:rsidRPr="007A7811">
          <w:rPr>
            <w:rFonts w:eastAsia="Times New Roman" w:cs="Tahoma"/>
            <w:bCs/>
            <w:iCs/>
            <w:u w:val="single"/>
            <w:lang w:eastAsia="en-US"/>
          </w:rPr>
          <w:t>https://consultas.curp.gob.mx/CurpSP/html/informacionecurpPS.html</w:t>
        </w:r>
      </w:hyperlink>
      <w:r w:rsidRPr="007A7811">
        <w:rPr>
          <w:rFonts w:eastAsia="Times New Roman" w:cs="Tahoma"/>
          <w:bCs/>
          <w:iCs/>
          <w:lang w:eastAsia="en-US"/>
        </w:rPr>
        <w:t xml:space="preserve"> y </w:t>
      </w:r>
      <w:hyperlink r:id="rId11" w:history="1">
        <w:r w:rsidRPr="007A7811">
          <w:rPr>
            <w:rFonts w:eastAsia="Times New Roman" w:cs="Tahoma"/>
            <w:bCs/>
            <w:iCs/>
            <w:u w:val="single"/>
            <w:lang w:eastAsia="en-US"/>
          </w:rPr>
          <w:t>https://www.gob.mx/segob/renapo/acciones-y-programas/clave-unica-de-registro-de-poblacion-curp-142226</w:t>
        </w:r>
      </w:hyperlink>
      <w:r w:rsidRPr="007A7811">
        <w:rPr>
          <w:rFonts w:eastAsia="Times New Roman" w:cs="Tahoma"/>
          <w:bCs/>
          <w:iCs/>
          <w:lang w:eastAsia="en-US"/>
        </w:rPr>
        <w:t xml:space="preserve"> (consultadas el veintiocho de marzo de dos mil veintidós), estableció que </w:t>
      </w:r>
      <w:r w:rsidRPr="007A7811">
        <w:rPr>
          <w:rFonts w:eastAsia="Times New Roman" w:cs="Tahoma"/>
          <w:bCs/>
          <w:iCs/>
          <w:lang w:eastAsia="en-US"/>
        </w:rPr>
        <w:lastRenderedPageBreak/>
        <w:t xml:space="preserve">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7A7811">
        <w:rPr>
          <w:rFonts w:eastAsia="Times New Roman" w:cs="Tahoma"/>
          <w:b/>
          <w:bCs/>
          <w:iCs/>
          <w:lang w:eastAsia="en-US"/>
        </w:rPr>
        <w:t>se generan a partir de los datos contenidos en el documento probatorio de la identidad</w:t>
      </w:r>
      <w:r w:rsidRPr="007A7811">
        <w:rPr>
          <w:rFonts w:eastAsia="Times New Roman" w:cs="Tahoma"/>
          <w:bCs/>
          <w:iCs/>
          <w:lang w:eastAsia="en-US"/>
        </w:rPr>
        <w:t xml:space="preserve"> </w:t>
      </w:r>
      <w:r w:rsidRPr="007A7811">
        <w:rPr>
          <w:rFonts w:eastAsia="Times New Roman" w:cs="Tahoma"/>
          <w:b/>
          <w:bCs/>
          <w:iCs/>
          <w:lang w:eastAsia="en-US"/>
        </w:rPr>
        <w:t xml:space="preserve">del interesado </w:t>
      </w:r>
      <w:r w:rsidRPr="007A7811">
        <w:rPr>
          <w:rFonts w:eastAsia="Times New Roman" w:cs="Tahoma"/>
          <w:bCs/>
          <w:iCs/>
          <w:lang w:eastAsia="en-US"/>
        </w:rPr>
        <w:t>(acta de nacimiento, carta de naturalización o documento migratorio) de la siguiente forma:</w:t>
      </w:r>
    </w:p>
    <w:p w14:paraId="367BB99F" w14:textId="77777777" w:rsidR="007A7811" w:rsidRPr="007A7811" w:rsidRDefault="007A7811" w:rsidP="007A7811">
      <w:pPr>
        <w:spacing w:after="0" w:line="360" w:lineRule="auto"/>
        <w:rPr>
          <w:rFonts w:eastAsia="Times New Roman" w:cs="Tahoma"/>
          <w:bCs/>
          <w:iCs/>
          <w:lang w:eastAsia="en-US"/>
        </w:rPr>
      </w:pPr>
    </w:p>
    <w:p w14:paraId="438CDBEF" w14:textId="77777777" w:rsidR="007A7811" w:rsidRPr="007A7811" w:rsidRDefault="007A7811" w:rsidP="007A7811">
      <w:pPr>
        <w:numPr>
          <w:ilvl w:val="0"/>
          <w:numId w:val="36"/>
        </w:numPr>
        <w:spacing w:after="0" w:line="360" w:lineRule="auto"/>
        <w:jc w:val="left"/>
        <w:rPr>
          <w:rFonts w:eastAsia="Times New Roman" w:cs="Tahoma"/>
          <w:bCs/>
          <w:iCs/>
          <w:lang w:eastAsia="en-US"/>
        </w:rPr>
      </w:pPr>
      <w:r w:rsidRPr="007A7811">
        <w:rPr>
          <w:rFonts w:eastAsia="Times New Roman" w:cs="Tahoma"/>
          <w:bCs/>
          <w:iCs/>
          <w:lang w:eastAsia="en-US"/>
        </w:rPr>
        <w:t>El primero y segundo apellidos, así como al nombre de pila;</w:t>
      </w:r>
    </w:p>
    <w:p w14:paraId="0DDE2B21" w14:textId="77777777" w:rsidR="007A7811" w:rsidRPr="007A7811" w:rsidRDefault="007A7811" w:rsidP="007A7811">
      <w:pPr>
        <w:numPr>
          <w:ilvl w:val="0"/>
          <w:numId w:val="36"/>
        </w:numPr>
        <w:spacing w:after="0" w:line="360" w:lineRule="auto"/>
        <w:jc w:val="left"/>
        <w:rPr>
          <w:rFonts w:eastAsia="Times New Roman" w:cs="Tahoma"/>
          <w:bCs/>
          <w:iCs/>
          <w:lang w:eastAsia="en-US"/>
        </w:rPr>
      </w:pPr>
      <w:r w:rsidRPr="007A7811">
        <w:rPr>
          <w:rFonts w:eastAsia="Times New Roman" w:cs="Tahoma"/>
          <w:bCs/>
          <w:iCs/>
          <w:lang w:eastAsia="en-US"/>
        </w:rPr>
        <w:t>La fecha de nacimiento;</w:t>
      </w:r>
    </w:p>
    <w:p w14:paraId="1F295985" w14:textId="77777777" w:rsidR="007A7811" w:rsidRPr="007A7811" w:rsidRDefault="007A7811" w:rsidP="007A7811">
      <w:pPr>
        <w:numPr>
          <w:ilvl w:val="0"/>
          <w:numId w:val="36"/>
        </w:numPr>
        <w:spacing w:after="0" w:line="360" w:lineRule="auto"/>
        <w:jc w:val="left"/>
        <w:rPr>
          <w:rFonts w:eastAsia="Times New Roman" w:cs="Tahoma"/>
          <w:bCs/>
          <w:iCs/>
          <w:lang w:eastAsia="en-US"/>
        </w:rPr>
      </w:pPr>
      <w:r w:rsidRPr="007A7811">
        <w:rPr>
          <w:rFonts w:eastAsia="Times New Roman" w:cs="Tahoma"/>
          <w:bCs/>
          <w:iCs/>
          <w:lang w:eastAsia="en-US"/>
        </w:rPr>
        <w:t>El sexo, y</w:t>
      </w:r>
    </w:p>
    <w:p w14:paraId="105C1691" w14:textId="77777777" w:rsidR="007A7811" w:rsidRPr="007A7811" w:rsidRDefault="007A7811" w:rsidP="007A7811">
      <w:pPr>
        <w:numPr>
          <w:ilvl w:val="0"/>
          <w:numId w:val="36"/>
        </w:numPr>
        <w:spacing w:after="0" w:line="360" w:lineRule="auto"/>
        <w:jc w:val="left"/>
        <w:rPr>
          <w:rFonts w:eastAsia="Times New Roman" w:cs="Tahoma"/>
          <w:bCs/>
          <w:iCs/>
          <w:lang w:eastAsia="en-US"/>
        </w:rPr>
      </w:pPr>
      <w:r w:rsidRPr="007A7811">
        <w:rPr>
          <w:rFonts w:eastAsia="Times New Roman" w:cs="Tahoma"/>
          <w:bCs/>
          <w:iCs/>
          <w:lang w:eastAsia="en-US"/>
        </w:rPr>
        <w:t>La entidad federativa de nacimiento.</w:t>
      </w:r>
    </w:p>
    <w:p w14:paraId="37DA6496" w14:textId="77777777" w:rsidR="007A7811" w:rsidRPr="007A7811" w:rsidRDefault="007A7811" w:rsidP="007A7811">
      <w:pPr>
        <w:spacing w:after="0" w:line="360" w:lineRule="auto"/>
        <w:rPr>
          <w:rFonts w:eastAsia="Times New Roman" w:cs="Tahoma"/>
          <w:bCs/>
          <w:iCs/>
          <w:lang w:eastAsia="en-US"/>
        </w:rPr>
      </w:pPr>
    </w:p>
    <w:p w14:paraId="505192E7"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Los dos últimos elementos de la Clave Única de Registro de Población evitan la duplicidad de la Clave y garantizan su correcta integración.</w:t>
      </w:r>
    </w:p>
    <w:p w14:paraId="647D7B89" w14:textId="77777777" w:rsidR="007A7811" w:rsidRPr="007A7811" w:rsidRDefault="007A7811" w:rsidP="007A7811">
      <w:pPr>
        <w:spacing w:after="0" w:line="360" w:lineRule="auto"/>
        <w:rPr>
          <w:rFonts w:eastAsia="Times New Roman" w:cs="Tahoma"/>
          <w:bCs/>
          <w:iCs/>
          <w:lang w:eastAsia="en-US"/>
        </w:rPr>
      </w:pPr>
    </w:p>
    <w:p w14:paraId="3CF92BE2"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E155345" w14:textId="77777777" w:rsidR="007A7811" w:rsidRPr="007A7811" w:rsidRDefault="007A7811" w:rsidP="007A7811">
      <w:pPr>
        <w:spacing w:after="0" w:line="360" w:lineRule="auto"/>
        <w:rPr>
          <w:rFonts w:eastAsia="Times New Roman" w:cs="Tahoma"/>
          <w:bCs/>
          <w:iCs/>
          <w:lang w:eastAsia="en-US"/>
        </w:rPr>
      </w:pPr>
    </w:p>
    <w:p w14:paraId="5328538F" w14:textId="4F1327A9"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Situación que se robustece, con el Criterio</w:t>
      </w:r>
      <w:r>
        <w:rPr>
          <w:rFonts w:eastAsia="Times New Roman" w:cs="Tahoma"/>
          <w:bCs/>
          <w:iCs/>
          <w:lang w:eastAsia="en-US"/>
        </w:rPr>
        <w:t xml:space="preserve"> de Interpretación, con clave de control SO/0</w:t>
      </w:r>
      <w:r w:rsidRPr="007A7811">
        <w:rPr>
          <w:rFonts w:eastAsia="Times New Roman" w:cs="Tahoma"/>
          <w:bCs/>
          <w:iCs/>
          <w:lang w:eastAsia="en-US"/>
        </w:rPr>
        <w:t>18/</w:t>
      </w:r>
      <w:r>
        <w:rPr>
          <w:rFonts w:eastAsia="Times New Roman" w:cs="Tahoma"/>
          <w:bCs/>
          <w:iCs/>
          <w:lang w:eastAsia="en-US"/>
        </w:rPr>
        <w:t>20</w:t>
      </w:r>
      <w:r w:rsidRPr="007A7811">
        <w:rPr>
          <w:rFonts w:eastAsia="Times New Roman" w:cs="Tahoma"/>
          <w:bCs/>
          <w:iCs/>
          <w:lang w:eastAsia="en-US"/>
        </w:rPr>
        <w:t>17, emitido por el Instituto Nacional de Transparencia, Acceso a la Información y Protección de Datos Personales, que establece lo siguiente:</w:t>
      </w:r>
    </w:p>
    <w:p w14:paraId="4D1A7874" w14:textId="77777777" w:rsidR="007A7811" w:rsidRPr="007A7811" w:rsidRDefault="007A7811" w:rsidP="007A7811">
      <w:pPr>
        <w:spacing w:after="0" w:line="360" w:lineRule="auto"/>
        <w:rPr>
          <w:rFonts w:eastAsia="Times New Roman" w:cs="Tahoma"/>
          <w:bCs/>
          <w:iCs/>
          <w:lang w:eastAsia="en-US"/>
        </w:rPr>
      </w:pPr>
    </w:p>
    <w:p w14:paraId="0B8BDC60" w14:textId="77777777" w:rsidR="007A7811" w:rsidRPr="007A7811" w:rsidRDefault="007A7811" w:rsidP="007A7811">
      <w:pPr>
        <w:spacing w:after="0" w:line="360" w:lineRule="auto"/>
        <w:ind w:left="567" w:right="567"/>
        <w:rPr>
          <w:rFonts w:eastAsia="Times New Roman" w:cs="Tahoma"/>
          <w:bCs/>
          <w:i/>
          <w:iCs/>
          <w:sz w:val="20"/>
          <w:szCs w:val="20"/>
          <w:lang w:eastAsia="en-US"/>
        </w:rPr>
      </w:pPr>
      <w:r w:rsidRPr="007A7811">
        <w:rPr>
          <w:rFonts w:eastAsia="Times New Roman" w:cs="Tahoma"/>
          <w:b/>
          <w:bCs/>
          <w:i/>
          <w:iCs/>
          <w:sz w:val="20"/>
          <w:szCs w:val="20"/>
          <w:lang w:eastAsia="en-US"/>
        </w:rPr>
        <w:lastRenderedPageBreak/>
        <w:t xml:space="preserve">“Clave Única de Registro de Población (CURP). </w:t>
      </w:r>
      <w:r w:rsidRPr="007A7811">
        <w:rPr>
          <w:rFonts w:eastAsia="Times New Roman" w:cs="Tahoma"/>
          <w:bCs/>
          <w:i/>
          <w:iCs/>
          <w:sz w:val="20"/>
          <w:szCs w:val="20"/>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F920760" w14:textId="77777777" w:rsidR="007A7811" w:rsidRPr="007A7811" w:rsidRDefault="007A7811" w:rsidP="007A7811">
      <w:pPr>
        <w:spacing w:after="0" w:line="360" w:lineRule="auto"/>
        <w:rPr>
          <w:rFonts w:eastAsia="Times New Roman" w:cs="Tahoma"/>
          <w:bCs/>
          <w:iCs/>
          <w:lang w:eastAsia="en-US"/>
        </w:rPr>
      </w:pPr>
    </w:p>
    <w:p w14:paraId="70319FB3"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AC88E37" w14:textId="77777777" w:rsidR="007A7811" w:rsidRPr="007A7811" w:rsidRDefault="007A7811" w:rsidP="007A7811">
      <w:pPr>
        <w:spacing w:after="0" w:line="360" w:lineRule="auto"/>
        <w:rPr>
          <w:rFonts w:eastAsia="Times New Roman" w:cs="Tahoma"/>
          <w:bCs/>
          <w:iCs/>
          <w:lang w:val="es-ES" w:eastAsia="en-US"/>
        </w:rPr>
      </w:pPr>
    </w:p>
    <w:p w14:paraId="3B0494F2" w14:textId="77777777" w:rsidR="007A7811" w:rsidRPr="007A7811" w:rsidRDefault="007A7811" w:rsidP="007A7811">
      <w:pPr>
        <w:numPr>
          <w:ilvl w:val="0"/>
          <w:numId w:val="35"/>
        </w:numPr>
        <w:spacing w:after="0" w:line="360" w:lineRule="auto"/>
        <w:jc w:val="left"/>
        <w:rPr>
          <w:rFonts w:eastAsia="Times New Roman" w:cs="Tahoma"/>
          <w:b/>
          <w:bCs/>
          <w:iCs/>
          <w:lang w:val="es-ES_tradnl" w:eastAsia="en-US"/>
        </w:rPr>
      </w:pPr>
      <w:r w:rsidRPr="007A7811">
        <w:rPr>
          <w:rFonts w:eastAsia="Times New Roman" w:cs="Tahoma"/>
          <w:b/>
          <w:bCs/>
          <w:iCs/>
          <w:lang w:val="es-ES_tradnl" w:eastAsia="en-US"/>
        </w:rPr>
        <w:t>Registro Federal de Contribuyentes (RFC).</w:t>
      </w:r>
    </w:p>
    <w:p w14:paraId="39D2CDE6" w14:textId="77777777" w:rsidR="007A7811" w:rsidRPr="007A7811" w:rsidRDefault="007A7811" w:rsidP="007A7811">
      <w:pPr>
        <w:spacing w:after="0" w:line="360" w:lineRule="auto"/>
        <w:rPr>
          <w:rFonts w:eastAsia="Times New Roman" w:cs="Tahoma"/>
          <w:bCs/>
          <w:iCs/>
          <w:lang w:eastAsia="en-US"/>
        </w:rPr>
      </w:pPr>
    </w:p>
    <w:p w14:paraId="6731BD0E"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A2EAD61" w14:textId="77777777" w:rsidR="007A7811" w:rsidRPr="007A7811" w:rsidRDefault="007A7811" w:rsidP="007A7811">
      <w:pPr>
        <w:spacing w:after="0" w:line="360" w:lineRule="auto"/>
        <w:rPr>
          <w:rFonts w:eastAsia="Times New Roman" w:cs="Tahoma"/>
          <w:bCs/>
          <w:iCs/>
          <w:lang w:eastAsia="en-US"/>
        </w:rPr>
      </w:pPr>
    </w:p>
    <w:p w14:paraId="6BBE66A2"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De acuerdo a lo establecido en el artículo en comento, esta clave se compone de trece caracteres alfanuméricos, con datos obtenidos de los apellidos, nombre(s), fecha de nacimiento del titular, más una </w:t>
      </w:r>
      <w:proofErr w:type="spellStart"/>
      <w:r w:rsidRPr="007A7811">
        <w:rPr>
          <w:rFonts w:eastAsia="Times New Roman" w:cs="Tahoma"/>
          <w:bCs/>
          <w:iCs/>
          <w:lang w:eastAsia="en-US"/>
        </w:rPr>
        <w:t>homoclave</w:t>
      </w:r>
      <w:proofErr w:type="spellEnd"/>
      <w:r w:rsidRPr="007A7811">
        <w:rPr>
          <w:rFonts w:eastAsia="Times New Roman" w:cs="Tahoma"/>
          <w:bCs/>
          <w:iCs/>
          <w:lang w:eastAsia="en-US"/>
        </w:rPr>
        <w:t xml:space="preserve"> que establece el sistema automático del Servicio de Administración Tributaria.</w:t>
      </w:r>
    </w:p>
    <w:p w14:paraId="0274538F" w14:textId="77777777" w:rsidR="007A7811" w:rsidRPr="007A7811" w:rsidRDefault="007A7811" w:rsidP="007A7811">
      <w:pPr>
        <w:spacing w:after="0" w:line="360" w:lineRule="auto"/>
        <w:rPr>
          <w:rFonts w:eastAsia="Times New Roman" w:cs="Tahoma"/>
          <w:bCs/>
          <w:iCs/>
          <w:lang w:eastAsia="en-US"/>
        </w:rPr>
      </w:pPr>
    </w:p>
    <w:p w14:paraId="43B64E6B"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Ahora bien, la clave del Registro Federal de Contribuyentes, es el medio de control que tiene la Secretaría de Hacienda y Crédito Público, a través del Servicio de Administración Tributaria, </w:t>
      </w:r>
      <w:r w:rsidRPr="007A7811">
        <w:rPr>
          <w:rFonts w:eastAsia="Times New Roman" w:cs="Tahoma"/>
          <w:bCs/>
          <w:iCs/>
          <w:lang w:eastAsia="en-US"/>
        </w:rPr>
        <w:lastRenderedPageBreak/>
        <w:t>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3EB44ED" w14:textId="77777777" w:rsidR="007A7811" w:rsidRPr="007A7811" w:rsidRDefault="007A7811" w:rsidP="007A7811">
      <w:pPr>
        <w:spacing w:after="0" w:line="360" w:lineRule="auto"/>
        <w:rPr>
          <w:rFonts w:eastAsia="Times New Roman" w:cs="Tahoma"/>
          <w:bCs/>
          <w:iCs/>
          <w:lang w:eastAsia="en-US"/>
        </w:rPr>
      </w:pPr>
    </w:p>
    <w:p w14:paraId="33C011B7"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A74563F" w14:textId="77777777" w:rsidR="007A7811" w:rsidRPr="007A7811" w:rsidRDefault="007A7811" w:rsidP="007A7811">
      <w:pPr>
        <w:spacing w:after="0" w:line="360" w:lineRule="auto"/>
        <w:rPr>
          <w:rFonts w:eastAsia="Times New Roman" w:cs="Tahoma"/>
          <w:bCs/>
          <w:iCs/>
          <w:lang w:eastAsia="en-US"/>
        </w:rPr>
      </w:pPr>
    </w:p>
    <w:p w14:paraId="0C1D94A5" w14:textId="455B0B8F"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 xml:space="preserve">Lo anterior, resulta congruente con </w:t>
      </w:r>
      <w:proofErr w:type="spellStart"/>
      <w:r w:rsidRPr="007A7811">
        <w:rPr>
          <w:rFonts w:eastAsia="Times New Roman" w:cs="Tahoma"/>
          <w:bCs/>
          <w:iCs/>
          <w:lang w:eastAsia="en-US"/>
        </w:rPr>
        <w:t>el</w:t>
      </w:r>
      <w:proofErr w:type="spellEnd"/>
      <w:r w:rsidRPr="007A7811">
        <w:rPr>
          <w:rFonts w:eastAsia="Times New Roman" w:cs="Tahoma"/>
          <w:bCs/>
          <w:iCs/>
          <w:lang w:eastAsia="en-US"/>
        </w:rPr>
        <w:t xml:space="preserve"> con el Criterio</w:t>
      </w:r>
      <w:r>
        <w:rPr>
          <w:rFonts w:eastAsia="Times New Roman" w:cs="Tahoma"/>
          <w:bCs/>
          <w:iCs/>
          <w:lang w:eastAsia="en-US"/>
        </w:rPr>
        <w:t xml:space="preserve"> de Interpretación, con clave de control SO/0</w:t>
      </w:r>
      <w:r w:rsidRPr="007A7811">
        <w:rPr>
          <w:rFonts w:eastAsia="Times New Roman" w:cs="Tahoma"/>
          <w:bCs/>
          <w:iCs/>
          <w:lang w:eastAsia="en-US"/>
        </w:rPr>
        <w:t>1</w:t>
      </w:r>
      <w:r>
        <w:rPr>
          <w:rFonts w:eastAsia="Times New Roman" w:cs="Tahoma"/>
          <w:bCs/>
          <w:iCs/>
          <w:lang w:eastAsia="en-US"/>
        </w:rPr>
        <w:t>9</w:t>
      </w:r>
      <w:r w:rsidRPr="007A7811">
        <w:rPr>
          <w:rFonts w:eastAsia="Times New Roman" w:cs="Tahoma"/>
          <w:bCs/>
          <w:iCs/>
          <w:lang w:eastAsia="en-US"/>
        </w:rPr>
        <w:t>/</w:t>
      </w:r>
      <w:r>
        <w:rPr>
          <w:rFonts w:eastAsia="Times New Roman" w:cs="Tahoma"/>
          <w:bCs/>
          <w:iCs/>
          <w:lang w:eastAsia="en-US"/>
        </w:rPr>
        <w:t>20</w:t>
      </w:r>
      <w:r w:rsidRPr="007A7811">
        <w:rPr>
          <w:rFonts w:eastAsia="Times New Roman" w:cs="Tahoma"/>
          <w:bCs/>
          <w:iCs/>
          <w:lang w:eastAsia="en-US"/>
        </w:rPr>
        <w:t>17</w:t>
      </w:r>
      <w:r>
        <w:rPr>
          <w:rFonts w:eastAsia="Times New Roman" w:cs="Tahoma"/>
          <w:bCs/>
          <w:iCs/>
          <w:lang w:eastAsia="en-US"/>
        </w:rPr>
        <w:t xml:space="preserve">, </w:t>
      </w:r>
      <w:r w:rsidRPr="007A7811">
        <w:rPr>
          <w:rFonts w:eastAsia="Times New Roman" w:cs="Tahoma"/>
          <w:bCs/>
          <w:iCs/>
          <w:lang w:eastAsia="en-US"/>
        </w:rPr>
        <w:t>emitido por el Instituto Nacional de Transparencia, Acceso a la Información y Protección de Datos Personales, en el cual se señala lo siguiente:</w:t>
      </w:r>
    </w:p>
    <w:p w14:paraId="65DC24AD" w14:textId="77777777" w:rsidR="007A7811" w:rsidRPr="007A7811" w:rsidRDefault="007A7811" w:rsidP="007A7811">
      <w:pPr>
        <w:spacing w:after="0" w:line="360" w:lineRule="auto"/>
        <w:rPr>
          <w:rFonts w:eastAsia="Times New Roman" w:cs="Tahoma"/>
          <w:bCs/>
          <w:iCs/>
          <w:lang w:eastAsia="en-US"/>
        </w:rPr>
      </w:pPr>
    </w:p>
    <w:p w14:paraId="4977FD87" w14:textId="77777777" w:rsidR="007A7811" w:rsidRPr="007A7811" w:rsidRDefault="007A7811" w:rsidP="007A7811">
      <w:pPr>
        <w:spacing w:after="0" w:line="360" w:lineRule="auto"/>
        <w:ind w:left="567" w:right="567"/>
        <w:rPr>
          <w:rFonts w:eastAsia="Times New Roman" w:cs="Tahoma"/>
          <w:bCs/>
          <w:i/>
          <w:iCs/>
          <w:sz w:val="20"/>
          <w:szCs w:val="20"/>
          <w:lang w:eastAsia="en-US"/>
        </w:rPr>
      </w:pPr>
      <w:r w:rsidRPr="007A7811">
        <w:rPr>
          <w:rFonts w:eastAsia="Times New Roman" w:cs="Tahoma"/>
          <w:b/>
          <w:bCs/>
          <w:i/>
          <w:iCs/>
          <w:sz w:val="20"/>
          <w:szCs w:val="20"/>
          <w:lang w:eastAsia="en-US"/>
        </w:rPr>
        <w:t>“Registro Federal de Contribuyentes (RFC) de personas físicas.</w:t>
      </w:r>
      <w:r w:rsidRPr="007A7811">
        <w:rPr>
          <w:rFonts w:eastAsia="Times New Roman" w:cs="Tahoma"/>
          <w:bCs/>
          <w:i/>
          <w:iCs/>
          <w:sz w:val="20"/>
          <w:szCs w:val="20"/>
          <w:lang w:eastAsia="en-US"/>
        </w:rPr>
        <w:t xml:space="preserve"> El RFC es una clave de carácter fiscal, única e irrepetible, que permite identificar al titular, su edad y fecha de nacimiento, por lo que es un dato personal de carácter confidencial.”</w:t>
      </w:r>
    </w:p>
    <w:p w14:paraId="1B46077A" w14:textId="77777777" w:rsidR="007A7811" w:rsidRPr="007A7811" w:rsidRDefault="007A7811" w:rsidP="007A7811">
      <w:pPr>
        <w:spacing w:after="0" w:line="360" w:lineRule="auto"/>
        <w:rPr>
          <w:rFonts w:eastAsia="Times New Roman" w:cs="Tahoma"/>
          <w:bCs/>
          <w:iCs/>
          <w:lang w:eastAsia="en-US"/>
        </w:rPr>
      </w:pPr>
    </w:p>
    <w:p w14:paraId="68998838" w14:textId="77777777" w:rsidR="007A7811" w:rsidRPr="007A7811" w:rsidRDefault="007A7811" w:rsidP="007A7811">
      <w:pPr>
        <w:spacing w:after="0" w:line="360" w:lineRule="auto"/>
        <w:rPr>
          <w:rFonts w:eastAsia="Times New Roman" w:cs="Tahoma"/>
          <w:bCs/>
          <w:iCs/>
          <w:lang w:eastAsia="en-US"/>
        </w:rPr>
      </w:pPr>
      <w:r w:rsidRPr="007A7811">
        <w:rPr>
          <w:rFonts w:eastAsia="Times New Roman" w:cs="Tahoma"/>
          <w:bCs/>
          <w:iCs/>
          <w:lang w:eastAsia="en-U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50BAF52" w14:textId="77777777" w:rsidR="007A7811" w:rsidRPr="007A7811" w:rsidRDefault="007A7811" w:rsidP="007A7811">
      <w:pPr>
        <w:spacing w:after="0" w:line="360" w:lineRule="auto"/>
        <w:rPr>
          <w:rFonts w:eastAsia="Times New Roman" w:cs="Tahoma"/>
          <w:bCs/>
          <w:iCs/>
          <w:lang w:eastAsia="en-US"/>
        </w:rPr>
      </w:pPr>
    </w:p>
    <w:p w14:paraId="2025B8E2" w14:textId="50D735C7" w:rsidR="007A7811" w:rsidRPr="007A7811" w:rsidRDefault="007A7811" w:rsidP="007A7811">
      <w:pPr>
        <w:numPr>
          <w:ilvl w:val="0"/>
          <w:numId w:val="35"/>
        </w:numPr>
        <w:spacing w:after="0" w:line="360" w:lineRule="auto"/>
        <w:contextualSpacing/>
        <w:jc w:val="left"/>
        <w:rPr>
          <w:rFonts w:eastAsia="Times New Roman" w:cs="Tahoma"/>
          <w:color w:val="auto"/>
          <w:lang w:eastAsia="es-ES"/>
        </w:rPr>
      </w:pPr>
      <w:r w:rsidRPr="007A7811">
        <w:rPr>
          <w:rFonts w:eastAsia="Times New Roman" w:cs="Tahoma"/>
          <w:b/>
          <w:color w:val="auto"/>
          <w:lang w:eastAsia="es-ES"/>
        </w:rPr>
        <w:t>Teléfono y celular particular</w:t>
      </w:r>
    </w:p>
    <w:p w14:paraId="62327377" w14:textId="77777777" w:rsidR="007A7811" w:rsidRPr="007A7811" w:rsidRDefault="007A7811" w:rsidP="007A7811">
      <w:pPr>
        <w:spacing w:after="0" w:line="360" w:lineRule="auto"/>
        <w:rPr>
          <w:rFonts w:eastAsia="Times New Roman" w:cs="Tahoma"/>
          <w:color w:val="auto"/>
          <w:lang w:eastAsia="es-ES"/>
        </w:rPr>
      </w:pPr>
    </w:p>
    <w:p w14:paraId="4484935E" w14:textId="77777777" w:rsidR="007A7811" w:rsidRPr="007A7811" w:rsidRDefault="007A7811" w:rsidP="007A7811">
      <w:pPr>
        <w:spacing w:after="0" w:line="360" w:lineRule="auto"/>
        <w:rPr>
          <w:rFonts w:eastAsia="Times New Roman" w:cs="Tahoma"/>
          <w:color w:val="auto"/>
          <w:lang w:eastAsia="es-ES"/>
        </w:rPr>
      </w:pPr>
      <w:r w:rsidRPr="007A7811">
        <w:rPr>
          <w:rFonts w:eastAsia="Times New Roman" w:cs="Tahoma"/>
          <w:color w:val="auto"/>
          <w:lang w:eastAsia="es-ES"/>
        </w:rPr>
        <w:lastRenderedPageBreak/>
        <w:t>Dicho dato corresponde al número asignado a un teléfono particular o celular, el cual permite localizar a una persona física identificada o identificable, ya sea a través de un dispositivo móvil o bien, en un lugar como el domicilio; por lo que, la titularidad del mismo, corresponde a la persona física servidor público (entrante o saliente), en su calidad de particular.</w:t>
      </w:r>
    </w:p>
    <w:p w14:paraId="2D164FA5" w14:textId="77777777" w:rsidR="007A7811" w:rsidRPr="007A7811" w:rsidRDefault="007A7811" w:rsidP="007A7811">
      <w:pPr>
        <w:spacing w:after="0" w:line="360" w:lineRule="auto"/>
        <w:rPr>
          <w:rFonts w:eastAsia="Times New Roman" w:cs="Tahoma"/>
          <w:color w:val="auto"/>
          <w:lang w:eastAsia="es-ES"/>
        </w:rPr>
      </w:pPr>
    </w:p>
    <w:p w14:paraId="4BFA4641" w14:textId="77777777" w:rsidR="007A7811" w:rsidRPr="007A7811" w:rsidRDefault="007A7811" w:rsidP="007A7811">
      <w:pPr>
        <w:spacing w:after="0" w:line="360" w:lineRule="auto"/>
        <w:rPr>
          <w:rFonts w:eastAsia="Times New Roman" w:cs="Tahoma"/>
          <w:color w:val="auto"/>
          <w:lang w:eastAsia="es-ES"/>
        </w:rPr>
      </w:pPr>
      <w:r w:rsidRPr="007A7811">
        <w:rPr>
          <w:rFonts w:eastAsia="Times New Roman" w:cs="Tahoma"/>
          <w:color w:val="auto"/>
          <w:lang w:eastAsia="es-ES"/>
        </w:rPr>
        <w:t>En tales consideraciones, dicho dato personal es susceptible de ser clasificado como confidencial, con fundamento en el artículo 143, fracción I de la Ley de Transparencia y Acceso a la Información Pública.</w:t>
      </w:r>
    </w:p>
    <w:p w14:paraId="5B66193B" w14:textId="77777777" w:rsidR="007A7811" w:rsidRPr="007A7811" w:rsidRDefault="007A7811" w:rsidP="007A7811">
      <w:pPr>
        <w:spacing w:after="0" w:line="360" w:lineRule="auto"/>
        <w:rPr>
          <w:rFonts w:eastAsia="Times New Roman" w:cs="Tahoma"/>
          <w:color w:val="auto"/>
          <w:lang w:eastAsia="es-ES"/>
        </w:rPr>
      </w:pPr>
    </w:p>
    <w:p w14:paraId="76E2E2AB" w14:textId="77777777" w:rsidR="007A7811" w:rsidRPr="007A7811" w:rsidRDefault="007A7811" w:rsidP="007A7811">
      <w:pPr>
        <w:numPr>
          <w:ilvl w:val="0"/>
          <w:numId w:val="35"/>
        </w:numPr>
        <w:spacing w:after="0" w:line="360" w:lineRule="auto"/>
        <w:contextualSpacing/>
        <w:jc w:val="left"/>
        <w:rPr>
          <w:rFonts w:eastAsia="Times New Roman" w:cs="Tahoma"/>
          <w:b/>
          <w:iCs/>
          <w:color w:val="auto"/>
          <w:szCs w:val="24"/>
          <w:lang w:eastAsia="es-ES_tradnl"/>
        </w:rPr>
      </w:pPr>
      <w:r w:rsidRPr="007A7811">
        <w:rPr>
          <w:rFonts w:eastAsia="Times New Roman" w:cs="Tahoma"/>
          <w:b/>
          <w:iCs/>
          <w:color w:val="auto"/>
          <w:szCs w:val="24"/>
          <w:lang w:eastAsia="es-ES_tradnl"/>
        </w:rPr>
        <w:t>Clave de registro o elector</w:t>
      </w:r>
    </w:p>
    <w:p w14:paraId="791EAC15" w14:textId="77777777" w:rsidR="007A7811" w:rsidRPr="007A7811" w:rsidRDefault="007A7811" w:rsidP="007A7811">
      <w:pPr>
        <w:tabs>
          <w:tab w:val="left" w:pos="4962"/>
        </w:tabs>
        <w:spacing w:after="0" w:line="360" w:lineRule="auto"/>
        <w:ind w:right="-28"/>
        <w:rPr>
          <w:rFonts w:eastAsia="Times New Roman" w:cs="Tahoma"/>
          <w:b/>
          <w:iCs/>
          <w:color w:val="auto"/>
          <w:szCs w:val="24"/>
          <w:lang w:eastAsia="es-ES_tradnl"/>
        </w:rPr>
      </w:pPr>
    </w:p>
    <w:p w14:paraId="28BCAC79" w14:textId="77777777" w:rsidR="007A7811" w:rsidRPr="007A7811" w:rsidRDefault="007A7811" w:rsidP="007A7811">
      <w:pPr>
        <w:tabs>
          <w:tab w:val="left" w:pos="4962"/>
        </w:tabs>
        <w:spacing w:after="0" w:line="360" w:lineRule="auto"/>
        <w:ind w:right="-28"/>
        <w:rPr>
          <w:rFonts w:eastAsia="Times New Roman" w:cs="Tahoma"/>
          <w:bCs/>
          <w:iCs/>
          <w:color w:val="auto"/>
          <w:szCs w:val="24"/>
          <w:lang w:eastAsia="es-ES_tradnl"/>
        </w:rPr>
      </w:pPr>
      <w:r w:rsidRPr="007A7811">
        <w:rPr>
          <w:rFonts w:eastAsia="Times New Roman" w:cs="Tahoma"/>
          <w:bCs/>
          <w:iCs/>
          <w:color w:val="auto"/>
          <w:szCs w:val="24"/>
          <w:lang w:eastAsia="es-ES_tradnl"/>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7A7811">
        <w:rPr>
          <w:rFonts w:eastAsia="Times New Roman" w:cs="Tahoma"/>
          <w:bCs/>
          <w:iCs/>
          <w:color w:val="auto"/>
          <w:szCs w:val="24"/>
          <w:lang w:eastAsia="es-ES_tradnl"/>
        </w:rPr>
        <w:t>homoclave</w:t>
      </w:r>
      <w:proofErr w:type="spellEnd"/>
      <w:r w:rsidRPr="007A7811">
        <w:rPr>
          <w:rFonts w:eastAsia="Times New Roman" w:cs="Tahoma"/>
          <w:bCs/>
          <w:iCs/>
          <w:color w:val="auto"/>
          <w:szCs w:val="24"/>
          <w:lang w:eastAsia="es-ES_tradnl"/>
        </w:rPr>
        <w:t xml:space="preserve"> compuesta de tres dígitos, dando un total de 18 caracteres.</w:t>
      </w:r>
    </w:p>
    <w:p w14:paraId="693167C2" w14:textId="77777777" w:rsidR="007A7811" w:rsidRDefault="007A7811" w:rsidP="007A7811">
      <w:pPr>
        <w:tabs>
          <w:tab w:val="left" w:pos="4962"/>
        </w:tabs>
        <w:spacing w:after="0" w:line="360" w:lineRule="auto"/>
        <w:ind w:right="-28"/>
        <w:rPr>
          <w:rFonts w:eastAsia="Times New Roman" w:cs="Tahoma"/>
          <w:b/>
          <w:iCs/>
          <w:color w:val="auto"/>
          <w:szCs w:val="24"/>
          <w:lang w:eastAsia="es-ES_tradnl"/>
        </w:rPr>
      </w:pPr>
    </w:p>
    <w:p w14:paraId="63031899" w14:textId="77777777" w:rsidR="007A7811" w:rsidRPr="007A7811" w:rsidRDefault="007A7811" w:rsidP="007A7811">
      <w:pPr>
        <w:tabs>
          <w:tab w:val="left" w:pos="4962"/>
        </w:tabs>
        <w:spacing w:after="0" w:line="360" w:lineRule="auto"/>
        <w:ind w:right="-28"/>
        <w:rPr>
          <w:rFonts w:eastAsia="Times New Roman" w:cs="Tahoma"/>
          <w:b/>
          <w:iCs/>
          <w:color w:val="auto"/>
          <w:szCs w:val="24"/>
          <w:lang w:eastAsia="es-ES_tradnl"/>
        </w:rPr>
      </w:pPr>
    </w:p>
    <w:p w14:paraId="27667A75" w14:textId="77777777" w:rsidR="007A7811" w:rsidRPr="007A7811" w:rsidRDefault="007A7811" w:rsidP="007A7811">
      <w:pPr>
        <w:shd w:val="clear" w:color="auto" w:fill="FFFFFF" w:themeFill="background1"/>
        <w:spacing w:after="0" w:line="360" w:lineRule="auto"/>
        <w:rPr>
          <w:rFonts w:eastAsia="Times New Roman" w:cs="Tahoma"/>
          <w:bCs/>
          <w:iCs/>
          <w:color w:val="auto"/>
          <w:lang w:eastAsia="en-US"/>
        </w:rPr>
      </w:pPr>
      <w:r w:rsidRPr="007A7811">
        <w:rPr>
          <w:rFonts w:eastAsia="Times New Roman" w:cs="Tahoma"/>
          <w:bCs/>
          <w:iCs/>
          <w:color w:val="auto"/>
          <w:lang w:eastAsia="en-US"/>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2174B372" w14:textId="77777777" w:rsidR="007A7811" w:rsidRPr="007A7811" w:rsidRDefault="007A7811" w:rsidP="007A7811">
      <w:pPr>
        <w:shd w:val="clear" w:color="auto" w:fill="FFFFFF" w:themeFill="background1"/>
        <w:spacing w:after="0" w:line="360" w:lineRule="auto"/>
        <w:rPr>
          <w:rFonts w:eastAsia="Times New Roman" w:cs="Tahoma"/>
          <w:bCs/>
          <w:iCs/>
          <w:color w:val="auto"/>
          <w:lang w:eastAsia="en-US"/>
        </w:rPr>
      </w:pPr>
    </w:p>
    <w:p w14:paraId="1514E732" w14:textId="77777777" w:rsidR="007A7811" w:rsidRPr="007A7811" w:rsidRDefault="007A7811" w:rsidP="007A7811">
      <w:pPr>
        <w:tabs>
          <w:tab w:val="left" w:pos="4962"/>
        </w:tabs>
        <w:spacing w:after="0" w:line="360" w:lineRule="auto"/>
        <w:ind w:right="-28"/>
        <w:rPr>
          <w:rFonts w:eastAsia="Times New Roman" w:cs="Tahoma"/>
          <w:bCs/>
          <w:iCs/>
          <w:color w:val="auto"/>
          <w:szCs w:val="24"/>
          <w:lang w:eastAsia="es-ES_tradnl"/>
        </w:rPr>
      </w:pPr>
      <w:r w:rsidRPr="007A7811">
        <w:rPr>
          <w:rFonts w:eastAsia="Times New Roman" w:cs="Tahoma"/>
          <w:bCs/>
          <w:iCs/>
          <w:color w:val="auto"/>
          <w:szCs w:val="24"/>
          <w:lang w:eastAsia="es-ES_tradnl"/>
        </w:rPr>
        <w:t>Por lo tanto, al ser un dato que hace reconocible a una persona física, resulta procedente su clasificación como información confidencial en términos de lo dispuesto por el artículo 143, fracción I de la Ley de Transparencia y Acceso a la Información Pública del Estado de México y Municipios.</w:t>
      </w:r>
    </w:p>
    <w:p w14:paraId="5DF62747" w14:textId="77777777" w:rsidR="007A7811" w:rsidRPr="007A7811" w:rsidRDefault="007A7811" w:rsidP="007A7811">
      <w:pPr>
        <w:spacing w:after="0" w:line="360" w:lineRule="auto"/>
        <w:rPr>
          <w:rFonts w:eastAsia="Times New Roman" w:cs="Tahoma"/>
          <w:color w:val="auto"/>
          <w:lang w:eastAsia="es-ES"/>
        </w:rPr>
      </w:pPr>
    </w:p>
    <w:p w14:paraId="474DBEE3" w14:textId="38645E4C" w:rsidR="007A7811" w:rsidRPr="007A7811" w:rsidRDefault="007A7811" w:rsidP="007A7811">
      <w:pPr>
        <w:numPr>
          <w:ilvl w:val="0"/>
          <w:numId w:val="35"/>
        </w:numPr>
        <w:spacing w:after="0" w:line="360" w:lineRule="auto"/>
        <w:contextualSpacing/>
        <w:rPr>
          <w:rFonts w:eastAsia="Times New Roman" w:cs="Tahoma"/>
          <w:b/>
          <w:color w:val="0D0D0D" w:themeColor="text1" w:themeTint="F2"/>
          <w:szCs w:val="24"/>
          <w:lang w:val="es-ES" w:eastAsia="es-ES"/>
        </w:rPr>
      </w:pPr>
      <w:r w:rsidRPr="007A7811">
        <w:rPr>
          <w:rFonts w:eastAsia="Times New Roman" w:cs="Tahoma"/>
          <w:b/>
          <w:color w:val="0D0D0D" w:themeColor="text1" w:themeTint="F2"/>
          <w:szCs w:val="24"/>
          <w:lang w:val="es-ES" w:eastAsia="es-ES"/>
        </w:rPr>
        <w:t>Firma de servidores públicos y particulares</w:t>
      </w:r>
    </w:p>
    <w:p w14:paraId="0CA0DA1E" w14:textId="77777777" w:rsidR="007A7811" w:rsidRPr="007A7811" w:rsidRDefault="007A7811" w:rsidP="007A7811">
      <w:pPr>
        <w:spacing w:after="0" w:line="360" w:lineRule="auto"/>
        <w:rPr>
          <w:rFonts w:eastAsia="Times New Roman" w:cs="Tahoma"/>
          <w:b/>
          <w:color w:val="0D0D0D" w:themeColor="text1" w:themeTint="F2"/>
          <w:lang w:val="es-ES" w:eastAsia="es-ES"/>
        </w:rPr>
      </w:pPr>
    </w:p>
    <w:p w14:paraId="11DC6799" w14:textId="77777777" w:rsidR="007A7811" w:rsidRPr="007A7811" w:rsidRDefault="007A7811" w:rsidP="007A7811">
      <w:pPr>
        <w:spacing w:after="0" w:line="360" w:lineRule="auto"/>
        <w:rPr>
          <w:rFonts w:eastAsia="Times New Roman" w:cs="Tahoma"/>
          <w:b/>
          <w:color w:val="0D0D0D" w:themeColor="text1" w:themeTint="F2"/>
          <w:lang w:val="es-ES" w:eastAsia="es-ES"/>
        </w:rPr>
      </w:pPr>
      <w:r w:rsidRPr="007A7811">
        <w:rPr>
          <w:rFonts w:eastAsia="Times New Roman" w:cs="Tahoma"/>
          <w:b/>
          <w:color w:val="0D0D0D" w:themeColor="text1" w:themeTint="F2"/>
          <w:lang w:val="es-ES" w:eastAsia="es-ES"/>
        </w:rPr>
        <w:t>Particulares</w:t>
      </w:r>
    </w:p>
    <w:p w14:paraId="4F7F22FC" w14:textId="77777777" w:rsidR="007A7811" w:rsidRPr="007A7811" w:rsidRDefault="007A7811" w:rsidP="007A7811">
      <w:pPr>
        <w:spacing w:after="0" w:line="360" w:lineRule="auto"/>
        <w:rPr>
          <w:rFonts w:eastAsia="Times New Roman" w:cs="Tahoma"/>
          <w:b/>
          <w:color w:val="0D0D0D" w:themeColor="text1" w:themeTint="F2"/>
          <w:lang w:val="es-ES" w:eastAsia="es-ES"/>
        </w:rPr>
      </w:pPr>
    </w:p>
    <w:p w14:paraId="5B6E058C" w14:textId="77777777" w:rsidR="007A7811" w:rsidRPr="007A7811" w:rsidRDefault="007A7811" w:rsidP="007A7811">
      <w:pPr>
        <w:spacing w:after="0" w:line="360" w:lineRule="auto"/>
        <w:rPr>
          <w:rFonts w:eastAsia="Times New Roman" w:cs="Tahoma"/>
          <w:b/>
          <w:bCs/>
          <w:color w:val="auto"/>
          <w:lang w:eastAsia="en-US"/>
        </w:rPr>
      </w:pPr>
      <w:r w:rsidRPr="007A7811">
        <w:rPr>
          <w:rFonts w:eastAsia="Times New Roman" w:cs="Tahoma"/>
          <w:bCs/>
          <w:color w:val="auto"/>
          <w:lang w:eastAsia="en-US"/>
        </w:rPr>
        <w:t xml:space="preserve">En principio, cabe señalar que la firma corresponde de aquellas personas físicas que fungieron como testigos de los servidores públicos entrantes y salientes, por lo que, no se trata de empleados o servidores públicos de este, </w:t>
      </w:r>
      <w:r w:rsidRPr="007A7811">
        <w:rPr>
          <w:rFonts w:eastAsia="Times New Roman" w:cs="Tahoma"/>
          <w:b/>
          <w:bCs/>
          <w:color w:val="auto"/>
          <w:lang w:eastAsia="en-US"/>
        </w:rPr>
        <w:t>sino de particulares.</w:t>
      </w:r>
    </w:p>
    <w:p w14:paraId="26D7AA32" w14:textId="77777777" w:rsidR="007A7811" w:rsidRPr="007A7811" w:rsidRDefault="007A7811" w:rsidP="007A7811">
      <w:pPr>
        <w:spacing w:after="0" w:line="360" w:lineRule="auto"/>
        <w:rPr>
          <w:rFonts w:eastAsia="Times New Roman" w:cs="Tahoma"/>
          <w:bCs/>
          <w:color w:val="auto"/>
          <w:lang w:eastAsia="en-US"/>
        </w:rPr>
      </w:pPr>
    </w:p>
    <w:p w14:paraId="3AA90DF1" w14:textId="77777777" w:rsidR="007A7811" w:rsidRPr="007A7811" w:rsidRDefault="007A7811" w:rsidP="007A7811">
      <w:pPr>
        <w:spacing w:after="0" w:line="360" w:lineRule="auto"/>
        <w:rPr>
          <w:rFonts w:eastAsia="Times New Roman" w:cs="Tahoma"/>
          <w:bCs/>
          <w:color w:val="auto"/>
          <w:lang w:eastAsia="en-US"/>
        </w:rPr>
      </w:pPr>
      <w:r w:rsidRPr="007A7811">
        <w:rPr>
          <w:rFonts w:eastAsia="Times New Roman" w:cs="Tahoma"/>
          <w:bCs/>
          <w:color w:val="auto"/>
          <w:lang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w:t>
      </w:r>
      <w:r w:rsidRPr="007A7811">
        <w:rPr>
          <w:rFonts w:eastAsia="Times New Roman" w:cs="Tahoma"/>
          <w:b/>
          <w:bCs/>
          <w:color w:val="auto"/>
          <w:lang w:eastAsia="en-US"/>
        </w:rPr>
        <w:t>, ya que también haría identificable a los individuos en cuestión.</w:t>
      </w:r>
    </w:p>
    <w:p w14:paraId="02889EDC" w14:textId="77777777" w:rsidR="007A7811" w:rsidRPr="007A7811" w:rsidRDefault="007A7811" w:rsidP="007A7811">
      <w:pPr>
        <w:spacing w:after="0" w:line="360" w:lineRule="auto"/>
        <w:rPr>
          <w:rFonts w:eastAsia="Times New Roman" w:cs="Tahoma"/>
          <w:bCs/>
          <w:iCs/>
          <w:color w:val="auto"/>
          <w:lang w:eastAsia="en-US"/>
        </w:rPr>
      </w:pPr>
    </w:p>
    <w:p w14:paraId="4E431C43" w14:textId="77777777" w:rsidR="007A7811" w:rsidRPr="007A7811" w:rsidRDefault="007A7811" w:rsidP="007A7811">
      <w:pPr>
        <w:spacing w:after="0" w:line="360" w:lineRule="auto"/>
        <w:rPr>
          <w:rFonts w:eastAsia="Times New Roman" w:cs="Tahoma"/>
          <w:bCs/>
          <w:color w:val="auto"/>
          <w:lang w:eastAsia="en-US"/>
        </w:rPr>
      </w:pPr>
      <w:r w:rsidRPr="007A7811">
        <w:rPr>
          <w:rFonts w:eastAsia="Times New Roman" w:cs="Tahoma"/>
          <w:bCs/>
          <w:iCs/>
          <w:color w:val="auto"/>
          <w:lang w:eastAsia="en-US"/>
        </w:rPr>
        <w:t>Además, aún y cuando se encuentra asentada en un documento público, elaborado en ejercicio de las facultades con las que cuenta el Sujeto Obligado, lo cierto es que es un dato que exterioriza su voluntad y aceptación de la información señalada en el Acta. Por lo que, se actualiza la causal de clasificación establecida en el artículo 143, fracción I, de la L</w:t>
      </w:r>
      <w:r w:rsidRPr="007A7811">
        <w:rPr>
          <w:rFonts w:eastAsia="Times New Roman" w:cs="Tahoma"/>
          <w:bCs/>
          <w:color w:val="auto"/>
          <w:lang w:eastAsia="en-US"/>
        </w:rPr>
        <w:t>ey de Transparencia y Acceso a la Información Pública del Estado de México y Municipios.</w:t>
      </w:r>
    </w:p>
    <w:p w14:paraId="7FA014F9" w14:textId="77777777" w:rsidR="007A7811" w:rsidRPr="007A7811" w:rsidRDefault="007A7811" w:rsidP="007A7811">
      <w:pPr>
        <w:spacing w:after="0" w:line="360" w:lineRule="auto"/>
        <w:rPr>
          <w:rFonts w:eastAsia="Times New Roman" w:cs="Tahoma"/>
          <w:b/>
          <w:color w:val="0D0D0D" w:themeColor="text1" w:themeTint="F2"/>
          <w:lang w:val="es-ES" w:eastAsia="es-ES"/>
        </w:rPr>
      </w:pPr>
    </w:p>
    <w:p w14:paraId="3B51951C" w14:textId="77777777" w:rsidR="007A7811" w:rsidRPr="007A7811" w:rsidRDefault="007A7811" w:rsidP="007A7811">
      <w:pPr>
        <w:numPr>
          <w:ilvl w:val="0"/>
          <w:numId w:val="37"/>
        </w:numPr>
        <w:spacing w:after="0" w:line="360" w:lineRule="auto"/>
        <w:rPr>
          <w:rFonts w:eastAsia="Times New Roman" w:cs="Tahoma"/>
          <w:b/>
          <w:bCs/>
          <w:color w:val="auto"/>
          <w:lang w:eastAsia="en-US"/>
        </w:rPr>
      </w:pPr>
      <w:r w:rsidRPr="007A7811">
        <w:rPr>
          <w:rFonts w:eastAsia="Times New Roman" w:cs="Tahoma"/>
          <w:b/>
          <w:bCs/>
          <w:color w:val="auto"/>
          <w:lang w:eastAsia="en-US"/>
        </w:rPr>
        <w:t>Firma de servidores públicos.</w:t>
      </w:r>
    </w:p>
    <w:p w14:paraId="43D2285E" w14:textId="77777777" w:rsidR="007A7811" w:rsidRPr="007A7811" w:rsidRDefault="007A7811" w:rsidP="007A7811">
      <w:pPr>
        <w:spacing w:after="0" w:line="360" w:lineRule="auto"/>
        <w:rPr>
          <w:rFonts w:eastAsia="Times New Roman" w:cs="Tahoma"/>
          <w:bCs/>
          <w:color w:val="auto"/>
          <w:lang w:eastAsia="en-US"/>
        </w:rPr>
      </w:pPr>
    </w:p>
    <w:p w14:paraId="706365C7" w14:textId="78681B92" w:rsidR="007A7811" w:rsidRPr="007A7811" w:rsidRDefault="007A7811" w:rsidP="007A7811">
      <w:pPr>
        <w:spacing w:after="0" w:line="360" w:lineRule="auto"/>
        <w:rPr>
          <w:rFonts w:eastAsia="Times New Roman" w:cs="Tahoma"/>
          <w:bCs/>
          <w:color w:val="auto"/>
          <w:lang w:eastAsia="en-US"/>
        </w:rPr>
      </w:pPr>
      <w:r w:rsidRPr="007A7811">
        <w:rPr>
          <w:rFonts w:eastAsia="Times New Roman" w:cs="Tahoma"/>
          <w:bCs/>
          <w:color w:val="auto"/>
          <w:lang w:eastAsia="en-US"/>
        </w:rPr>
        <w:t>Al respecto, cabe precisar que, en el presente caso, se trata de testigos, en su calidad de servidores públicos; por lo que, si bien la firma es un dato personal confidencial, lo cierto es que, en el presente caso, acreditaron que la información señalada en el Acta, es correcta, por lo que, es de naturaleza pública; lo anterior, pues la plasmó en cumplimiento a las obligaciones que le corresponden.</w:t>
      </w:r>
    </w:p>
    <w:p w14:paraId="30447602" w14:textId="77777777" w:rsidR="007A7811" w:rsidRPr="007A7811" w:rsidRDefault="007A7811" w:rsidP="007A7811">
      <w:pPr>
        <w:spacing w:after="0" w:line="360" w:lineRule="auto"/>
        <w:rPr>
          <w:rFonts w:eastAsia="Times New Roman" w:cs="Tahoma"/>
          <w:bCs/>
          <w:color w:val="auto"/>
          <w:lang w:eastAsia="en-US"/>
        </w:rPr>
      </w:pPr>
    </w:p>
    <w:p w14:paraId="4D700829" w14:textId="77777777" w:rsidR="007A7811" w:rsidRPr="007A7811" w:rsidRDefault="007A7811" w:rsidP="007A7811">
      <w:pPr>
        <w:spacing w:after="0" w:line="360" w:lineRule="auto"/>
        <w:rPr>
          <w:rFonts w:eastAsia="Times New Roman" w:cs="Tahoma"/>
          <w:bCs/>
          <w:color w:val="auto"/>
          <w:lang w:eastAsia="en-US"/>
        </w:rPr>
      </w:pPr>
      <w:r w:rsidRPr="007A7811">
        <w:rPr>
          <w:rFonts w:eastAsia="Times New Roman" w:cs="Tahoma"/>
          <w:bCs/>
          <w:color w:val="auto"/>
          <w:lang w:eastAsia="en-US"/>
        </w:rPr>
        <w:t xml:space="preserve">Conforme a lo anterior,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5DF5FA23" w14:textId="77777777" w:rsidR="007A7811" w:rsidRPr="007A7811" w:rsidRDefault="007A7811" w:rsidP="007A7811">
      <w:pPr>
        <w:spacing w:after="0" w:line="360" w:lineRule="auto"/>
        <w:rPr>
          <w:rFonts w:eastAsia="Times New Roman" w:cs="Tahoma"/>
          <w:bCs/>
          <w:color w:val="auto"/>
          <w:lang w:eastAsia="en-US"/>
        </w:rPr>
      </w:pPr>
    </w:p>
    <w:p w14:paraId="408A0A79" w14:textId="1649F154" w:rsidR="007A7811" w:rsidRPr="007A7811" w:rsidRDefault="007A7811" w:rsidP="007A7811">
      <w:pPr>
        <w:spacing w:after="0" w:line="360" w:lineRule="auto"/>
        <w:rPr>
          <w:rFonts w:eastAsia="Times New Roman" w:cs="Tahoma"/>
          <w:bCs/>
          <w:color w:val="auto"/>
          <w:lang w:eastAsia="en-US"/>
        </w:rPr>
      </w:pPr>
      <w:r w:rsidRPr="007A7811">
        <w:rPr>
          <w:rFonts w:eastAsia="Times New Roman" w:cs="Tahoma"/>
          <w:bCs/>
          <w:color w:val="auto"/>
          <w:lang w:eastAsia="en-US"/>
        </w:rPr>
        <w:t xml:space="preserve">La publicidad de dicho dato, se robustece, con el </w:t>
      </w:r>
      <w:r w:rsidRPr="007A7811">
        <w:rPr>
          <w:rFonts w:eastAsia="Times New Roman" w:cs="Tahoma"/>
          <w:bCs/>
          <w:iCs/>
          <w:lang w:eastAsia="en-US"/>
        </w:rPr>
        <w:t>con el Criterio</w:t>
      </w:r>
      <w:r>
        <w:rPr>
          <w:rFonts w:eastAsia="Times New Roman" w:cs="Tahoma"/>
          <w:bCs/>
          <w:iCs/>
          <w:lang w:eastAsia="en-US"/>
        </w:rPr>
        <w:t xml:space="preserve"> de Interpretación, con clave de control SO/002</w:t>
      </w:r>
      <w:r w:rsidRPr="007A7811">
        <w:rPr>
          <w:rFonts w:eastAsia="Times New Roman" w:cs="Tahoma"/>
          <w:bCs/>
          <w:iCs/>
          <w:lang w:eastAsia="en-US"/>
        </w:rPr>
        <w:t>/</w:t>
      </w:r>
      <w:r>
        <w:rPr>
          <w:rFonts w:eastAsia="Times New Roman" w:cs="Tahoma"/>
          <w:bCs/>
          <w:iCs/>
          <w:lang w:eastAsia="en-US"/>
        </w:rPr>
        <w:t>20</w:t>
      </w:r>
      <w:r w:rsidRPr="007A7811">
        <w:rPr>
          <w:rFonts w:eastAsia="Times New Roman" w:cs="Tahoma"/>
          <w:bCs/>
          <w:iCs/>
          <w:lang w:eastAsia="en-US"/>
        </w:rPr>
        <w:t>1</w:t>
      </w:r>
      <w:r>
        <w:rPr>
          <w:rFonts w:eastAsia="Times New Roman" w:cs="Tahoma"/>
          <w:bCs/>
          <w:iCs/>
          <w:lang w:eastAsia="en-US"/>
        </w:rPr>
        <w:t xml:space="preserve">9, </w:t>
      </w:r>
      <w:r w:rsidRPr="007A7811">
        <w:rPr>
          <w:rFonts w:eastAsia="Times New Roman" w:cs="Tahoma"/>
          <w:bCs/>
          <w:color w:val="auto"/>
          <w:lang w:eastAsia="en-US"/>
        </w:rPr>
        <w:t>emitido por el Instituto Nacional de Transparencia, Acceso a la Información y Protección de Datos Personales, que establece lo siguiente:</w:t>
      </w:r>
    </w:p>
    <w:p w14:paraId="0AC0A42B" w14:textId="77777777" w:rsidR="007A7811" w:rsidRPr="007A7811" w:rsidRDefault="007A7811" w:rsidP="007A7811">
      <w:pPr>
        <w:spacing w:after="0" w:line="360" w:lineRule="auto"/>
        <w:rPr>
          <w:rFonts w:eastAsia="Times New Roman" w:cs="Tahoma"/>
          <w:bCs/>
          <w:color w:val="auto"/>
          <w:lang w:eastAsia="en-US"/>
        </w:rPr>
      </w:pPr>
    </w:p>
    <w:p w14:paraId="1B66C1CB" w14:textId="77777777" w:rsidR="007A7811" w:rsidRPr="007A7811" w:rsidRDefault="007A7811" w:rsidP="007A7811">
      <w:pPr>
        <w:spacing w:after="0" w:line="360" w:lineRule="auto"/>
        <w:ind w:left="567" w:right="567"/>
        <w:rPr>
          <w:rFonts w:eastAsia="Times New Roman" w:cs="Tahoma"/>
          <w:bCs/>
          <w:i/>
          <w:color w:val="auto"/>
          <w:sz w:val="20"/>
          <w:szCs w:val="20"/>
          <w:lang w:eastAsia="en-US"/>
        </w:rPr>
      </w:pPr>
      <w:r w:rsidRPr="007A7811">
        <w:rPr>
          <w:rFonts w:eastAsia="Times New Roman" w:cs="Tahoma"/>
          <w:b/>
          <w:bCs/>
          <w:i/>
          <w:color w:val="auto"/>
          <w:sz w:val="20"/>
          <w:szCs w:val="20"/>
          <w:lang w:eastAsia="en-US"/>
        </w:rPr>
        <w:t>“Firma y rúbrica de servidores públicos.</w:t>
      </w:r>
      <w:r w:rsidRPr="007A7811">
        <w:rPr>
          <w:rFonts w:eastAsia="Times New Roman" w:cs="Tahoma"/>
          <w:bCs/>
          <w:i/>
          <w:color w:val="auto"/>
          <w:sz w:val="20"/>
          <w:szCs w:val="20"/>
          <w:lang w:eastAsia="en-U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02536C0" w14:textId="77777777" w:rsidR="007A7811" w:rsidRDefault="007A7811" w:rsidP="007A7811">
      <w:pPr>
        <w:spacing w:after="0" w:line="360" w:lineRule="auto"/>
        <w:rPr>
          <w:rFonts w:eastAsia="Times New Roman" w:cs="Tahoma"/>
          <w:bCs/>
          <w:color w:val="auto"/>
          <w:lang w:val="es-ES" w:eastAsia="en-US"/>
        </w:rPr>
      </w:pPr>
    </w:p>
    <w:p w14:paraId="38137E25" w14:textId="77777777" w:rsidR="007A7811" w:rsidRDefault="007A7811" w:rsidP="007A7811">
      <w:pPr>
        <w:spacing w:after="0" w:line="360" w:lineRule="auto"/>
        <w:rPr>
          <w:rFonts w:eastAsia="Times New Roman" w:cs="Tahoma"/>
          <w:bCs/>
          <w:color w:val="auto"/>
          <w:lang w:val="es-ES" w:eastAsia="en-US"/>
        </w:rPr>
      </w:pPr>
    </w:p>
    <w:p w14:paraId="16EA93EC" w14:textId="77777777" w:rsidR="007A7811" w:rsidRDefault="007A7811" w:rsidP="007A7811">
      <w:pPr>
        <w:spacing w:after="0" w:line="360" w:lineRule="auto"/>
        <w:rPr>
          <w:rFonts w:eastAsia="Times New Roman" w:cs="Tahoma"/>
          <w:bCs/>
          <w:color w:val="auto"/>
          <w:lang w:val="es-ES" w:eastAsia="en-US"/>
        </w:rPr>
      </w:pPr>
    </w:p>
    <w:p w14:paraId="76C88CAB" w14:textId="77777777" w:rsidR="007A7811" w:rsidRPr="007A7811" w:rsidRDefault="007A7811" w:rsidP="007A7811">
      <w:pPr>
        <w:spacing w:after="0" w:line="360" w:lineRule="auto"/>
        <w:rPr>
          <w:rFonts w:eastAsia="Times New Roman" w:cs="Tahoma"/>
          <w:bCs/>
          <w:color w:val="auto"/>
          <w:lang w:val="es-ES" w:eastAsia="en-US"/>
        </w:rPr>
      </w:pPr>
    </w:p>
    <w:p w14:paraId="3EB251D2" w14:textId="77777777" w:rsidR="007A7811" w:rsidRDefault="007A7811" w:rsidP="007A7811">
      <w:pPr>
        <w:spacing w:after="0" w:line="360" w:lineRule="auto"/>
        <w:rPr>
          <w:rFonts w:eastAsia="Times New Roman" w:cs="Tahoma"/>
          <w:bCs/>
          <w:color w:val="auto"/>
          <w:lang w:val="es-ES" w:eastAsia="en-US"/>
        </w:rPr>
      </w:pPr>
      <w:r w:rsidRPr="007A7811">
        <w:rPr>
          <w:rFonts w:eastAsia="Times New Roman" w:cs="Tahoma"/>
          <w:bCs/>
          <w:color w:val="auto"/>
          <w:lang w:val="es-ES" w:eastAsia="en-US"/>
        </w:rPr>
        <w:t>Conforme a lo expuesto, no procede la clasificación, en términos del artículo 143, fracción I de la Ley de Transparencia y Acceso a la Información Pública del Estado de México y Municipios, de la firma de los servidores públicos que fungieron como testigos.</w:t>
      </w:r>
    </w:p>
    <w:p w14:paraId="777D32E2" w14:textId="77777777" w:rsidR="007A7811" w:rsidRPr="007A7811" w:rsidRDefault="007A7811" w:rsidP="007A7811">
      <w:pPr>
        <w:spacing w:after="0" w:line="360" w:lineRule="auto"/>
        <w:rPr>
          <w:rFonts w:eastAsia="Times New Roman" w:cs="Tahoma"/>
          <w:bCs/>
          <w:color w:val="auto"/>
          <w:lang w:val="es-ES" w:eastAsia="en-US"/>
        </w:rPr>
      </w:pPr>
    </w:p>
    <w:p w14:paraId="5C2C11E9" w14:textId="637689A0" w:rsidR="007A7811" w:rsidRPr="007A7811" w:rsidRDefault="007A7811" w:rsidP="007A7811">
      <w:pPr>
        <w:spacing w:after="0" w:line="360" w:lineRule="auto"/>
        <w:rPr>
          <w:rFonts w:eastAsia="Times New Roman" w:cs="Tahoma"/>
          <w:bCs/>
          <w:lang w:eastAsia="en-US"/>
        </w:rPr>
      </w:pPr>
      <w:r w:rsidRPr="007A7811">
        <w:rPr>
          <w:rFonts w:eastAsia="Times New Roman" w:cs="Tahoma"/>
          <w:bCs/>
          <w:lang w:eastAsia="en-US"/>
        </w:rPr>
        <w:lastRenderedPageBreak/>
        <w:t>En ese orden de ideas, se puede advertir que el Sujeto Obligado clasificó datos de naturaleza pública, tales como, el nombre</w:t>
      </w:r>
      <w:r>
        <w:rPr>
          <w:rFonts w:eastAsia="Times New Roman" w:cs="Tahoma"/>
          <w:bCs/>
          <w:lang w:eastAsia="en-US"/>
        </w:rPr>
        <w:t xml:space="preserve"> y firma</w:t>
      </w:r>
      <w:r w:rsidRPr="007A7811">
        <w:rPr>
          <w:rFonts w:eastAsia="Times New Roman" w:cs="Tahoma"/>
          <w:bCs/>
          <w:lang w:eastAsia="en-US"/>
        </w:rPr>
        <w:t xml:space="preserve"> de testigos (servidores públicos); por lo que, en el presente caso, para dar por atendido el requerimiento de información, deberá proporcionarlos en versión pública, en donde únicamente podrá clasificar el nombre y firma de los testigos particulares, el domicilio </w:t>
      </w:r>
      <w:r>
        <w:rPr>
          <w:rFonts w:eastAsia="Times New Roman" w:cs="Tahoma"/>
          <w:bCs/>
          <w:lang w:eastAsia="en-US"/>
        </w:rPr>
        <w:t>y teléfonos particulares, así como</w:t>
      </w:r>
      <w:r w:rsidRPr="007A7811">
        <w:rPr>
          <w:rFonts w:eastAsia="Times New Roman" w:cs="Tahoma"/>
          <w:bCs/>
          <w:lang w:eastAsia="en-US"/>
        </w:rPr>
        <w:t xml:space="preserve"> para recibir notificaciones, la Clave Única de Registro de Población, el Registro Federal de Contribuyentes</w:t>
      </w:r>
      <w:r>
        <w:rPr>
          <w:rFonts w:eastAsia="Times New Roman" w:cs="Tahoma"/>
          <w:bCs/>
          <w:lang w:eastAsia="en-US"/>
        </w:rPr>
        <w:t xml:space="preserve"> </w:t>
      </w:r>
      <w:r w:rsidRPr="007A7811">
        <w:rPr>
          <w:rFonts w:eastAsia="Times New Roman" w:cs="Tahoma"/>
          <w:bCs/>
          <w:lang w:eastAsia="en-US"/>
        </w:rPr>
        <w:t>y la clave de elector.</w:t>
      </w:r>
    </w:p>
    <w:p w14:paraId="21B7FE4C" w14:textId="77777777" w:rsidR="007A7811" w:rsidRDefault="007A7811" w:rsidP="007A7811">
      <w:pPr>
        <w:spacing w:after="0" w:line="360" w:lineRule="auto"/>
        <w:rPr>
          <w:rFonts w:eastAsia="Times New Roman" w:cs="Tahoma"/>
          <w:b/>
          <w:lang w:eastAsia="en-US"/>
        </w:rPr>
      </w:pPr>
    </w:p>
    <w:p w14:paraId="05F28557" w14:textId="04A0601F" w:rsidR="007A7811" w:rsidRPr="007A7811" w:rsidRDefault="007A7811" w:rsidP="007A7811">
      <w:pPr>
        <w:spacing w:after="0" w:line="360" w:lineRule="auto"/>
        <w:rPr>
          <w:rFonts w:eastAsia="Times New Roman" w:cs="Tahoma"/>
          <w:bCs/>
          <w:color w:val="auto"/>
          <w:lang w:val="es-ES" w:eastAsia="es-ES"/>
        </w:rPr>
      </w:pPr>
      <w:r>
        <w:rPr>
          <w:rFonts w:eastAsia="Times New Roman" w:cs="Tahoma"/>
          <w:bCs/>
          <w:lang w:eastAsia="en-US"/>
        </w:rPr>
        <w:t xml:space="preserve">Además, es de señalar que las Actas pueden contener las observaciones </w:t>
      </w:r>
      <w:r w:rsidRPr="007A7811">
        <w:rPr>
          <w:rFonts w:eastAsia="Times New Roman" w:cs="Tahoma"/>
          <w:bCs/>
          <w:lang w:eastAsia="en-US"/>
        </w:rPr>
        <w:t>que hayan dado pauta al procedimiento de verificación de información contenida en la Entrega-Recepción o procedimiento de posibles responsabilidades administrativas</w:t>
      </w:r>
      <w:r>
        <w:rPr>
          <w:rFonts w:eastAsia="Times New Roman" w:cs="Tahoma"/>
          <w:bCs/>
          <w:lang w:eastAsia="en-US"/>
        </w:rPr>
        <w:t xml:space="preserve">, situación que deberá también clasificar; por lo que, deberá entregar la versión pública respectiva, de conformidad con lo establecido en </w:t>
      </w:r>
      <w:r>
        <w:rPr>
          <w:rFonts w:eastAsia="Times New Roman" w:cs="Tahoma"/>
          <w:bCs/>
          <w:color w:val="auto"/>
          <w:lang w:val="es-ES" w:eastAsia="es-ES"/>
        </w:rPr>
        <w:t xml:space="preserve">el </w:t>
      </w:r>
      <w:r w:rsidRPr="007A7811">
        <w:rPr>
          <w:rFonts w:eastAsia="Times New Roman" w:cs="Tahoma"/>
          <w:bCs/>
          <w:color w:val="auto"/>
          <w:lang w:val="es-ES" w:eastAsia="es-ES"/>
        </w:rPr>
        <w:t xml:space="preserve">artículo 3°, fracción XLV, relacionado con el 137, ambos de la Ley de Transparencia y Acceso a la Información Pública del Estado de México y Municipios, </w:t>
      </w:r>
      <w:r>
        <w:rPr>
          <w:rFonts w:eastAsia="Times New Roman" w:cs="Tahoma"/>
          <w:bCs/>
          <w:color w:val="auto"/>
          <w:lang w:val="es-ES" w:eastAsia="es-ES"/>
        </w:rPr>
        <w:t xml:space="preserve">que establecen que </w:t>
      </w:r>
      <w:r w:rsidRPr="007A7811">
        <w:rPr>
          <w:rFonts w:eastAsia="Times New Roman" w:cs="Tahoma"/>
          <w:bCs/>
          <w:color w:val="auto"/>
          <w:lang w:val="es-ES" w:eastAsia="es-ES"/>
        </w:rPr>
        <w:t>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14ECB13" w14:textId="43F220D0" w:rsidR="007A7811" w:rsidRPr="007A7811" w:rsidRDefault="007A7811" w:rsidP="007A7811">
      <w:pPr>
        <w:spacing w:after="0" w:line="360" w:lineRule="auto"/>
        <w:rPr>
          <w:rFonts w:eastAsia="Times New Roman" w:cs="Tahoma"/>
          <w:bCs/>
          <w:lang w:val="es-ES" w:eastAsia="en-US"/>
        </w:rPr>
      </w:pPr>
    </w:p>
    <w:p w14:paraId="2AA37D9B" w14:textId="77777777" w:rsidR="007A7811" w:rsidRPr="007A7811" w:rsidRDefault="007A7811" w:rsidP="007A7811">
      <w:pPr>
        <w:spacing w:after="0" w:line="360" w:lineRule="auto"/>
        <w:rPr>
          <w:rFonts w:eastAsia="Times New Roman" w:cs="Tahoma"/>
          <w:bCs/>
          <w:color w:val="auto"/>
          <w:lang w:val="es-ES" w:eastAsia="es-ES"/>
        </w:rPr>
      </w:pPr>
      <w:r w:rsidRPr="007A7811">
        <w:rPr>
          <w:rFonts w:eastAsia="Times New Roman" w:cs="Tahoma"/>
          <w:bCs/>
          <w:color w:val="auto"/>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1C264E" w14:textId="77777777" w:rsidR="007A7811" w:rsidRPr="00C6747F" w:rsidRDefault="007A7811" w:rsidP="00C6747F">
      <w:pPr>
        <w:spacing w:after="0" w:line="360" w:lineRule="auto"/>
        <w:rPr>
          <w:rFonts w:eastAsia="Times New Roman" w:cs="Tahoma"/>
          <w:iCs/>
          <w:color w:val="auto"/>
          <w:szCs w:val="24"/>
          <w:lang w:val="es-ES" w:eastAsia="es-ES_tradnl"/>
        </w:rPr>
      </w:pPr>
    </w:p>
    <w:p w14:paraId="5B59CABD" w14:textId="0ADC6A9D" w:rsidR="0093706C" w:rsidRPr="002314BF" w:rsidRDefault="00B663EA" w:rsidP="00C04044">
      <w:pPr>
        <w:pStyle w:val="Ttulo2"/>
        <w:spacing w:before="0" w:after="0"/>
      </w:pPr>
      <w:bookmarkStart w:id="27" w:name="_Toc179975607"/>
      <w:bookmarkStart w:id="28" w:name="_Toc192175303"/>
      <w:r w:rsidRPr="002314BF">
        <w:t>S</w:t>
      </w:r>
      <w:r w:rsidR="000424C3" w:rsidRPr="002314BF">
        <w:t>EXTO</w:t>
      </w:r>
      <w:r w:rsidRPr="002314BF">
        <w:t xml:space="preserve">. </w:t>
      </w:r>
      <w:r w:rsidR="0093706C" w:rsidRPr="002314BF">
        <w:t>Decisión</w:t>
      </w:r>
      <w:bookmarkEnd w:id="27"/>
      <w:bookmarkEnd w:id="28"/>
    </w:p>
    <w:p w14:paraId="1EC38DFA" w14:textId="77777777" w:rsidR="0093706C" w:rsidRDefault="0093706C" w:rsidP="00C04044">
      <w:pPr>
        <w:spacing w:after="0" w:line="360" w:lineRule="auto"/>
        <w:rPr>
          <w:rFonts w:cs="Tahoma"/>
          <w:b/>
        </w:rPr>
      </w:pPr>
    </w:p>
    <w:p w14:paraId="2D49CDB8" w14:textId="27CA980B" w:rsidR="009559E4" w:rsidRPr="002314BF" w:rsidRDefault="0093706C" w:rsidP="00C04044">
      <w:pPr>
        <w:spacing w:after="0" w:line="360" w:lineRule="auto"/>
        <w:ind w:right="-28"/>
        <w:rPr>
          <w:rFonts w:cs="Tahoma"/>
        </w:rPr>
      </w:pPr>
      <w:r w:rsidRPr="002314BF">
        <w:rPr>
          <w:rFonts w:cs="Tahoma"/>
        </w:rPr>
        <w:lastRenderedPageBreak/>
        <w:t xml:space="preserve">Con fundamento en el artículo 186, fracción III, de la Ley de Transparencia y Acceso a la Información </w:t>
      </w:r>
      <w:r w:rsidR="007A7811">
        <w:rPr>
          <w:rFonts w:cs="Tahoma"/>
          <w:b/>
        </w:rPr>
        <w:t>MODIFI</w:t>
      </w:r>
      <w:r w:rsidR="007A54F7" w:rsidRPr="002314BF">
        <w:rPr>
          <w:rFonts w:cs="Tahoma"/>
          <w:b/>
        </w:rPr>
        <w:t>CAR la</w:t>
      </w:r>
      <w:r w:rsidRPr="002314BF">
        <w:rPr>
          <w:rFonts w:cs="Tahoma"/>
        </w:rPr>
        <w:t xml:space="preserve"> respuesta</w:t>
      </w:r>
      <w:r w:rsidR="009559E4" w:rsidRPr="002314BF">
        <w:rPr>
          <w:rFonts w:cs="Tahoma"/>
        </w:rPr>
        <w:t xml:space="preserve"> otorgada por el</w:t>
      </w:r>
      <w:r w:rsidRPr="002314BF">
        <w:rPr>
          <w:rFonts w:cs="Tahoma"/>
        </w:rPr>
        <w:t xml:space="preserve"> </w:t>
      </w:r>
      <w:r w:rsidR="003E14BE" w:rsidRPr="002314BF">
        <w:rPr>
          <w:rFonts w:eastAsia="Calibri" w:cs="Tahoma"/>
        </w:rPr>
        <w:t>Sistema Municipal p</w:t>
      </w:r>
      <w:r w:rsidR="006657B8" w:rsidRPr="002314BF">
        <w:rPr>
          <w:rFonts w:eastAsia="Calibri" w:cs="Tahoma"/>
        </w:rPr>
        <w:t>ara el Desarrollo Integral de la Familia de Toluca</w:t>
      </w:r>
      <w:r w:rsidRPr="002314BF">
        <w:rPr>
          <w:rFonts w:eastAsia="Calibri" w:cs="Tahoma"/>
        </w:rPr>
        <w:t xml:space="preserve">, </w:t>
      </w:r>
      <w:r w:rsidRPr="002314BF">
        <w:rPr>
          <w:rFonts w:cs="Tahoma"/>
        </w:rPr>
        <w:t xml:space="preserve">a efecto de que </w:t>
      </w:r>
      <w:r w:rsidR="00687F86" w:rsidRPr="002314BF">
        <w:rPr>
          <w:rFonts w:cs="Tahoma"/>
        </w:rPr>
        <w:t>vía Sistema de Acceso a la Información Mexiquense se entregue</w:t>
      </w:r>
      <w:r w:rsidR="009559E4" w:rsidRPr="002314BF">
        <w:rPr>
          <w:rFonts w:cs="Tahoma"/>
        </w:rPr>
        <w:t xml:space="preserve">, en su caso en versión pública, </w:t>
      </w:r>
      <w:r w:rsidR="006657B8" w:rsidRPr="002314BF">
        <w:rPr>
          <w:rFonts w:cs="Tahoma"/>
        </w:rPr>
        <w:t>las actas entrega recepción con anexos de las Direcciones y Jefaturas, elaboradas con motivo del inicio de la administración 2025-2027.</w:t>
      </w:r>
    </w:p>
    <w:p w14:paraId="7423FF08" w14:textId="77777777" w:rsidR="009559E4" w:rsidRPr="002314BF" w:rsidRDefault="009559E4" w:rsidP="00C04044">
      <w:pPr>
        <w:spacing w:after="0" w:line="360" w:lineRule="auto"/>
        <w:ind w:right="-28"/>
        <w:rPr>
          <w:rFonts w:cs="Tahoma"/>
        </w:rPr>
      </w:pPr>
    </w:p>
    <w:p w14:paraId="15D1F52F" w14:textId="77777777" w:rsidR="00CE58A5" w:rsidRPr="002314BF" w:rsidRDefault="00CE4466" w:rsidP="00C04044">
      <w:pPr>
        <w:spacing w:after="0" w:line="360" w:lineRule="auto"/>
        <w:ind w:right="-28"/>
        <w:rPr>
          <w:b/>
          <w:color w:val="000000"/>
        </w:rPr>
      </w:pPr>
      <w:r w:rsidRPr="002314BF">
        <w:rPr>
          <w:b/>
          <w:color w:val="000000"/>
        </w:rPr>
        <w:t>Términos de la Resolución para conocimiento del Particular</w:t>
      </w:r>
    </w:p>
    <w:p w14:paraId="708E5DB4" w14:textId="77777777" w:rsidR="007A54F7" w:rsidRPr="002314BF" w:rsidRDefault="007A54F7" w:rsidP="00C04044">
      <w:pPr>
        <w:spacing w:after="0" w:line="360" w:lineRule="auto"/>
        <w:ind w:right="-28"/>
        <w:rPr>
          <w:b/>
          <w:color w:val="000000"/>
        </w:rPr>
      </w:pPr>
    </w:p>
    <w:p w14:paraId="3A425D2C" w14:textId="2D33C303" w:rsidR="00CF60B9" w:rsidRPr="002314BF" w:rsidRDefault="0093706C" w:rsidP="00C04044">
      <w:pPr>
        <w:spacing w:after="0" w:line="360" w:lineRule="auto"/>
        <w:ind w:right="-28"/>
        <w:rPr>
          <w:rFonts w:eastAsia="Times New Roman" w:cs="Times New Roman"/>
        </w:rPr>
      </w:pPr>
      <w:r w:rsidRPr="002314BF">
        <w:rPr>
          <w:rFonts w:eastAsia="Times New Roman" w:cs="Times New Roman"/>
        </w:rPr>
        <w:t xml:space="preserve">Se le hace del conocimiento al Particular, que, en el presente caso, se le </w:t>
      </w:r>
      <w:r w:rsidR="007A7811" w:rsidRPr="002314BF">
        <w:rPr>
          <w:rFonts w:eastAsia="Times New Roman" w:cs="Times New Roman"/>
        </w:rPr>
        <w:t>concede la</w:t>
      </w:r>
      <w:r w:rsidR="003D1D15" w:rsidRPr="002314BF">
        <w:rPr>
          <w:rFonts w:eastAsia="Times New Roman" w:cs="Times New Roman"/>
        </w:rPr>
        <w:t xml:space="preserve"> razón, pues </w:t>
      </w:r>
      <w:r w:rsidR="00924A2A" w:rsidRPr="002314BF">
        <w:rPr>
          <w:rFonts w:eastAsia="Times New Roman" w:cs="Times New Roman"/>
        </w:rPr>
        <w:t xml:space="preserve">el Sujeto Obligado no le remitió la información </w:t>
      </w:r>
      <w:r w:rsidR="006657B8" w:rsidRPr="002314BF">
        <w:rPr>
          <w:rFonts w:eastAsia="Times New Roman" w:cs="Times New Roman"/>
        </w:rPr>
        <w:t>solicitada</w:t>
      </w:r>
      <w:r w:rsidR="00924A2A" w:rsidRPr="002314BF">
        <w:rPr>
          <w:rFonts w:eastAsia="Times New Roman" w:cs="Times New Roman"/>
        </w:rPr>
        <w:t xml:space="preserve">, no obstante que </w:t>
      </w:r>
      <w:r w:rsidR="007A7811">
        <w:rPr>
          <w:rFonts w:eastAsia="Times New Roman" w:cs="Times New Roman"/>
        </w:rPr>
        <w:t>señaló en respuesta que proporcionaba las Actas; por lo que, en el presente caso deberá entregárselas con sus respectivos anexos, en versión pública.</w:t>
      </w:r>
    </w:p>
    <w:p w14:paraId="3883796D" w14:textId="77777777" w:rsidR="00DB2E59" w:rsidRPr="002314BF" w:rsidRDefault="00DB2E59" w:rsidP="00C04044">
      <w:pPr>
        <w:spacing w:after="0" w:line="360" w:lineRule="auto"/>
        <w:ind w:right="-28"/>
        <w:rPr>
          <w:rFonts w:eastAsia="Calibri" w:cs="Tahoma"/>
        </w:rPr>
      </w:pPr>
    </w:p>
    <w:p w14:paraId="08ACCC16" w14:textId="77777777" w:rsidR="007A7811" w:rsidRPr="007A7811" w:rsidRDefault="007A7811" w:rsidP="007A7811">
      <w:pPr>
        <w:spacing w:after="0" w:line="360" w:lineRule="auto"/>
        <w:rPr>
          <w:rFonts w:eastAsia="Calibri" w:cs="Tahoma"/>
          <w:bCs/>
          <w:iCs/>
          <w:color w:val="auto"/>
          <w:lang w:val="es-ES_tradnl"/>
        </w:rPr>
      </w:pPr>
      <w:r w:rsidRPr="007A7811">
        <w:rPr>
          <w:rFonts w:eastAsia="Calibri" w:cs="Tahoma"/>
          <w:bCs/>
          <w:iCs/>
          <w:color w:val="auto"/>
          <w:lang w:val="es-ES_tradnl"/>
        </w:rPr>
        <w:t>Finalmente, se le hace del conocimiento a la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288E8F04" w14:textId="77777777" w:rsidR="00CE58A5" w:rsidRPr="007A7811" w:rsidRDefault="00CE58A5" w:rsidP="00C04044">
      <w:pPr>
        <w:spacing w:after="0" w:line="360" w:lineRule="auto"/>
        <w:rPr>
          <w:lang w:val="es-ES_tradnl"/>
        </w:rPr>
      </w:pPr>
    </w:p>
    <w:p w14:paraId="001142A1" w14:textId="77777777" w:rsidR="00CE58A5" w:rsidRPr="002314BF" w:rsidRDefault="00CE4466" w:rsidP="00C04044">
      <w:pPr>
        <w:spacing w:after="0" w:line="360" w:lineRule="auto"/>
        <w:rPr>
          <w:color w:val="000000"/>
        </w:rPr>
      </w:pPr>
      <w:r w:rsidRPr="002314BF">
        <w:t>Por</w:t>
      </w:r>
      <w:r w:rsidRPr="002314BF">
        <w:rPr>
          <w:color w:val="000000"/>
        </w:rPr>
        <w:t xml:space="preserve"> lo expuesto y fundado, este Pleno:</w:t>
      </w:r>
    </w:p>
    <w:p w14:paraId="3135DA7A" w14:textId="77777777" w:rsidR="00CE58A5" w:rsidRPr="002314BF" w:rsidRDefault="00CE58A5" w:rsidP="00C04044">
      <w:pPr>
        <w:spacing w:after="0" w:line="360" w:lineRule="auto"/>
        <w:rPr>
          <w:color w:val="000000"/>
        </w:rPr>
      </w:pPr>
    </w:p>
    <w:p w14:paraId="7A0B58CE" w14:textId="552315FF" w:rsidR="00CE58A5" w:rsidRPr="002314BF" w:rsidRDefault="00CE4466" w:rsidP="00C04044">
      <w:pPr>
        <w:pStyle w:val="Ttulo1"/>
        <w:spacing w:before="0" w:after="0"/>
      </w:pPr>
      <w:bookmarkStart w:id="29" w:name="_Toc179975608"/>
      <w:bookmarkStart w:id="30" w:name="_Toc192175304"/>
      <w:r w:rsidRPr="002314BF">
        <w:t>R E S U E L V E</w:t>
      </w:r>
      <w:bookmarkEnd w:id="29"/>
      <w:bookmarkEnd w:id="30"/>
    </w:p>
    <w:p w14:paraId="205AC030" w14:textId="77777777" w:rsidR="00CE58A5" w:rsidRPr="002314BF" w:rsidRDefault="00CE58A5" w:rsidP="00C04044">
      <w:pPr>
        <w:spacing w:after="0" w:line="360" w:lineRule="auto"/>
        <w:rPr>
          <w:b/>
          <w:color w:val="000000"/>
        </w:rPr>
      </w:pPr>
    </w:p>
    <w:p w14:paraId="4BE1AA98" w14:textId="4DC02D4F" w:rsidR="0093706C" w:rsidRPr="002314BF" w:rsidRDefault="0093706C" w:rsidP="00C04044">
      <w:pPr>
        <w:spacing w:after="0" w:line="360" w:lineRule="auto"/>
        <w:contextualSpacing/>
        <w:rPr>
          <w:rFonts w:eastAsia="Calibri" w:cs="Tahoma"/>
        </w:rPr>
      </w:pPr>
      <w:r w:rsidRPr="002314BF">
        <w:rPr>
          <w:rFonts w:cs="Tahoma"/>
          <w:b/>
          <w:bCs/>
        </w:rPr>
        <w:t xml:space="preserve">PRIMERO. </w:t>
      </w:r>
      <w:r w:rsidRPr="002314BF">
        <w:rPr>
          <w:rFonts w:cs="Tahoma"/>
          <w:bCs/>
        </w:rPr>
        <w:t xml:space="preserve">Se </w:t>
      </w:r>
      <w:r w:rsidR="00061E62" w:rsidRPr="002314BF">
        <w:rPr>
          <w:rFonts w:cs="Tahoma"/>
          <w:b/>
          <w:bCs/>
        </w:rPr>
        <w:t>MODIFICA</w:t>
      </w:r>
      <w:r w:rsidRPr="002314BF">
        <w:rPr>
          <w:rFonts w:cs="Tahoma"/>
          <w:bCs/>
        </w:rPr>
        <w:t xml:space="preserve"> la respuesta entregada por </w:t>
      </w:r>
      <w:r w:rsidR="001E735A" w:rsidRPr="002314BF">
        <w:rPr>
          <w:rFonts w:cs="Tahoma"/>
          <w:bCs/>
        </w:rPr>
        <w:t xml:space="preserve">el </w:t>
      </w:r>
      <w:r w:rsidR="00855E4B" w:rsidRPr="002314BF">
        <w:rPr>
          <w:rFonts w:cs="Tahoma"/>
          <w:bCs/>
        </w:rPr>
        <w:t xml:space="preserve">Sistema Municipal para el Desarrollo Integral de la Familia de Toluca </w:t>
      </w:r>
      <w:r w:rsidRPr="002314BF">
        <w:rPr>
          <w:rFonts w:cs="Tahoma"/>
          <w:bCs/>
        </w:rPr>
        <w:t xml:space="preserve">a la solicitud de </w:t>
      </w:r>
      <w:r w:rsidRPr="002314BF">
        <w:rPr>
          <w:rFonts w:eastAsia="Calibri" w:cs="Tahoma"/>
        </w:rPr>
        <w:t>información</w:t>
      </w:r>
      <w:r w:rsidR="004D6AC0" w:rsidRPr="002314BF">
        <w:rPr>
          <w:rFonts w:eastAsia="Calibri" w:cs="Tahoma"/>
        </w:rPr>
        <w:t xml:space="preserve"> </w:t>
      </w:r>
      <w:r w:rsidR="00855E4B" w:rsidRPr="007A7811">
        <w:rPr>
          <w:rFonts w:eastAsia="Calibri" w:cs="Tahoma"/>
          <w:bCs/>
        </w:rPr>
        <w:t>00016/DIFTOLUCA/IP/2025</w:t>
      </w:r>
      <w:r w:rsidRPr="002314BF">
        <w:rPr>
          <w:rFonts w:eastAsia="Calibri" w:cs="Tahoma"/>
          <w:bCs/>
        </w:rPr>
        <w:t>,</w:t>
      </w:r>
      <w:r w:rsidRPr="002314BF">
        <w:rPr>
          <w:rFonts w:eastAsia="Calibri" w:cs="Tahoma"/>
        </w:rPr>
        <w:t xml:space="preserve"> </w:t>
      </w:r>
      <w:r w:rsidRPr="002314BF">
        <w:t xml:space="preserve">por resultar </w:t>
      </w:r>
      <w:r w:rsidRPr="002314BF">
        <w:rPr>
          <w:b/>
        </w:rPr>
        <w:t>FUNDADAS</w:t>
      </w:r>
      <w:r w:rsidRPr="002314BF">
        <w:rPr>
          <w:rFonts w:cs="Tahoma"/>
        </w:rPr>
        <w:t xml:space="preserve"> </w:t>
      </w:r>
      <w:r w:rsidRPr="002314BF">
        <w:rPr>
          <w:rFonts w:eastAsia="Calibri" w:cs="Tahoma"/>
        </w:rPr>
        <w:t>las razones o motivos de inconformidad hechos valer por el Particular, en</w:t>
      </w:r>
      <w:r w:rsidRPr="002314BF">
        <w:rPr>
          <w:rFonts w:eastAsia="Calibri" w:cs="Tahoma"/>
          <w:bCs/>
        </w:rPr>
        <w:t xml:space="preserve"> términos de los considerandos QUINTO </w:t>
      </w:r>
      <w:r w:rsidRPr="002314BF">
        <w:rPr>
          <w:rFonts w:eastAsia="Calibri" w:cs="Tahoma"/>
        </w:rPr>
        <w:t xml:space="preserve">y </w:t>
      </w:r>
      <w:r w:rsidRPr="002314BF">
        <w:rPr>
          <w:rFonts w:eastAsia="Calibri" w:cs="Tahoma"/>
          <w:bCs/>
        </w:rPr>
        <w:t>SEXTO de la presente Resolución.</w:t>
      </w:r>
    </w:p>
    <w:p w14:paraId="11673238" w14:textId="77777777" w:rsidR="007A7811" w:rsidRPr="002314BF" w:rsidRDefault="007A7811" w:rsidP="00C04044">
      <w:pPr>
        <w:spacing w:after="0" w:line="360" w:lineRule="auto"/>
        <w:rPr>
          <w:b/>
        </w:rPr>
      </w:pPr>
    </w:p>
    <w:p w14:paraId="5B994179" w14:textId="60970EEE" w:rsidR="0093706C" w:rsidRPr="002314BF" w:rsidRDefault="0093706C" w:rsidP="00C04044">
      <w:pPr>
        <w:spacing w:after="0" w:line="360" w:lineRule="auto"/>
        <w:rPr>
          <w:rFonts w:eastAsia="Times New Roman" w:cs="Tahoma"/>
          <w:color w:val="auto"/>
          <w:lang w:eastAsia="es-ES"/>
        </w:rPr>
      </w:pPr>
      <w:r w:rsidRPr="002314BF">
        <w:rPr>
          <w:rFonts w:cs="Tahoma"/>
          <w:b/>
          <w:bCs/>
        </w:rPr>
        <w:t xml:space="preserve">SEGUNDO. </w:t>
      </w:r>
      <w:r w:rsidRPr="002314BF">
        <w:rPr>
          <w:rFonts w:cs="Tahoma"/>
        </w:rPr>
        <w:t xml:space="preserve">Se </w:t>
      </w:r>
      <w:r w:rsidRPr="002314BF">
        <w:rPr>
          <w:rFonts w:cs="Tahoma"/>
          <w:b/>
        </w:rPr>
        <w:t xml:space="preserve">ORDENA </w:t>
      </w:r>
      <w:r w:rsidRPr="002314BF">
        <w:rPr>
          <w:rFonts w:cs="Tahoma"/>
          <w:bCs/>
        </w:rPr>
        <w:t xml:space="preserve">al </w:t>
      </w:r>
      <w:r w:rsidRPr="002314BF">
        <w:rPr>
          <w:rFonts w:cs="Tahoma"/>
        </w:rPr>
        <w:t>Ente Recurrido, a efecto de</w:t>
      </w:r>
      <w:r w:rsidRPr="002314BF">
        <w:rPr>
          <w:rFonts w:eastAsia="Calibri" w:cs="Tahoma"/>
        </w:rPr>
        <w:t xml:space="preserve"> que</w:t>
      </w:r>
      <w:r w:rsidR="00C04044" w:rsidRPr="002314BF">
        <w:rPr>
          <w:rFonts w:eastAsia="Calibri" w:cs="Tahoma"/>
        </w:rPr>
        <w:t xml:space="preserve"> previa búsqueda exhaustiva y razonable en los archivos de las unidades administrativas competentes,</w:t>
      </w:r>
      <w:r w:rsidRPr="002314BF">
        <w:rPr>
          <w:rFonts w:eastAsia="Calibri" w:cs="Tahoma"/>
        </w:rPr>
        <w:t xml:space="preserve"> entregue</w:t>
      </w:r>
      <w:r w:rsidRPr="002314BF">
        <w:rPr>
          <w:rFonts w:cs="Tahoma"/>
        </w:rPr>
        <w:t xml:space="preserve"> a través del Sistema de Acceso a la I</w:t>
      </w:r>
      <w:r w:rsidR="00275206" w:rsidRPr="002314BF">
        <w:rPr>
          <w:rFonts w:cs="Tahoma"/>
        </w:rPr>
        <w:t>nformación Mexiquense (SAIMEX),</w:t>
      </w:r>
      <w:r w:rsidR="00FB5BD5" w:rsidRPr="002314BF">
        <w:rPr>
          <w:rFonts w:cs="Tahoma"/>
        </w:rPr>
        <w:t xml:space="preserve"> </w:t>
      </w:r>
      <w:r w:rsidR="00FC5767" w:rsidRPr="002314BF">
        <w:rPr>
          <w:rFonts w:cs="Tahoma"/>
        </w:rPr>
        <w:t>en su caso</w:t>
      </w:r>
      <w:r w:rsidR="00C04044" w:rsidRPr="002314BF">
        <w:rPr>
          <w:rFonts w:cs="Tahoma"/>
        </w:rPr>
        <w:t>,</w:t>
      </w:r>
      <w:r w:rsidR="00FC5767" w:rsidRPr="002314BF">
        <w:rPr>
          <w:rFonts w:cs="Tahoma"/>
        </w:rPr>
        <w:t xml:space="preserve"> en versión pública,</w:t>
      </w:r>
      <w:r w:rsidR="000424C3" w:rsidRPr="002314BF">
        <w:rPr>
          <w:rFonts w:cs="Tahoma"/>
        </w:rPr>
        <w:t xml:space="preserve"> </w:t>
      </w:r>
      <w:r w:rsidRPr="002314BF">
        <w:rPr>
          <w:rFonts w:eastAsia="Times New Roman" w:cs="Tahoma"/>
          <w:color w:val="auto"/>
          <w:lang w:eastAsia="es-ES"/>
        </w:rPr>
        <w:t>lo siguiente:</w:t>
      </w:r>
    </w:p>
    <w:p w14:paraId="12B92297" w14:textId="77777777" w:rsidR="000C03C1" w:rsidRPr="002314BF" w:rsidRDefault="000C03C1" w:rsidP="00C04044">
      <w:pPr>
        <w:spacing w:after="0" w:line="360" w:lineRule="auto"/>
        <w:rPr>
          <w:rFonts w:eastAsia="Times New Roman" w:cs="Tahoma"/>
          <w:color w:val="auto"/>
          <w:lang w:eastAsia="es-ES"/>
        </w:rPr>
      </w:pPr>
    </w:p>
    <w:p w14:paraId="2BD20CE3" w14:textId="28E3FAC6" w:rsidR="007A7811" w:rsidRPr="007A7811" w:rsidRDefault="007A7811" w:rsidP="00855E4B">
      <w:pPr>
        <w:pStyle w:val="Prrafodelista"/>
        <w:numPr>
          <w:ilvl w:val="0"/>
          <w:numId w:val="29"/>
        </w:numPr>
        <w:spacing w:line="360" w:lineRule="auto"/>
      </w:pPr>
      <w:r>
        <w:rPr>
          <w:rFonts w:cs="Tahoma"/>
          <w:bCs/>
          <w:szCs w:val="22"/>
        </w:rPr>
        <w:t>L</w:t>
      </w:r>
      <w:r w:rsidRPr="00D570A5">
        <w:rPr>
          <w:rFonts w:cs="Tahoma"/>
          <w:bCs/>
          <w:szCs w:val="22"/>
        </w:rPr>
        <w:t xml:space="preserve">as </w:t>
      </w:r>
      <w:r w:rsidRPr="00294988">
        <w:rPr>
          <w:rFonts w:cs="Tahoma"/>
          <w:bCs/>
          <w:szCs w:val="22"/>
        </w:rPr>
        <w:t xml:space="preserve">Actas de Entrega-Recepción generadas </w:t>
      </w:r>
      <w:r>
        <w:rPr>
          <w:rFonts w:cs="Tahoma"/>
          <w:bCs/>
          <w:szCs w:val="22"/>
        </w:rPr>
        <w:t>por las Direcciones y Jefaturas, del primero al quince de enero de dos mil veinticinco</w:t>
      </w:r>
      <w:bookmarkStart w:id="31" w:name="_Hlk191465474"/>
      <w:r>
        <w:rPr>
          <w:rFonts w:cs="Tahoma"/>
          <w:bCs/>
          <w:szCs w:val="22"/>
        </w:rPr>
        <w:t>, con motivo del cambio de administración</w:t>
      </w:r>
      <w:bookmarkEnd w:id="31"/>
      <w:r>
        <w:rPr>
          <w:rFonts w:cs="Tahoma"/>
          <w:bCs/>
          <w:szCs w:val="22"/>
        </w:rPr>
        <w:t>, con sus respectivos anexos.</w:t>
      </w:r>
    </w:p>
    <w:p w14:paraId="6D11818B" w14:textId="77777777" w:rsidR="00C75242" w:rsidRPr="002314BF" w:rsidRDefault="00C75242" w:rsidP="00C75242">
      <w:pPr>
        <w:pStyle w:val="Prrafodelista"/>
        <w:spacing w:line="360" w:lineRule="auto"/>
      </w:pPr>
    </w:p>
    <w:p w14:paraId="65BAE0E7" w14:textId="3AAA231E" w:rsidR="00FE6ED1" w:rsidRDefault="00FE6ED1" w:rsidP="00C04044">
      <w:pPr>
        <w:spacing w:after="0" w:line="360" w:lineRule="auto"/>
        <w:rPr>
          <w:rFonts w:eastAsia="Times New Roman" w:cs="Tahoma"/>
          <w:iCs/>
          <w:lang w:eastAsia="es-ES"/>
        </w:rPr>
      </w:pPr>
      <w:r w:rsidRPr="002314BF">
        <w:rPr>
          <w:rFonts w:eastAsia="Times New Roman" w:cs="Tahoma"/>
          <w:iCs/>
          <w:lang w:eastAsia="es-ES"/>
        </w:rPr>
        <w:t>Además, deberá proporcionar el Acuerdo de Clasificación donde el Comité de Transparencia, confirme la eliminación de los datos o información clasificada</w:t>
      </w:r>
      <w:r w:rsidR="007A7811">
        <w:rPr>
          <w:rFonts w:eastAsia="Times New Roman" w:cs="Tahoma"/>
          <w:iCs/>
          <w:lang w:eastAsia="es-ES"/>
        </w:rPr>
        <w:t>, en términos del Considerando QUINTO</w:t>
      </w:r>
      <w:r w:rsidRPr="002314BF">
        <w:rPr>
          <w:rFonts w:eastAsia="Times New Roman" w:cs="Tahoma"/>
          <w:iCs/>
          <w:lang w:eastAsia="es-ES"/>
        </w:rPr>
        <w:t>, en la versión pública, de conformidad con los artículos 49, fracciones II y VIII y 132, fracción II de la Ley de Transparencia y Acceso a la Información Pública del Estado de México y Municipios.</w:t>
      </w:r>
    </w:p>
    <w:p w14:paraId="39BB1470" w14:textId="77777777" w:rsidR="007A7811" w:rsidRPr="002314BF" w:rsidRDefault="007A7811" w:rsidP="00C04044">
      <w:pPr>
        <w:spacing w:after="0" w:line="360" w:lineRule="auto"/>
        <w:rPr>
          <w:rFonts w:eastAsia="Times New Roman" w:cs="Tahoma"/>
          <w:iCs/>
          <w:lang w:eastAsia="es-ES"/>
        </w:rPr>
      </w:pPr>
    </w:p>
    <w:p w14:paraId="264CFFB1" w14:textId="55E1138D" w:rsidR="0093706C" w:rsidRPr="002314BF" w:rsidRDefault="0093706C" w:rsidP="00C04044">
      <w:pPr>
        <w:spacing w:after="0" w:line="360" w:lineRule="auto"/>
        <w:rPr>
          <w:rFonts w:cs="Arial"/>
        </w:rPr>
      </w:pPr>
      <w:r w:rsidRPr="002314BF">
        <w:rPr>
          <w:rFonts w:eastAsia="Calibri" w:cs="Tahoma"/>
          <w:b/>
          <w:bCs/>
          <w:iCs/>
          <w:color w:val="auto"/>
          <w:lang w:eastAsia="es-ES"/>
        </w:rPr>
        <w:t>TERCERO</w:t>
      </w:r>
      <w:r w:rsidRPr="002314BF">
        <w:rPr>
          <w:rFonts w:eastAsia="Calibri" w:cs="Tahoma"/>
          <w:b/>
          <w:bCs/>
          <w:color w:val="auto"/>
          <w:lang w:eastAsia="en-US"/>
        </w:rPr>
        <w:t xml:space="preserve">. </w:t>
      </w:r>
      <w:r w:rsidRPr="002314BF">
        <w:rPr>
          <w:rFonts w:eastAsia="Times New Roman" w:cs="Tahoma"/>
          <w:b/>
          <w:color w:val="000000"/>
          <w:lang w:eastAsia="es-ES"/>
        </w:rPr>
        <w:t>NOTIFÍQUESE</w:t>
      </w:r>
      <w:r w:rsidR="00ED280F" w:rsidRPr="002314BF">
        <w:rPr>
          <w:rFonts w:eastAsia="Times New Roman" w:cs="Tahoma"/>
          <w:b/>
          <w:color w:val="000000"/>
          <w:lang w:eastAsia="es-ES"/>
        </w:rPr>
        <w:t xml:space="preserve"> VÍA SAIMEX</w:t>
      </w:r>
      <w:r w:rsidRPr="002314BF">
        <w:rPr>
          <w:rFonts w:eastAsia="Times New Roman" w:cs="Tahoma"/>
          <w:b/>
          <w:color w:val="000000"/>
          <w:lang w:eastAsia="es-ES"/>
        </w:rPr>
        <w:t xml:space="preserve"> </w:t>
      </w:r>
      <w:r w:rsidRPr="002314BF">
        <w:rPr>
          <w:rFonts w:eastAsia="Times New Roman" w:cs="Tahoma"/>
          <w:color w:val="000000"/>
          <w:lang w:eastAsia="es-ES"/>
        </w:rPr>
        <w:t>la presente Resolución</w:t>
      </w:r>
      <w:r w:rsidR="00ED280F" w:rsidRPr="002314BF">
        <w:rPr>
          <w:rFonts w:eastAsia="Times New Roman" w:cs="Tahoma"/>
          <w:color w:val="000000"/>
          <w:lang w:eastAsia="es-ES"/>
        </w:rPr>
        <w:t xml:space="preserve"> </w:t>
      </w:r>
      <w:r w:rsidRPr="002314BF">
        <w:rPr>
          <w:rFonts w:cs="Aria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44C583A" w14:textId="72F9E637" w:rsidR="0093706C" w:rsidRPr="002314BF" w:rsidRDefault="0093706C" w:rsidP="00C04044">
      <w:pPr>
        <w:spacing w:after="0" w:line="360" w:lineRule="auto"/>
        <w:ind w:right="-28"/>
        <w:rPr>
          <w:rFonts w:eastAsia="Times New Roman" w:cs="Tahoma"/>
          <w:i/>
          <w:color w:val="000000"/>
          <w:lang w:eastAsia="es-ES"/>
        </w:rPr>
      </w:pPr>
    </w:p>
    <w:p w14:paraId="5FE18E12" w14:textId="34AE713E" w:rsidR="0093706C" w:rsidRPr="002314BF" w:rsidRDefault="0093706C" w:rsidP="00C04044">
      <w:pPr>
        <w:spacing w:after="0" w:line="360" w:lineRule="auto"/>
        <w:rPr>
          <w:rFonts w:eastAsia="Calibri" w:cs="Tahoma"/>
          <w:iCs/>
          <w:color w:val="000000"/>
          <w:lang w:eastAsia="en-US"/>
        </w:rPr>
      </w:pPr>
      <w:r w:rsidRPr="002314BF">
        <w:rPr>
          <w:rFonts w:eastAsia="Calibri" w:cs="Tahoma"/>
          <w:iCs/>
          <w:color w:val="000000"/>
          <w:lang w:eastAsia="en-US"/>
        </w:rPr>
        <w:lastRenderedPageBreak/>
        <w:t>De conformidad con el artículo 198 de la Ley de la materia, de considerarlo procedente, el Sujeto Obligado de manera fundada y motivada, podrá solicitar una ampliación de plazo para el cumplimiento de la presente resolución.</w:t>
      </w:r>
    </w:p>
    <w:p w14:paraId="07A24C52" w14:textId="77777777" w:rsidR="00CE58A5" w:rsidRPr="002314BF" w:rsidRDefault="00CE58A5" w:rsidP="00C04044">
      <w:pPr>
        <w:spacing w:after="0" w:line="360" w:lineRule="auto"/>
        <w:rPr>
          <w:b/>
          <w:i/>
          <w:color w:val="000000"/>
        </w:rPr>
      </w:pPr>
    </w:p>
    <w:p w14:paraId="7856AACB" w14:textId="0B567267" w:rsidR="00CE58A5" w:rsidRPr="002314BF" w:rsidRDefault="0093706C" w:rsidP="00C04044">
      <w:pPr>
        <w:spacing w:after="0" w:line="360" w:lineRule="auto"/>
        <w:rPr>
          <w:color w:val="000000"/>
        </w:rPr>
      </w:pPr>
      <w:r w:rsidRPr="002314BF">
        <w:rPr>
          <w:b/>
          <w:color w:val="000000"/>
        </w:rPr>
        <w:t xml:space="preserve">CUARTO. NOTIFÍQUESE </w:t>
      </w:r>
      <w:r w:rsidR="00ED280F" w:rsidRPr="002314BF">
        <w:rPr>
          <w:b/>
          <w:color w:val="000000"/>
        </w:rPr>
        <w:t xml:space="preserve">VÍA SAIMEX </w:t>
      </w:r>
      <w:r w:rsidRPr="002314BF">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1EB1C1" w14:textId="77777777" w:rsidR="00F03AF0" w:rsidRPr="002314BF" w:rsidRDefault="00F03AF0" w:rsidP="00C04044">
      <w:pPr>
        <w:spacing w:after="0" w:line="360" w:lineRule="auto"/>
        <w:rPr>
          <w:color w:val="000000"/>
        </w:rPr>
      </w:pPr>
    </w:p>
    <w:p w14:paraId="3B12E1AE" w14:textId="213D9747" w:rsidR="00CE58A5" w:rsidRPr="002314BF" w:rsidRDefault="00CE4466" w:rsidP="00C04044">
      <w:pPr>
        <w:spacing w:after="0" w:line="360" w:lineRule="auto"/>
      </w:pPr>
      <w:r w:rsidRPr="002314BF">
        <w:t xml:space="preserve">ASÍ LO RESUELVE, POR </w:t>
      </w:r>
      <w:r w:rsidRPr="002314BF">
        <w:rPr>
          <w:b/>
        </w:rPr>
        <w:t>UNANIMIDAD</w:t>
      </w:r>
      <w:r w:rsidRPr="002314B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rsidRPr="002314BF">
        <w:t xml:space="preserve">Y GUADALUPE RAMÍREZ PEÑA, EN LA </w:t>
      </w:r>
      <w:r w:rsidR="0016042E">
        <w:t xml:space="preserve">OCTAVA </w:t>
      </w:r>
      <w:r w:rsidRPr="002314BF">
        <w:t xml:space="preserve">SESIÓN ORDINARIA, CELEBRADA EL </w:t>
      </w:r>
      <w:r w:rsidR="0016042E">
        <w:t xml:space="preserve">SEIS DE MARZO </w:t>
      </w:r>
      <w:r w:rsidR="00275206" w:rsidRPr="002314BF">
        <w:t>DE DOS MIL VEINTICINCO</w:t>
      </w:r>
      <w:r w:rsidR="00802E3A" w:rsidRPr="002314BF">
        <w:t xml:space="preserve">, ANTE </w:t>
      </w:r>
      <w:r w:rsidRPr="002314BF">
        <w:t>EL SECRETARIO TÉCNICO DEL PLENO, ALEXIS TAPIA RAMÍREZ.</w:t>
      </w:r>
    </w:p>
    <w:p w14:paraId="5E68A960" w14:textId="77777777" w:rsidR="00CE58A5" w:rsidRPr="002314BF" w:rsidRDefault="00CE4466" w:rsidP="00C04044">
      <w:pPr>
        <w:spacing w:after="0" w:line="360" w:lineRule="auto"/>
        <w:jc w:val="left"/>
      </w:pPr>
      <w:r w:rsidRPr="002314BF">
        <w:br w:type="page"/>
      </w:r>
    </w:p>
    <w:sectPr w:rsidR="00CE58A5" w:rsidRPr="002314BF" w:rsidSect="001B1903">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48DD" w14:textId="77777777" w:rsidR="000A15F3" w:rsidRDefault="000A15F3">
      <w:pPr>
        <w:spacing w:after="0" w:line="240" w:lineRule="auto"/>
      </w:pPr>
      <w:r>
        <w:separator/>
      </w:r>
    </w:p>
  </w:endnote>
  <w:endnote w:type="continuationSeparator" w:id="0">
    <w:p w14:paraId="65AB1D2C" w14:textId="77777777" w:rsidR="000A15F3" w:rsidRDefault="000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5C7F7A" w:rsidRDefault="005C7F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D295D">
      <w:rPr>
        <w:b/>
        <w:noProof/>
        <w:color w:val="000000"/>
        <w:sz w:val="24"/>
        <w:szCs w:val="24"/>
      </w:rPr>
      <w:t>31</w:t>
    </w:r>
    <w:r>
      <w:rPr>
        <w:b/>
        <w:color w:val="000000"/>
        <w:sz w:val="24"/>
        <w:szCs w:val="24"/>
      </w:rPr>
      <w:fldChar w:fldCharType="end"/>
    </w:r>
  </w:p>
  <w:p w14:paraId="547C391C" w14:textId="77777777" w:rsidR="005C7F7A" w:rsidRDefault="005C7F7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5C7F7A" w:rsidRDefault="005C7F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21FD">
      <w:rPr>
        <w:b/>
        <w:noProof/>
        <w:color w:val="000000"/>
        <w:sz w:val="24"/>
        <w:szCs w:val="24"/>
      </w:rPr>
      <w:t>31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21FD">
      <w:rPr>
        <w:b/>
        <w:noProof/>
        <w:color w:val="000000"/>
        <w:sz w:val="24"/>
        <w:szCs w:val="24"/>
      </w:rPr>
      <w:t>31</w:t>
    </w:r>
    <w:r>
      <w:rPr>
        <w:b/>
        <w:color w:val="000000"/>
        <w:sz w:val="24"/>
        <w:szCs w:val="24"/>
      </w:rPr>
      <w:fldChar w:fldCharType="end"/>
    </w:r>
  </w:p>
  <w:p w14:paraId="021EE9EB" w14:textId="77777777" w:rsidR="005C7F7A" w:rsidRDefault="005C7F7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5C7F7A" w:rsidRDefault="005C7F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21F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21FD">
      <w:rPr>
        <w:b/>
        <w:noProof/>
        <w:color w:val="000000"/>
        <w:sz w:val="24"/>
        <w:szCs w:val="24"/>
      </w:rPr>
      <w:t>31</w:t>
    </w:r>
    <w:r>
      <w:rPr>
        <w:b/>
        <w:color w:val="000000"/>
        <w:sz w:val="24"/>
        <w:szCs w:val="24"/>
      </w:rPr>
      <w:fldChar w:fldCharType="end"/>
    </w:r>
  </w:p>
  <w:p w14:paraId="23D55011" w14:textId="77777777" w:rsidR="005C7F7A" w:rsidRDefault="005C7F7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9E44" w14:textId="77777777" w:rsidR="000A15F3" w:rsidRDefault="000A15F3">
      <w:pPr>
        <w:spacing w:after="0" w:line="240" w:lineRule="auto"/>
      </w:pPr>
      <w:r>
        <w:separator/>
      </w:r>
    </w:p>
  </w:footnote>
  <w:footnote w:type="continuationSeparator" w:id="0">
    <w:p w14:paraId="7BEB002E" w14:textId="77777777" w:rsidR="000A15F3" w:rsidRDefault="000A1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5C7F7A" w:rsidRDefault="005C7F7A">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C7F7A" w14:paraId="4913F089" w14:textId="77777777">
      <w:trPr>
        <w:trHeight w:val="141"/>
      </w:trPr>
      <w:tc>
        <w:tcPr>
          <w:tcW w:w="2404" w:type="dxa"/>
        </w:tcPr>
        <w:p w14:paraId="1D800919" w14:textId="77777777" w:rsidR="005C7F7A" w:rsidRDefault="005C7F7A">
          <w:pPr>
            <w:tabs>
              <w:tab w:val="right" w:pos="8838"/>
            </w:tabs>
            <w:ind w:right="-105"/>
            <w:rPr>
              <w:b/>
            </w:rPr>
          </w:pPr>
          <w:r>
            <w:rPr>
              <w:b/>
            </w:rPr>
            <w:t>Recurso de Revisión:</w:t>
          </w:r>
        </w:p>
      </w:tc>
      <w:tc>
        <w:tcPr>
          <w:tcW w:w="3587" w:type="dxa"/>
        </w:tcPr>
        <w:p w14:paraId="53E9BD67" w14:textId="77777777" w:rsidR="005C7F7A" w:rsidRDefault="005C7F7A">
          <w:pPr>
            <w:tabs>
              <w:tab w:val="right" w:pos="8838"/>
            </w:tabs>
            <w:ind w:left="-28" w:right="683"/>
          </w:pPr>
          <w:r>
            <w:t>04196/INFOEM/IP/RR/2020</w:t>
          </w:r>
        </w:p>
      </w:tc>
    </w:tr>
    <w:tr w:rsidR="005C7F7A" w14:paraId="515F523A" w14:textId="77777777">
      <w:trPr>
        <w:trHeight w:val="276"/>
      </w:trPr>
      <w:tc>
        <w:tcPr>
          <w:tcW w:w="2404" w:type="dxa"/>
        </w:tcPr>
        <w:p w14:paraId="1CFF82A0" w14:textId="77777777" w:rsidR="005C7F7A" w:rsidRDefault="005C7F7A">
          <w:pPr>
            <w:tabs>
              <w:tab w:val="right" w:pos="8838"/>
            </w:tabs>
            <w:ind w:right="-105"/>
            <w:rPr>
              <w:b/>
            </w:rPr>
          </w:pPr>
          <w:r>
            <w:rPr>
              <w:b/>
            </w:rPr>
            <w:t>Sujeto Obligado:</w:t>
          </w:r>
        </w:p>
      </w:tc>
      <w:tc>
        <w:tcPr>
          <w:tcW w:w="3587" w:type="dxa"/>
        </w:tcPr>
        <w:p w14:paraId="1142F936" w14:textId="77777777" w:rsidR="005C7F7A" w:rsidRDefault="005C7F7A">
          <w:pPr>
            <w:tabs>
              <w:tab w:val="right" w:pos="8838"/>
            </w:tabs>
            <w:ind w:right="116"/>
          </w:pPr>
          <w:r>
            <w:t>Ayuntamiento de Chapultepec</w:t>
          </w:r>
        </w:p>
      </w:tc>
    </w:tr>
    <w:tr w:rsidR="005C7F7A" w14:paraId="69080D23" w14:textId="77777777">
      <w:trPr>
        <w:trHeight w:val="276"/>
      </w:trPr>
      <w:tc>
        <w:tcPr>
          <w:tcW w:w="2404" w:type="dxa"/>
        </w:tcPr>
        <w:p w14:paraId="50E24B18" w14:textId="77777777" w:rsidR="005C7F7A" w:rsidRDefault="005C7F7A">
          <w:pPr>
            <w:tabs>
              <w:tab w:val="right" w:pos="8838"/>
            </w:tabs>
            <w:ind w:right="-105"/>
            <w:rPr>
              <w:b/>
            </w:rPr>
          </w:pPr>
          <w:r>
            <w:rPr>
              <w:b/>
            </w:rPr>
            <w:t>Comisionado Ponente:</w:t>
          </w:r>
        </w:p>
      </w:tc>
      <w:tc>
        <w:tcPr>
          <w:tcW w:w="3587" w:type="dxa"/>
        </w:tcPr>
        <w:p w14:paraId="1467B143" w14:textId="77777777" w:rsidR="005C7F7A" w:rsidRDefault="005C7F7A">
          <w:pPr>
            <w:tabs>
              <w:tab w:val="right" w:pos="8838"/>
            </w:tabs>
            <w:ind w:right="-32"/>
          </w:pPr>
          <w:r>
            <w:t>Luis Gustavo Parra Noriega</w:t>
          </w:r>
        </w:p>
      </w:tc>
    </w:tr>
  </w:tbl>
  <w:p w14:paraId="74ECE196" w14:textId="77777777" w:rsidR="005C7F7A" w:rsidRDefault="006621FD">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2F1B361D" w:rsidR="005C7F7A" w:rsidRDefault="006621FD">
    <w:pPr>
      <w:rPr>
        <w:sz w:val="16"/>
        <w:szCs w:val="16"/>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78.25pt;margin-top:-125.55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04"/>
      <w:gridCol w:w="4400"/>
    </w:tblGrid>
    <w:tr w:rsidR="005C7F7A" w14:paraId="087E2B73" w14:textId="77777777" w:rsidTr="001B1903">
      <w:trPr>
        <w:trHeight w:val="141"/>
      </w:trPr>
      <w:tc>
        <w:tcPr>
          <w:tcW w:w="2404" w:type="dxa"/>
        </w:tcPr>
        <w:p w14:paraId="44594EC4" w14:textId="77777777" w:rsidR="005C7F7A" w:rsidRDefault="005C7F7A">
          <w:pPr>
            <w:tabs>
              <w:tab w:val="right" w:pos="8838"/>
            </w:tabs>
            <w:ind w:left="-395" w:right="-105" w:firstLine="395"/>
            <w:rPr>
              <w:b/>
            </w:rPr>
          </w:pPr>
          <w:r>
            <w:rPr>
              <w:b/>
            </w:rPr>
            <w:t>Recurso de Revisión:</w:t>
          </w:r>
        </w:p>
      </w:tc>
      <w:tc>
        <w:tcPr>
          <w:tcW w:w="4400" w:type="dxa"/>
        </w:tcPr>
        <w:p w14:paraId="312F8E98" w14:textId="39758604" w:rsidR="005C7F7A" w:rsidRDefault="005C7F7A" w:rsidP="00672439">
          <w:pPr>
            <w:tabs>
              <w:tab w:val="right" w:pos="8838"/>
            </w:tabs>
            <w:ind w:left="-28" w:right="454"/>
          </w:pPr>
          <w:r>
            <w:t>00436/INFOEM/IP/RR/2025</w:t>
          </w:r>
        </w:p>
      </w:tc>
    </w:tr>
    <w:tr w:rsidR="005C7F7A" w14:paraId="31D07777" w14:textId="77777777" w:rsidTr="001B1903">
      <w:trPr>
        <w:trHeight w:val="276"/>
      </w:trPr>
      <w:tc>
        <w:tcPr>
          <w:tcW w:w="2404" w:type="dxa"/>
        </w:tcPr>
        <w:p w14:paraId="6B55802A" w14:textId="77777777" w:rsidR="005C7F7A" w:rsidRDefault="005C7F7A">
          <w:pPr>
            <w:tabs>
              <w:tab w:val="right" w:pos="8838"/>
            </w:tabs>
            <w:ind w:right="-105"/>
            <w:rPr>
              <w:b/>
            </w:rPr>
          </w:pPr>
          <w:r>
            <w:rPr>
              <w:b/>
            </w:rPr>
            <w:t>Sujeto Obligado:</w:t>
          </w:r>
        </w:p>
      </w:tc>
      <w:tc>
        <w:tcPr>
          <w:tcW w:w="4400" w:type="dxa"/>
        </w:tcPr>
        <w:p w14:paraId="4A22BD99" w14:textId="39BE95DA" w:rsidR="005C7F7A" w:rsidRDefault="007A7811">
          <w:pPr>
            <w:tabs>
              <w:tab w:val="left" w:pos="3158"/>
              <w:tab w:val="left" w:pos="4292"/>
              <w:tab w:val="right" w:pos="8838"/>
            </w:tabs>
            <w:ind w:right="601"/>
          </w:pPr>
          <w:r>
            <w:t>Sistema Municipal para el Desarrollo Integral de la Familia de Toluca</w:t>
          </w:r>
        </w:p>
      </w:tc>
    </w:tr>
    <w:tr w:rsidR="005C7F7A" w14:paraId="161D40C6" w14:textId="77777777" w:rsidTr="001B1903">
      <w:trPr>
        <w:trHeight w:val="276"/>
      </w:trPr>
      <w:tc>
        <w:tcPr>
          <w:tcW w:w="2404" w:type="dxa"/>
        </w:tcPr>
        <w:p w14:paraId="2583E4C0" w14:textId="77777777" w:rsidR="005C7F7A" w:rsidRDefault="005C7F7A">
          <w:pPr>
            <w:tabs>
              <w:tab w:val="right" w:pos="8838"/>
            </w:tabs>
            <w:ind w:right="-105"/>
            <w:rPr>
              <w:b/>
            </w:rPr>
          </w:pPr>
          <w:r>
            <w:rPr>
              <w:b/>
            </w:rPr>
            <w:t>Comisionado Ponente:</w:t>
          </w:r>
        </w:p>
      </w:tc>
      <w:tc>
        <w:tcPr>
          <w:tcW w:w="4400" w:type="dxa"/>
        </w:tcPr>
        <w:p w14:paraId="4FEB6F64" w14:textId="77777777" w:rsidR="005C7F7A" w:rsidRDefault="005C7F7A">
          <w:pPr>
            <w:tabs>
              <w:tab w:val="right" w:pos="8838"/>
            </w:tabs>
            <w:ind w:right="454"/>
          </w:pPr>
          <w:r>
            <w:t>Luis Gustavo Parra Noriega</w:t>
          </w:r>
        </w:p>
      </w:tc>
    </w:tr>
  </w:tbl>
  <w:p w14:paraId="7B4A9F8D" w14:textId="361718B2" w:rsidR="005C7F7A" w:rsidRDefault="005C7F7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3A351550" w:rsidR="005C7F7A" w:rsidRDefault="006621FD">
    <w:pPr>
      <w:widowControl w:val="0"/>
      <w:pBdr>
        <w:top w:val="nil"/>
        <w:left w:val="nil"/>
        <w:bottom w:val="nil"/>
        <w:right w:val="nil"/>
        <w:between w:val="nil"/>
      </w:pBdr>
      <w:spacing w:after="0" w:line="276" w:lineRule="auto"/>
      <w:jc w:val="left"/>
      <w:rPr>
        <w:color w:val="000000"/>
      </w:rPr>
    </w:pPr>
    <w:r>
      <w:rPr>
        <w:b/>
        <w:noProof/>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MARCA DE AGUA - HOJA RESOLUCIÓN" style="position:absolute;margin-left:-87.25pt;margin-top:-131.8pt;width:663.5pt;height:12in;z-index:-251656704;mso-wrap-edited:f;mso-width-percent:0;mso-height-percent:0;mso-position-horizontal-relative:margin;mso-position-vertical-relative:margin;mso-width-percent:0;mso-height-percent:0">
          <v:imagedata r:id="rId1" o:title="image2"/>
          <w10:wrap anchorx="margin" anchory="margin"/>
        </v:shape>
      </w:pict>
    </w:r>
  </w:p>
  <w:tbl>
    <w:tblPr>
      <w:tblStyle w:val="a1"/>
      <w:tblW w:w="9356" w:type="dxa"/>
      <w:tblInd w:w="0" w:type="dxa"/>
      <w:tblLayout w:type="fixed"/>
      <w:tblLook w:val="0400" w:firstRow="0" w:lastRow="0" w:firstColumn="0" w:lastColumn="0" w:noHBand="0" w:noVBand="1"/>
    </w:tblPr>
    <w:tblGrid>
      <w:gridCol w:w="2127"/>
      <w:gridCol w:w="7229"/>
    </w:tblGrid>
    <w:tr w:rsidR="005C7F7A" w14:paraId="11A312BD" w14:textId="77777777" w:rsidTr="004F30BA">
      <w:trPr>
        <w:trHeight w:val="1546"/>
      </w:trPr>
      <w:tc>
        <w:tcPr>
          <w:tcW w:w="2127" w:type="dxa"/>
          <w:shd w:val="clear" w:color="auto" w:fill="auto"/>
        </w:tcPr>
        <w:p w14:paraId="02785A7F" w14:textId="77777777" w:rsidR="005C7F7A" w:rsidRDefault="005C7F7A">
          <w:pPr>
            <w:tabs>
              <w:tab w:val="right" w:pos="4273"/>
            </w:tabs>
            <w:rPr>
              <w:rFonts w:ascii="Garamond" w:eastAsia="Garamond" w:hAnsi="Garamond" w:cs="Garamond"/>
              <w:sz w:val="16"/>
              <w:szCs w:val="16"/>
            </w:rPr>
          </w:pPr>
        </w:p>
      </w:tc>
      <w:tc>
        <w:tcPr>
          <w:tcW w:w="7229" w:type="dxa"/>
          <w:shd w:val="clear" w:color="auto" w:fill="auto"/>
        </w:tcPr>
        <w:tbl>
          <w:tblPr>
            <w:tblStyle w:val="a2"/>
            <w:tblW w:w="6237" w:type="dxa"/>
            <w:tblInd w:w="884" w:type="dxa"/>
            <w:tblBorders>
              <w:top w:val="nil"/>
              <w:left w:val="nil"/>
              <w:bottom w:val="nil"/>
              <w:right w:val="nil"/>
              <w:insideH w:val="nil"/>
              <w:insideV w:val="nil"/>
            </w:tblBorders>
            <w:tblLayout w:type="fixed"/>
            <w:tblLook w:val="0400" w:firstRow="0" w:lastRow="0" w:firstColumn="0" w:lastColumn="0" w:noHBand="0" w:noVBand="1"/>
          </w:tblPr>
          <w:tblGrid>
            <w:gridCol w:w="2404"/>
            <w:gridCol w:w="3833"/>
          </w:tblGrid>
          <w:tr w:rsidR="005C7F7A" w14:paraId="4D093FE8" w14:textId="77777777" w:rsidTr="001B1903">
            <w:trPr>
              <w:trHeight w:val="141"/>
            </w:trPr>
            <w:tc>
              <w:tcPr>
                <w:tcW w:w="2404" w:type="dxa"/>
                <w:vAlign w:val="bottom"/>
              </w:tcPr>
              <w:p w14:paraId="19B4B05D" w14:textId="21581CCF" w:rsidR="005C7F7A" w:rsidRDefault="005C7F7A">
                <w:pPr>
                  <w:tabs>
                    <w:tab w:val="right" w:pos="8838"/>
                  </w:tabs>
                  <w:ind w:right="-105"/>
                  <w:rPr>
                    <w:b/>
                  </w:rPr>
                </w:pPr>
                <w:r>
                  <w:rPr>
                    <w:b/>
                  </w:rPr>
                  <w:t>Recurso de Revisión:</w:t>
                </w:r>
              </w:p>
            </w:tc>
            <w:tc>
              <w:tcPr>
                <w:tcW w:w="3833" w:type="dxa"/>
              </w:tcPr>
              <w:p w14:paraId="43DE950F" w14:textId="21021367" w:rsidR="005C7F7A" w:rsidRDefault="005C7F7A">
                <w:pPr>
                  <w:tabs>
                    <w:tab w:val="right" w:pos="8838"/>
                  </w:tabs>
                  <w:ind w:left="-28" w:right="-107"/>
                </w:pPr>
                <w:r>
                  <w:t>00436/INFOEM/IP/RR/2025</w:t>
                </w:r>
              </w:p>
            </w:tc>
          </w:tr>
          <w:tr w:rsidR="005C7F7A" w14:paraId="073EAE42" w14:textId="77777777" w:rsidTr="001B1903">
            <w:trPr>
              <w:trHeight w:val="141"/>
            </w:trPr>
            <w:tc>
              <w:tcPr>
                <w:tcW w:w="2404" w:type="dxa"/>
              </w:tcPr>
              <w:p w14:paraId="76E590DA" w14:textId="77777777" w:rsidR="005C7F7A" w:rsidRDefault="005C7F7A">
                <w:pPr>
                  <w:tabs>
                    <w:tab w:val="right" w:pos="8838"/>
                  </w:tabs>
                  <w:ind w:right="-105"/>
                  <w:rPr>
                    <w:b/>
                  </w:rPr>
                </w:pPr>
                <w:r>
                  <w:rPr>
                    <w:b/>
                  </w:rPr>
                  <w:t>Recurrente:</w:t>
                </w:r>
              </w:p>
            </w:tc>
            <w:tc>
              <w:tcPr>
                <w:tcW w:w="3833" w:type="dxa"/>
              </w:tcPr>
              <w:p w14:paraId="5FF2F8C6" w14:textId="3602F563" w:rsidR="005C7F7A" w:rsidRDefault="00B02095">
                <w:pPr>
                  <w:tabs>
                    <w:tab w:val="right" w:pos="8838"/>
                  </w:tabs>
                  <w:ind w:right="-107"/>
                </w:pPr>
                <w:r w:rsidRPr="00B02095">
                  <w:rPr>
                    <w:highlight w:val="black"/>
                  </w:rPr>
                  <w:t>XXXXXXXXXXXX</w:t>
                </w:r>
              </w:p>
            </w:tc>
          </w:tr>
          <w:tr w:rsidR="005C7F7A" w14:paraId="009C2510" w14:textId="77777777" w:rsidTr="001B1903">
            <w:trPr>
              <w:trHeight w:val="276"/>
            </w:trPr>
            <w:tc>
              <w:tcPr>
                <w:tcW w:w="2404" w:type="dxa"/>
              </w:tcPr>
              <w:p w14:paraId="0AAFC3CA" w14:textId="77777777" w:rsidR="005C7F7A" w:rsidRDefault="005C7F7A">
                <w:pPr>
                  <w:tabs>
                    <w:tab w:val="right" w:pos="8838"/>
                  </w:tabs>
                  <w:ind w:right="-105"/>
                  <w:rPr>
                    <w:b/>
                  </w:rPr>
                </w:pPr>
                <w:r>
                  <w:rPr>
                    <w:b/>
                  </w:rPr>
                  <w:t>Sujeto Obligado:</w:t>
                </w:r>
              </w:p>
            </w:tc>
            <w:tc>
              <w:tcPr>
                <w:tcW w:w="3833" w:type="dxa"/>
              </w:tcPr>
              <w:p w14:paraId="13F6DD80" w14:textId="25C0EF66" w:rsidR="005C7F7A" w:rsidRDefault="00C75242" w:rsidP="001B1903">
                <w:pPr>
                  <w:tabs>
                    <w:tab w:val="right" w:pos="8838"/>
                  </w:tabs>
                  <w:ind w:right="33"/>
                </w:pPr>
                <w:r>
                  <w:t>Sistema Municipal p</w:t>
                </w:r>
                <w:r w:rsidR="005C7F7A" w:rsidRPr="00D362E2">
                  <w:t>ara el Desarrollo Integral de la Familia</w:t>
                </w:r>
                <w:r w:rsidR="001B1903">
                  <w:t xml:space="preserve"> </w:t>
                </w:r>
                <w:r w:rsidR="005C7F7A" w:rsidRPr="00D362E2">
                  <w:t>de Toluca</w:t>
                </w:r>
              </w:p>
            </w:tc>
          </w:tr>
          <w:tr w:rsidR="005C7F7A" w14:paraId="7A4EADF6" w14:textId="77777777" w:rsidTr="001B1903">
            <w:trPr>
              <w:trHeight w:val="276"/>
            </w:trPr>
            <w:tc>
              <w:tcPr>
                <w:tcW w:w="2404" w:type="dxa"/>
              </w:tcPr>
              <w:p w14:paraId="014674B7" w14:textId="77777777" w:rsidR="005C7F7A" w:rsidRDefault="005C7F7A">
                <w:pPr>
                  <w:tabs>
                    <w:tab w:val="right" w:pos="8838"/>
                  </w:tabs>
                  <w:ind w:right="-105"/>
                  <w:rPr>
                    <w:b/>
                  </w:rPr>
                </w:pPr>
                <w:r>
                  <w:rPr>
                    <w:b/>
                  </w:rPr>
                  <w:t>Comisionado Ponente:</w:t>
                </w:r>
              </w:p>
            </w:tc>
            <w:tc>
              <w:tcPr>
                <w:tcW w:w="3833" w:type="dxa"/>
              </w:tcPr>
              <w:p w14:paraId="06F82FCE" w14:textId="77777777" w:rsidR="005C7F7A" w:rsidRDefault="005C7F7A">
                <w:pPr>
                  <w:tabs>
                    <w:tab w:val="right" w:pos="8838"/>
                  </w:tabs>
                  <w:ind w:right="-107"/>
                </w:pPr>
                <w:r>
                  <w:t>Luis Gustavo Parra Noriega</w:t>
                </w:r>
              </w:p>
            </w:tc>
          </w:tr>
        </w:tbl>
        <w:p w14:paraId="3774A9CE" w14:textId="77777777" w:rsidR="005C7F7A" w:rsidRDefault="005C7F7A">
          <w:pPr>
            <w:tabs>
              <w:tab w:val="right" w:pos="8838"/>
            </w:tabs>
            <w:ind w:left="-28"/>
            <w:rPr>
              <w:rFonts w:ascii="Arial" w:eastAsia="Arial" w:hAnsi="Arial" w:cs="Arial"/>
              <w:b/>
            </w:rPr>
          </w:pPr>
        </w:p>
      </w:tc>
    </w:tr>
  </w:tbl>
  <w:p w14:paraId="38129A67" w14:textId="036E5164" w:rsidR="005C7F7A" w:rsidRDefault="005C7F7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2001F"/>
    <w:multiLevelType w:val="hybridMultilevel"/>
    <w:tmpl w:val="FFFFFFFF"/>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E24228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A60E1"/>
    <w:multiLevelType w:val="hybridMultilevel"/>
    <w:tmpl w:val="FFFFFFFF"/>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F2D0CBB"/>
    <w:multiLevelType w:val="hybridMultilevel"/>
    <w:tmpl w:val="FFFFFFFF"/>
    <w:lvl w:ilvl="0" w:tplc="080A0015">
      <w:start w:val="1"/>
      <w:numFmt w:val="upp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075B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8"/>
  </w:num>
  <w:num w:numId="5">
    <w:abstractNumId w:val="8"/>
  </w:num>
  <w:num w:numId="6">
    <w:abstractNumId w:val="35"/>
  </w:num>
  <w:num w:numId="7">
    <w:abstractNumId w:val="9"/>
  </w:num>
  <w:num w:numId="8">
    <w:abstractNumId w:val="22"/>
  </w:num>
  <w:num w:numId="9">
    <w:abstractNumId w:val="19"/>
  </w:num>
  <w:num w:numId="10">
    <w:abstractNumId w:val="23"/>
  </w:num>
  <w:num w:numId="11">
    <w:abstractNumId w:val="21"/>
  </w:num>
  <w:num w:numId="12">
    <w:abstractNumId w:val="10"/>
  </w:num>
  <w:num w:numId="13">
    <w:abstractNumId w:val="0"/>
  </w:num>
  <w:num w:numId="14">
    <w:abstractNumId w:val="14"/>
  </w:num>
  <w:num w:numId="15">
    <w:abstractNumId w:val="17"/>
  </w:num>
  <w:num w:numId="16">
    <w:abstractNumId w:val="28"/>
  </w:num>
  <w:num w:numId="17">
    <w:abstractNumId w:val="27"/>
  </w:num>
  <w:num w:numId="18">
    <w:abstractNumId w:val="12"/>
  </w:num>
  <w:num w:numId="19">
    <w:abstractNumId w:val="20"/>
  </w:num>
  <w:num w:numId="20">
    <w:abstractNumId w:val="26"/>
  </w:num>
  <w:num w:numId="21">
    <w:abstractNumId w:val="3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13"/>
  </w:num>
  <w:num w:numId="30">
    <w:abstractNumId w:val="31"/>
  </w:num>
  <w:num w:numId="31">
    <w:abstractNumId w:val="3"/>
  </w:num>
  <w:num w:numId="32">
    <w:abstractNumId w:val="6"/>
  </w:num>
  <w:num w:numId="33">
    <w:abstractNumId w:val="30"/>
  </w:num>
  <w:num w:numId="34">
    <w:abstractNumId w:val="15"/>
  </w:num>
  <w:num w:numId="35">
    <w:abstractNumId w:val="11"/>
  </w:num>
  <w:num w:numId="36">
    <w:abstractNumId w:val="2"/>
  </w:num>
  <w:num w:numId="37">
    <w:abstractNumId w:val="4"/>
  </w:num>
  <w:num w:numId="38">
    <w:abstractNumId w:val="2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121B"/>
    <w:rsid w:val="000333F3"/>
    <w:rsid w:val="000424C3"/>
    <w:rsid w:val="000503E7"/>
    <w:rsid w:val="00061E62"/>
    <w:rsid w:val="000620C8"/>
    <w:rsid w:val="000662A8"/>
    <w:rsid w:val="000678E8"/>
    <w:rsid w:val="0008574F"/>
    <w:rsid w:val="000A15F3"/>
    <w:rsid w:val="000A5247"/>
    <w:rsid w:val="000B34E2"/>
    <w:rsid w:val="000C03C1"/>
    <w:rsid w:val="000C30C0"/>
    <w:rsid w:val="000C455C"/>
    <w:rsid w:val="000E51A2"/>
    <w:rsid w:val="000F1C66"/>
    <w:rsid w:val="00106280"/>
    <w:rsid w:val="00116267"/>
    <w:rsid w:val="00123ED6"/>
    <w:rsid w:val="001464C5"/>
    <w:rsid w:val="00152404"/>
    <w:rsid w:val="001544A8"/>
    <w:rsid w:val="00155DD4"/>
    <w:rsid w:val="0016042E"/>
    <w:rsid w:val="001729D9"/>
    <w:rsid w:val="0018608F"/>
    <w:rsid w:val="00193023"/>
    <w:rsid w:val="001A043A"/>
    <w:rsid w:val="001A35C6"/>
    <w:rsid w:val="001A3FA2"/>
    <w:rsid w:val="001A4D72"/>
    <w:rsid w:val="001A518F"/>
    <w:rsid w:val="001A54EF"/>
    <w:rsid w:val="001A6591"/>
    <w:rsid w:val="001B1903"/>
    <w:rsid w:val="001B2B90"/>
    <w:rsid w:val="001C3D22"/>
    <w:rsid w:val="001E3BEF"/>
    <w:rsid w:val="001E735A"/>
    <w:rsid w:val="001F1666"/>
    <w:rsid w:val="001F7131"/>
    <w:rsid w:val="00201106"/>
    <w:rsid w:val="00214680"/>
    <w:rsid w:val="00227BE3"/>
    <w:rsid w:val="002314BF"/>
    <w:rsid w:val="00246A31"/>
    <w:rsid w:val="00247679"/>
    <w:rsid w:val="0026142D"/>
    <w:rsid w:val="00267D04"/>
    <w:rsid w:val="00271EEF"/>
    <w:rsid w:val="0027405F"/>
    <w:rsid w:val="0027513C"/>
    <w:rsid w:val="00275206"/>
    <w:rsid w:val="00281A8C"/>
    <w:rsid w:val="00290E55"/>
    <w:rsid w:val="002A1E5F"/>
    <w:rsid w:val="002A4B9F"/>
    <w:rsid w:val="002B3613"/>
    <w:rsid w:val="002B77FE"/>
    <w:rsid w:val="002C5C66"/>
    <w:rsid w:val="002D0172"/>
    <w:rsid w:val="002D4685"/>
    <w:rsid w:val="002E2C77"/>
    <w:rsid w:val="0030191A"/>
    <w:rsid w:val="0030497A"/>
    <w:rsid w:val="00307230"/>
    <w:rsid w:val="00321F56"/>
    <w:rsid w:val="003313D5"/>
    <w:rsid w:val="003376EE"/>
    <w:rsid w:val="00347EC1"/>
    <w:rsid w:val="00351D9A"/>
    <w:rsid w:val="00352DFA"/>
    <w:rsid w:val="00355945"/>
    <w:rsid w:val="00364D1C"/>
    <w:rsid w:val="003715A2"/>
    <w:rsid w:val="00372769"/>
    <w:rsid w:val="0038068D"/>
    <w:rsid w:val="00382344"/>
    <w:rsid w:val="0038597C"/>
    <w:rsid w:val="003A6BE7"/>
    <w:rsid w:val="003B0222"/>
    <w:rsid w:val="003D1D15"/>
    <w:rsid w:val="003E14BE"/>
    <w:rsid w:val="00400449"/>
    <w:rsid w:val="00416366"/>
    <w:rsid w:val="00417149"/>
    <w:rsid w:val="00432851"/>
    <w:rsid w:val="0045203D"/>
    <w:rsid w:val="00464E39"/>
    <w:rsid w:val="0046624D"/>
    <w:rsid w:val="00473647"/>
    <w:rsid w:val="00480823"/>
    <w:rsid w:val="00482F65"/>
    <w:rsid w:val="004952B7"/>
    <w:rsid w:val="004B2592"/>
    <w:rsid w:val="004B503B"/>
    <w:rsid w:val="004B77C7"/>
    <w:rsid w:val="004C4B87"/>
    <w:rsid w:val="004D37D8"/>
    <w:rsid w:val="004D6AC0"/>
    <w:rsid w:val="004E16CA"/>
    <w:rsid w:val="004F30BA"/>
    <w:rsid w:val="00500D89"/>
    <w:rsid w:val="005041FF"/>
    <w:rsid w:val="00514FE7"/>
    <w:rsid w:val="00515931"/>
    <w:rsid w:val="00522F93"/>
    <w:rsid w:val="00543995"/>
    <w:rsid w:val="005B5E7C"/>
    <w:rsid w:val="005B6629"/>
    <w:rsid w:val="005C4CEA"/>
    <w:rsid w:val="005C6CD7"/>
    <w:rsid w:val="005C7F7A"/>
    <w:rsid w:val="005D295D"/>
    <w:rsid w:val="005D7AEB"/>
    <w:rsid w:val="005E1192"/>
    <w:rsid w:val="00600C74"/>
    <w:rsid w:val="006020E8"/>
    <w:rsid w:val="00603C0C"/>
    <w:rsid w:val="0060513D"/>
    <w:rsid w:val="006269DD"/>
    <w:rsid w:val="00647460"/>
    <w:rsid w:val="0064764C"/>
    <w:rsid w:val="006515E5"/>
    <w:rsid w:val="0065522B"/>
    <w:rsid w:val="00661E10"/>
    <w:rsid w:val="006621FD"/>
    <w:rsid w:val="006657B8"/>
    <w:rsid w:val="00670439"/>
    <w:rsid w:val="00672439"/>
    <w:rsid w:val="00674D7A"/>
    <w:rsid w:val="00675D60"/>
    <w:rsid w:val="006819BC"/>
    <w:rsid w:val="0068258C"/>
    <w:rsid w:val="00682881"/>
    <w:rsid w:val="00687F86"/>
    <w:rsid w:val="00690DEB"/>
    <w:rsid w:val="006B72AD"/>
    <w:rsid w:val="006C4DBF"/>
    <w:rsid w:val="006D4068"/>
    <w:rsid w:val="006E46EA"/>
    <w:rsid w:val="006E6C38"/>
    <w:rsid w:val="00750C88"/>
    <w:rsid w:val="00752F6F"/>
    <w:rsid w:val="00760CA6"/>
    <w:rsid w:val="0076362A"/>
    <w:rsid w:val="0078202B"/>
    <w:rsid w:val="00791585"/>
    <w:rsid w:val="00794055"/>
    <w:rsid w:val="007A54F7"/>
    <w:rsid w:val="007A7811"/>
    <w:rsid w:val="007D30CD"/>
    <w:rsid w:val="007F0973"/>
    <w:rsid w:val="007F198A"/>
    <w:rsid w:val="008022FE"/>
    <w:rsid w:val="00802E3A"/>
    <w:rsid w:val="008061A1"/>
    <w:rsid w:val="00817669"/>
    <w:rsid w:val="00827EA8"/>
    <w:rsid w:val="00836753"/>
    <w:rsid w:val="00850D54"/>
    <w:rsid w:val="00855E4B"/>
    <w:rsid w:val="00862C79"/>
    <w:rsid w:val="00876057"/>
    <w:rsid w:val="008854E3"/>
    <w:rsid w:val="00887460"/>
    <w:rsid w:val="0089088A"/>
    <w:rsid w:val="00895704"/>
    <w:rsid w:val="00897C88"/>
    <w:rsid w:val="008A467B"/>
    <w:rsid w:val="008B1792"/>
    <w:rsid w:val="008C369E"/>
    <w:rsid w:val="008D1717"/>
    <w:rsid w:val="008D200F"/>
    <w:rsid w:val="008E4E6A"/>
    <w:rsid w:val="00901916"/>
    <w:rsid w:val="0090345F"/>
    <w:rsid w:val="00921B80"/>
    <w:rsid w:val="00922619"/>
    <w:rsid w:val="00924069"/>
    <w:rsid w:val="00924A2A"/>
    <w:rsid w:val="00924D87"/>
    <w:rsid w:val="00931903"/>
    <w:rsid w:val="00933D31"/>
    <w:rsid w:val="009354C9"/>
    <w:rsid w:val="0093706C"/>
    <w:rsid w:val="009559E4"/>
    <w:rsid w:val="0097468B"/>
    <w:rsid w:val="0098702F"/>
    <w:rsid w:val="009A0999"/>
    <w:rsid w:val="009B468B"/>
    <w:rsid w:val="009C155B"/>
    <w:rsid w:val="009C200B"/>
    <w:rsid w:val="009C3A65"/>
    <w:rsid w:val="009D5DFC"/>
    <w:rsid w:val="009E143C"/>
    <w:rsid w:val="009E4D0C"/>
    <w:rsid w:val="009F177B"/>
    <w:rsid w:val="009F4781"/>
    <w:rsid w:val="00A012C4"/>
    <w:rsid w:val="00A01C44"/>
    <w:rsid w:val="00A07B02"/>
    <w:rsid w:val="00A169B3"/>
    <w:rsid w:val="00A31D29"/>
    <w:rsid w:val="00A340DF"/>
    <w:rsid w:val="00A3628B"/>
    <w:rsid w:val="00A36580"/>
    <w:rsid w:val="00A50615"/>
    <w:rsid w:val="00A6353E"/>
    <w:rsid w:val="00A7495B"/>
    <w:rsid w:val="00A83357"/>
    <w:rsid w:val="00A876A7"/>
    <w:rsid w:val="00AA681D"/>
    <w:rsid w:val="00AB525A"/>
    <w:rsid w:val="00AE68DB"/>
    <w:rsid w:val="00AF1546"/>
    <w:rsid w:val="00B02095"/>
    <w:rsid w:val="00B12E36"/>
    <w:rsid w:val="00B2250B"/>
    <w:rsid w:val="00B23602"/>
    <w:rsid w:val="00B40CD5"/>
    <w:rsid w:val="00B439A5"/>
    <w:rsid w:val="00B46A70"/>
    <w:rsid w:val="00B574FD"/>
    <w:rsid w:val="00B662E6"/>
    <w:rsid w:val="00B663EA"/>
    <w:rsid w:val="00B87D27"/>
    <w:rsid w:val="00B91BCB"/>
    <w:rsid w:val="00B97C98"/>
    <w:rsid w:val="00BA1C09"/>
    <w:rsid w:val="00BA599A"/>
    <w:rsid w:val="00BA7CA9"/>
    <w:rsid w:val="00BC37F6"/>
    <w:rsid w:val="00BD5CCE"/>
    <w:rsid w:val="00BD76D4"/>
    <w:rsid w:val="00BF4381"/>
    <w:rsid w:val="00C04044"/>
    <w:rsid w:val="00C13CA5"/>
    <w:rsid w:val="00C23341"/>
    <w:rsid w:val="00C4170A"/>
    <w:rsid w:val="00C442BD"/>
    <w:rsid w:val="00C503C4"/>
    <w:rsid w:val="00C54A79"/>
    <w:rsid w:val="00C6112D"/>
    <w:rsid w:val="00C6562F"/>
    <w:rsid w:val="00C6747F"/>
    <w:rsid w:val="00C74055"/>
    <w:rsid w:val="00C75242"/>
    <w:rsid w:val="00C776C5"/>
    <w:rsid w:val="00C80616"/>
    <w:rsid w:val="00CA016E"/>
    <w:rsid w:val="00CA52C6"/>
    <w:rsid w:val="00CA79CD"/>
    <w:rsid w:val="00CC04F2"/>
    <w:rsid w:val="00CC263D"/>
    <w:rsid w:val="00CE19BD"/>
    <w:rsid w:val="00CE3B03"/>
    <w:rsid w:val="00CE4466"/>
    <w:rsid w:val="00CE58A5"/>
    <w:rsid w:val="00CF024F"/>
    <w:rsid w:val="00CF0C7D"/>
    <w:rsid w:val="00CF0CB5"/>
    <w:rsid w:val="00CF60B9"/>
    <w:rsid w:val="00CF6EC8"/>
    <w:rsid w:val="00D151C0"/>
    <w:rsid w:val="00D21192"/>
    <w:rsid w:val="00D213E4"/>
    <w:rsid w:val="00D362E2"/>
    <w:rsid w:val="00D4464F"/>
    <w:rsid w:val="00D44EDE"/>
    <w:rsid w:val="00D457C1"/>
    <w:rsid w:val="00D51406"/>
    <w:rsid w:val="00D52F9F"/>
    <w:rsid w:val="00D7798F"/>
    <w:rsid w:val="00D93ABD"/>
    <w:rsid w:val="00DB2DF7"/>
    <w:rsid w:val="00DB2E59"/>
    <w:rsid w:val="00DD7C00"/>
    <w:rsid w:val="00DE3BBD"/>
    <w:rsid w:val="00DF6F15"/>
    <w:rsid w:val="00E03F94"/>
    <w:rsid w:val="00E1369F"/>
    <w:rsid w:val="00E14CA1"/>
    <w:rsid w:val="00E17CD4"/>
    <w:rsid w:val="00E27D46"/>
    <w:rsid w:val="00E33F85"/>
    <w:rsid w:val="00E51F39"/>
    <w:rsid w:val="00E57161"/>
    <w:rsid w:val="00E624D4"/>
    <w:rsid w:val="00E6706F"/>
    <w:rsid w:val="00E73EE5"/>
    <w:rsid w:val="00E763D9"/>
    <w:rsid w:val="00E87065"/>
    <w:rsid w:val="00E871E9"/>
    <w:rsid w:val="00E91907"/>
    <w:rsid w:val="00EA18B6"/>
    <w:rsid w:val="00EC2F43"/>
    <w:rsid w:val="00ED280F"/>
    <w:rsid w:val="00EE5144"/>
    <w:rsid w:val="00F01C4C"/>
    <w:rsid w:val="00F03AF0"/>
    <w:rsid w:val="00F04222"/>
    <w:rsid w:val="00F11C2C"/>
    <w:rsid w:val="00F1744F"/>
    <w:rsid w:val="00F42D47"/>
    <w:rsid w:val="00F44355"/>
    <w:rsid w:val="00F64A35"/>
    <w:rsid w:val="00F72062"/>
    <w:rsid w:val="00F80821"/>
    <w:rsid w:val="00F84B60"/>
    <w:rsid w:val="00F85619"/>
    <w:rsid w:val="00F8647F"/>
    <w:rsid w:val="00F905E5"/>
    <w:rsid w:val="00F954FA"/>
    <w:rsid w:val="00FB5127"/>
    <w:rsid w:val="00FB5BD5"/>
    <w:rsid w:val="00FB6A6B"/>
    <w:rsid w:val="00FC14F1"/>
    <w:rsid w:val="00FC5767"/>
    <w:rsid w:val="00FD0C0D"/>
    <w:rsid w:val="00FE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4110">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330642495">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594561492">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35551622">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46091128">
      <w:bodyDiv w:val="1"/>
      <w:marLeft w:val="0"/>
      <w:marRight w:val="0"/>
      <w:marTop w:val="0"/>
      <w:marBottom w:val="0"/>
      <w:divBdr>
        <w:top w:val="none" w:sz="0" w:space="0" w:color="auto"/>
        <w:left w:val="none" w:sz="0" w:space="0" w:color="auto"/>
        <w:bottom w:val="none" w:sz="0" w:space="0" w:color="auto"/>
        <w:right w:val="none" w:sz="0" w:space="0" w:color="auto"/>
      </w:divBdr>
    </w:div>
    <w:div w:id="185461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onsultas.curp.gob.mx/CurpSP/html/informacionecurpP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D9C3DE-2695-457F-A7D0-A1A5C061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7457</Words>
  <Characters>41015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5</cp:revision>
  <cp:lastPrinted>2025-03-07T20:39:00Z</cp:lastPrinted>
  <dcterms:created xsi:type="dcterms:W3CDTF">2025-03-07T20:39:00Z</dcterms:created>
  <dcterms:modified xsi:type="dcterms:W3CDTF">2025-04-07T17:35:00Z</dcterms:modified>
</cp:coreProperties>
</file>