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BC5D8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quince de octubre de dos mil veinticinco. </w:t>
      </w:r>
    </w:p>
    <w:p w:rsidR="00F25EA2" w:rsidRPr="00BC5D8E" w:rsidRDefault="00FD36DE">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BC5D8E">
        <w:rPr>
          <w:rFonts w:ascii="Palatino Linotype" w:eastAsia="Palatino Linotype" w:hAnsi="Palatino Linotype" w:cs="Palatino Linotype"/>
          <w:b/>
          <w:sz w:val="22"/>
          <w:szCs w:val="22"/>
        </w:rPr>
        <w:t>VISTO</w:t>
      </w:r>
      <w:r w:rsidRPr="00BC5D8E">
        <w:rPr>
          <w:rFonts w:ascii="Palatino Linotype" w:eastAsia="Palatino Linotype" w:hAnsi="Palatino Linotype" w:cs="Palatino Linotype"/>
          <w:sz w:val="22"/>
          <w:szCs w:val="22"/>
        </w:rPr>
        <w:t xml:space="preserve"> el expediente formado con motivo del recurso de revisión </w:t>
      </w:r>
      <w:r w:rsidRPr="00BC5D8E">
        <w:rPr>
          <w:rFonts w:ascii="Palatino Linotype" w:eastAsia="Palatino Linotype" w:hAnsi="Palatino Linotype" w:cs="Palatino Linotype"/>
          <w:b/>
          <w:sz w:val="22"/>
          <w:szCs w:val="22"/>
        </w:rPr>
        <w:t>08229/INFOEM/IP/RR/2025</w:t>
      </w:r>
      <w:r w:rsidRPr="00BC5D8E">
        <w:rPr>
          <w:rFonts w:ascii="Palatino Linotype" w:eastAsia="Palatino Linotype" w:hAnsi="Palatino Linotype" w:cs="Palatino Linotype"/>
          <w:sz w:val="22"/>
          <w:szCs w:val="22"/>
        </w:rPr>
        <w:t>, interpuesto por</w:t>
      </w:r>
      <w:r w:rsidRPr="00BC5D8E">
        <w:rPr>
          <w:rFonts w:ascii="Palatino Linotype" w:eastAsia="Palatino Linotype" w:hAnsi="Palatino Linotype" w:cs="Palatino Linotype"/>
          <w:b/>
          <w:sz w:val="22"/>
          <w:szCs w:val="22"/>
        </w:rPr>
        <w:t xml:space="preserve"> una persona que no proporcionó nombre o seudónimo,</w:t>
      </w:r>
      <w:r w:rsidRPr="00BC5D8E">
        <w:rPr>
          <w:rFonts w:ascii="Palatino Linotype" w:eastAsia="Palatino Linotype" w:hAnsi="Palatino Linotype" w:cs="Palatino Linotype"/>
          <w:sz w:val="22"/>
          <w:szCs w:val="22"/>
        </w:rPr>
        <w:t xml:space="preserve"> en lo sucesivo</w:t>
      </w:r>
      <w:r w:rsidRPr="00BC5D8E">
        <w:rPr>
          <w:rFonts w:ascii="Palatino Linotype" w:eastAsia="Palatino Linotype" w:hAnsi="Palatino Linotype" w:cs="Palatino Linotype"/>
          <w:b/>
          <w:sz w:val="22"/>
          <w:szCs w:val="22"/>
        </w:rPr>
        <w:t xml:space="preserve"> </w:t>
      </w:r>
      <w:r w:rsidRPr="00BC5D8E">
        <w:rPr>
          <w:rFonts w:ascii="Palatino Linotype" w:eastAsia="Palatino Linotype" w:hAnsi="Palatino Linotype" w:cs="Palatino Linotype"/>
          <w:sz w:val="22"/>
          <w:szCs w:val="22"/>
        </w:rPr>
        <w:t xml:space="preserve">la parte </w:t>
      </w:r>
      <w:r w:rsidRPr="00BC5D8E">
        <w:rPr>
          <w:rFonts w:ascii="Palatino Linotype" w:eastAsia="Palatino Linotype" w:hAnsi="Palatino Linotype" w:cs="Palatino Linotype"/>
          <w:b/>
          <w:sz w:val="22"/>
          <w:szCs w:val="22"/>
        </w:rPr>
        <w:t>Recurrente,</w:t>
      </w:r>
      <w:r w:rsidRPr="00BC5D8E">
        <w:rPr>
          <w:rFonts w:ascii="Palatino Linotype" w:eastAsia="Palatino Linotype" w:hAnsi="Palatino Linotype" w:cs="Palatino Linotype"/>
          <w:sz w:val="22"/>
          <w:szCs w:val="22"/>
        </w:rPr>
        <w:t xml:space="preserve"> en contra de la falta de respuesta a la solicitud de información con número de folio</w:t>
      </w:r>
      <w:r w:rsidRPr="00BC5D8E">
        <w:rPr>
          <w:rFonts w:ascii="Palatino Linotype" w:eastAsia="Palatino Linotype" w:hAnsi="Palatino Linotype" w:cs="Palatino Linotype"/>
          <w:b/>
          <w:sz w:val="22"/>
          <w:szCs w:val="22"/>
        </w:rPr>
        <w:t xml:space="preserve"> 00882/TEOLOYU/IP/2025, </w:t>
      </w:r>
      <w:r w:rsidRPr="00BC5D8E">
        <w:rPr>
          <w:rFonts w:ascii="Palatino Linotype" w:eastAsia="Palatino Linotype" w:hAnsi="Palatino Linotype" w:cs="Palatino Linotype"/>
          <w:sz w:val="22"/>
          <w:szCs w:val="22"/>
        </w:rPr>
        <w:t xml:space="preserve">por parte del </w:t>
      </w:r>
      <w:r w:rsidRPr="00BC5D8E">
        <w:rPr>
          <w:rFonts w:ascii="Palatino Linotype" w:eastAsia="Palatino Linotype" w:hAnsi="Palatino Linotype" w:cs="Palatino Linotype"/>
          <w:b/>
          <w:sz w:val="22"/>
          <w:szCs w:val="22"/>
        </w:rPr>
        <w:t xml:space="preserve">Ayuntamiento de Teoloyucan, </w:t>
      </w:r>
      <w:r w:rsidRPr="00BC5D8E">
        <w:rPr>
          <w:rFonts w:ascii="Palatino Linotype" w:eastAsia="Palatino Linotype" w:hAnsi="Palatino Linotype" w:cs="Palatino Linotype"/>
          <w:sz w:val="22"/>
          <w:szCs w:val="22"/>
        </w:rPr>
        <w:t xml:space="preserve">en lo sucesivo el </w:t>
      </w:r>
      <w:r w:rsidRPr="00BC5D8E">
        <w:rPr>
          <w:rFonts w:ascii="Palatino Linotype" w:eastAsia="Palatino Linotype" w:hAnsi="Palatino Linotype" w:cs="Palatino Linotype"/>
          <w:b/>
          <w:sz w:val="22"/>
          <w:szCs w:val="22"/>
        </w:rPr>
        <w:t xml:space="preserve">Sujeto Obligado, </w:t>
      </w:r>
      <w:r w:rsidRPr="00BC5D8E">
        <w:rPr>
          <w:rFonts w:ascii="Palatino Linotype" w:eastAsia="Palatino Linotype" w:hAnsi="Palatino Linotype" w:cs="Palatino Linotype"/>
          <w:sz w:val="22"/>
          <w:szCs w:val="22"/>
        </w:rPr>
        <w:t xml:space="preserve">se procede a dictar la presente resolución con base en los siguientes: </w:t>
      </w:r>
    </w:p>
    <w:p w:rsidR="00F25EA2" w:rsidRPr="00BC5D8E" w:rsidRDefault="00FD36DE">
      <w:pPr>
        <w:spacing w:before="240" w:after="240" w:line="360" w:lineRule="auto"/>
        <w:jc w:val="center"/>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I. A N T E C E D E N T E 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BC5D8E">
        <w:rPr>
          <w:rFonts w:ascii="Palatino Linotype" w:eastAsia="Palatino Linotype" w:hAnsi="Palatino Linotype" w:cs="Palatino Linotype"/>
          <w:b/>
          <w:sz w:val="22"/>
          <w:szCs w:val="22"/>
        </w:rPr>
        <w:t>1. Solicitud de acceso a la información.</w:t>
      </w:r>
      <w:r w:rsidRPr="00BC5D8E">
        <w:rPr>
          <w:rFonts w:ascii="Palatino Linotype" w:eastAsia="Palatino Linotype" w:hAnsi="Palatino Linotype" w:cs="Palatino Linotype"/>
          <w:sz w:val="22"/>
          <w:szCs w:val="22"/>
        </w:rPr>
        <w:t xml:space="preserve"> El </w:t>
      </w:r>
      <w:r w:rsidRPr="00BC5D8E">
        <w:rPr>
          <w:rFonts w:ascii="Palatino Linotype" w:eastAsia="Palatino Linotype" w:hAnsi="Palatino Linotype" w:cs="Palatino Linotype"/>
          <w:b/>
          <w:sz w:val="22"/>
          <w:szCs w:val="22"/>
        </w:rPr>
        <w:t>trece de junio de dos mil veinticinco,</w:t>
      </w:r>
      <w:r w:rsidRPr="00BC5D8E">
        <w:rPr>
          <w:rFonts w:ascii="Palatino Linotype" w:eastAsia="Palatino Linotype" w:hAnsi="Palatino Linotype" w:cs="Palatino Linotype"/>
          <w:sz w:val="22"/>
          <w:szCs w:val="22"/>
        </w:rPr>
        <w:t xml:space="preserve"> la parte </w:t>
      </w:r>
      <w:r w:rsidRPr="00BC5D8E">
        <w:rPr>
          <w:rFonts w:ascii="Palatino Linotype" w:eastAsia="Palatino Linotype" w:hAnsi="Palatino Linotype" w:cs="Palatino Linotype"/>
          <w:b/>
          <w:sz w:val="22"/>
          <w:szCs w:val="22"/>
        </w:rPr>
        <w:t xml:space="preserve">Recurrente </w:t>
      </w:r>
      <w:r w:rsidRPr="00BC5D8E">
        <w:rPr>
          <w:rFonts w:ascii="Palatino Linotype" w:eastAsia="Palatino Linotype" w:hAnsi="Palatino Linotype" w:cs="Palatino Linotype"/>
          <w:sz w:val="22"/>
          <w:szCs w:val="22"/>
        </w:rPr>
        <w:t xml:space="preserve">presentó la solicitud de acceso a la información pública ante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a través del Sistema de Acceso a la Información Mexiquense, en lo subsecuente el </w:t>
      </w:r>
      <w:r w:rsidRPr="00BC5D8E">
        <w:rPr>
          <w:rFonts w:ascii="Palatino Linotype" w:eastAsia="Palatino Linotype" w:hAnsi="Palatino Linotype" w:cs="Palatino Linotype"/>
          <w:b/>
          <w:sz w:val="22"/>
          <w:szCs w:val="22"/>
        </w:rPr>
        <w:t>SAIMEX,</w:t>
      </w:r>
      <w:r w:rsidRPr="00BC5D8E">
        <w:rPr>
          <w:rFonts w:ascii="Palatino Linotype" w:eastAsia="Palatino Linotype" w:hAnsi="Palatino Linotype" w:cs="Palatino Linotype"/>
          <w:sz w:val="22"/>
          <w:szCs w:val="22"/>
        </w:rPr>
        <w:t xml:space="preserve"> mediante la cual requirió lo siguiente:</w:t>
      </w:r>
    </w:p>
    <w:p w:rsidR="00F25EA2" w:rsidRPr="00BC5D8E" w:rsidRDefault="00FD36DE">
      <w:pPr>
        <w:spacing w:before="120" w:after="120"/>
        <w:ind w:left="851" w:right="902"/>
        <w:jc w:val="both"/>
        <w:rPr>
          <w:rFonts w:ascii="Palatino Linotype" w:eastAsia="Palatino Linotype" w:hAnsi="Palatino Linotype" w:cs="Palatino Linotype"/>
          <w:b/>
          <w:i/>
          <w:sz w:val="22"/>
          <w:szCs w:val="22"/>
        </w:rPr>
      </w:pPr>
      <w:r w:rsidRPr="00BC5D8E">
        <w:rPr>
          <w:rFonts w:ascii="Palatino Linotype" w:eastAsia="Palatino Linotype" w:hAnsi="Palatino Linotype" w:cs="Palatino Linotype"/>
          <w:i/>
          <w:sz w:val="22"/>
          <w:szCs w:val="22"/>
        </w:rPr>
        <w:t xml:space="preserve"> “Solicito el directorio de todos los servidores públicos que trabajan en el ayuntamiento, así como el tabulador de sueldos aprobado para el 2025 y los recibos de nomina de la última quincena.</w:t>
      </w:r>
      <w:r w:rsidRPr="00BC5D8E">
        <w:rPr>
          <w:rFonts w:ascii="Palatino Linotype" w:eastAsia="Palatino Linotype" w:hAnsi="Palatino Linotype" w:cs="Palatino Linotype"/>
          <w:b/>
          <w:i/>
          <w:sz w:val="22"/>
          <w:szCs w:val="22"/>
        </w:rPr>
        <w:t>”</w:t>
      </w:r>
      <w:r w:rsidRPr="00BC5D8E">
        <w:rPr>
          <w:rFonts w:ascii="Palatino Linotype" w:eastAsia="Palatino Linotype" w:hAnsi="Palatino Linotype" w:cs="Palatino Linotype"/>
          <w:i/>
          <w:sz w:val="22"/>
          <w:szCs w:val="22"/>
        </w:rPr>
        <w:t xml:space="preserve"> (sic)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BC5D8E">
        <w:rPr>
          <w:rFonts w:ascii="Palatino Linotype" w:eastAsia="Palatino Linotype" w:hAnsi="Palatino Linotype" w:cs="Palatino Linotype"/>
          <w:b/>
          <w:sz w:val="22"/>
          <w:szCs w:val="22"/>
        </w:rPr>
        <w:t>Modalidad de Entrega:</w:t>
      </w:r>
      <w:r w:rsidRPr="00BC5D8E">
        <w:rPr>
          <w:rFonts w:ascii="Palatino Linotype" w:eastAsia="Palatino Linotype" w:hAnsi="Palatino Linotype" w:cs="Palatino Linotype"/>
          <w:sz w:val="22"/>
          <w:szCs w:val="22"/>
        </w:rPr>
        <w:t xml:space="preserve"> a través del</w:t>
      </w:r>
      <w:r w:rsidRPr="00BC5D8E">
        <w:rPr>
          <w:rFonts w:ascii="Palatino Linotype" w:eastAsia="Palatino Linotype" w:hAnsi="Palatino Linotype" w:cs="Palatino Linotype"/>
          <w:b/>
          <w:sz w:val="22"/>
          <w:szCs w:val="22"/>
        </w:rPr>
        <w:t xml:space="preserve"> SAIMEX.</w:t>
      </w:r>
    </w:p>
    <w:p w:rsidR="00F25EA2" w:rsidRPr="00BC5D8E" w:rsidRDefault="00FD36D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 xml:space="preserve">2. Respuesta. </w:t>
      </w:r>
      <w:r w:rsidRPr="00BC5D8E">
        <w:rPr>
          <w:rFonts w:ascii="Palatino Linotype" w:eastAsia="Palatino Linotype" w:hAnsi="Palatino Linotype" w:cs="Palatino Linotype"/>
          <w:sz w:val="22"/>
          <w:szCs w:val="22"/>
        </w:rPr>
        <w:t xml:space="preserve">De las constancias que obran en SAIMEX, se observa que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no emitió respuesta a la solicitud de información formulada por la persona solicitante.</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 xml:space="preserve">3. Interposición del recurso de revisión. </w:t>
      </w:r>
      <w:r w:rsidRPr="00BC5D8E">
        <w:rPr>
          <w:rFonts w:ascii="Palatino Linotype" w:eastAsia="Palatino Linotype" w:hAnsi="Palatino Linotype" w:cs="Palatino Linotype"/>
          <w:sz w:val="22"/>
          <w:szCs w:val="22"/>
        </w:rPr>
        <w:t xml:space="preserve">Inconforme con los términos de la respuesta emitida por parte del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el </w:t>
      </w:r>
      <w:r w:rsidRPr="00BC5D8E">
        <w:rPr>
          <w:rFonts w:ascii="Palatino Linotype" w:eastAsia="Palatino Linotype" w:hAnsi="Palatino Linotype" w:cs="Palatino Linotype"/>
          <w:b/>
          <w:sz w:val="22"/>
          <w:szCs w:val="22"/>
        </w:rPr>
        <w:t>siete de julio de dos mil veinticinco,</w:t>
      </w:r>
      <w:r w:rsidRPr="00BC5D8E">
        <w:rPr>
          <w:rFonts w:ascii="Palatino Linotype" w:eastAsia="Palatino Linotype" w:hAnsi="Palatino Linotype" w:cs="Palatino Linotype"/>
          <w:sz w:val="22"/>
          <w:szCs w:val="22"/>
        </w:rPr>
        <w:t xml:space="preserve"> la parte </w:t>
      </w:r>
      <w:r w:rsidRPr="00BC5D8E">
        <w:rPr>
          <w:rFonts w:ascii="Palatino Linotype" w:eastAsia="Palatino Linotype" w:hAnsi="Palatino Linotype" w:cs="Palatino Linotype"/>
          <w:b/>
          <w:sz w:val="22"/>
          <w:szCs w:val="22"/>
        </w:rPr>
        <w:lastRenderedPageBreak/>
        <w:t>Recurrente</w:t>
      </w:r>
      <w:r w:rsidRPr="00BC5D8E">
        <w:rPr>
          <w:rFonts w:ascii="Palatino Linotype" w:eastAsia="Palatino Linotype" w:hAnsi="Palatino Linotype" w:cs="Palatino Linotype"/>
          <w:sz w:val="22"/>
          <w:szCs w:val="22"/>
        </w:rPr>
        <w:t xml:space="preserve"> interpuso el recurso de revisión a través de </w:t>
      </w:r>
      <w:r w:rsidRPr="00BC5D8E">
        <w:rPr>
          <w:rFonts w:ascii="Palatino Linotype" w:eastAsia="Palatino Linotype" w:hAnsi="Palatino Linotype" w:cs="Palatino Linotype"/>
          <w:b/>
          <w:sz w:val="22"/>
          <w:szCs w:val="22"/>
        </w:rPr>
        <w:t xml:space="preserve">SAIMEX, </w:t>
      </w:r>
      <w:r w:rsidRPr="00BC5D8E">
        <w:rPr>
          <w:rFonts w:ascii="Palatino Linotype" w:eastAsia="Palatino Linotype" w:hAnsi="Palatino Linotype" w:cs="Palatino Linotype"/>
          <w:sz w:val="22"/>
          <w:szCs w:val="22"/>
        </w:rPr>
        <w:t>en donde se manifestó de la siguiente manera:</w:t>
      </w:r>
    </w:p>
    <w:p w:rsidR="00F25EA2" w:rsidRPr="00BC5D8E" w:rsidRDefault="00FD36DE">
      <w:pPr>
        <w:spacing w:before="240" w:after="240" w:line="360" w:lineRule="auto"/>
        <w:ind w:right="49"/>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 xml:space="preserve">Acto impugnado: </w:t>
      </w:r>
    </w:p>
    <w:p w:rsidR="00F25EA2" w:rsidRPr="00BC5D8E" w:rsidRDefault="00FD36DE">
      <w:pPr>
        <w:tabs>
          <w:tab w:val="left" w:pos="2745"/>
        </w:tabs>
        <w:spacing w:before="240" w:after="24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“no dan respuesta” (sic)</w:t>
      </w:r>
    </w:p>
    <w:p w:rsidR="00F25EA2" w:rsidRPr="00BC5D8E" w:rsidRDefault="00FD36DE">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BC5D8E">
        <w:rPr>
          <w:rFonts w:ascii="Palatino Linotype" w:eastAsia="Palatino Linotype" w:hAnsi="Palatino Linotype" w:cs="Palatino Linotype"/>
          <w:b/>
          <w:sz w:val="22"/>
          <w:szCs w:val="22"/>
        </w:rPr>
        <w:t>Y, Razones o motivos de inconformidad</w:t>
      </w:r>
      <w:r w:rsidRPr="00BC5D8E">
        <w:rPr>
          <w:rFonts w:ascii="Palatino Linotype" w:eastAsia="Palatino Linotype" w:hAnsi="Palatino Linotype" w:cs="Palatino Linotype"/>
          <w:sz w:val="22"/>
          <w:szCs w:val="22"/>
        </w:rPr>
        <w:t>:</w:t>
      </w:r>
    </w:p>
    <w:p w:rsidR="00F25EA2" w:rsidRPr="00BC5D8E" w:rsidRDefault="00FD36DE">
      <w:pPr>
        <w:tabs>
          <w:tab w:val="left" w:pos="2745"/>
        </w:tabs>
        <w:spacing w:before="240" w:after="24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“no respondieron a mi solicitud” (sic)</w:t>
      </w:r>
    </w:p>
    <w:p w:rsidR="00F25EA2" w:rsidRPr="00BC5D8E" w:rsidRDefault="00FD36DE">
      <w:pPr>
        <w:spacing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 xml:space="preserve">4. Turno. </w:t>
      </w:r>
      <w:r w:rsidRPr="00BC5D8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C5D8E">
        <w:rPr>
          <w:rFonts w:ascii="Palatino Linotype" w:eastAsia="Palatino Linotype" w:hAnsi="Palatino Linotype" w:cs="Palatino Linotype"/>
          <w:b/>
          <w:sz w:val="22"/>
          <w:szCs w:val="22"/>
        </w:rPr>
        <w:t xml:space="preserve">Guadalupe Ramírez Peña, </w:t>
      </w:r>
      <w:r w:rsidRPr="00BC5D8E">
        <w:rPr>
          <w:rFonts w:ascii="Palatino Linotype" w:eastAsia="Palatino Linotype" w:hAnsi="Palatino Linotype" w:cs="Palatino Linotype"/>
          <w:sz w:val="22"/>
          <w:szCs w:val="22"/>
        </w:rPr>
        <w:t>a efecto de que analizara sobre su admisión o su desechamiento.</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5. Admisión del Recurso de revisión.</w:t>
      </w:r>
      <w:r w:rsidRPr="00BC5D8E">
        <w:rPr>
          <w:rFonts w:ascii="Palatino Linotype" w:eastAsia="Palatino Linotype" w:hAnsi="Palatino Linotype" w:cs="Palatino Linotype"/>
          <w:sz w:val="22"/>
          <w:szCs w:val="22"/>
        </w:rPr>
        <w:t xml:space="preserve"> El</w:t>
      </w:r>
      <w:r w:rsidRPr="00BC5D8E">
        <w:rPr>
          <w:rFonts w:ascii="Palatino Linotype" w:eastAsia="Palatino Linotype" w:hAnsi="Palatino Linotype" w:cs="Palatino Linotype"/>
          <w:b/>
          <w:sz w:val="22"/>
          <w:szCs w:val="22"/>
        </w:rPr>
        <w:t xml:space="preserve"> diez de abril de dos mil veinticinco, </w:t>
      </w:r>
      <w:r w:rsidRPr="00BC5D8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C5D8E">
        <w:rPr>
          <w:rFonts w:ascii="Palatino Linotype" w:eastAsia="Palatino Linotype" w:hAnsi="Palatino Linotype" w:cs="Palatino Linotype"/>
          <w:b/>
          <w:sz w:val="22"/>
          <w:szCs w:val="22"/>
        </w:rPr>
        <w:t xml:space="preserve">Sujeto Obligado </w:t>
      </w:r>
      <w:r w:rsidRPr="00BC5D8E">
        <w:rPr>
          <w:rFonts w:ascii="Palatino Linotype" w:eastAsia="Palatino Linotype" w:hAnsi="Palatino Linotype" w:cs="Palatino Linotype"/>
          <w:sz w:val="22"/>
          <w:szCs w:val="22"/>
        </w:rPr>
        <w:t>presentara su informe justificado.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BC5D8E">
        <w:rPr>
          <w:rFonts w:ascii="Palatino Linotype" w:eastAsia="Palatino Linotype" w:hAnsi="Palatino Linotype" w:cs="Palatino Linotype"/>
          <w:b/>
          <w:sz w:val="22"/>
          <w:szCs w:val="22"/>
        </w:rPr>
        <w:t>6. Manifestaciones</w:t>
      </w:r>
      <w:r w:rsidRPr="00BC5D8E">
        <w:rPr>
          <w:rFonts w:ascii="Palatino Linotype" w:eastAsia="Palatino Linotype" w:hAnsi="Palatino Linotype" w:cs="Palatino Linotype"/>
          <w:sz w:val="22"/>
          <w:szCs w:val="22"/>
        </w:rPr>
        <w:t xml:space="preserve">. El </w:t>
      </w:r>
      <w:r w:rsidRPr="00BC5D8E">
        <w:rPr>
          <w:rFonts w:ascii="Palatino Linotype" w:eastAsia="Palatino Linotype" w:hAnsi="Palatino Linotype" w:cs="Palatino Linotype"/>
          <w:b/>
          <w:sz w:val="22"/>
          <w:szCs w:val="22"/>
        </w:rPr>
        <w:t xml:space="preserve">quince de julio y siete de agosto de dos mil veinticinco, </w:t>
      </w:r>
      <w:r w:rsidRPr="00BC5D8E">
        <w:rPr>
          <w:rFonts w:ascii="Palatino Linotype" w:eastAsia="Palatino Linotype" w:hAnsi="Palatino Linotype" w:cs="Palatino Linotype"/>
          <w:sz w:val="22"/>
          <w:szCs w:val="22"/>
        </w:rPr>
        <w:t xml:space="preserve">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remitió, a través del SAIMEX, lo siguiente:</w:t>
      </w:r>
    </w:p>
    <w:p w:rsidR="00F25EA2" w:rsidRPr="00BC5D8E" w:rsidRDefault="00FD36DE">
      <w:pPr>
        <w:spacing w:before="240" w:after="240" w:line="360" w:lineRule="auto"/>
        <w:ind w:left="14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Oficio número UT/ABRO/791/2025, mediante el cual la titular de la Unidad de Transparencia refirió hacer entrega de la información proporcionada por la persona servidora pública habilitada de la Dirección de Transparencia, en los siguientes términos:</w:t>
      </w:r>
    </w:p>
    <w:p w:rsidR="00F25EA2" w:rsidRPr="00BC5D8E" w:rsidRDefault="00FD36DE">
      <w:pPr>
        <w:spacing w:before="240" w:after="24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lastRenderedPageBreak/>
        <w:t>“Se colma satisfactoriamente el derecho de acceso a la información pública, al remitir la información generada por el Servidor Público Habilitado en el estado en que se encuentra en sus registros, vigente y actualizada a la fecha de la solicitud mediante la entrega del documento anexo en formato PDF que contiene el Directorio de todos los servidores públicos que trabajan en el ayuntamiento, así como el Tabulador de sueldos conforme a lo publicado en la Gaceta Municipal número 1 de 01 de enero de 2025 (páginas 17 y 18); por cuanto hace a la información de interés público que podría encontrarse en el documento que el solicitante denomina “recibos de nómina”, se hace entrega de la información relativa al: nombre completo del servidor público, cargo, área de adscripción, remuneraciones brutas y netas mensuales actualizadas a la fecha de la solicitud” (sic)</w:t>
      </w:r>
    </w:p>
    <w:p w:rsidR="00F25EA2" w:rsidRPr="00BC5D8E" w:rsidRDefault="00FD36DE">
      <w:pPr>
        <w:spacing w:before="240" w:after="240" w:line="360" w:lineRule="auto"/>
        <w:ind w:left="14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 Oficio número DA/CJMC/1433/2025, mediante el cual el Director de Administración manifestó entregar la información que podría encontrarse en el documento denominado “recibos de nómina” tales como nombre del servidor público, cargo, área de adscripción, la remuneración bruta у neta incluyendo todas las percepciones actualizado a la fecha de su solicitud. </w:t>
      </w:r>
    </w:p>
    <w:p w:rsidR="00F25EA2" w:rsidRPr="00BC5D8E" w:rsidRDefault="00FD36DE">
      <w:pPr>
        <w:spacing w:before="240" w:after="240" w:line="360" w:lineRule="auto"/>
        <w:ind w:left="14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Páginas 17 y 18 de la Gaceta Municipal número 01, publicada el 01 de enero de 2025 que contiene el Tabulador de sueldos y salarios 2025.</w:t>
      </w:r>
    </w:p>
    <w:p w:rsidR="00F25EA2" w:rsidRPr="00BC5D8E" w:rsidRDefault="00FD36DE">
      <w:pPr>
        <w:spacing w:before="240" w:after="240" w:line="360" w:lineRule="auto"/>
        <w:ind w:left="14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Listado De Servidores Públicos del Ayuntamiento de Teoloyucan México, que contiene los datos relativos al nombre, categoría, departamento, fecha de adscripción, dietas, sueldo bruto mensual, compensación, gratificación, despensa, sueldo neto mensual.</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 Oficio número UT/ABRO/836/2025, mediante el cual la titular de la Unidad de Transparencia manifestó haber remitido la información a través de los archivos denominados: “manifestaciones de la UT al RR.08229.2025.pdf” y “entrega_informacion rr.08229.2025.pdf”, asimismo, precisó que este último contiene lo siguiente: </w:t>
      </w:r>
    </w:p>
    <w:p w:rsidR="00F25EA2" w:rsidRPr="00BC5D8E" w:rsidRDefault="00FD36DE">
      <w:pPr>
        <w:spacing w:before="240" w:after="240" w:line="360" w:lineRule="auto"/>
        <w:ind w:left="284"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A) Oficio DA/CJMC/1433/2025 mediante el cual el Servidor Público Habilitado adscrito a la Dirección de Administración manifiesta: “Sobre el particular me permito remitir a usted la información solicitada en formato pdf para dar cumplimiento a lo ordenado. “Con la información que se entrega consideramos que se satisface cabalmente el derecho de acceso a la información porque contiene aquella información de interés público que podría encontrarse en el documento que denomina «recibos de nómina», tales como son: nombre del servidor público, cargo, área de adscripción, la remuneración bruta y neta incluyendo todas las percepciones actualizado a la fecha de su solicitud. De conformidad con lo dispuesto por los artículos 3 fracción XXII y 12 segundo párrafo de la Ley de Transparencia y Acceso a la Información del Estado de México y Municipios” </w:t>
      </w:r>
    </w:p>
    <w:p w:rsidR="00F25EA2" w:rsidRPr="00BC5D8E" w:rsidRDefault="00FD36DE">
      <w:pPr>
        <w:spacing w:before="240" w:after="240" w:line="360" w:lineRule="auto"/>
        <w:ind w:left="284"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B) Extracto de la Gaceta número 1 del 01 de enero de 2025, específicamente del acuerdo: 01-ORD/01-01-2025/ACUERDO-5, por el que se aprueba la propuesta de tabulador de sueldos y salarios 2025 (páginas 17 y 18). </w:t>
      </w:r>
    </w:p>
    <w:p w:rsidR="00F25EA2" w:rsidRPr="00BC5D8E" w:rsidRDefault="00FD36DE">
      <w:pPr>
        <w:spacing w:before="240" w:after="240" w:line="360" w:lineRule="auto"/>
        <w:ind w:left="284"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C) Listado de Servidores Públicos del Ayuntamiento de Teoloyucan México, que contiene los siguientes rubros: Nombre (del servidor público), Categoría, Departamento, Fecha de adscripción, Dietas, Sueldo Bruto Mensual, Compensación, Gratificación, Despensa, Sueldo Neto Mensual. Actualizada a junio de dos mil veinticinco.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Además, refirió que el listado de Servidores Públicos del Ayuntamiento de Teoloyucan México actualizado a junio de dos mil veinticinco, se cumple con la entrega de aquella información relativa al Directorio de todos los servidores públicos, pues se tiene la información respecto del servidor público, su cargo, área de adscripción y fecha de adscripción. Con la entrega del extracto de la Gaceta número 1 del 01 de enero de 2025, se hace entrega del Tabulador de sueldos y salarios aprobado para el ejercicio fiscal 2025; finalmente, respecto de la información de interés público que podría encontrarse en el documento denominado “Recibos de nómina”, excluyendo aquella que por su carácter de confidencial debe ser clasificada, el Listado referido cumple con lo solicitado ya que da cuenta del nombre del servidor público, su cargo y área de adscripción así como sus remuneraciones brutas y netas con la indicación de todo tipo de remuneraciones.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w:t>
      </w:r>
    </w:p>
    <w:p w:rsidR="00F25EA2" w:rsidRPr="00BC5D8E" w:rsidRDefault="00FD36DE">
      <w:pPr>
        <w:spacing w:before="240" w:after="240" w:line="360" w:lineRule="auto"/>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sz w:val="22"/>
          <w:szCs w:val="22"/>
        </w:rPr>
        <w:t xml:space="preserve">El </w:t>
      </w:r>
      <w:r w:rsidRPr="00BC5D8E">
        <w:rPr>
          <w:rFonts w:ascii="Palatino Linotype" w:eastAsia="Palatino Linotype" w:hAnsi="Palatino Linotype" w:cs="Palatino Linotype"/>
          <w:b/>
          <w:sz w:val="22"/>
          <w:szCs w:val="22"/>
        </w:rPr>
        <w:t xml:space="preserve">seis de agosto de dos mil veinticinco, </w:t>
      </w:r>
      <w:r w:rsidRPr="00BC5D8E">
        <w:rPr>
          <w:rFonts w:ascii="Palatino Linotype" w:eastAsia="Palatino Linotype" w:hAnsi="Palatino Linotype" w:cs="Palatino Linotype"/>
          <w:sz w:val="22"/>
          <w:szCs w:val="22"/>
        </w:rPr>
        <w:t xml:space="preserve">la parte </w:t>
      </w:r>
      <w:r w:rsidRPr="00BC5D8E">
        <w:rPr>
          <w:rFonts w:ascii="Palatino Linotype" w:eastAsia="Palatino Linotype" w:hAnsi="Palatino Linotype" w:cs="Palatino Linotype"/>
          <w:b/>
          <w:sz w:val="22"/>
          <w:szCs w:val="22"/>
        </w:rPr>
        <w:t xml:space="preserve">Recurrente </w:t>
      </w:r>
      <w:r w:rsidRPr="00BC5D8E">
        <w:rPr>
          <w:rFonts w:ascii="Palatino Linotype" w:eastAsia="Palatino Linotype" w:hAnsi="Palatino Linotype" w:cs="Palatino Linotype"/>
          <w:sz w:val="22"/>
          <w:szCs w:val="22"/>
        </w:rPr>
        <w:t>manifestó que ha había pasado el plazo y no se dio respuesta.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Asimismo adjuntó el acuerdo de admisión del recurso de revisión notificado el diez de julio de dos mil veinticinco.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 xml:space="preserve">7. Cierre de instrucción. </w:t>
      </w:r>
      <w:r w:rsidRPr="00BC5D8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BC5D8E">
        <w:rPr>
          <w:rFonts w:ascii="Palatino Linotype" w:eastAsia="Palatino Linotype" w:hAnsi="Palatino Linotype" w:cs="Palatino Linotype"/>
          <w:b/>
          <w:sz w:val="22"/>
          <w:szCs w:val="22"/>
        </w:rPr>
        <w:t>dos de octubre de dos mil veinticinco</w:t>
      </w:r>
      <w:r w:rsidRPr="00BC5D8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8</w:t>
      </w:r>
      <w:r w:rsidRPr="00BC5D8E">
        <w:rPr>
          <w:rFonts w:ascii="Palatino Linotype" w:eastAsia="Palatino Linotype" w:hAnsi="Palatino Linotype" w:cs="Palatino Linotype"/>
          <w:sz w:val="22"/>
          <w:szCs w:val="22"/>
        </w:rPr>
        <w:t xml:space="preserve">. </w:t>
      </w:r>
      <w:r w:rsidRPr="00BC5D8E">
        <w:rPr>
          <w:rFonts w:ascii="Palatino Linotype" w:eastAsia="Palatino Linotype" w:hAnsi="Palatino Linotype" w:cs="Palatino Linotype"/>
          <w:b/>
          <w:sz w:val="22"/>
          <w:szCs w:val="22"/>
        </w:rPr>
        <w:t>Ampliación del término para resolver</w:t>
      </w:r>
      <w:r w:rsidRPr="00BC5D8E">
        <w:rPr>
          <w:rFonts w:ascii="Palatino Linotype" w:eastAsia="Palatino Linotype" w:hAnsi="Palatino Linotype" w:cs="Palatino Linotype"/>
          <w:sz w:val="22"/>
          <w:szCs w:val="22"/>
        </w:rPr>
        <w:t xml:space="preserve">. El </w:t>
      </w:r>
      <w:r w:rsidRPr="00BC5D8E">
        <w:rPr>
          <w:rFonts w:ascii="Palatino Linotype" w:eastAsia="Palatino Linotype" w:hAnsi="Palatino Linotype" w:cs="Palatino Linotype"/>
          <w:b/>
          <w:sz w:val="22"/>
          <w:szCs w:val="22"/>
        </w:rPr>
        <w:t>dos de octubre de dos mil veinticinco</w:t>
      </w:r>
      <w:r w:rsidRPr="00BC5D8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25EA2" w:rsidRPr="00BC5D8E" w:rsidRDefault="00FD36DE">
      <w:pPr>
        <w:spacing w:before="240" w:after="240" w:line="360" w:lineRule="auto"/>
        <w:jc w:val="both"/>
        <w:rPr>
          <w:rFonts w:ascii="Palatino Linotype" w:eastAsia="Palatino Linotype" w:hAnsi="Palatino Linotype" w:cs="Palatino Linotype"/>
          <w:strike/>
          <w:sz w:val="22"/>
          <w:szCs w:val="22"/>
        </w:rPr>
      </w:pPr>
      <w:r w:rsidRPr="00BC5D8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00F25EA2" w:rsidRPr="00BC5D8E" w:rsidRDefault="00FD36D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rsidR="00F25EA2" w:rsidRPr="00BC5D8E" w:rsidRDefault="00FD36D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Actividad Procesal del interesado. Acciones u omisiones del interesado.</w:t>
      </w:r>
    </w:p>
    <w:p w:rsidR="00F25EA2" w:rsidRPr="00BC5D8E" w:rsidRDefault="00FD36D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rsidR="00F25EA2" w:rsidRPr="00BC5D8E" w:rsidRDefault="00FD36DE">
      <w:pPr>
        <w:tabs>
          <w:tab w:val="left" w:pos="567"/>
        </w:tabs>
        <w:spacing w:before="240" w:after="240" w:line="360" w:lineRule="auto"/>
        <w:ind w:left="284"/>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C5D8E">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C5D8E">
        <w:rPr>
          <w:rFonts w:ascii="Palatino Linotype" w:eastAsia="Palatino Linotype" w:hAnsi="Palatino Linotype" w:cs="Palatino Linotype"/>
          <w:sz w:val="22"/>
          <w:szCs w:val="22"/>
        </w:rPr>
        <w:t>, visible en la Gaceta del Seminario Judicial de la Federación con el registro digital 205635.</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00F25EA2" w:rsidRPr="00BC5D8E" w:rsidRDefault="00FD36DE">
      <w:pPr>
        <w:spacing w:before="120" w:after="120"/>
        <w:ind w:left="851" w:right="90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 </w:t>
      </w: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PLAZO RAZONABLE PARA RESOLVER. DIMENSIÓN Y EFECTOS DE ESTE CONCEPTO CUANDO SE ADUCE EXCESIVA CARGA DE TRABAJO</w:t>
      </w: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sz w:val="22"/>
          <w:szCs w:val="22"/>
        </w:rPr>
        <w:t xml:space="preserve"> consultable en el Seminario Judicial de la Federación y su gaceta, con el registro digital 2002351.</w:t>
      </w:r>
    </w:p>
    <w:p w:rsidR="00F25EA2" w:rsidRPr="00BC5D8E" w:rsidRDefault="00FD36DE">
      <w:pPr>
        <w:spacing w:before="120" w:after="120"/>
        <w:ind w:left="851" w:right="90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sz w:val="22"/>
          <w:szCs w:val="22"/>
        </w:rPr>
        <w:t>, visible en el Seminario Judicial de la Federación y su gaceta, con el registro digital 2002350.</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F25EA2" w:rsidRPr="00BC5D8E" w:rsidRDefault="00FD36DE">
      <w:pPr>
        <w:widowControl w:val="0"/>
        <w:spacing w:before="240" w:after="240" w:line="360" w:lineRule="auto"/>
        <w:jc w:val="center"/>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II. C O N S I D E R A N D O 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Primero. Competencia.</w:t>
      </w:r>
      <w:r w:rsidRPr="00BC5D8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BC5D8E">
        <w:rPr>
          <w:rFonts w:ascii="Palatino Linotype" w:eastAsia="Palatino Linotype" w:hAnsi="Palatino Linotype" w:cs="Palatino Linotype"/>
          <w:b/>
          <w:sz w:val="22"/>
          <w:szCs w:val="22"/>
        </w:rPr>
        <w:t xml:space="preserve">Segundo. Oportunidad y Procedibilidad. </w:t>
      </w:r>
      <w:r w:rsidRPr="00BC5D8E">
        <w:rPr>
          <w:rFonts w:ascii="Palatino Linotype" w:eastAsia="Palatino Linotype" w:hAnsi="Palatino Linotype" w:cs="Palatino Linotype"/>
          <w:sz w:val="22"/>
          <w:szCs w:val="22"/>
        </w:rPr>
        <w:t>Es de precisar que la</w:t>
      </w:r>
      <w:r w:rsidRPr="00BC5D8E">
        <w:rPr>
          <w:rFonts w:ascii="Palatino Linotype" w:eastAsia="Palatino Linotype" w:hAnsi="Palatino Linotype" w:cs="Palatino Linotype"/>
          <w:b/>
          <w:sz w:val="22"/>
          <w:szCs w:val="22"/>
        </w:rPr>
        <w:t xml:space="preserve"> </w:t>
      </w:r>
      <w:r w:rsidRPr="00BC5D8E">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 xml:space="preserve">Artículo 163. </w:t>
      </w:r>
      <w:r w:rsidRPr="00BC5D8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166.</w:t>
      </w:r>
      <w:r w:rsidRPr="00BC5D8E">
        <w:rPr>
          <w:rFonts w:ascii="Palatino Linotype" w:eastAsia="Palatino Linotype" w:hAnsi="Palatino Linotype" w:cs="Palatino Linotype"/>
          <w:i/>
          <w:sz w:val="22"/>
          <w:szCs w:val="22"/>
        </w:rPr>
        <w:t xml:space="preserve"> […]</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F25EA2" w:rsidRPr="00BC5D8E" w:rsidRDefault="00FD36DE">
      <w:pPr>
        <w:spacing w:before="240" w:after="240" w:line="360" w:lineRule="auto"/>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sz w:val="22"/>
          <w:szCs w:val="22"/>
        </w:rPr>
        <w:t>Por su parte, el artículo 178 del citado ordenamiento, establece:</w:t>
      </w:r>
    </w:p>
    <w:p w:rsidR="00F25EA2" w:rsidRPr="00BC5D8E" w:rsidRDefault="00FD36DE">
      <w:pPr>
        <w:spacing w:before="120" w:after="120"/>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 xml:space="preserve">Artículo 178. </w:t>
      </w:r>
      <w:r w:rsidRPr="00BC5D8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25EA2" w:rsidRPr="00BC5D8E" w:rsidRDefault="00FD36DE">
      <w:pPr>
        <w:spacing w:before="120" w:after="120"/>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BC5D8E">
        <w:rPr>
          <w:rFonts w:ascii="Palatino Linotype" w:eastAsia="Palatino Linotype" w:hAnsi="Palatino Linotype" w:cs="Palatino Linotype"/>
          <w:b/>
          <w:sz w:val="22"/>
          <w:szCs w:val="22"/>
        </w:rPr>
        <w:t xml:space="preserve">Sujeto Obligado </w:t>
      </w:r>
      <w:r w:rsidRPr="00BC5D8E">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BC5D8E">
        <w:rPr>
          <w:rFonts w:ascii="Palatino Linotype" w:eastAsia="Palatino Linotype" w:hAnsi="Palatino Linotype" w:cs="Palatino Linotype"/>
          <w:b/>
          <w:sz w:val="22"/>
          <w:szCs w:val="22"/>
        </w:rPr>
        <w:t xml:space="preserve">Sujeto Obligado </w:t>
      </w:r>
      <w:r w:rsidRPr="00BC5D8E">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F25EA2" w:rsidRPr="00BC5D8E" w:rsidRDefault="00FD36DE">
      <w:pPr>
        <w:spacing w:before="240" w:after="240" w:line="360" w:lineRule="auto"/>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“CRITERIO 0001-15. NEGATIVA FICTA. PLAZO PARA INTERPONER EL RECURSO DE REVISIÓN TRATÁNDOSE DE</w:t>
      </w:r>
      <w:r w:rsidRPr="00BC5D8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rsidR="00F25EA2" w:rsidRPr="00BC5D8E" w:rsidRDefault="00F25EA2">
      <w:pPr>
        <w:spacing w:line="360" w:lineRule="auto"/>
        <w:jc w:val="both"/>
        <w:rPr>
          <w:rFonts w:ascii="Palatino Linotype" w:eastAsia="Palatino Linotype" w:hAnsi="Palatino Linotype" w:cs="Palatino Linotype"/>
          <w:sz w:val="22"/>
          <w:szCs w:val="22"/>
        </w:rPr>
      </w:pPr>
    </w:p>
    <w:p w:rsidR="00F25EA2" w:rsidRPr="00BC5D8E" w:rsidRDefault="00FD36DE">
      <w:pPr>
        <w:spacing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Además, por cuanto hace a la procedibilidad del recurso de revisión, es de suma importancia señalar que la parte</w:t>
      </w:r>
      <w:r w:rsidRPr="00BC5D8E">
        <w:rPr>
          <w:rFonts w:ascii="Palatino Linotype" w:eastAsia="Palatino Linotype" w:hAnsi="Palatino Linotype" w:cs="Palatino Linotype"/>
          <w:b/>
          <w:sz w:val="22"/>
          <w:szCs w:val="22"/>
        </w:rPr>
        <w:t xml:space="preserve"> Recurrente</w:t>
      </w:r>
      <w:r w:rsidRPr="00BC5D8E">
        <w:rPr>
          <w:rFonts w:ascii="Palatino Linotype" w:eastAsia="Palatino Linotype" w:hAnsi="Palatino Linotype" w:cs="Palatino Linotype"/>
          <w:sz w:val="22"/>
          <w:szCs w:val="22"/>
        </w:rPr>
        <w:t xml:space="preserve">, no señaló un </w:t>
      </w:r>
      <w:r w:rsidRPr="00BC5D8E">
        <w:rPr>
          <w:rFonts w:ascii="Palatino Linotype" w:eastAsia="Palatino Linotype" w:hAnsi="Palatino Linotype" w:cs="Palatino Linotype"/>
          <w:b/>
          <w:sz w:val="22"/>
          <w:szCs w:val="22"/>
        </w:rPr>
        <w:t>nombre</w:t>
      </w:r>
      <w:r w:rsidRPr="00BC5D8E">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Las solicitudes anónimas</w:t>
      </w:r>
      <w:r w:rsidRPr="00BC5D8E">
        <w:rPr>
          <w:rFonts w:ascii="Palatino Linotype" w:eastAsia="Palatino Linotype" w:hAnsi="Palatino Linotype" w:cs="Palatino Linotype"/>
          <w:i/>
          <w:sz w:val="22"/>
          <w:szCs w:val="22"/>
        </w:rPr>
        <w:t xml:space="preserve">, con nombre incompleto o </w:t>
      </w:r>
      <w:r w:rsidRPr="00BC5D8E">
        <w:rPr>
          <w:rFonts w:ascii="Palatino Linotype" w:eastAsia="Palatino Linotype" w:hAnsi="Palatino Linotype" w:cs="Palatino Linotype"/>
          <w:b/>
          <w:i/>
          <w:sz w:val="22"/>
          <w:szCs w:val="22"/>
        </w:rPr>
        <w:t>seudónimo</w:t>
      </w:r>
      <w:r w:rsidRPr="00BC5D8E">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BC5D8E">
        <w:rPr>
          <w:rFonts w:ascii="Palatino Linotype" w:eastAsia="Palatino Linotype" w:hAnsi="Palatino Linotype" w:cs="Palatino Linotype"/>
          <w:b/>
          <w:sz w:val="22"/>
          <w:szCs w:val="22"/>
        </w:rPr>
        <w:t xml:space="preserve"> SAIMEX.</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 xml:space="preserve">Artículo 179. </w:t>
      </w:r>
      <w:r w:rsidRPr="00BC5D8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ind w:left="851" w:right="851"/>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VII. </w:t>
      </w:r>
      <w:r w:rsidRPr="00BC5D8E">
        <w:rPr>
          <w:rFonts w:ascii="Palatino Linotype" w:eastAsia="Palatino Linotype" w:hAnsi="Palatino Linotype" w:cs="Palatino Linotype"/>
          <w:i/>
          <w:sz w:val="22"/>
          <w:szCs w:val="22"/>
        </w:rPr>
        <w:t>La falta de respuesta a una solicitud de acceso a la información;”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BC5D8E">
        <w:rPr>
          <w:rFonts w:ascii="Palatino Linotype" w:eastAsia="Palatino Linotype" w:hAnsi="Palatino Linotype" w:cs="Palatino Linotype"/>
          <w:b/>
          <w:sz w:val="22"/>
          <w:szCs w:val="22"/>
        </w:rPr>
        <w:t xml:space="preserve">Recurrente </w:t>
      </w:r>
      <w:r w:rsidRPr="00BC5D8E">
        <w:rPr>
          <w:rFonts w:ascii="Palatino Linotype" w:eastAsia="Palatino Linotype" w:hAnsi="Palatino Linotype" w:cs="Palatino Linotype"/>
          <w:sz w:val="22"/>
          <w:szCs w:val="22"/>
        </w:rPr>
        <w:t xml:space="preserve">estime negado el acceso a la información por la falta de respuesta por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en este asunto se actualiza la hipótesis jurídica citada, en atención a que la parte </w:t>
      </w:r>
      <w:r w:rsidRPr="00BC5D8E">
        <w:rPr>
          <w:rFonts w:ascii="Palatino Linotype" w:eastAsia="Palatino Linotype" w:hAnsi="Palatino Linotype" w:cs="Palatino Linotype"/>
          <w:b/>
          <w:sz w:val="22"/>
          <w:szCs w:val="22"/>
        </w:rPr>
        <w:t>Recurrente</w:t>
      </w:r>
      <w:r w:rsidRPr="00BC5D8E">
        <w:rPr>
          <w:rFonts w:ascii="Palatino Linotype" w:eastAsia="Palatino Linotype" w:hAnsi="Palatino Linotype" w:cs="Palatino Linotype"/>
          <w:sz w:val="22"/>
          <w:szCs w:val="22"/>
        </w:rPr>
        <w:t xml:space="preserve"> combate falta de trámite por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y expresa motivos de inconformidad en contra de dicha circunstancia.</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 xml:space="preserve">Tercero. Materia de la revisión. </w:t>
      </w:r>
      <w:r w:rsidRPr="00BC5D8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C5D8E">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BC5D8E">
        <w:rPr>
          <w:rFonts w:ascii="Palatino Linotype" w:eastAsia="Palatino Linotype" w:hAnsi="Palatino Linotype" w:cs="Palatino Linotype"/>
          <w:sz w:val="22"/>
          <w:szCs w:val="22"/>
        </w:rPr>
        <w:t xml:space="preserve">de la parte </w:t>
      </w:r>
      <w:r w:rsidRPr="00BC5D8E">
        <w:rPr>
          <w:rFonts w:ascii="Palatino Linotype" w:eastAsia="Palatino Linotype" w:hAnsi="Palatino Linotype" w:cs="Palatino Linotype"/>
          <w:b/>
          <w:sz w:val="22"/>
          <w:szCs w:val="22"/>
        </w:rPr>
        <w:t>Recurrente</w:t>
      </w:r>
      <w:r w:rsidRPr="00BC5D8E">
        <w:rPr>
          <w:rFonts w:ascii="Palatino Linotype" w:eastAsia="Palatino Linotype" w:hAnsi="Palatino Linotype" w:cs="Palatino Linotype"/>
          <w:sz w:val="22"/>
          <w:szCs w:val="22"/>
        </w:rPr>
        <w:t>, o en su defecto, en caso de ser procedente, ordenar la entrega de información.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BC5D8E">
        <w:rPr>
          <w:rFonts w:ascii="Palatino Linotype" w:eastAsia="Palatino Linotype" w:hAnsi="Palatino Linotype" w:cs="Palatino Linotype"/>
          <w:b/>
          <w:sz w:val="22"/>
          <w:szCs w:val="22"/>
        </w:rPr>
        <w:t xml:space="preserve">Cuarto. Estudio del asunto. </w:t>
      </w:r>
      <w:r w:rsidRPr="00BC5D8E">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Artículo 4</w:t>
      </w:r>
      <w:r w:rsidRPr="00BC5D8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C5D8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C5D8E">
        <w:rPr>
          <w:rFonts w:ascii="Palatino Linotype" w:eastAsia="Palatino Linotype" w:hAnsi="Palatino Linotype" w:cs="Palatino Linotype"/>
          <w:i/>
          <w:sz w:val="22"/>
          <w:szCs w:val="22"/>
        </w:rPr>
        <w:t>.”</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12.-</w:t>
      </w:r>
      <w:r w:rsidRPr="00BC5D8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rsidR="00F25EA2" w:rsidRPr="00BC5D8E" w:rsidRDefault="00FD36DE">
      <w:pPr>
        <w:spacing w:before="240" w:after="240" w:line="360" w:lineRule="auto"/>
        <w:ind w:right="-93"/>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BC5D8E">
        <w:rPr>
          <w:rFonts w:ascii="Palatino Linotype" w:eastAsia="Palatino Linotype" w:hAnsi="Palatino Linotype" w:cs="Palatino Linotype"/>
          <w:b/>
          <w:sz w:val="22"/>
          <w:szCs w:val="22"/>
        </w:rPr>
        <w:t xml:space="preserve"> </w:t>
      </w:r>
    </w:p>
    <w:p w:rsidR="00F25EA2" w:rsidRPr="00BC5D8E" w:rsidRDefault="00FD36DE">
      <w:pPr>
        <w:spacing w:before="120" w:after="120"/>
        <w:ind w:left="1134"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b/>
          <w:i/>
          <w:sz w:val="22"/>
          <w:szCs w:val="22"/>
        </w:rPr>
        <w:t>No existe obligación de elaborar documentos ad hoc para atender las solicitudes de acceso a la información.</w:t>
      </w:r>
      <w:r w:rsidRPr="00BC5D8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25EA2" w:rsidRPr="00BC5D8E" w:rsidRDefault="00FD36DE">
      <w:pPr>
        <w:spacing w:before="120" w:after="12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25EA2" w:rsidRPr="00BC5D8E" w:rsidRDefault="00FD36DE">
      <w:pPr>
        <w:spacing w:before="120" w:after="12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 xml:space="preserve">Artículo 3. </w:t>
      </w:r>
      <w:r w:rsidRPr="00BC5D8E">
        <w:rPr>
          <w:rFonts w:ascii="Palatino Linotype" w:eastAsia="Palatino Linotype" w:hAnsi="Palatino Linotype" w:cs="Palatino Linotype"/>
          <w:i/>
          <w:sz w:val="22"/>
          <w:szCs w:val="22"/>
        </w:rPr>
        <w:t>Para los efectos de la presente Ley se entenderá por:</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XI. Documento:</w:t>
      </w:r>
      <w:r w:rsidRPr="00BC5D8E">
        <w:rPr>
          <w:rFonts w:ascii="Palatino Linotype" w:eastAsia="Palatino Linotype" w:hAnsi="Palatino Linotype" w:cs="Palatino Linotype"/>
          <w:i/>
          <w:sz w:val="22"/>
          <w:szCs w:val="22"/>
        </w:rPr>
        <w:t xml:space="preserve"> Los expedientes, reportes, estudios, actas</w:t>
      </w:r>
      <w:r w:rsidRPr="00BC5D8E">
        <w:rPr>
          <w:rFonts w:ascii="Palatino Linotype" w:eastAsia="Palatino Linotype" w:hAnsi="Palatino Linotype" w:cs="Palatino Linotype"/>
          <w:b/>
          <w:i/>
          <w:sz w:val="22"/>
          <w:szCs w:val="22"/>
        </w:rPr>
        <w:t>,</w:t>
      </w:r>
      <w:r w:rsidRPr="00BC5D8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sz w:val="22"/>
          <w:szCs w:val="22"/>
        </w:rPr>
        <w:t>“</w:t>
      </w:r>
      <w:r w:rsidRPr="00BC5D8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C5D8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F25EA2" w:rsidRPr="00BC5D8E" w:rsidRDefault="00FD36DE">
      <w:pPr>
        <w:spacing w:before="240" w:after="240" w:line="360" w:lineRule="auto"/>
        <w:ind w:right="51"/>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F25EA2" w:rsidRPr="00BC5D8E" w:rsidRDefault="00FD36DE">
      <w:pPr>
        <w:spacing w:before="280" w:after="28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Acotado lo anterior, del análisis de las constancias que integran el expediente se concluye que los motivos de inconformidad vertidos por la parte </w:t>
      </w:r>
      <w:r w:rsidRPr="00BC5D8E">
        <w:rPr>
          <w:rFonts w:ascii="Palatino Linotype" w:eastAsia="Palatino Linotype" w:hAnsi="Palatino Linotype" w:cs="Palatino Linotype"/>
          <w:b/>
          <w:sz w:val="22"/>
          <w:szCs w:val="22"/>
        </w:rPr>
        <w:t>Recurrente</w:t>
      </w:r>
      <w:r w:rsidRPr="00BC5D8E">
        <w:rPr>
          <w:rFonts w:ascii="Palatino Linotype" w:eastAsia="Palatino Linotype" w:hAnsi="Palatino Linotype" w:cs="Palatino Linotype"/>
          <w:sz w:val="22"/>
          <w:szCs w:val="22"/>
        </w:rPr>
        <w:t xml:space="preserve"> resultan fundados, en virtud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omitió dar contestación a la solicitud de información, mediante la cual se requirió la siguiente información:</w:t>
      </w:r>
    </w:p>
    <w:p w:rsidR="00F25EA2" w:rsidRPr="00BC5D8E" w:rsidRDefault="00FD36DE">
      <w:pPr>
        <w:spacing w:before="120" w:after="120" w:line="360" w:lineRule="auto"/>
        <w:ind w:left="426" w:right="90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1. El directorio de todos los servidores públicos que trabajan en el ayuntamiento.</w:t>
      </w:r>
    </w:p>
    <w:p w:rsidR="00F25EA2" w:rsidRPr="00BC5D8E" w:rsidRDefault="00FD36DE">
      <w:pPr>
        <w:spacing w:before="120" w:after="120" w:line="360" w:lineRule="auto"/>
        <w:ind w:left="426" w:right="90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2. El tabulador de sueldos aprobado para el 2025.</w:t>
      </w:r>
    </w:p>
    <w:p w:rsidR="00F25EA2" w:rsidRPr="00BC5D8E" w:rsidRDefault="00FD36DE">
      <w:pPr>
        <w:spacing w:before="120" w:after="120" w:line="360" w:lineRule="auto"/>
        <w:ind w:left="426" w:right="902"/>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sz w:val="22"/>
          <w:szCs w:val="22"/>
        </w:rPr>
        <w:t>3. Los recibos de nómina de la última quincena.</w:t>
      </w:r>
    </w:p>
    <w:p w:rsidR="00F25EA2" w:rsidRPr="00BC5D8E" w:rsidRDefault="00FD36DE">
      <w:pPr>
        <w:spacing w:before="280" w:after="28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Situación que motivó la interposición del recurso de revisión que nos ocupa, donde la persona solicitante alegó medularmente la negativa de la información.</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Ahora bien, con la finalidad de subsanar la omisión en que incurriera, en la etapa de manifestaciones, por conducto de la Dirección de Administración el </w:t>
      </w:r>
      <w:r w:rsidRPr="00BC5D8E">
        <w:rPr>
          <w:rFonts w:ascii="Palatino Linotype" w:eastAsia="Palatino Linotype" w:hAnsi="Palatino Linotype" w:cs="Palatino Linotype"/>
          <w:b/>
          <w:sz w:val="22"/>
          <w:szCs w:val="22"/>
        </w:rPr>
        <w:t xml:space="preserve">Sujeto Obligado </w:t>
      </w:r>
      <w:r w:rsidRPr="00BC5D8E">
        <w:rPr>
          <w:rFonts w:ascii="Palatino Linotype" w:eastAsia="Palatino Linotype" w:hAnsi="Palatino Linotype" w:cs="Palatino Linotype"/>
          <w:sz w:val="22"/>
          <w:szCs w:val="22"/>
        </w:rPr>
        <w:t>hizo entrega de un extracto de la Gaceta Municipal número 1, publicada el uno de enero de dos mil veinticinco, específicamente del acuerdo: 01-ORD/01-01-2025/ACUERDO-5, en el que se aprobó la propuesta de tabulador de sueldos y salarios 2025 (páginas 17 y 18), asimismo, hizo entrega del listado de servidores públicos actualizado a junio de dos mil veinticinco, considerando que con este se cumple con la entrega de aquella información relativa al Directorio de todos los servidores públicos y las remuneraciones de estos, pues contiene la información respecto del servidor público, su cargo, área de adscripción, fecha de adscripción, y el sueldo bruto y neto que perciben.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Mientras que la parte </w:t>
      </w:r>
      <w:r w:rsidRPr="00BC5D8E">
        <w:rPr>
          <w:rFonts w:ascii="Palatino Linotype" w:eastAsia="Palatino Linotype" w:hAnsi="Palatino Linotype" w:cs="Palatino Linotype"/>
          <w:b/>
          <w:sz w:val="22"/>
          <w:szCs w:val="22"/>
        </w:rPr>
        <w:t xml:space="preserve">Recurrente, </w:t>
      </w:r>
      <w:r w:rsidRPr="00BC5D8E">
        <w:rPr>
          <w:rFonts w:ascii="Palatino Linotype" w:eastAsia="Palatino Linotype" w:hAnsi="Palatino Linotype" w:cs="Palatino Linotype"/>
          <w:sz w:val="22"/>
          <w:szCs w:val="22"/>
        </w:rPr>
        <w:t>presentó sus manifestaciones argumentando que había pasado el plazo sin darse respuesta.</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Una vez establecidas las posturas de las partes,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rsidR="00F25EA2" w:rsidRPr="00BC5D8E" w:rsidRDefault="00FD36DE">
      <w:pPr>
        <w:spacing w:before="240" w:after="240" w:line="360" w:lineRule="auto"/>
        <w:ind w:right="51"/>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Al respecto, es de suma importancia mencionar que, derivado del análisis de las constancias que obran en el expediente electrónico en el que se actúa, se advirtió que la Unidad de Transparencia, turnó la solicitud de información a la Dirección de Administración, al ser la dependencia responsable de e vigilar la normatividad de las relaciones entre el Municipio y sus servidores públicos, la selección, contratación y capacitación del personal que requieran las Dependencias de la administración municipal, en términos del artículo 147 del Reglamento Interior de la Administración Pública Municipal de Teoloyucan vigente, entre cuyas atribuciones se encuentran las siguientes: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ARTÍCULO 148</w:t>
      </w:r>
      <w:r w:rsidRPr="00BC5D8E">
        <w:rPr>
          <w:rFonts w:ascii="Palatino Linotype" w:eastAsia="Palatino Linotype" w:hAnsi="Palatino Linotype" w:cs="Palatino Linotype"/>
          <w:i/>
          <w:sz w:val="22"/>
          <w:szCs w:val="22"/>
        </w:rPr>
        <w:t>. La Dirección de Administración estará a cargo de un Director a quien se le denominara Director de Administración, le corresponderá el ejercicio de las siguientes atribuciones: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xml:space="preserve"> Supervisar el cumplimiento de las disposiciones legales que regulen las relaciones entre la Administración Pública y sus servidores públicos;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xml:space="preserve">. Poner a consideración del Presidente Municipal, los nombramientos, sueldos, remociones, renuncias y licencias de los servidores públicos de la Administración Pública Municipal, atendiendo a las disposiciones de la normatividad aplicable;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III.</w:t>
      </w:r>
      <w:r w:rsidRPr="00BC5D8E">
        <w:rPr>
          <w:rFonts w:ascii="Palatino Linotype" w:eastAsia="Palatino Linotype" w:hAnsi="Palatino Linotype" w:cs="Palatino Linotype"/>
          <w:i/>
          <w:sz w:val="22"/>
          <w:szCs w:val="22"/>
        </w:rPr>
        <w:t xml:space="preserve"> Expedir las credenciales o gafetes de identificación de los servidores públicos municipales, con excepción de las credenciales de los miembros del Ayuntamiento;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IV.</w:t>
      </w:r>
      <w:r w:rsidRPr="00BC5D8E">
        <w:rPr>
          <w:rFonts w:ascii="Palatino Linotype" w:eastAsia="Palatino Linotype" w:hAnsi="Palatino Linotype" w:cs="Palatino Linotype"/>
          <w:i/>
          <w:sz w:val="22"/>
          <w:szCs w:val="22"/>
        </w:rPr>
        <w:t xml:space="preserve"> Vigilar y supervisar que el escalafón de los servidores públicos se aplique correctamente y se mantenga actualizado;</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Asimismo, por conducto de la Subdirección de Recursos Humanos, es responsable de lo siguiente: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ARTÍCULO 151.</w:t>
      </w:r>
      <w:r w:rsidRPr="00BC5D8E">
        <w:rPr>
          <w:rFonts w:ascii="Palatino Linotype" w:eastAsia="Palatino Linotype" w:hAnsi="Palatino Linotype" w:cs="Palatino Linotype"/>
          <w:i/>
          <w:sz w:val="22"/>
          <w:szCs w:val="22"/>
        </w:rPr>
        <w:t xml:space="preserve"> Corresponde al Titular de la Subdirección de Recursos Humanos, el despacho de los siguientes asuntos: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XV.</w:t>
      </w:r>
      <w:r w:rsidRPr="00BC5D8E">
        <w:rPr>
          <w:rFonts w:ascii="Palatino Linotype" w:eastAsia="Palatino Linotype" w:hAnsi="Palatino Linotype" w:cs="Palatino Linotype"/>
          <w:i/>
          <w:sz w:val="22"/>
          <w:szCs w:val="22"/>
        </w:rPr>
        <w:t xml:space="preserve"> Supervisar la debida elaboración, dispersión y pago de las nóminas;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XXII</w:t>
      </w:r>
      <w:r w:rsidRPr="00BC5D8E">
        <w:rPr>
          <w:rFonts w:ascii="Palatino Linotype" w:eastAsia="Palatino Linotype" w:hAnsi="Palatino Linotype" w:cs="Palatino Linotype"/>
          <w:i/>
          <w:sz w:val="22"/>
          <w:szCs w:val="22"/>
        </w:rPr>
        <w:t>. Vigilar el cumplimiento de las disposiciones fiscales aplicables para la emisión de cada uno de los recibos de nómina, así como el envío de los mismos vía correo electrónico;”</w:t>
      </w:r>
    </w:p>
    <w:p w:rsidR="00F25EA2" w:rsidRPr="00BC5D8E" w:rsidRDefault="00FD36DE">
      <w:pPr>
        <w:widowControl w:val="0"/>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este sentido se colige que la Dirección de Administración cuenta con atribuciones para conocer de la información solicitada por la parte </w:t>
      </w:r>
      <w:r w:rsidRPr="00BC5D8E">
        <w:rPr>
          <w:rFonts w:ascii="Palatino Linotype" w:eastAsia="Palatino Linotype" w:hAnsi="Palatino Linotype" w:cs="Palatino Linotype"/>
          <w:b/>
          <w:sz w:val="22"/>
          <w:szCs w:val="22"/>
        </w:rPr>
        <w:t>Recurrente</w:t>
      </w:r>
      <w:r w:rsidRPr="00BC5D8E">
        <w:rPr>
          <w:rFonts w:ascii="Palatino Linotype" w:eastAsia="Palatino Linotype" w:hAnsi="Palatino Linotype" w:cs="Palatino Linotype"/>
          <w:sz w:val="22"/>
          <w:szCs w:val="22"/>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rsidR="00F25EA2" w:rsidRPr="00BC5D8E" w:rsidRDefault="00FD36DE">
      <w:pPr>
        <w:widowControl w:val="0"/>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Una vez establecido lo anterior, es de mencionar que del análisis de las constancias que integran el expediente en el que se actúa se concluyó que la información proporcionada por la Dirección de Administración satisface de manera parcial el Derecho de acceso a la información de la persona solicitante, por las razones que a continuación se exponen.</w:t>
      </w:r>
    </w:p>
    <w:p w:rsidR="00F25EA2" w:rsidRPr="00BC5D8E" w:rsidRDefault="00FD36DE">
      <w:pPr>
        <w:spacing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Por cuanto hace al primer punto, relativo al </w:t>
      </w:r>
      <w:r w:rsidRPr="00BC5D8E">
        <w:rPr>
          <w:rFonts w:ascii="Palatino Linotype" w:eastAsia="Palatino Linotype" w:hAnsi="Palatino Linotype" w:cs="Palatino Linotype"/>
          <w:b/>
          <w:sz w:val="22"/>
          <w:szCs w:val="22"/>
        </w:rPr>
        <w:t xml:space="preserve">Directorio de todos los servidores públicos adscritos al ayuntamiento al trece de junio de dos mil veinticinco, </w:t>
      </w:r>
      <w:r w:rsidRPr="00BC5D8E">
        <w:rPr>
          <w:rFonts w:ascii="Palatino Linotype" w:eastAsia="Palatino Linotype" w:hAnsi="Palatino Linotype" w:cs="Palatino Linotype"/>
          <w:sz w:val="22"/>
          <w:szCs w:val="22"/>
        </w:rPr>
        <w:t>es oportuno traer a colación el contenido del artículo 92, fracción VII, de la Ley de Transparencia y Acceso a la Información Pública del Estado de México y Municipios, el cual indica lo siguiente:</w:t>
      </w:r>
    </w:p>
    <w:p w:rsidR="00F25EA2" w:rsidRPr="00BC5D8E" w:rsidRDefault="00F25EA2">
      <w:pPr>
        <w:spacing w:line="360" w:lineRule="auto"/>
        <w:jc w:val="both"/>
        <w:rPr>
          <w:rFonts w:ascii="Palatino Linotype" w:eastAsia="Palatino Linotype" w:hAnsi="Palatino Linotype" w:cs="Palatino Linotype"/>
          <w:sz w:val="22"/>
          <w:szCs w:val="22"/>
        </w:rPr>
      </w:pPr>
    </w:p>
    <w:p w:rsidR="00F25EA2" w:rsidRPr="00BC5D8E" w:rsidRDefault="00FD36DE">
      <w:pPr>
        <w:ind w:left="567" w:right="90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Artículo 92.</w:t>
      </w:r>
      <w:r w:rsidRPr="00BC5D8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25EA2" w:rsidRPr="00BC5D8E" w:rsidRDefault="00FD36DE">
      <w:pPr>
        <w:ind w:left="567" w:right="90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i/>
          <w:sz w:val="22"/>
          <w:szCs w:val="22"/>
        </w:rPr>
        <w:t>…</w:t>
      </w:r>
    </w:p>
    <w:p w:rsidR="00F25EA2" w:rsidRPr="00BC5D8E" w:rsidRDefault="00FD36DE">
      <w:pPr>
        <w:ind w:left="567" w:right="90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i/>
          <w:sz w:val="22"/>
          <w:szCs w:val="22"/>
        </w:rPr>
        <w:t>VII</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b/>
          <w:i/>
          <w:sz w:val="22"/>
          <w:szCs w:val="22"/>
        </w:rPr>
        <w:t>El directorio de todos los servidores públicos</w:t>
      </w:r>
      <w:r w:rsidRPr="00BC5D8E">
        <w:rPr>
          <w:rFonts w:ascii="Palatino Linotype" w:eastAsia="Palatino Linotype" w:hAnsi="Palatino Linotype" w:cs="Palatino Linotype"/>
          <w:i/>
          <w:sz w:val="22"/>
          <w:szCs w:val="22"/>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F25EA2" w:rsidRPr="00BC5D8E" w:rsidRDefault="00F25EA2">
      <w:pPr>
        <w:ind w:left="567" w:right="900"/>
        <w:jc w:val="both"/>
        <w:rPr>
          <w:rFonts w:ascii="Palatino Linotype" w:eastAsia="Palatino Linotype" w:hAnsi="Palatino Linotype" w:cs="Palatino Linotype"/>
          <w:b/>
          <w:i/>
          <w:sz w:val="22"/>
          <w:szCs w:val="22"/>
        </w:rPr>
      </w:pPr>
    </w:p>
    <w:p w:rsidR="00F25EA2" w:rsidRPr="00BC5D8E" w:rsidRDefault="00FD36DE">
      <w:pPr>
        <w:ind w:left="567"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El directorio deberá incluir, al menos el </w:t>
      </w:r>
      <w:r w:rsidRPr="00BC5D8E">
        <w:rPr>
          <w:rFonts w:ascii="Palatino Linotype" w:eastAsia="Palatino Linotype" w:hAnsi="Palatino Linotype" w:cs="Palatino Linotype"/>
          <w:b/>
          <w:i/>
          <w:sz w:val="22"/>
          <w:szCs w:val="22"/>
          <w:u w:val="single"/>
        </w:rPr>
        <w:t xml:space="preserve">nombre, cargo o nombramiento oficial </w:t>
      </w:r>
      <w:r w:rsidRPr="00BC5D8E">
        <w:rPr>
          <w:rFonts w:ascii="Palatino Linotype" w:eastAsia="Palatino Linotype" w:hAnsi="Palatino Linotype" w:cs="Palatino Linotype"/>
          <w:b/>
          <w:sz w:val="22"/>
          <w:szCs w:val="22"/>
          <w:u w:val="single"/>
        </w:rPr>
        <w:t>asignado, nivel</w:t>
      </w:r>
      <w:r w:rsidRPr="00BC5D8E">
        <w:rPr>
          <w:rFonts w:ascii="Palatino Linotype" w:eastAsia="Palatino Linotype" w:hAnsi="Palatino Linotype" w:cs="Palatino Linotype"/>
          <w:b/>
          <w:i/>
          <w:sz w:val="22"/>
          <w:szCs w:val="22"/>
          <w:u w:val="single"/>
        </w:rPr>
        <w:t xml:space="preserve"> del puesto en la estructura orgánica</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b/>
          <w:i/>
          <w:sz w:val="22"/>
          <w:szCs w:val="22"/>
          <w:u w:val="single"/>
        </w:rPr>
        <w:t>fecha de alta en el cargo, número telefónico, domicilio para recibir correspondencia y dirección de correo electrónico oficiales,</w:t>
      </w:r>
      <w:r w:rsidRPr="00BC5D8E">
        <w:rPr>
          <w:rFonts w:ascii="Palatino Linotype" w:eastAsia="Palatino Linotype" w:hAnsi="Palatino Linotype" w:cs="Palatino Linotype"/>
          <w:i/>
          <w:sz w:val="22"/>
          <w:szCs w:val="22"/>
        </w:rPr>
        <w:t xml:space="preserve"> datos que deberán señalarse de forma independiente por dependencia y entidad pública de cada sujeto obligado…”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Del precepto anterior se advierte que la Ley de Transparencia, impone, a los entes públicos la obligación de poner a disposición del público, de manera permanente y actualizada, la información relativa al directorio de todos los servidores públicos, debiendo señalar, entre otros datos, el nombre</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sz w:val="22"/>
          <w:szCs w:val="22"/>
        </w:rPr>
        <w:t>cargo o nombramiento oficial asignado, nivel del puesto en la estructura orgánica, fecha de alta en el cargo, número telefónico, domicilio para recibir correspondencia y dirección de correo electrónico oficiales.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Cabe mencionar que dicha información debe publicarse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cuales disponen lo siguiente: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“Para el cumplimiento de la presente fracción los sujetos obligados deberán integrar el directorio con los datos básicos para establecer contacto con sus personas servidoras públicas, integrantes y/o miembros, así como toda persona que desempeñe un empleo, cargo o comisión y/o realicen actos de autoridad en los mismos.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Se publicará la información correspondiente desde el nivel de jefatura de departamento o equivalente, hasta la persona titular del sujeto obligado; y de menor nivel en caso de que brinden atención al público, manejen o apliquen recursos públicos, realicen actos de autoridad o presten servicios profesionales bajo el régimen de honorarios, confianza y personal de base.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Respecto de las personas prestadoras de servicios profesionales reportadas se incluirá una nota que especifique que éstas no forman parte de la estructura orgánica del sujeto obligado toda vez que fungen como apoyo para el desarrollo de las actividades de los puestos que sí conforman la estructura.”</w:t>
      </w:r>
    </w:p>
    <w:p w:rsidR="00F25EA2" w:rsidRPr="00BC5D8E" w:rsidRDefault="00FD36DE">
      <w:pPr>
        <w:tabs>
          <w:tab w:val="right" w:pos="8838"/>
        </w:tabs>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Asimismo, la información debe publicarse a través del siguiente formato:</w:t>
      </w:r>
    </w:p>
    <w:p w:rsidR="00F25EA2" w:rsidRPr="00BC5D8E" w:rsidRDefault="00FD36DE">
      <w:pPr>
        <w:tabs>
          <w:tab w:val="right" w:pos="8838"/>
        </w:tabs>
        <w:spacing w:before="240" w:after="240" w:line="360" w:lineRule="auto"/>
        <w:jc w:val="center"/>
        <w:rPr>
          <w:rFonts w:ascii="Palatino Linotype" w:eastAsia="Palatino Linotype" w:hAnsi="Palatino Linotype" w:cs="Palatino Linotype"/>
          <w:sz w:val="22"/>
          <w:szCs w:val="22"/>
        </w:rPr>
      </w:pPr>
      <w:r w:rsidRPr="00BC5D8E">
        <w:rPr>
          <w:rFonts w:ascii="Palatino Linotype" w:eastAsia="Palatino Linotype" w:hAnsi="Palatino Linotype" w:cs="Palatino Linotype"/>
          <w:noProof/>
          <w:sz w:val="22"/>
          <w:szCs w:val="22"/>
        </w:rPr>
        <w:drawing>
          <wp:inline distT="0" distB="0" distL="0" distR="0" wp14:anchorId="1C04BF75" wp14:editId="7D31B322">
            <wp:extent cx="5040000" cy="2846562"/>
            <wp:effectExtent l="0" t="0" r="0" b="0"/>
            <wp:docPr id="20832964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313"/>
                    <a:stretch>
                      <a:fillRect/>
                    </a:stretch>
                  </pic:blipFill>
                  <pic:spPr>
                    <a:xfrm>
                      <a:off x="0" y="0"/>
                      <a:ext cx="5040000" cy="2846562"/>
                    </a:xfrm>
                    <a:prstGeom prst="rect">
                      <a:avLst/>
                    </a:prstGeom>
                    <a:ln/>
                  </pic:spPr>
                </pic:pic>
              </a:graphicData>
            </a:graphic>
          </wp:inline>
        </w:drawing>
      </w:r>
    </w:p>
    <w:p w:rsidR="00F25EA2" w:rsidRPr="00BC5D8E" w:rsidRDefault="00FD36DE">
      <w:pPr>
        <w:tabs>
          <w:tab w:val="right" w:pos="8838"/>
        </w:tabs>
        <w:spacing w:before="240" w:after="240" w:line="360" w:lineRule="auto"/>
        <w:jc w:val="center"/>
        <w:rPr>
          <w:rFonts w:ascii="Palatino Linotype" w:eastAsia="Palatino Linotype" w:hAnsi="Palatino Linotype" w:cs="Palatino Linotype"/>
          <w:sz w:val="22"/>
          <w:szCs w:val="22"/>
        </w:rPr>
      </w:pPr>
      <w:r w:rsidRPr="00BC5D8E">
        <w:rPr>
          <w:rFonts w:ascii="Palatino Linotype" w:eastAsia="Palatino Linotype" w:hAnsi="Palatino Linotype" w:cs="Palatino Linotype"/>
          <w:noProof/>
          <w:sz w:val="22"/>
          <w:szCs w:val="22"/>
        </w:rPr>
        <w:drawing>
          <wp:inline distT="0" distB="0" distL="0" distR="0" wp14:anchorId="76B21210" wp14:editId="286BF39D">
            <wp:extent cx="5040000" cy="598208"/>
            <wp:effectExtent l="0" t="0" r="0" b="0"/>
            <wp:docPr id="20832964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040000" cy="598208"/>
                    </a:xfrm>
                    <a:prstGeom prst="rect">
                      <a:avLst/>
                    </a:prstGeom>
                    <a:ln/>
                  </pic:spPr>
                </pic:pic>
              </a:graphicData>
            </a:graphic>
          </wp:inline>
        </w:drawing>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sz w:val="22"/>
          <w:szCs w:val="22"/>
        </w:rPr>
        <w:t>En el caso particular, el servidor público habilitado proporcionó un listado que si bien contiene el nombre de los servidores públicos</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sz w:val="22"/>
          <w:szCs w:val="22"/>
        </w:rPr>
        <w:t xml:space="preserve">su cargo, área de adscripción y fecha de adscripción, </w:t>
      </w:r>
      <w:r w:rsidRPr="00BC5D8E">
        <w:rPr>
          <w:rFonts w:ascii="Palatino Linotype" w:eastAsia="Palatino Linotype" w:hAnsi="Palatino Linotype" w:cs="Palatino Linotype"/>
          <w:b/>
          <w:sz w:val="22"/>
          <w:szCs w:val="22"/>
        </w:rPr>
        <w:t>no contiene información sobre el domicilio oficial, el número de teléfono oficial, así como el correo electrónico oficial en caso de contar con este.</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sz w:val="22"/>
          <w:szCs w:val="22"/>
        </w:rPr>
        <w:t xml:space="preserve">Asimismo, no escapa de la óptica de este Organicismo Garante que </w:t>
      </w:r>
      <w:r w:rsidRPr="00BC5D8E">
        <w:rPr>
          <w:rFonts w:ascii="Palatino Linotype" w:eastAsia="Palatino Linotype" w:hAnsi="Palatino Linotype" w:cs="Palatino Linotype"/>
          <w:b/>
          <w:sz w:val="22"/>
          <w:szCs w:val="22"/>
        </w:rPr>
        <w:t xml:space="preserve">se omitió proporcionar información relativa al personal adscrito a la Comisaria de Seguridad Ciudadana, específicamente por lo que se refiere al </w:t>
      </w:r>
      <w:r w:rsidRPr="00BC5D8E">
        <w:rPr>
          <w:rFonts w:ascii="Palatino Linotype" w:eastAsia="Palatino Linotype" w:hAnsi="Palatino Linotype" w:cs="Palatino Linotype"/>
          <w:b/>
          <w:sz w:val="22"/>
          <w:szCs w:val="22"/>
          <w:u w:val="single"/>
        </w:rPr>
        <w:t>personal que ostenta cargos de mandos medios y superiores</w:t>
      </w:r>
      <w:r w:rsidRPr="00BC5D8E">
        <w:rPr>
          <w:rFonts w:ascii="Palatino Linotype" w:eastAsia="Palatino Linotype" w:hAnsi="Palatino Linotype" w:cs="Palatino Linotype"/>
          <w:b/>
          <w:sz w:val="22"/>
          <w:szCs w:val="22"/>
        </w:rPr>
        <w:t xml:space="preserve">, así como </w:t>
      </w:r>
      <w:r w:rsidRPr="00BC5D8E">
        <w:rPr>
          <w:rFonts w:ascii="Palatino Linotype" w:eastAsia="Palatino Linotype" w:hAnsi="Palatino Linotype" w:cs="Palatino Linotype"/>
          <w:b/>
          <w:sz w:val="22"/>
          <w:szCs w:val="22"/>
          <w:u w:val="single"/>
        </w:rPr>
        <w:t>aquel que desempeña funciones administrativas</w:t>
      </w:r>
      <w:r w:rsidRPr="00BC5D8E">
        <w:rPr>
          <w:rFonts w:ascii="Palatino Linotype" w:eastAsia="Palatino Linotype" w:hAnsi="Palatino Linotype" w:cs="Palatino Linotype"/>
          <w:b/>
          <w:sz w:val="22"/>
          <w:szCs w:val="22"/>
        </w:rPr>
        <w:t>.</w:t>
      </w:r>
    </w:p>
    <w:p w:rsidR="00F25EA2" w:rsidRPr="00BC5D8E" w:rsidRDefault="00FD36DE">
      <w:pPr>
        <w:tabs>
          <w:tab w:val="left" w:pos="3544"/>
        </w:tabs>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Por lo que se refiere al </w:t>
      </w:r>
      <w:r w:rsidRPr="00BC5D8E">
        <w:rPr>
          <w:rFonts w:ascii="Palatino Linotype" w:eastAsia="Palatino Linotype" w:hAnsi="Palatino Linotype" w:cs="Palatino Linotype"/>
          <w:b/>
          <w:sz w:val="22"/>
          <w:szCs w:val="22"/>
        </w:rPr>
        <w:t>tabulador de sueldos y salarios aprobado para el ejercicio 2025</w:t>
      </w:r>
      <w:r w:rsidRPr="00BC5D8E">
        <w:rPr>
          <w:rFonts w:ascii="Palatino Linotype" w:eastAsia="Palatino Linotype" w:hAnsi="Palatino Linotype" w:cs="Palatino Linotype"/>
          <w:sz w:val="22"/>
          <w:szCs w:val="22"/>
        </w:rPr>
        <w:t>, es de mencionar que dicho documento forma parte del Presupuesto de Egresos como se desprende del Manual para la Planeación, Programación y Presupuesto de Egresos Municipal, el que debe publicarse a más tardar el veinticinco de febrero de cada ejercicio fiscal, y que se presenta a través del formato PbRM-05, cuya finalidad consiste en registrar las remuneraciones que se perciben por el empleo, cargo o comisión de cualquier naturaleza por los servidores públicos, mismo que se inserta a continuación para mejor referencia, así como su instructivo de llenado:</w:t>
      </w:r>
    </w:p>
    <w:p w:rsidR="00F25EA2" w:rsidRPr="00BC5D8E" w:rsidRDefault="00FD36DE">
      <w:pPr>
        <w:spacing w:line="360" w:lineRule="auto"/>
        <w:jc w:val="center"/>
        <w:rPr>
          <w:rFonts w:ascii="Palatino Linotype" w:eastAsia="Palatino Linotype" w:hAnsi="Palatino Linotype" w:cs="Palatino Linotype"/>
          <w:sz w:val="22"/>
          <w:szCs w:val="22"/>
        </w:rPr>
      </w:pPr>
      <w:r w:rsidRPr="00BC5D8E">
        <w:rPr>
          <w:rFonts w:ascii="Palatino Linotype" w:eastAsia="Palatino Linotype" w:hAnsi="Palatino Linotype" w:cs="Palatino Linotype"/>
          <w:noProof/>
          <w:sz w:val="22"/>
          <w:szCs w:val="22"/>
        </w:rPr>
        <w:drawing>
          <wp:inline distT="0" distB="0" distL="0" distR="0" wp14:anchorId="506D94FE" wp14:editId="16F9AEA4">
            <wp:extent cx="4500000" cy="3210203"/>
            <wp:effectExtent l="0" t="0" r="0" b="0"/>
            <wp:docPr id="20832964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2132" b="8043"/>
                    <a:stretch>
                      <a:fillRect/>
                    </a:stretch>
                  </pic:blipFill>
                  <pic:spPr>
                    <a:xfrm>
                      <a:off x="0" y="0"/>
                      <a:ext cx="4500000" cy="3210203"/>
                    </a:xfrm>
                    <a:prstGeom prst="rect">
                      <a:avLst/>
                    </a:prstGeom>
                    <a:ln/>
                  </pic:spPr>
                </pic:pic>
              </a:graphicData>
            </a:graphic>
          </wp:inline>
        </w:drawing>
      </w:r>
    </w:p>
    <w:p w:rsidR="00F25EA2" w:rsidRPr="00BC5D8E" w:rsidRDefault="00FD36DE">
      <w:pPr>
        <w:spacing w:line="360" w:lineRule="auto"/>
        <w:jc w:val="center"/>
        <w:rPr>
          <w:rFonts w:ascii="Palatino Linotype" w:eastAsia="Palatino Linotype" w:hAnsi="Palatino Linotype" w:cs="Palatino Linotype"/>
          <w:sz w:val="22"/>
          <w:szCs w:val="22"/>
        </w:rPr>
      </w:pPr>
      <w:r w:rsidRPr="00BC5D8E">
        <w:rPr>
          <w:rFonts w:ascii="Palatino Linotype" w:eastAsia="Palatino Linotype" w:hAnsi="Palatino Linotype" w:cs="Palatino Linotype"/>
          <w:noProof/>
          <w:sz w:val="22"/>
          <w:szCs w:val="22"/>
        </w:rPr>
        <w:drawing>
          <wp:inline distT="0" distB="0" distL="0" distR="0" wp14:anchorId="03AD7F4E" wp14:editId="31F98FE1">
            <wp:extent cx="4860000" cy="3420916"/>
            <wp:effectExtent l="0" t="0" r="0" b="0"/>
            <wp:docPr id="208329646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860000" cy="3420916"/>
                    </a:xfrm>
                    <a:prstGeom prst="rect">
                      <a:avLst/>
                    </a:prstGeom>
                    <a:ln/>
                  </pic:spPr>
                </pic:pic>
              </a:graphicData>
            </a:graphic>
          </wp:inline>
        </w:drawing>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el caso particular, si bien el </w:t>
      </w:r>
      <w:r w:rsidRPr="00BC5D8E">
        <w:rPr>
          <w:rFonts w:ascii="Palatino Linotype" w:eastAsia="Palatino Linotype" w:hAnsi="Palatino Linotype" w:cs="Palatino Linotype"/>
          <w:b/>
          <w:sz w:val="22"/>
          <w:szCs w:val="22"/>
        </w:rPr>
        <w:t xml:space="preserve">Sujeto Obligado </w:t>
      </w:r>
      <w:r w:rsidRPr="00BC5D8E">
        <w:rPr>
          <w:rFonts w:ascii="Palatino Linotype" w:eastAsia="Palatino Linotype" w:hAnsi="Palatino Linotype" w:cs="Palatino Linotype"/>
          <w:sz w:val="22"/>
          <w:szCs w:val="22"/>
        </w:rPr>
        <w:t xml:space="preserve">hizo entrega del tabulador de sueldos y salarios aprobado en la Primera Sesión Ordinaria de Cabildo celebrada el uno de enero de dos mil veinticinco,  mediante el acuerdo 01-ORD/01-01-2025/ACUERDO-5, este </w:t>
      </w:r>
      <w:r w:rsidRPr="00BC5D8E">
        <w:rPr>
          <w:rFonts w:ascii="Palatino Linotype" w:eastAsia="Palatino Linotype" w:hAnsi="Palatino Linotype" w:cs="Palatino Linotype"/>
          <w:b/>
          <w:sz w:val="22"/>
          <w:szCs w:val="22"/>
        </w:rPr>
        <w:t>no es el tabulador definitivo, ni el vigente a la fecha de presentación de la solicitud</w:t>
      </w:r>
      <w:r w:rsidRPr="00BC5D8E">
        <w:rPr>
          <w:rFonts w:ascii="Palatino Linotype" w:eastAsia="Palatino Linotype" w:hAnsi="Palatino Linotype" w:cs="Palatino Linotype"/>
          <w:sz w:val="22"/>
          <w:szCs w:val="22"/>
        </w:rPr>
        <w:t xml:space="preserve"> reiterando que dicho documento forma parte del presupuesto de egresos que debe publicarse a más tardar el veinticinco de febrero de cada ejercicio fiscal, además de que debe cumplir con los elementos que señala el Manual para la Planeación, Programación y Presupuesto de Egresos Municipal, para la requisición del formato PbRM-05.</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Por último, en lo concerniente a los recibos de nómina de la segunda quincena de mayo de 2025, es de señalar que no fueron entregados dichos documentos, sino un listado que contiene las remuneraciones de los servidores públicos, el cual, además no contiene información del personal adscrito a la Comisaria de Seguridad Ciudadana, por consiguiente no puede tenerse por satisfecho este punto de la solicitud.</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Al respecto, 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sz w:val="22"/>
          <w:szCs w:val="22"/>
        </w:rPr>
        <w:t xml:space="preserve">en donde se señala que el Régimen Fiscal para las entidades públicas es el correspondiente a </w:t>
      </w:r>
      <w:r w:rsidRPr="00BC5D8E">
        <w:rPr>
          <w:rFonts w:ascii="Palatino Linotype" w:eastAsia="Palatino Linotype" w:hAnsi="Palatino Linotype" w:cs="Palatino Linotype"/>
          <w:i/>
          <w:sz w:val="22"/>
          <w:szCs w:val="22"/>
        </w:rPr>
        <w:t xml:space="preserve">personas morales con fines no lucrativos, </w:t>
      </w:r>
      <w:r w:rsidRPr="00BC5D8E">
        <w:rPr>
          <w:rFonts w:ascii="Palatino Linotype" w:eastAsia="Palatino Linotype" w:hAnsi="Palatino Linotype" w:cs="Palatino Linotype"/>
          <w:sz w:val="22"/>
          <w:szCs w:val="22"/>
        </w:rPr>
        <w:t>y en segundo lugar remitirnos al párrafo séptimo del artículo 86 del Título III del Régimen de las Personas Morales con fines no lucrativos, de la Ley del Impuesto Sobre la Renta</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sz w:val="22"/>
          <w:szCs w:val="22"/>
        </w:rPr>
        <w:t>que a la letra señala lo siguiente:</w:t>
      </w:r>
    </w:p>
    <w:p w:rsidR="00F25EA2" w:rsidRPr="00BC5D8E" w:rsidRDefault="00FD36DE">
      <w:pPr>
        <w:spacing w:before="120" w:after="120"/>
        <w:ind w:left="851" w:right="902"/>
        <w:jc w:val="both"/>
        <w:rPr>
          <w:rFonts w:ascii="Palatino Linotype" w:eastAsia="Palatino Linotype" w:hAnsi="Palatino Linotype" w:cs="Palatino Linotype"/>
          <w:b/>
          <w:i/>
          <w:sz w:val="22"/>
          <w:szCs w:val="22"/>
        </w:rPr>
      </w:pPr>
      <w:r w:rsidRPr="00BC5D8E">
        <w:rPr>
          <w:rFonts w:ascii="Palatino Linotype" w:eastAsia="Palatino Linotype" w:hAnsi="Palatino Linotype" w:cs="Palatino Linotype"/>
          <w:sz w:val="22"/>
          <w:szCs w:val="22"/>
        </w:rPr>
        <w:t xml:space="preserve"> </w:t>
      </w:r>
      <w:r w:rsidRPr="00BC5D8E">
        <w:rPr>
          <w:rFonts w:ascii="Palatino Linotype" w:eastAsia="Palatino Linotype" w:hAnsi="Palatino Linotype" w:cs="Palatino Linotype"/>
          <w:b/>
          <w:i/>
          <w:sz w:val="22"/>
          <w:szCs w:val="22"/>
        </w:rPr>
        <w:t xml:space="preserve">“Artículo.- 86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i/>
          <w:sz w:val="22"/>
          <w:szCs w:val="22"/>
        </w:rPr>
        <w:t xml:space="preserve">Los partidos y asociaciones políticas, legalmente reconocidos, la Federación, las entidades federativas, </w:t>
      </w:r>
      <w:r w:rsidRPr="00BC5D8E">
        <w:rPr>
          <w:rFonts w:ascii="Palatino Linotype" w:eastAsia="Palatino Linotype" w:hAnsi="Palatino Linotype" w:cs="Palatino Linotype"/>
          <w:b/>
          <w:i/>
          <w:sz w:val="22"/>
          <w:szCs w:val="22"/>
        </w:rPr>
        <w:t>los municipios</w:t>
      </w:r>
      <w:r w:rsidRPr="00BC5D8E">
        <w:rPr>
          <w:rFonts w:ascii="Palatino Linotype" w:eastAsia="Palatino Linotype" w:hAnsi="Palatino Linotype" w:cs="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BC5D8E">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BC5D8E">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BC5D8E">
        <w:rPr>
          <w:rFonts w:ascii="Palatino Linotype" w:eastAsia="Palatino Linotype" w:hAnsi="Palatino Linotype" w:cs="Palatino Linotype"/>
          <w:sz w:val="22"/>
          <w:szCs w:val="22"/>
        </w:rPr>
        <w:t xml:space="preserve">”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Del precepto citado, se advierte que los municipios al ser entes públicos se encuentran constreñidos a expedir y entregar los </w:t>
      </w:r>
      <w:r w:rsidRPr="00BC5D8E">
        <w:rPr>
          <w:rFonts w:ascii="Palatino Linotype" w:eastAsia="Palatino Linotype" w:hAnsi="Palatino Linotype" w:cs="Palatino Linotype"/>
          <w:b/>
          <w:sz w:val="22"/>
          <w:szCs w:val="22"/>
        </w:rPr>
        <w:t xml:space="preserve">comprobantes fiscales correspondientes a las personas que reciban pagos por conceptos de salarios, </w:t>
      </w:r>
      <w:r w:rsidRPr="00BC5D8E">
        <w:rPr>
          <w:rFonts w:ascii="Palatino Linotype" w:eastAsia="Palatino Linotype" w:hAnsi="Palatino Linotype" w:cs="Palatino Linotype"/>
          <w:sz w:val="22"/>
          <w:szCs w:val="22"/>
        </w:rPr>
        <w:t xml:space="preserve">mismos que pueden ser utilizados como </w:t>
      </w:r>
      <w:r w:rsidRPr="00BC5D8E">
        <w:rPr>
          <w:rFonts w:ascii="Palatino Linotype" w:eastAsia="Palatino Linotype" w:hAnsi="Palatino Linotype" w:cs="Palatino Linotype"/>
          <w:b/>
          <w:sz w:val="22"/>
          <w:szCs w:val="22"/>
        </w:rPr>
        <w:t>constancia o</w:t>
      </w:r>
      <w:r w:rsidRPr="00BC5D8E">
        <w:rPr>
          <w:rFonts w:ascii="Palatino Linotype" w:eastAsia="Palatino Linotype" w:hAnsi="Palatino Linotype" w:cs="Palatino Linotype"/>
          <w:sz w:val="22"/>
          <w:szCs w:val="22"/>
        </w:rPr>
        <w:t xml:space="preserve"> </w:t>
      </w:r>
      <w:r w:rsidRPr="00BC5D8E">
        <w:rPr>
          <w:rFonts w:ascii="Palatino Linotype" w:eastAsia="Palatino Linotype" w:hAnsi="Palatino Linotype" w:cs="Palatino Linotype"/>
          <w:b/>
          <w:sz w:val="22"/>
          <w:szCs w:val="22"/>
        </w:rPr>
        <w:t>recibo de pago</w:t>
      </w:r>
      <w:r w:rsidRPr="00BC5D8E">
        <w:rPr>
          <w:rFonts w:ascii="Palatino Linotype" w:eastAsia="Palatino Linotype" w:hAnsi="Palatino Linotype" w:cs="Palatino Linotype"/>
          <w:sz w:val="22"/>
          <w:szCs w:val="22"/>
        </w:rPr>
        <w:t>.</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rsidR="00F25EA2" w:rsidRPr="00BC5D8E" w:rsidRDefault="00FD36DE">
      <w:pPr>
        <w:tabs>
          <w:tab w:val="left" w:pos="907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220 K.-</w:t>
      </w:r>
      <w:r w:rsidRPr="00BC5D8E">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F25EA2" w:rsidRPr="00BC5D8E" w:rsidRDefault="00FD36DE">
      <w:pPr>
        <w:tabs>
          <w:tab w:val="left" w:pos="907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tabs>
          <w:tab w:val="left" w:pos="907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Recibos de pagos de salarios o las constancias documentales del pago de salario cuando sea por depósito o mediante información electrónica;</w:t>
      </w:r>
    </w:p>
    <w:p w:rsidR="00F25EA2" w:rsidRPr="00BC5D8E" w:rsidRDefault="00FD36DE">
      <w:pPr>
        <w:tabs>
          <w:tab w:val="left" w:pos="907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tabs>
          <w:tab w:val="left" w:pos="907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IV</w:t>
      </w:r>
      <w:r w:rsidRPr="00BC5D8E">
        <w:rPr>
          <w:rFonts w:ascii="Palatino Linotype" w:eastAsia="Palatino Linotype" w:hAnsi="Palatino Linotype" w:cs="Palatino Linotype"/>
          <w:i/>
          <w:sz w:val="22"/>
          <w:szCs w:val="22"/>
        </w:rPr>
        <w:t>. Recibos o las constancias de depósito o del medio de información magnética o electrónica que sean utilizadas para el pago de salarios, prima vacacional, aguinaldo y demás prestaciones establecidas en la presente ley; y…</w:t>
      </w:r>
    </w:p>
    <w:p w:rsidR="00F25EA2" w:rsidRPr="00BC5D8E" w:rsidRDefault="00FD36DE">
      <w:pPr>
        <w:tabs>
          <w:tab w:val="left" w:pos="907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F25EA2" w:rsidRPr="00BC5D8E" w:rsidRDefault="00FD36DE">
      <w:pPr>
        <w:tabs>
          <w:tab w:val="left" w:pos="907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Sobre la base del precepto legal citado, se advierte que </w:t>
      </w:r>
      <w:r w:rsidRPr="00BC5D8E">
        <w:rPr>
          <w:rFonts w:ascii="Palatino Linotype" w:eastAsia="Palatino Linotype" w:hAnsi="Palatino Linotype" w:cs="Palatino Linotype"/>
          <w:i/>
          <w:sz w:val="22"/>
          <w:szCs w:val="22"/>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BC5D8E">
        <w:rPr>
          <w:rFonts w:ascii="Palatino Linotype" w:eastAsia="Palatino Linotype" w:hAnsi="Palatino Linotype" w:cs="Palatino Linotype"/>
          <w:sz w:val="22"/>
          <w:szCs w:val="22"/>
        </w:rPr>
        <w:t>.</w:t>
      </w:r>
    </w:p>
    <w:p w:rsidR="00F25EA2" w:rsidRPr="00BC5D8E" w:rsidRDefault="00FD36DE">
      <w:pPr>
        <w:spacing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esta línea de pensamiento se estima que para tener por satisfecho el Derecho de acceso de la persona solicitante, es necesario que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previa búsqueda exhaustiva y razonable, haga entrega del directorio de todos los servidores públicos actualizado al trece de junio de dos mil veinticinco, el tabulador de sueldos del ejercicio 2025, vigente al trece de junio de dos mil veinticinco, así como los recibos de nómina de todos los servidores públicos de la segunda quincena de mayo de dos mil veinticinco, en versión pública de conformidad con el considerando siguiente.</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mérito de todo lo expuesto, ante lo fundado de las razones o motivos de inconformidad hechos valer por la parte</w:t>
      </w:r>
      <w:r w:rsidRPr="00BC5D8E">
        <w:rPr>
          <w:rFonts w:ascii="Palatino Linotype" w:eastAsia="Palatino Linotype" w:hAnsi="Palatino Linotype" w:cs="Palatino Linotype"/>
          <w:b/>
          <w:sz w:val="22"/>
          <w:szCs w:val="22"/>
        </w:rPr>
        <w:t xml:space="preserve"> Recurrente, </w:t>
      </w:r>
      <w:r w:rsidRPr="00BC5D8E">
        <w:rPr>
          <w:rFonts w:ascii="Palatino Linotype" w:eastAsia="Palatino Linotype" w:hAnsi="Palatino Linotype" w:cs="Palatino Linotype"/>
          <w:sz w:val="22"/>
          <w:szCs w:val="22"/>
        </w:rPr>
        <w:t xml:space="preserve">este Instituto estima que lo dable es </w:t>
      </w:r>
      <w:r w:rsidRPr="00BC5D8E">
        <w:rPr>
          <w:rFonts w:ascii="Palatino Linotype" w:eastAsia="Palatino Linotype" w:hAnsi="Palatino Linotype" w:cs="Palatino Linotype"/>
          <w:i/>
          <w:sz w:val="22"/>
          <w:szCs w:val="22"/>
        </w:rPr>
        <w:t>Ordenar</w:t>
      </w:r>
      <w:r w:rsidRPr="00BC5D8E">
        <w:rPr>
          <w:rFonts w:ascii="Palatino Linotype" w:eastAsia="Palatino Linotype" w:hAnsi="Palatino Linotype" w:cs="Palatino Linotype"/>
          <w:sz w:val="22"/>
          <w:szCs w:val="22"/>
        </w:rPr>
        <w:t xml:space="preserve"> al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atienda la solicitud de acceso a la información en los términos ya precisados.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Finalmente, toda  vez que el presente recurso derivó de la omisión por parte del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en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BC5D8E">
        <w:rPr>
          <w:rFonts w:ascii="Palatino Linotype" w:eastAsia="Palatino Linotype" w:hAnsi="Palatino Linotype" w:cs="Palatino Linotype"/>
          <w:b/>
          <w:sz w:val="22"/>
          <w:szCs w:val="22"/>
        </w:rPr>
        <w:t>Secretaría Técnica del Pleno</w:t>
      </w:r>
      <w:r w:rsidRPr="00BC5D8E">
        <w:rPr>
          <w:rFonts w:ascii="Palatino Linotype" w:eastAsia="Palatino Linotype" w:hAnsi="Palatino Linotype" w:cs="Palatino Linotype"/>
          <w:sz w:val="22"/>
          <w:szCs w:val="22"/>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rsidR="00F25EA2" w:rsidRPr="00BC5D8E" w:rsidRDefault="00FD36DE">
      <w:pPr>
        <w:spacing w:before="240" w:after="240" w:line="360" w:lineRule="auto"/>
        <w:ind w:right="51"/>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 xml:space="preserve">Quinto. Versión Pública. </w:t>
      </w:r>
      <w:r w:rsidRPr="00BC5D8E">
        <w:rPr>
          <w:rFonts w:ascii="Palatino Linotype" w:eastAsia="Palatino Linotype" w:hAnsi="Palatino Linotype" w:cs="Palatino Linotype"/>
          <w:sz w:val="22"/>
          <w:szCs w:val="22"/>
        </w:rPr>
        <w:t>Como fue debidamente apuntado,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sz w:val="22"/>
          <w:szCs w:val="22"/>
        </w:rPr>
        <w:t> </w:t>
      </w: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Artículo 3.</w:t>
      </w:r>
      <w:r w:rsidRPr="00BC5D8E">
        <w:rPr>
          <w:rFonts w:ascii="Palatino Linotype" w:eastAsia="Palatino Linotype" w:hAnsi="Palatino Linotype" w:cs="Palatino Linotype"/>
          <w:i/>
          <w:sz w:val="22"/>
          <w:szCs w:val="22"/>
        </w:rPr>
        <w:t xml:space="preserve"> Para los efectos de la presente Ley se entenderá por:</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IX. Datos personales</w:t>
      </w:r>
      <w:r w:rsidRPr="00BC5D8E">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XX. Información clasificada</w:t>
      </w:r>
      <w:r w:rsidRPr="00BC5D8E">
        <w:rPr>
          <w:rFonts w:ascii="Palatino Linotype" w:eastAsia="Palatino Linotype" w:hAnsi="Palatino Linotype" w:cs="Palatino Linotype"/>
          <w:i/>
          <w:sz w:val="22"/>
          <w:szCs w:val="22"/>
        </w:rPr>
        <w:t>: Aquella considerada por la presente Ley como reservada o confidencial;</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XXI. Información confidencial</w:t>
      </w:r>
      <w:r w:rsidRPr="00BC5D8E">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XXXII. Protección de Datos Personales</w:t>
      </w:r>
      <w:r w:rsidRPr="00BC5D8E">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tabs>
          <w:tab w:val="left" w:pos="1276"/>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XLV. Versión pública</w:t>
      </w:r>
      <w:r w:rsidRPr="00BC5D8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Artículo 6</w:t>
      </w:r>
      <w:r w:rsidRPr="00BC5D8E">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91.</w:t>
      </w:r>
      <w:r w:rsidRPr="00BC5D8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BC5D8E">
        <w:rPr>
          <w:rFonts w:ascii="Palatino Linotype" w:eastAsia="Palatino Linotype" w:hAnsi="Palatino Linotype" w:cs="Palatino Linotype"/>
          <w:i/>
          <w:sz w:val="22"/>
          <w:szCs w:val="22"/>
        </w:rPr>
        <w:b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132.</w:t>
      </w:r>
      <w:r w:rsidRPr="00BC5D8E">
        <w:rPr>
          <w:rFonts w:ascii="Palatino Linotype" w:eastAsia="Palatino Linotype" w:hAnsi="Palatino Linotype" w:cs="Palatino Linotype"/>
          <w:i/>
          <w:sz w:val="22"/>
          <w:szCs w:val="22"/>
        </w:rPr>
        <w:t xml:space="preserve"> La clasificación de la información se llevará a cabo en el momento en que: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Se reciba una solicitud de acceso a la información;</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xml:space="preserve"> Se determine mediante resolución de autoridad competente; o</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III.</w:t>
      </w:r>
      <w:r w:rsidRPr="00BC5D8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137.</w:t>
      </w:r>
      <w:r w:rsidRPr="00BC5D8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Artículo 143.</w:t>
      </w:r>
      <w:r w:rsidRPr="00BC5D8E">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F25EA2" w:rsidRPr="00BC5D8E" w:rsidRDefault="00FD36DE">
      <w:pPr>
        <w:spacing w:before="240" w:after="240" w:line="360" w:lineRule="auto"/>
        <w:ind w:right="5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F25EA2" w:rsidRPr="00BC5D8E" w:rsidRDefault="00FD36DE">
      <w:pPr>
        <w:spacing w:before="240" w:after="240" w:line="360" w:lineRule="auto"/>
        <w:ind w:right="5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BC5D8E">
        <w:rPr>
          <w:rFonts w:ascii="Palatino Linotype" w:eastAsia="Palatino Linotype" w:hAnsi="Palatino Linotype" w:cs="Palatino Linotype"/>
          <w:b/>
          <w:sz w:val="22"/>
          <w:szCs w:val="22"/>
        </w:rPr>
        <w:t>Registro Federal de Contribuyentes</w:t>
      </w:r>
      <w:r w:rsidRPr="00BC5D8E">
        <w:rPr>
          <w:rFonts w:ascii="Palatino Linotype" w:eastAsia="Palatino Linotype" w:hAnsi="Palatino Linotype" w:cs="Palatino Linotype"/>
          <w:sz w:val="22"/>
          <w:szCs w:val="22"/>
        </w:rPr>
        <w:t xml:space="preserve"> (RFC), la </w:t>
      </w:r>
      <w:r w:rsidRPr="00BC5D8E">
        <w:rPr>
          <w:rFonts w:ascii="Palatino Linotype" w:eastAsia="Palatino Linotype" w:hAnsi="Palatino Linotype" w:cs="Palatino Linotype"/>
          <w:b/>
          <w:sz w:val="22"/>
          <w:szCs w:val="22"/>
        </w:rPr>
        <w:t>Clave Única de Registro de Población</w:t>
      </w:r>
      <w:r w:rsidRPr="00BC5D8E">
        <w:rPr>
          <w:rFonts w:ascii="Palatino Linotype" w:eastAsia="Palatino Linotype" w:hAnsi="Palatino Linotype" w:cs="Palatino Linotype"/>
          <w:sz w:val="22"/>
          <w:szCs w:val="22"/>
        </w:rPr>
        <w:t xml:space="preserve"> (CURP), la </w:t>
      </w:r>
      <w:r w:rsidRPr="00BC5D8E">
        <w:rPr>
          <w:rFonts w:ascii="Palatino Linotype" w:eastAsia="Palatino Linotype" w:hAnsi="Palatino Linotype" w:cs="Palatino Linotype"/>
          <w:b/>
          <w:sz w:val="22"/>
          <w:szCs w:val="22"/>
        </w:rPr>
        <w:t>Clave de cualquier tipo de seguridad social</w:t>
      </w:r>
      <w:r w:rsidRPr="00BC5D8E">
        <w:rPr>
          <w:rFonts w:ascii="Palatino Linotype" w:eastAsia="Palatino Linotype" w:hAnsi="Palatino Linotype" w:cs="Palatino Linotype"/>
          <w:sz w:val="22"/>
          <w:szCs w:val="22"/>
        </w:rPr>
        <w:t xml:space="preserve"> (ISSEMYM, u otros), los </w:t>
      </w:r>
      <w:r w:rsidRPr="00BC5D8E">
        <w:rPr>
          <w:rFonts w:ascii="Palatino Linotype" w:eastAsia="Palatino Linotype" w:hAnsi="Palatino Linotype" w:cs="Palatino Linotype"/>
          <w:b/>
          <w:sz w:val="22"/>
          <w:szCs w:val="22"/>
        </w:rPr>
        <w:t>números de cuentas bancarias</w:t>
      </w:r>
      <w:r w:rsidRPr="00BC5D8E">
        <w:rPr>
          <w:rFonts w:ascii="Palatino Linotype" w:eastAsia="Palatino Linotype" w:hAnsi="Palatino Linotype" w:cs="Palatino Linotype"/>
          <w:sz w:val="22"/>
          <w:szCs w:val="22"/>
        </w:rPr>
        <w:t xml:space="preserve">, claves estandarizadas – interbancarias - (CLABES) y de tarjetas, los </w:t>
      </w:r>
      <w:r w:rsidRPr="00BC5D8E">
        <w:rPr>
          <w:rFonts w:ascii="Palatino Linotype" w:eastAsia="Palatino Linotype" w:hAnsi="Palatino Linotype" w:cs="Palatino Linotype"/>
          <w:b/>
          <w:sz w:val="22"/>
          <w:szCs w:val="22"/>
        </w:rPr>
        <w:t>préstamos o descuentos</w:t>
      </w:r>
      <w:r w:rsidRPr="00BC5D8E">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BC5D8E">
        <w:rPr>
          <w:rFonts w:ascii="Palatino Linotype" w:eastAsia="Palatino Linotype" w:hAnsi="Palatino Linotype" w:cs="Palatino Linotype"/>
          <w:b/>
          <w:sz w:val="22"/>
          <w:szCs w:val="22"/>
        </w:rPr>
        <w:t xml:space="preserve"> número de empleado, </w:t>
      </w:r>
      <w:r w:rsidRPr="00BC5D8E">
        <w:rPr>
          <w:rFonts w:ascii="Palatino Linotype" w:eastAsia="Palatino Linotype" w:hAnsi="Palatino Linotype" w:cs="Palatino Linotype"/>
          <w:sz w:val="22"/>
          <w:szCs w:val="22"/>
        </w:rPr>
        <w:t>y cualquier información de carácter fiscal.</w:t>
      </w:r>
    </w:p>
    <w:p w:rsidR="00F25EA2" w:rsidRPr="00BC5D8E" w:rsidRDefault="00FD36DE">
      <w:pPr>
        <w:spacing w:before="240" w:after="240" w:line="360" w:lineRule="auto"/>
        <w:ind w:right="5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Por cuanto hace al </w:t>
      </w:r>
      <w:r w:rsidRPr="00BC5D8E">
        <w:rPr>
          <w:rFonts w:ascii="Palatino Linotype" w:eastAsia="Palatino Linotype" w:hAnsi="Palatino Linotype" w:cs="Palatino Linotype"/>
          <w:b/>
          <w:sz w:val="22"/>
          <w:szCs w:val="22"/>
        </w:rPr>
        <w:t>Registro Federal de Contribuyentes, RFC,</w:t>
      </w:r>
      <w:r w:rsidRPr="00BC5D8E">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9" w:name="_heading=h.26in1rg" w:colFirst="0" w:colLast="0"/>
      <w:bookmarkEnd w:id="9"/>
      <w:r w:rsidRPr="00BC5D8E">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 “Registro Federal de Contribuyentes (RFC) de personas físicas</w:t>
      </w:r>
      <w:r w:rsidRPr="00BC5D8E">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De igual manera la </w:t>
      </w:r>
      <w:r w:rsidRPr="00BC5D8E">
        <w:rPr>
          <w:rFonts w:ascii="Palatino Linotype" w:eastAsia="Palatino Linotype" w:hAnsi="Palatino Linotype" w:cs="Palatino Linotype"/>
          <w:b/>
          <w:sz w:val="22"/>
          <w:szCs w:val="22"/>
        </w:rPr>
        <w:t>Clave Única de Registro de Población</w:t>
      </w:r>
      <w:r w:rsidRPr="00BC5D8E">
        <w:rPr>
          <w:rFonts w:ascii="Palatino Linotype" w:eastAsia="Palatino Linotype" w:hAnsi="Palatino Linotype" w:cs="Palatino Linotype"/>
          <w:sz w:val="22"/>
          <w:szCs w:val="22"/>
        </w:rPr>
        <w:t xml:space="preserve">, </w:t>
      </w:r>
      <w:r w:rsidRPr="00BC5D8E">
        <w:rPr>
          <w:rFonts w:ascii="Palatino Linotype" w:eastAsia="Palatino Linotype" w:hAnsi="Palatino Linotype" w:cs="Palatino Linotype"/>
          <w:b/>
          <w:sz w:val="22"/>
          <w:szCs w:val="22"/>
        </w:rPr>
        <w:t>CURP,</w:t>
      </w:r>
      <w:r w:rsidRPr="00BC5D8E">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 “Clave Única de Registro de Población (CURP). </w:t>
      </w:r>
      <w:r w:rsidRPr="00BC5D8E">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Por lo que respecta a la </w:t>
      </w:r>
      <w:r w:rsidRPr="00BC5D8E">
        <w:rPr>
          <w:rFonts w:ascii="Palatino Linotype" w:eastAsia="Palatino Linotype" w:hAnsi="Palatino Linotype" w:cs="Palatino Linotype"/>
          <w:b/>
          <w:sz w:val="22"/>
          <w:szCs w:val="22"/>
        </w:rPr>
        <w:t>clave de seguridad social</w:t>
      </w:r>
      <w:r w:rsidRPr="00BC5D8E">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Respecto de los </w:t>
      </w:r>
      <w:r w:rsidRPr="00BC5D8E">
        <w:rPr>
          <w:rFonts w:ascii="Palatino Linotype" w:eastAsia="Palatino Linotype" w:hAnsi="Palatino Linotype" w:cs="Palatino Linotype"/>
          <w:b/>
          <w:sz w:val="22"/>
          <w:szCs w:val="22"/>
        </w:rPr>
        <w:t>números de cuentas bancari</w:t>
      </w:r>
      <w:r w:rsidRPr="00BC5D8E">
        <w:rPr>
          <w:rFonts w:ascii="Palatino Linotype" w:eastAsia="Palatino Linotype" w:hAnsi="Palatino Linotype" w:cs="Palatino Linotype"/>
          <w:sz w:val="22"/>
          <w:szCs w:val="22"/>
        </w:rPr>
        <w:t xml:space="preserve">as, </w:t>
      </w:r>
      <w:r w:rsidRPr="00BC5D8E">
        <w:rPr>
          <w:rFonts w:ascii="Palatino Linotype" w:eastAsia="Palatino Linotype" w:hAnsi="Palatino Linotype" w:cs="Palatino Linotype"/>
          <w:b/>
          <w:sz w:val="22"/>
          <w:szCs w:val="22"/>
        </w:rPr>
        <w:t>claves estandarizadas –interbancarias- (CLABES) y de tarjetas</w:t>
      </w:r>
      <w:r w:rsidRPr="00BC5D8E">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Cuentas bancarias y/o CLABE interbancaria de personas físicas y morales privadas.</w:t>
      </w:r>
      <w:r w:rsidRPr="00BC5D8E">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BC5D8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10" w:name="_heading=h.35nkun2" w:colFirst="0" w:colLast="0"/>
      <w:bookmarkEnd w:id="10"/>
      <w:r w:rsidRPr="00BC5D8E">
        <w:rPr>
          <w:rFonts w:ascii="Palatino Linotype" w:eastAsia="Palatino Linotype" w:hAnsi="Palatino Linotype" w:cs="Palatino Linotype"/>
          <w:sz w:val="22"/>
          <w:szCs w:val="22"/>
        </w:rPr>
        <w:t xml:space="preserve">Por cuanto hace a los </w:t>
      </w:r>
      <w:r w:rsidRPr="00BC5D8E">
        <w:rPr>
          <w:rFonts w:ascii="Palatino Linotype" w:eastAsia="Palatino Linotype" w:hAnsi="Palatino Linotype" w:cs="Palatino Linotype"/>
          <w:b/>
          <w:sz w:val="22"/>
          <w:szCs w:val="22"/>
        </w:rPr>
        <w:t>préstamos o descuentos de carácter personal</w:t>
      </w:r>
      <w:r w:rsidRPr="00BC5D8E">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rsidR="00F25EA2" w:rsidRPr="00BC5D8E" w:rsidRDefault="00FD36DE">
      <w:pPr>
        <w:spacing w:before="120" w:after="120"/>
        <w:ind w:left="851" w:right="902"/>
        <w:jc w:val="both"/>
        <w:rPr>
          <w:rFonts w:ascii="Palatino Linotype" w:eastAsia="Palatino Linotype" w:hAnsi="Palatino Linotype" w:cs="Palatino Linotype"/>
          <w:b/>
          <w:i/>
          <w:sz w:val="22"/>
          <w:szCs w:val="22"/>
        </w:rPr>
      </w:pPr>
      <w:bookmarkStart w:id="11" w:name="_heading=h.1ksv4uv" w:colFirst="0" w:colLast="0"/>
      <w:bookmarkEnd w:id="11"/>
      <w:r w:rsidRPr="00BC5D8E">
        <w:rPr>
          <w:rFonts w:ascii="Palatino Linotype" w:eastAsia="Palatino Linotype" w:hAnsi="Palatino Linotype" w:cs="Palatino Linotype"/>
          <w:b/>
          <w:i/>
          <w:sz w:val="22"/>
          <w:szCs w:val="22"/>
        </w:rPr>
        <w:t xml:space="preserve">“ARTÍCULO 84. </w:t>
      </w:r>
      <w:r w:rsidRPr="00BC5D8E">
        <w:rPr>
          <w:rFonts w:ascii="Palatino Linotype" w:eastAsia="Palatino Linotype" w:hAnsi="Palatino Linotype" w:cs="Palatino Linotype"/>
          <w:i/>
          <w:sz w:val="22"/>
          <w:szCs w:val="22"/>
        </w:rPr>
        <w:t>Sólo podrán hacerse retenciones, descuentos o deducciones al sueldo de los servidores públicos por concepto de: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xml:space="preserve"> Gravámenes fiscales relacionados con el sueldo;</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III.</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b/>
          <w:i/>
          <w:sz w:val="22"/>
          <w:szCs w:val="22"/>
        </w:rPr>
        <w:t>Cuotas sindicales</w:t>
      </w: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IV.</w:t>
      </w:r>
      <w:r w:rsidRPr="00BC5D8E">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V.</w:t>
      </w:r>
      <w:r w:rsidRPr="00BC5D8E">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VI.</w:t>
      </w:r>
      <w:r w:rsidRPr="00BC5D8E">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VII.</w:t>
      </w:r>
      <w:r w:rsidRPr="00BC5D8E">
        <w:rPr>
          <w:rFonts w:ascii="Palatino Linotype" w:eastAsia="Palatino Linotype" w:hAnsi="Palatino Linotype" w:cs="Palatino Linotype"/>
          <w:i/>
          <w:sz w:val="22"/>
          <w:szCs w:val="22"/>
        </w:rPr>
        <w:t xml:space="preserve"> Faltas de puntualidad o de asistencia injustificadas;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VIII. Pensiones alimenticias ordenadas por la autoridad judicial;</w:t>
      </w:r>
      <w:r w:rsidRPr="00BC5D8E">
        <w:rPr>
          <w:rFonts w:ascii="Palatino Linotype" w:eastAsia="Palatino Linotype" w:hAnsi="Palatino Linotype" w:cs="Palatino Linotype"/>
          <w:i/>
          <w:sz w:val="22"/>
          <w:szCs w:val="22"/>
        </w:rPr>
        <w:t xml:space="preserve"> o</w:t>
      </w:r>
    </w:p>
    <w:p w:rsidR="00F25EA2" w:rsidRPr="00BC5D8E" w:rsidRDefault="00FD36DE">
      <w:pPr>
        <w:spacing w:before="120" w:after="120"/>
        <w:ind w:left="851" w:right="902"/>
        <w:jc w:val="both"/>
        <w:rPr>
          <w:rFonts w:ascii="Palatino Linotype" w:eastAsia="Palatino Linotype" w:hAnsi="Palatino Linotype" w:cs="Palatino Linotype"/>
          <w:b/>
          <w:i/>
          <w:sz w:val="22"/>
          <w:szCs w:val="22"/>
        </w:rPr>
      </w:pPr>
      <w:r w:rsidRPr="00BC5D8E">
        <w:rPr>
          <w:rFonts w:ascii="Palatino Linotype" w:eastAsia="Palatino Linotype" w:hAnsi="Palatino Linotype" w:cs="Palatino Linotype"/>
          <w:b/>
          <w:i/>
          <w:sz w:val="22"/>
          <w:szCs w:val="22"/>
        </w:rPr>
        <w:t>IX. Cualquier otro convenido con instituciones de servicios y aceptado por el servidor público.</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De este modo, los </w:t>
      </w:r>
      <w:r w:rsidRPr="00BC5D8E">
        <w:rPr>
          <w:rFonts w:ascii="Palatino Linotype" w:eastAsia="Palatino Linotype" w:hAnsi="Palatino Linotype" w:cs="Palatino Linotype"/>
          <w:b/>
          <w:sz w:val="22"/>
          <w:szCs w:val="22"/>
        </w:rPr>
        <w:t>descuentos o deducciones por cuotas sindicales</w:t>
      </w:r>
      <w:r w:rsidRPr="00BC5D8E">
        <w:rPr>
          <w:rFonts w:ascii="Palatino Linotype" w:eastAsia="Palatino Linotype" w:hAnsi="Palatino Linotype" w:cs="Palatino Linotype"/>
          <w:sz w:val="22"/>
          <w:szCs w:val="22"/>
        </w:rPr>
        <w:t xml:space="preserve">, </w:t>
      </w:r>
      <w:r w:rsidRPr="00BC5D8E">
        <w:rPr>
          <w:rFonts w:ascii="Palatino Linotype" w:eastAsia="Palatino Linotype" w:hAnsi="Palatino Linotype" w:cs="Palatino Linotype"/>
          <w:b/>
          <w:sz w:val="22"/>
          <w:szCs w:val="22"/>
        </w:rPr>
        <w:t>pensiones alimenticias</w:t>
      </w:r>
      <w:r w:rsidRPr="00BC5D8E">
        <w:rPr>
          <w:rFonts w:ascii="Palatino Linotype" w:eastAsia="Palatino Linotype" w:hAnsi="Palatino Linotype" w:cs="Palatino Linotype"/>
          <w:sz w:val="22"/>
          <w:szCs w:val="22"/>
        </w:rPr>
        <w:t xml:space="preserve"> o </w:t>
      </w:r>
      <w:r w:rsidRPr="00BC5D8E">
        <w:rPr>
          <w:rFonts w:ascii="Palatino Linotype" w:eastAsia="Palatino Linotype" w:hAnsi="Palatino Linotype" w:cs="Palatino Linotype"/>
          <w:b/>
          <w:sz w:val="22"/>
          <w:szCs w:val="22"/>
        </w:rPr>
        <w:t>créditos adquiridos con instituciones privadas</w:t>
      </w:r>
      <w:r w:rsidRPr="00BC5D8E">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BC5D8E">
        <w:rPr>
          <w:rFonts w:ascii="Palatino Linotype" w:eastAsia="Palatino Linotype" w:hAnsi="Palatino Linotype" w:cs="Palatino Linotype"/>
          <w:b/>
          <w:sz w:val="22"/>
          <w:szCs w:val="22"/>
        </w:rPr>
        <w:t>es información que no es de carácter público, sino que constituye información confidencial</w:t>
      </w:r>
      <w:r w:rsidRPr="00BC5D8E">
        <w:rPr>
          <w:rFonts w:ascii="Palatino Linotype" w:eastAsia="Palatino Linotype" w:hAnsi="Palatino Linotype" w:cs="Palatino Linotype"/>
          <w:sz w:val="22"/>
          <w:szCs w:val="22"/>
        </w:rPr>
        <w:t xml:space="preserve"> en virtud de que corresponde con decisiones personales, y por tanto, se debe clasificar.</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Con relación al </w:t>
      </w:r>
      <w:r w:rsidRPr="00BC5D8E">
        <w:rPr>
          <w:rFonts w:ascii="Palatino Linotype" w:eastAsia="Palatino Linotype" w:hAnsi="Palatino Linotype" w:cs="Palatino Linotype"/>
          <w:b/>
          <w:sz w:val="22"/>
          <w:szCs w:val="22"/>
        </w:rPr>
        <w:t>número de empleado</w:t>
      </w:r>
      <w:r w:rsidRPr="00BC5D8E">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BC5D8E">
        <w:rPr>
          <w:rFonts w:ascii="Palatino Linotype" w:eastAsia="Palatino Linotype" w:hAnsi="Palatino Linotype" w:cs="Palatino Linotype"/>
          <w:sz w:val="22"/>
          <w:szCs w:val="22"/>
          <w:vertAlign w:val="superscript"/>
        </w:rPr>
        <w:footnoteReference w:id="1"/>
      </w:r>
      <w:r w:rsidRPr="00BC5D8E">
        <w:rPr>
          <w:rFonts w:ascii="Palatino Linotype" w:eastAsia="Palatino Linotype" w:hAnsi="Palatino Linotype" w:cs="Palatino Linotype"/>
          <w:sz w:val="22"/>
          <w:szCs w:val="22"/>
        </w:rPr>
        <w:t>.</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rsidR="00F25EA2" w:rsidRPr="00BC5D8E" w:rsidRDefault="00FD36DE">
      <w:pPr>
        <w:tabs>
          <w:tab w:val="left" w:pos="7655"/>
        </w:tabs>
        <w:spacing w:before="120" w:after="120"/>
        <w:ind w:left="992" w:right="99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“Número de empleado. </w:t>
      </w:r>
      <w:r w:rsidRPr="00BC5D8E">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De la información fiscal</w:t>
      </w:r>
      <w:r w:rsidRPr="00BC5D8E">
        <w:rPr>
          <w:rFonts w:ascii="Palatino Linotype" w:eastAsia="Palatino Linotype" w:hAnsi="Palatino Linotype" w:cs="Palatino Linotype"/>
          <w:sz w:val="22"/>
          <w:szCs w:val="22"/>
        </w:rPr>
        <w:t xml:space="preserve">: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La </w:t>
      </w:r>
      <w:r w:rsidRPr="00BC5D8E">
        <w:rPr>
          <w:rFonts w:ascii="Palatino Linotype" w:eastAsia="Palatino Linotype" w:hAnsi="Palatino Linotype" w:cs="Palatino Linotype"/>
          <w:b/>
          <w:sz w:val="22"/>
          <w:szCs w:val="22"/>
        </w:rPr>
        <w:t>Cadena Original</w:t>
      </w:r>
      <w:r w:rsidRPr="00BC5D8E">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Los </w:t>
      </w:r>
      <w:r w:rsidRPr="00BC5D8E">
        <w:rPr>
          <w:rFonts w:ascii="Palatino Linotype" w:eastAsia="Palatino Linotype" w:hAnsi="Palatino Linotype" w:cs="Palatino Linotype"/>
          <w:b/>
          <w:sz w:val="22"/>
          <w:szCs w:val="22"/>
        </w:rPr>
        <w:t>códigos bidimensionales</w:t>
      </w:r>
      <w:r w:rsidRPr="00BC5D8E">
        <w:rPr>
          <w:rFonts w:ascii="Palatino Linotype" w:eastAsia="Palatino Linotype" w:hAnsi="Palatino Linotype" w:cs="Palatino Linotype"/>
          <w:sz w:val="22"/>
          <w:szCs w:val="22"/>
        </w:rPr>
        <w:t xml:space="preserve"> o </w:t>
      </w:r>
      <w:r w:rsidRPr="00BC5D8E">
        <w:rPr>
          <w:rFonts w:ascii="Palatino Linotype" w:eastAsia="Palatino Linotype" w:hAnsi="Palatino Linotype" w:cs="Palatino Linotype"/>
          <w:b/>
          <w:sz w:val="22"/>
          <w:szCs w:val="22"/>
        </w:rPr>
        <w:t xml:space="preserve">códigos QR, </w:t>
      </w:r>
      <w:r w:rsidRPr="00BC5D8E">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En tal sentido, si derivado del análisis efectuado por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BC5D8E">
        <w:rPr>
          <w:rFonts w:ascii="Palatino Linotype" w:eastAsia="Palatino Linotype" w:hAnsi="Palatino Linotype" w:cs="Palatino Linotype"/>
          <w:b/>
          <w:sz w:val="22"/>
          <w:szCs w:val="22"/>
          <w:u w:val="single"/>
        </w:rPr>
        <w:t>sólo por cuanto hace al nombre</w:t>
      </w:r>
      <w:r w:rsidRPr="00BC5D8E">
        <w:rPr>
          <w:rFonts w:ascii="Palatino Linotype" w:eastAsia="Palatino Linotype" w:hAnsi="Palatino Linotype" w:cs="Palatino Linotype"/>
          <w:b/>
          <w:sz w:val="22"/>
          <w:szCs w:val="22"/>
        </w:rPr>
        <w:t xml:space="preserve">, </w:t>
      </w:r>
      <w:r w:rsidRPr="00BC5D8E">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BC5D8E">
        <w:rPr>
          <w:rFonts w:ascii="Palatino Linotype" w:eastAsia="Palatino Linotype" w:hAnsi="Palatino Linotype" w:cs="Palatino Linotype"/>
          <w:b/>
          <w:sz w:val="22"/>
          <w:szCs w:val="22"/>
        </w:rPr>
        <w:t>que desempeñen funciones operativas</w:t>
      </w:r>
      <w:r w:rsidRPr="00BC5D8E">
        <w:rPr>
          <w:rFonts w:ascii="Palatino Linotype" w:eastAsia="Palatino Linotype" w:hAnsi="Palatino Linotype" w:cs="Palatino Linotype"/>
          <w:sz w:val="22"/>
          <w:szCs w:val="22"/>
        </w:rPr>
        <w:t>.</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Al respecto, la información </w:t>
      </w:r>
      <w:r w:rsidRPr="00BC5D8E">
        <w:rPr>
          <w:rFonts w:ascii="Palatino Linotype" w:eastAsia="Palatino Linotype" w:hAnsi="Palatino Linotype" w:cs="Palatino Linotype"/>
          <w:b/>
          <w:sz w:val="22"/>
          <w:szCs w:val="22"/>
        </w:rPr>
        <w:t>de los elementos que realizan funciones operativas, entre ellos su nombre y cargo, deben ser protegidos</w:t>
      </w:r>
      <w:r w:rsidRPr="00BC5D8E">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sz w:val="22"/>
          <w:szCs w:val="22"/>
        </w:rPr>
        <w:t xml:space="preserve">Como sustento de lo anterior, es preciso mencionar que el </w:t>
      </w:r>
      <w:r w:rsidRPr="00BC5D8E">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BC5D8E">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BC5D8E">
        <w:rPr>
          <w:rFonts w:ascii="Palatino Linotype" w:eastAsia="Palatino Linotype" w:hAnsi="Palatino Linotype" w:cs="Palatino Linotype"/>
          <w:b/>
          <w:sz w:val="22"/>
          <w:szCs w:val="22"/>
        </w:rPr>
        <w:t xml:space="preserve">vulnerar la vida, seguridad o salud de dichos elementos, incluso la de sus familias o entorno social. </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rsidR="00F25EA2" w:rsidRPr="00BC5D8E" w:rsidRDefault="00FD36DE">
      <w:pPr>
        <w:spacing w:before="120" w:after="12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rsidR="00F25EA2" w:rsidRPr="00BC5D8E" w:rsidRDefault="00FD36DE">
      <w:pPr>
        <w:tabs>
          <w:tab w:val="left" w:pos="4962"/>
        </w:tabs>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BC5D8E">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BC5D8E">
        <w:rPr>
          <w:rFonts w:ascii="Palatino Linotype" w:eastAsia="Palatino Linotype" w:hAnsi="Palatino Linotype" w:cs="Palatino Linotype"/>
          <w:b/>
          <w:sz w:val="22"/>
          <w:szCs w:val="22"/>
        </w:rPr>
        <w:t>funciones de carácter operativo.</w:t>
      </w:r>
    </w:p>
    <w:p w:rsidR="00F25EA2" w:rsidRPr="00BC5D8E" w:rsidRDefault="00FD36DE">
      <w:pPr>
        <w:spacing w:before="240" w:after="36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rsidR="00F25EA2" w:rsidRPr="00BC5D8E" w:rsidRDefault="00FD36DE">
      <w:pPr>
        <w:spacing w:before="120" w:after="120"/>
        <w:ind w:left="851" w:right="760"/>
        <w:jc w:val="both"/>
        <w:rPr>
          <w:rFonts w:ascii="Palatino Linotype" w:eastAsia="Palatino Linotype" w:hAnsi="Palatino Linotype" w:cs="Palatino Linotype"/>
          <w:b/>
          <w:i/>
          <w:sz w:val="22"/>
          <w:szCs w:val="22"/>
        </w:rPr>
      </w:pPr>
      <w:r w:rsidRPr="00BC5D8E">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BC5D8E">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BC5D8E">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BC5D8E">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BC5D8E">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76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BC5D8E">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BC5D8E">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C5D8E">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F25EA2" w:rsidRPr="00BC5D8E" w:rsidRDefault="00FD36DE">
      <w:pPr>
        <w:widowControl w:val="0"/>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BC5D8E">
        <w:rPr>
          <w:rFonts w:ascii="Palatino Linotype" w:eastAsia="Palatino Linotype" w:hAnsi="Palatino Linotype" w:cs="Palatino Linotype"/>
          <w:b/>
          <w:sz w:val="22"/>
          <w:szCs w:val="22"/>
          <w:u w:val="single"/>
        </w:rPr>
        <w:t>razones, motivos o circunstancias especiales</w:t>
      </w:r>
      <w:r w:rsidRPr="00BC5D8E">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F25EA2" w:rsidRPr="00BC5D8E" w:rsidRDefault="00FD36DE">
      <w:pPr>
        <w:spacing w:before="240" w:after="240" w:line="360" w:lineRule="auto"/>
        <w:ind w:right="50"/>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49.</w:t>
      </w:r>
      <w:r w:rsidRPr="00BC5D8E">
        <w:rPr>
          <w:rFonts w:ascii="Palatino Linotype" w:eastAsia="Palatino Linotype" w:hAnsi="Palatino Linotype" w:cs="Palatino Linotype"/>
          <w:i/>
          <w:sz w:val="22"/>
          <w:szCs w:val="22"/>
        </w:rPr>
        <w:t xml:space="preserve"> </w:t>
      </w:r>
      <w:r w:rsidRPr="00BC5D8E">
        <w:rPr>
          <w:rFonts w:ascii="Palatino Linotype" w:eastAsia="Palatino Linotype" w:hAnsi="Palatino Linotype" w:cs="Palatino Linotype"/>
          <w:b/>
          <w:i/>
          <w:sz w:val="22"/>
          <w:szCs w:val="22"/>
        </w:rPr>
        <w:t>Los Comités de Transparencia</w:t>
      </w:r>
      <w:r w:rsidRPr="00BC5D8E">
        <w:rPr>
          <w:rFonts w:ascii="Palatino Linotype" w:eastAsia="Palatino Linotype" w:hAnsi="Palatino Linotype" w:cs="Palatino Linotype"/>
          <w:i/>
          <w:sz w:val="22"/>
          <w:szCs w:val="22"/>
        </w:rPr>
        <w:t xml:space="preserve"> tendrán las siguientes atribuciones: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VIII. Aprobar, modificar o revocar la clasificación de la información</w:t>
      </w: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Artículo 53.</w:t>
      </w:r>
      <w:r w:rsidRPr="00BC5D8E">
        <w:rPr>
          <w:rFonts w:ascii="Palatino Linotype" w:eastAsia="Palatino Linotype" w:hAnsi="Palatino Linotype" w:cs="Palatino Linotype"/>
          <w:i/>
          <w:sz w:val="22"/>
          <w:szCs w:val="22"/>
        </w:rPr>
        <w:t xml:space="preserve"> Las </w:t>
      </w:r>
      <w:r w:rsidRPr="00BC5D8E">
        <w:rPr>
          <w:rFonts w:ascii="Palatino Linotype" w:eastAsia="Palatino Linotype" w:hAnsi="Palatino Linotype" w:cs="Palatino Linotype"/>
          <w:b/>
          <w:i/>
          <w:sz w:val="22"/>
          <w:szCs w:val="22"/>
        </w:rPr>
        <w:t>Unidades de Transparencia</w:t>
      </w:r>
      <w:r w:rsidRPr="00BC5D8E">
        <w:rPr>
          <w:rFonts w:ascii="Palatino Linotype" w:eastAsia="Palatino Linotype" w:hAnsi="Palatino Linotype" w:cs="Palatino Linotype"/>
          <w:i/>
          <w:sz w:val="22"/>
          <w:szCs w:val="22"/>
        </w:rPr>
        <w:t xml:space="preserve"> tendrán las siguientes </w:t>
      </w:r>
      <w:r w:rsidRPr="00BC5D8E">
        <w:rPr>
          <w:rFonts w:ascii="Palatino Linotype" w:eastAsia="Palatino Linotype" w:hAnsi="Palatino Linotype" w:cs="Palatino Linotype"/>
          <w:b/>
          <w:i/>
          <w:sz w:val="22"/>
          <w:szCs w:val="22"/>
        </w:rPr>
        <w:t>funciones</w:t>
      </w:r>
      <w:r w:rsidRPr="00BC5D8E">
        <w:rPr>
          <w:rFonts w:ascii="Palatino Linotype" w:eastAsia="Palatino Linotype" w:hAnsi="Palatino Linotype" w:cs="Palatino Linotype"/>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X. Presentar ante el Comité, el proyecto de clasificación de información</w:t>
      </w:r>
      <w:r w:rsidRPr="00BC5D8E">
        <w:rPr>
          <w:rFonts w:ascii="Palatino Linotype" w:eastAsia="Palatino Linotype" w:hAnsi="Palatino Linotype" w:cs="Palatino Linotype"/>
          <w:i/>
          <w:sz w:val="22"/>
          <w:szCs w:val="22"/>
        </w:rPr>
        <w:t xml:space="preserve">…”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“Artículo 59.</w:t>
      </w:r>
      <w:r w:rsidRPr="00BC5D8E">
        <w:rPr>
          <w:rFonts w:ascii="Palatino Linotype" w:eastAsia="Palatino Linotype" w:hAnsi="Palatino Linotype" w:cs="Palatino Linotype"/>
          <w:i/>
          <w:sz w:val="22"/>
          <w:szCs w:val="22"/>
        </w:rPr>
        <w:t xml:space="preserve"> Los </w:t>
      </w:r>
      <w:r w:rsidRPr="00BC5D8E">
        <w:rPr>
          <w:rFonts w:ascii="Palatino Linotype" w:eastAsia="Palatino Linotype" w:hAnsi="Palatino Linotype" w:cs="Palatino Linotype"/>
          <w:b/>
          <w:i/>
          <w:sz w:val="22"/>
          <w:szCs w:val="22"/>
        </w:rPr>
        <w:t>servidores públicos habilitados</w:t>
      </w:r>
      <w:r w:rsidRPr="00BC5D8E">
        <w:rPr>
          <w:rFonts w:ascii="Palatino Linotype" w:eastAsia="Palatino Linotype" w:hAnsi="Palatino Linotype" w:cs="Palatino Linotype"/>
          <w:i/>
          <w:sz w:val="22"/>
          <w:szCs w:val="22"/>
        </w:rPr>
        <w:t xml:space="preserve"> tendrán las </w:t>
      </w:r>
      <w:r w:rsidRPr="00BC5D8E">
        <w:rPr>
          <w:rFonts w:ascii="Palatino Linotype" w:eastAsia="Palatino Linotype" w:hAnsi="Palatino Linotype" w:cs="Palatino Linotype"/>
          <w:b/>
          <w:i/>
          <w:sz w:val="22"/>
          <w:szCs w:val="22"/>
        </w:rPr>
        <w:t>funciones</w:t>
      </w:r>
      <w:r w:rsidRPr="00BC5D8E">
        <w:rPr>
          <w:rFonts w:ascii="Palatino Linotype" w:eastAsia="Palatino Linotype" w:hAnsi="Palatino Linotype" w:cs="Palatino Linotype"/>
          <w:i/>
          <w:sz w:val="22"/>
          <w:szCs w:val="22"/>
        </w:rPr>
        <w:t xml:space="preserve"> siguientes:</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C5D8E">
        <w:rPr>
          <w:rFonts w:ascii="Palatino Linotype" w:eastAsia="Palatino Linotype" w:hAnsi="Palatino Linotype" w:cs="Palatino Linotype"/>
          <w:i/>
          <w:sz w:val="22"/>
          <w:szCs w:val="22"/>
        </w:rPr>
        <w:t>, la cual tendrá los fundamentos y argumentos en que se basa dicha propuesta…”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Artículo 149.</w:t>
      </w:r>
      <w:r w:rsidRPr="00BC5D8E">
        <w:rPr>
          <w:rFonts w:ascii="Palatino Linotype" w:eastAsia="Palatino Linotype" w:hAnsi="Palatino Linotype" w:cs="Palatino Linotype"/>
          <w:i/>
          <w:sz w:val="22"/>
          <w:szCs w:val="22"/>
        </w:rPr>
        <w:t xml:space="preserve"> El </w:t>
      </w:r>
      <w:r w:rsidRPr="00BC5D8E">
        <w:rPr>
          <w:rFonts w:ascii="Palatino Linotype" w:eastAsia="Palatino Linotype" w:hAnsi="Palatino Linotype" w:cs="Palatino Linotype"/>
          <w:b/>
          <w:i/>
          <w:sz w:val="22"/>
          <w:szCs w:val="22"/>
        </w:rPr>
        <w:t>acuerdo que clasifique la información como confidencial</w:t>
      </w:r>
      <w:r w:rsidRPr="00BC5D8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rsidR="00F25EA2" w:rsidRPr="00BC5D8E" w:rsidRDefault="00FD36DE">
      <w:pPr>
        <w:spacing w:before="240" w:after="240" w:line="360" w:lineRule="auto"/>
        <w:ind w:right="51"/>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Es decir,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F25EA2" w:rsidRPr="00BC5D8E" w:rsidRDefault="00FD36D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 “Quincuagésimo. </w:t>
      </w:r>
      <w:r w:rsidRPr="00BC5D8E">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Quincuagésimo primero. </w:t>
      </w:r>
      <w:r w:rsidRPr="00BC5D8E">
        <w:rPr>
          <w:rFonts w:ascii="Palatino Linotype" w:eastAsia="Palatino Linotype" w:hAnsi="Palatino Linotype" w:cs="Palatino Linotype"/>
          <w:i/>
          <w:sz w:val="22"/>
          <w:szCs w:val="22"/>
        </w:rPr>
        <w:t xml:space="preserve">Toda acta del Comité de Transparencia deberá contener: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xml:space="preserve"> El número de sesión y fecha;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xml:space="preserve">. El nombre del área que solicitó la clasificación de información;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III</w:t>
      </w:r>
      <w:r w:rsidRPr="00BC5D8E">
        <w:rPr>
          <w:rFonts w:ascii="Palatino Linotype" w:eastAsia="Palatino Linotype" w:hAnsi="Palatino Linotype" w:cs="Palatino Linotype"/>
          <w:i/>
          <w:sz w:val="22"/>
          <w:szCs w:val="22"/>
        </w:rPr>
        <w:t xml:space="preserve">. La fundamentación legal y motivación correspondiente;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IV</w:t>
      </w:r>
      <w:r w:rsidRPr="00BC5D8E">
        <w:rPr>
          <w:rFonts w:ascii="Palatino Linotype" w:eastAsia="Palatino Linotype" w:hAnsi="Palatino Linotype" w:cs="Palatino Linotype"/>
          <w:i/>
          <w:sz w:val="22"/>
          <w:szCs w:val="22"/>
        </w:rPr>
        <w:t xml:space="preserve">. La resolución o resoluciones aprobadas; y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V</w:t>
      </w:r>
      <w:r w:rsidRPr="00BC5D8E">
        <w:rPr>
          <w:rFonts w:ascii="Palatino Linotype" w:eastAsia="Palatino Linotype" w:hAnsi="Palatino Linotype" w:cs="Palatino Linotype"/>
          <w:i/>
          <w:sz w:val="22"/>
          <w:szCs w:val="22"/>
        </w:rPr>
        <w:t xml:space="preserve">. La rúbrica o firma digital de cada integrante del Comité de Transparencia.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xml:space="preserve"> Los motivos y razonamientos que sustenten la confirmación o modificación de la prueba de daño;</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Descripción de las partes o secciones reservadas, en caso de clasificación parcial</w:t>
      </w:r>
      <w:r w:rsidRPr="00BC5D8E">
        <w:rPr>
          <w:rFonts w:ascii="Palatino Linotype" w:eastAsia="Palatino Linotype" w:hAnsi="Palatino Linotype" w:cs="Palatino Linotype"/>
          <w:b/>
          <w:i/>
          <w:sz w:val="22"/>
          <w:szCs w:val="22"/>
        </w:rPr>
        <w:t xml:space="preserve">;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III.</w:t>
      </w:r>
      <w:r w:rsidRPr="00BC5D8E">
        <w:rPr>
          <w:rFonts w:ascii="Palatino Linotype" w:eastAsia="Palatino Linotype" w:hAnsi="Palatino Linotype" w:cs="Palatino Linotype"/>
          <w:i/>
          <w:sz w:val="22"/>
          <w:szCs w:val="22"/>
        </w:rPr>
        <w:t xml:space="preserve"> El periodo por el que mantendrá su clasificación y fecha de expiración; y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IV.</w:t>
      </w:r>
      <w:r w:rsidRPr="00BC5D8E">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F25EA2" w:rsidRPr="00BC5D8E" w:rsidRDefault="00FD36D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rsidR="00F25EA2" w:rsidRPr="00BC5D8E" w:rsidRDefault="00FD36DE">
      <w:pPr>
        <w:spacing w:before="120" w:after="12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r w:rsidRPr="00BC5D8E">
        <w:rPr>
          <w:rFonts w:ascii="Palatino Linotype" w:eastAsia="Palatino Linotype" w:hAnsi="Palatino Linotype" w:cs="Palatino Linotype"/>
          <w:b/>
          <w:i/>
          <w:sz w:val="22"/>
          <w:szCs w:val="22"/>
        </w:rPr>
        <w:t>Quincuagésimo segundo</w:t>
      </w:r>
      <w:r w:rsidRPr="00BC5D8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F25EA2" w:rsidRPr="00BC5D8E" w:rsidRDefault="00FD36DE">
      <w:pPr>
        <w:spacing w:before="120" w:after="12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F25EA2" w:rsidRPr="00BC5D8E" w:rsidRDefault="00FD36DE">
      <w:pPr>
        <w:spacing w:before="120" w:after="12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F25EA2" w:rsidRPr="00BC5D8E" w:rsidRDefault="00FD36DE">
      <w:pPr>
        <w:spacing w:before="120" w:after="12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F25EA2" w:rsidRPr="00BC5D8E" w:rsidRDefault="00FD36DE">
      <w:pPr>
        <w:spacing w:before="120" w:after="12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III.</w:t>
      </w:r>
      <w:r w:rsidRPr="00BC5D8E">
        <w:rPr>
          <w:rFonts w:ascii="Palatino Linotype" w:eastAsia="Palatino Linotype" w:hAnsi="Palatino Linotype" w:cs="Palatino Linotype"/>
          <w:i/>
          <w:sz w:val="22"/>
          <w:szCs w:val="22"/>
        </w:rPr>
        <w:t xml:space="preserve"> Señalar las personas o instancias autorizadas a acceder a la información clasificada.</w:t>
      </w:r>
    </w:p>
    <w:p w:rsidR="00F25EA2" w:rsidRPr="00BC5D8E" w:rsidRDefault="00FD36DE">
      <w:pPr>
        <w:spacing w:before="120" w:after="12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F25EA2" w:rsidRPr="00BC5D8E" w:rsidRDefault="00FD36DE">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w:t>
      </w:r>
    </w:p>
    <w:p w:rsidR="00F25EA2" w:rsidRPr="00BC5D8E" w:rsidRDefault="00FD36DE">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BC5D8E">
        <w:rPr>
          <w:rFonts w:ascii="Palatino Linotype" w:eastAsia="Palatino Linotype" w:hAnsi="Palatino Linotype" w:cs="Palatino Linotype"/>
          <w:b/>
          <w:i/>
          <w:sz w:val="22"/>
          <w:szCs w:val="22"/>
        </w:rPr>
        <w:t xml:space="preserve">Quincuagésimo cuarto. </w:t>
      </w:r>
      <w:r w:rsidRPr="00BC5D8E">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C5D8E">
        <w:rPr>
          <w:rFonts w:ascii="Palatino Linotype" w:eastAsia="Palatino Linotype" w:hAnsi="Palatino Linotype" w:cs="Palatino Linotype"/>
          <w:b/>
          <w:i/>
          <w:sz w:val="22"/>
          <w:szCs w:val="22"/>
        </w:rPr>
        <w:t xml:space="preserve">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 xml:space="preserve">Quincuagésimo quinto. </w:t>
      </w:r>
      <w:r w:rsidRPr="00BC5D8E">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F25EA2" w:rsidRPr="00BC5D8E" w:rsidRDefault="00FD36DE">
      <w:pPr>
        <w:spacing w:before="120" w:after="120"/>
        <w:ind w:left="851" w:right="902"/>
        <w:jc w:val="both"/>
        <w:rPr>
          <w:rFonts w:ascii="Palatino Linotype" w:eastAsia="Palatino Linotype" w:hAnsi="Palatino Linotype" w:cs="Palatino Linotype"/>
          <w:b/>
          <w:i/>
          <w:sz w:val="22"/>
          <w:szCs w:val="22"/>
        </w:rPr>
      </w:pPr>
      <w:r w:rsidRPr="00BC5D8E">
        <w:rPr>
          <w:rFonts w:ascii="Palatino Linotype" w:eastAsia="Palatino Linotype" w:hAnsi="Palatino Linotype" w:cs="Palatino Linotype"/>
          <w:b/>
          <w:i/>
          <w:sz w:val="22"/>
          <w:szCs w:val="22"/>
        </w:rPr>
        <w:t>...</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Quincuagésimo séptimo</w:t>
      </w:r>
      <w:r w:rsidRPr="00BC5D8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w:t>
      </w:r>
      <w:r w:rsidRPr="00BC5D8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w:t>
      </w:r>
      <w:r w:rsidRPr="00BC5D8E">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III</w:t>
      </w:r>
      <w:r w:rsidRPr="00BC5D8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F25EA2" w:rsidRPr="00BC5D8E" w:rsidRDefault="00FD36DE">
      <w:pPr>
        <w:spacing w:before="120" w:after="120"/>
        <w:ind w:left="851" w:right="902"/>
        <w:jc w:val="both"/>
        <w:rPr>
          <w:rFonts w:ascii="Palatino Linotype" w:eastAsia="Palatino Linotype" w:hAnsi="Palatino Linotype" w:cs="Palatino Linotype"/>
          <w:i/>
          <w:sz w:val="22"/>
          <w:szCs w:val="22"/>
        </w:rPr>
      </w:pPr>
      <w:r w:rsidRPr="00BC5D8E">
        <w:rPr>
          <w:rFonts w:ascii="Palatino Linotype" w:eastAsia="Palatino Linotype" w:hAnsi="Palatino Linotype" w:cs="Palatino Linotype"/>
          <w:b/>
          <w:i/>
          <w:sz w:val="22"/>
          <w:szCs w:val="22"/>
        </w:rPr>
        <w:t>Quincuagésimo octavo</w:t>
      </w:r>
      <w:r w:rsidRPr="00BC5D8E">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rsidR="00F25EA2" w:rsidRPr="00BC5D8E" w:rsidRDefault="00FD36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III. R E S U E L V E</w:t>
      </w:r>
    </w:p>
    <w:p w:rsidR="00F25EA2" w:rsidRPr="00BC5D8E" w:rsidRDefault="00FD36DE">
      <w:pPr>
        <w:spacing w:before="240" w:after="240" w:line="360" w:lineRule="auto"/>
        <w:ind w:right="49"/>
        <w:jc w:val="both"/>
        <w:rPr>
          <w:rFonts w:ascii="Palatino Linotype" w:eastAsia="Palatino Linotype" w:hAnsi="Palatino Linotype" w:cs="Palatino Linotype"/>
          <w:sz w:val="22"/>
          <w:szCs w:val="22"/>
        </w:rPr>
      </w:pPr>
      <w:bookmarkStart w:id="12" w:name="_heading=h.1t3h5sf" w:colFirst="0" w:colLast="0"/>
      <w:bookmarkEnd w:id="12"/>
      <w:r w:rsidRPr="00BC5D8E">
        <w:rPr>
          <w:rFonts w:ascii="Palatino Linotype" w:eastAsia="Palatino Linotype" w:hAnsi="Palatino Linotype" w:cs="Palatino Linotype"/>
          <w:b/>
          <w:sz w:val="22"/>
          <w:szCs w:val="22"/>
        </w:rPr>
        <w:t xml:space="preserve">Primero. </w:t>
      </w:r>
      <w:r w:rsidRPr="00BC5D8E">
        <w:rPr>
          <w:rFonts w:ascii="Palatino Linotype" w:eastAsia="Palatino Linotype" w:hAnsi="Palatino Linotype" w:cs="Palatino Linotype"/>
          <w:sz w:val="22"/>
          <w:szCs w:val="22"/>
        </w:rPr>
        <w:t xml:space="preserve">Resultan </w:t>
      </w:r>
      <w:r w:rsidRPr="00BC5D8E">
        <w:rPr>
          <w:rFonts w:ascii="Palatino Linotype" w:eastAsia="Palatino Linotype" w:hAnsi="Palatino Linotype" w:cs="Palatino Linotype"/>
          <w:b/>
          <w:sz w:val="22"/>
          <w:szCs w:val="22"/>
        </w:rPr>
        <w:t>fundados</w:t>
      </w:r>
      <w:r w:rsidRPr="00BC5D8E">
        <w:rPr>
          <w:rFonts w:ascii="Palatino Linotype" w:eastAsia="Palatino Linotype" w:hAnsi="Palatino Linotype" w:cs="Palatino Linotype"/>
          <w:sz w:val="22"/>
          <w:szCs w:val="22"/>
        </w:rPr>
        <w:t xml:space="preserve"> los motivos de inconformidad de la parte </w:t>
      </w:r>
      <w:r w:rsidRPr="00BC5D8E">
        <w:rPr>
          <w:rFonts w:ascii="Palatino Linotype" w:eastAsia="Palatino Linotype" w:hAnsi="Palatino Linotype" w:cs="Palatino Linotype"/>
          <w:b/>
          <w:sz w:val="22"/>
          <w:szCs w:val="22"/>
        </w:rPr>
        <w:t>Recurrente</w:t>
      </w:r>
      <w:r w:rsidRPr="00BC5D8E">
        <w:rPr>
          <w:rFonts w:ascii="Palatino Linotype" w:eastAsia="Palatino Linotype" w:hAnsi="Palatino Linotype" w:cs="Palatino Linotype"/>
          <w:sz w:val="22"/>
          <w:szCs w:val="22"/>
        </w:rPr>
        <w:t xml:space="preserve">, en términos del Considerando </w:t>
      </w:r>
      <w:r w:rsidRPr="00BC5D8E">
        <w:rPr>
          <w:rFonts w:ascii="Palatino Linotype" w:eastAsia="Palatino Linotype" w:hAnsi="Palatino Linotype" w:cs="Palatino Linotype"/>
          <w:b/>
          <w:sz w:val="22"/>
          <w:szCs w:val="22"/>
        </w:rPr>
        <w:t>Cuarto</w:t>
      </w:r>
      <w:r w:rsidRPr="00BC5D8E">
        <w:rPr>
          <w:rFonts w:ascii="Palatino Linotype" w:eastAsia="Palatino Linotype" w:hAnsi="Palatino Linotype" w:cs="Palatino Linotype"/>
          <w:sz w:val="22"/>
          <w:szCs w:val="22"/>
        </w:rPr>
        <w:t xml:space="preserve"> de la presente resolución.</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 xml:space="preserve">Segundo. </w:t>
      </w:r>
      <w:r w:rsidRPr="00BC5D8E">
        <w:rPr>
          <w:rFonts w:ascii="Palatino Linotype" w:eastAsia="Palatino Linotype" w:hAnsi="Palatino Linotype" w:cs="Palatino Linotype"/>
          <w:sz w:val="22"/>
          <w:szCs w:val="22"/>
        </w:rPr>
        <w:t>Se</w:t>
      </w:r>
      <w:r w:rsidRPr="00BC5D8E">
        <w:rPr>
          <w:rFonts w:ascii="Palatino Linotype" w:eastAsia="Palatino Linotype" w:hAnsi="Palatino Linotype" w:cs="Palatino Linotype"/>
          <w:b/>
          <w:sz w:val="22"/>
          <w:szCs w:val="22"/>
        </w:rPr>
        <w:t xml:space="preserve"> Ordena </w:t>
      </w:r>
      <w:r w:rsidRPr="00BC5D8E">
        <w:rPr>
          <w:rFonts w:ascii="Palatino Linotype" w:eastAsia="Palatino Linotype" w:hAnsi="Palatino Linotype" w:cs="Palatino Linotype"/>
          <w:sz w:val="22"/>
          <w:szCs w:val="22"/>
        </w:rPr>
        <w:t xml:space="preserve">al </w:t>
      </w:r>
      <w:r w:rsidRPr="00BC5D8E">
        <w:rPr>
          <w:rFonts w:ascii="Palatino Linotype" w:eastAsia="Palatino Linotype" w:hAnsi="Palatino Linotype" w:cs="Palatino Linotype"/>
          <w:b/>
          <w:sz w:val="22"/>
          <w:szCs w:val="22"/>
        </w:rPr>
        <w:t xml:space="preserve">Sujeto Obligado </w:t>
      </w:r>
      <w:r w:rsidRPr="00BC5D8E">
        <w:rPr>
          <w:rFonts w:ascii="Palatino Linotype" w:eastAsia="Palatino Linotype" w:hAnsi="Palatino Linotype" w:cs="Palatino Linotype"/>
          <w:sz w:val="22"/>
          <w:szCs w:val="22"/>
        </w:rPr>
        <w:t xml:space="preserve">dé trámite a la solicitud de acceso a la información pública </w:t>
      </w:r>
      <w:r w:rsidRPr="00BC5D8E">
        <w:rPr>
          <w:rFonts w:ascii="Palatino Linotype" w:eastAsia="Palatino Linotype" w:hAnsi="Palatino Linotype" w:cs="Palatino Linotype"/>
          <w:b/>
          <w:sz w:val="22"/>
          <w:szCs w:val="22"/>
        </w:rPr>
        <w:t xml:space="preserve">00882/TEOLOYU/IP/2025, </w:t>
      </w:r>
      <w:r w:rsidRPr="00BC5D8E">
        <w:rPr>
          <w:rFonts w:ascii="Palatino Linotype" w:eastAsia="Palatino Linotype" w:hAnsi="Palatino Linotype" w:cs="Palatino Linotype"/>
          <w:sz w:val="22"/>
          <w:szCs w:val="22"/>
        </w:rPr>
        <w:t xml:space="preserve">que dio origen al recurso de revisión </w:t>
      </w:r>
      <w:r w:rsidRPr="00BC5D8E">
        <w:rPr>
          <w:rFonts w:ascii="Palatino Linotype" w:eastAsia="Palatino Linotype" w:hAnsi="Palatino Linotype" w:cs="Palatino Linotype"/>
          <w:b/>
          <w:sz w:val="22"/>
          <w:szCs w:val="22"/>
        </w:rPr>
        <w:t>08229/INFOEM/IP/RR/2025</w:t>
      </w:r>
      <w:r w:rsidRPr="00BC5D8E">
        <w:rPr>
          <w:rFonts w:ascii="Palatino Linotype" w:eastAsia="Palatino Linotype" w:hAnsi="Palatino Linotype" w:cs="Palatino Linotype"/>
          <w:sz w:val="22"/>
          <w:szCs w:val="22"/>
        </w:rPr>
        <w:t>,</w:t>
      </w:r>
      <w:r w:rsidRPr="00BC5D8E">
        <w:rPr>
          <w:rFonts w:ascii="Palatino Linotype" w:eastAsia="Palatino Linotype" w:hAnsi="Palatino Linotype" w:cs="Palatino Linotype"/>
          <w:b/>
          <w:sz w:val="22"/>
          <w:szCs w:val="22"/>
        </w:rPr>
        <w:t xml:space="preserve"> </w:t>
      </w:r>
      <w:r w:rsidRPr="00BC5D8E">
        <w:rPr>
          <w:rFonts w:ascii="Palatino Linotype" w:eastAsia="Palatino Linotype" w:hAnsi="Palatino Linotype" w:cs="Palatino Linotype"/>
          <w:sz w:val="22"/>
          <w:szCs w:val="22"/>
        </w:rPr>
        <w:t>y</w:t>
      </w:r>
      <w:r w:rsidRPr="00BC5D8E">
        <w:rPr>
          <w:rFonts w:ascii="Palatino Linotype" w:eastAsia="Palatino Linotype" w:hAnsi="Palatino Linotype" w:cs="Palatino Linotype"/>
          <w:b/>
          <w:sz w:val="22"/>
          <w:szCs w:val="22"/>
        </w:rPr>
        <w:t xml:space="preserve"> </w:t>
      </w:r>
      <w:r w:rsidRPr="00BC5D8E">
        <w:rPr>
          <w:rFonts w:ascii="Palatino Linotype" w:eastAsia="Palatino Linotype" w:hAnsi="Palatino Linotype" w:cs="Palatino Linotype"/>
          <w:sz w:val="22"/>
          <w:szCs w:val="22"/>
        </w:rPr>
        <w:t>en términos de los Considerandos</w:t>
      </w:r>
      <w:r w:rsidRPr="00BC5D8E">
        <w:rPr>
          <w:rFonts w:ascii="Palatino Linotype" w:eastAsia="Palatino Linotype" w:hAnsi="Palatino Linotype" w:cs="Palatino Linotype"/>
          <w:b/>
          <w:sz w:val="22"/>
          <w:szCs w:val="22"/>
        </w:rPr>
        <w:t xml:space="preserve"> Cuarto </w:t>
      </w:r>
      <w:r w:rsidRPr="00BC5D8E">
        <w:rPr>
          <w:rFonts w:ascii="Palatino Linotype" w:eastAsia="Palatino Linotype" w:hAnsi="Palatino Linotype" w:cs="Palatino Linotype"/>
          <w:sz w:val="22"/>
          <w:szCs w:val="22"/>
        </w:rPr>
        <w:t xml:space="preserve">y </w:t>
      </w:r>
      <w:r w:rsidRPr="00BC5D8E">
        <w:rPr>
          <w:rFonts w:ascii="Palatino Linotype" w:eastAsia="Palatino Linotype" w:hAnsi="Palatino Linotype" w:cs="Palatino Linotype"/>
          <w:b/>
          <w:sz w:val="22"/>
          <w:szCs w:val="22"/>
        </w:rPr>
        <w:t>Quinto</w:t>
      </w:r>
      <w:r w:rsidRPr="00BC5D8E">
        <w:rPr>
          <w:rFonts w:ascii="Palatino Linotype" w:eastAsia="Palatino Linotype" w:hAnsi="Palatino Linotype" w:cs="Palatino Linotype"/>
          <w:sz w:val="22"/>
          <w:szCs w:val="22"/>
        </w:rPr>
        <w:t xml:space="preserve"> de esta resolución, haga entrega, vía </w:t>
      </w:r>
      <w:r w:rsidRPr="00BC5D8E">
        <w:rPr>
          <w:rFonts w:ascii="Palatino Linotype" w:eastAsia="Palatino Linotype" w:hAnsi="Palatino Linotype" w:cs="Palatino Linotype"/>
          <w:b/>
          <w:sz w:val="22"/>
          <w:szCs w:val="22"/>
        </w:rPr>
        <w:t>SAIMEX</w:t>
      </w:r>
      <w:r w:rsidRPr="00BC5D8E">
        <w:rPr>
          <w:rFonts w:ascii="Palatino Linotype" w:eastAsia="Palatino Linotype" w:hAnsi="Palatino Linotype" w:cs="Palatino Linotype"/>
          <w:sz w:val="22"/>
          <w:szCs w:val="22"/>
        </w:rPr>
        <w:t>, en versión pública, de lo siguiente:</w:t>
      </w:r>
    </w:p>
    <w:p w:rsidR="00F25EA2" w:rsidRPr="00BC5D8E" w:rsidRDefault="00FD36DE">
      <w:pPr>
        <w:spacing w:before="120" w:after="120" w:line="360" w:lineRule="auto"/>
        <w:ind w:left="284"/>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1. El directorio de todos los servidores públicos vigente al trece de junio de dos mil veinticinco.</w:t>
      </w:r>
    </w:p>
    <w:p w:rsidR="00F25EA2" w:rsidRPr="00BC5D8E" w:rsidRDefault="00FD36DE">
      <w:pPr>
        <w:spacing w:before="120" w:after="120" w:line="360" w:lineRule="auto"/>
        <w:ind w:left="284"/>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2. El tabulador de sueldos del ejercicio 2025, vigente al trece de junio de dos mil veinticinco.</w:t>
      </w:r>
    </w:p>
    <w:p w:rsidR="00F25EA2" w:rsidRPr="00BC5D8E" w:rsidRDefault="00FD36DE">
      <w:pPr>
        <w:spacing w:before="120" w:after="120" w:line="360" w:lineRule="auto"/>
        <w:ind w:left="284"/>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sz w:val="22"/>
          <w:szCs w:val="22"/>
        </w:rPr>
        <w:t>3. Los recibos de nómina de todos los servidores públicos de la segunda quincena de mayo de dos mil veinticinco</w:t>
      </w:r>
    </w:p>
    <w:p w:rsidR="00F25EA2" w:rsidRPr="00BC5D8E" w:rsidRDefault="00FD36DE">
      <w:pPr>
        <w:spacing w:before="120" w:after="120"/>
        <w:ind w:left="284"/>
        <w:jc w:val="both"/>
        <w:rPr>
          <w:rFonts w:ascii="Palatino Linotype" w:eastAsia="Palatino Linotype" w:hAnsi="Palatino Linotype" w:cs="Palatino Linotype"/>
          <w:i/>
          <w:sz w:val="20"/>
          <w:szCs w:val="20"/>
        </w:rPr>
      </w:pPr>
      <w:r w:rsidRPr="00BC5D8E">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BC5D8E">
        <w:rPr>
          <w:rFonts w:ascii="Palatino Linotype" w:eastAsia="Palatino Linotype" w:hAnsi="Palatino Linotype" w:cs="Palatino Linotype"/>
          <w:b/>
          <w:i/>
          <w:sz w:val="20"/>
          <w:szCs w:val="20"/>
        </w:rPr>
        <w:t>Recurrente</w:t>
      </w:r>
      <w:r w:rsidRPr="00BC5D8E">
        <w:rPr>
          <w:rFonts w:ascii="Palatino Linotype" w:eastAsia="Palatino Linotype" w:hAnsi="Palatino Linotype" w:cs="Palatino Linotype"/>
          <w:i/>
          <w:sz w:val="20"/>
          <w:szCs w:val="20"/>
        </w:rPr>
        <w:t>.</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13" w:name="_heading=h.hnzxsch5gysz" w:colFirst="0" w:colLast="0"/>
      <w:bookmarkEnd w:id="13"/>
      <w:r w:rsidRPr="00BC5D8E">
        <w:rPr>
          <w:rFonts w:ascii="Palatino Linotype" w:eastAsia="Palatino Linotype" w:hAnsi="Palatino Linotype" w:cs="Palatino Linotype"/>
          <w:b/>
          <w:sz w:val="22"/>
          <w:szCs w:val="22"/>
        </w:rPr>
        <w:t xml:space="preserve">Tercero. Notifíquese, </w:t>
      </w:r>
      <w:r w:rsidRPr="00BC5D8E">
        <w:rPr>
          <w:rFonts w:ascii="Palatino Linotype" w:eastAsia="Palatino Linotype" w:hAnsi="Palatino Linotype" w:cs="Palatino Linotype"/>
          <w:sz w:val="22"/>
          <w:szCs w:val="22"/>
        </w:rPr>
        <w:t xml:space="preserve">vía </w:t>
      </w:r>
      <w:r w:rsidRPr="00BC5D8E">
        <w:rPr>
          <w:rFonts w:ascii="Palatino Linotype" w:eastAsia="Palatino Linotype" w:hAnsi="Palatino Linotype" w:cs="Palatino Linotype"/>
          <w:b/>
          <w:sz w:val="22"/>
          <w:szCs w:val="22"/>
        </w:rPr>
        <w:t>SAIMEX</w:t>
      </w:r>
      <w:r w:rsidRPr="00BC5D8E">
        <w:rPr>
          <w:rFonts w:ascii="Palatino Linotype" w:eastAsia="Palatino Linotype" w:hAnsi="Palatino Linotype" w:cs="Palatino Linotype"/>
          <w:sz w:val="22"/>
          <w:szCs w:val="22"/>
        </w:rPr>
        <w:t xml:space="preserve">, al Titular de la Unidad de Transparencia del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bookmarkStart w:id="14" w:name="_heading=h.ot3qq6vxa08f" w:colFirst="0" w:colLast="0"/>
      <w:bookmarkEnd w:id="14"/>
      <w:r w:rsidRPr="00BC5D8E">
        <w:rPr>
          <w:rFonts w:ascii="Palatino Linotype" w:eastAsia="Palatino Linotype" w:hAnsi="Palatino Linotype" w:cs="Palatino Linotype"/>
          <w:b/>
          <w:sz w:val="22"/>
          <w:szCs w:val="22"/>
        </w:rPr>
        <w:t xml:space="preserve">Cuarto.  Notifíquese, </w:t>
      </w:r>
      <w:r w:rsidRPr="00BC5D8E">
        <w:rPr>
          <w:rFonts w:ascii="Palatino Linotype" w:eastAsia="Palatino Linotype" w:hAnsi="Palatino Linotype" w:cs="Palatino Linotype"/>
          <w:sz w:val="22"/>
          <w:szCs w:val="22"/>
        </w:rPr>
        <w:t xml:space="preserve">vía </w:t>
      </w:r>
      <w:r w:rsidRPr="00BC5D8E">
        <w:rPr>
          <w:rFonts w:ascii="Palatino Linotype" w:eastAsia="Palatino Linotype" w:hAnsi="Palatino Linotype" w:cs="Palatino Linotype"/>
          <w:b/>
          <w:sz w:val="22"/>
          <w:szCs w:val="22"/>
        </w:rPr>
        <w:t>SAIMEX</w:t>
      </w:r>
      <w:r w:rsidRPr="00BC5D8E">
        <w:rPr>
          <w:rFonts w:ascii="Palatino Linotype" w:eastAsia="Palatino Linotype" w:hAnsi="Palatino Linotype" w:cs="Palatino Linotype"/>
          <w:sz w:val="22"/>
          <w:szCs w:val="22"/>
        </w:rPr>
        <w:t xml:space="preserve"> a la parte </w:t>
      </w:r>
      <w:r w:rsidRPr="00BC5D8E">
        <w:rPr>
          <w:rFonts w:ascii="Palatino Linotype" w:eastAsia="Palatino Linotype" w:hAnsi="Palatino Linotype" w:cs="Palatino Linotype"/>
          <w:b/>
          <w:sz w:val="22"/>
          <w:szCs w:val="22"/>
        </w:rPr>
        <w:t>Recurrente</w:t>
      </w:r>
      <w:r w:rsidRPr="00BC5D8E">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25EA2" w:rsidRPr="00BC5D8E" w:rsidRDefault="00FD36DE">
      <w:pPr>
        <w:spacing w:before="240" w:after="240" w:line="360" w:lineRule="auto"/>
        <w:jc w:val="both"/>
        <w:rPr>
          <w:rFonts w:ascii="Palatino Linotype" w:eastAsia="Palatino Linotype" w:hAnsi="Palatino Linotype" w:cs="Palatino Linotype"/>
          <w:sz w:val="22"/>
          <w:szCs w:val="22"/>
        </w:rPr>
      </w:pPr>
      <w:r w:rsidRPr="00BC5D8E">
        <w:rPr>
          <w:rFonts w:ascii="Palatino Linotype" w:eastAsia="Palatino Linotype" w:hAnsi="Palatino Linotype" w:cs="Palatino Linotype"/>
          <w:b/>
          <w:sz w:val="22"/>
          <w:szCs w:val="22"/>
        </w:rPr>
        <w:t xml:space="preserve">Quinto. Hágase, </w:t>
      </w:r>
      <w:r w:rsidRPr="00BC5D8E">
        <w:rPr>
          <w:rFonts w:ascii="Palatino Linotype" w:eastAsia="Palatino Linotype" w:hAnsi="Palatino Linotype" w:cs="Palatino Linotype"/>
          <w:sz w:val="22"/>
          <w:szCs w:val="22"/>
        </w:rPr>
        <w:t xml:space="preserve">de conocimiento de la parte </w:t>
      </w:r>
      <w:r w:rsidRPr="00BC5D8E">
        <w:rPr>
          <w:rFonts w:ascii="Palatino Linotype" w:eastAsia="Palatino Linotype" w:hAnsi="Palatino Linotype" w:cs="Palatino Linotype"/>
          <w:b/>
          <w:sz w:val="22"/>
          <w:szCs w:val="22"/>
        </w:rPr>
        <w:t xml:space="preserve">Recurrente, </w:t>
      </w:r>
      <w:r w:rsidRPr="00BC5D8E">
        <w:rPr>
          <w:rFonts w:ascii="Palatino Linotype" w:eastAsia="Palatino Linotype" w:hAnsi="Palatino Linotype" w:cs="Palatino Linotype"/>
          <w:sz w:val="22"/>
          <w:szCs w:val="22"/>
        </w:rPr>
        <w:t xml:space="preserve">que la respuesta que dé el </w:t>
      </w:r>
      <w:r w:rsidRPr="00BC5D8E">
        <w:rPr>
          <w:rFonts w:ascii="Palatino Linotype" w:eastAsia="Palatino Linotype" w:hAnsi="Palatino Linotype" w:cs="Palatino Linotype"/>
          <w:b/>
          <w:sz w:val="22"/>
          <w:szCs w:val="22"/>
        </w:rPr>
        <w:t>Sujeto Obligado</w:t>
      </w:r>
      <w:r w:rsidRPr="00BC5D8E">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25EA2" w:rsidRPr="00BC5D8E" w:rsidRDefault="00FD36DE">
      <w:pPr>
        <w:spacing w:before="240" w:after="240" w:line="360" w:lineRule="auto"/>
        <w:jc w:val="both"/>
        <w:rPr>
          <w:rFonts w:ascii="Palatino Linotype" w:eastAsia="Palatino Linotype" w:hAnsi="Palatino Linotype" w:cs="Palatino Linotype"/>
          <w:b/>
          <w:sz w:val="22"/>
          <w:szCs w:val="22"/>
        </w:rPr>
      </w:pPr>
      <w:r w:rsidRPr="00BC5D8E">
        <w:rPr>
          <w:rFonts w:ascii="Palatino Linotype" w:eastAsia="Palatino Linotype" w:hAnsi="Palatino Linotype" w:cs="Palatino Linotype"/>
          <w:b/>
          <w:sz w:val="22"/>
          <w:szCs w:val="22"/>
        </w:rPr>
        <w:t>Sexto. Gírese,</w:t>
      </w:r>
      <w:r w:rsidRPr="00BC5D8E">
        <w:rPr>
          <w:rFonts w:ascii="Palatino Linotype" w:eastAsia="Palatino Linotype" w:hAnsi="Palatino Linotype" w:cs="Palatino Linotype"/>
          <w:sz w:val="22"/>
          <w:szCs w:val="22"/>
        </w:rPr>
        <w:t xml:space="preserve"> vista a la </w:t>
      </w:r>
      <w:r w:rsidRPr="00BC5D8E">
        <w:rPr>
          <w:rFonts w:ascii="Palatino Linotype" w:eastAsia="Palatino Linotype" w:hAnsi="Palatino Linotype" w:cs="Palatino Linotype"/>
          <w:b/>
          <w:sz w:val="22"/>
          <w:szCs w:val="22"/>
        </w:rPr>
        <w:t>Secretaría Técnica del Pleno de este Instituto</w:t>
      </w:r>
      <w:r w:rsidRPr="00BC5D8E">
        <w:rPr>
          <w:rFonts w:ascii="Palatino Linotype" w:eastAsia="Palatino Linotype" w:hAnsi="Palatino Linotype" w:cs="Palatino Linotype"/>
          <w:sz w:val="22"/>
          <w:szCs w:val="22"/>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BC5D8E">
        <w:rPr>
          <w:rFonts w:ascii="Palatino Linotype" w:eastAsia="Palatino Linotype" w:hAnsi="Palatino Linotype" w:cs="Palatino Linotype"/>
          <w:b/>
          <w:sz w:val="22"/>
          <w:szCs w:val="22"/>
        </w:rPr>
        <w:t xml:space="preserve"> Cuarto </w:t>
      </w:r>
      <w:r w:rsidRPr="00BC5D8E">
        <w:rPr>
          <w:rFonts w:ascii="Palatino Linotype" w:eastAsia="Palatino Linotype" w:hAnsi="Palatino Linotype" w:cs="Palatino Linotype"/>
          <w:sz w:val="22"/>
          <w:szCs w:val="22"/>
        </w:rPr>
        <w:t>de la presente resolución.</w:t>
      </w:r>
      <w:r w:rsidRPr="00BC5D8E">
        <w:rPr>
          <w:rFonts w:ascii="Palatino Linotype" w:eastAsia="Palatino Linotype" w:hAnsi="Palatino Linotype" w:cs="Palatino Linotype"/>
          <w:b/>
          <w:sz w:val="22"/>
          <w:szCs w:val="22"/>
        </w:rPr>
        <w:t xml:space="preserve"> </w:t>
      </w:r>
    </w:p>
    <w:p w:rsidR="00F25EA2" w:rsidRPr="00BC5D8E" w:rsidRDefault="00F25EA2">
      <w:pPr>
        <w:spacing w:before="240" w:after="240" w:line="360" w:lineRule="auto"/>
        <w:jc w:val="both"/>
        <w:rPr>
          <w:rFonts w:ascii="Palatino Linotype" w:eastAsia="Palatino Linotype" w:hAnsi="Palatino Linotype" w:cs="Palatino Linotype"/>
          <w:b/>
          <w:sz w:val="22"/>
          <w:szCs w:val="22"/>
        </w:rPr>
      </w:pPr>
    </w:p>
    <w:p w:rsidR="00F25EA2" w:rsidRPr="00BC5D8E" w:rsidRDefault="00F25EA2">
      <w:pPr>
        <w:spacing w:before="240" w:after="240" w:line="360" w:lineRule="auto"/>
        <w:jc w:val="both"/>
        <w:rPr>
          <w:rFonts w:ascii="Palatino Linotype" w:eastAsia="Palatino Linotype" w:hAnsi="Palatino Linotype" w:cs="Palatino Linotype"/>
          <w:b/>
          <w:sz w:val="22"/>
          <w:szCs w:val="22"/>
        </w:rPr>
      </w:pPr>
    </w:p>
    <w:p w:rsidR="00F25EA2" w:rsidRDefault="00FD36DE">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5" w:name="_heading=h.lnxbz9" w:colFirst="0" w:colLast="0"/>
      <w:bookmarkEnd w:id="15"/>
      <w:r w:rsidRPr="00BC5D8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 EMITIENDO VOTO PARTICULAR, EN LA TRIGÉSIMA SÉPTIMA SESIÓN ORDINARIA CELEBRADA EL QUINCE DE OCTUBRE DE DOS MIL VEINTICINCO, ANTE EL SECRETARIO TÉCNICO DEL PLENO ALEXIS TAPIA RAMÍREZ.</w:t>
      </w:r>
    </w:p>
    <w:p w:rsidR="000C2E9E" w:rsidRDefault="000C2E9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type="page"/>
      </w:r>
    </w:p>
    <w:p w:rsidR="00F25EA2" w:rsidRDefault="00F25EA2">
      <w:pPr>
        <w:spacing w:line="360" w:lineRule="auto"/>
        <w:jc w:val="both"/>
        <w:rPr>
          <w:rFonts w:ascii="Palatino Linotype" w:eastAsia="Palatino Linotype" w:hAnsi="Palatino Linotype" w:cs="Palatino Linotype"/>
          <w:sz w:val="22"/>
          <w:szCs w:val="22"/>
        </w:rPr>
      </w:pPr>
    </w:p>
    <w:p w:rsidR="00F25EA2" w:rsidRDefault="00F25EA2">
      <w:pPr>
        <w:spacing w:line="360" w:lineRule="auto"/>
        <w:jc w:val="both"/>
        <w:rPr>
          <w:rFonts w:ascii="Palatino Linotype" w:eastAsia="Palatino Linotype" w:hAnsi="Palatino Linotype" w:cs="Palatino Linotype"/>
          <w:sz w:val="22"/>
          <w:szCs w:val="22"/>
        </w:rPr>
      </w:pPr>
    </w:p>
    <w:sectPr w:rsidR="00F25EA2">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9E" w:rsidRDefault="0027299E">
      <w:r>
        <w:separator/>
      </w:r>
    </w:p>
  </w:endnote>
  <w:endnote w:type="continuationSeparator" w:id="0">
    <w:p w:rsidR="0027299E" w:rsidRDefault="0027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A2" w:rsidRDefault="00FD36D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1B89">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1B89">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rsidR="00F25EA2" w:rsidRDefault="00F25EA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A2" w:rsidRDefault="00FD36D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1B8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1B89">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rsidR="00F25EA2" w:rsidRDefault="00F25EA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9E" w:rsidRDefault="0027299E">
      <w:r>
        <w:separator/>
      </w:r>
    </w:p>
  </w:footnote>
  <w:footnote w:type="continuationSeparator" w:id="0">
    <w:p w:rsidR="0027299E" w:rsidRDefault="0027299E">
      <w:r>
        <w:continuationSeparator/>
      </w:r>
    </w:p>
  </w:footnote>
  <w:footnote w:id="1">
    <w:p w:rsidR="00F25EA2" w:rsidRDefault="00FD36DE">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A2" w:rsidRDefault="00F25EA2">
    <w:pPr>
      <w:rPr>
        <w:rFonts w:ascii="Cambria" w:eastAsia="Cambria" w:hAnsi="Cambria" w:cs="Cambria"/>
        <w:color w:val="000000"/>
      </w:rPr>
    </w:pPr>
  </w:p>
  <w:tbl>
    <w:tblPr>
      <w:tblStyle w:val="affc"/>
      <w:tblW w:w="5953" w:type="dxa"/>
      <w:tblInd w:w="3261" w:type="dxa"/>
      <w:tblLayout w:type="fixed"/>
      <w:tblLook w:val="0400" w:firstRow="0" w:lastRow="0" w:firstColumn="0" w:lastColumn="0" w:noHBand="0" w:noVBand="1"/>
    </w:tblPr>
    <w:tblGrid>
      <w:gridCol w:w="2489"/>
      <w:gridCol w:w="3464"/>
    </w:tblGrid>
    <w:tr w:rsidR="00F25EA2">
      <w:tc>
        <w:tcPr>
          <w:tcW w:w="2489" w:type="dxa"/>
          <w:shd w:val="clear" w:color="auto" w:fill="auto"/>
        </w:tcPr>
        <w:p w:rsidR="00F25EA2" w:rsidRDefault="00FD36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25EA2" w:rsidRDefault="00FD36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08229/INFOEM/IP/RR/2025</w:t>
          </w:r>
          <w:r>
            <w:rPr>
              <w:noProof/>
            </w:rPr>
            <w:drawing>
              <wp:anchor distT="0" distB="0" distL="0" distR="0" simplePos="0" relativeHeight="251658240" behindDoc="1" locked="0" layoutInCell="1" hidden="0" allowOverlap="1">
                <wp:simplePos x="0" y="0"/>
                <wp:positionH relativeFrom="column">
                  <wp:posOffset>-4800599</wp:posOffset>
                </wp:positionH>
                <wp:positionV relativeFrom="paragraph">
                  <wp:posOffset>-641984</wp:posOffset>
                </wp:positionV>
                <wp:extent cx="7809865" cy="10165715"/>
                <wp:effectExtent l="0" t="0" r="0" b="0"/>
                <wp:wrapNone/>
                <wp:docPr id="20832964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F25EA2">
      <w:trPr>
        <w:trHeight w:val="228"/>
      </w:trPr>
      <w:tc>
        <w:tcPr>
          <w:tcW w:w="2489" w:type="dxa"/>
          <w:shd w:val="clear" w:color="auto" w:fill="auto"/>
          <w:vAlign w:val="center"/>
        </w:tcPr>
        <w:p w:rsidR="00F25EA2" w:rsidRDefault="00FD36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25EA2" w:rsidRDefault="00FD36D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F25EA2">
      <w:tc>
        <w:tcPr>
          <w:tcW w:w="2489" w:type="dxa"/>
          <w:shd w:val="clear" w:color="auto" w:fill="auto"/>
          <w:vAlign w:val="center"/>
        </w:tcPr>
        <w:p w:rsidR="00F25EA2" w:rsidRDefault="00FD36D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25EA2" w:rsidRDefault="00FD36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25EA2" w:rsidRDefault="00FD36D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A2" w:rsidRDefault="00FD36D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-1080132</wp:posOffset>
          </wp:positionH>
          <wp:positionV relativeFrom="paragraph">
            <wp:posOffset>-369891</wp:posOffset>
          </wp:positionV>
          <wp:extent cx="7809865" cy="10165715"/>
          <wp:effectExtent l="0" t="0" r="0" b="0"/>
          <wp:wrapNone/>
          <wp:docPr id="20832964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F25EA2">
      <w:tc>
        <w:tcPr>
          <w:tcW w:w="2489" w:type="dxa"/>
          <w:shd w:val="clear" w:color="auto" w:fill="auto"/>
        </w:tcPr>
        <w:p w:rsidR="00F25EA2" w:rsidRDefault="00FD36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25EA2" w:rsidRDefault="00FD36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08229/INFOEM/IP/RR/2025</w:t>
          </w:r>
        </w:p>
      </w:tc>
    </w:tr>
    <w:tr w:rsidR="00F25EA2">
      <w:tc>
        <w:tcPr>
          <w:tcW w:w="2489" w:type="dxa"/>
          <w:shd w:val="clear" w:color="auto" w:fill="auto"/>
        </w:tcPr>
        <w:p w:rsidR="00F25EA2" w:rsidRDefault="00FD36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rsidR="00F25EA2" w:rsidRDefault="00F25EA2">
          <w:pPr>
            <w:ind w:right="175"/>
            <w:jc w:val="both"/>
            <w:rPr>
              <w:rFonts w:ascii="Palatino Linotype" w:eastAsia="Palatino Linotype" w:hAnsi="Palatino Linotype" w:cs="Palatino Linotype"/>
              <w:b/>
              <w:sz w:val="22"/>
              <w:szCs w:val="22"/>
              <w:highlight w:val="yellow"/>
            </w:rPr>
          </w:pPr>
        </w:p>
      </w:tc>
    </w:tr>
    <w:tr w:rsidR="00F25EA2">
      <w:trPr>
        <w:trHeight w:val="228"/>
      </w:trPr>
      <w:tc>
        <w:tcPr>
          <w:tcW w:w="2489" w:type="dxa"/>
          <w:shd w:val="clear" w:color="auto" w:fill="auto"/>
          <w:vAlign w:val="center"/>
        </w:tcPr>
        <w:p w:rsidR="00F25EA2" w:rsidRDefault="00FD36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25EA2" w:rsidRDefault="00FD36D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F25EA2">
      <w:tc>
        <w:tcPr>
          <w:tcW w:w="2489" w:type="dxa"/>
          <w:shd w:val="clear" w:color="auto" w:fill="auto"/>
          <w:vAlign w:val="center"/>
        </w:tcPr>
        <w:p w:rsidR="00F25EA2" w:rsidRDefault="00FD36D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25EA2" w:rsidRDefault="00FD36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25EA2" w:rsidRDefault="00F25EA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12"/>
    <w:multiLevelType w:val="multilevel"/>
    <w:tmpl w:val="2EF259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A2"/>
    <w:rsid w:val="000C2E9E"/>
    <w:rsid w:val="0027299E"/>
    <w:rsid w:val="00541B89"/>
    <w:rsid w:val="006A77EF"/>
    <w:rsid w:val="00BC5D8E"/>
    <w:rsid w:val="00F25EA2"/>
    <w:rsid w:val="00FA7F67"/>
    <w:rsid w:val="00FD3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48206-F495-4C94-A909-E2AC99AB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ind w:left="927" w:hanging="360"/>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k9YFwXiL0n8eJWzkfHXAb9hQ==">CgMxLjAyCWguM3JkY3JqbjIOaC5kYWozajJ4bzZxNjYyCGguZ2pkZ3hzMgloLjNkeTZ2a20yCWguMzBqMHpsbDIJaC4yczhleW8xMgloLjN6bnlzaDcyCWguMmV0OTJwMDIJaC4yNmluMXJnMgloLjM1bmt1bjIyCWguMWtzdjR1djIJaC4xdDNoNXNmMg5oLmhuenhzY2g1Z3lzejIOaC5vdDNxcTZ2eGEwOGYyCGgubG54Yno5OAByITFPYTVMV2FqeVRoZ1BBaGNHY0ZMaFlVYTAwMlMzYzhT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50B5C2-EF9C-4DAB-814E-20FCDD38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14888</Words>
  <Characters>81886</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2025-10-17T01:00:00Z</cp:lastPrinted>
  <dcterms:created xsi:type="dcterms:W3CDTF">2025-11-14T19:07:00Z</dcterms:created>
  <dcterms:modified xsi:type="dcterms:W3CDTF">2025-11-14T19:07:00Z</dcterms:modified>
</cp:coreProperties>
</file>