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213B9" w14:textId="77777777" w:rsidR="00B37168" w:rsidRDefault="00B37168" w:rsidP="00E84BFE">
      <w:pPr>
        <w:tabs>
          <w:tab w:val="left" w:pos="8931"/>
        </w:tabs>
        <w:spacing w:line="360" w:lineRule="auto"/>
        <w:ind w:left="8931" w:hanging="8931"/>
        <w:contextualSpacing/>
      </w:pPr>
      <w:bookmarkStart w:id="0" w:name="_Hlk215665293"/>
      <w:bookmarkStart w:id="1" w:name="_GoBack"/>
      <w:bookmarkEnd w:id="1"/>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02EB68E4" w14:textId="77777777" w:rsidR="00B37168" w:rsidRDefault="00B37168" w:rsidP="00E84BFE">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1C23ADA6" w14:textId="5A9DDE49" w:rsidR="00B37168" w:rsidRPr="00B71E26" w:rsidRDefault="00B37168" w:rsidP="00E84BFE">
          <w:pPr>
            <w:pStyle w:val="Ttulode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09001</w:t>
          </w:r>
          <w:r w:rsidRPr="00B71E26">
            <w:rPr>
              <w:rFonts w:ascii="Palatino Linotype" w:hAnsi="Palatino Linotype"/>
              <w:color w:val="auto"/>
              <w:sz w:val="22"/>
              <w:szCs w:val="22"/>
            </w:rPr>
            <w:t>/INFOEM/IP/RR/2025</w:t>
          </w:r>
        </w:p>
        <w:p w14:paraId="1FC98357" w14:textId="77777777" w:rsidR="00B37168" w:rsidRPr="00B71E26" w:rsidRDefault="00B37168" w:rsidP="00E84BFE">
          <w:pPr>
            <w:spacing w:line="360" w:lineRule="auto"/>
            <w:contextualSpacing/>
          </w:pPr>
        </w:p>
        <w:p w14:paraId="5F7A6543" w14:textId="715596A2" w:rsidR="00E84BFE" w:rsidRPr="00E84BFE" w:rsidRDefault="00B37168" w:rsidP="00E84BF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B71E26">
            <w:fldChar w:fldCharType="begin"/>
          </w:r>
          <w:r w:rsidRPr="00B71E26">
            <w:instrText xml:space="preserve"> TOC \o "1-3" \h \z \u </w:instrText>
          </w:r>
          <w:r w:rsidRPr="00B71E26">
            <w:fldChar w:fldCharType="separate"/>
          </w:r>
          <w:hyperlink w:anchor="_Toc215679565" w:history="1">
            <w:r w:rsidR="00E84BFE" w:rsidRPr="00E84BFE">
              <w:rPr>
                <w:rStyle w:val="Hipervnculo"/>
                <w:noProof/>
              </w:rPr>
              <w:t>A N T E C E D E N T E S</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_Toc215679565 \h </w:instrText>
            </w:r>
            <w:r w:rsidR="00E84BFE" w:rsidRPr="00E84BFE">
              <w:rPr>
                <w:noProof/>
                <w:webHidden/>
              </w:rPr>
            </w:r>
            <w:r w:rsidR="00E84BFE" w:rsidRPr="00E84BFE">
              <w:rPr>
                <w:noProof/>
                <w:webHidden/>
              </w:rPr>
              <w:fldChar w:fldCharType="separate"/>
            </w:r>
            <w:r w:rsidR="001242C4">
              <w:rPr>
                <w:noProof/>
                <w:webHidden/>
              </w:rPr>
              <w:t>2</w:t>
            </w:r>
            <w:r w:rsidR="00E84BFE" w:rsidRPr="00E84BFE">
              <w:rPr>
                <w:noProof/>
                <w:webHidden/>
              </w:rPr>
              <w:fldChar w:fldCharType="end"/>
            </w:r>
          </w:hyperlink>
        </w:p>
        <w:p w14:paraId="758B957A" w14:textId="126E45F1"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66" w:history="1">
            <w:r w:rsidR="00E84BFE" w:rsidRPr="00E84BFE">
              <w:rPr>
                <w:rStyle w:val="Hipervnculo"/>
                <w:noProof/>
              </w:rPr>
              <w:t>I. Presentación de la solicitud de información</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_Toc215679566 \h </w:instrText>
            </w:r>
            <w:r w:rsidR="00E84BFE" w:rsidRPr="00E84BFE">
              <w:rPr>
                <w:noProof/>
                <w:webHidden/>
              </w:rPr>
            </w:r>
            <w:r w:rsidR="00E84BFE" w:rsidRPr="00E84BFE">
              <w:rPr>
                <w:noProof/>
                <w:webHidden/>
              </w:rPr>
              <w:fldChar w:fldCharType="separate"/>
            </w:r>
            <w:r w:rsidR="001242C4">
              <w:rPr>
                <w:noProof/>
                <w:webHidden/>
              </w:rPr>
              <w:t>2</w:t>
            </w:r>
            <w:r w:rsidR="00E84BFE" w:rsidRPr="00E84BFE">
              <w:rPr>
                <w:noProof/>
                <w:webHidden/>
              </w:rPr>
              <w:fldChar w:fldCharType="end"/>
            </w:r>
          </w:hyperlink>
        </w:p>
        <w:p w14:paraId="06F256DF" w14:textId="18DBE6A1"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67" w:history="1">
            <w:r w:rsidR="00E84BFE" w:rsidRPr="00E84BFE">
              <w:rPr>
                <w:rStyle w:val="Hipervnculo"/>
                <w:noProof/>
              </w:rPr>
              <w:t>II. Respuesta del Sujeto Obligado</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_Toc215679567 \h </w:instrText>
            </w:r>
            <w:r w:rsidR="00E84BFE" w:rsidRPr="00E84BFE">
              <w:rPr>
                <w:noProof/>
                <w:webHidden/>
              </w:rPr>
            </w:r>
            <w:r w:rsidR="00E84BFE" w:rsidRPr="00E84BFE">
              <w:rPr>
                <w:noProof/>
                <w:webHidden/>
              </w:rPr>
              <w:fldChar w:fldCharType="separate"/>
            </w:r>
            <w:r w:rsidR="001242C4">
              <w:rPr>
                <w:noProof/>
                <w:webHidden/>
              </w:rPr>
              <w:t>3</w:t>
            </w:r>
            <w:r w:rsidR="00E84BFE" w:rsidRPr="00E84BFE">
              <w:rPr>
                <w:noProof/>
                <w:webHidden/>
              </w:rPr>
              <w:fldChar w:fldCharType="end"/>
            </w:r>
          </w:hyperlink>
        </w:p>
        <w:p w14:paraId="19FB4BB5" w14:textId="6887B950"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68" w:history="1">
            <w:r w:rsidR="00E84BFE" w:rsidRPr="00E84BFE">
              <w:rPr>
                <w:rStyle w:val="Hipervnculo"/>
                <w:noProof/>
              </w:rPr>
              <w:t>III. Interposición del Recurso de Revisión</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_Toc215679568 \h </w:instrText>
            </w:r>
            <w:r w:rsidR="00E84BFE" w:rsidRPr="00E84BFE">
              <w:rPr>
                <w:noProof/>
                <w:webHidden/>
              </w:rPr>
            </w:r>
            <w:r w:rsidR="00E84BFE" w:rsidRPr="00E84BFE">
              <w:rPr>
                <w:noProof/>
                <w:webHidden/>
              </w:rPr>
              <w:fldChar w:fldCharType="separate"/>
            </w:r>
            <w:r w:rsidR="001242C4">
              <w:rPr>
                <w:noProof/>
                <w:webHidden/>
              </w:rPr>
              <w:t>4</w:t>
            </w:r>
            <w:r w:rsidR="00E84BFE" w:rsidRPr="00E84BFE">
              <w:rPr>
                <w:noProof/>
                <w:webHidden/>
              </w:rPr>
              <w:fldChar w:fldCharType="end"/>
            </w:r>
          </w:hyperlink>
        </w:p>
        <w:p w14:paraId="5894160D" w14:textId="70F8E4C2"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69" w:history="1">
            <w:r w:rsidR="00E84BFE" w:rsidRPr="00E84BFE">
              <w:rPr>
                <w:rStyle w:val="Hipervnculo"/>
                <w:noProof/>
              </w:rPr>
              <w:t>IV. Trámite del Recurso de Revisión ante este Instituto</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_Toc215679569 \h </w:instrText>
            </w:r>
            <w:r w:rsidR="00E84BFE" w:rsidRPr="00E84BFE">
              <w:rPr>
                <w:noProof/>
                <w:webHidden/>
              </w:rPr>
            </w:r>
            <w:r w:rsidR="00E84BFE" w:rsidRPr="00E84BFE">
              <w:rPr>
                <w:noProof/>
                <w:webHidden/>
              </w:rPr>
              <w:fldChar w:fldCharType="separate"/>
            </w:r>
            <w:r w:rsidR="001242C4">
              <w:rPr>
                <w:noProof/>
                <w:webHidden/>
              </w:rPr>
              <w:t>5</w:t>
            </w:r>
            <w:r w:rsidR="00E84BFE" w:rsidRPr="00E84BFE">
              <w:rPr>
                <w:noProof/>
                <w:webHidden/>
              </w:rPr>
              <w:fldChar w:fldCharType="end"/>
            </w:r>
          </w:hyperlink>
        </w:p>
        <w:p w14:paraId="441ECC83" w14:textId="46D7BE99" w:rsidR="00E84BFE" w:rsidRPr="00E84BFE" w:rsidRDefault="008F0C0E" w:rsidP="00E84BF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0" w:history="1">
            <w:r w:rsidR="00E84BFE" w:rsidRPr="00E84BFE">
              <w:rPr>
                <w:rStyle w:val="Hipervnculo"/>
                <w:noProof/>
              </w:rPr>
              <w:t>C O N S I D E R A N D O S</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_Toc215679570 \h </w:instrText>
            </w:r>
            <w:r w:rsidR="00E84BFE" w:rsidRPr="00E84BFE">
              <w:rPr>
                <w:noProof/>
                <w:webHidden/>
              </w:rPr>
            </w:r>
            <w:r w:rsidR="00E84BFE" w:rsidRPr="00E84BFE">
              <w:rPr>
                <w:noProof/>
                <w:webHidden/>
              </w:rPr>
              <w:fldChar w:fldCharType="separate"/>
            </w:r>
            <w:r w:rsidR="001242C4">
              <w:rPr>
                <w:noProof/>
                <w:webHidden/>
              </w:rPr>
              <w:t>7</w:t>
            </w:r>
            <w:r w:rsidR="00E84BFE" w:rsidRPr="00E84BFE">
              <w:rPr>
                <w:noProof/>
                <w:webHidden/>
              </w:rPr>
              <w:fldChar w:fldCharType="end"/>
            </w:r>
          </w:hyperlink>
        </w:p>
        <w:p w14:paraId="6C98849F" w14:textId="6E61E4A3"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1" w:history="1">
            <w:r w:rsidR="00E84BFE" w:rsidRPr="00E84BFE">
              <w:rPr>
                <w:rStyle w:val="Hipervnculo"/>
                <w:noProof/>
              </w:rPr>
              <w:t>PRIMERO. Competencia</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_Toc215679571 \h </w:instrText>
            </w:r>
            <w:r w:rsidR="00E84BFE" w:rsidRPr="00E84BFE">
              <w:rPr>
                <w:noProof/>
                <w:webHidden/>
              </w:rPr>
            </w:r>
            <w:r w:rsidR="00E84BFE" w:rsidRPr="00E84BFE">
              <w:rPr>
                <w:noProof/>
                <w:webHidden/>
              </w:rPr>
              <w:fldChar w:fldCharType="separate"/>
            </w:r>
            <w:r w:rsidR="001242C4">
              <w:rPr>
                <w:noProof/>
                <w:webHidden/>
              </w:rPr>
              <w:t>7</w:t>
            </w:r>
            <w:r w:rsidR="00E84BFE" w:rsidRPr="00E84BFE">
              <w:rPr>
                <w:noProof/>
                <w:webHidden/>
              </w:rPr>
              <w:fldChar w:fldCharType="end"/>
            </w:r>
          </w:hyperlink>
        </w:p>
        <w:p w14:paraId="3224A918" w14:textId="11869E08"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2" w:history="1">
            <w:r w:rsidR="00E84BFE" w:rsidRPr="00E84BFE">
              <w:rPr>
                <w:rStyle w:val="Hipervnculo"/>
                <w:noProof/>
              </w:rPr>
              <w:t>SEGUNDO. Causales de improcedencia y sobreseimiento</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_Toc215679572 \h </w:instrText>
            </w:r>
            <w:r w:rsidR="00E84BFE" w:rsidRPr="00E84BFE">
              <w:rPr>
                <w:noProof/>
                <w:webHidden/>
              </w:rPr>
            </w:r>
            <w:r w:rsidR="00E84BFE" w:rsidRPr="00E84BFE">
              <w:rPr>
                <w:noProof/>
                <w:webHidden/>
              </w:rPr>
              <w:fldChar w:fldCharType="separate"/>
            </w:r>
            <w:r w:rsidR="001242C4">
              <w:rPr>
                <w:noProof/>
                <w:webHidden/>
              </w:rPr>
              <w:t>7</w:t>
            </w:r>
            <w:r w:rsidR="00E84BFE" w:rsidRPr="00E84BFE">
              <w:rPr>
                <w:noProof/>
                <w:webHidden/>
              </w:rPr>
              <w:fldChar w:fldCharType="end"/>
            </w:r>
          </w:hyperlink>
        </w:p>
        <w:p w14:paraId="4377D5C2" w14:textId="0A2D948A"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3" w:history="1">
            <w:r w:rsidR="00E84BFE" w:rsidRPr="00E84BFE">
              <w:rPr>
                <w:rStyle w:val="Hipervnculo"/>
                <w:noProof/>
              </w:rPr>
              <w:t>TERCERO. Determinación de la Controversia</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_Toc215679573 \h </w:instrText>
            </w:r>
            <w:r w:rsidR="00E84BFE" w:rsidRPr="00E84BFE">
              <w:rPr>
                <w:noProof/>
                <w:webHidden/>
              </w:rPr>
            </w:r>
            <w:r w:rsidR="00E84BFE" w:rsidRPr="00E84BFE">
              <w:rPr>
                <w:noProof/>
                <w:webHidden/>
              </w:rPr>
              <w:fldChar w:fldCharType="separate"/>
            </w:r>
            <w:r w:rsidR="001242C4">
              <w:rPr>
                <w:noProof/>
                <w:webHidden/>
              </w:rPr>
              <w:t>9</w:t>
            </w:r>
            <w:r w:rsidR="00E84BFE" w:rsidRPr="00E84BFE">
              <w:rPr>
                <w:noProof/>
                <w:webHidden/>
              </w:rPr>
              <w:fldChar w:fldCharType="end"/>
            </w:r>
          </w:hyperlink>
        </w:p>
        <w:p w14:paraId="67505DB9" w14:textId="7B97D941"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4" w:history="1">
            <w:r w:rsidR="00E84BFE" w:rsidRPr="00E84BFE">
              <w:rPr>
                <w:rStyle w:val="Hipervnculo"/>
                <w:noProof/>
              </w:rPr>
              <w:t>CUARTO. Marco normativo aplicable en materia de transparencia y acceso a la información pública</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_Toc215679574 \h </w:instrText>
            </w:r>
            <w:r w:rsidR="00E84BFE" w:rsidRPr="00E84BFE">
              <w:rPr>
                <w:noProof/>
                <w:webHidden/>
              </w:rPr>
            </w:r>
            <w:r w:rsidR="00E84BFE" w:rsidRPr="00E84BFE">
              <w:rPr>
                <w:noProof/>
                <w:webHidden/>
              </w:rPr>
              <w:fldChar w:fldCharType="separate"/>
            </w:r>
            <w:r w:rsidR="001242C4">
              <w:rPr>
                <w:noProof/>
                <w:webHidden/>
              </w:rPr>
              <w:t>10</w:t>
            </w:r>
            <w:r w:rsidR="00E84BFE" w:rsidRPr="00E84BFE">
              <w:rPr>
                <w:noProof/>
                <w:webHidden/>
              </w:rPr>
              <w:fldChar w:fldCharType="end"/>
            </w:r>
          </w:hyperlink>
        </w:p>
        <w:p w14:paraId="112871C7" w14:textId="5CAC4789"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5" w:history="1">
            <w:r w:rsidR="00E84BFE" w:rsidRPr="00E84BFE">
              <w:rPr>
                <w:rStyle w:val="Hipervnculo"/>
                <w:noProof/>
              </w:rPr>
              <w:t>QUINTO. Estudio de Fondo</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_Toc215679575 \h </w:instrText>
            </w:r>
            <w:r w:rsidR="00E84BFE" w:rsidRPr="00E84BFE">
              <w:rPr>
                <w:noProof/>
                <w:webHidden/>
              </w:rPr>
            </w:r>
            <w:r w:rsidR="00E84BFE" w:rsidRPr="00E84BFE">
              <w:rPr>
                <w:noProof/>
                <w:webHidden/>
              </w:rPr>
              <w:fldChar w:fldCharType="separate"/>
            </w:r>
            <w:r w:rsidR="001242C4">
              <w:rPr>
                <w:noProof/>
                <w:webHidden/>
              </w:rPr>
              <w:t>11</w:t>
            </w:r>
            <w:r w:rsidR="00E84BFE" w:rsidRPr="00E84BFE">
              <w:rPr>
                <w:noProof/>
                <w:webHidden/>
              </w:rPr>
              <w:fldChar w:fldCharType="end"/>
            </w:r>
          </w:hyperlink>
        </w:p>
        <w:p w14:paraId="57A1A487" w14:textId="5B1C2305" w:rsidR="00E84BFE" w:rsidRPr="00E84BFE" w:rsidRDefault="008F0C0E" w:rsidP="00E84BF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6" w:history="1">
            <w:r w:rsidR="00E84BFE" w:rsidRPr="00E84BFE">
              <w:rPr>
                <w:rStyle w:val="Hipervnculo"/>
                <w:noProof/>
              </w:rPr>
              <w:t>SEXTO. Decisión</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_Toc215679576 \h </w:instrText>
            </w:r>
            <w:r w:rsidR="00E84BFE" w:rsidRPr="00E84BFE">
              <w:rPr>
                <w:noProof/>
                <w:webHidden/>
              </w:rPr>
            </w:r>
            <w:r w:rsidR="00E84BFE" w:rsidRPr="00E84BFE">
              <w:rPr>
                <w:noProof/>
                <w:webHidden/>
              </w:rPr>
              <w:fldChar w:fldCharType="separate"/>
            </w:r>
            <w:r w:rsidR="001242C4">
              <w:rPr>
                <w:noProof/>
                <w:webHidden/>
              </w:rPr>
              <w:t>41</w:t>
            </w:r>
            <w:r w:rsidR="00E84BFE" w:rsidRPr="00E84BFE">
              <w:rPr>
                <w:noProof/>
                <w:webHidden/>
              </w:rPr>
              <w:fldChar w:fldCharType="end"/>
            </w:r>
          </w:hyperlink>
        </w:p>
        <w:p w14:paraId="6F31A296" w14:textId="5FBDEE92" w:rsidR="00E84BFE" w:rsidRPr="00E84BFE" w:rsidRDefault="008F0C0E" w:rsidP="00E84BF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5679577" w:history="1">
            <w:r w:rsidR="00E84BFE" w:rsidRPr="00E84BFE">
              <w:rPr>
                <w:rStyle w:val="Hipervnculo"/>
                <w:noProof/>
              </w:rPr>
              <w:t>R E S U E L V E</w:t>
            </w:r>
            <w:r w:rsidR="00E84BFE" w:rsidRPr="00E84BFE">
              <w:rPr>
                <w:noProof/>
                <w:webHidden/>
              </w:rPr>
              <w:tab/>
            </w:r>
            <w:r w:rsidR="00E84BFE" w:rsidRPr="00E84BFE">
              <w:rPr>
                <w:noProof/>
                <w:webHidden/>
              </w:rPr>
              <w:fldChar w:fldCharType="begin"/>
            </w:r>
            <w:r w:rsidR="00E84BFE" w:rsidRPr="00E84BFE">
              <w:rPr>
                <w:noProof/>
                <w:webHidden/>
              </w:rPr>
              <w:instrText xml:space="preserve"> PAGEREF _Toc215679577 \h </w:instrText>
            </w:r>
            <w:r w:rsidR="00E84BFE" w:rsidRPr="00E84BFE">
              <w:rPr>
                <w:noProof/>
                <w:webHidden/>
              </w:rPr>
            </w:r>
            <w:r w:rsidR="00E84BFE" w:rsidRPr="00E84BFE">
              <w:rPr>
                <w:noProof/>
                <w:webHidden/>
              </w:rPr>
              <w:fldChar w:fldCharType="separate"/>
            </w:r>
            <w:r w:rsidR="001242C4">
              <w:rPr>
                <w:noProof/>
                <w:webHidden/>
              </w:rPr>
              <w:t>41</w:t>
            </w:r>
            <w:r w:rsidR="00E84BFE" w:rsidRPr="00E84BFE">
              <w:rPr>
                <w:noProof/>
                <w:webHidden/>
              </w:rPr>
              <w:fldChar w:fldCharType="end"/>
            </w:r>
          </w:hyperlink>
        </w:p>
        <w:p w14:paraId="3B044140" w14:textId="5E3742A3" w:rsidR="00B37168" w:rsidRDefault="00B37168" w:rsidP="00E84BFE">
          <w:pPr>
            <w:widowControl w:val="0"/>
            <w:pBdr>
              <w:top w:val="nil"/>
              <w:left w:val="nil"/>
              <w:bottom w:val="nil"/>
              <w:right w:val="nil"/>
              <w:between w:val="nil"/>
            </w:pBdr>
            <w:spacing w:line="360" w:lineRule="auto"/>
            <w:ind w:left="720" w:hanging="720"/>
            <w:contextualSpacing/>
          </w:pPr>
          <w:r w:rsidRPr="00B71E26">
            <w:rPr>
              <w:b/>
              <w:bCs/>
              <w:lang w:val="es-ES"/>
            </w:rPr>
            <w:fldChar w:fldCharType="end"/>
          </w:r>
        </w:p>
      </w:sdtContent>
    </w:sdt>
    <w:p w14:paraId="2D47FFA1" w14:textId="77777777" w:rsidR="00B37168" w:rsidRDefault="00B37168" w:rsidP="00E84BFE">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2" w:name="_heading=h.t77kwk8e2ch7" w:colFirst="0" w:colLast="0"/>
      <w:bookmarkEnd w:id="2"/>
    </w:p>
    <w:p w14:paraId="3E2692FD" w14:textId="77777777" w:rsidR="00B37168" w:rsidRDefault="00B37168" w:rsidP="00E84BFE">
      <w:pPr>
        <w:spacing w:line="360" w:lineRule="auto"/>
        <w:ind w:right="-28"/>
        <w:contextualSpacing/>
        <w:jc w:val="both"/>
        <w:rPr>
          <w:rFonts w:ascii="Palatino Linotype" w:eastAsia="Palatino Linotype" w:hAnsi="Palatino Linotype" w:cs="Palatino Linotype"/>
          <w:color w:val="000000"/>
          <w:sz w:val="22"/>
          <w:szCs w:val="22"/>
        </w:rPr>
      </w:pPr>
    </w:p>
    <w:p w14:paraId="68E1C308" w14:textId="77777777" w:rsidR="00B37168" w:rsidRDefault="00B37168" w:rsidP="00E84BFE">
      <w:pPr>
        <w:spacing w:line="360" w:lineRule="auto"/>
        <w:ind w:right="-28"/>
        <w:contextualSpacing/>
        <w:jc w:val="both"/>
        <w:rPr>
          <w:rFonts w:ascii="Palatino Linotype" w:eastAsia="Palatino Linotype" w:hAnsi="Palatino Linotype" w:cs="Palatino Linotype"/>
          <w:color w:val="000000"/>
          <w:sz w:val="22"/>
          <w:szCs w:val="22"/>
        </w:rPr>
      </w:pPr>
    </w:p>
    <w:p w14:paraId="380402EB" w14:textId="77777777" w:rsidR="00B37168" w:rsidRDefault="00B37168" w:rsidP="00E84BFE">
      <w:pPr>
        <w:spacing w:line="360" w:lineRule="auto"/>
        <w:ind w:right="-28"/>
        <w:contextualSpacing/>
        <w:jc w:val="both"/>
        <w:rPr>
          <w:rFonts w:ascii="Palatino Linotype" w:eastAsia="Palatino Linotype" w:hAnsi="Palatino Linotype" w:cs="Palatino Linotype"/>
          <w:color w:val="000000"/>
          <w:sz w:val="22"/>
          <w:szCs w:val="22"/>
        </w:rPr>
      </w:pPr>
    </w:p>
    <w:p w14:paraId="0CF0B243" w14:textId="77777777" w:rsidR="00B37168" w:rsidRDefault="00B37168" w:rsidP="00E84BFE">
      <w:pPr>
        <w:spacing w:line="360" w:lineRule="auto"/>
        <w:ind w:right="-28"/>
        <w:contextualSpacing/>
        <w:jc w:val="both"/>
        <w:rPr>
          <w:rFonts w:ascii="Palatino Linotype" w:eastAsia="Palatino Linotype" w:hAnsi="Palatino Linotype" w:cs="Palatino Linotype"/>
          <w:color w:val="000000"/>
          <w:sz w:val="22"/>
          <w:szCs w:val="22"/>
        </w:rPr>
      </w:pPr>
    </w:p>
    <w:p w14:paraId="08F3735C" w14:textId="77777777" w:rsidR="00B37168" w:rsidRDefault="00B37168" w:rsidP="00E84BFE">
      <w:pPr>
        <w:spacing w:line="360" w:lineRule="auto"/>
        <w:ind w:right="-28"/>
        <w:contextualSpacing/>
        <w:jc w:val="both"/>
        <w:rPr>
          <w:rFonts w:ascii="Palatino Linotype" w:eastAsia="Palatino Linotype" w:hAnsi="Palatino Linotype" w:cs="Palatino Linotype"/>
          <w:color w:val="000000"/>
          <w:sz w:val="22"/>
          <w:szCs w:val="22"/>
        </w:rPr>
      </w:pPr>
    </w:p>
    <w:p w14:paraId="7E9D3AAE" w14:textId="77777777" w:rsidR="00B37168" w:rsidRDefault="00B37168" w:rsidP="00E84BFE">
      <w:pPr>
        <w:spacing w:line="360" w:lineRule="auto"/>
        <w:ind w:right="-28"/>
        <w:contextualSpacing/>
        <w:jc w:val="both"/>
        <w:rPr>
          <w:rFonts w:ascii="Palatino Linotype" w:hAnsi="Palatino Linotype" w:cs="Tahoma"/>
          <w:sz w:val="22"/>
          <w:szCs w:val="22"/>
        </w:rPr>
      </w:pPr>
    </w:p>
    <w:p w14:paraId="70E11022" w14:textId="77777777" w:rsidR="00B37168" w:rsidRPr="00633419" w:rsidRDefault="00B37168" w:rsidP="00E84BFE">
      <w:pPr>
        <w:spacing w:line="360" w:lineRule="auto"/>
        <w:ind w:right="-28"/>
        <w:contextualSpacing/>
        <w:jc w:val="both"/>
        <w:rPr>
          <w:rFonts w:ascii="Palatino Linotype" w:hAnsi="Palatino Linotype" w:cs="Tahoma"/>
          <w:sz w:val="22"/>
          <w:szCs w:val="22"/>
        </w:rPr>
      </w:pPr>
    </w:p>
    <w:p w14:paraId="0534C9FD" w14:textId="591B8360"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diez de diciembre de dos mil veinticinco.</w:t>
      </w:r>
    </w:p>
    <w:p w14:paraId="55359619" w14:textId="77777777" w:rsidR="00B37168" w:rsidRDefault="00B37168" w:rsidP="00E84BFE">
      <w:pPr>
        <w:spacing w:line="360" w:lineRule="auto"/>
        <w:contextualSpacing/>
        <w:rPr>
          <w:rFonts w:ascii="Palatino Linotype" w:eastAsia="Palatino Linotype" w:hAnsi="Palatino Linotype" w:cs="Palatino Linotype"/>
          <w:sz w:val="22"/>
          <w:szCs w:val="22"/>
        </w:rPr>
      </w:pPr>
    </w:p>
    <w:p w14:paraId="03CC16DA" w14:textId="28FCCBCB"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F2C13">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9001</w:t>
      </w:r>
      <w:r w:rsidRPr="00FF2C13">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FF2C13">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03516/TOLUCA/IP/2025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47954D89"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45CC5E48" w14:textId="77777777" w:rsidR="00B37168" w:rsidRPr="00633419" w:rsidRDefault="00B37168" w:rsidP="00E84BFE">
      <w:pPr>
        <w:pStyle w:val="Ttulo1"/>
        <w:spacing w:line="360" w:lineRule="auto"/>
        <w:contextualSpacing/>
        <w:jc w:val="center"/>
        <w:rPr>
          <w:rFonts w:ascii="Palatino Linotype" w:hAnsi="Palatino Linotype"/>
          <w:b/>
          <w:bCs/>
          <w:color w:val="auto"/>
          <w:sz w:val="22"/>
          <w:szCs w:val="22"/>
        </w:rPr>
      </w:pPr>
      <w:bookmarkStart w:id="3" w:name="_Toc215679565"/>
      <w:r w:rsidRPr="00633419">
        <w:rPr>
          <w:rFonts w:ascii="Palatino Linotype" w:hAnsi="Palatino Linotype"/>
          <w:b/>
          <w:bCs/>
          <w:color w:val="auto"/>
          <w:sz w:val="22"/>
          <w:szCs w:val="22"/>
        </w:rPr>
        <w:t>A N T E C E D E N T E S</w:t>
      </w:r>
      <w:bookmarkEnd w:id="3"/>
    </w:p>
    <w:p w14:paraId="4C49BE02" w14:textId="77777777" w:rsidR="00B37168" w:rsidRDefault="00B37168" w:rsidP="00E84BFE">
      <w:pPr>
        <w:spacing w:line="360" w:lineRule="auto"/>
        <w:contextualSpacing/>
      </w:pPr>
    </w:p>
    <w:p w14:paraId="440B2200" w14:textId="77777777" w:rsidR="00B37168" w:rsidRPr="00633419" w:rsidRDefault="00B37168" w:rsidP="00E84BFE">
      <w:pPr>
        <w:pStyle w:val="Ttulo2"/>
        <w:spacing w:line="360" w:lineRule="auto"/>
        <w:contextualSpacing/>
        <w:rPr>
          <w:rFonts w:ascii="Palatino Linotype" w:hAnsi="Palatino Linotype"/>
          <w:b/>
          <w:bCs/>
          <w:color w:val="auto"/>
          <w:sz w:val="22"/>
          <w:szCs w:val="22"/>
        </w:rPr>
      </w:pPr>
      <w:bookmarkStart w:id="4" w:name="_Toc215679566"/>
      <w:r w:rsidRPr="00633419">
        <w:rPr>
          <w:rFonts w:ascii="Palatino Linotype" w:hAnsi="Palatino Linotype"/>
          <w:b/>
          <w:bCs/>
          <w:color w:val="auto"/>
          <w:sz w:val="22"/>
          <w:szCs w:val="22"/>
        </w:rPr>
        <w:t>I. Presentación de la solicitud de información</w:t>
      </w:r>
      <w:bookmarkEnd w:id="4"/>
    </w:p>
    <w:p w14:paraId="7A243A94" w14:textId="77777777" w:rsidR="00B37168" w:rsidRDefault="00B37168" w:rsidP="00E84BF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5AE84523" w14:textId="2313888B" w:rsidR="00B37168" w:rsidRDefault="00B37168" w:rsidP="00E84BF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dieciocho de junio de dos mil veinticinco, el Particular presentó una solicitud de acceso a la información pública, a través del Sistema de Acceso a la Información Mexiquense, en lo sucesivo el SAIMEX, ante el Ayuntamiento de Toluca, mediante la cual requirió lo siguiente:</w:t>
      </w:r>
    </w:p>
    <w:p w14:paraId="1BB135D8" w14:textId="77777777" w:rsidR="00B37168" w:rsidRDefault="00B37168" w:rsidP="00E84BF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786B690C"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4BA9D96F" w14:textId="02ED724C" w:rsidR="00B37168" w:rsidRPr="00CA747C" w:rsidRDefault="00B37168" w:rsidP="00E84BFE">
      <w:pPr>
        <w:spacing w:line="360" w:lineRule="auto"/>
        <w:ind w:left="567" w:right="567"/>
        <w:contextualSpacing/>
        <w:jc w:val="both"/>
        <w:rPr>
          <w:rFonts w:ascii="Palatino Linotype" w:eastAsia="Palatino Linotype" w:hAnsi="Palatino Linotype" w:cs="Palatino Linotype"/>
          <w:i/>
        </w:rPr>
      </w:pPr>
      <w:r w:rsidRPr="00B37168">
        <w:rPr>
          <w:rFonts w:ascii="Palatino Linotype" w:eastAsia="Palatino Linotype" w:hAnsi="Palatino Linotype" w:cs="Palatino Linotype"/>
          <w:i/>
        </w:rPr>
        <w:t>De los comité transitorios y permanentes, actas de aprobación de cabildo, actas de instalación de los cómites y cada una de las actas de las sesiones de cada comité 2025</w:t>
      </w:r>
      <w:r>
        <w:rPr>
          <w:rFonts w:ascii="Palatino Linotype" w:eastAsia="Palatino Linotype" w:hAnsi="Palatino Linotype" w:cs="Palatino Linotype"/>
          <w:i/>
        </w:rPr>
        <w:t>.” (Sic).</w:t>
      </w:r>
    </w:p>
    <w:p w14:paraId="4E075CB4" w14:textId="77777777" w:rsidR="00B37168" w:rsidRDefault="00B37168" w:rsidP="00E84BF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C99A8C4" w14:textId="77777777" w:rsidR="00FC4808" w:rsidRDefault="00FC4808" w:rsidP="00E84BF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077D433B" w14:textId="77777777" w:rsidR="00FC4808" w:rsidRDefault="00FC4808" w:rsidP="00E84BF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0B7C3604"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Modalidad de Entrega: </w:t>
      </w:r>
      <w:r>
        <w:rPr>
          <w:rFonts w:ascii="Palatino Linotype" w:eastAsia="Palatino Linotype" w:hAnsi="Palatino Linotype" w:cs="Palatino Linotype"/>
          <w:i/>
        </w:rPr>
        <w:t>A través de SAIMEX.</w:t>
      </w:r>
    </w:p>
    <w:p w14:paraId="3730FC03" w14:textId="77777777" w:rsidR="00B37168" w:rsidRDefault="00B37168" w:rsidP="00E84BFE">
      <w:pPr>
        <w:spacing w:line="360" w:lineRule="auto"/>
        <w:contextualSpacing/>
      </w:pPr>
    </w:p>
    <w:p w14:paraId="6D40E0A5" w14:textId="77777777" w:rsidR="00B37168" w:rsidRPr="00633419" w:rsidRDefault="00B37168" w:rsidP="00E84BFE">
      <w:pPr>
        <w:pStyle w:val="Ttulo2"/>
        <w:spacing w:line="360" w:lineRule="auto"/>
        <w:contextualSpacing/>
        <w:rPr>
          <w:rFonts w:ascii="Palatino Linotype" w:eastAsia="Palatino Linotype" w:hAnsi="Palatino Linotype"/>
          <w:b/>
          <w:bCs/>
          <w:color w:val="auto"/>
          <w:sz w:val="22"/>
          <w:szCs w:val="22"/>
        </w:rPr>
      </w:pPr>
      <w:bookmarkStart w:id="5" w:name="_heading=h.270ugglvhyo" w:colFirst="0" w:colLast="0"/>
      <w:bookmarkStart w:id="6" w:name="_Toc215679567"/>
      <w:bookmarkEnd w:id="5"/>
      <w:r w:rsidRPr="00633419">
        <w:rPr>
          <w:rFonts w:ascii="Palatino Linotype" w:eastAsia="Palatino Linotype" w:hAnsi="Palatino Linotype"/>
          <w:b/>
          <w:bCs/>
          <w:color w:val="auto"/>
          <w:sz w:val="22"/>
          <w:szCs w:val="22"/>
        </w:rPr>
        <w:t>II. Respuesta del Sujeto Obligado</w:t>
      </w:r>
      <w:bookmarkEnd w:id="6"/>
    </w:p>
    <w:p w14:paraId="6CF706CF" w14:textId="77777777" w:rsidR="00B37168" w:rsidRDefault="00B37168" w:rsidP="00E84BFE">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BCD308E" w14:textId="49C3B07C" w:rsidR="00B37168" w:rsidRDefault="00B37168" w:rsidP="00E84BF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nueve de julio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69CC8D14" w14:textId="77777777" w:rsidR="00B37168" w:rsidRDefault="00B37168" w:rsidP="00E84BFE">
      <w:pPr>
        <w:tabs>
          <w:tab w:val="left" w:pos="4667"/>
        </w:tabs>
        <w:spacing w:line="360" w:lineRule="auto"/>
        <w:contextualSpacing/>
        <w:jc w:val="both"/>
        <w:rPr>
          <w:rFonts w:ascii="Palatino Linotype" w:eastAsia="Palatino Linotype" w:hAnsi="Palatino Linotype" w:cs="Palatino Linotype"/>
          <w:sz w:val="22"/>
          <w:szCs w:val="22"/>
        </w:rPr>
      </w:pPr>
    </w:p>
    <w:p w14:paraId="674D1BC5" w14:textId="73566122" w:rsidR="00B37168" w:rsidRDefault="00B37168" w:rsidP="00E84BF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sin número, de fecha de su presentación, suscrito por </w:t>
      </w:r>
      <w:r w:rsidRPr="00CA747C">
        <w:rPr>
          <w:rFonts w:ascii="Palatino Linotype" w:eastAsia="Palatino Linotype" w:hAnsi="Palatino Linotype" w:cs="Palatino Linotype"/>
          <w:sz w:val="22"/>
          <w:szCs w:val="22"/>
        </w:rPr>
        <w:t>el Titular de la Unidad de Transparencia</w:t>
      </w:r>
      <w:r>
        <w:rPr>
          <w:rFonts w:ascii="Palatino Linotype" w:eastAsia="Palatino Linotype" w:hAnsi="Palatino Linotype" w:cs="Palatino Linotype"/>
          <w:sz w:val="22"/>
          <w:szCs w:val="22"/>
        </w:rPr>
        <w:t xml:space="preserve">, dirigido al Solicitante, a través del cual manifiesta y expone esencialmente </w:t>
      </w:r>
      <w:r w:rsidRPr="00CA747C">
        <w:rPr>
          <w:rFonts w:ascii="Palatino Linotype" w:eastAsia="Palatino Linotype" w:hAnsi="Palatino Linotype" w:cs="Palatino Linotype"/>
          <w:sz w:val="22"/>
          <w:szCs w:val="22"/>
        </w:rPr>
        <w:t>lo siguiente:</w:t>
      </w:r>
    </w:p>
    <w:p w14:paraId="142F36CD" w14:textId="77777777" w:rsidR="00B37168" w:rsidRDefault="00B37168" w:rsidP="00E84BFE">
      <w:pPr>
        <w:tabs>
          <w:tab w:val="left" w:pos="4667"/>
        </w:tabs>
        <w:spacing w:line="360" w:lineRule="auto"/>
        <w:contextualSpacing/>
        <w:jc w:val="both"/>
        <w:rPr>
          <w:rFonts w:ascii="Palatino Linotype" w:eastAsia="Palatino Linotype" w:hAnsi="Palatino Linotype" w:cs="Palatino Linotype"/>
          <w:sz w:val="22"/>
          <w:szCs w:val="22"/>
        </w:rPr>
      </w:pPr>
    </w:p>
    <w:p w14:paraId="72560EF7" w14:textId="77777777" w:rsidR="00B37168" w:rsidRPr="00CA747C"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3DE622CD" w14:textId="092B8A4D"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…h</w:t>
      </w:r>
      <w:r w:rsidRPr="00B37168">
        <w:rPr>
          <w:rFonts w:ascii="Palatino Linotype" w:eastAsia="Palatino Linotype" w:hAnsi="Palatino Linotype" w:cs="Palatino Linotype"/>
          <w:i/>
          <w:iCs/>
        </w:rPr>
        <w:t xml:space="preserve">ago de su conocimiento que la </w:t>
      </w:r>
      <w:r w:rsidRPr="00B37168">
        <w:rPr>
          <w:rFonts w:ascii="Palatino Linotype" w:eastAsia="Palatino Linotype" w:hAnsi="Palatino Linotype" w:cs="Palatino Linotype"/>
          <w:b/>
          <w:bCs/>
          <w:i/>
          <w:iCs/>
        </w:rPr>
        <w:t>Unidad de Información, Planeación, Programación y Evaluación y Servidor Público Habilitado</w:t>
      </w:r>
      <w:r w:rsidRPr="00B37168">
        <w:rPr>
          <w:rFonts w:ascii="Palatino Linotype" w:eastAsia="Palatino Linotype" w:hAnsi="Palatino Linotype" w:cs="Palatino Linotype"/>
          <w:i/>
          <w:iCs/>
        </w:rPr>
        <w:t>, informó que se le proporcionan los siguientes archivos con los que cuenta esta Unidad administrativa, consistentes en: Actas de las sesiones del COPLADEMUN de 2025, en formato PDF y donde podrá encontrar la información solicitada</w:t>
      </w:r>
      <w:r w:rsidRPr="00CA747C">
        <w:rPr>
          <w:rFonts w:ascii="Palatino Linotype" w:eastAsia="Palatino Linotype" w:hAnsi="Palatino Linotype" w:cs="Palatino Linotype"/>
          <w:i/>
          <w:iCs/>
        </w:rPr>
        <w:t>.</w:t>
      </w:r>
    </w:p>
    <w:p w14:paraId="59145B92"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p>
    <w:p w14:paraId="7CDFFF68" w14:textId="56CD0BE3"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B37168">
        <w:rPr>
          <w:rFonts w:ascii="Palatino Linotype" w:eastAsia="Palatino Linotype" w:hAnsi="Palatino Linotype" w:cs="Palatino Linotype"/>
          <w:i/>
          <w:iCs/>
        </w:rPr>
        <w:t xml:space="preserve">Por parte de la </w:t>
      </w:r>
      <w:r w:rsidRPr="00B37168">
        <w:rPr>
          <w:rFonts w:ascii="Palatino Linotype" w:eastAsia="Palatino Linotype" w:hAnsi="Palatino Linotype" w:cs="Palatino Linotype"/>
          <w:b/>
          <w:bCs/>
          <w:i/>
          <w:iCs/>
        </w:rPr>
        <w:t>Consejería Jurídica y Servidor Público Habilitado</w:t>
      </w:r>
      <w:r w:rsidRPr="00B37168">
        <w:rPr>
          <w:rFonts w:ascii="Palatino Linotype" w:eastAsia="Palatino Linotype" w:hAnsi="Palatino Linotype" w:cs="Palatino Linotype"/>
          <w:i/>
          <w:iCs/>
        </w:rPr>
        <w:t>, informó que la Consejería Jurídica no preside ningún Comité o Comisión edilicia, por lo tanto, queda imposibilitado en remitir alguna documentación de lo solicitado.</w:t>
      </w:r>
    </w:p>
    <w:p w14:paraId="3160AAAF"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p>
    <w:p w14:paraId="17D2D1D3"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B37168">
        <w:rPr>
          <w:rFonts w:ascii="Palatino Linotype" w:eastAsia="Palatino Linotype" w:hAnsi="Palatino Linotype" w:cs="Palatino Linotype"/>
          <w:i/>
          <w:iCs/>
        </w:rPr>
        <w:t xml:space="preserve">Por parte de la </w:t>
      </w:r>
      <w:r w:rsidRPr="00B37168">
        <w:rPr>
          <w:rFonts w:ascii="Palatino Linotype" w:eastAsia="Palatino Linotype" w:hAnsi="Palatino Linotype" w:cs="Palatino Linotype"/>
          <w:b/>
          <w:bCs/>
          <w:i/>
          <w:iCs/>
        </w:rPr>
        <w:t>Primera Regiduría y Servidor Público Habilitado</w:t>
      </w:r>
      <w:r w:rsidRPr="00B37168">
        <w:rPr>
          <w:rFonts w:ascii="Palatino Linotype" w:eastAsia="Palatino Linotype" w:hAnsi="Palatino Linotype" w:cs="Palatino Linotype"/>
          <w:i/>
          <w:iCs/>
        </w:rPr>
        <w:t xml:space="preserve">, informó que este sujeto obligado no preside algún Comité dentro de la Administración Pública Municipal. </w:t>
      </w:r>
    </w:p>
    <w:p w14:paraId="5A1B9944"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p>
    <w:p w14:paraId="466DE4C1" w14:textId="0DC8596E"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B37168">
        <w:rPr>
          <w:rFonts w:ascii="Palatino Linotype" w:eastAsia="Palatino Linotype" w:hAnsi="Palatino Linotype" w:cs="Palatino Linotype"/>
          <w:i/>
          <w:iCs/>
        </w:rPr>
        <w:t>Por parte de la</w:t>
      </w:r>
      <w:r w:rsidRPr="00B37168">
        <w:rPr>
          <w:rFonts w:ascii="Palatino Linotype" w:eastAsia="Palatino Linotype" w:hAnsi="Palatino Linotype" w:cs="Palatino Linotype"/>
          <w:b/>
          <w:bCs/>
          <w:i/>
          <w:iCs/>
        </w:rPr>
        <w:t xml:space="preserve"> Octava Regiduría y Servidora Pública Habilitada</w:t>
      </w:r>
      <w:r w:rsidRPr="00B37168">
        <w:rPr>
          <w:rFonts w:ascii="Palatino Linotype" w:eastAsia="Palatino Linotype" w:hAnsi="Palatino Linotype" w:cs="Palatino Linotype"/>
          <w:i/>
          <w:iCs/>
        </w:rPr>
        <w:t xml:space="preserve">, informó que después de realizar una búsqueda exhaustiva y razonable en los archivos que obran en la regiduría, se adjuntan las actas de las comisiones que preside la octava Regiduría. </w:t>
      </w:r>
    </w:p>
    <w:p w14:paraId="380F621B"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p>
    <w:p w14:paraId="263D366B"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B37168">
        <w:rPr>
          <w:rFonts w:ascii="Palatino Linotype" w:eastAsia="Palatino Linotype" w:hAnsi="Palatino Linotype" w:cs="Palatino Linotype"/>
          <w:i/>
          <w:iCs/>
        </w:rPr>
        <w:t xml:space="preserve">Por lo que respecta de la </w:t>
      </w:r>
      <w:r w:rsidRPr="00B37168">
        <w:rPr>
          <w:rFonts w:ascii="Palatino Linotype" w:eastAsia="Palatino Linotype" w:hAnsi="Palatino Linotype" w:cs="Palatino Linotype"/>
          <w:b/>
          <w:bCs/>
          <w:i/>
          <w:iCs/>
        </w:rPr>
        <w:t>Décima Primera Regiduría y Servidor Público Habilitado</w:t>
      </w:r>
      <w:r w:rsidRPr="00B37168">
        <w:rPr>
          <w:rFonts w:ascii="Palatino Linotype" w:eastAsia="Palatino Linotype" w:hAnsi="Palatino Linotype" w:cs="Palatino Linotype"/>
          <w:i/>
          <w:iCs/>
        </w:rPr>
        <w:t xml:space="preserve">, informó que después de realizar una búsqueda exhaustiva y razonable en los archivos que obran en la regiduría, se adjuntan las actas de las comisiones que preside la octava Regiduría. </w:t>
      </w:r>
    </w:p>
    <w:p w14:paraId="3BC13E96" w14:textId="77777777" w:rsidR="00B37168"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p>
    <w:p w14:paraId="3DEF9086" w14:textId="155D6A3C" w:rsidR="00B37168" w:rsidRPr="00CA747C"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B37168">
        <w:rPr>
          <w:rFonts w:ascii="Palatino Linotype" w:eastAsia="Palatino Linotype" w:hAnsi="Palatino Linotype" w:cs="Palatino Linotype"/>
          <w:i/>
          <w:iCs/>
        </w:rPr>
        <w:t xml:space="preserve">Así mismo la </w:t>
      </w:r>
      <w:r w:rsidRPr="00B37168">
        <w:rPr>
          <w:rFonts w:ascii="Palatino Linotype" w:eastAsia="Palatino Linotype" w:hAnsi="Palatino Linotype" w:cs="Palatino Linotype"/>
          <w:b/>
          <w:bCs/>
          <w:i/>
          <w:iCs/>
        </w:rPr>
        <w:t>Secretaría del Ayuntamiento y Servidor Público Habilitado</w:t>
      </w:r>
      <w:r w:rsidRPr="00B37168">
        <w:rPr>
          <w:rFonts w:ascii="Palatino Linotype" w:eastAsia="Palatino Linotype" w:hAnsi="Palatino Linotype" w:cs="Palatino Linotype"/>
          <w:i/>
          <w:iCs/>
        </w:rPr>
        <w:t>,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w:t>
      </w:r>
    </w:p>
    <w:p w14:paraId="40D1FAB3" w14:textId="77777777" w:rsidR="00B37168" w:rsidRPr="00CA747C" w:rsidRDefault="00B37168" w:rsidP="00E84BF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528B71E7" w14:textId="77777777" w:rsidR="00B37168" w:rsidRPr="00CA747C" w:rsidRDefault="00B37168" w:rsidP="00E84BFE">
      <w:pPr>
        <w:tabs>
          <w:tab w:val="left" w:pos="4667"/>
        </w:tabs>
        <w:spacing w:line="360" w:lineRule="auto"/>
        <w:contextualSpacing/>
        <w:jc w:val="both"/>
        <w:rPr>
          <w:rFonts w:ascii="Palatino Linotype" w:eastAsia="Palatino Linotype" w:hAnsi="Palatino Linotype" w:cs="Palatino Linotype"/>
          <w:sz w:val="22"/>
          <w:szCs w:val="22"/>
        </w:rPr>
      </w:pPr>
    </w:p>
    <w:p w14:paraId="1FBE6DB5" w14:textId="74A4D1E1" w:rsidR="00D41EFA" w:rsidRDefault="00D41EFA" w:rsidP="00E84BF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El Sujeto Obligado a través de diversos integrantes de cabildo, direcciones generales, así como por distintas unidades administrativas remitieron las actas de instalación y de sesiones de los comités en los que participan para el ejercicio fiscal dos mil veinticinco. </w:t>
      </w:r>
    </w:p>
    <w:p w14:paraId="5021E7E5" w14:textId="4393FF85" w:rsidR="007E1F22" w:rsidRPr="00AB032E" w:rsidRDefault="00D41EFA" w:rsidP="00E84BFE">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1EA0931" w14:textId="77777777" w:rsidR="00B37168" w:rsidRPr="00633419" w:rsidRDefault="00B37168" w:rsidP="00E84BFE">
      <w:pPr>
        <w:pStyle w:val="Ttulo2"/>
        <w:spacing w:line="360" w:lineRule="auto"/>
        <w:contextualSpacing/>
        <w:rPr>
          <w:rFonts w:ascii="Palatino Linotype" w:hAnsi="Palatino Linotype"/>
          <w:b/>
          <w:bCs/>
          <w:color w:val="auto"/>
          <w:sz w:val="22"/>
          <w:szCs w:val="22"/>
        </w:rPr>
      </w:pPr>
      <w:bookmarkStart w:id="7" w:name="_Toc215679568"/>
      <w:r w:rsidRPr="00633419">
        <w:rPr>
          <w:rFonts w:ascii="Palatino Linotype" w:hAnsi="Palatino Linotype"/>
          <w:b/>
          <w:bCs/>
          <w:color w:val="auto"/>
          <w:sz w:val="22"/>
          <w:szCs w:val="22"/>
        </w:rPr>
        <w:t>III. Interposición del Recurso de Revisión</w:t>
      </w:r>
      <w:bookmarkEnd w:id="7"/>
    </w:p>
    <w:p w14:paraId="5A6F5538"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7C253CED" w14:textId="1D6D1ED9"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5B3F05">
        <w:rPr>
          <w:rFonts w:ascii="Palatino Linotype" w:eastAsia="Palatino Linotype" w:hAnsi="Palatino Linotype" w:cs="Palatino Linotype"/>
          <w:sz w:val="22"/>
          <w:szCs w:val="22"/>
        </w:rPr>
        <w:t>cuatro de agosto</w:t>
      </w:r>
      <w:r w:rsidR="00D41EF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Toluca, </w:t>
      </w:r>
      <w:r w:rsidR="005B3F05">
        <w:rPr>
          <w:rFonts w:ascii="Palatino Linotype" w:eastAsia="Palatino Linotype" w:hAnsi="Palatino Linotype" w:cs="Palatino Linotype"/>
          <w:b/>
          <w:bCs/>
          <w:sz w:val="22"/>
          <w:szCs w:val="22"/>
        </w:rPr>
        <w:t>ya que</w:t>
      </w:r>
      <w:r w:rsidR="00D41EFA">
        <w:rPr>
          <w:rFonts w:ascii="Palatino Linotype" w:eastAsia="Palatino Linotype" w:hAnsi="Palatino Linotype" w:cs="Palatino Linotype"/>
          <w:b/>
          <w:bCs/>
          <w:sz w:val="22"/>
          <w:szCs w:val="22"/>
        </w:rPr>
        <w:t>,</w:t>
      </w:r>
      <w:r w:rsidR="005B3F05">
        <w:rPr>
          <w:rFonts w:ascii="Palatino Linotype" w:eastAsia="Palatino Linotype" w:hAnsi="Palatino Linotype" w:cs="Palatino Linotype"/>
          <w:b/>
          <w:bCs/>
          <w:sz w:val="22"/>
          <w:szCs w:val="22"/>
        </w:rPr>
        <w:t xml:space="preserve"> si bien se tuvo por recibido el veintidós de julio de la presente anualidad, lo cierto es que fue inhábil por lo que se tuvo por presentado el día hábil subsecuente, </w:t>
      </w:r>
      <w:r>
        <w:rPr>
          <w:rFonts w:ascii="Palatino Linotype" w:eastAsia="Palatino Linotype" w:hAnsi="Palatino Linotype" w:cs="Palatino Linotype"/>
          <w:sz w:val="22"/>
          <w:szCs w:val="22"/>
        </w:rPr>
        <w:t>en los siguientes términos:</w:t>
      </w:r>
    </w:p>
    <w:p w14:paraId="3B9F4C67"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6942F271" w14:textId="77777777" w:rsidR="00B37168" w:rsidRDefault="00B37168" w:rsidP="00E84BF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485BCFE3" w14:textId="361EEF38" w:rsidR="00B37168" w:rsidRDefault="00B37168" w:rsidP="00E84BF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5B3F05" w:rsidRPr="005B3F05">
        <w:rPr>
          <w:rFonts w:ascii="Palatino Linotype" w:eastAsia="Palatino Linotype" w:hAnsi="Palatino Linotype" w:cs="Palatino Linotype"/>
          <w:i/>
        </w:rPr>
        <w:t>La respuesta la información está incompleta no atiende mi solicitud de acuerdo a lo solicitado</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05431474" w14:textId="77777777" w:rsidR="00B37168" w:rsidRDefault="00B37168" w:rsidP="00E84BF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79746993" w14:textId="77777777" w:rsidR="00B37168" w:rsidRDefault="00B37168" w:rsidP="00E84BFE">
      <w:pPr>
        <w:spacing w:line="360" w:lineRule="auto"/>
        <w:ind w:left="567" w:right="567"/>
        <w:contextualSpacing/>
        <w:jc w:val="both"/>
        <w:rPr>
          <w:rFonts w:ascii="Palatino Linotype" w:eastAsia="Palatino Linotype" w:hAnsi="Palatino Linotype" w:cs="Palatino Linotype"/>
          <w:i/>
        </w:rPr>
      </w:pPr>
    </w:p>
    <w:p w14:paraId="02031887" w14:textId="77777777" w:rsidR="00B37168" w:rsidRDefault="00B37168" w:rsidP="00E84BFE">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4BD0AAB7" w14:textId="7C008A35" w:rsidR="00B37168" w:rsidRDefault="00B37168" w:rsidP="00E84BF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5B3F05" w:rsidRPr="005B3F05">
        <w:rPr>
          <w:rFonts w:ascii="Palatino Linotype" w:eastAsia="Palatino Linotype" w:hAnsi="Palatino Linotype" w:cs="Palatino Linotype"/>
          <w:i/>
          <w:color w:val="000000"/>
        </w:rPr>
        <w:t>La respuesta la información está incompleta no atiende mi solicitud de acuerdo a lo solicitado</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1F3206C0" w14:textId="77777777" w:rsidR="00B37168" w:rsidRDefault="00B37168" w:rsidP="00E84BF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5D39BD2E" w14:textId="77777777" w:rsidR="00B37168" w:rsidRDefault="00B37168" w:rsidP="00E84BFE">
      <w:pPr>
        <w:spacing w:line="360" w:lineRule="auto"/>
        <w:ind w:left="567" w:right="567"/>
        <w:contextualSpacing/>
        <w:jc w:val="both"/>
        <w:rPr>
          <w:rFonts w:ascii="Palatino Linotype" w:eastAsia="Palatino Linotype" w:hAnsi="Palatino Linotype" w:cs="Palatino Linotype"/>
          <w:i/>
        </w:rPr>
      </w:pPr>
    </w:p>
    <w:p w14:paraId="0B1B67DA" w14:textId="77777777" w:rsidR="00B37168" w:rsidRPr="00633419" w:rsidRDefault="00B37168" w:rsidP="00E84BFE">
      <w:pPr>
        <w:pStyle w:val="Ttulo2"/>
        <w:spacing w:line="360" w:lineRule="auto"/>
        <w:contextualSpacing/>
        <w:rPr>
          <w:rFonts w:ascii="Palatino Linotype" w:hAnsi="Palatino Linotype"/>
          <w:b/>
          <w:bCs/>
          <w:color w:val="auto"/>
          <w:sz w:val="22"/>
          <w:szCs w:val="22"/>
        </w:rPr>
      </w:pPr>
      <w:bookmarkStart w:id="8" w:name="_Toc215679569"/>
      <w:r w:rsidRPr="00633419">
        <w:rPr>
          <w:rFonts w:ascii="Palatino Linotype" w:hAnsi="Palatino Linotype"/>
          <w:b/>
          <w:bCs/>
          <w:color w:val="auto"/>
          <w:sz w:val="22"/>
          <w:szCs w:val="22"/>
        </w:rPr>
        <w:t>IV. Trámite del Recurso de Revisión ante este Instituto</w:t>
      </w:r>
      <w:bookmarkEnd w:id="8"/>
    </w:p>
    <w:p w14:paraId="356BDD61"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06189B26" w14:textId="52833036"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El veinti</w:t>
      </w:r>
      <w:r w:rsidR="005B3F05">
        <w:rPr>
          <w:rFonts w:ascii="Palatino Linotype" w:eastAsia="Palatino Linotype" w:hAnsi="Palatino Linotype" w:cs="Palatino Linotype"/>
          <w:sz w:val="22"/>
          <w:szCs w:val="22"/>
        </w:rPr>
        <w:t>dós</w:t>
      </w:r>
      <w:r>
        <w:rPr>
          <w:rFonts w:ascii="Palatino Linotype" w:eastAsia="Palatino Linotype" w:hAnsi="Palatino Linotype" w:cs="Palatino Linotype"/>
          <w:sz w:val="22"/>
          <w:szCs w:val="22"/>
        </w:rPr>
        <w:t xml:space="preserve"> de </w:t>
      </w:r>
      <w:r w:rsidR="005B3F05">
        <w:rPr>
          <w:rFonts w:ascii="Palatino Linotype" w:eastAsia="Palatino Linotype" w:hAnsi="Palatino Linotype" w:cs="Palatino Linotype"/>
          <w:sz w:val="22"/>
          <w:szCs w:val="22"/>
        </w:rPr>
        <w:t xml:space="preserve">julio </w:t>
      </w:r>
      <w:r>
        <w:rPr>
          <w:rFonts w:ascii="Palatino Linotype" w:eastAsia="Palatino Linotype" w:hAnsi="Palatino Linotype" w:cs="Palatino Linotype"/>
          <w:sz w:val="22"/>
          <w:szCs w:val="22"/>
        </w:rPr>
        <w:t xml:space="preserve">de dos mil veinticinco, el SAIMEX, asignó el número de expediente </w:t>
      </w:r>
      <w:r>
        <w:rPr>
          <w:rFonts w:ascii="Palatino Linotype" w:eastAsia="Palatino Linotype" w:hAnsi="Palatino Linotype" w:cs="Palatino Linotype"/>
          <w:b/>
          <w:sz w:val="22"/>
          <w:szCs w:val="22"/>
        </w:rPr>
        <w:t>0</w:t>
      </w:r>
      <w:r w:rsidR="005B3F05">
        <w:rPr>
          <w:rFonts w:ascii="Palatino Linotype" w:eastAsia="Palatino Linotype" w:hAnsi="Palatino Linotype" w:cs="Palatino Linotype"/>
          <w:b/>
          <w:sz w:val="22"/>
          <w:szCs w:val="22"/>
        </w:rPr>
        <w:t>9001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904AA29"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4300F14A" w14:textId="50EBBA9C"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5B3F05">
        <w:rPr>
          <w:rFonts w:ascii="Palatino Linotype" w:eastAsia="Palatino Linotype" w:hAnsi="Palatino Linotype" w:cs="Palatino Linotype"/>
          <w:sz w:val="22"/>
          <w:szCs w:val="22"/>
        </w:rPr>
        <w:t xml:space="preserve">siete de agosto </w:t>
      </w:r>
      <w:r>
        <w:rPr>
          <w:rFonts w:ascii="Palatino Linotype" w:eastAsia="Palatino Linotype" w:hAnsi="Palatino Linotype" w:cs="Palatino Linotype"/>
          <w:sz w:val="22"/>
          <w:szCs w:val="22"/>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16356A3E"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1A399582" w14:textId="12BD1B16"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5B3F05">
        <w:rPr>
          <w:rFonts w:ascii="Palatino Linotype" w:eastAsia="Palatino Linotype" w:hAnsi="Palatino Linotype" w:cs="Palatino Linotype"/>
          <w:sz w:val="22"/>
          <w:szCs w:val="22"/>
        </w:rPr>
        <w:t xml:space="preserve">trece, dieciocho y veintiuno de agosto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w:t>
      </w:r>
      <w:r w:rsidR="005B3F05">
        <w:rPr>
          <w:rFonts w:ascii="Palatino Linotype" w:eastAsia="Palatino Linotype" w:hAnsi="Palatino Linotype" w:cs="Palatino Linotype"/>
          <w:sz w:val="22"/>
          <w:szCs w:val="22"/>
        </w:rPr>
        <w:t xml:space="preserve"> los documentos siguientes:</w:t>
      </w:r>
    </w:p>
    <w:p w14:paraId="6630D164" w14:textId="7B8F0C05" w:rsidR="003B6A70" w:rsidRDefault="003B6A70" w:rsidP="00E84BFE">
      <w:pPr>
        <w:spacing w:line="360" w:lineRule="auto"/>
        <w:contextualSpacing/>
        <w:jc w:val="both"/>
        <w:rPr>
          <w:rFonts w:ascii="Palatino Linotype" w:eastAsia="Palatino Linotype" w:hAnsi="Palatino Linotype" w:cs="Palatino Linotype"/>
          <w:sz w:val="22"/>
          <w:szCs w:val="22"/>
        </w:rPr>
      </w:pPr>
    </w:p>
    <w:p w14:paraId="5B8D6AC6" w14:textId="77777777" w:rsidR="00FF3674" w:rsidRDefault="00FF3674" w:rsidP="00E84BFE">
      <w:pPr>
        <w:spacing w:line="360" w:lineRule="auto"/>
        <w:contextualSpacing/>
        <w:jc w:val="both"/>
        <w:rPr>
          <w:rFonts w:ascii="Palatino Linotype" w:eastAsia="Palatino Linotype" w:hAnsi="Palatino Linotype" w:cs="Palatino Linotype"/>
          <w:sz w:val="22"/>
          <w:szCs w:val="22"/>
        </w:rPr>
      </w:pPr>
    </w:p>
    <w:p w14:paraId="287CA40D" w14:textId="4AC30238" w:rsidR="00FF3674" w:rsidRDefault="00FF3674"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w:t>
      </w:r>
      <w:r w:rsidR="00A3616C">
        <w:rPr>
          <w:rFonts w:ascii="Palatino Linotype" w:eastAsia="Palatino Linotype" w:hAnsi="Palatino Linotype" w:cs="Palatino Linotype"/>
          <w:sz w:val="22"/>
          <w:szCs w:val="22"/>
        </w:rPr>
        <w:t>Oficio sin número de fecha de su presentación, suscrito por el Titular de la Unidad de Transparencia, dirigido al Comisionado Ponente, a través del cual manifiesta que las sindicaturas, regidurías, direcciones generales y unidades administrativas, ratifican sus respuestas iniciales.</w:t>
      </w:r>
    </w:p>
    <w:p w14:paraId="01D30389" w14:textId="77777777" w:rsidR="00A3616C" w:rsidRDefault="00A3616C" w:rsidP="00E84BFE">
      <w:pPr>
        <w:spacing w:line="360" w:lineRule="auto"/>
        <w:contextualSpacing/>
        <w:jc w:val="both"/>
        <w:rPr>
          <w:rFonts w:ascii="Palatino Linotype" w:eastAsia="Palatino Linotype" w:hAnsi="Palatino Linotype" w:cs="Palatino Linotype"/>
          <w:sz w:val="22"/>
          <w:szCs w:val="22"/>
        </w:rPr>
      </w:pPr>
    </w:p>
    <w:p w14:paraId="76F4799D" w14:textId="418429F2" w:rsidR="003B6A70" w:rsidRDefault="00A3616C"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El Sujeto Obligado proporcionó diversos oficios suscritos por diversas áreas del </w:t>
      </w:r>
      <w:r w:rsidR="00FC4808">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yuntamiento a través de los cuales esencialmente ratifican su respuesta inicial.</w:t>
      </w:r>
    </w:p>
    <w:p w14:paraId="408E6C63" w14:textId="77777777" w:rsidR="00D41EFA" w:rsidRDefault="00D41EFA" w:rsidP="00E84BFE">
      <w:pPr>
        <w:spacing w:line="360" w:lineRule="auto"/>
        <w:contextualSpacing/>
        <w:jc w:val="both"/>
        <w:rPr>
          <w:rFonts w:ascii="Palatino Linotype" w:eastAsia="Palatino Linotype" w:hAnsi="Palatino Linotype" w:cs="Palatino Linotype"/>
          <w:sz w:val="22"/>
          <w:szCs w:val="22"/>
        </w:rPr>
      </w:pPr>
    </w:p>
    <w:p w14:paraId="2E294C8F" w14:textId="7B5B4FD1" w:rsidR="00B37168" w:rsidRDefault="00D41EFA"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w:t>
      </w:r>
      <w:r w:rsidRPr="003B6A70">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El Sujeto Obligado proporcionó diversos oficios suscritos por diversas áreas del </w:t>
      </w:r>
      <w:r w:rsidR="00FC4808">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yuntamiento a través de los cuales esencialmente ratifican su respuesta inicial.</w:t>
      </w:r>
    </w:p>
    <w:p w14:paraId="6FCD02DE" w14:textId="77777777" w:rsidR="00D41EFA" w:rsidRPr="00D41EFA" w:rsidRDefault="00D41EFA" w:rsidP="00E84BFE">
      <w:pPr>
        <w:spacing w:line="360" w:lineRule="auto"/>
        <w:contextualSpacing/>
        <w:jc w:val="both"/>
        <w:rPr>
          <w:rFonts w:ascii="Palatino Linotype" w:eastAsia="Palatino Linotype" w:hAnsi="Palatino Linotype" w:cs="Palatino Linotype"/>
          <w:sz w:val="22"/>
          <w:szCs w:val="22"/>
        </w:rPr>
      </w:pPr>
    </w:p>
    <w:p w14:paraId="016AC380" w14:textId="79847F9F" w:rsidR="00B37168" w:rsidRDefault="00B37168" w:rsidP="00E84BF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5B3F05">
        <w:rPr>
          <w:rFonts w:ascii="Palatino Linotype" w:eastAsia="Palatino Linotype" w:hAnsi="Palatino Linotype" w:cs="Palatino Linotype"/>
          <w:sz w:val="22"/>
          <w:szCs w:val="22"/>
        </w:rPr>
        <w:t xml:space="preserve">cinco de noviembre </w:t>
      </w:r>
      <w:r>
        <w:rPr>
          <w:rFonts w:ascii="Palatino Linotype" w:eastAsia="Palatino Linotype" w:hAnsi="Palatino Linotype" w:cs="Palatino Linotype"/>
          <w:sz w:val="22"/>
          <w:szCs w:val="22"/>
        </w:rPr>
        <w:t xml:space="preserve">de dos mil veinticinco, se dictó acuerdo mediante el cual se puso a la vista del Particular, el Informe Justificado entregado por el Sujeto Obligado, el cual fue notificado, a través del SAIMEX, el mismo día. </w:t>
      </w:r>
    </w:p>
    <w:p w14:paraId="77DAA5CB"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1A17419A" w14:textId="3E20C0A1" w:rsidR="00B37168" w:rsidRDefault="00B37168" w:rsidP="00E84BFE">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once de </w:t>
      </w:r>
      <w:r w:rsidR="00D41EFA">
        <w:rPr>
          <w:rFonts w:ascii="Palatino Linotype" w:eastAsia="Palatino Linotype" w:hAnsi="Palatino Linotype" w:cs="Palatino Linotype"/>
          <w:sz w:val="22"/>
          <w:szCs w:val="22"/>
        </w:rPr>
        <w:t>noviembre</w:t>
      </w:r>
      <w:r>
        <w:rPr>
          <w:rFonts w:ascii="Palatino Linotype" w:eastAsia="Palatino Linotype" w:hAnsi="Palatino Linotype" w:cs="Palatino Linotype"/>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93C82B2"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716EA0A8" w14:textId="12FCD13F" w:rsidR="00B37168" w:rsidRDefault="00B37168" w:rsidP="00E84BF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D41EFA">
        <w:rPr>
          <w:rFonts w:ascii="Palatino Linotype" w:eastAsia="Palatino Linotype" w:hAnsi="Palatino Linotype" w:cs="Palatino Linotype"/>
          <w:sz w:val="22"/>
          <w:szCs w:val="22"/>
        </w:rPr>
        <w:t xml:space="preserve">nueve de diciembre </w:t>
      </w:r>
      <w:r>
        <w:rPr>
          <w:rFonts w:ascii="Palatino Linotype" w:eastAsia="Palatino Linotype" w:hAnsi="Palatino Linotype" w:cs="Palatino Linotype"/>
          <w:sz w:val="22"/>
          <w:szCs w:val="22"/>
        </w:rPr>
        <w:t xml:space="preserve">de dos mil veinticinco, al no existir diligencias pendientes por desahogar, se emitió el acuerdo por medio del cual se declaró cerrada la instrucción y se determinó pasar los expedientes a resolución, en términos de lo </w:t>
      </w:r>
      <w:r>
        <w:rPr>
          <w:rFonts w:ascii="Palatino Linotype" w:eastAsia="Palatino Linotype" w:hAnsi="Palatino Linotype" w:cs="Palatino Linotype"/>
          <w:sz w:val="22"/>
          <w:szCs w:val="22"/>
        </w:rPr>
        <w:lastRenderedPageBreak/>
        <w:t>dispuesto en los artículos 185, fracciones VI y VIII, de la Ley de Transparencia y Acceso a la Información Pública del Estado de México y Municipios, acto que fue notificado a las partes, mediante el SAIMEX, el mismo día.</w:t>
      </w:r>
    </w:p>
    <w:p w14:paraId="3C163D80"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3C4223B4"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0607FD0" w14:textId="77777777" w:rsidR="00B37168" w:rsidRDefault="00B37168" w:rsidP="00E84BFE">
      <w:pPr>
        <w:spacing w:line="360" w:lineRule="auto"/>
        <w:contextualSpacing/>
      </w:pPr>
    </w:p>
    <w:p w14:paraId="21143D15" w14:textId="77777777" w:rsidR="00B37168" w:rsidRDefault="00B37168" w:rsidP="00E84BFE">
      <w:pPr>
        <w:spacing w:line="360" w:lineRule="auto"/>
        <w:contextualSpacing/>
      </w:pPr>
    </w:p>
    <w:p w14:paraId="20782566" w14:textId="77777777" w:rsidR="00B37168" w:rsidRDefault="00B37168" w:rsidP="00E84BF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15679570"/>
      <w:r>
        <w:rPr>
          <w:rFonts w:ascii="Palatino Linotype" w:eastAsia="Palatino Linotype" w:hAnsi="Palatino Linotype" w:cs="Palatino Linotype"/>
          <w:b/>
          <w:color w:val="000000"/>
          <w:sz w:val="22"/>
          <w:szCs w:val="22"/>
        </w:rPr>
        <w:t>C O N S I D E R A N D O S</w:t>
      </w:r>
      <w:bookmarkEnd w:id="10"/>
    </w:p>
    <w:p w14:paraId="3C3F7A92" w14:textId="77777777" w:rsidR="00B37168" w:rsidRDefault="00B37168" w:rsidP="00E84BFE">
      <w:pPr>
        <w:spacing w:line="360" w:lineRule="auto"/>
        <w:contextualSpacing/>
      </w:pPr>
    </w:p>
    <w:p w14:paraId="6A4DF593" w14:textId="77777777" w:rsidR="00B37168" w:rsidRDefault="00B37168" w:rsidP="00E84BFE">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5679571"/>
      <w:r>
        <w:rPr>
          <w:rFonts w:ascii="Palatino Linotype" w:eastAsia="Palatino Linotype" w:hAnsi="Palatino Linotype" w:cs="Palatino Linotype"/>
          <w:b/>
          <w:color w:val="000000"/>
          <w:sz w:val="22"/>
          <w:szCs w:val="22"/>
        </w:rPr>
        <w:t>PRIMERO. Competencia</w:t>
      </w:r>
      <w:bookmarkEnd w:id="11"/>
    </w:p>
    <w:p w14:paraId="4BD2EDA1" w14:textId="77777777" w:rsidR="00B37168" w:rsidRDefault="00B37168" w:rsidP="00E84BFE">
      <w:pPr>
        <w:spacing w:line="360" w:lineRule="auto"/>
        <w:contextualSpacing/>
      </w:pPr>
    </w:p>
    <w:p w14:paraId="75F32289"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2"/>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B80D4F0"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p>
    <w:p w14:paraId="6875B5B4" w14:textId="77777777" w:rsidR="00B37168" w:rsidRDefault="00B37168" w:rsidP="00E84BFE">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5679572"/>
      <w:r>
        <w:rPr>
          <w:rFonts w:ascii="Palatino Linotype" w:eastAsia="Palatino Linotype" w:hAnsi="Palatino Linotype" w:cs="Palatino Linotype"/>
          <w:b/>
          <w:color w:val="000000"/>
          <w:sz w:val="22"/>
          <w:szCs w:val="22"/>
        </w:rPr>
        <w:t>SEGUNDO. Causales de improcedencia y sobreseimiento</w:t>
      </w:r>
      <w:bookmarkEnd w:id="13"/>
    </w:p>
    <w:p w14:paraId="06C8B547"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5CDF1412"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7511E7FA" w14:textId="77777777" w:rsidR="00B37168" w:rsidRDefault="00B37168" w:rsidP="00E84BFE">
      <w:pPr>
        <w:spacing w:line="360" w:lineRule="auto"/>
        <w:contextualSpacing/>
        <w:jc w:val="both"/>
        <w:rPr>
          <w:rFonts w:ascii="Palatino Linotype" w:eastAsia="Palatino Linotype" w:hAnsi="Palatino Linotype" w:cs="Palatino Linotype"/>
          <w:b/>
          <w:color w:val="000000"/>
          <w:sz w:val="22"/>
          <w:szCs w:val="22"/>
        </w:rPr>
      </w:pPr>
    </w:p>
    <w:p w14:paraId="4AFD622C"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75AC11AA"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652EA53C"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85E003"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2FEFBE8A"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B6D79BE"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51E43E0C"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3C2D2BE6"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2BF9F2B8"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2EE1405B"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126EAFCA"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3B5A8BDC"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1BB44899"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51C89B"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5289D6E5" w14:textId="77777777" w:rsidR="00B37168" w:rsidRDefault="00B37168" w:rsidP="00E84BF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0D060150" w14:textId="77777777" w:rsidR="00B37168" w:rsidRDefault="00B37168" w:rsidP="00E84BFE">
      <w:pPr>
        <w:tabs>
          <w:tab w:val="left" w:pos="4962"/>
        </w:tabs>
        <w:spacing w:line="360" w:lineRule="auto"/>
        <w:contextualSpacing/>
        <w:jc w:val="both"/>
        <w:rPr>
          <w:rFonts w:ascii="Palatino Linotype" w:eastAsia="Palatino Linotype" w:hAnsi="Palatino Linotype" w:cs="Palatino Linotype"/>
          <w:sz w:val="22"/>
          <w:szCs w:val="22"/>
        </w:rPr>
      </w:pPr>
    </w:p>
    <w:p w14:paraId="3A6CFFAD" w14:textId="77777777" w:rsidR="00B37168" w:rsidRDefault="00B37168" w:rsidP="00E84BFE">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r>
        <w:rPr>
          <w:rFonts w:ascii="Palatino Linotype" w:eastAsia="Palatino Linotype" w:hAnsi="Palatino Linotype" w:cs="Palatino Linotype"/>
          <w:b/>
          <w:color w:val="000000"/>
          <w:sz w:val="22"/>
          <w:szCs w:val="22"/>
        </w:rPr>
        <w:t>TERCERO. Determinación de la Controversia</w:t>
      </w:r>
      <w:bookmarkEnd w:id="14"/>
    </w:p>
    <w:p w14:paraId="029970BC"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1631B215" w14:textId="4E547660" w:rsidR="003E415D" w:rsidRDefault="003E415D" w:rsidP="00E84BFE">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requirió, respecto de los Comités transitorios y permanentes del primero de enero al dieciocho de junio de dos mil veinticinco, los documentos que dieran cuenta de lo siguiente:</w:t>
      </w:r>
    </w:p>
    <w:p w14:paraId="0B899D68" w14:textId="77777777" w:rsidR="003E415D" w:rsidRDefault="003E415D" w:rsidP="00E84BFE">
      <w:pPr>
        <w:spacing w:line="360" w:lineRule="auto"/>
        <w:contextualSpacing/>
        <w:jc w:val="both"/>
        <w:rPr>
          <w:rFonts w:ascii="Palatino Linotype" w:hAnsi="Palatino Linotype" w:cs="Tahoma"/>
          <w:sz w:val="22"/>
          <w:szCs w:val="22"/>
        </w:rPr>
      </w:pPr>
    </w:p>
    <w:p w14:paraId="3F4285E3" w14:textId="6A3194C3" w:rsidR="0054797A" w:rsidRDefault="0054797A" w:rsidP="00E84BFE">
      <w:pPr>
        <w:pStyle w:val="Prrafodelista"/>
        <w:numPr>
          <w:ilvl w:val="0"/>
          <w:numId w:val="30"/>
        </w:numPr>
        <w:spacing w:line="360" w:lineRule="auto"/>
        <w:jc w:val="both"/>
        <w:rPr>
          <w:rFonts w:ascii="Palatino Linotype" w:hAnsi="Palatino Linotype" w:cs="Tahoma"/>
          <w:sz w:val="22"/>
          <w:szCs w:val="22"/>
        </w:rPr>
      </w:pPr>
      <w:r>
        <w:rPr>
          <w:rFonts w:ascii="Palatino Linotype" w:hAnsi="Palatino Linotype" w:cs="Tahoma"/>
          <w:sz w:val="22"/>
          <w:szCs w:val="22"/>
        </w:rPr>
        <w:t xml:space="preserve">Actas de aprobación por parte del Cabildo; y </w:t>
      </w:r>
    </w:p>
    <w:p w14:paraId="39686716" w14:textId="5569FD9D" w:rsidR="003E415D" w:rsidRDefault="003E415D" w:rsidP="00E84BFE">
      <w:pPr>
        <w:pStyle w:val="Prrafodelista"/>
        <w:numPr>
          <w:ilvl w:val="0"/>
          <w:numId w:val="30"/>
        </w:numPr>
        <w:spacing w:line="360" w:lineRule="auto"/>
        <w:jc w:val="both"/>
        <w:rPr>
          <w:rFonts w:ascii="Palatino Linotype" w:hAnsi="Palatino Linotype" w:cs="Tahoma"/>
          <w:sz w:val="22"/>
          <w:szCs w:val="22"/>
        </w:rPr>
      </w:pPr>
      <w:r w:rsidRPr="00DD6BE6">
        <w:rPr>
          <w:rFonts w:ascii="Palatino Linotype" w:hAnsi="Palatino Linotype" w:cs="Tahoma"/>
          <w:sz w:val="22"/>
          <w:szCs w:val="22"/>
        </w:rPr>
        <w:lastRenderedPageBreak/>
        <w:t>Actas de Sesión</w:t>
      </w:r>
      <w:r>
        <w:rPr>
          <w:rFonts w:ascii="Palatino Linotype" w:hAnsi="Palatino Linotype" w:cs="Tahoma"/>
          <w:sz w:val="22"/>
          <w:szCs w:val="22"/>
        </w:rPr>
        <w:t xml:space="preserve"> (incluidas las de instalación)</w:t>
      </w:r>
      <w:r w:rsidR="0054797A">
        <w:rPr>
          <w:rFonts w:ascii="Palatino Linotype" w:hAnsi="Palatino Linotype" w:cs="Tahoma"/>
          <w:sz w:val="22"/>
          <w:szCs w:val="22"/>
        </w:rPr>
        <w:t>.</w:t>
      </w:r>
    </w:p>
    <w:p w14:paraId="069E0A7D"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054ADA79" w14:textId="4FE6D608" w:rsidR="0054797A" w:rsidRDefault="0054797A" w:rsidP="00E84BFE">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diversas unidades administrativas, proporcionaron las actas generadas en la temporalidad requerida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incompleta,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sus respuestas iniciales</w:t>
      </w:r>
      <w:r w:rsidRPr="00E56C68">
        <w:rPr>
          <w:rFonts w:ascii="Palatino Linotype" w:hAnsi="Palatino Linotype" w:cs="Tahoma"/>
          <w:sz w:val="22"/>
          <w:szCs w:val="22"/>
        </w:rPr>
        <w:t>.</w:t>
      </w:r>
    </w:p>
    <w:p w14:paraId="7329CB13" w14:textId="77777777" w:rsidR="0054797A" w:rsidRDefault="0054797A" w:rsidP="00E84BFE">
      <w:pPr>
        <w:spacing w:line="360" w:lineRule="auto"/>
        <w:contextualSpacing/>
        <w:jc w:val="both"/>
        <w:rPr>
          <w:rFonts w:ascii="Palatino Linotype" w:eastAsia="Palatino Linotype" w:hAnsi="Palatino Linotype" w:cs="Palatino Linotype"/>
          <w:sz w:val="22"/>
          <w:szCs w:val="22"/>
        </w:rPr>
      </w:pPr>
    </w:p>
    <w:p w14:paraId="7805008C" w14:textId="5E335AA8" w:rsidR="00B37168" w:rsidRDefault="00B37168" w:rsidP="00E84BF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72F30254"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p>
    <w:p w14:paraId="6FAD39F0" w14:textId="77777777" w:rsidR="00B37168" w:rsidRDefault="00B37168" w:rsidP="00E84BFE">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5679574"/>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p>
    <w:p w14:paraId="63949BE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572DE68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F19B51"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4DE036D6"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DA4835D"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1B50558A"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73EE3EEF"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15F152AF"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5FDC0CA"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52D9EE95"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DA2A4DF"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339BB13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EA594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176FF1E1" w14:textId="77777777" w:rsidR="00B37168" w:rsidRDefault="00B37168" w:rsidP="00E84BFE">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5679575"/>
      <w:r>
        <w:rPr>
          <w:rFonts w:ascii="Palatino Linotype" w:eastAsia="Palatino Linotype" w:hAnsi="Palatino Linotype" w:cs="Palatino Linotype"/>
          <w:b/>
          <w:color w:val="000000"/>
          <w:sz w:val="22"/>
          <w:szCs w:val="22"/>
        </w:rPr>
        <w:t>QUINTO. Estudio de Fondo</w:t>
      </w:r>
      <w:bookmarkEnd w:id="16"/>
    </w:p>
    <w:p w14:paraId="3C9F0C98" w14:textId="77777777" w:rsidR="00B37168" w:rsidRDefault="00B37168" w:rsidP="00E84BFE">
      <w:pPr>
        <w:spacing w:line="360" w:lineRule="auto"/>
        <w:contextualSpacing/>
        <w:jc w:val="both"/>
        <w:rPr>
          <w:rFonts w:ascii="Palatino Linotype" w:eastAsia="Palatino Linotype" w:hAnsi="Palatino Linotype" w:cs="Palatino Linotype"/>
          <w:b/>
          <w:sz w:val="22"/>
          <w:szCs w:val="22"/>
        </w:rPr>
      </w:pPr>
    </w:p>
    <w:p w14:paraId="3CB3047A"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w:t>
      </w:r>
      <w:r>
        <w:rPr>
          <w:rFonts w:ascii="Palatino Linotype" w:eastAsia="Palatino Linotype" w:hAnsi="Palatino Linotype" w:cs="Palatino Linotype"/>
          <w:sz w:val="22"/>
          <w:szCs w:val="22"/>
        </w:rPr>
        <w:lastRenderedPageBreak/>
        <w:t>por el ahora Recurrente, concerniente a la entrega de información incompleta por parte del Sujeto Obligado, por lo que en principio resulta necesario contextualizar la solicitud de información.</w:t>
      </w:r>
    </w:p>
    <w:p w14:paraId="3ABF8D52"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619D43D3" w14:textId="77777777" w:rsidR="00B37168" w:rsidRDefault="00B37168" w:rsidP="00E84BF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693FE8F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3D93A79"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FA51FA1"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CBB3E01"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6467007"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74470D8"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Pr>
          <w:rFonts w:ascii="Palatino Linotype" w:eastAsia="Palatino Linotype" w:hAnsi="Palatino Linotype" w:cs="Palatino Linotype"/>
          <w:sz w:val="22"/>
          <w:szCs w:val="22"/>
        </w:rPr>
        <w:lastRenderedPageBreak/>
        <w:t xml:space="preserve">electrónicos, informáticos, entre otros; asimismo aclara que estos pueden contener valores administrativos, legales, fiscales, contables, históricos, informativos, entre otros. </w:t>
      </w:r>
    </w:p>
    <w:p w14:paraId="77A9E010"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B05BE99"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66DC5EE"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2C4F06D7" w14:textId="5AD1BBA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contexto, resulta necesario traer a estudio </w:t>
      </w:r>
      <w:r w:rsidR="005731A2">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l artículo</w:t>
      </w:r>
      <w:r w:rsidR="005731A2">
        <w:rPr>
          <w:rFonts w:ascii="Palatino Linotype" w:eastAsia="Palatino Linotype" w:hAnsi="Palatino Linotype" w:cs="Palatino Linotype"/>
          <w:sz w:val="22"/>
          <w:szCs w:val="22"/>
        </w:rPr>
        <w:t xml:space="preserve"> 1.1 numeral 5.,</w:t>
      </w:r>
      <w:r>
        <w:rPr>
          <w:rFonts w:ascii="Palatino Linotype" w:eastAsia="Palatino Linotype" w:hAnsi="Palatino Linotype" w:cs="Palatino Linotype"/>
          <w:sz w:val="22"/>
          <w:szCs w:val="22"/>
        </w:rPr>
        <w:t xml:space="preserve"> del Código Reglamentario Municipal de Toluca,</w:t>
      </w:r>
      <w:r w:rsidR="005731A2">
        <w:rPr>
          <w:rFonts w:ascii="Palatino Linotype" w:eastAsia="Palatino Linotype" w:hAnsi="Palatino Linotype" w:cs="Palatino Linotype"/>
          <w:sz w:val="22"/>
          <w:szCs w:val="22"/>
        </w:rPr>
        <w:t xml:space="preserve"> dos mil veinticinco</w:t>
      </w:r>
      <w:r>
        <w:rPr>
          <w:rFonts w:ascii="Palatino Linotype" w:eastAsia="Palatino Linotype" w:hAnsi="Palatino Linotype" w:cs="Palatino Linotype"/>
          <w:sz w:val="22"/>
          <w:szCs w:val="22"/>
        </w:rPr>
        <w:t xml:space="preserve"> en </w:t>
      </w:r>
      <w:r w:rsidR="005731A2">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l cual se establece que </w:t>
      </w:r>
      <w:r w:rsidR="005731A2">
        <w:rPr>
          <w:rFonts w:ascii="Palatino Linotype" w:eastAsia="Palatino Linotype" w:hAnsi="Palatino Linotype" w:cs="Palatino Linotype"/>
          <w:sz w:val="22"/>
          <w:szCs w:val="22"/>
        </w:rPr>
        <w:t xml:space="preserve">la Administración Pública Municipal de Toluca se encuentra estructurada </w:t>
      </w:r>
      <w:r w:rsidR="0019439F">
        <w:rPr>
          <w:rFonts w:ascii="Palatino Linotype" w:eastAsia="Palatino Linotype" w:hAnsi="Palatino Linotype" w:cs="Palatino Linotype"/>
          <w:sz w:val="22"/>
          <w:szCs w:val="22"/>
        </w:rPr>
        <w:t>entre otras pareas por los consejos, comités y comisiones quienes auxiliarán al Ayuntamiento en el ejercicio de sus atribuciones.</w:t>
      </w:r>
    </w:p>
    <w:p w14:paraId="44EB5CB9" w14:textId="77777777" w:rsidR="0019439F" w:rsidRDefault="0019439F" w:rsidP="00E84BFE">
      <w:pPr>
        <w:widowControl w:val="0"/>
        <w:spacing w:line="360" w:lineRule="auto"/>
        <w:contextualSpacing/>
        <w:jc w:val="both"/>
        <w:rPr>
          <w:rFonts w:ascii="Palatino Linotype" w:eastAsia="Palatino Linotype" w:hAnsi="Palatino Linotype" w:cs="Palatino Linotype"/>
          <w:sz w:val="22"/>
          <w:szCs w:val="22"/>
        </w:rPr>
      </w:pPr>
    </w:p>
    <w:p w14:paraId="0102104C" w14:textId="42985EE5" w:rsidR="0019439F" w:rsidRDefault="0019439F"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el artículo 5.2 del Código reglamentario señalado, establece que corresponde al presidente municipal, a propuesta de las personas titulares de las dependencias u organizaciones civiles, constituir consejos, comisiones y comités pudiendo ser permanentes y transitorios</w:t>
      </w:r>
      <w:r w:rsidR="006A2502">
        <w:rPr>
          <w:rFonts w:ascii="Palatino Linotype" w:eastAsia="Palatino Linotype" w:hAnsi="Palatino Linotype" w:cs="Palatino Linotype"/>
          <w:sz w:val="22"/>
          <w:szCs w:val="22"/>
        </w:rPr>
        <w:t>.</w:t>
      </w:r>
    </w:p>
    <w:p w14:paraId="61EB707C"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p>
    <w:p w14:paraId="6747304B" w14:textId="21FE4988"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los artículos 5.4 de Código Reglamentario señalado establece que los órganos colegiados se integrarán conforme a lo siguiente:</w:t>
      </w:r>
    </w:p>
    <w:p w14:paraId="468E588B"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p>
    <w:p w14:paraId="0ADB164A" w14:textId="77777777" w:rsidR="006A2502" w:rsidRDefault="006A2502" w:rsidP="00E84BFE">
      <w:pPr>
        <w:widowControl w:val="0"/>
        <w:spacing w:line="360" w:lineRule="auto"/>
        <w:ind w:left="708"/>
        <w:contextualSpacing/>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A. Una o un Presidente, que será la Presidenta o Presidente Municipal o quien se designe; </w:t>
      </w:r>
    </w:p>
    <w:p w14:paraId="7D526FB7" w14:textId="5E94BB1C" w:rsidR="006A2502" w:rsidRDefault="006A2502" w:rsidP="00E84BFE">
      <w:pPr>
        <w:widowControl w:val="0"/>
        <w:spacing w:line="360" w:lineRule="auto"/>
        <w:ind w:left="708"/>
        <w:contextualSpacing/>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B. Una o un Secretario Técnico, quien será la o persona titular del área de la </w:t>
      </w:r>
      <w:r w:rsidRPr="006A2502">
        <w:rPr>
          <w:rFonts w:ascii="Palatino Linotype" w:eastAsia="Palatino Linotype" w:hAnsi="Palatino Linotype" w:cs="Palatino Linotype"/>
          <w:sz w:val="22"/>
          <w:szCs w:val="22"/>
        </w:rPr>
        <w:lastRenderedPageBreak/>
        <w:t xml:space="preserve">administración pública municipal que tenga mayor relación con el objeto del órgano colegiado o a quien designe la o el Presidente; y </w:t>
      </w:r>
    </w:p>
    <w:p w14:paraId="1C54F25D" w14:textId="6499DA23" w:rsidR="006A2502" w:rsidRDefault="006A2502" w:rsidP="00E84BFE">
      <w:pPr>
        <w:widowControl w:val="0"/>
        <w:spacing w:line="360" w:lineRule="auto"/>
        <w:ind w:left="708"/>
        <w:contextualSpacing/>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C. Al menos tres Vocales, o los que por la naturaleza del órgano se consideren necesarios, quienes serán servidoras o servido</w:t>
      </w:r>
    </w:p>
    <w:p w14:paraId="6AEACDA2"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p>
    <w:p w14:paraId="3F0E4873" w14:textId="3C55635B"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artículo 5.12 del propio reglamento establece que las sesiones se llevarán a cabo conforme a lo siguiente:</w:t>
      </w:r>
    </w:p>
    <w:p w14:paraId="2957E4B8"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p>
    <w:p w14:paraId="6AEA1123" w14:textId="45D6CB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Las ordinarias se sujetarán al programa que se autorice en la primera sesión de trabajo, las cuales tendrán lugar por lo menos dos veces al año o las que se consideren necesarias. Las extraordinarias serán cuando la o el Presidente lo considere necesario, de aplazarse la ordinaria en fecha establecida, la próxima se considerará con el mismo carácter;</w:t>
      </w:r>
    </w:p>
    <w:p w14:paraId="37C67008" w14:textId="777777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Las sesiones serán convocadas cuando menos con cinco días hábiles de anticipación; las extraordinarias se convocarán con 24 horas de anticipación. Las convocatorias, deberán contener la fecha, lugar y hora de la sesión, así como el orden del día, en su caso se incluirán los anexos sobre los asuntos a tratar; </w:t>
      </w:r>
    </w:p>
    <w:p w14:paraId="64263636" w14:textId="777777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Se podrá emitir en un mismo citatorio, primera y segunda convocatoria para una sesión, siempre que haya por lo menos media hora de diferencia entre ambas citas; </w:t>
      </w:r>
    </w:p>
    <w:p w14:paraId="70F28192" w14:textId="777777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Para sesionar en primera convocatoria, el órgano requerirá la presencia de la o el Presidente o su Suplente y de la mitad más uno de los vocales con derecho a voz y voto, o en su caso, los suplentes; </w:t>
      </w:r>
    </w:p>
    <w:p w14:paraId="6BEC9880" w14:textId="777777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En segunda convocatoria, bastará con la presencia de la o el Presidente o su suplente y el número de vocales, o suplentes, que se encuentren presentes; </w:t>
      </w:r>
    </w:p>
    <w:p w14:paraId="1EF35A95" w14:textId="77777777" w:rsid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A solicitud de cualquier miembro y previa autorización realizada por mayoría simple, las y los funcionarios de la administración pública municipal podrán </w:t>
      </w:r>
      <w:r w:rsidRPr="006A2502">
        <w:rPr>
          <w:rFonts w:ascii="Palatino Linotype" w:eastAsia="Palatino Linotype" w:hAnsi="Palatino Linotype" w:cs="Palatino Linotype"/>
          <w:sz w:val="22"/>
          <w:szCs w:val="22"/>
        </w:rPr>
        <w:lastRenderedPageBreak/>
        <w:t xml:space="preserve">participar en las sesiones, para que informen asuntos de su competencia; y </w:t>
      </w:r>
    </w:p>
    <w:p w14:paraId="750863B3" w14:textId="0C2C6A36" w:rsidR="006A2502" w:rsidRPr="006A2502" w:rsidRDefault="006A2502" w:rsidP="00E84BFE">
      <w:pPr>
        <w:pStyle w:val="Prrafodelista"/>
        <w:widowControl w:val="0"/>
        <w:numPr>
          <w:ilvl w:val="0"/>
          <w:numId w:val="31"/>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Si no existiera quórum, cuando en el citatorio no se establezca la segunda convocatoria, se diferirá la celebración de la sesión hasta un plazo máximo de cinco días naturales, llevándose a cabo con quienes asistan, siendo válidos los acuerdos que dentro de la misma se tomen.</w:t>
      </w:r>
    </w:p>
    <w:p w14:paraId="6EC6359A"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1A882DCF"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5.15 establece que por cada sesión celebrada la o el secretario técnico levantará el acta correspondiente para dar fe y legalidad a la misma y será firmada por las y los integrantes que hayan asistido la cual contendrá los siguientes datos:</w:t>
      </w:r>
    </w:p>
    <w:p w14:paraId="6791361F" w14:textId="77777777" w:rsidR="006A2502" w:rsidRDefault="006A2502" w:rsidP="00E84BFE">
      <w:pPr>
        <w:widowControl w:val="0"/>
        <w:spacing w:line="360" w:lineRule="auto"/>
        <w:contextualSpacing/>
        <w:jc w:val="both"/>
        <w:rPr>
          <w:rFonts w:ascii="Palatino Linotype" w:eastAsia="Palatino Linotype" w:hAnsi="Palatino Linotype" w:cs="Palatino Linotype"/>
          <w:sz w:val="22"/>
          <w:szCs w:val="22"/>
        </w:rPr>
      </w:pPr>
    </w:p>
    <w:p w14:paraId="41092137" w14:textId="164C17F8" w:rsidR="006A2502" w:rsidRP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Número de acta incluyendo las siglas del órgano colegiado, la palabra acta, la fecha y el número que deberá ser consecutivo; </w:t>
      </w:r>
    </w:p>
    <w:p w14:paraId="29AB89C2"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Lugar en donde se efectuó la sesión de trabajo; </w:t>
      </w:r>
    </w:p>
    <w:p w14:paraId="339838EB"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Hora, día, mes y año de la celebración de la sesión; </w:t>
      </w:r>
    </w:p>
    <w:p w14:paraId="3822B97D"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Nombre y cargo de los asistentes a la sesión; </w:t>
      </w:r>
    </w:p>
    <w:p w14:paraId="6333C42B"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Puntos del orden del día en la secuencia que fueron tratados; </w:t>
      </w:r>
    </w:p>
    <w:p w14:paraId="4E3140BA"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Propuestas que surjan del debate; </w:t>
      </w:r>
    </w:p>
    <w:p w14:paraId="11AE3338"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Resultados de votación anotando la propuesta que haya obtenido la mayor votación y así sucesivamente; </w:t>
      </w:r>
    </w:p>
    <w:p w14:paraId="2E0F222B"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Acuerdos y compromisos tomados, así como los responsables de su ejecución; </w:t>
      </w:r>
    </w:p>
    <w:p w14:paraId="2CE7E981" w14:textId="77777777" w:rsid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Hora, día, mes y año de haberse declarado concluida la sesión; y </w:t>
      </w:r>
    </w:p>
    <w:p w14:paraId="49314109" w14:textId="00B4A343" w:rsidR="006A2502" w:rsidRPr="006A2502" w:rsidRDefault="006A2502" w:rsidP="00E84BFE">
      <w:pPr>
        <w:pStyle w:val="Prrafodelista"/>
        <w:widowControl w:val="0"/>
        <w:numPr>
          <w:ilvl w:val="0"/>
          <w:numId w:val="32"/>
        </w:numPr>
        <w:spacing w:line="360" w:lineRule="auto"/>
        <w:jc w:val="both"/>
        <w:rPr>
          <w:rFonts w:ascii="Palatino Linotype" w:eastAsia="Palatino Linotype" w:hAnsi="Palatino Linotype" w:cs="Palatino Linotype"/>
          <w:sz w:val="22"/>
          <w:szCs w:val="22"/>
        </w:rPr>
      </w:pPr>
      <w:r w:rsidRPr="006A2502">
        <w:rPr>
          <w:rFonts w:ascii="Palatino Linotype" w:eastAsia="Palatino Linotype" w:hAnsi="Palatino Linotype" w:cs="Palatino Linotype"/>
          <w:sz w:val="22"/>
          <w:szCs w:val="22"/>
        </w:rPr>
        <w:t xml:space="preserve">Firma de asistentes. </w:t>
      </w:r>
    </w:p>
    <w:p w14:paraId="7DF3A300"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0918A7FD" w14:textId="72A95B0E" w:rsidR="006A2502" w:rsidRDefault="00C03391"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mismo contexto</w:t>
      </w:r>
      <w:r w:rsidR="00A46989">
        <w:rPr>
          <w:rFonts w:ascii="Palatino Linotype" w:eastAsia="Palatino Linotype" w:hAnsi="Palatino Linotype" w:cs="Palatino Linotype"/>
          <w:sz w:val="22"/>
          <w:szCs w:val="22"/>
        </w:rPr>
        <w:t xml:space="preserve">, </w:t>
      </w:r>
      <w:r w:rsidR="006A2502">
        <w:rPr>
          <w:rFonts w:ascii="Palatino Linotype" w:eastAsia="Palatino Linotype" w:hAnsi="Palatino Linotype" w:cs="Palatino Linotype"/>
          <w:sz w:val="22"/>
          <w:szCs w:val="22"/>
        </w:rPr>
        <w:t xml:space="preserve">los artículos </w:t>
      </w:r>
      <w:r w:rsidR="00A46989">
        <w:rPr>
          <w:rFonts w:ascii="Palatino Linotype" w:eastAsia="Palatino Linotype" w:hAnsi="Palatino Linotype" w:cs="Palatino Linotype"/>
          <w:sz w:val="22"/>
          <w:szCs w:val="22"/>
        </w:rPr>
        <w:t>5.18 fracciones VI, VII, VIII, X, XI, XII, XIV, XXI y XXII, e</w:t>
      </w:r>
      <w:r w:rsidR="005238FD">
        <w:rPr>
          <w:rFonts w:ascii="Palatino Linotype" w:eastAsia="Palatino Linotype" w:hAnsi="Palatino Linotype" w:cs="Palatino Linotype"/>
          <w:sz w:val="22"/>
          <w:szCs w:val="22"/>
        </w:rPr>
        <w:t xml:space="preserve">n </w:t>
      </w:r>
      <w:r w:rsidR="00A46989">
        <w:rPr>
          <w:rFonts w:ascii="Palatino Linotype" w:eastAsia="Palatino Linotype" w:hAnsi="Palatino Linotype" w:cs="Palatino Linotype"/>
          <w:sz w:val="22"/>
          <w:szCs w:val="22"/>
        </w:rPr>
        <w:t xml:space="preserve">relación con los artículos 5.36, 5.38, 5.40, 5.48, 5.51, 5.53, 5.75, 5.110, del Código </w:t>
      </w:r>
      <w:r w:rsidR="00A46989">
        <w:rPr>
          <w:rFonts w:ascii="Palatino Linotype" w:eastAsia="Palatino Linotype" w:hAnsi="Palatino Linotype" w:cs="Palatino Linotype"/>
          <w:sz w:val="22"/>
          <w:szCs w:val="22"/>
        </w:rPr>
        <w:lastRenderedPageBreak/>
        <w:t>Reglamentario Municipal establece que el Sujeto Obligado para el ejercicio de sus funciones se auxiliará de diversos comités, entre los que se localizan los siguientes:</w:t>
      </w:r>
    </w:p>
    <w:p w14:paraId="2B77C1AF" w14:textId="77777777" w:rsidR="00A46989" w:rsidRDefault="00A46989" w:rsidP="00E84BFE">
      <w:pPr>
        <w:spacing w:line="360" w:lineRule="auto"/>
        <w:contextualSpacing/>
        <w:jc w:val="both"/>
        <w:rPr>
          <w:rFonts w:ascii="Palatino Linotype" w:eastAsia="Palatino Linotype" w:hAnsi="Palatino Linotype" w:cs="Palatino Linotype"/>
          <w:sz w:val="22"/>
          <w:szCs w:val="22"/>
        </w:rPr>
      </w:pPr>
    </w:p>
    <w:p w14:paraId="6F072FCD" w14:textId="48133350"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Comité de Adquisiciones y Servicios;</w:t>
      </w:r>
    </w:p>
    <w:p w14:paraId="75E3BF5E" w14:textId="3D9566CC"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de Arrendamientos y Adquisiciones de Inmuebles y Enajenaciones</w:t>
      </w:r>
      <w:r>
        <w:rPr>
          <w:rFonts w:ascii="Palatino Linotype" w:eastAsia="Palatino Linotype" w:hAnsi="Palatino Linotype" w:cs="Palatino Linotype"/>
          <w:sz w:val="22"/>
          <w:szCs w:val="22"/>
        </w:rPr>
        <w:t>;</w:t>
      </w:r>
    </w:p>
    <w:p w14:paraId="2CB08E3C" w14:textId="3C83163B"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de Transparencia del Municipio de Toluca</w:t>
      </w:r>
      <w:r>
        <w:rPr>
          <w:rFonts w:ascii="Palatino Linotype" w:eastAsia="Palatino Linotype" w:hAnsi="Palatino Linotype" w:cs="Palatino Linotype"/>
          <w:sz w:val="22"/>
          <w:szCs w:val="22"/>
        </w:rPr>
        <w:t>;</w:t>
      </w:r>
    </w:p>
    <w:p w14:paraId="28FB471F" w14:textId="559BEF4E"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de Bienes Muebles e Inmuebles;</w:t>
      </w:r>
    </w:p>
    <w:p w14:paraId="4770BACE" w14:textId="7AEE5FD8"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Interno de Obra Pública;</w:t>
      </w:r>
    </w:p>
    <w:p w14:paraId="6A4730C4" w14:textId="19C7A1B0"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Municipal de Dictámenes de Giro;</w:t>
      </w:r>
    </w:p>
    <w:p w14:paraId="3BD83230" w14:textId="6B6D71C6"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de Planeación para el Desarrollo Municipal;</w:t>
      </w:r>
    </w:p>
    <w:p w14:paraId="6D726546" w14:textId="2E3D2E43"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Comité de Prevención y Control del Crecimiento Urbano;</w:t>
      </w:r>
      <w:r>
        <w:rPr>
          <w:rFonts w:ascii="Palatino Linotype" w:eastAsia="Palatino Linotype" w:hAnsi="Palatino Linotype" w:cs="Palatino Linotype"/>
          <w:sz w:val="22"/>
          <w:szCs w:val="22"/>
        </w:rPr>
        <w:t xml:space="preserve"> y</w:t>
      </w:r>
    </w:p>
    <w:p w14:paraId="44A3D547" w14:textId="37B3AC41" w:rsidR="00A46989" w:rsidRDefault="00A46989" w:rsidP="00E84BFE">
      <w:pPr>
        <w:pStyle w:val="Prrafodelista"/>
        <w:numPr>
          <w:ilvl w:val="0"/>
          <w:numId w:val="33"/>
        </w:numPr>
        <w:spacing w:line="360" w:lineRule="auto"/>
        <w:jc w:val="both"/>
        <w:rPr>
          <w:rFonts w:ascii="Palatino Linotype" w:eastAsia="Palatino Linotype" w:hAnsi="Palatino Linotype" w:cs="Palatino Linotype"/>
          <w:sz w:val="22"/>
          <w:szCs w:val="22"/>
        </w:rPr>
      </w:pPr>
      <w:r w:rsidRPr="00A46989">
        <w:rPr>
          <w:rFonts w:ascii="Palatino Linotype" w:eastAsia="Palatino Linotype" w:hAnsi="Palatino Linotype" w:cs="Palatino Linotype"/>
          <w:sz w:val="22"/>
          <w:szCs w:val="22"/>
        </w:rPr>
        <w:t>Los demás que ordene la legislación estatal y federal vigente.</w:t>
      </w:r>
    </w:p>
    <w:p w14:paraId="3B917154" w14:textId="77777777" w:rsidR="00A46989" w:rsidRPr="00A46989" w:rsidRDefault="00A46989" w:rsidP="00E84BFE">
      <w:pPr>
        <w:pStyle w:val="Prrafodelista"/>
        <w:spacing w:line="360" w:lineRule="auto"/>
        <w:jc w:val="both"/>
        <w:rPr>
          <w:rFonts w:ascii="Palatino Linotype" w:eastAsia="Palatino Linotype" w:hAnsi="Palatino Linotype" w:cs="Palatino Linotype"/>
          <w:sz w:val="22"/>
          <w:szCs w:val="22"/>
        </w:rPr>
      </w:pPr>
    </w:p>
    <w:p w14:paraId="5EEC3381" w14:textId="0B5AC2E2" w:rsidR="00C03391" w:rsidRDefault="00C03391"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Finalmente, el artículo 5.59 y 5.75 del propio código señalan que, en materia de mejora regulatoria, existen los comités internos colegiados de análisis, constituidos al interior de las dependencias, órganos desconcentrados y organismos descentralizados que tienen por objeto auxiliar al Coordinador General de Mejora Regulatoria en el cumplimiento de sus funciones.</w:t>
      </w:r>
    </w:p>
    <w:p w14:paraId="1106DC4C" w14:textId="77777777" w:rsidR="00C03391" w:rsidRDefault="00C03391" w:rsidP="00E84BFE">
      <w:pPr>
        <w:spacing w:line="360" w:lineRule="auto"/>
        <w:contextualSpacing/>
        <w:jc w:val="both"/>
        <w:rPr>
          <w:rFonts w:ascii="Palatino Linotype" w:eastAsia="Palatino Linotype" w:hAnsi="Palatino Linotype" w:cs="Palatino Linotype"/>
          <w:sz w:val="22"/>
          <w:szCs w:val="22"/>
        </w:rPr>
      </w:pPr>
    </w:p>
    <w:p w14:paraId="1E2F9884" w14:textId="77777777" w:rsidR="00C03391" w:rsidRDefault="00C03391"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comité interno sesionará de manera ordinaria y extraordinaria las veces que se considere necesario a propuesta de la o el presidente del comité o de la mayoría de sus integrantes para el cumplimiento de sus funciones y responsabilidades.</w:t>
      </w:r>
    </w:p>
    <w:p w14:paraId="09C791D9" w14:textId="77777777" w:rsidR="00C03391" w:rsidRDefault="00C03391" w:rsidP="00E84BFE">
      <w:pPr>
        <w:spacing w:line="360" w:lineRule="auto"/>
        <w:contextualSpacing/>
        <w:jc w:val="both"/>
        <w:rPr>
          <w:rFonts w:ascii="Palatino Linotype" w:eastAsia="Palatino Linotype" w:hAnsi="Palatino Linotype" w:cs="Palatino Linotype"/>
          <w:sz w:val="22"/>
          <w:szCs w:val="22"/>
        </w:rPr>
      </w:pPr>
    </w:p>
    <w:p w14:paraId="3442FAFE" w14:textId="04F548DA" w:rsidR="00C03391" w:rsidRPr="0074248A" w:rsidRDefault="0074248A" w:rsidP="00E84BFE">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colegir que el ahora Recurrente pretende acceder a los documentos que dieran cuenta de </w:t>
      </w:r>
      <w:r>
        <w:rPr>
          <w:rFonts w:ascii="Palatino Linotype" w:hAnsi="Palatino Linotype" w:cs="Tahoma"/>
          <w:sz w:val="22"/>
          <w:szCs w:val="22"/>
        </w:rPr>
        <w:t>las actas de las Sesiones de los comités permanentes y transitorias, generadas del primero de enero al dieciocho de junio de dos mil veinticinco.</w:t>
      </w:r>
    </w:p>
    <w:p w14:paraId="37465DBB" w14:textId="2680BF98" w:rsidR="00C03391" w:rsidRPr="00C03391" w:rsidRDefault="00C03391"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06C130EA" w14:textId="7E7F30A4" w:rsidR="00B37168" w:rsidRDefault="00B37168" w:rsidP="00E84BF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w:t>
      </w:r>
      <w:r w:rsidR="0074248A">
        <w:rPr>
          <w:rFonts w:ascii="Palatino Linotype" w:eastAsia="Palatino Linotype" w:hAnsi="Palatino Linotype" w:cs="Palatino Linotype"/>
          <w:sz w:val="22"/>
          <w:szCs w:val="22"/>
        </w:rPr>
        <w:t>diversos integrantes de cabildo, así como a titulares de distintas unidades administrativas</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C7E2280"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091402D3" w14:textId="69E8AD3A" w:rsidR="0074248A" w:rsidRDefault="00B37168" w:rsidP="00E84BFE">
      <w:pPr>
        <w:widowControl w:val="0"/>
        <w:spacing w:line="360" w:lineRule="auto"/>
        <w:contextualSpacing/>
        <w:jc w:val="both"/>
        <w:rPr>
          <w:rFonts w:ascii="Palatino Linotype" w:hAnsi="Palatino Linotype" w:cs="Tahoma"/>
          <w:sz w:val="22"/>
          <w:szCs w:val="22"/>
        </w:rPr>
      </w:pPr>
      <w:r>
        <w:rPr>
          <w:rFonts w:ascii="Palatino Linotype" w:eastAsia="Palatino Linotype" w:hAnsi="Palatino Linotype" w:cs="Palatino Linotype"/>
          <w:color w:val="000000"/>
          <w:sz w:val="22"/>
          <w:szCs w:val="22"/>
        </w:rPr>
        <w:t xml:space="preserve">Así, </w:t>
      </w:r>
      <w:r w:rsidR="0074248A">
        <w:rPr>
          <w:rFonts w:ascii="Palatino Linotype" w:hAnsi="Palatino Linotype" w:cs="Tahoma"/>
          <w:sz w:val="22"/>
          <w:szCs w:val="22"/>
        </w:rPr>
        <w:t>resulta oportuno traer a estudio los artículos 89, 90, fracción I numerales del 1 al 13 del Bando Municipal de Toluca, dos mil veinticinco, en relación con los artículos 3.1, 3.2, y 7.58 del Código Reglamentario Municipal, establecen que el ejercicio del gobierno municipal se deposita en un cuerpo colegiado denominado Ayuntamiento, la ejecución de sus atribuciones le corresponden al Presidente Municipal quien dirige la Administración Pública que será centralizada, descentralizada y autónoma, para la consulta, estudio, planeación, gestión y ejecución de sus atribuciones la administración centralizada contará con las siguientes dependencias:</w:t>
      </w:r>
    </w:p>
    <w:p w14:paraId="5FBD0755" w14:textId="77777777" w:rsidR="0074248A" w:rsidRDefault="0074248A" w:rsidP="00E84BFE">
      <w:pPr>
        <w:widowControl w:val="0"/>
        <w:spacing w:line="360" w:lineRule="auto"/>
        <w:contextualSpacing/>
        <w:jc w:val="both"/>
        <w:rPr>
          <w:rFonts w:ascii="Palatino Linotype" w:hAnsi="Palatino Linotype" w:cs="Tahoma"/>
          <w:sz w:val="22"/>
          <w:szCs w:val="22"/>
        </w:rPr>
      </w:pPr>
    </w:p>
    <w:p w14:paraId="71CF27EF"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Secretaría del Ayuntamiento</w:t>
      </w:r>
    </w:p>
    <w:p w14:paraId="333BF6C8"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Tesorería Municipal</w:t>
      </w:r>
    </w:p>
    <w:p w14:paraId="1E773358"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Órgano Interno de Control</w:t>
      </w:r>
    </w:p>
    <w:p w14:paraId="5DF984E5"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Gobierno</w:t>
      </w:r>
    </w:p>
    <w:p w14:paraId="486C1B6F"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Seguridad y Protección</w:t>
      </w:r>
    </w:p>
    <w:p w14:paraId="76654DC8"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lastRenderedPageBreak/>
        <w:t>Dirección General de Administración</w:t>
      </w:r>
    </w:p>
    <w:p w14:paraId="2765F768"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Medio Ambiente</w:t>
      </w:r>
    </w:p>
    <w:p w14:paraId="0DD10D1A"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Servicios Públicos</w:t>
      </w:r>
    </w:p>
    <w:p w14:paraId="27F05A64"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Innovación, Planeación y Gestión Urbana</w:t>
      </w:r>
    </w:p>
    <w:p w14:paraId="4AC86DCB"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Obras Públicas</w:t>
      </w:r>
    </w:p>
    <w:p w14:paraId="0628D8D2"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Desarrollo Económico</w:t>
      </w:r>
    </w:p>
    <w:p w14:paraId="68129C1F"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Bienestar</w:t>
      </w:r>
    </w:p>
    <w:p w14:paraId="2CFC3511" w14:textId="77777777" w:rsidR="0074248A" w:rsidRPr="00A90207"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A90207">
        <w:rPr>
          <w:rFonts w:ascii="Palatino Linotype" w:hAnsi="Palatino Linotype" w:cs="Tahoma"/>
          <w:sz w:val="22"/>
          <w:szCs w:val="22"/>
        </w:rPr>
        <w:t>Dirección General de Educación, Cultura y Turismo</w:t>
      </w:r>
    </w:p>
    <w:p w14:paraId="489F99BF" w14:textId="04F09724" w:rsidR="0074248A" w:rsidRPr="005238FD" w:rsidRDefault="0074248A" w:rsidP="00E84BFE">
      <w:pPr>
        <w:pStyle w:val="Prrafodelista"/>
        <w:numPr>
          <w:ilvl w:val="0"/>
          <w:numId w:val="34"/>
        </w:numPr>
        <w:tabs>
          <w:tab w:val="left" w:pos="4962"/>
        </w:tabs>
        <w:spacing w:line="360" w:lineRule="auto"/>
        <w:jc w:val="both"/>
        <w:rPr>
          <w:rFonts w:ascii="Palatino Linotype" w:hAnsi="Palatino Linotype" w:cs="Tahoma"/>
          <w:iCs/>
          <w:sz w:val="22"/>
          <w:szCs w:val="22"/>
        </w:rPr>
      </w:pPr>
      <w:r w:rsidRPr="003178F5">
        <w:rPr>
          <w:rFonts w:ascii="Palatino Linotype" w:hAnsi="Palatino Linotype"/>
          <w:color w:val="000000"/>
          <w:sz w:val="22"/>
          <w:szCs w:val="22"/>
        </w:rPr>
        <w:t>Coordinación General de Comunicación Social</w:t>
      </w:r>
    </w:p>
    <w:p w14:paraId="47C935BA" w14:textId="77777777" w:rsidR="005238FD" w:rsidRDefault="005238FD" w:rsidP="00E84BFE">
      <w:pPr>
        <w:widowControl w:val="0"/>
        <w:spacing w:line="360" w:lineRule="auto"/>
        <w:contextualSpacing/>
        <w:jc w:val="both"/>
        <w:rPr>
          <w:rFonts w:ascii="Palatino Linotype" w:hAnsi="Palatino Linotype" w:cs="Tahoma"/>
          <w:bCs/>
          <w:sz w:val="22"/>
          <w:szCs w:val="22"/>
        </w:rPr>
      </w:pPr>
    </w:p>
    <w:p w14:paraId="2DDA0E14" w14:textId="1CE2E71E" w:rsidR="0074248A" w:rsidRPr="00813959" w:rsidRDefault="0074248A" w:rsidP="00E84BFE">
      <w:pPr>
        <w:widowControl w:val="0"/>
        <w:spacing w:line="360" w:lineRule="auto"/>
        <w:contextualSpacing/>
        <w:jc w:val="both"/>
        <w:rPr>
          <w:rFonts w:ascii="Palatino Linotype" w:hAnsi="Palatino Linotype" w:cs="Tahoma"/>
          <w:bCs/>
          <w:sz w:val="22"/>
          <w:szCs w:val="22"/>
        </w:rPr>
      </w:pPr>
      <w:r w:rsidRPr="00813959">
        <w:rPr>
          <w:rFonts w:ascii="Palatino Linotype" w:hAnsi="Palatino Linotype" w:cs="Tahoma"/>
          <w:bCs/>
          <w:sz w:val="22"/>
          <w:szCs w:val="22"/>
        </w:rPr>
        <w:t>ÓRGANO AUTÓNOMO</w:t>
      </w:r>
    </w:p>
    <w:p w14:paraId="215AD901" w14:textId="77777777" w:rsidR="0074248A" w:rsidRPr="00022D98" w:rsidRDefault="0074248A" w:rsidP="00E84BFE">
      <w:pPr>
        <w:pStyle w:val="Prrafodelista"/>
        <w:widowControl w:val="0"/>
        <w:numPr>
          <w:ilvl w:val="0"/>
          <w:numId w:val="34"/>
        </w:numPr>
        <w:spacing w:line="360" w:lineRule="auto"/>
        <w:jc w:val="both"/>
        <w:rPr>
          <w:rFonts w:ascii="Palatino Linotype" w:hAnsi="Palatino Linotype" w:cs="Tahoma"/>
          <w:sz w:val="22"/>
          <w:szCs w:val="22"/>
        </w:rPr>
      </w:pPr>
      <w:r w:rsidRPr="00022D98">
        <w:rPr>
          <w:rFonts w:ascii="Palatino Linotype" w:hAnsi="Palatino Linotype" w:cs="Tahoma"/>
          <w:sz w:val="22"/>
          <w:szCs w:val="22"/>
        </w:rPr>
        <w:t>Defensoría Municipal de los Derechos Humanos de Toluca</w:t>
      </w:r>
    </w:p>
    <w:p w14:paraId="7E51033E"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p>
    <w:p w14:paraId="27AB2A86" w14:textId="5B11B7FF" w:rsidR="0074248A" w:rsidRDefault="0074248A" w:rsidP="00E84BFE">
      <w:pPr>
        <w:spacing w:line="360" w:lineRule="auto"/>
        <w:contextualSpacing/>
        <w:jc w:val="both"/>
        <w:rPr>
          <w:rFonts w:ascii="Palatino Linotype" w:eastAsia="Palatino Linotype" w:hAnsi="Palatino Linotype" w:cs="Palatino Linotype"/>
          <w:sz w:val="22"/>
          <w:szCs w:val="22"/>
        </w:rPr>
      </w:pPr>
      <w:r w:rsidRPr="00D83B30">
        <w:rPr>
          <w:rFonts w:ascii="Palatino Linotype" w:eastAsia="Palatino Linotype" w:hAnsi="Palatino Linotype" w:cs="Palatino Linotype"/>
          <w:sz w:val="22"/>
          <w:szCs w:val="22"/>
        </w:rPr>
        <w:t>Conforme a lo anterior se logra observar que el Ayuntamiento de Toluca, cumplió</w:t>
      </w:r>
      <w:r>
        <w:rPr>
          <w:rFonts w:ascii="Palatino Linotype" w:eastAsia="Palatino Linotype" w:hAnsi="Palatino Linotype" w:cs="Palatino Linotype"/>
          <w:sz w:val="22"/>
          <w:szCs w:val="22"/>
        </w:rPr>
        <w:t xml:space="preserve"> </w:t>
      </w:r>
      <w:r w:rsidRPr="00D83B30">
        <w:rPr>
          <w:rFonts w:ascii="Palatino Linotype" w:eastAsia="Palatino Linotype" w:hAnsi="Palatino Linotype" w:cs="Palatino Linotype"/>
          <w:sz w:val="22"/>
          <w:szCs w:val="22"/>
        </w:rPr>
        <w:t>con el procedimiento de búsqueda previamente señalado, al turnar la solicitud de información a la</w:t>
      </w:r>
      <w:r>
        <w:rPr>
          <w:rFonts w:ascii="Palatino Linotype" w:eastAsia="Palatino Linotype" w:hAnsi="Palatino Linotype" w:cs="Palatino Linotype"/>
          <w:sz w:val="22"/>
          <w:szCs w:val="22"/>
        </w:rPr>
        <w:t>s unidad</w:t>
      </w:r>
      <w:r w:rsidR="00A90FE6">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administrativa</w:t>
      </w:r>
      <w:r w:rsidR="00A90FE6">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competentes</w:t>
      </w:r>
      <w:r w:rsidRPr="00D83B30">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para conocer sobre la información requerida</w:t>
      </w:r>
      <w:r w:rsidRPr="00D83B30">
        <w:rPr>
          <w:rFonts w:ascii="Palatino Linotype" w:eastAsia="Palatino Linotype" w:hAnsi="Palatino Linotype" w:cs="Palatino Linotype"/>
          <w:sz w:val="22"/>
          <w:szCs w:val="22"/>
        </w:rPr>
        <w:t>, por lo que se considera que incumplió con lo establecido en el artículo 162 de la Ley de la materia.</w:t>
      </w:r>
    </w:p>
    <w:p w14:paraId="79B13E17"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1FA80320" w14:textId="22BC3E8D"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circunstancia que se realiza conforme a lo siguiente:</w:t>
      </w:r>
    </w:p>
    <w:p w14:paraId="022820E7" w14:textId="77777777" w:rsidR="005238FD" w:rsidRPr="003441FD" w:rsidRDefault="005238FD" w:rsidP="00E84BFE">
      <w:pPr>
        <w:tabs>
          <w:tab w:val="left" w:pos="4667"/>
        </w:tabs>
        <w:spacing w:line="360" w:lineRule="auto"/>
        <w:contextualSpacing/>
        <w:jc w:val="both"/>
        <w:rPr>
          <w:rFonts w:ascii="Palatino Linotype" w:eastAsia="Palatino Linotype" w:hAnsi="Palatino Linotype" w:cs="Palatino Linotype"/>
          <w:b/>
          <w:bCs/>
          <w:sz w:val="22"/>
          <w:szCs w:val="22"/>
        </w:rPr>
      </w:pPr>
    </w:p>
    <w:p w14:paraId="5882FCEE" w14:textId="77777777" w:rsidR="005238FD" w:rsidRPr="003441FD" w:rsidRDefault="005238FD" w:rsidP="00E84BFE">
      <w:pPr>
        <w:pStyle w:val="Prrafodelista"/>
        <w:numPr>
          <w:ilvl w:val="0"/>
          <w:numId w:val="38"/>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Actas de integración o aprobación por Cabildo</w:t>
      </w:r>
    </w:p>
    <w:p w14:paraId="342E2D73"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la Primera Sesión Extraordinaria de Cabildo por la que se aprueba la integración del Comité de Bienes Muebles e Inmuebles del quince de mayo de dos mil veinticinco.</w:t>
      </w:r>
    </w:p>
    <w:p w14:paraId="6A927056" w14:textId="77777777" w:rsidR="005238FD" w:rsidRPr="003441FD" w:rsidRDefault="005238FD" w:rsidP="00E84BFE">
      <w:pPr>
        <w:spacing w:line="360" w:lineRule="auto"/>
        <w:contextualSpacing/>
        <w:jc w:val="both"/>
        <w:rPr>
          <w:rFonts w:ascii="Palatino Linotype" w:eastAsia="Palatino Linotype" w:hAnsi="Palatino Linotype" w:cs="Palatino Linotype"/>
          <w:b/>
          <w:bCs/>
          <w:sz w:val="22"/>
          <w:szCs w:val="22"/>
        </w:rPr>
      </w:pPr>
    </w:p>
    <w:p w14:paraId="0EEC9219"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Transparencia del Municipio de Toluca;</w:t>
      </w:r>
    </w:p>
    <w:p w14:paraId="24AD906A" w14:textId="77777777" w:rsidR="005238FD" w:rsidRPr="003441FD" w:rsidRDefault="005238FD" w:rsidP="00E84BFE">
      <w:pPr>
        <w:spacing w:line="360" w:lineRule="auto"/>
        <w:contextualSpacing/>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El Sujeto Obligado a través del Titular de la Unidad de Transparencia proporcionó las actas del Comité de Transparencia de enero de junio de dos mil veinticinco.</w:t>
      </w:r>
    </w:p>
    <w:p w14:paraId="318A095A" w14:textId="77777777" w:rsidR="005238FD" w:rsidRPr="003441FD" w:rsidRDefault="005238FD" w:rsidP="00E84BFE">
      <w:pPr>
        <w:spacing w:line="360" w:lineRule="auto"/>
        <w:contextualSpacing/>
        <w:jc w:val="both"/>
        <w:rPr>
          <w:rFonts w:ascii="Palatino Linotype" w:eastAsia="Palatino Linotype" w:hAnsi="Palatino Linotype" w:cs="Palatino Linotype"/>
          <w:sz w:val="22"/>
          <w:szCs w:val="22"/>
        </w:rPr>
      </w:pPr>
    </w:p>
    <w:p w14:paraId="1795892E"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Interno de Obra Pública;</w:t>
      </w:r>
    </w:p>
    <w:p w14:paraId="5EBC6820"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Obra Pública, del cinco de febrero de dos mil veinticinco.</w:t>
      </w:r>
    </w:p>
    <w:p w14:paraId="7CF37939"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Obra Pública, del veintiocho de febrero de dos mil veinticinco.</w:t>
      </w:r>
    </w:p>
    <w:p w14:paraId="237E8B9A"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Obra Pública, del veintitrés de abril de dos mil veinticinco.</w:t>
      </w:r>
    </w:p>
    <w:p w14:paraId="48BE4B37"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Tercera Sesión Ordinaria del Comité Interno de Obra Pública, del veintiuno de mayo de dos mil veinticinco.</w:t>
      </w:r>
    </w:p>
    <w:p w14:paraId="475866A1" w14:textId="77777777" w:rsidR="005238FD" w:rsidRPr="003441FD" w:rsidRDefault="005238FD" w:rsidP="00E84BFE">
      <w:pPr>
        <w:spacing w:line="360" w:lineRule="auto"/>
        <w:contextualSpacing/>
        <w:jc w:val="both"/>
        <w:rPr>
          <w:rFonts w:ascii="Palatino Linotype" w:eastAsia="Palatino Linotype" w:hAnsi="Palatino Linotype" w:cs="Palatino Linotype"/>
          <w:b/>
          <w:bCs/>
          <w:sz w:val="22"/>
          <w:szCs w:val="22"/>
        </w:rPr>
      </w:pPr>
    </w:p>
    <w:p w14:paraId="25660CAD"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Municipal de Dictámenes de Giro;</w:t>
      </w:r>
    </w:p>
    <w:p w14:paraId="570108AF"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sz w:val="22"/>
          <w:szCs w:val="22"/>
        </w:rPr>
        <w:t xml:space="preserve">Acta de Sesión de Instalación del Comité Municipal de Dictamen de Giro, del catorce de enero de dos mil veinticinco. </w:t>
      </w:r>
      <w:r w:rsidRPr="003441FD">
        <w:rPr>
          <w:rFonts w:ascii="Palatino Linotype" w:eastAsia="Palatino Linotype" w:hAnsi="Palatino Linotype" w:cs="Palatino Linotype"/>
          <w:b/>
          <w:bCs/>
          <w:sz w:val="22"/>
          <w:szCs w:val="22"/>
        </w:rPr>
        <w:t>(se dejaron visibles correos electrónicos no oficiales)</w:t>
      </w:r>
    </w:p>
    <w:p w14:paraId="5DB7187C"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sz w:val="22"/>
          <w:szCs w:val="22"/>
        </w:rPr>
        <w:t>Acta de la Primera Sesión Ordinaria del Comité Municipal de Dictamen de Giro, del trece de febrero de dos mil veinticinco.</w:t>
      </w:r>
    </w:p>
    <w:p w14:paraId="54333100"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sz w:val="22"/>
          <w:szCs w:val="22"/>
        </w:rPr>
        <w:t xml:space="preserve">Acta de la Primera Sesión Extraordinaria del Comité Municipal de Dictamen de Giro, del veintiuno de enero de dos mil veinticinco. </w:t>
      </w:r>
      <w:r w:rsidRPr="003441FD">
        <w:rPr>
          <w:rFonts w:ascii="Palatino Linotype" w:eastAsia="Palatino Linotype" w:hAnsi="Palatino Linotype" w:cs="Palatino Linotype"/>
          <w:b/>
          <w:bCs/>
          <w:sz w:val="22"/>
          <w:szCs w:val="22"/>
        </w:rPr>
        <w:t>(clasifican nombre de particulares)</w:t>
      </w:r>
    </w:p>
    <w:p w14:paraId="4AEBB2AD"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sz w:val="22"/>
          <w:szCs w:val="22"/>
        </w:rPr>
        <w:lastRenderedPageBreak/>
        <w:t xml:space="preserve">Acta de la Segunda Sesión Extraordinaria del Comité Municipal de Dictamen de Giro, del veintisiete de marzo de dos mil veinticinco. </w:t>
      </w:r>
      <w:r w:rsidRPr="003441FD">
        <w:rPr>
          <w:rFonts w:ascii="Palatino Linotype" w:eastAsia="Palatino Linotype" w:hAnsi="Palatino Linotype" w:cs="Palatino Linotype"/>
          <w:b/>
          <w:bCs/>
          <w:sz w:val="22"/>
          <w:szCs w:val="22"/>
        </w:rPr>
        <w:t>(clasifican nombre de particulares)</w:t>
      </w:r>
    </w:p>
    <w:p w14:paraId="4F328358"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la Tercera Sesión Extraordinaria del Comité Municipal de Dictamen de Giro, del treinta de abril de dos mil veinticinco. </w:t>
      </w:r>
      <w:r w:rsidRPr="003441FD">
        <w:rPr>
          <w:rFonts w:ascii="Palatino Linotype" w:eastAsia="Palatino Linotype" w:hAnsi="Palatino Linotype" w:cs="Palatino Linotype"/>
          <w:b/>
          <w:bCs/>
          <w:sz w:val="22"/>
          <w:szCs w:val="22"/>
        </w:rPr>
        <w:t>(clasifican nombre de particulares)</w:t>
      </w:r>
    </w:p>
    <w:p w14:paraId="5FE5A168" w14:textId="77777777" w:rsidR="005238FD" w:rsidRPr="003441FD" w:rsidRDefault="005238FD" w:rsidP="00E84BFE">
      <w:pPr>
        <w:pStyle w:val="Prrafodelista"/>
        <w:spacing w:line="360" w:lineRule="auto"/>
        <w:jc w:val="both"/>
        <w:rPr>
          <w:rFonts w:ascii="Palatino Linotype" w:eastAsia="Palatino Linotype" w:hAnsi="Palatino Linotype" w:cs="Palatino Linotype"/>
          <w:b/>
          <w:bCs/>
          <w:sz w:val="22"/>
          <w:szCs w:val="22"/>
        </w:rPr>
      </w:pPr>
    </w:p>
    <w:p w14:paraId="076DF5D7"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Planeación para el Desarrollo Municipal;</w:t>
      </w:r>
    </w:p>
    <w:p w14:paraId="744A9943"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sz w:val="22"/>
          <w:szCs w:val="22"/>
        </w:rPr>
        <w:t xml:space="preserve">Acta de la Sesión de Instalación del Comité de Planeación para el Desarrollo Municipal, del treinta y uno de enero de dos mil veinticinco. </w:t>
      </w:r>
      <w:r w:rsidRPr="003441FD">
        <w:rPr>
          <w:rFonts w:ascii="Palatino Linotype" w:eastAsia="Palatino Linotype" w:hAnsi="Palatino Linotype" w:cs="Palatino Linotype"/>
          <w:b/>
          <w:bCs/>
          <w:sz w:val="22"/>
          <w:szCs w:val="22"/>
        </w:rPr>
        <w:t>(Calendario de Sesiones)</w:t>
      </w:r>
    </w:p>
    <w:p w14:paraId="6CE69BA5"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de Planeación para el Desarrollo Municipal, del veinticinco de marzo de dos mil veinticinco</w:t>
      </w:r>
    </w:p>
    <w:p w14:paraId="65EDEFF7" w14:textId="77777777" w:rsidR="005238FD" w:rsidRPr="003441FD" w:rsidRDefault="005238FD" w:rsidP="00E84BFE">
      <w:pPr>
        <w:pStyle w:val="Prrafodelista"/>
        <w:numPr>
          <w:ilvl w:val="0"/>
          <w:numId w:val="36"/>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de Planeación para el Desarrollo Municipal, del veintidós de abril de dos mil veinticinco.</w:t>
      </w:r>
    </w:p>
    <w:p w14:paraId="69ACF088" w14:textId="77777777" w:rsidR="005238FD" w:rsidRPr="003441FD" w:rsidRDefault="005238FD" w:rsidP="00E84BFE">
      <w:pPr>
        <w:spacing w:line="360" w:lineRule="auto"/>
        <w:contextualSpacing/>
        <w:rPr>
          <w:rFonts w:ascii="Palatino Linotype" w:hAnsi="Palatino Linotype"/>
          <w:sz w:val="22"/>
          <w:szCs w:val="22"/>
        </w:rPr>
      </w:pPr>
    </w:p>
    <w:p w14:paraId="1CAF0CDE" w14:textId="47B40D2E" w:rsidR="005238FD" w:rsidRPr="005238FD" w:rsidRDefault="005238FD" w:rsidP="00E84BFE">
      <w:pPr>
        <w:pStyle w:val="Prrafodelista"/>
        <w:numPr>
          <w:ilvl w:val="0"/>
          <w:numId w:val="37"/>
        </w:numPr>
        <w:spacing w:line="360" w:lineRule="auto"/>
        <w:rPr>
          <w:rFonts w:ascii="Palatino Linotype" w:hAnsi="Palatino Linotype"/>
          <w:b/>
          <w:bCs/>
          <w:sz w:val="22"/>
          <w:szCs w:val="22"/>
        </w:rPr>
      </w:pPr>
      <w:r w:rsidRPr="003441FD">
        <w:rPr>
          <w:rFonts w:ascii="Palatino Linotype" w:hAnsi="Palatino Linotype"/>
          <w:b/>
          <w:bCs/>
          <w:sz w:val="22"/>
          <w:szCs w:val="22"/>
        </w:rPr>
        <w:t>Comités Internos de Mejora Regulatoria</w:t>
      </w:r>
    </w:p>
    <w:p w14:paraId="028D72D9"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Mejora Regulatoria del trece de enero de dos mil veinticinco.</w:t>
      </w:r>
    </w:p>
    <w:p w14:paraId="077BAC47"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Interno de Mejora Regulatoria del dieciséis de enero de dos mil veinticinco.</w:t>
      </w:r>
    </w:p>
    <w:p w14:paraId="2E8CD12D"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Mejora Regulatoria del seis de febrero de dos mil veinticinco.</w:t>
      </w:r>
    </w:p>
    <w:p w14:paraId="6B416A5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Mejora Regulatoria del veinticinco de marzo de dos mil veinticinco.</w:t>
      </w:r>
    </w:p>
    <w:p w14:paraId="4799E66F"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Tercera Sesión Ordinaria del Comité Interno de Mejora Regulatoria del once de junio de dos mil veinticinco.</w:t>
      </w:r>
    </w:p>
    <w:p w14:paraId="762A099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la Segunda Sesión Extraordinaria del Comité Interno de Mejora Regulatoria del veintitrés de abril de dos mil veinticinco.</w:t>
      </w:r>
    </w:p>
    <w:p w14:paraId="45BDBFF7"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Salud del dieciocho de marzo de dos mil veinticinco.</w:t>
      </w:r>
    </w:p>
    <w:p w14:paraId="1B7A3AE1"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Mejora Regulatoria de la Dirección General de Seguridad y Protección, del seis de febrero de dos mil veinticinco.</w:t>
      </w:r>
    </w:p>
    <w:p w14:paraId="3B317C8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Interno de Mejora Regulatoria de la Dirección General de Seguridad y Protección, del veintidós de abril de dos mil veinticinco.</w:t>
      </w:r>
    </w:p>
    <w:p w14:paraId="748399D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Mejora Regulatoria de la Dirección General de Seguridad y Protección, del diez de enero de dos mil veinticinco.</w:t>
      </w:r>
    </w:p>
    <w:p w14:paraId="77B0BF0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Mejora Regulatoria de la Dirección General de Seguridad y Protección, del veinticuatro de marzo de dos mil veinticinco.</w:t>
      </w:r>
    </w:p>
    <w:p w14:paraId="529DD3D9"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Tercera Sesión Ordinaria del Comité Interno de Mejora Regulatoria de la Dirección General de Seguridad y Protección, del nueve de junio de dos mil veinticinco.</w:t>
      </w:r>
    </w:p>
    <w:p w14:paraId="0BD5175C"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Mejora Regulatoria de la Defensoría Municipal de Derechos Humanos, del catorce de enero de dos mil veinticinco.</w:t>
      </w:r>
    </w:p>
    <w:p w14:paraId="08EDCAA4"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Mejora Regulatoria de la Defensoría Municipal de Derechos Humanos, del veintiséis de marzo de dos mil veinticinco.</w:t>
      </w:r>
    </w:p>
    <w:p w14:paraId="25839B1F"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Mejora Regulatoria de la Defensoría Municipal de Derechos Humanos, del doce de junio de dos mil veinticinco.</w:t>
      </w:r>
    </w:p>
    <w:p w14:paraId="44E2A7D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la Primera Sesión Ordinaria del Comité Interno de Mejora Regulatoria de la Dirección General de Medio Ambiente, del seis de febrero de dos mil veinticinco</w:t>
      </w:r>
    </w:p>
    <w:p w14:paraId="464CAF34"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Mejora Regulatoria de la Dirección General de Medio Ambiente, del veintisiete de marzo de dos mil veinticinco.</w:t>
      </w:r>
    </w:p>
    <w:p w14:paraId="06EA332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Tercera Sesión Ordinaria del Comité Interno de Mejora Regulatoria de la Dirección General de Medio Ambiente, del doce de junio de dos mil veinticinco.</w:t>
      </w:r>
    </w:p>
    <w:p w14:paraId="61B97A7E"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Instalación del Comité Interno de Mejora Regulatoria del trece de enero de dos mil veinticinco. </w:t>
      </w:r>
    </w:p>
    <w:p w14:paraId="239D225F"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Mejora Regulatoria de la Dirección General de Obras Públicas, del nueve de enero de dos mil veinticinco.</w:t>
      </w:r>
    </w:p>
    <w:p w14:paraId="5E3C4DE2"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Interno de Mejora Regulatoria de la Dirección General de Obras Públicas, del veintidós de abril de dos mil veinticinco.</w:t>
      </w:r>
    </w:p>
    <w:p w14:paraId="4A84B9DB"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Interno de Mejora Regulatoria de la Dirección General de Obras Públicas, del nueve de enero de dos mil veinticinco.</w:t>
      </w:r>
    </w:p>
    <w:p w14:paraId="60DAEFD5"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Mejora Regulatoria de la Dirección General de Obras Públicas, del seis de febrero de dos mil veinticinco.</w:t>
      </w:r>
    </w:p>
    <w:p w14:paraId="4A2FA016"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Ordinaria del Comité Interno de Mejora Regulatoria de la Dirección General de Obras Públicas, del veintiuno de marzo de dos mil veinticinco.</w:t>
      </w:r>
    </w:p>
    <w:p w14:paraId="201D407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Tercera Sesión Ordinaria del Comité Interno de Mejora Regulatoria de la Dirección General de Obras Públicas, del once de junio de dos mil veinticinco.</w:t>
      </w:r>
    </w:p>
    <w:p w14:paraId="1D3DD75D"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Interno de Mejora Regulatoria de la Dirección General de Bienestar, del siete de febrero de dos mil veinticinco.</w:t>
      </w:r>
    </w:p>
    <w:p w14:paraId="687BD9FB"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la Segunda Sesión Ordinaria del Comité Interno de Mejora Regulatoria de la Dirección General de Bienestar, del dieciséis de junio de dos mil veinticinco.</w:t>
      </w:r>
    </w:p>
    <w:p w14:paraId="72667229"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Segunda Sesión Extraordinaria del Comité Interno de Mejora Regulatoria de la Dirección General de Bienestar, del treinta de abril de dos mil veinticinco.</w:t>
      </w:r>
    </w:p>
    <w:p w14:paraId="5F367206"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Comité Interno de Mejora Regulatoria de la Dirección General de Bienestar, del veintiséis de marzo de dos mil veinticinco.</w:t>
      </w:r>
    </w:p>
    <w:p w14:paraId="46C13602" w14:textId="77777777" w:rsidR="005238FD" w:rsidRPr="003441FD" w:rsidRDefault="005238FD" w:rsidP="00E84BFE">
      <w:pPr>
        <w:pStyle w:val="Prrafodelista"/>
        <w:tabs>
          <w:tab w:val="left" w:pos="4667"/>
        </w:tabs>
        <w:spacing w:line="360" w:lineRule="auto"/>
        <w:jc w:val="both"/>
        <w:rPr>
          <w:rFonts w:ascii="Palatino Linotype" w:eastAsia="Palatino Linotype" w:hAnsi="Palatino Linotype" w:cs="Palatino Linotype"/>
          <w:sz w:val="22"/>
          <w:szCs w:val="22"/>
        </w:rPr>
      </w:pPr>
    </w:p>
    <w:p w14:paraId="5E416A4E" w14:textId="616A7261" w:rsidR="005238FD" w:rsidRPr="003441FD" w:rsidRDefault="005238FD" w:rsidP="00E84BFE">
      <w:pPr>
        <w:spacing w:line="360" w:lineRule="auto"/>
        <w:contextualSpacing/>
        <w:rPr>
          <w:rFonts w:ascii="Palatino Linotype" w:hAnsi="Palatino Linotype"/>
          <w:b/>
          <w:bCs/>
          <w:sz w:val="22"/>
          <w:szCs w:val="22"/>
        </w:rPr>
      </w:pPr>
      <w:r w:rsidRPr="003441FD">
        <w:rPr>
          <w:rFonts w:ascii="Palatino Linotype" w:hAnsi="Palatino Linotype"/>
          <w:b/>
          <w:bCs/>
          <w:sz w:val="22"/>
          <w:szCs w:val="22"/>
        </w:rPr>
        <w:t>Actas de comisiones edilicias y consejos</w:t>
      </w:r>
    </w:p>
    <w:p w14:paraId="0E981638"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y dictamen de la Segunda Sesión Extraordinaria de la Comisión Edilicia de Hacienda (Ingresos) en versión pública, del cuatro de marzo de dos mil veinticinco. </w:t>
      </w:r>
      <w:r w:rsidRPr="003441FD">
        <w:rPr>
          <w:rFonts w:ascii="Palatino Linotype" w:eastAsia="Palatino Linotype" w:hAnsi="Palatino Linotype" w:cs="Palatino Linotype"/>
          <w:b/>
          <w:bCs/>
          <w:sz w:val="22"/>
          <w:szCs w:val="22"/>
        </w:rPr>
        <w:t>(en el dictamen clasifican número de oficios y de expedientes, clave catastral, denominación de inmuebles federales, domicilios de inmuebles, impuestos y montos)</w:t>
      </w:r>
    </w:p>
    <w:p w14:paraId="7B991AB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y dictamen de la Primera Sesión Extraordinaria de la Comisión Edilicia de Hacienda (Ingresos) en versión pública, del doce de febrero de dos mil veinticinco. </w:t>
      </w:r>
      <w:r w:rsidRPr="003441FD">
        <w:rPr>
          <w:rFonts w:ascii="Palatino Linotype" w:eastAsia="Palatino Linotype" w:hAnsi="Palatino Linotype" w:cs="Palatino Linotype"/>
          <w:b/>
          <w:bCs/>
          <w:sz w:val="22"/>
          <w:szCs w:val="22"/>
        </w:rPr>
        <w:t>(clasifican número de expedientes de expedientes de exentos de pago de impuesto de trámites del registro civil, domicilio de fosa común)</w:t>
      </w:r>
    </w:p>
    <w:p w14:paraId="3BA1C28E"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y dictamen de la Tercera Sesión Extraordinaria de la Comisión Edilicia de Hacienda (Ingresos), del primero de abril de dos mil veinticinco.</w:t>
      </w:r>
    </w:p>
    <w:p w14:paraId="47B19BB9"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la Cuarta Sesión Extraordinaria de la Comisión Edilicia de Hacienda (Ingresos) en versión pública, del veinte de mayo de dos mil veinticinco. </w:t>
      </w:r>
      <w:r w:rsidRPr="003441FD">
        <w:rPr>
          <w:rFonts w:ascii="Palatino Linotype" w:eastAsia="Palatino Linotype" w:hAnsi="Palatino Linotype" w:cs="Palatino Linotype"/>
          <w:b/>
          <w:bCs/>
          <w:sz w:val="22"/>
          <w:szCs w:val="22"/>
        </w:rPr>
        <w:t>(Clasifican clave catastral y domicilio de inmuebles)</w:t>
      </w:r>
    </w:p>
    <w:p w14:paraId="03AFF5C2"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la Segunda Sesión Ordinaria de la Comisión Edilicia de Hacienda (Ingresos) en versión pública, del veinticinco de abril de dos mil veinticinco. </w:t>
      </w:r>
      <w:r w:rsidRPr="003441FD">
        <w:rPr>
          <w:rFonts w:ascii="Palatino Linotype" w:eastAsia="Palatino Linotype" w:hAnsi="Palatino Linotype" w:cs="Palatino Linotype"/>
          <w:b/>
          <w:bCs/>
          <w:sz w:val="22"/>
          <w:szCs w:val="22"/>
        </w:rPr>
        <w:t>(en el dictamen clasifican número de oficios, de expedientes, nombre y domicilio de exentos de pago de impuesto, denominación de inmuebles)</w:t>
      </w:r>
    </w:p>
    <w:p w14:paraId="1073B606"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Instalación de la Comisión Edilicia de Hacienda y Primera Sesión Ordinaria del veintidós de enero de dos mil veinticinco.</w:t>
      </w:r>
    </w:p>
    <w:p w14:paraId="421AAD8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 la Comisión Edilicia de Atención a la Violencia en contra de las Mujeres, del veintisiete de enero de dos mil veinticinco.</w:t>
      </w:r>
    </w:p>
    <w:p w14:paraId="14806B2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 la Comisión Edilicia de Turismo, del treinta de enero de dos mil veinticinco.</w:t>
      </w:r>
    </w:p>
    <w:p w14:paraId="1D9BF08B"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 la Comisión Edilicia de Educación y Cultura, del cuatro de febrero de dos mil veinticinco.</w:t>
      </w:r>
    </w:p>
    <w:p w14:paraId="0267C683"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Sesión de Instalación de la Comisión Edilicia de Fomento Agropecuario y Forestal, del veinticinco de febrero de dos mil veinticinco.</w:t>
      </w:r>
    </w:p>
    <w:p w14:paraId="6237440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Integración de la Subcomisión de Seguridad e Higiene, del siete de enero de dos mil veinticinco.</w:t>
      </w:r>
    </w:p>
    <w:p w14:paraId="7D3A132A"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Instalación y Primera Sesión Ordinaria del Consejo Municipal de Seguridad Pública en versión pública, del veintiocho de enero de dos mil veinticinco. </w:t>
      </w:r>
      <w:r w:rsidRPr="003441FD">
        <w:rPr>
          <w:rFonts w:ascii="Palatino Linotype" w:eastAsia="Palatino Linotype" w:hAnsi="Palatino Linotype" w:cs="Palatino Linotype"/>
          <w:b/>
          <w:bCs/>
          <w:sz w:val="22"/>
          <w:szCs w:val="22"/>
        </w:rPr>
        <w:t>(Clasificó datos que no se justificaron a través del comité de transparencia)</w:t>
      </w:r>
      <w:r w:rsidRPr="003441FD">
        <w:rPr>
          <w:rFonts w:ascii="Palatino Linotype" w:eastAsia="Palatino Linotype" w:hAnsi="Palatino Linotype" w:cs="Palatino Linotype"/>
          <w:sz w:val="22"/>
          <w:szCs w:val="22"/>
        </w:rPr>
        <w:t>.</w:t>
      </w:r>
    </w:p>
    <w:p w14:paraId="37FE39CE"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 xml:space="preserve">Acta de la Segunda Sesión Ordinaria del Consejo Municipal de Seguridad Pública en versión pública, del veintinueve de abril de dos mil veinticinco. </w:t>
      </w:r>
      <w:r w:rsidRPr="003441FD">
        <w:rPr>
          <w:rFonts w:ascii="Palatino Linotype" w:eastAsia="Palatino Linotype" w:hAnsi="Palatino Linotype" w:cs="Palatino Linotype"/>
          <w:b/>
          <w:bCs/>
          <w:sz w:val="22"/>
          <w:szCs w:val="22"/>
        </w:rPr>
        <w:t>(Clasificó datos que no se justificaron a través del comité de transparencia)</w:t>
      </w:r>
      <w:r w:rsidRPr="003441FD">
        <w:rPr>
          <w:rFonts w:ascii="Palatino Linotype" w:eastAsia="Palatino Linotype" w:hAnsi="Palatino Linotype" w:cs="Palatino Linotype"/>
          <w:sz w:val="22"/>
          <w:szCs w:val="22"/>
        </w:rPr>
        <w:t>.</w:t>
      </w:r>
    </w:p>
    <w:p w14:paraId="2EFC5DF1"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Ordinaria del Consejo Directivo del Instituto Municipal de la Mujer, del veintiuno de febrero de dos mil veinticinco.</w:t>
      </w:r>
    </w:p>
    <w:p w14:paraId="22ACB2AE"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Sesión de Instalación del Consejo Directivo del Instituto Municipal de la Mujer, del veinte de enero de dos mil veinticinco.</w:t>
      </w:r>
    </w:p>
    <w:p w14:paraId="564F85AA" w14:textId="77777777" w:rsidR="005238FD" w:rsidRPr="003441FD" w:rsidRDefault="005238FD" w:rsidP="00E84BFE">
      <w:pPr>
        <w:pStyle w:val="Prrafodelista"/>
        <w:spacing w:line="360" w:lineRule="auto"/>
        <w:jc w:val="both"/>
        <w:rPr>
          <w:rFonts w:ascii="Palatino Linotype" w:eastAsia="Palatino Linotype" w:hAnsi="Palatino Linotype" w:cs="Palatino Linotype"/>
          <w:b/>
          <w:bCs/>
          <w:sz w:val="22"/>
          <w:szCs w:val="22"/>
        </w:rPr>
      </w:pPr>
    </w:p>
    <w:p w14:paraId="43C7BD66"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Los demás que ordene la legislación estatal y federal vigente.</w:t>
      </w:r>
    </w:p>
    <w:p w14:paraId="60B9C872"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Municipal para la Protección contra riesgos sanitarios del dieciocho de marzo de dos mil veinticinco.</w:t>
      </w:r>
    </w:p>
    <w:p w14:paraId="524BA7D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lastRenderedPageBreak/>
        <w:t>Acta de la Primera Sesión del Comité Municipal para la Protección contra riesgos sanitarios del cuatro de junio de dos mil veinticinco.</w:t>
      </w:r>
    </w:p>
    <w:p w14:paraId="3B71ADB4"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Primera Sesión Extraordinaria del Comité Municipal para la Protección contra riesgos sanitarios del diecinueve de junio de dos mil veinticinco.</w:t>
      </w:r>
    </w:p>
    <w:p w14:paraId="1321B5C0" w14:textId="77777777" w:rsidR="005238FD" w:rsidRPr="003441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Instalación del Comité Municipal contra las Adicciones del dieciocho de marzo de dos mil veinticinco.</w:t>
      </w:r>
    </w:p>
    <w:p w14:paraId="41C87FBA" w14:textId="365AB2B1" w:rsidR="005238FD" w:rsidRDefault="005238FD" w:rsidP="00E84BFE">
      <w:pPr>
        <w:pStyle w:val="Prrafodelista"/>
        <w:numPr>
          <w:ilvl w:val="0"/>
          <w:numId w:val="35"/>
        </w:numPr>
        <w:tabs>
          <w:tab w:val="left" w:pos="4667"/>
        </w:tabs>
        <w:spacing w:line="360" w:lineRule="auto"/>
        <w:jc w:val="both"/>
        <w:rPr>
          <w:rFonts w:ascii="Palatino Linotype" w:eastAsia="Palatino Linotype" w:hAnsi="Palatino Linotype" w:cs="Palatino Linotype"/>
          <w:sz w:val="22"/>
          <w:szCs w:val="22"/>
        </w:rPr>
      </w:pPr>
      <w:r w:rsidRPr="003441FD">
        <w:rPr>
          <w:rFonts w:ascii="Palatino Linotype" w:eastAsia="Palatino Linotype" w:hAnsi="Palatino Linotype" w:cs="Palatino Linotype"/>
          <w:sz w:val="22"/>
          <w:szCs w:val="22"/>
        </w:rPr>
        <w:t>Acta de la Sesión de Instalación y Toma de Protesta del Grupo Municipal para la Prevención del Embarazo Adolescente, del veintiséis de marzo de dos mil veinticinco.</w:t>
      </w:r>
    </w:p>
    <w:p w14:paraId="3F76CD50" w14:textId="77777777" w:rsidR="005238FD" w:rsidRPr="005238FD" w:rsidRDefault="005238FD" w:rsidP="00E84BFE">
      <w:pPr>
        <w:pStyle w:val="Prrafodelista"/>
        <w:tabs>
          <w:tab w:val="left" w:pos="4667"/>
        </w:tabs>
        <w:spacing w:line="360" w:lineRule="auto"/>
        <w:jc w:val="both"/>
        <w:rPr>
          <w:rFonts w:ascii="Palatino Linotype" w:eastAsia="Palatino Linotype" w:hAnsi="Palatino Linotype" w:cs="Palatino Linotype"/>
          <w:sz w:val="22"/>
          <w:szCs w:val="22"/>
        </w:rPr>
      </w:pPr>
    </w:p>
    <w:p w14:paraId="43D8ECBE" w14:textId="77777777" w:rsidR="005238FD" w:rsidRPr="003441FD" w:rsidRDefault="005238FD" w:rsidP="00E84BFE">
      <w:pPr>
        <w:spacing w:line="360" w:lineRule="auto"/>
        <w:contextualSpacing/>
        <w:rPr>
          <w:rFonts w:ascii="Palatino Linotype" w:hAnsi="Palatino Linotype"/>
          <w:b/>
          <w:bCs/>
          <w:sz w:val="22"/>
          <w:szCs w:val="22"/>
        </w:rPr>
      </w:pPr>
      <w:r w:rsidRPr="003441FD">
        <w:rPr>
          <w:rFonts w:ascii="Palatino Linotype" w:hAnsi="Palatino Linotype"/>
          <w:b/>
          <w:bCs/>
          <w:sz w:val="22"/>
          <w:szCs w:val="22"/>
        </w:rPr>
        <w:t>No se pronunció sobre los siguientes comités</w:t>
      </w:r>
    </w:p>
    <w:p w14:paraId="73FF1D9F" w14:textId="77777777" w:rsidR="005238FD" w:rsidRPr="003441FD" w:rsidRDefault="005238FD" w:rsidP="00E84BFE">
      <w:pPr>
        <w:spacing w:line="360" w:lineRule="auto"/>
        <w:contextualSpacing/>
        <w:rPr>
          <w:rFonts w:ascii="Palatino Linotype" w:hAnsi="Palatino Linotype"/>
          <w:b/>
          <w:bCs/>
          <w:sz w:val="22"/>
          <w:szCs w:val="22"/>
        </w:rPr>
      </w:pPr>
    </w:p>
    <w:p w14:paraId="1D204C7B"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Adquisiciones y Servicios;</w:t>
      </w:r>
    </w:p>
    <w:p w14:paraId="7B22DDED"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Arrendamientos y Adquisiciones de Inmuebles y Enajenaciones;</w:t>
      </w:r>
    </w:p>
    <w:p w14:paraId="03A8C5BC"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Bienes Muebles e Inmuebles; y</w:t>
      </w:r>
    </w:p>
    <w:p w14:paraId="7CB681DA" w14:textId="77777777" w:rsidR="005238FD" w:rsidRPr="003441FD" w:rsidRDefault="005238FD" w:rsidP="00E84BFE">
      <w:pPr>
        <w:pStyle w:val="Prrafodelista"/>
        <w:numPr>
          <w:ilvl w:val="0"/>
          <w:numId w:val="37"/>
        </w:numPr>
        <w:spacing w:line="360" w:lineRule="auto"/>
        <w:jc w:val="both"/>
        <w:rPr>
          <w:rFonts w:ascii="Palatino Linotype" w:eastAsia="Palatino Linotype" w:hAnsi="Palatino Linotype" w:cs="Palatino Linotype"/>
          <w:b/>
          <w:bCs/>
          <w:sz w:val="22"/>
          <w:szCs w:val="22"/>
        </w:rPr>
      </w:pPr>
      <w:r w:rsidRPr="003441FD">
        <w:rPr>
          <w:rFonts w:ascii="Palatino Linotype" w:eastAsia="Palatino Linotype" w:hAnsi="Palatino Linotype" w:cs="Palatino Linotype"/>
          <w:b/>
          <w:bCs/>
          <w:sz w:val="22"/>
          <w:szCs w:val="22"/>
        </w:rPr>
        <w:t>Comité de Prevención y Control del Crecimiento Urbano.</w:t>
      </w:r>
    </w:p>
    <w:p w14:paraId="00A0901F" w14:textId="77777777" w:rsidR="005238FD" w:rsidRPr="003441FD" w:rsidRDefault="005238FD" w:rsidP="00E84BFE">
      <w:pPr>
        <w:spacing w:line="360" w:lineRule="auto"/>
        <w:contextualSpacing/>
        <w:rPr>
          <w:rFonts w:ascii="Palatino Linotype" w:hAnsi="Palatino Linotype"/>
          <w:b/>
          <w:bCs/>
          <w:sz w:val="22"/>
          <w:szCs w:val="22"/>
        </w:rPr>
      </w:pPr>
    </w:p>
    <w:p w14:paraId="4C695CDD" w14:textId="6F38EF30" w:rsidR="007D3CFE" w:rsidRDefault="007D3CFE"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y de la revisión de los documentos proporcionados se advierte que </w:t>
      </w:r>
      <w:r w:rsidR="00F6083E">
        <w:rPr>
          <w:rFonts w:ascii="Palatino Linotype" w:eastAsia="Palatino Linotype" w:hAnsi="Palatino Linotype" w:cs="Palatino Linotype"/>
          <w:sz w:val="22"/>
          <w:szCs w:val="22"/>
        </w:rPr>
        <w:t xml:space="preserve">los documentos remitidos </w:t>
      </w:r>
      <w:r>
        <w:rPr>
          <w:rFonts w:ascii="Palatino Linotype" w:eastAsia="Palatino Linotype" w:hAnsi="Palatino Linotype" w:cs="Palatino Linotype"/>
          <w:sz w:val="22"/>
          <w:szCs w:val="22"/>
        </w:rPr>
        <w:t>no puede</w:t>
      </w:r>
      <w:r w:rsidR="00E1641D">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 xml:space="preserve"> ser validad</w:t>
      </w:r>
      <w:r w:rsidR="00E1641D">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en su totalidad con base en las siguientes consideraciones:</w:t>
      </w:r>
    </w:p>
    <w:p w14:paraId="011C56F1" w14:textId="77777777" w:rsidR="007D3CFE" w:rsidRDefault="007D3CFE" w:rsidP="00E84BFE">
      <w:pPr>
        <w:spacing w:line="360" w:lineRule="auto"/>
        <w:contextualSpacing/>
        <w:jc w:val="both"/>
        <w:rPr>
          <w:rFonts w:ascii="Palatino Linotype" w:eastAsia="Palatino Linotype" w:hAnsi="Palatino Linotype" w:cs="Palatino Linotype"/>
          <w:sz w:val="22"/>
          <w:szCs w:val="22"/>
        </w:rPr>
      </w:pPr>
      <w:bookmarkStart w:id="17" w:name="_Hlk215678983"/>
    </w:p>
    <w:p w14:paraId="37401386" w14:textId="4E3ADB99" w:rsidR="007D3CFE" w:rsidRDefault="007D3CFE"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proporcionó las actas de aprobación por cabildo</w:t>
      </w:r>
      <w:r w:rsidR="00F6083E">
        <w:rPr>
          <w:rFonts w:ascii="Palatino Linotype" w:eastAsia="Palatino Linotype" w:hAnsi="Palatino Linotype" w:cs="Palatino Linotype"/>
          <w:sz w:val="22"/>
          <w:szCs w:val="22"/>
        </w:rPr>
        <w:t xml:space="preserve"> de todos los comités con los que cuenta el Sujeto Obligado</w:t>
      </w:r>
      <w:r>
        <w:rPr>
          <w:rFonts w:ascii="Palatino Linotype" w:eastAsia="Palatino Linotype" w:hAnsi="Palatino Linotype" w:cs="Palatino Linotype"/>
          <w:sz w:val="22"/>
          <w:szCs w:val="22"/>
        </w:rPr>
        <w:t xml:space="preserve">; </w:t>
      </w:r>
    </w:p>
    <w:p w14:paraId="0E4B7F3A" w14:textId="782785F9" w:rsidR="00F6083E" w:rsidRDefault="00F6083E"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actas del Comité de Transparencia se encuentran incompletas al omitir turnar las marcadas con los números </w:t>
      </w:r>
      <w:r w:rsidRPr="00F6083E">
        <w:rPr>
          <w:rFonts w:ascii="Palatino Linotype" w:hAnsi="Palatino Linotype"/>
          <w:sz w:val="22"/>
          <w:szCs w:val="22"/>
        </w:rPr>
        <w:t>372, 547, 564, 565</w:t>
      </w:r>
      <w:r>
        <w:rPr>
          <w:rFonts w:ascii="Palatino Linotype" w:hAnsi="Palatino Linotype"/>
          <w:sz w:val="22"/>
          <w:szCs w:val="22"/>
        </w:rPr>
        <w:t xml:space="preserve"> conforme a las carpetas comprimidas remitidas en respuesta.</w:t>
      </w:r>
    </w:p>
    <w:p w14:paraId="3BA12B6B" w14:textId="388783A4" w:rsidR="00F6083E" w:rsidRDefault="00F6083E"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No proporcionó las actas de los comités remitidos en toda la temporalidad requerida</w:t>
      </w:r>
      <w:r w:rsidR="00EC7506">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es decir, del primero de enero al dieciocho de junio de dos mil veinticinco;</w:t>
      </w:r>
    </w:p>
    <w:p w14:paraId="3039C975" w14:textId="1B96C4CE" w:rsidR="007D3CFE" w:rsidRDefault="007D3CFE"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versiones públicas</w:t>
      </w:r>
      <w:r w:rsidR="00EC7506">
        <w:rPr>
          <w:rFonts w:ascii="Palatino Linotype" w:eastAsia="Palatino Linotype" w:hAnsi="Palatino Linotype" w:cs="Palatino Linotype"/>
          <w:sz w:val="22"/>
          <w:szCs w:val="22"/>
        </w:rPr>
        <w:t xml:space="preserve"> de las actas de la sesión de instalación, de la primera y tercera sesiones extraordinarias del Comité Municipal de Dictámenes de Giro</w:t>
      </w:r>
      <w:r>
        <w:rPr>
          <w:rFonts w:ascii="Palatino Linotype" w:eastAsia="Palatino Linotype" w:hAnsi="Palatino Linotype" w:cs="Palatino Linotype"/>
          <w:sz w:val="22"/>
          <w:szCs w:val="22"/>
        </w:rPr>
        <w:t xml:space="preserve"> no se encuentran debidamente justificadas en virtud de que se localizó </w:t>
      </w:r>
      <w:r w:rsidR="00EC7506">
        <w:rPr>
          <w:rFonts w:ascii="Palatino Linotype" w:eastAsia="Palatino Linotype" w:hAnsi="Palatino Linotype" w:cs="Palatino Linotype"/>
          <w:sz w:val="22"/>
          <w:szCs w:val="22"/>
        </w:rPr>
        <w:t>el nombre de particulares y correos electrónicos no oficiales.</w:t>
      </w:r>
    </w:p>
    <w:p w14:paraId="33F26146" w14:textId="15854A41" w:rsidR="007D3CFE" w:rsidRDefault="00EC7506"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Remitió actas de comisiones edilicias y consejos municipales, sin embargo, no fueron requeridos por el particular</w:t>
      </w:r>
      <w:r w:rsidR="007D3CFE">
        <w:rPr>
          <w:rFonts w:ascii="Palatino Linotype" w:eastAsia="Palatino Linotype" w:hAnsi="Palatino Linotype" w:cs="Palatino Linotype"/>
          <w:sz w:val="22"/>
          <w:szCs w:val="22"/>
        </w:rPr>
        <w:t xml:space="preserve">.  </w:t>
      </w:r>
    </w:p>
    <w:p w14:paraId="748A971D" w14:textId="45578D0B" w:rsidR="007D3CFE" w:rsidRPr="006D490B" w:rsidRDefault="007D3CFE" w:rsidP="00E84BFE">
      <w:pPr>
        <w:pStyle w:val="Prrafodelista"/>
        <w:numPr>
          <w:ilvl w:val="0"/>
          <w:numId w:val="3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Omitió la entrega de</w:t>
      </w:r>
      <w:r w:rsidR="00EC7506">
        <w:rPr>
          <w:rFonts w:ascii="Palatino Linotype" w:eastAsia="Palatino Linotype" w:hAnsi="Palatino Linotype" w:cs="Palatino Linotype"/>
          <w:sz w:val="22"/>
          <w:szCs w:val="22"/>
        </w:rPr>
        <w:t xml:space="preserve"> las actas de los Comités establecidos en diversa normatividad estatal como lo son el Comité de Ética, y el Comité d</w:t>
      </w:r>
      <w:r w:rsidR="00F56120">
        <w:rPr>
          <w:rFonts w:ascii="Palatino Linotype" w:eastAsia="Palatino Linotype" w:hAnsi="Palatino Linotype" w:cs="Palatino Linotype"/>
          <w:sz w:val="22"/>
          <w:szCs w:val="22"/>
        </w:rPr>
        <w:t>e Participación Ciudadana del Sistema Municipal Anticorrupción</w:t>
      </w:r>
      <w:r>
        <w:rPr>
          <w:rFonts w:ascii="Palatino Linotype" w:eastAsia="Palatino Linotype" w:hAnsi="Palatino Linotype" w:cs="Palatino Linotype"/>
          <w:sz w:val="22"/>
          <w:szCs w:val="22"/>
        </w:rPr>
        <w:t>.</w:t>
      </w:r>
    </w:p>
    <w:bookmarkEnd w:id="17"/>
    <w:p w14:paraId="1FFDBE11" w14:textId="77777777" w:rsidR="005238FD" w:rsidRDefault="005238FD" w:rsidP="00E84BFE">
      <w:pPr>
        <w:spacing w:line="360" w:lineRule="auto"/>
        <w:contextualSpacing/>
        <w:jc w:val="both"/>
        <w:rPr>
          <w:rFonts w:ascii="Palatino Linotype" w:eastAsia="Palatino Linotype" w:hAnsi="Palatino Linotype" w:cs="Palatino Linotype"/>
          <w:b/>
          <w:bCs/>
          <w:sz w:val="22"/>
          <w:szCs w:val="22"/>
        </w:rPr>
      </w:pPr>
    </w:p>
    <w:p w14:paraId="3E8C5E60" w14:textId="709D821C" w:rsidR="00F56120" w:rsidRPr="00F56120" w:rsidRDefault="00F56120" w:rsidP="00E84BFE">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Así, se logra colegir que</w:t>
      </w:r>
      <w:r w:rsidR="00E1641D">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si bien el Sujeto Obligado proporcionó diversas actas de diversos comités solicitados, lo cierto es que las proporcionó de forma incompleta, sumado a que proporcionó la entrega de actas de comisiones edilicias y consejos municipales que no fueron requeridos por el ahora Recurrente; </w:t>
      </w:r>
      <w:r>
        <w:rPr>
          <w:rFonts w:ascii="Palatino Linotype" w:hAnsi="Palatino Linotype" w:cs="Tahoma"/>
          <w:bCs/>
          <w:iCs/>
          <w:color w:val="000000"/>
          <w:sz w:val="22"/>
          <w:szCs w:val="22"/>
        </w:rPr>
        <w:t>s</w:t>
      </w:r>
      <w:r w:rsidRPr="00A94A53">
        <w:rPr>
          <w:rFonts w:ascii="Palatino Linotype" w:hAnsi="Palatino Linotype" w:cs="Tahoma"/>
          <w:bCs/>
          <w:iCs/>
          <w:color w:val="000000"/>
          <w:sz w:val="22"/>
          <w:szCs w:val="22"/>
        </w:rPr>
        <w:t>obre el tema el artículo 1.8, del Código Administrativo del Estado de México, establece que para que un acto administrativo tenga validez, deberá atender todos los puntos solicitados.</w:t>
      </w:r>
    </w:p>
    <w:p w14:paraId="2A0D6E68" w14:textId="77777777" w:rsidR="00F56120" w:rsidRPr="00A94A53" w:rsidRDefault="00F56120" w:rsidP="00E84BFE">
      <w:pPr>
        <w:spacing w:line="360" w:lineRule="auto"/>
        <w:contextualSpacing/>
        <w:jc w:val="both"/>
        <w:rPr>
          <w:rFonts w:ascii="Palatino Linotype" w:hAnsi="Palatino Linotype" w:cs="Tahoma"/>
          <w:bCs/>
          <w:iCs/>
          <w:color w:val="000000"/>
          <w:sz w:val="22"/>
          <w:szCs w:val="22"/>
        </w:rPr>
      </w:pPr>
    </w:p>
    <w:p w14:paraId="0E7EEA68" w14:textId="605143FA" w:rsidR="005238FD" w:rsidRDefault="00F56120" w:rsidP="00E84BFE">
      <w:pPr>
        <w:spacing w:line="360" w:lineRule="auto"/>
        <w:contextualSpacing/>
        <w:jc w:val="both"/>
        <w:rPr>
          <w:rFonts w:ascii="Palatino Linotype" w:eastAsia="Palatino Linotype" w:hAnsi="Palatino Linotype" w:cs="Palatino Linotype"/>
          <w:b/>
          <w:bCs/>
          <w:sz w:val="22"/>
          <w:szCs w:val="22"/>
        </w:rPr>
      </w:pPr>
      <w:r w:rsidRPr="00A94A53">
        <w:rPr>
          <w:rFonts w:ascii="Palatino Linotype" w:hAnsi="Palatino Linotype" w:cs="Tahoma"/>
          <w:bCs/>
          <w:iCs/>
          <w:color w:val="000000"/>
          <w:sz w:val="22"/>
          <w:szCs w:val="22"/>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A94A53">
        <w:rPr>
          <w:rFonts w:ascii="Palatino Linotype" w:hAnsi="Palatino Linotype" w:cs="Tahoma"/>
          <w:b/>
          <w:bCs/>
          <w:iCs/>
          <w:color w:val="000000"/>
          <w:sz w:val="22"/>
          <w:szCs w:val="22"/>
        </w:rPr>
        <w:t>principio de exhaustividad</w:t>
      </w:r>
      <w:r w:rsidRPr="00A94A53">
        <w:rPr>
          <w:rFonts w:ascii="Palatino Linotype" w:hAnsi="Palatino Linotype" w:cs="Tahoma"/>
          <w:bCs/>
          <w:iCs/>
          <w:color w:val="000000"/>
          <w:sz w:val="22"/>
          <w:szCs w:val="22"/>
        </w:rPr>
        <w:t xml:space="preserve">, entendiendo por éste que se pronuncie expresamente sobre cada uno de los puntos requeridos, lo cual en materia de transparencia y acceso a la información pública se traduce en que, las respuestas que emitan los sujetos obligados, </w:t>
      </w:r>
      <w:r w:rsidRPr="00A94A53">
        <w:rPr>
          <w:rFonts w:ascii="Palatino Linotype" w:hAnsi="Palatino Linotype" w:cs="Tahoma"/>
          <w:bCs/>
          <w:iCs/>
          <w:color w:val="000000"/>
          <w:sz w:val="22"/>
          <w:szCs w:val="22"/>
        </w:rPr>
        <w:lastRenderedPageBreak/>
        <w:t>deben guardar una relación lógica con lo solicitado, analizando y decidiendo –de marea íntegra- sobre todos los puntos requeridos, a fin de satisfacer la solicitud correspondiente.</w:t>
      </w:r>
    </w:p>
    <w:p w14:paraId="2743DA4A" w14:textId="77777777" w:rsidR="005238FD" w:rsidRDefault="005238FD" w:rsidP="00E84BFE">
      <w:pPr>
        <w:spacing w:line="360" w:lineRule="auto"/>
        <w:contextualSpacing/>
        <w:jc w:val="both"/>
        <w:rPr>
          <w:rFonts w:ascii="Palatino Linotype" w:eastAsia="Palatino Linotype" w:hAnsi="Palatino Linotype" w:cs="Palatino Linotype"/>
          <w:b/>
          <w:bCs/>
          <w:sz w:val="22"/>
          <w:szCs w:val="22"/>
        </w:rPr>
      </w:pPr>
    </w:p>
    <w:p w14:paraId="2C772B56" w14:textId="7FA226CE" w:rsidR="00F56120" w:rsidRDefault="00F56120"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si bien, el Sujeto Obligado remitió diversas actas del Comité de Dictamen de Giro en versión pública, lo cierto es que omitió la entrega del acuerdo de Comité de Transparencia que sustentara la clasificación de la información.</w:t>
      </w:r>
    </w:p>
    <w:p w14:paraId="72C6453A" w14:textId="77777777" w:rsidR="00F56120" w:rsidRDefault="00F56120" w:rsidP="00E84BFE">
      <w:pPr>
        <w:spacing w:line="360" w:lineRule="auto"/>
        <w:contextualSpacing/>
        <w:jc w:val="both"/>
        <w:rPr>
          <w:rFonts w:ascii="Palatino Linotype" w:eastAsia="Palatino Linotype" w:hAnsi="Palatino Linotype" w:cs="Palatino Linotype"/>
          <w:sz w:val="22"/>
          <w:szCs w:val="22"/>
        </w:rPr>
      </w:pPr>
    </w:p>
    <w:p w14:paraId="3B5AAABF" w14:textId="77777777" w:rsidR="00F56120" w:rsidRPr="00D83AFD" w:rsidRDefault="00F56120" w:rsidP="00E84BFE">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S</w:t>
      </w:r>
      <w:r w:rsidRPr="00D83AFD">
        <w:rPr>
          <w:rFonts w:ascii="Palatino Linotype" w:hAnsi="Palatino Linotype" w:cs="Tahoma"/>
          <w:bCs/>
          <w:iCs/>
          <w:sz w:val="22"/>
          <w:szCs w:val="22"/>
        </w:rPr>
        <w:t xml:space="preserve">obre el tema, en los artículos 122, 128 y 130 de la Ley Transparencia y Acceso a la Información Pública del Estado de México y Municipios, se prevé que </w:t>
      </w:r>
      <w:r w:rsidRPr="00D83AFD">
        <w:rPr>
          <w:rFonts w:ascii="Palatino Linotype" w:hAnsi="Palatino Linotype" w:cs="Tahoma"/>
          <w:b/>
          <w:bCs/>
          <w:iCs/>
          <w:sz w:val="22"/>
          <w:szCs w:val="22"/>
        </w:rPr>
        <w:t xml:space="preserve">la clasificación </w:t>
      </w:r>
      <w:r w:rsidRPr="00D83AFD">
        <w:rPr>
          <w:rFonts w:ascii="Palatino Linotype" w:hAnsi="Palatino Linotype" w:cs="Tahoma"/>
          <w:bCs/>
          <w:iCs/>
          <w:sz w:val="22"/>
          <w:szCs w:val="22"/>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205531C9"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7F63C209"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Por lo cual, en los casos en que se niegue el acceso a la información, por actualizarse alguno de los supuestos de clasificación, </w:t>
      </w:r>
      <w:r w:rsidRPr="00D83AFD">
        <w:rPr>
          <w:rFonts w:ascii="Palatino Linotype" w:hAnsi="Palatino Linotype" w:cs="Tahoma"/>
          <w:b/>
          <w:bCs/>
          <w:iCs/>
          <w:sz w:val="22"/>
          <w:szCs w:val="22"/>
        </w:rPr>
        <w:t xml:space="preserve">el Comité de Transparencia deberá confirmar, modificar o revocar la decisión; </w:t>
      </w:r>
      <w:r w:rsidRPr="00D83AFD">
        <w:rPr>
          <w:rFonts w:ascii="Palatino Linotype" w:hAnsi="Palatino Linotype" w:cs="Tahoma"/>
          <w:bCs/>
          <w:iCs/>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117C131"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775B3A42"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01D6DE6E"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2B1FDD88"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Cs/>
          <w:iCs/>
          <w:sz w:val="22"/>
          <w:szCs w:val="22"/>
        </w:rPr>
        <w:lastRenderedPageBreak/>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0826D66"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26AB9502"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Cs/>
          <w:iCs/>
          <w:sz w:val="22"/>
          <w:szCs w:val="22"/>
        </w:rPr>
        <w:t xml:space="preserve">En ese contexto, según Bonifaz, Leticia (2016), en la “Ley General de Transparencia y Acceso a la Información Pública Comentada” (p. 342), la </w:t>
      </w:r>
      <w:r w:rsidRPr="00D83AFD">
        <w:rPr>
          <w:rFonts w:ascii="Palatino Linotype" w:hAnsi="Palatino Linotype" w:cs="Tahoma"/>
          <w:b/>
          <w:bCs/>
          <w:iCs/>
          <w:sz w:val="22"/>
          <w:szCs w:val="22"/>
        </w:rPr>
        <w:t>clasificación de la información</w:t>
      </w:r>
      <w:r w:rsidRPr="00D83AFD">
        <w:rPr>
          <w:rFonts w:ascii="Palatino Linotype" w:hAnsi="Palatino Linotype" w:cs="Tahoma"/>
          <w:bCs/>
          <w:i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83AFD">
        <w:rPr>
          <w:rFonts w:ascii="Palatino Linotype" w:hAnsi="Palatino Linotype" w:cs="Tahoma"/>
          <w:b/>
          <w:bCs/>
          <w:iCs/>
          <w:sz w:val="22"/>
          <w:szCs w:val="22"/>
        </w:rPr>
        <w:t>de manera adecuada la negativa de información.</w:t>
      </w:r>
    </w:p>
    <w:p w14:paraId="1F8034FD"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t xml:space="preserve"> </w:t>
      </w:r>
    </w:p>
    <w:p w14:paraId="147D82ED"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Cs/>
          <w:iCs/>
          <w:sz w:val="22"/>
          <w:szCs w:val="22"/>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83AFD">
        <w:rPr>
          <w:rFonts w:ascii="Palatino Linotype" w:hAnsi="Palatino Linotype" w:cs="Tahoma"/>
          <w:b/>
          <w:bCs/>
          <w:iCs/>
          <w:sz w:val="22"/>
          <w:szCs w:val="22"/>
        </w:rPr>
        <w:t>análisis caso por caso.</w:t>
      </w:r>
    </w:p>
    <w:p w14:paraId="2E1471FD"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t xml:space="preserve"> </w:t>
      </w:r>
    </w:p>
    <w:p w14:paraId="6165B55C"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Sobre lo anterior, el artículo 131 de la Ley referida, así como el Quinto de los Lineamientos Generales, establecen que los sujetos obligados </w:t>
      </w:r>
      <w:r w:rsidRPr="00D83AFD">
        <w:rPr>
          <w:rFonts w:ascii="Palatino Linotype" w:hAnsi="Palatino Linotype" w:cs="Tahoma"/>
          <w:b/>
          <w:bCs/>
          <w:iCs/>
          <w:sz w:val="22"/>
          <w:szCs w:val="22"/>
        </w:rPr>
        <w:t>deberán fundar y motivar</w:t>
      </w:r>
      <w:r w:rsidRPr="00D83AFD">
        <w:rPr>
          <w:rFonts w:ascii="Palatino Linotype" w:hAnsi="Palatino Linotype" w:cs="Tahoma"/>
          <w:bCs/>
          <w:iCs/>
          <w:sz w:val="22"/>
          <w:szCs w:val="22"/>
        </w:rPr>
        <w:t xml:space="preserve"> debidamente la clasificación de la información.</w:t>
      </w:r>
    </w:p>
    <w:p w14:paraId="15EB86B1"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t xml:space="preserve"> </w:t>
      </w:r>
    </w:p>
    <w:p w14:paraId="079B04A1"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Al respecto, el Octavo de los Lineamientos Generales, precisa lo siguiente:</w:t>
      </w:r>
    </w:p>
    <w:p w14:paraId="610D3D2C"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53F0B306" w14:textId="77777777" w:rsidR="00F56120" w:rsidRPr="00D83AFD" w:rsidRDefault="00F56120" w:rsidP="00E84BFE">
      <w:pPr>
        <w:numPr>
          <w:ilvl w:val="0"/>
          <w:numId w:val="40"/>
        </w:numPr>
        <w:spacing w:line="360" w:lineRule="auto"/>
        <w:contextualSpacing/>
        <w:jc w:val="both"/>
        <w:rPr>
          <w:rFonts w:ascii="Palatino Linotype" w:hAnsi="Palatino Linotype" w:cs="Tahoma"/>
          <w:bCs/>
          <w:iCs/>
          <w:sz w:val="22"/>
          <w:szCs w:val="22"/>
          <w:u w:val="single"/>
        </w:rPr>
      </w:pPr>
      <w:r w:rsidRPr="00D83AFD">
        <w:rPr>
          <w:rFonts w:ascii="Palatino Linotype" w:hAnsi="Palatino Linotype" w:cs="Tahoma"/>
          <w:b/>
          <w:bCs/>
          <w:iCs/>
          <w:sz w:val="22"/>
          <w:szCs w:val="22"/>
        </w:rPr>
        <w:lastRenderedPageBreak/>
        <w:t>Para fundar la clasificación</w:t>
      </w:r>
      <w:r w:rsidRPr="00D83AFD">
        <w:rPr>
          <w:rFonts w:ascii="Palatino Linotype" w:hAnsi="Palatino Linotype" w:cs="Tahoma"/>
          <w:bCs/>
          <w:iCs/>
          <w:sz w:val="22"/>
          <w:szCs w:val="22"/>
        </w:rPr>
        <w:t xml:space="preserve"> de la información se deberán </w:t>
      </w:r>
      <w:r w:rsidRPr="00D83AFD">
        <w:rPr>
          <w:rFonts w:ascii="Palatino Linotype" w:hAnsi="Palatino Linotype" w:cs="Tahoma"/>
          <w:bCs/>
          <w:iCs/>
          <w:sz w:val="22"/>
          <w:szCs w:val="22"/>
          <w:u w:val="single"/>
        </w:rPr>
        <w:t>señalar el artículo, fracción, inciso, párrafo o numeral de la Ley aplicable;</w:t>
      </w:r>
    </w:p>
    <w:p w14:paraId="5410D88D"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25507E3A" w14:textId="77777777" w:rsidR="00F56120" w:rsidRPr="00D83AFD" w:rsidRDefault="00F56120" w:rsidP="00E84BFE">
      <w:pPr>
        <w:numPr>
          <w:ilvl w:val="0"/>
          <w:numId w:val="40"/>
        </w:numPr>
        <w:spacing w:line="360" w:lineRule="auto"/>
        <w:contextualSpacing/>
        <w:jc w:val="both"/>
        <w:rPr>
          <w:rFonts w:ascii="Palatino Linotype" w:hAnsi="Palatino Linotype" w:cs="Tahoma"/>
          <w:bCs/>
          <w:iCs/>
          <w:sz w:val="22"/>
          <w:szCs w:val="22"/>
        </w:rPr>
      </w:pPr>
      <w:r w:rsidRPr="00D83AFD">
        <w:rPr>
          <w:rFonts w:ascii="Palatino Linotype" w:hAnsi="Palatino Linotype" w:cs="Tahoma"/>
          <w:b/>
          <w:bCs/>
          <w:iCs/>
          <w:sz w:val="22"/>
          <w:szCs w:val="22"/>
        </w:rPr>
        <w:t>Para motivar la clasificación</w:t>
      </w:r>
      <w:r w:rsidRPr="00D83AFD">
        <w:rPr>
          <w:rFonts w:ascii="Palatino Linotype" w:hAnsi="Palatino Linotype" w:cs="Tahoma"/>
          <w:bCs/>
          <w:iCs/>
          <w:sz w:val="22"/>
          <w:szCs w:val="22"/>
        </w:rPr>
        <w:t xml:space="preserve"> se deberán </w:t>
      </w:r>
      <w:r w:rsidRPr="00D83AFD">
        <w:rPr>
          <w:rFonts w:ascii="Palatino Linotype" w:hAnsi="Palatino Linotype" w:cs="Tahoma"/>
          <w:bCs/>
          <w:iCs/>
          <w:sz w:val="22"/>
          <w:szCs w:val="22"/>
          <w:u w:val="single"/>
        </w:rPr>
        <w:t>indicar las razones y circunstancias</w:t>
      </w:r>
      <w:r w:rsidRPr="00D83AFD">
        <w:rPr>
          <w:rFonts w:ascii="Palatino Linotype" w:hAnsi="Palatino Linotype" w:cs="Tahoma"/>
          <w:bCs/>
          <w:iCs/>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C074B38"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5EDD5625"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C3EA91F"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3AEB08BE" w14:textId="77777777" w:rsidR="00F56120" w:rsidRPr="00D83AFD" w:rsidRDefault="00F56120" w:rsidP="00E84BFE">
      <w:pPr>
        <w:spacing w:line="360" w:lineRule="auto"/>
        <w:ind w:left="567" w:right="567"/>
        <w:contextualSpacing/>
        <w:jc w:val="both"/>
        <w:rPr>
          <w:rFonts w:ascii="Palatino Linotype" w:hAnsi="Palatino Linotype" w:cs="Tahoma"/>
          <w:bCs/>
          <w:i/>
          <w:iCs/>
        </w:rPr>
      </w:pPr>
      <w:r w:rsidRPr="00D83AFD">
        <w:rPr>
          <w:rFonts w:ascii="Palatino Linotype" w:hAnsi="Palatino Linotype" w:cs="Tahoma"/>
          <w:b/>
          <w:bCs/>
          <w:i/>
          <w:iCs/>
        </w:rPr>
        <w:t xml:space="preserve">“FUNDAMENTACION Y MOTIVACION, CONCEPTO DE. </w:t>
      </w:r>
      <w:r w:rsidRPr="00D83AFD">
        <w:rPr>
          <w:rFonts w:ascii="Palatino Linotype" w:hAnsi="Palatino Linotype" w:cs="Tahoma"/>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5BB2BE0"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588F1BD2"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Conforme a lo anterior, se advierte lo siguiente:</w:t>
      </w:r>
    </w:p>
    <w:p w14:paraId="052B3344"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655A615C" w14:textId="77777777" w:rsidR="00F56120" w:rsidRPr="00D83AFD" w:rsidRDefault="00F56120" w:rsidP="00E84BFE">
      <w:pPr>
        <w:numPr>
          <w:ilvl w:val="0"/>
          <w:numId w:val="41"/>
        </w:num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lastRenderedPageBreak/>
        <w:t xml:space="preserve">Fundamentación: </w:t>
      </w:r>
      <w:r w:rsidRPr="00D83AFD">
        <w:rPr>
          <w:rFonts w:ascii="Palatino Linotype" w:hAnsi="Palatino Linotype" w:cs="Tahoma"/>
          <w:bCs/>
          <w:iCs/>
          <w:sz w:val="22"/>
          <w:szCs w:val="22"/>
        </w:rPr>
        <w:t>Obligación de la autoridad que emite un acto, para citar los preceptos legales, sustantivos y adjetivos, en que se apoye para la determinación tomada.</w:t>
      </w:r>
    </w:p>
    <w:p w14:paraId="57560653" w14:textId="77777777" w:rsidR="00F56120" w:rsidRPr="00D83AFD" w:rsidRDefault="00F56120" w:rsidP="00E84BFE">
      <w:p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t xml:space="preserve"> </w:t>
      </w:r>
    </w:p>
    <w:p w14:paraId="1A3D7A51" w14:textId="77777777" w:rsidR="00F56120" w:rsidRPr="00D83AFD" w:rsidRDefault="00F56120" w:rsidP="00E84BFE">
      <w:pPr>
        <w:numPr>
          <w:ilvl w:val="0"/>
          <w:numId w:val="41"/>
        </w:numPr>
        <w:spacing w:line="360" w:lineRule="auto"/>
        <w:contextualSpacing/>
        <w:jc w:val="both"/>
        <w:rPr>
          <w:rFonts w:ascii="Palatino Linotype" w:hAnsi="Palatino Linotype" w:cs="Tahoma"/>
          <w:b/>
          <w:bCs/>
          <w:iCs/>
          <w:sz w:val="22"/>
          <w:szCs w:val="22"/>
        </w:rPr>
      </w:pPr>
      <w:r w:rsidRPr="00D83AFD">
        <w:rPr>
          <w:rFonts w:ascii="Palatino Linotype" w:hAnsi="Palatino Linotype" w:cs="Tahoma"/>
          <w:b/>
          <w:bCs/>
          <w:iCs/>
          <w:sz w:val="22"/>
          <w:szCs w:val="22"/>
        </w:rPr>
        <w:t xml:space="preserve">Motivación: </w:t>
      </w:r>
      <w:r w:rsidRPr="00D83AFD">
        <w:rPr>
          <w:rFonts w:ascii="Palatino Linotype" w:hAnsi="Palatino Linotype" w:cs="Tahoma"/>
          <w:bCs/>
          <w:iCs/>
          <w:sz w:val="22"/>
          <w:szCs w:val="22"/>
        </w:rPr>
        <w:t>Razonamientos lógico-jurídicos sobre porque se consideró en el caso en concreto, que se ajusta a la hipótesis normativa.</w:t>
      </w:r>
    </w:p>
    <w:p w14:paraId="438A38F0"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28B71BEA" w14:textId="77777777" w:rsidR="00F56120"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13B6B9DA" w14:textId="77777777" w:rsidR="00F56120" w:rsidRPr="00D83AFD" w:rsidRDefault="00F56120" w:rsidP="00E84BFE">
      <w:pPr>
        <w:spacing w:line="360" w:lineRule="auto"/>
        <w:contextualSpacing/>
        <w:jc w:val="both"/>
        <w:rPr>
          <w:rFonts w:ascii="Palatino Linotype" w:hAnsi="Palatino Linotype" w:cs="Tahoma"/>
          <w:bCs/>
          <w:iCs/>
          <w:sz w:val="22"/>
          <w:szCs w:val="22"/>
        </w:rPr>
      </w:pPr>
    </w:p>
    <w:p w14:paraId="64048B81"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En ese contexto, es de señalar que el Ayuntamiento de </w:t>
      </w:r>
      <w:r>
        <w:rPr>
          <w:rFonts w:ascii="Palatino Linotype" w:hAnsi="Palatino Linotype" w:cs="Tahoma"/>
          <w:bCs/>
          <w:iCs/>
          <w:sz w:val="22"/>
          <w:szCs w:val="22"/>
        </w:rPr>
        <w:t>Toluca</w:t>
      </w:r>
      <w:r w:rsidRPr="00D83AFD">
        <w:rPr>
          <w:rFonts w:ascii="Palatino Linotype" w:hAnsi="Palatino Linotype" w:cs="Tahoma"/>
          <w:bCs/>
          <w:iCs/>
          <w:sz w:val="22"/>
          <w:szCs w:val="22"/>
        </w:rPr>
        <w:t>,</w:t>
      </w:r>
      <w:r>
        <w:rPr>
          <w:rFonts w:ascii="Palatino Linotype" w:hAnsi="Palatino Linotype" w:cs="Tahoma"/>
          <w:bCs/>
          <w:iCs/>
          <w:sz w:val="22"/>
          <w:szCs w:val="22"/>
        </w:rPr>
        <w:t xml:space="preserve"> no</w:t>
      </w:r>
      <w:r w:rsidRPr="00D83AFD">
        <w:rPr>
          <w:rFonts w:ascii="Palatino Linotype" w:hAnsi="Palatino Linotype" w:cs="Tahoma"/>
          <w:bCs/>
          <w:iCs/>
          <w:sz w:val="22"/>
          <w:szCs w:val="22"/>
        </w:rPr>
        <w:t xml:space="preserve"> </w:t>
      </w:r>
      <w:r>
        <w:rPr>
          <w:rFonts w:ascii="Palatino Linotype" w:hAnsi="Palatino Linotype" w:cs="Tahoma"/>
          <w:bCs/>
          <w:iCs/>
          <w:sz w:val="22"/>
          <w:szCs w:val="22"/>
        </w:rPr>
        <w:t>justificó la clasificación de la información remitida en respuesta, es decir no se justificó de manera fundada y motivada las razones por la que las versiones públicas actualizaban alguna causal de clasificación</w:t>
      </w:r>
      <w:r w:rsidRPr="00D83AFD">
        <w:rPr>
          <w:rFonts w:ascii="Palatino Linotype" w:hAnsi="Palatino Linotype" w:cs="Tahoma"/>
          <w:bCs/>
          <w:iCs/>
          <w:sz w:val="22"/>
          <w:szCs w:val="22"/>
        </w:rPr>
        <w:t>.</w:t>
      </w:r>
    </w:p>
    <w:p w14:paraId="1D68AD41" w14:textId="77777777" w:rsidR="00F56120" w:rsidRPr="00D83AFD"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 </w:t>
      </w:r>
    </w:p>
    <w:p w14:paraId="53CB64D6" w14:textId="77777777" w:rsidR="00F56120" w:rsidRPr="00094A9E" w:rsidRDefault="00F56120" w:rsidP="00E84BFE">
      <w:pPr>
        <w:spacing w:line="360" w:lineRule="auto"/>
        <w:contextualSpacing/>
        <w:jc w:val="both"/>
        <w:rPr>
          <w:rFonts w:ascii="Palatino Linotype" w:hAnsi="Palatino Linotype" w:cs="Tahoma"/>
          <w:bCs/>
          <w:iCs/>
          <w:sz w:val="22"/>
          <w:szCs w:val="22"/>
        </w:rPr>
      </w:pPr>
      <w:r w:rsidRPr="00D83AFD">
        <w:rPr>
          <w:rFonts w:ascii="Palatino Linotype" w:hAnsi="Palatino Linotype" w:cs="Tahoma"/>
          <w:bCs/>
          <w:iCs/>
          <w:sz w:val="22"/>
          <w:szCs w:val="22"/>
        </w:rPr>
        <w:t xml:space="preserve">Además, es de señalar que conforme a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que cuando un documento contenga información pública y reservada o confidencial, la Unidad de Transparencia para efectos de atender al requerimiento informativo, deberá elaborar una versión Pública en la que se testen las partes o secciones </w:t>
      </w:r>
      <w:r w:rsidRPr="00D83AFD">
        <w:rPr>
          <w:rFonts w:ascii="Palatino Linotype" w:hAnsi="Palatino Linotype" w:cs="Tahoma"/>
          <w:bCs/>
          <w:iCs/>
          <w:sz w:val="22"/>
          <w:szCs w:val="22"/>
        </w:rPr>
        <w:lastRenderedPageBreak/>
        <w:t>clasificadas, indicando su contenido de manera genérica y fundando y motivando su clasificación; documento que deberá ser aprobado por el Comité de Transparencia.</w:t>
      </w:r>
    </w:p>
    <w:p w14:paraId="3CE857DC" w14:textId="77777777" w:rsidR="00F56120" w:rsidRDefault="00F56120" w:rsidP="00E84BFE">
      <w:pPr>
        <w:spacing w:line="360" w:lineRule="auto"/>
        <w:contextualSpacing/>
        <w:jc w:val="both"/>
        <w:rPr>
          <w:rFonts w:ascii="Palatino Linotype" w:eastAsia="Palatino Linotype" w:hAnsi="Palatino Linotype" w:cs="Palatino Linotype"/>
          <w:sz w:val="22"/>
          <w:szCs w:val="22"/>
        </w:rPr>
      </w:pPr>
    </w:p>
    <w:p w14:paraId="387F5EE6" w14:textId="6A230A58" w:rsidR="00F56120" w:rsidRDefault="00F56120"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considera que las unidades administrativas competentes, deberán realizar una nueva búsqueda exhaustiva y razonable de la información, a efecto de que proporcionen los documentos en que den cuenta de las actas de aprobación de los comités municipales, y de sesión faltantes entre los que se localice las de instalación, además del acuerdo de clasificación que sustente las versiones públicas proporcionadas, información que beberá comprender del primero de enero, al dieciocho de junio de dos mil veinticinco.</w:t>
      </w:r>
    </w:p>
    <w:p w14:paraId="09687E71" w14:textId="77777777" w:rsidR="00F56120" w:rsidRDefault="00F56120" w:rsidP="00E84BFE">
      <w:pPr>
        <w:spacing w:line="360" w:lineRule="auto"/>
        <w:contextualSpacing/>
        <w:jc w:val="both"/>
        <w:rPr>
          <w:rFonts w:ascii="Palatino Linotype" w:eastAsia="Palatino Linotype" w:hAnsi="Palatino Linotype" w:cs="Palatino Linotype"/>
          <w:sz w:val="22"/>
          <w:szCs w:val="22"/>
        </w:rPr>
      </w:pPr>
    </w:p>
    <w:p w14:paraId="08C76336" w14:textId="7B5D0E51" w:rsidR="00F56120" w:rsidRDefault="00F56120" w:rsidP="00E84BF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sz w:val="22"/>
          <w:szCs w:val="22"/>
        </w:rPr>
        <w:t xml:space="preserve">Para el </w:t>
      </w:r>
      <w:r w:rsidRPr="00594A1C">
        <w:rPr>
          <w:rFonts w:ascii="Palatino Linotype" w:eastAsia="Palatino Linotype" w:hAnsi="Palatino Linotype" w:cs="Palatino Linotype"/>
          <w:bCs/>
          <w:iCs/>
          <w:sz w:val="22"/>
          <w:szCs w:val="22"/>
        </w:rPr>
        <w:t xml:space="preserve">caso que no localice la información </w:t>
      </w:r>
      <w:r>
        <w:rPr>
          <w:rFonts w:ascii="Palatino Linotype" w:eastAsia="Palatino Linotype" w:hAnsi="Palatino Linotype" w:cs="Palatino Linotype"/>
          <w:bCs/>
          <w:iCs/>
          <w:sz w:val="22"/>
          <w:szCs w:val="22"/>
        </w:rPr>
        <w:t>respecto de todo el periodo solicitado al no haberse generado conforme a su calendario de sesiones deberá hacerlo del conocimiento del Particular en términos del último párrafo del artículo 19 de la Ley de Transparencia.</w:t>
      </w:r>
    </w:p>
    <w:p w14:paraId="106D132C"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43854A83" w14:textId="3F332E39" w:rsidR="00B37168" w:rsidRDefault="00B37168" w:rsidP="00E84BF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Conforme a todo lo expuesto, si bien el Sujeto Obligado a través de sus unidades administrativas se pronunciaron sobre diversos documentos que daban cuenta de lo solicitado, lo cierto es que </w:t>
      </w:r>
      <w:r w:rsidR="001A33D4">
        <w:rPr>
          <w:rFonts w:ascii="Palatino Linotype" w:eastAsia="Palatino Linotype" w:hAnsi="Palatino Linotype" w:cs="Palatino Linotype"/>
          <w:sz w:val="22"/>
          <w:szCs w:val="22"/>
        </w:rPr>
        <w:t>la proporcionó de manera incompleta</w:t>
      </w:r>
      <w:r>
        <w:rPr>
          <w:rFonts w:ascii="Palatino Linotype" w:eastAsia="Palatino Linotype" w:hAnsi="Palatino Linotype" w:cs="Palatino Linotype"/>
          <w:sz w:val="22"/>
          <w:szCs w:val="22"/>
        </w:rPr>
        <w:t xml:space="preserve">, lo cual da como resultado que el agravio sea </w:t>
      </w:r>
      <w:r w:rsidRPr="008742BD">
        <w:rPr>
          <w:rFonts w:ascii="Palatino Linotype" w:eastAsia="Palatino Linotype" w:hAnsi="Palatino Linotype" w:cs="Palatino Linotype"/>
          <w:b/>
          <w:bCs/>
          <w:sz w:val="22"/>
          <w:szCs w:val="22"/>
        </w:rPr>
        <w:t>FUNDADO.</w:t>
      </w:r>
    </w:p>
    <w:p w14:paraId="6B886106" w14:textId="77777777" w:rsidR="00B37168" w:rsidRDefault="00B37168" w:rsidP="00E84BFE">
      <w:pPr>
        <w:spacing w:line="360" w:lineRule="auto"/>
        <w:contextualSpacing/>
        <w:jc w:val="both"/>
        <w:rPr>
          <w:rFonts w:ascii="Palatino Linotype" w:eastAsia="Palatino Linotype" w:hAnsi="Palatino Linotype" w:cs="Palatino Linotype"/>
          <w:b/>
          <w:bCs/>
          <w:sz w:val="22"/>
          <w:szCs w:val="22"/>
        </w:rPr>
      </w:pPr>
    </w:p>
    <w:p w14:paraId="69FF106C" w14:textId="4892758A" w:rsidR="00B37168"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Conforme a lo anterior, se considera que el Sujeto Obligado deberá realizar una búsqueda exhaustiva y razonable en todas las unidades administrativas competentes a efecto de que proporcione los documentos que den cuenta</w:t>
      </w:r>
      <w:r>
        <w:rPr>
          <w:rFonts w:ascii="Palatino Linotype" w:eastAsia="Palatino Linotype" w:hAnsi="Palatino Linotype" w:cs="Palatino Linotype"/>
          <w:iCs/>
          <w:sz w:val="22"/>
          <w:szCs w:val="22"/>
        </w:rPr>
        <w:t xml:space="preserve"> de lo solicitado en los términos </w:t>
      </w:r>
      <w:r w:rsidR="001A33D4">
        <w:rPr>
          <w:rFonts w:ascii="Palatino Linotype" w:eastAsia="Palatino Linotype" w:hAnsi="Palatino Linotype" w:cs="Palatino Linotype"/>
          <w:iCs/>
          <w:sz w:val="22"/>
          <w:szCs w:val="22"/>
        </w:rPr>
        <w:t>señalados</w:t>
      </w:r>
      <w:r w:rsidRPr="008742BD">
        <w:rPr>
          <w:rFonts w:ascii="Palatino Linotype" w:eastAsia="Palatino Linotype" w:hAnsi="Palatino Linotype" w:cs="Palatino Linotype"/>
          <w:iCs/>
          <w:sz w:val="22"/>
          <w:szCs w:val="22"/>
        </w:rPr>
        <w:t>.</w:t>
      </w:r>
      <w:r>
        <w:rPr>
          <w:rFonts w:ascii="Palatino Linotype" w:eastAsia="Palatino Linotype" w:hAnsi="Palatino Linotype" w:cs="Palatino Linotype"/>
          <w:iCs/>
          <w:sz w:val="22"/>
          <w:szCs w:val="22"/>
        </w:rPr>
        <w:t xml:space="preserve"> </w:t>
      </w:r>
    </w:p>
    <w:p w14:paraId="7925F924" w14:textId="77777777" w:rsidR="00B37168" w:rsidRDefault="00B37168" w:rsidP="00E84BFE">
      <w:pPr>
        <w:spacing w:line="360" w:lineRule="auto"/>
        <w:contextualSpacing/>
        <w:jc w:val="both"/>
        <w:rPr>
          <w:rFonts w:ascii="Palatino Linotype" w:eastAsia="Palatino Linotype" w:hAnsi="Palatino Linotype" w:cs="Palatino Linotype"/>
          <w:iCs/>
          <w:sz w:val="22"/>
          <w:szCs w:val="22"/>
        </w:rPr>
      </w:pPr>
    </w:p>
    <w:p w14:paraId="40D3C839" w14:textId="77777777"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8742BD">
        <w:rPr>
          <w:rFonts w:ascii="Palatino Linotype" w:eastAsia="Palatino Linotype" w:hAnsi="Palatino Linotype" w:cs="Palatino Linotype"/>
          <w:iCs/>
          <w:sz w:val="22"/>
          <w:szCs w:val="22"/>
        </w:rPr>
        <w:lastRenderedPageBreak/>
        <w:t>archivos, en el estado en que esta se encuentre; por lo que, la entrega no comprende el procesamiento de la misma, ni presentarla conforme al interés del Solicitante.</w:t>
      </w:r>
    </w:p>
    <w:p w14:paraId="17B50D26" w14:textId="77777777"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17C62780" w14:textId="77777777"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7E611EC" w14:textId="77777777"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404A5BF5" w14:textId="63138089"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w:t>
      </w:r>
      <w:r>
        <w:rPr>
          <w:rFonts w:ascii="Palatino Linotype" w:eastAsia="Palatino Linotype" w:hAnsi="Palatino Linotype" w:cs="Palatino Linotype"/>
          <w:iCs/>
          <w:sz w:val="22"/>
          <w:szCs w:val="22"/>
        </w:rPr>
        <w:t>faltante</w:t>
      </w:r>
      <w:r w:rsidR="001A33D4">
        <w:rPr>
          <w:rFonts w:ascii="Palatino Linotype" w:eastAsia="Palatino Linotype" w:hAnsi="Palatino Linotype" w:cs="Palatino Linotype"/>
          <w:iCs/>
          <w:sz w:val="22"/>
          <w:szCs w:val="22"/>
        </w:rPr>
        <w:t xml:space="preserve"> y en versión pública</w:t>
      </w:r>
      <w:r w:rsidRPr="008742BD">
        <w:rPr>
          <w:rFonts w:ascii="Palatino Linotype" w:eastAsia="Palatino Linotype" w:hAnsi="Palatino Linotype" w:cs="Palatino Linotype"/>
          <w:iCs/>
          <w:sz w:val="22"/>
          <w:szCs w:val="22"/>
        </w:rPr>
        <w:t xml:space="preserve">. </w:t>
      </w:r>
    </w:p>
    <w:p w14:paraId="7FB69BF1" w14:textId="77777777" w:rsidR="00B37168" w:rsidRPr="008742BD" w:rsidRDefault="00B37168" w:rsidP="00E84BF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7E370306" w14:textId="77777777" w:rsidR="001A33D4" w:rsidRDefault="001A33D4"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de la revisión de las actas del Comité de Dictamen de Giro remitidas en versión pública se logró advertir que el Sujeto Obligado clasificó diversos datos, por lo que se procede analizar si actualizan alguna causal de clasificación, circunstancia que se realiza conforme a lo siguiente:</w:t>
      </w:r>
    </w:p>
    <w:p w14:paraId="1F7BF5AB" w14:textId="77777777" w:rsidR="001A33D4" w:rsidRDefault="001A33D4" w:rsidP="00E84BFE">
      <w:pPr>
        <w:spacing w:line="360" w:lineRule="auto"/>
        <w:contextualSpacing/>
        <w:jc w:val="both"/>
        <w:rPr>
          <w:rFonts w:ascii="Palatino Linotype" w:eastAsia="Palatino Linotype" w:hAnsi="Palatino Linotype" w:cs="Palatino Linotype"/>
          <w:sz w:val="22"/>
          <w:szCs w:val="22"/>
        </w:rPr>
      </w:pPr>
    </w:p>
    <w:p w14:paraId="718C5797" w14:textId="77777777" w:rsidR="001A33D4" w:rsidRDefault="001A33D4" w:rsidP="00E84BFE">
      <w:pPr>
        <w:pStyle w:val="Prrafodelista"/>
        <w:numPr>
          <w:ilvl w:val="0"/>
          <w:numId w:val="4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Nombre de particulares; y </w:t>
      </w:r>
    </w:p>
    <w:p w14:paraId="30093E15" w14:textId="77777777" w:rsidR="001A33D4" w:rsidRPr="009F50A9" w:rsidRDefault="001A33D4" w:rsidP="00E84BFE">
      <w:pPr>
        <w:pStyle w:val="Prrafodelista"/>
        <w:numPr>
          <w:ilvl w:val="0"/>
          <w:numId w:val="4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Correo electrónico no oficiales o de particulares</w:t>
      </w:r>
      <w:r w:rsidRPr="009F50A9">
        <w:rPr>
          <w:rFonts w:ascii="Palatino Linotype" w:eastAsia="Palatino Linotype" w:hAnsi="Palatino Linotype" w:cs="Palatino Linotype"/>
          <w:sz w:val="22"/>
          <w:szCs w:val="22"/>
        </w:rPr>
        <w:t>.</w:t>
      </w:r>
    </w:p>
    <w:p w14:paraId="6D9F79C7" w14:textId="77777777" w:rsidR="001A33D4" w:rsidRDefault="001A33D4" w:rsidP="00E84BFE">
      <w:pPr>
        <w:spacing w:line="360" w:lineRule="auto"/>
        <w:contextualSpacing/>
        <w:jc w:val="both"/>
        <w:rPr>
          <w:rFonts w:ascii="Palatino Linotype" w:eastAsia="Palatino Linotype" w:hAnsi="Palatino Linotype" w:cs="Palatino Linotype"/>
          <w:sz w:val="22"/>
          <w:szCs w:val="22"/>
        </w:rPr>
      </w:pPr>
    </w:p>
    <w:p w14:paraId="1A0FB271"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Pr>
          <w:rFonts w:ascii="Palatino Linotype" w:hAnsi="Palatino Linotype"/>
          <w:bCs/>
          <w:iCs/>
          <w:sz w:val="22"/>
          <w:szCs w:val="22"/>
        </w:rPr>
        <w:t>Al respecto</w:t>
      </w:r>
      <w:r w:rsidRPr="006742F8">
        <w:rPr>
          <w:rFonts w:ascii="Palatino Linotype" w:hAnsi="Palatino Linotype"/>
          <w:bCs/>
          <w:iCs/>
          <w:sz w:val="22"/>
          <w:szCs w:val="22"/>
        </w:rPr>
        <w:t xml:space="preserve">, se advierte que los documentos solicitados, podrían contener diversa información de carácter confidencial, por lo que se procede analizar dicha circunstancia, al </w:t>
      </w:r>
      <w:r w:rsidRPr="006742F8">
        <w:rPr>
          <w:rFonts w:ascii="Palatino Linotype" w:hAnsi="Palatino Linotype"/>
          <w:bCs/>
          <w:iCs/>
          <w:sz w:val="22"/>
          <w:szCs w:val="22"/>
        </w:rPr>
        <w:lastRenderedPageBreak/>
        <w:t xml:space="preserve">respecto </w:t>
      </w:r>
      <w:r w:rsidRPr="006742F8">
        <w:rPr>
          <w:rFonts w:ascii="Palatino Linotype" w:eastAsia="Calibri" w:hAnsi="Palatino Linotype" w:cs="Tahoma"/>
          <w:bCs/>
          <w:sz w:val="22"/>
          <w:szCs w:val="22"/>
        </w:rPr>
        <w:t>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73D694C"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39FD770E"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BCD23E2"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7E6801A"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0CD279C"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59754E0F"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4406CBF" w14:textId="77777777" w:rsidR="001A33D4" w:rsidRPr="006742F8" w:rsidRDefault="001A33D4" w:rsidP="00E84BFE">
      <w:pPr>
        <w:shd w:val="clear" w:color="auto" w:fill="FFFFFF"/>
        <w:spacing w:line="360" w:lineRule="auto"/>
        <w:contextualSpacing/>
        <w:jc w:val="both"/>
        <w:rPr>
          <w:rFonts w:ascii="Palatino Linotype" w:eastAsia="Calibri" w:hAnsi="Palatino Linotype" w:cs="Tahoma"/>
          <w:bCs/>
          <w:sz w:val="22"/>
          <w:szCs w:val="22"/>
        </w:rPr>
      </w:pPr>
    </w:p>
    <w:p w14:paraId="36988B6B"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294BE9"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6C51DA6C" w14:textId="77777777" w:rsidR="001A33D4"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1B354498"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6595294C" w14:textId="77777777" w:rsidR="001A33D4" w:rsidRPr="006742F8" w:rsidRDefault="001A33D4" w:rsidP="00E84BFE">
      <w:pPr>
        <w:numPr>
          <w:ilvl w:val="0"/>
          <w:numId w:val="44"/>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265E3DA6"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086FD882" w14:textId="77777777" w:rsidR="001A33D4" w:rsidRPr="006742F8" w:rsidRDefault="001A33D4" w:rsidP="00E84BFE">
      <w:pPr>
        <w:numPr>
          <w:ilvl w:val="0"/>
          <w:numId w:val="44"/>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Para la difusión de los datos, se requiera el consentimiento del titular. </w:t>
      </w:r>
    </w:p>
    <w:p w14:paraId="45D1A67A"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6EC7974"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6742F8">
        <w:rPr>
          <w:rFonts w:ascii="Palatino Linotype" w:eastAsia="Calibri" w:hAnsi="Palatino Linotype" w:cs="Tahoma"/>
          <w:bCs/>
          <w:sz w:val="22"/>
          <w:szCs w:val="22"/>
        </w:rPr>
        <w:lastRenderedPageBreak/>
        <w:t xml:space="preserve">de cualquier documento informativo físico o electrónico), establecida en cualquier formato o modalidad. </w:t>
      </w:r>
    </w:p>
    <w:p w14:paraId="08FC1689"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49F92C82"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Además, en el artículo 5° de dicho ordenamiento jurídico, establece que es la Ley aplicable para todo tratamiento de datos personales.</w:t>
      </w:r>
    </w:p>
    <w:p w14:paraId="772D4D8A"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2004B0EE"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F044F6F"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3683F47"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503447"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CF24516"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6742F8">
        <w:rPr>
          <w:rFonts w:ascii="Palatino Linotype" w:eastAsia="Calibri" w:hAnsi="Palatino Linotype" w:cs="Tahoma"/>
          <w:bCs/>
          <w:sz w:val="22"/>
          <w:szCs w:val="22"/>
        </w:rPr>
        <w:lastRenderedPageBreak/>
        <w:t>instituciones y es a partir de ahí, en donde las instituciones públicas deben determinar la publicidad de su información.</w:t>
      </w:r>
    </w:p>
    <w:p w14:paraId="155126CD"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654A36B9"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6B225682"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F5DAA5F"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75DBCC6"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p>
    <w:p w14:paraId="121FF5F6" w14:textId="77777777" w:rsidR="001A33D4" w:rsidRPr="006742F8"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F2BA5C5" w14:textId="77777777" w:rsidR="001A33D4" w:rsidRPr="006742F8" w:rsidRDefault="001A33D4" w:rsidP="00E84BFE">
      <w:pPr>
        <w:shd w:val="clear" w:color="auto" w:fill="FFFFFF"/>
        <w:spacing w:line="360" w:lineRule="auto"/>
        <w:contextualSpacing/>
        <w:jc w:val="both"/>
        <w:rPr>
          <w:rFonts w:ascii="Palatino Linotype" w:eastAsia="Calibri" w:hAnsi="Palatino Linotype" w:cs="Tahoma"/>
          <w:bCs/>
          <w:sz w:val="22"/>
          <w:szCs w:val="22"/>
        </w:rPr>
      </w:pPr>
    </w:p>
    <w:p w14:paraId="78837ABD" w14:textId="77777777" w:rsidR="001A33D4" w:rsidRDefault="001A33D4" w:rsidP="00E84BFE">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67088E62" w14:textId="77777777" w:rsidR="001A33D4" w:rsidRDefault="001A33D4" w:rsidP="00E84BFE">
      <w:pPr>
        <w:spacing w:line="360" w:lineRule="auto"/>
        <w:contextualSpacing/>
        <w:jc w:val="both"/>
        <w:rPr>
          <w:rFonts w:ascii="Palatino Linotype" w:eastAsia="Calibri" w:hAnsi="Palatino Linotype" w:cs="Tahoma"/>
          <w:bCs/>
          <w:sz w:val="22"/>
          <w:szCs w:val="22"/>
        </w:rPr>
      </w:pPr>
    </w:p>
    <w:p w14:paraId="4E4B2AD4" w14:textId="77777777" w:rsidR="001A33D4" w:rsidRPr="00980328" w:rsidRDefault="001A33D4" w:rsidP="00E84BFE">
      <w:pPr>
        <w:pStyle w:val="Prrafodelista"/>
        <w:numPr>
          <w:ilvl w:val="0"/>
          <w:numId w:val="43"/>
        </w:numPr>
        <w:spacing w:line="360" w:lineRule="auto"/>
        <w:jc w:val="both"/>
        <w:rPr>
          <w:rFonts w:ascii="Palatino Linotype" w:eastAsia="Calibri" w:hAnsi="Palatino Linotype" w:cs="Tahoma"/>
          <w:b/>
          <w:sz w:val="22"/>
          <w:szCs w:val="22"/>
        </w:rPr>
      </w:pPr>
      <w:r w:rsidRPr="00980328">
        <w:rPr>
          <w:rFonts w:ascii="Palatino Linotype" w:eastAsia="Calibri" w:hAnsi="Palatino Linotype" w:cs="Tahoma"/>
          <w:b/>
          <w:sz w:val="22"/>
          <w:szCs w:val="22"/>
        </w:rPr>
        <w:t>Nombre de Particulares</w:t>
      </w:r>
    </w:p>
    <w:p w14:paraId="34B6F011" w14:textId="77777777" w:rsidR="001A33D4" w:rsidRDefault="001A33D4" w:rsidP="00E84BFE">
      <w:pPr>
        <w:spacing w:line="360" w:lineRule="auto"/>
        <w:contextualSpacing/>
        <w:jc w:val="both"/>
        <w:rPr>
          <w:rFonts w:ascii="Palatino Linotype" w:eastAsia="Calibri" w:hAnsi="Palatino Linotype" w:cs="Tahoma"/>
          <w:bCs/>
          <w:sz w:val="22"/>
          <w:szCs w:val="22"/>
        </w:rPr>
      </w:pPr>
    </w:p>
    <w:p w14:paraId="692488FA" w14:textId="77777777" w:rsidR="001A33D4" w:rsidRPr="00980328" w:rsidRDefault="001A33D4" w:rsidP="00E84BFE">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Cs/>
          <w:iCs/>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80328">
        <w:rPr>
          <w:rFonts w:ascii="Palatino Linotype" w:eastAsia="Calibri" w:hAnsi="Palatino Linotype" w:cs="Tahoma"/>
          <w:bCs/>
          <w:i/>
          <w:iCs/>
          <w:sz w:val="22"/>
          <w:szCs w:val="22"/>
        </w:rPr>
        <w:t>per se</w:t>
      </w:r>
      <w:r w:rsidRPr="00980328">
        <w:rPr>
          <w:rFonts w:ascii="Palatino Linotype" w:eastAsia="Calibri" w:hAnsi="Palatino Linotype" w:cs="Tahoma"/>
          <w:bCs/>
          <w:iCs/>
          <w:sz w:val="22"/>
          <w:szCs w:val="22"/>
        </w:rPr>
        <w:t xml:space="preserve"> es un elemento que hace a una persona física identificada o identificable, por lo que, </w:t>
      </w:r>
      <w:r w:rsidRPr="00980328">
        <w:rPr>
          <w:rFonts w:ascii="Palatino Linotype" w:eastAsia="Calibri" w:hAnsi="Palatino Linotype" w:cs="Tahoma"/>
          <w:b/>
          <w:bCs/>
          <w:iCs/>
          <w:sz w:val="22"/>
          <w:szCs w:val="22"/>
        </w:rPr>
        <w:t>se considera un dato personal.</w:t>
      </w:r>
    </w:p>
    <w:p w14:paraId="39A7BFA1" w14:textId="77777777" w:rsidR="001A33D4" w:rsidRPr="00980328" w:rsidRDefault="001A33D4" w:rsidP="00E84BFE">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
          <w:bCs/>
          <w:iCs/>
          <w:sz w:val="22"/>
          <w:szCs w:val="22"/>
        </w:rPr>
        <w:t xml:space="preserve"> </w:t>
      </w:r>
    </w:p>
    <w:p w14:paraId="736F5109" w14:textId="77777777" w:rsidR="001A33D4" w:rsidRPr="00980328" w:rsidRDefault="001A33D4" w:rsidP="00E84BFE">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1084C666" w14:textId="77777777" w:rsidR="001A33D4" w:rsidRPr="00980328" w:rsidRDefault="001A33D4" w:rsidP="00E84BFE">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 xml:space="preserve"> </w:t>
      </w:r>
    </w:p>
    <w:p w14:paraId="50BC01E8" w14:textId="77777777" w:rsidR="001A33D4" w:rsidRPr="00980328" w:rsidRDefault="001A33D4" w:rsidP="00E84BFE">
      <w:pPr>
        <w:spacing w:line="360" w:lineRule="auto"/>
        <w:ind w:left="567" w:right="567"/>
        <w:contextualSpacing/>
        <w:jc w:val="both"/>
        <w:rPr>
          <w:rFonts w:ascii="Palatino Linotype" w:eastAsia="Calibri" w:hAnsi="Palatino Linotype" w:cs="Tahoma"/>
          <w:bCs/>
          <w:i/>
          <w:iCs/>
        </w:rPr>
      </w:pPr>
      <w:r w:rsidRPr="00980328">
        <w:rPr>
          <w:rFonts w:ascii="Palatino Linotype" w:eastAsia="Calibri" w:hAnsi="Palatino Linotype" w:cs="Tahoma"/>
          <w:bCs/>
          <w:i/>
          <w:iCs/>
        </w:rPr>
        <w:lastRenderedPageBreak/>
        <w:t>“</w:t>
      </w:r>
      <w:r w:rsidRPr="00980328">
        <w:rPr>
          <w:rFonts w:ascii="Palatino Linotype" w:eastAsia="Calibri" w:hAnsi="Palatino Linotype" w:cs="Tahoma"/>
          <w:b/>
          <w:bCs/>
          <w:i/>
          <w:iCs/>
        </w:rPr>
        <w:t xml:space="preserve">DERECHO A LA VIDA PRIVADA. SU CONTENIDO GENERAL Y LA IMPORTANCIA DE NO DESCONTEXTUALIZAR LAS REFERENCIAS A LA MISMA. </w:t>
      </w:r>
      <w:r w:rsidRPr="00980328">
        <w:rPr>
          <w:rFonts w:ascii="Palatino Linotype" w:eastAsia="Calibri" w:hAnsi="Palatino Linotype" w:cs="Tahoma"/>
          <w:bCs/>
          <w:i/>
          <w:iC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80328">
        <w:rPr>
          <w:rFonts w:ascii="Palatino Linotype" w:eastAsia="Calibri" w:hAnsi="Palatino Linotype" w:cs="Tahoma"/>
          <w:b/>
          <w:bCs/>
          <w:i/>
          <w:iCs/>
        </w:rPr>
        <w:t xml:space="preserve">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w:t>
      </w:r>
      <w:r w:rsidRPr="00980328">
        <w:rPr>
          <w:rFonts w:ascii="Palatino Linotype" w:eastAsia="Calibri" w:hAnsi="Palatino Linotype" w:cs="Tahoma"/>
          <w:b/>
          <w:bCs/>
          <w:i/>
          <w:iCs/>
        </w:rPr>
        <w:lastRenderedPageBreak/>
        <w:t>y su libertad-.</w:t>
      </w:r>
      <w:r w:rsidRPr="00980328">
        <w:rPr>
          <w:rFonts w:ascii="Palatino Linotype" w:eastAsia="Calibri" w:hAnsi="Palatino Linotype" w:cs="Tahoma"/>
          <w:bCs/>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980328">
        <w:rPr>
          <w:rFonts w:ascii="Palatino Linotype" w:eastAsia="Calibri" w:hAnsi="Palatino Linotype" w:cs="Tahoma"/>
          <w:b/>
          <w:bCs/>
          <w:i/>
          <w:iCs/>
        </w:rPr>
        <w:t>En un sentido amplio, entonces, la protección constitucional de la vida privada implica poder conducir parte de la vida de uno protegido de la mirada y las injerencias de los demás</w:t>
      </w:r>
      <w:r w:rsidRPr="00980328">
        <w:rPr>
          <w:rFonts w:ascii="Palatino Linotype" w:eastAsia="Calibri" w:hAnsi="Palatino Linotype" w:cs="Tahoma"/>
          <w:bCs/>
          <w:i/>
          <w:iC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7A20CBA" w14:textId="77777777" w:rsidR="001A33D4" w:rsidRPr="00980328" w:rsidRDefault="001A33D4" w:rsidP="00E84BFE">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 xml:space="preserve"> </w:t>
      </w:r>
    </w:p>
    <w:p w14:paraId="7ECF278A" w14:textId="77777777" w:rsidR="001A33D4" w:rsidRPr="00980328" w:rsidRDefault="001A33D4" w:rsidP="00E84BFE">
      <w:pPr>
        <w:spacing w:line="360" w:lineRule="auto"/>
        <w:contextualSpacing/>
        <w:jc w:val="both"/>
        <w:rPr>
          <w:rFonts w:ascii="Palatino Linotype" w:eastAsia="Calibri" w:hAnsi="Palatino Linotype" w:cs="Tahoma"/>
          <w:b/>
          <w:bCs/>
          <w:iCs/>
          <w:sz w:val="22"/>
          <w:szCs w:val="22"/>
        </w:rPr>
      </w:pPr>
      <w:r w:rsidRPr="00980328">
        <w:rPr>
          <w:rFonts w:ascii="Palatino Linotype" w:eastAsia="Calibri" w:hAnsi="Palatino Linotype" w:cs="Tahoma"/>
          <w:bCs/>
          <w:iCs/>
          <w:sz w:val="22"/>
          <w:szCs w:val="22"/>
        </w:rPr>
        <w:t xml:space="preserve">De conformidad con lo señalado, se colige que </w:t>
      </w:r>
      <w:r w:rsidRPr="00980328">
        <w:rPr>
          <w:rFonts w:ascii="Palatino Linotype" w:eastAsia="Calibri" w:hAnsi="Palatino Linotype" w:cs="Tahoma"/>
          <w:b/>
          <w:bCs/>
          <w:iCs/>
          <w:sz w:val="22"/>
          <w:szCs w:val="22"/>
        </w:rPr>
        <w:t>las actividades que realicen los particulares, dentro del ámbito privado, o dentro de la esfera particular, es información que debe protegerse.</w:t>
      </w:r>
    </w:p>
    <w:p w14:paraId="6C2CCF84" w14:textId="77777777" w:rsidR="001A33D4" w:rsidRPr="00980328" w:rsidRDefault="001A33D4" w:rsidP="00E84BFE">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 xml:space="preserve"> </w:t>
      </w:r>
    </w:p>
    <w:p w14:paraId="0E21FADC" w14:textId="77777777" w:rsidR="001A33D4" w:rsidRPr="00980328" w:rsidRDefault="001A33D4" w:rsidP="00E84BFE">
      <w:pPr>
        <w:spacing w:line="360" w:lineRule="auto"/>
        <w:contextualSpacing/>
        <w:jc w:val="both"/>
        <w:rPr>
          <w:rFonts w:ascii="Palatino Linotype" w:eastAsia="Calibri" w:hAnsi="Palatino Linotype" w:cs="Tahoma"/>
          <w:bCs/>
          <w:iCs/>
          <w:sz w:val="22"/>
          <w:szCs w:val="22"/>
        </w:rPr>
      </w:pPr>
      <w:r w:rsidRPr="00980328">
        <w:rPr>
          <w:rFonts w:ascii="Palatino Linotype" w:eastAsia="Calibri" w:hAnsi="Palatino Linotype" w:cs="Tahoma"/>
          <w:bCs/>
          <w:iCs/>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No obstante, para el caso de que haya recibido recursos públicos no procederá su clasificación.</w:t>
      </w:r>
    </w:p>
    <w:p w14:paraId="48A17FCC" w14:textId="77777777" w:rsidR="001A33D4" w:rsidRDefault="001A33D4" w:rsidP="00E84BFE">
      <w:pPr>
        <w:spacing w:line="360" w:lineRule="auto"/>
        <w:contextualSpacing/>
        <w:jc w:val="both"/>
        <w:rPr>
          <w:rFonts w:ascii="Palatino Linotype" w:eastAsia="Calibri" w:hAnsi="Palatino Linotype" w:cs="Tahoma"/>
          <w:bCs/>
          <w:sz w:val="22"/>
          <w:szCs w:val="22"/>
        </w:rPr>
      </w:pPr>
    </w:p>
    <w:p w14:paraId="76B07F96" w14:textId="77777777" w:rsidR="001A33D4" w:rsidRPr="009F50A9" w:rsidRDefault="001A33D4" w:rsidP="00E84BFE">
      <w:pPr>
        <w:numPr>
          <w:ilvl w:val="0"/>
          <w:numId w:val="46"/>
        </w:numPr>
        <w:spacing w:line="360" w:lineRule="auto"/>
        <w:contextualSpacing/>
        <w:jc w:val="both"/>
        <w:rPr>
          <w:rFonts w:ascii="Palatino Linotype" w:eastAsia="Palatino Linotype" w:hAnsi="Palatino Linotype" w:cs="Palatino Linotype"/>
          <w:b/>
          <w:bCs/>
          <w:sz w:val="22"/>
          <w:szCs w:val="22"/>
        </w:rPr>
      </w:pPr>
      <w:r w:rsidRPr="009F50A9">
        <w:rPr>
          <w:rFonts w:ascii="Palatino Linotype" w:eastAsia="Palatino Linotype" w:hAnsi="Palatino Linotype" w:cs="Palatino Linotype"/>
          <w:b/>
          <w:bCs/>
          <w:sz w:val="22"/>
          <w:szCs w:val="22"/>
        </w:rPr>
        <w:t>Correo electrónico particular</w:t>
      </w:r>
    </w:p>
    <w:p w14:paraId="6C1B8C75" w14:textId="77777777" w:rsidR="001A33D4" w:rsidRPr="009F50A9" w:rsidRDefault="001A33D4" w:rsidP="00E84BFE">
      <w:pPr>
        <w:spacing w:line="360" w:lineRule="auto"/>
        <w:contextualSpacing/>
        <w:jc w:val="both"/>
        <w:rPr>
          <w:rFonts w:ascii="Palatino Linotype" w:eastAsia="Palatino Linotype" w:hAnsi="Palatino Linotype" w:cs="Palatino Linotype"/>
          <w:b/>
          <w:bCs/>
          <w:iCs/>
          <w:sz w:val="22"/>
          <w:szCs w:val="22"/>
        </w:rPr>
      </w:pPr>
      <w:r w:rsidRPr="009F50A9">
        <w:rPr>
          <w:rFonts w:ascii="Palatino Linotype" w:eastAsia="Palatino Linotype" w:hAnsi="Palatino Linotype" w:cs="Palatino Linotype"/>
          <w:b/>
          <w:bCs/>
          <w:iCs/>
          <w:sz w:val="22"/>
          <w:szCs w:val="22"/>
        </w:rPr>
        <w:t xml:space="preserve"> </w:t>
      </w:r>
    </w:p>
    <w:p w14:paraId="77E86527" w14:textId="77777777" w:rsidR="001A33D4" w:rsidRPr="009F50A9" w:rsidRDefault="001A33D4" w:rsidP="00E84BFE">
      <w:pPr>
        <w:spacing w:line="360" w:lineRule="auto"/>
        <w:contextualSpacing/>
        <w:jc w:val="both"/>
        <w:rPr>
          <w:rFonts w:ascii="Palatino Linotype" w:eastAsia="Palatino Linotype" w:hAnsi="Palatino Linotype" w:cs="Palatino Linotype"/>
          <w:sz w:val="22"/>
          <w:szCs w:val="22"/>
        </w:rPr>
      </w:pPr>
      <w:r w:rsidRPr="009F50A9">
        <w:rPr>
          <w:rFonts w:ascii="Palatino Linotype" w:eastAsia="Palatino Linotype" w:hAnsi="Palatino Linotype" w:cs="Palatino Linotype"/>
          <w:sz w:val="22"/>
          <w:szCs w:val="22"/>
        </w:rPr>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97D84BA" w14:textId="77777777" w:rsidR="001A33D4" w:rsidRPr="009F50A9" w:rsidRDefault="001A33D4" w:rsidP="00E84BFE">
      <w:pPr>
        <w:spacing w:line="360" w:lineRule="auto"/>
        <w:contextualSpacing/>
        <w:jc w:val="both"/>
        <w:rPr>
          <w:rFonts w:ascii="Palatino Linotype" w:eastAsia="Palatino Linotype" w:hAnsi="Palatino Linotype" w:cs="Palatino Linotype"/>
          <w:sz w:val="22"/>
          <w:szCs w:val="22"/>
        </w:rPr>
      </w:pPr>
      <w:r w:rsidRPr="009F50A9">
        <w:rPr>
          <w:rFonts w:ascii="Palatino Linotype" w:eastAsia="Palatino Linotype" w:hAnsi="Palatino Linotype" w:cs="Palatino Linotype"/>
          <w:sz w:val="22"/>
          <w:szCs w:val="22"/>
        </w:rPr>
        <w:t xml:space="preserve"> </w:t>
      </w:r>
    </w:p>
    <w:p w14:paraId="004FE174" w14:textId="1388CAD4" w:rsidR="001A33D4" w:rsidRDefault="001A33D4" w:rsidP="00E84BFE">
      <w:pPr>
        <w:spacing w:line="360" w:lineRule="auto"/>
        <w:contextualSpacing/>
        <w:jc w:val="both"/>
        <w:rPr>
          <w:rFonts w:ascii="Palatino Linotype" w:eastAsia="Palatino Linotype" w:hAnsi="Palatino Linotype" w:cs="Palatino Linotype"/>
          <w:sz w:val="22"/>
          <w:szCs w:val="22"/>
        </w:rPr>
      </w:pPr>
      <w:r w:rsidRPr="009F50A9">
        <w:rPr>
          <w:rFonts w:ascii="Palatino Linotype" w:eastAsia="Palatino Linotype" w:hAnsi="Palatino Linotype" w:cs="Palatino Linotype"/>
          <w:sz w:val="22"/>
          <w:szCs w:val="22"/>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r>
        <w:rPr>
          <w:rFonts w:ascii="Palatino Linotype" w:eastAsia="Palatino Linotype" w:hAnsi="Palatino Linotype" w:cs="Palatino Linotype"/>
          <w:sz w:val="22"/>
          <w:szCs w:val="22"/>
        </w:rPr>
        <w:t>.</w:t>
      </w:r>
    </w:p>
    <w:p w14:paraId="52DF98C7" w14:textId="7451C718" w:rsidR="00B37168" w:rsidRPr="001A33D4" w:rsidRDefault="00B37168" w:rsidP="00E84BF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bCs/>
          <w:iCs/>
          <w:sz w:val="22"/>
          <w:szCs w:val="22"/>
        </w:rPr>
        <w:t xml:space="preserve"> </w:t>
      </w:r>
    </w:p>
    <w:p w14:paraId="1D079AAB" w14:textId="77777777" w:rsidR="001A33D4" w:rsidRDefault="00B37168" w:rsidP="00E84BF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Conforme a lo anterior, se considera que el Sujeto Obliga deberá entregar en versión pública los documentos;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A6C3CD5" w14:textId="77777777" w:rsidR="001A33D4" w:rsidRDefault="001A33D4" w:rsidP="00E84BFE">
      <w:pPr>
        <w:spacing w:line="360" w:lineRule="auto"/>
        <w:contextualSpacing/>
        <w:jc w:val="both"/>
        <w:rPr>
          <w:rFonts w:ascii="Palatino Linotype" w:eastAsia="Palatino Linotype" w:hAnsi="Palatino Linotype" w:cs="Palatino Linotype"/>
          <w:bCs/>
          <w:iCs/>
          <w:sz w:val="22"/>
          <w:szCs w:val="22"/>
        </w:rPr>
      </w:pPr>
    </w:p>
    <w:p w14:paraId="66F4DA9D" w14:textId="47C562CD" w:rsidR="00B37168" w:rsidRPr="003B03AE" w:rsidRDefault="00B37168" w:rsidP="00E84BF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A73AE72"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22F83D75" w14:textId="77777777" w:rsidR="00B37168" w:rsidRDefault="00B37168" w:rsidP="00E84BFE">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6"/>
      <w:r>
        <w:rPr>
          <w:rFonts w:ascii="Palatino Linotype" w:eastAsia="Palatino Linotype" w:hAnsi="Palatino Linotype" w:cs="Palatino Linotype"/>
          <w:b/>
          <w:color w:val="000000"/>
          <w:sz w:val="22"/>
          <w:szCs w:val="22"/>
        </w:rPr>
        <w:t>SEXTO. Decisión</w:t>
      </w:r>
      <w:bookmarkEnd w:id="18"/>
    </w:p>
    <w:p w14:paraId="285A7684"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31816498" w14:textId="111E21B2" w:rsidR="00B37168" w:rsidRDefault="00B37168" w:rsidP="00E84BF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w:t>
      </w:r>
      <w:r w:rsidR="00E1641D">
        <w:rPr>
          <w:rFonts w:ascii="Palatino Linotype" w:eastAsia="Palatino Linotype" w:hAnsi="Palatino Linotype" w:cs="Palatino Linotype"/>
          <w:sz w:val="22"/>
          <w:szCs w:val="22"/>
        </w:rPr>
        <w:t>3516</w:t>
      </w:r>
      <w:r>
        <w:rPr>
          <w:rFonts w:ascii="Palatino Linotype" w:eastAsia="Palatino Linotype" w:hAnsi="Palatino Linotype" w:cs="Palatino Linotype"/>
          <w:sz w:val="22"/>
          <w:szCs w:val="22"/>
        </w:rPr>
        <w:t>/TOLUCA/IP/2025, a efecto de que, proporcione en su caso en versión pública la información solicitada y faltante.</w:t>
      </w:r>
    </w:p>
    <w:p w14:paraId="4BFCEF5D" w14:textId="77777777" w:rsidR="00B37168" w:rsidRDefault="00B37168" w:rsidP="00E84BFE">
      <w:pPr>
        <w:tabs>
          <w:tab w:val="left" w:pos="4962"/>
        </w:tabs>
        <w:spacing w:line="360" w:lineRule="auto"/>
        <w:contextualSpacing/>
        <w:jc w:val="both"/>
        <w:rPr>
          <w:rFonts w:ascii="Palatino Linotype" w:eastAsia="Palatino Linotype" w:hAnsi="Palatino Linotype" w:cs="Palatino Linotype"/>
          <w:sz w:val="22"/>
          <w:szCs w:val="22"/>
        </w:rPr>
      </w:pPr>
    </w:p>
    <w:p w14:paraId="41779BF3" w14:textId="77777777" w:rsidR="00B37168" w:rsidRDefault="00B37168" w:rsidP="00E84BFE">
      <w:pPr>
        <w:spacing w:line="360" w:lineRule="auto"/>
        <w:contextualSpacing/>
        <w:jc w:val="both"/>
        <w:rPr>
          <w:rFonts w:ascii="Palatino Linotype" w:eastAsia="Palatino Linotype" w:hAnsi="Palatino Linotype" w:cs="Palatino Linotype"/>
          <w:b/>
          <w:color w:val="000000"/>
          <w:sz w:val="22"/>
          <w:szCs w:val="22"/>
        </w:rPr>
      </w:pPr>
      <w:bookmarkStart w:id="19" w:name="_heading=h.u9526am5hh65" w:colFirst="0" w:colLast="0"/>
      <w:bookmarkEnd w:id="19"/>
      <w:r>
        <w:rPr>
          <w:rFonts w:ascii="Palatino Linotype" w:eastAsia="Palatino Linotype" w:hAnsi="Palatino Linotype" w:cs="Palatino Linotype"/>
          <w:b/>
          <w:color w:val="000000"/>
          <w:sz w:val="22"/>
          <w:szCs w:val="22"/>
        </w:rPr>
        <w:t>Términos de la Resolución para el Recurrente</w:t>
      </w:r>
    </w:p>
    <w:p w14:paraId="24A698F6" w14:textId="77777777" w:rsidR="00B37168" w:rsidRDefault="00B37168" w:rsidP="00E84BFE">
      <w:pPr>
        <w:spacing w:line="360" w:lineRule="auto"/>
        <w:contextualSpacing/>
        <w:jc w:val="both"/>
        <w:rPr>
          <w:rFonts w:ascii="Palatino Linotype" w:eastAsia="Palatino Linotype" w:hAnsi="Palatino Linotype" w:cs="Palatino Linotype"/>
          <w:b/>
          <w:color w:val="000000"/>
          <w:sz w:val="22"/>
          <w:szCs w:val="22"/>
        </w:rPr>
      </w:pPr>
    </w:p>
    <w:p w14:paraId="2646ED7C"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no entregó la información de manera completa. La labor del Instituto, es apoyar a la población para acceder a la información pública y garantizar la protección de los datos personales.</w:t>
      </w:r>
    </w:p>
    <w:p w14:paraId="0A1178E7" w14:textId="77777777" w:rsidR="00B37168" w:rsidRDefault="00B37168" w:rsidP="00E84BFE">
      <w:pPr>
        <w:spacing w:line="360" w:lineRule="auto"/>
        <w:contextualSpacing/>
        <w:jc w:val="both"/>
        <w:rPr>
          <w:rFonts w:ascii="Palatino Linotype" w:eastAsia="Palatino Linotype" w:hAnsi="Palatino Linotype" w:cs="Palatino Linotype"/>
          <w:color w:val="000000"/>
          <w:sz w:val="22"/>
          <w:szCs w:val="22"/>
        </w:rPr>
      </w:pPr>
    </w:p>
    <w:p w14:paraId="5B57FB00" w14:textId="77777777" w:rsidR="00B37168" w:rsidRDefault="00B37168" w:rsidP="00E84BFE">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59451AF8" w14:textId="77777777" w:rsidR="00B37168" w:rsidRDefault="00B37168" w:rsidP="00E84BFE">
      <w:pPr>
        <w:spacing w:line="360" w:lineRule="auto"/>
        <w:ind w:right="-93"/>
        <w:contextualSpacing/>
        <w:jc w:val="both"/>
        <w:rPr>
          <w:rFonts w:ascii="Palatino Linotype" w:eastAsia="Palatino Linotype" w:hAnsi="Palatino Linotype" w:cs="Palatino Linotype"/>
          <w:color w:val="000000"/>
          <w:sz w:val="22"/>
          <w:szCs w:val="22"/>
        </w:rPr>
      </w:pPr>
    </w:p>
    <w:p w14:paraId="4B28927B" w14:textId="77777777" w:rsidR="00B37168" w:rsidRDefault="00B37168" w:rsidP="00E84BF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0" w:name="_Toc215679577"/>
      <w:r>
        <w:rPr>
          <w:rFonts w:ascii="Palatino Linotype" w:eastAsia="Palatino Linotype" w:hAnsi="Palatino Linotype" w:cs="Palatino Linotype"/>
          <w:b/>
          <w:color w:val="000000"/>
          <w:sz w:val="22"/>
          <w:szCs w:val="22"/>
        </w:rPr>
        <w:t>R E S U E L V E</w:t>
      </w:r>
      <w:bookmarkEnd w:id="20"/>
    </w:p>
    <w:p w14:paraId="6E885238" w14:textId="77777777" w:rsidR="00B37168" w:rsidRDefault="00B37168" w:rsidP="00E84BFE">
      <w:pPr>
        <w:spacing w:line="360" w:lineRule="auto"/>
        <w:ind w:right="-28"/>
        <w:contextualSpacing/>
        <w:jc w:val="both"/>
        <w:rPr>
          <w:rFonts w:ascii="Palatino Linotype" w:eastAsia="Palatino Linotype" w:hAnsi="Palatino Linotype" w:cs="Palatino Linotype"/>
          <w:b/>
          <w:sz w:val="22"/>
          <w:szCs w:val="22"/>
        </w:rPr>
      </w:pPr>
    </w:p>
    <w:p w14:paraId="7EC730DE" w14:textId="489BD55C" w:rsidR="00B37168" w:rsidRDefault="00B37168" w:rsidP="00E84BF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w:t>
      </w:r>
      <w:r w:rsidR="00E1641D">
        <w:rPr>
          <w:rFonts w:ascii="Palatino Linotype" w:eastAsia="Palatino Linotype" w:hAnsi="Palatino Linotype" w:cs="Palatino Linotype"/>
          <w:sz w:val="22"/>
          <w:szCs w:val="22"/>
        </w:rPr>
        <w:t>3516</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AAA9EAC" w14:textId="77777777" w:rsidR="00B37168" w:rsidRDefault="00B37168" w:rsidP="00E84BFE">
      <w:pPr>
        <w:widowControl w:val="0"/>
        <w:spacing w:line="360" w:lineRule="auto"/>
        <w:contextualSpacing/>
        <w:jc w:val="both"/>
        <w:rPr>
          <w:rFonts w:ascii="Palatino Linotype" w:eastAsia="Palatino Linotype" w:hAnsi="Palatino Linotype" w:cs="Palatino Linotype"/>
          <w:sz w:val="22"/>
          <w:szCs w:val="22"/>
        </w:rPr>
      </w:pPr>
    </w:p>
    <w:p w14:paraId="3E960739" w14:textId="1E0D34B4"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00FC4808" w:rsidRPr="00FC4808">
        <w:rPr>
          <w:rFonts w:ascii="Palatino Linotype" w:eastAsia="Palatino Linotype" w:hAnsi="Palatino Linotype" w:cs="Palatino Linotype"/>
          <w:sz w:val="22"/>
          <w:szCs w:val="22"/>
        </w:rPr>
        <w:t xml:space="preserve"> </w:t>
      </w:r>
      <w:r w:rsidR="00FC4808">
        <w:rPr>
          <w:rFonts w:ascii="Palatino Linotype" w:eastAsia="Palatino Linotype" w:hAnsi="Palatino Linotype" w:cs="Palatino Linotype"/>
          <w:sz w:val="22"/>
          <w:szCs w:val="22"/>
        </w:rPr>
        <w:t>previa búsqueda exhaustiva y razonable en las unidades administrativas competentes</w:t>
      </w:r>
      <w:r>
        <w:rPr>
          <w:rFonts w:ascii="Palatino Linotype" w:eastAsia="Palatino Linotype" w:hAnsi="Palatino Linotype" w:cs="Palatino Linotype"/>
          <w:sz w:val="22"/>
          <w:szCs w:val="22"/>
        </w:rPr>
        <w:t xml:space="preserve">, </w:t>
      </w:r>
      <w:r w:rsidR="00FC4808">
        <w:rPr>
          <w:rFonts w:ascii="Palatino Linotype" w:eastAsia="Palatino Linotype" w:hAnsi="Palatino Linotype" w:cs="Palatino Linotype"/>
          <w:sz w:val="22"/>
          <w:szCs w:val="22"/>
        </w:rPr>
        <w:t xml:space="preserve">a través del SAIMEX, </w:t>
      </w:r>
      <w:r>
        <w:rPr>
          <w:rFonts w:ascii="Palatino Linotype" w:eastAsia="Palatino Linotype" w:hAnsi="Palatino Linotype" w:cs="Palatino Linotype"/>
          <w:sz w:val="22"/>
          <w:szCs w:val="22"/>
        </w:rPr>
        <w:t xml:space="preserve">en su caso en versión pública, del primero de enero al </w:t>
      </w:r>
      <w:r w:rsidR="00E1641D">
        <w:rPr>
          <w:rFonts w:ascii="Palatino Linotype" w:eastAsia="Palatino Linotype" w:hAnsi="Palatino Linotype" w:cs="Palatino Linotype"/>
          <w:sz w:val="22"/>
          <w:szCs w:val="22"/>
        </w:rPr>
        <w:t xml:space="preserve">dieciocho de junio </w:t>
      </w:r>
      <w:r>
        <w:rPr>
          <w:rFonts w:ascii="Palatino Linotype" w:eastAsia="Palatino Linotype" w:hAnsi="Palatino Linotype" w:cs="Palatino Linotype"/>
          <w:sz w:val="22"/>
          <w:szCs w:val="22"/>
        </w:rPr>
        <w:t>de dos mil veinticinco, los documentos que dieran cuenta de lo siguiente:</w:t>
      </w:r>
    </w:p>
    <w:p w14:paraId="2F999A24" w14:textId="77777777" w:rsidR="00E1641D" w:rsidRDefault="00E1641D" w:rsidP="00E84BFE">
      <w:pPr>
        <w:spacing w:line="360" w:lineRule="auto"/>
        <w:contextualSpacing/>
        <w:jc w:val="both"/>
        <w:rPr>
          <w:rFonts w:ascii="Palatino Linotype" w:eastAsia="Palatino Linotype" w:hAnsi="Palatino Linotype" w:cs="Palatino Linotype"/>
          <w:sz w:val="22"/>
          <w:szCs w:val="22"/>
        </w:rPr>
      </w:pPr>
    </w:p>
    <w:p w14:paraId="102E8DF6" w14:textId="4B682839" w:rsidR="00FC4808" w:rsidRDefault="00FC4808" w:rsidP="00E84BFE">
      <w:pPr>
        <w:pStyle w:val="Prrafodelista"/>
        <w:numPr>
          <w:ilvl w:val="0"/>
          <w:numId w:val="4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Respecto a los Comités faltantes, conforme a lo establecido en el Considerando QUINTO, lo siguiente:</w:t>
      </w:r>
    </w:p>
    <w:p w14:paraId="2FF20A56" w14:textId="48B9B13A" w:rsidR="00FC4808" w:rsidRDefault="00E1641D" w:rsidP="00FC4808">
      <w:pPr>
        <w:pStyle w:val="Prrafodelista"/>
        <w:numPr>
          <w:ilvl w:val="0"/>
          <w:numId w:val="5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Actas </w:t>
      </w:r>
      <w:r w:rsidR="00FC4808">
        <w:rPr>
          <w:rFonts w:ascii="Palatino Linotype" w:eastAsia="Palatino Linotype" w:hAnsi="Palatino Linotype" w:cs="Palatino Linotype"/>
          <w:sz w:val="22"/>
          <w:szCs w:val="22"/>
        </w:rPr>
        <w:t>de las Sesiones de C</w:t>
      </w:r>
      <w:r>
        <w:rPr>
          <w:rFonts w:ascii="Palatino Linotype" w:eastAsia="Palatino Linotype" w:hAnsi="Palatino Linotype" w:cs="Palatino Linotype"/>
          <w:sz w:val="22"/>
          <w:szCs w:val="22"/>
        </w:rPr>
        <w:t>abildo</w:t>
      </w:r>
      <w:r w:rsidR="00FC4808">
        <w:rPr>
          <w:rFonts w:ascii="Palatino Linotype" w:eastAsia="Palatino Linotype" w:hAnsi="Palatino Linotype" w:cs="Palatino Linotype"/>
          <w:sz w:val="22"/>
          <w:szCs w:val="22"/>
        </w:rPr>
        <w:t xml:space="preserve"> donde se aprobo su integración, y</w:t>
      </w:r>
    </w:p>
    <w:p w14:paraId="63E3E3BB" w14:textId="40322E10" w:rsidR="00FC4808" w:rsidRDefault="00FC4808" w:rsidP="00FC4808">
      <w:pPr>
        <w:pStyle w:val="Prrafodelista"/>
        <w:numPr>
          <w:ilvl w:val="0"/>
          <w:numId w:val="5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Actas de las Sesiones realizadas, incluyendo a la instalación.</w:t>
      </w:r>
    </w:p>
    <w:p w14:paraId="76B6ACBC" w14:textId="77777777" w:rsidR="00FC4808" w:rsidRDefault="00FC4808" w:rsidP="00FC4808">
      <w:pPr>
        <w:pStyle w:val="Prrafodelista"/>
        <w:spacing w:line="360" w:lineRule="auto"/>
        <w:ind w:left="1440"/>
        <w:jc w:val="both"/>
        <w:rPr>
          <w:rFonts w:ascii="Palatino Linotype" w:eastAsia="Palatino Linotype" w:hAnsi="Palatino Linotype" w:cs="Palatino Linotype"/>
          <w:sz w:val="22"/>
          <w:szCs w:val="22"/>
        </w:rPr>
      </w:pPr>
    </w:p>
    <w:p w14:paraId="0444A797" w14:textId="029C15B1" w:rsidR="00E1641D" w:rsidRPr="00E1641D" w:rsidRDefault="00E1641D" w:rsidP="00E84BFE">
      <w:pPr>
        <w:pStyle w:val="Prrafodelista"/>
        <w:numPr>
          <w:ilvl w:val="0"/>
          <w:numId w:val="47"/>
        </w:numPr>
        <w:spacing w:line="360" w:lineRule="auto"/>
        <w:jc w:val="both"/>
        <w:rPr>
          <w:rFonts w:ascii="Palatino Linotype" w:hAnsi="Palatino Linotype" w:cs="Tahoma"/>
          <w:bCs/>
          <w:iCs/>
          <w:sz w:val="22"/>
          <w:szCs w:val="22"/>
        </w:rPr>
      </w:pPr>
      <w:r w:rsidRPr="00DA5720">
        <w:rPr>
          <w:rFonts w:ascii="Palatino Linotype" w:hAnsi="Palatino Linotype" w:cs="Tahoma"/>
          <w:bCs/>
          <w:iCs/>
          <w:sz w:val="22"/>
          <w:szCs w:val="22"/>
        </w:rPr>
        <w:t>E</w:t>
      </w:r>
      <w:r>
        <w:rPr>
          <w:rFonts w:ascii="Palatino Linotype" w:hAnsi="Palatino Linotype" w:cs="Tahoma"/>
          <w:bCs/>
          <w:iCs/>
          <w:sz w:val="22"/>
          <w:szCs w:val="22"/>
        </w:rPr>
        <w:t>l</w:t>
      </w:r>
      <w:r w:rsidRPr="00DA5720">
        <w:rPr>
          <w:rFonts w:ascii="Palatino Linotype" w:hAnsi="Palatino Linotype" w:cs="Tahoma"/>
          <w:bCs/>
          <w:iCs/>
          <w:sz w:val="22"/>
          <w:szCs w:val="22"/>
        </w:rPr>
        <w:t xml:space="preserve"> Acuerdo de Clasificación donde el Comité de Transparencia, confirme la eliminación de los datos </w:t>
      </w:r>
      <w:r>
        <w:rPr>
          <w:rFonts w:ascii="Palatino Linotype" w:hAnsi="Palatino Linotype" w:cs="Tahoma"/>
          <w:bCs/>
          <w:iCs/>
          <w:sz w:val="22"/>
          <w:szCs w:val="22"/>
        </w:rPr>
        <w:t xml:space="preserve">o información testada en las versiones públicas de las </w:t>
      </w:r>
      <w:r w:rsidR="00FC4808">
        <w:rPr>
          <w:rFonts w:ascii="Palatino Linotype" w:hAnsi="Palatino Linotype" w:cs="Tahoma"/>
          <w:bCs/>
          <w:iCs/>
          <w:sz w:val="22"/>
          <w:szCs w:val="22"/>
        </w:rPr>
        <w:t>A</w:t>
      </w:r>
      <w:r>
        <w:rPr>
          <w:rFonts w:ascii="Palatino Linotype" w:hAnsi="Palatino Linotype" w:cs="Tahoma"/>
          <w:bCs/>
          <w:iCs/>
          <w:sz w:val="22"/>
          <w:szCs w:val="22"/>
        </w:rPr>
        <w:t>ctas del Comité de Dictamen de Giro remitidas en respuesta</w:t>
      </w:r>
      <w:r w:rsidR="00FC4808">
        <w:rPr>
          <w:rFonts w:ascii="Palatino Linotype" w:hAnsi="Palatino Linotype" w:cs="Tahoma"/>
          <w:bCs/>
          <w:iCs/>
          <w:sz w:val="22"/>
          <w:szCs w:val="22"/>
        </w:rPr>
        <w:t>, así como, de los documentos que den cuenta del numeral 1</w:t>
      </w:r>
      <w:r w:rsidRPr="00DA5720">
        <w:rPr>
          <w:rFonts w:ascii="Palatino Linotype" w:hAnsi="Palatino Linotype" w:cs="Tahoma"/>
          <w:bCs/>
          <w:iCs/>
          <w:sz w:val="22"/>
          <w:szCs w:val="22"/>
        </w:rPr>
        <w:t>, de conformidad con los artículos 49, fracciones II y VIII,</w:t>
      </w:r>
      <w:r>
        <w:rPr>
          <w:rFonts w:ascii="Palatino Linotype" w:hAnsi="Palatino Linotype" w:cs="Tahoma"/>
          <w:bCs/>
          <w:iCs/>
          <w:sz w:val="22"/>
          <w:szCs w:val="22"/>
        </w:rPr>
        <w:t xml:space="preserve"> y</w:t>
      </w:r>
      <w:r w:rsidRPr="00DA5720">
        <w:rPr>
          <w:rFonts w:ascii="Palatino Linotype" w:hAnsi="Palatino Linotype" w:cs="Tahoma"/>
          <w:bCs/>
          <w:iCs/>
          <w:sz w:val="22"/>
          <w:szCs w:val="22"/>
        </w:rPr>
        <w:t xml:space="preserve"> 132, fracción II, de la Ley de Transparencia y Acceso a la Información Pública del Estado de México y Municipios. </w:t>
      </w:r>
    </w:p>
    <w:p w14:paraId="55032ECE" w14:textId="77777777" w:rsidR="00B37168" w:rsidRDefault="00B37168" w:rsidP="00E84BFE">
      <w:pPr>
        <w:spacing w:line="360" w:lineRule="auto"/>
        <w:contextualSpacing/>
        <w:jc w:val="both"/>
        <w:rPr>
          <w:rFonts w:ascii="Palatino Linotype" w:eastAsia="Palatino Linotype" w:hAnsi="Palatino Linotype" w:cs="Palatino Linotype"/>
          <w:color w:val="0D0D0D"/>
          <w:sz w:val="22"/>
          <w:szCs w:val="22"/>
        </w:rPr>
      </w:pPr>
    </w:p>
    <w:p w14:paraId="762778F0" w14:textId="03646189" w:rsidR="00B37168" w:rsidRDefault="00B37168" w:rsidP="00E84BFE">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Para el caso de la información que se ordena entregar en </w:t>
      </w:r>
      <w:r w:rsidR="00E634DC">
        <w:rPr>
          <w:rFonts w:ascii="Palatino Linotype" w:eastAsia="Palatino Linotype" w:hAnsi="Palatino Linotype" w:cs="Palatino Linotype"/>
          <w:sz w:val="22"/>
          <w:szCs w:val="22"/>
        </w:rPr>
        <w:t>e</w:t>
      </w:r>
      <w:r w:rsidRPr="0069652E">
        <w:rPr>
          <w:rFonts w:ascii="Palatino Linotype" w:eastAsia="Palatino Linotype" w:hAnsi="Palatino Linotype" w:cs="Palatino Linotype"/>
          <w:sz w:val="22"/>
          <w:szCs w:val="22"/>
        </w:rPr>
        <w:t xml:space="preserve">l punto </w:t>
      </w:r>
      <w:r w:rsidR="00E634DC">
        <w:rPr>
          <w:rFonts w:ascii="Palatino Linotype" w:eastAsia="Palatino Linotype" w:hAnsi="Palatino Linotype" w:cs="Palatino Linotype"/>
          <w:sz w:val="22"/>
          <w:szCs w:val="22"/>
        </w:rPr>
        <w:t xml:space="preserve">1, </w:t>
      </w:r>
      <w:r w:rsidRPr="0069652E">
        <w:rPr>
          <w:rFonts w:ascii="Palatino Linotype" w:eastAsia="Palatino Linotype" w:hAnsi="Palatino Linotype" w:cs="Palatino Linotype"/>
          <w:sz w:val="22"/>
          <w:szCs w:val="22"/>
        </w:rPr>
        <w:t>no contara con la información</w:t>
      </w:r>
      <w:r w:rsidR="00E634DC">
        <w:rPr>
          <w:rFonts w:ascii="Palatino Linotype" w:eastAsia="Palatino Linotype" w:hAnsi="Palatino Linotype" w:cs="Palatino Linotype"/>
          <w:sz w:val="22"/>
          <w:szCs w:val="22"/>
        </w:rPr>
        <w:t xml:space="preserve"> en toda la temporalidad requerida al no haberse generado</w:t>
      </w:r>
      <w:r w:rsidRPr="0069652E">
        <w:rPr>
          <w:rFonts w:ascii="Palatino Linotype" w:eastAsia="Palatino Linotype" w:hAnsi="Palatino Linotype" w:cs="Palatino Linotype"/>
          <w:sz w:val="22"/>
          <w:szCs w:val="22"/>
        </w:rPr>
        <w:t>, bastará con que lo haga del conocimiento del Particular de manera precisa y clara.</w:t>
      </w:r>
    </w:p>
    <w:p w14:paraId="635782CD" w14:textId="77777777" w:rsidR="00B37168" w:rsidRDefault="00B37168" w:rsidP="00E84BFE">
      <w:pPr>
        <w:spacing w:line="360" w:lineRule="auto"/>
        <w:contextualSpacing/>
        <w:jc w:val="both"/>
        <w:rPr>
          <w:rFonts w:ascii="Palatino Linotype" w:eastAsia="Palatino Linotype" w:hAnsi="Palatino Linotype" w:cs="Palatino Linotype"/>
          <w:color w:val="0D0D0D"/>
          <w:sz w:val="22"/>
          <w:szCs w:val="22"/>
        </w:rPr>
      </w:pPr>
    </w:p>
    <w:p w14:paraId="2F41D6CE"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w:t>
      </w:r>
      <w:r>
        <w:rPr>
          <w:rFonts w:ascii="Palatino Linotype" w:eastAsia="Palatino Linotype" w:hAnsi="Palatino Linotype" w:cs="Palatino Linotype"/>
          <w:sz w:val="22"/>
          <w:szCs w:val="22"/>
        </w:rPr>
        <w:lastRenderedPageBreak/>
        <w:t xml:space="preserve">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BDA58A2"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5286F061"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DC0958D"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03613AD"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9D71F8"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742A11AE" w14:textId="007DBC29" w:rsidR="00B37168" w:rsidRDefault="00B37168" w:rsidP="00E84BF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E634DC">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 xml:space="preserve">SESIÓN ORDINARIA, CELEBRADA EL </w:t>
      </w:r>
      <w:r w:rsidR="00E634DC">
        <w:rPr>
          <w:rFonts w:ascii="Palatino Linotype" w:eastAsia="Palatino Linotype" w:hAnsi="Palatino Linotype" w:cs="Palatino Linotype"/>
          <w:sz w:val="22"/>
          <w:szCs w:val="22"/>
        </w:rPr>
        <w:t xml:space="preserve">DIEZ DE DICIEMBRE </w:t>
      </w:r>
      <w:r>
        <w:rPr>
          <w:rFonts w:ascii="Palatino Linotype" w:eastAsia="Palatino Linotype" w:hAnsi="Palatino Linotype" w:cs="Palatino Linotype"/>
          <w:sz w:val="22"/>
          <w:szCs w:val="22"/>
        </w:rPr>
        <w:t>DE DOS MIL VEINTICINCO, ANTE EL SECRETARIO TÉCNICO DEL PLENO, ALEXIS TAPIA RAMÍREZ.</w:t>
      </w:r>
    </w:p>
    <w:p w14:paraId="0CF53F98" w14:textId="77777777" w:rsidR="00B37168" w:rsidRDefault="00B37168" w:rsidP="00E84BFE">
      <w:pPr>
        <w:spacing w:line="360" w:lineRule="auto"/>
        <w:contextualSpacing/>
        <w:jc w:val="both"/>
        <w:rPr>
          <w:rFonts w:ascii="Palatino Linotype" w:eastAsia="Palatino Linotype" w:hAnsi="Palatino Linotype" w:cs="Palatino Linotype"/>
          <w:sz w:val="22"/>
          <w:szCs w:val="22"/>
        </w:rPr>
      </w:pPr>
    </w:p>
    <w:p w14:paraId="3795559A" w14:textId="77777777" w:rsidR="00B37168" w:rsidRDefault="00B37168" w:rsidP="00E84BFE">
      <w:pPr>
        <w:spacing w:line="360" w:lineRule="auto"/>
        <w:contextualSpacing/>
        <w:rPr>
          <w:rFonts w:ascii="Palatino Linotype" w:eastAsia="Palatino Linotype" w:hAnsi="Palatino Linotype" w:cs="Palatino Linotype"/>
        </w:rPr>
      </w:pPr>
    </w:p>
    <w:p w14:paraId="7701D54D" w14:textId="77777777" w:rsidR="00B37168" w:rsidRDefault="00B37168" w:rsidP="00E84BFE">
      <w:pPr>
        <w:spacing w:line="360" w:lineRule="auto"/>
        <w:contextualSpacing/>
        <w:rPr>
          <w:rFonts w:ascii="Palatino Linotype" w:eastAsia="Palatino Linotype" w:hAnsi="Palatino Linotype" w:cs="Palatino Linotype"/>
        </w:rPr>
      </w:pPr>
    </w:p>
    <w:p w14:paraId="1C60DB71" w14:textId="77777777" w:rsidR="00B37168" w:rsidRDefault="00B37168" w:rsidP="00E84BFE">
      <w:pPr>
        <w:spacing w:line="360" w:lineRule="auto"/>
        <w:contextualSpacing/>
        <w:rPr>
          <w:rFonts w:ascii="Palatino Linotype" w:eastAsia="Palatino Linotype" w:hAnsi="Palatino Linotype" w:cs="Palatino Linotype"/>
        </w:rPr>
      </w:pPr>
    </w:p>
    <w:p w14:paraId="4ACF4A41" w14:textId="77777777" w:rsidR="00B37168" w:rsidRDefault="00B37168" w:rsidP="00E84BFE">
      <w:pPr>
        <w:spacing w:line="360" w:lineRule="auto"/>
        <w:contextualSpacing/>
        <w:rPr>
          <w:rFonts w:ascii="Palatino Linotype" w:eastAsia="Palatino Linotype" w:hAnsi="Palatino Linotype" w:cs="Palatino Linotype"/>
        </w:rPr>
      </w:pPr>
    </w:p>
    <w:p w14:paraId="0D606F0A" w14:textId="77777777" w:rsidR="00B37168" w:rsidRDefault="00B37168" w:rsidP="00E84BFE">
      <w:pPr>
        <w:spacing w:line="360" w:lineRule="auto"/>
        <w:contextualSpacing/>
        <w:rPr>
          <w:rFonts w:ascii="Palatino Linotype" w:eastAsia="Palatino Linotype" w:hAnsi="Palatino Linotype" w:cs="Palatino Linotype"/>
        </w:rPr>
      </w:pPr>
    </w:p>
    <w:p w14:paraId="47909ACA" w14:textId="77777777" w:rsidR="00B37168" w:rsidRDefault="00B37168" w:rsidP="00E84BFE">
      <w:pPr>
        <w:spacing w:line="360" w:lineRule="auto"/>
        <w:contextualSpacing/>
        <w:rPr>
          <w:rFonts w:ascii="Palatino Linotype" w:eastAsia="Palatino Linotype" w:hAnsi="Palatino Linotype" w:cs="Palatino Linotype"/>
        </w:rPr>
      </w:pPr>
    </w:p>
    <w:p w14:paraId="118F0E27" w14:textId="77777777" w:rsidR="00B37168" w:rsidRDefault="00B37168" w:rsidP="00E84BFE">
      <w:pPr>
        <w:spacing w:line="360" w:lineRule="auto"/>
        <w:contextualSpacing/>
        <w:rPr>
          <w:rFonts w:ascii="Palatino Linotype" w:eastAsia="Palatino Linotype" w:hAnsi="Palatino Linotype" w:cs="Palatino Linotype"/>
        </w:rPr>
      </w:pPr>
    </w:p>
    <w:p w14:paraId="381EAEAF" w14:textId="77777777" w:rsidR="00B37168" w:rsidRDefault="00B37168" w:rsidP="00E84BFE">
      <w:pPr>
        <w:spacing w:line="360" w:lineRule="auto"/>
        <w:contextualSpacing/>
        <w:rPr>
          <w:rFonts w:ascii="Palatino Linotype" w:eastAsia="Palatino Linotype" w:hAnsi="Palatino Linotype" w:cs="Palatino Linotype"/>
        </w:rPr>
      </w:pPr>
    </w:p>
    <w:p w14:paraId="0C20321D" w14:textId="77777777" w:rsidR="00B37168" w:rsidRDefault="00B37168" w:rsidP="00E84BFE">
      <w:pPr>
        <w:spacing w:line="360" w:lineRule="auto"/>
        <w:contextualSpacing/>
        <w:rPr>
          <w:rFonts w:ascii="Palatino Linotype" w:eastAsia="Palatino Linotype" w:hAnsi="Palatino Linotype" w:cs="Palatino Linotype"/>
        </w:rPr>
      </w:pPr>
    </w:p>
    <w:p w14:paraId="4A2F4166" w14:textId="77777777" w:rsidR="00B37168" w:rsidRDefault="00B37168" w:rsidP="00E84BFE">
      <w:pPr>
        <w:spacing w:line="360" w:lineRule="auto"/>
        <w:contextualSpacing/>
        <w:rPr>
          <w:rFonts w:ascii="Palatino Linotype" w:eastAsia="Palatino Linotype" w:hAnsi="Palatino Linotype" w:cs="Palatino Linotype"/>
        </w:rPr>
      </w:pPr>
    </w:p>
    <w:p w14:paraId="11ECCF1B" w14:textId="77777777" w:rsidR="00B37168" w:rsidRDefault="00B37168" w:rsidP="00E84BFE">
      <w:pPr>
        <w:spacing w:line="360" w:lineRule="auto"/>
        <w:contextualSpacing/>
        <w:rPr>
          <w:rFonts w:ascii="Palatino Linotype" w:eastAsia="Palatino Linotype" w:hAnsi="Palatino Linotype" w:cs="Palatino Linotype"/>
        </w:rPr>
      </w:pPr>
    </w:p>
    <w:p w14:paraId="44D20B9C" w14:textId="77777777" w:rsidR="00B37168" w:rsidRDefault="00B37168" w:rsidP="00E84BFE">
      <w:pPr>
        <w:spacing w:line="360" w:lineRule="auto"/>
        <w:contextualSpacing/>
        <w:rPr>
          <w:rFonts w:ascii="Palatino Linotype" w:eastAsia="Palatino Linotype" w:hAnsi="Palatino Linotype" w:cs="Palatino Linotype"/>
        </w:rPr>
      </w:pPr>
    </w:p>
    <w:p w14:paraId="4914407B" w14:textId="77777777" w:rsidR="00B37168" w:rsidRDefault="00B37168" w:rsidP="00E84BFE">
      <w:pPr>
        <w:spacing w:line="360" w:lineRule="auto"/>
        <w:contextualSpacing/>
        <w:rPr>
          <w:rFonts w:ascii="Palatino Linotype" w:eastAsia="Palatino Linotype" w:hAnsi="Palatino Linotype" w:cs="Palatino Linotype"/>
        </w:rPr>
      </w:pPr>
    </w:p>
    <w:p w14:paraId="28FA7C3C" w14:textId="77777777" w:rsidR="00B37168" w:rsidRDefault="00B37168" w:rsidP="00E84BFE">
      <w:pPr>
        <w:spacing w:line="360" w:lineRule="auto"/>
        <w:contextualSpacing/>
        <w:rPr>
          <w:rFonts w:ascii="Palatino Linotype" w:eastAsia="Palatino Linotype" w:hAnsi="Palatino Linotype" w:cs="Palatino Linotype"/>
        </w:rPr>
      </w:pPr>
    </w:p>
    <w:p w14:paraId="2C7CE390" w14:textId="77777777" w:rsidR="00B37168" w:rsidRDefault="00B37168" w:rsidP="00E84BFE">
      <w:pPr>
        <w:spacing w:line="360" w:lineRule="auto"/>
        <w:contextualSpacing/>
      </w:pPr>
    </w:p>
    <w:p w14:paraId="4E32D604" w14:textId="77777777" w:rsidR="00B37168" w:rsidRDefault="00B37168" w:rsidP="00E84BFE">
      <w:pPr>
        <w:spacing w:line="360" w:lineRule="auto"/>
        <w:contextualSpacing/>
      </w:pPr>
    </w:p>
    <w:p w14:paraId="0F4934F8" w14:textId="77777777" w:rsidR="00B37168" w:rsidRDefault="00B37168" w:rsidP="00E84BFE">
      <w:pPr>
        <w:spacing w:line="360" w:lineRule="auto"/>
        <w:contextualSpacing/>
      </w:pPr>
    </w:p>
    <w:p w14:paraId="0681B596" w14:textId="77777777" w:rsidR="00B37168" w:rsidRDefault="00B37168" w:rsidP="00E84BFE">
      <w:pPr>
        <w:spacing w:line="360" w:lineRule="auto"/>
        <w:contextualSpacing/>
      </w:pPr>
    </w:p>
    <w:p w14:paraId="391FE467" w14:textId="77777777" w:rsidR="00B37168" w:rsidRDefault="00B37168" w:rsidP="00E84BFE">
      <w:pPr>
        <w:spacing w:line="360" w:lineRule="auto"/>
        <w:contextualSpacing/>
      </w:pPr>
    </w:p>
    <w:p w14:paraId="178A2401" w14:textId="77777777" w:rsidR="00B37168" w:rsidRDefault="00B37168" w:rsidP="00E84BFE">
      <w:pPr>
        <w:spacing w:line="360" w:lineRule="auto"/>
        <w:contextualSpacing/>
      </w:pPr>
    </w:p>
    <w:p w14:paraId="2993F303" w14:textId="77777777" w:rsidR="00B37168" w:rsidRDefault="00B37168" w:rsidP="00E84BFE">
      <w:pPr>
        <w:spacing w:line="360" w:lineRule="auto"/>
        <w:contextualSpacing/>
      </w:pPr>
    </w:p>
    <w:p w14:paraId="2BDE79DB" w14:textId="77777777" w:rsidR="00B37168" w:rsidRDefault="00B37168" w:rsidP="00E84BFE">
      <w:pPr>
        <w:spacing w:line="360" w:lineRule="auto"/>
        <w:contextualSpacing/>
      </w:pPr>
    </w:p>
    <w:p w14:paraId="10F59024" w14:textId="77777777" w:rsidR="00B37168" w:rsidRDefault="00B37168" w:rsidP="00E84BFE">
      <w:pPr>
        <w:spacing w:line="360" w:lineRule="auto"/>
        <w:contextualSpacing/>
      </w:pPr>
    </w:p>
    <w:p w14:paraId="37A776CB" w14:textId="77777777" w:rsidR="00B37168" w:rsidRDefault="00B37168" w:rsidP="00E84BFE">
      <w:pPr>
        <w:spacing w:line="360" w:lineRule="auto"/>
        <w:contextualSpacing/>
      </w:pPr>
    </w:p>
    <w:p w14:paraId="2E8508B0" w14:textId="77777777" w:rsidR="00B37168" w:rsidRDefault="00B37168" w:rsidP="00E84BFE">
      <w:pPr>
        <w:spacing w:line="360" w:lineRule="auto"/>
        <w:contextualSpacing/>
      </w:pPr>
    </w:p>
    <w:p w14:paraId="40AB1198" w14:textId="77777777" w:rsidR="00B37168" w:rsidRDefault="00B37168" w:rsidP="00E84BFE">
      <w:pPr>
        <w:spacing w:line="360" w:lineRule="auto"/>
        <w:contextualSpacing/>
      </w:pPr>
    </w:p>
    <w:p w14:paraId="7DCEBCE5" w14:textId="77777777" w:rsidR="00B37168" w:rsidRDefault="00B37168" w:rsidP="00E84BFE">
      <w:pPr>
        <w:spacing w:line="360" w:lineRule="auto"/>
        <w:contextualSpacing/>
      </w:pPr>
    </w:p>
    <w:p w14:paraId="7F31A4BC" w14:textId="77777777" w:rsidR="00B37168" w:rsidRDefault="00B37168" w:rsidP="00E84BFE">
      <w:pPr>
        <w:spacing w:line="360" w:lineRule="auto"/>
        <w:contextualSpacing/>
      </w:pPr>
    </w:p>
    <w:p w14:paraId="2E89B0C4" w14:textId="77777777" w:rsidR="00B37168" w:rsidRDefault="00B37168" w:rsidP="00E84BFE">
      <w:pPr>
        <w:spacing w:line="360" w:lineRule="auto"/>
        <w:contextualSpacing/>
      </w:pPr>
    </w:p>
    <w:p w14:paraId="734F1B67" w14:textId="77777777" w:rsidR="00B37168" w:rsidRDefault="00B37168" w:rsidP="00E84BFE">
      <w:pPr>
        <w:spacing w:line="360" w:lineRule="auto"/>
        <w:contextualSpacing/>
      </w:pPr>
    </w:p>
    <w:bookmarkEnd w:id="0"/>
    <w:p w14:paraId="6BB84FE7" w14:textId="77777777" w:rsidR="00B01980" w:rsidRDefault="00B01980" w:rsidP="00E84BFE">
      <w:pPr>
        <w:spacing w:line="360" w:lineRule="auto"/>
        <w:contextualSpacing/>
      </w:pPr>
    </w:p>
    <w:sectPr w:rsidR="00B01980" w:rsidSect="00B371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1D13F" w14:textId="77777777" w:rsidR="008F0C0E" w:rsidRDefault="008F0C0E" w:rsidP="00B37168">
      <w:r>
        <w:separator/>
      </w:r>
    </w:p>
  </w:endnote>
  <w:endnote w:type="continuationSeparator" w:id="0">
    <w:p w14:paraId="62125E7A" w14:textId="77777777" w:rsidR="008F0C0E" w:rsidRDefault="008F0C0E" w:rsidP="00B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7791" w14:textId="77777777" w:rsidR="00B37168" w:rsidRDefault="00B3716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242C4">
      <w:rPr>
        <w:rFonts w:ascii="Palatino Linotype" w:eastAsia="Palatino Linotype" w:hAnsi="Palatino Linotype" w:cs="Palatino Linotype"/>
        <w:b/>
        <w:noProof/>
        <w:color w:val="000000"/>
        <w:sz w:val="22"/>
        <w:szCs w:val="22"/>
      </w:rPr>
      <w:t>44</w:t>
    </w:r>
    <w:r>
      <w:rPr>
        <w:rFonts w:ascii="Palatino Linotype" w:eastAsia="Palatino Linotype" w:hAnsi="Palatino Linotype" w:cs="Palatino Linotype"/>
        <w:b/>
        <w:color w:val="000000"/>
        <w:sz w:val="22"/>
        <w:szCs w:val="22"/>
      </w:rPr>
      <w:fldChar w:fldCharType="end"/>
    </w:r>
  </w:p>
  <w:p w14:paraId="4670CCF8" w14:textId="77777777" w:rsidR="00B37168" w:rsidRDefault="00B3716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DDF3C" w14:textId="77777777" w:rsidR="00B37168" w:rsidRDefault="00B3716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242C4">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242C4">
      <w:rPr>
        <w:rFonts w:ascii="Palatino Linotype" w:eastAsia="Palatino Linotype" w:hAnsi="Palatino Linotype" w:cs="Palatino Linotype"/>
        <w:b/>
        <w:noProof/>
        <w:color w:val="000000"/>
        <w:sz w:val="22"/>
        <w:szCs w:val="22"/>
      </w:rPr>
      <w:t>44</w:t>
    </w:r>
    <w:r>
      <w:rPr>
        <w:rFonts w:ascii="Palatino Linotype" w:eastAsia="Palatino Linotype" w:hAnsi="Palatino Linotype" w:cs="Palatino Linotype"/>
        <w:b/>
        <w:color w:val="000000"/>
        <w:sz w:val="22"/>
        <w:szCs w:val="22"/>
      </w:rPr>
      <w:fldChar w:fldCharType="end"/>
    </w:r>
  </w:p>
  <w:p w14:paraId="2229C25C" w14:textId="77777777" w:rsidR="00B37168" w:rsidRDefault="00B3716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EE21" w14:textId="77777777" w:rsidR="00B37168" w:rsidRDefault="00B3716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242C4">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242C4">
      <w:rPr>
        <w:rFonts w:ascii="Palatino Linotype" w:eastAsia="Palatino Linotype" w:hAnsi="Palatino Linotype" w:cs="Palatino Linotype"/>
        <w:b/>
        <w:noProof/>
        <w:color w:val="000000"/>
        <w:sz w:val="22"/>
        <w:szCs w:val="22"/>
      </w:rPr>
      <w:t>44</w:t>
    </w:r>
    <w:r>
      <w:rPr>
        <w:rFonts w:ascii="Palatino Linotype" w:eastAsia="Palatino Linotype" w:hAnsi="Palatino Linotype" w:cs="Palatino Linotype"/>
        <w:b/>
        <w:color w:val="000000"/>
        <w:sz w:val="22"/>
        <w:szCs w:val="22"/>
      </w:rPr>
      <w:fldChar w:fldCharType="end"/>
    </w:r>
  </w:p>
  <w:p w14:paraId="51443E01" w14:textId="77777777" w:rsidR="00B37168" w:rsidRDefault="00B3716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E91C6" w14:textId="77777777" w:rsidR="008F0C0E" w:rsidRDefault="008F0C0E" w:rsidP="00B37168">
      <w:r>
        <w:separator/>
      </w:r>
    </w:p>
  </w:footnote>
  <w:footnote w:type="continuationSeparator" w:id="0">
    <w:p w14:paraId="5634A15E" w14:textId="77777777" w:rsidR="008F0C0E" w:rsidRDefault="008F0C0E" w:rsidP="00B37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A5FE5" w14:textId="77777777" w:rsidR="00B37168" w:rsidRDefault="00B37168">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B37168" w14:paraId="68ED4FBE" w14:textId="77777777">
      <w:trPr>
        <w:trHeight w:val="1435"/>
      </w:trPr>
      <w:tc>
        <w:tcPr>
          <w:tcW w:w="2972" w:type="dxa"/>
        </w:tcPr>
        <w:p w14:paraId="717D8D22" w14:textId="77777777" w:rsidR="00B37168" w:rsidRDefault="00B37168">
          <w:pPr>
            <w:tabs>
              <w:tab w:val="right" w:pos="4273"/>
            </w:tabs>
            <w:spacing w:line="256" w:lineRule="auto"/>
            <w:rPr>
              <w:rFonts w:ascii="Garamond" w:eastAsia="Garamond" w:hAnsi="Garamond" w:cs="Garamond"/>
              <w:sz w:val="22"/>
              <w:szCs w:val="22"/>
            </w:rPr>
          </w:pPr>
        </w:p>
      </w:tc>
      <w:tc>
        <w:tcPr>
          <w:tcW w:w="6733" w:type="dxa"/>
        </w:tcPr>
        <w:p w14:paraId="789C535A" w14:textId="77777777" w:rsidR="00B37168" w:rsidRDefault="00B37168">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B37168" w14:paraId="3E97248B" w14:textId="77777777">
            <w:trPr>
              <w:trHeight w:val="144"/>
            </w:trPr>
            <w:tc>
              <w:tcPr>
                <w:tcW w:w="2447" w:type="dxa"/>
              </w:tcPr>
              <w:p w14:paraId="20369A29" w14:textId="77777777" w:rsidR="00B37168" w:rsidRDefault="00B3716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9C4D11D" w14:textId="77777777" w:rsidR="00B37168" w:rsidRDefault="00B371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B37168" w14:paraId="5F557677" w14:textId="77777777">
            <w:trPr>
              <w:trHeight w:val="283"/>
            </w:trPr>
            <w:tc>
              <w:tcPr>
                <w:tcW w:w="2447" w:type="dxa"/>
              </w:tcPr>
              <w:p w14:paraId="4761CEA0" w14:textId="77777777" w:rsidR="00B37168" w:rsidRDefault="00B371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0E4099B5" w14:textId="77777777" w:rsidR="00B37168" w:rsidRDefault="00B37168">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B37168" w14:paraId="6A40DBD8" w14:textId="77777777">
            <w:trPr>
              <w:trHeight w:val="283"/>
            </w:trPr>
            <w:tc>
              <w:tcPr>
                <w:tcW w:w="2447" w:type="dxa"/>
              </w:tcPr>
              <w:p w14:paraId="6CAE9888" w14:textId="77777777" w:rsidR="00B37168" w:rsidRDefault="00B371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011E896E" w14:textId="77777777" w:rsidR="00B37168" w:rsidRDefault="00B371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B8AE35B" w14:textId="77777777" w:rsidR="00B37168" w:rsidRDefault="00B37168">
                <w:pPr>
                  <w:tabs>
                    <w:tab w:val="right" w:pos="8838"/>
                  </w:tabs>
                  <w:ind w:left="-74" w:right="-105"/>
                  <w:jc w:val="both"/>
                  <w:rPr>
                    <w:rFonts w:ascii="Palatino Linotype" w:eastAsia="Palatino Linotype" w:hAnsi="Palatino Linotype" w:cs="Palatino Linotype"/>
                    <w:b/>
                    <w:sz w:val="22"/>
                    <w:szCs w:val="22"/>
                  </w:rPr>
                </w:pPr>
              </w:p>
            </w:tc>
          </w:tr>
        </w:tbl>
        <w:p w14:paraId="553EE53E" w14:textId="77777777" w:rsidR="00B37168" w:rsidRDefault="00B37168">
          <w:pPr>
            <w:tabs>
              <w:tab w:val="right" w:pos="8838"/>
            </w:tabs>
            <w:spacing w:line="256" w:lineRule="auto"/>
            <w:ind w:left="-28"/>
            <w:jc w:val="both"/>
            <w:rPr>
              <w:rFonts w:ascii="Arial" w:eastAsia="Arial" w:hAnsi="Arial" w:cs="Arial"/>
              <w:b/>
              <w:sz w:val="22"/>
              <w:szCs w:val="22"/>
            </w:rPr>
          </w:pPr>
        </w:p>
      </w:tc>
    </w:tr>
  </w:tbl>
  <w:p w14:paraId="73190C27" w14:textId="77777777" w:rsidR="00B37168" w:rsidRDefault="00B3716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0DCC0F5D" wp14:editId="687611B0">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81E7" w14:textId="77777777" w:rsidR="00B37168" w:rsidRDefault="00B37168">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B37168" w14:paraId="12448A97" w14:textId="77777777">
      <w:trPr>
        <w:trHeight w:val="1435"/>
      </w:trPr>
      <w:tc>
        <w:tcPr>
          <w:tcW w:w="1985" w:type="dxa"/>
        </w:tcPr>
        <w:p w14:paraId="2D314326" w14:textId="77777777" w:rsidR="00B37168" w:rsidRDefault="00B37168">
          <w:pPr>
            <w:tabs>
              <w:tab w:val="right" w:pos="4273"/>
            </w:tabs>
            <w:spacing w:line="256" w:lineRule="auto"/>
            <w:rPr>
              <w:rFonts w:ascii="Garamond" w:eastAsia="Garamond" w:hAnsi="Garamond" w:cs="Garamond"/>
              <w:sz w:val="22"/>
              <w:szCs w:val="22"/>
            </w:rPr>
          </w:pPr>
        </w:p>
      </w:tc>
      <w:tc>
        <w:tcPr>
          <w:tcW w:w="7371" w:type="dxa"/>
        </w:tcPr>
        <w:p w14:paraId="55E9E68A" w14:textId="77777777" w:rsidR="00B37168" w:rsidRDefault="00B37168">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B37168" w14:paraId="56427997" w14:textId="77777777">
            <w:trPr>
              <w:trHeight w:val="194"/>
            </w:trPr>
            <w:tc>
              <w:tcPr>
                <w:tcW w:w="2841" w:type="dxa"/>
              </w:tcPr>
              <w:p w14:paraId="093E1EE4" w14:textId="77777777" w:rsidR="00B37168" w:rsidRDefault="00B371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2F33D3BE" w14:textId="58708C52" w:rsidR="00B37168" w:rsidRDefault="00B3716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09001/INFOEM/IP/RR/2025</w:t>
                </w:r>
              </w:p>
            </w:tc>
            <w:tc>
              <w:tcPr>
                <w:tcW w:w="2396" w:type="dxa"/>
              </w:tcPr>
              <w:p w14:paraId="724EDB5D" w14:textId="77777777" w:rsidR="00B37168" w:rsidRDefault="00B37168">
                <w:pPr>
                  <w:tabs>
                    <w:tab w:val="right" w:pos="8838"/>
                  </w:tabs>
                  <w:ind w:left="-114" w:right="-105"/>
                  <w:jc w:val="both"/>
                  <w:rPr>
                    <w:rFonts w:ascii="Palatino Linotype" w:eastAsia="Palatino Linotype" w:hAnsi="Palatino Linotype" w:cs="Palatino Linotype"/>
                    <w:sz w:val="22"/>
                    <w:szCs w:val="22"/>
                  </w:rPr>
                </w:pPr>
              </w:p>
            </w:tc>
          </w:tr>
          <w:tr w:rsidR="00B37168" w14:paraId="09E583E3" w14:textId="77777777">
            <w:trPr>
              <w:trHeight w:val="88"/>
            </w:trPr>
            <w:tc>
              <w:tcPr>
                <w:tcW w:w="2841" w:type="dxa"/>
              </w:tcPr>
              <w:p w14:paraId="4F3F8AF8" w14:textId="77777777" w:rsidR="00B37168" w:rsidRDefault="00B371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53C32243" w14:textId="77777777" w:rsidR="00B37168" w:rsidRDefault="00B37168">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000639D6" w14:textId="77777777" w:rsidR="00B37168" w:rsidRDefault="00B37168">
                <w:pPr>
                  <w:tabs>
                    <w:tab w:val="left" w:pos="2834"/>
                    <w:tab w:val="right" w:pos="8838"/>
                  </w:tabs>
                  <w:ind w:left="-114"/>
                  <w:jc w:val="both"/>
                  <w:rPr>
                    <w:rFonts w:ascii="Palatino Linotype" w:eastAsia="Palatino Linotype" w:hAnsi="Palatino Linotype" w:cs="Palatino Linotype"/>
                    <w:sz w:val="22"/>
                    <w:szCs w:val="22"/>
                  </w:rPr>
                </w:pPr>
              </w:p>
            </w:tc>
          </w:tr>
          <w:tr w:rsidR="00B37168" w14:paraId="04864FA0" w14:textId="77777777">
            <w:trPr>
              <w:trHeight w:val="383"/>
            </w:trPr>
            <w:tc>
              <w:tcPr>
                <w:tcW w:w="2841" w:type="dxa"/>
              </w:tcPr>
              <w:p w14:paraId="45015755" w14:textId="77777777" w:rsidR="00B37168" w:rsidRDefault="00B371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5F804464" w14:textId="77777777" w:rsidR="00B37168" w:rsidRDefault="00B3716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56CCA943" w14:textId="77777777" w:rsidR="00B37168" w:rsidRDefault="00B37168">
                <w:pPr>
                  <w:tabs>
                    <w:tab w:val="right" w:pos="8838"/>
                  </w:tabs>
                  <w:ind w:left="-114" w:right="-105"/>
                  <w:jc w:val="both"/>
                  <w:rPr>
                    <w:rFonts w:ascii="Palatino Linotype" w:eastAsia="Palatino Linotype" w:hAnsi="Palatino Linotype" w:cs="Palatino Linotype"/>
                    <w:sz w:val="22"/>
                    <w:szCs w:val="22"/>
                  </w:rPr>
                </w:pPr>
              </w:p>
            </w:tc>
          </w:tr>
        </w:tbl>
        <w:p w14:paraId="2FA97043" w14:textId="77777777" w:rsidR="00B37168" w:rsidRDefault="00B37168">
          <w:pPr>
            <w:tabs>
              <w:tab w:val="right" w:pos="8838"/>
            </w:tabs>
            <w:spacing w:line="256" w:lineRule="auto"/>
            <w:ind w:left="-28"/>
            <w:jc w:val="both"/>
            <w:rPr>
              <w:rFonts w:ascii="Arial" w:eastAsia="Arial" w:hAnsi="Arial" w:cs="Arial"/>
              <w:b/>
              <w:sz w:val="22"/>
              <w:szCs w:val="22"/>
            </w:rPr>
          </w:pPr>
        </w:p>
      </w:tc>
    </w:tr>
  </w:tbl>
  <w:p w14:paraId="6A858AEF" w14:textId="77777777" w:rsidR="00B37168" w:rsidRDefault="00B3716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909F68B" wp14:editId="3E441B06">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5716" w14:textId="77777777" w:rsidR="00B37168" w:rsidRDefault="00B37168">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B37168" w14:paraId="63F3EB43" w14:textId="77777777">
      <w:trPr>
        <w:trHeight w:val="1435"/>
      </w:trPr>
      <w:tc>
        <w:tcPr>
          <w:tcW w:w="1560" w:type="dxa"/>
        </w:tcPr>
        <w:p w14:paraId="65C6CF37" w14:textId="77777777" w:rsidR="00B37168" w:rsidRDefault="00B37168">
          <w:pPr>
            <w:tabs>
              <w:tab w:val="right" w:pos="4273"/>
            </w:tabs>
            <w:spacing w:line="256" w:lineRule="auto"/>
            <w:rPr>
              <w:rFonts w:ascii="Garamond" w:eastAsia="Garamond" w:hAnsi="Garamond" w:cs="Garamond"/>
              <w:sz w:val="22"/>
              <w:szCs w:val="22"/>
            </w:rPr>
          </w:pPr>
        </w:p>
      </w:tc>
      <w:tc>
        <w:tcPr>
          <w:tcW w:w="7654" w:type="dxa"/>
        </w:tcPr>
        <w:p w14:paraId="17086439" w14:textId="77777777" w:rsidR="00B37168" w:rsidRDefault="00B37168">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B37168" w14:paraId="24EEF671" w14:textId="77777777">
            <w:trPr>
              <w:gridAfter w:val="1"/>
              <w:wAfter w:w="459" w:type="dxa"/>
              <w:trHeight w:val="132"/>
            </w:trPr>
            <w:tc>
              <w:tcPr>
                <w:tcW w:w="3818" w:type="dxa"/>
              </w:tcPr>
              <w:p w14:paraId="37F9A01F" w14:textId="77777777" w:rsidR="00B37168" w:rsidRDefault="00B3716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7E808EB0" w14:textId="2382FEF1" w:rsidR="00B37168" w:rsidRDefault="00B371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09001/INFOEM/IP/RR/2025 </w:t>
                </w:r>
              </w:p>
            </w:tc>
          </w:tr>
          <w:tr w:rsidR="00B37168" w14:paraId="4A47D528" w14:textId="77777777">
            <w:trPr>
              <w:gridAfter w:val="1"/>
              <w:wAfter w:w="459" w:type="dxa"/>
              <w:trHeight w:val="132"/>
            </w:trPr>
            <w:tc>
              <w:tcPr>
                <w:tcW w:w="3818" w:type="dxa"/>
              </w:tcPr>
              <w:p w14:paraId="7E71144E" w14:textId="77777777" w:rsidR="00B37168" w:rsidRDefault="00B371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324EA92" w14:textId="77777777" w:rsidR="00B37168" w:rsidRDefault="00B37168">
                <w:pPr>
                  <w:tabs>
                    <w:tab w:val="left" w:pos="3122"/>
                    <w:tab w:val="right" w:pos="8838"/>
                  </w:tabs>
                  <w:ind w:left="-74" w:right="-105"/>
                  <w:jc w:val="both"/>
                  <w:rPr>
                    <w:rFonts w:ascii="Palatino Linotype" w:eastAsia="Palatino Linotype" w:hAnsi="Palatino Linotype" w:cs="Palatino Linotype"/>
                    <w:sz w:val="22"/>
                    <w:szCs w:val="22"/>
                  </w:rPr>
                </w:pPr>
              </w:p>
            </w:tc>
          </w:tr>
          <w:tr w:rsidR="00B37168" w14:paraId="3B2C35B1" w14:textId="77777777">
            <w:trPr>
              <w:gridAfter w:val="1"/>
              <w:wAfter w:w="459" w:type="dxa"/>
              <w:trHeight w:val="261"/>
            </w:trPr>
            <w:tc>
              <w:tcPr>
                <w:tcW w:w="3818" w:type="dxa"/>
              </w:tcPr>
              <w:p w14:paraId="40C92B82" w14:textId="77777777" w:rsidR="00B37168" w:rsidRDefault="00B371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096FB1D" w14:textId="77777777" w:rsidR="00B37168" w:rsidRDefault="00B37168">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B37168" w14:paraId="6B2B4879" w14:textId="77777777">
            <w:trPr>
              <w:trHeight w:val="261"/>
            </w:trPr>
            <w:tc>
              <w:tcPr>
                <w:tcW w:w="3818" w:type="dxa"/>
              </w:tcPr>
              <w:p w14:paraId="2A149CF2" w14:textId="77777777" w:rsidR="00B37168" w:rsidRDefault="00B371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73D5C674" w14:textId="77777777" w:rsidR="00B37168" w:rsidRDefault="00B371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6883F5E" w14:textId="77777777" w:rsidR="00B37168" w:rsidRDefault="00B37168">
          <w:pPr>
            <w:tabs>
              <w:tab w:val="right" w:pos="8838"/>
            </w:tabs>
            <w:spacing w:line="256" w:lineRule="auto"/>
            <w:ind w:left="-28"/>
            <w:jc w:val="both"/>
            <w:rPr>
              <w:rFonts w:ascii="Arial" w:eastAsia="Arial" w:hAnsi="Arial" w:cs="Arial"/>
              <w:b/>
              <w:sz w:val="22"/>
              <w:szCs w:val="22"/>
            </w:rPr>
          </w:pPr>
        </w:p>
      </w:tc>
    </w:tr>
  </w:tbl>
  <w:p w14:paraId="1F955BC2" w14:textId="77777777" w:rsidR="00B37168" w:rsidRDefault="008F0C0E">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C9A8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6D1"/>
    <w:multiLevelType w:val="hybridMultilevel"/>
    <w:tmpl w:val="81AE5872"/>
    <w:lvl w:ilvl="0" w:tplc="8EFE535C">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A78E9"/>
    <w:multiLevelType w:val="hybridMultilevel"/>
    <w:tmpl w:val="8E724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84C10"/>
    <w:multiLevelType w:val="hybridMultilevel"/>
    <w:tmpl w:val="3118D4F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9A3E27"/>
    <w:multiLevelType w:val="hybridMultilevel"/>
    <w:tmpl w:val="CFE65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B6FDC"/>
    <w:multiLevelType w:val="multilevel"/>
    <w:tmpl w:val="2D9E8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44548"/>
    <w:multiLevelType w:val="hybridMultilevel"/>
    <w:tmpl w:val="510A402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314AF"/>
    <w:multiLevelType w:val="multilevel"/>
    <w:tmpl w:val="867EF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DB42DF"/>
    <w:multiLevelType w:val="hybridMultilevel"/>
    <w:tmpl w:val="C194F0E8"/>
    <w:lvl w:ilvl="0" w:tplc="4FD0324A">
      <w:start w:val="1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957F15"/>
    <w:multiLevelType w:val="multilevel"/>
    <w:tmpl w:val="5D562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2A384E"/>
    <w:multiLevelType w:val="hybridMultilevel"/>
    <w:tmpl w:val="DB0C1442"/>
    <w:lvl w:ilvl="0" w:tplc="40324E0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E93304"/>
    <w:multiLevelType w:val="hybridMultilevel"/>
    <w:tmpl w:val="95AC6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512CD"/>
    <w:multiLevelType w:val="multilevel"/>
    <w:tmpl w:val="CA42BF4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6E26FA8"/>
    <w:multiLevelType w:val="hybridMultilevel"/>
    <w:tmpl w:val="3FFACA48"/>
    <w:lvl w:ilvl="0" w:tplc="18CCC67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5"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D0113A"/>
    <w:multiLevelType w:val="hybridMultilevel"/>
    <w:tmpl w:val="3C8ADCC0"/>
    <w:lvl w:ilvl="0" w:tplc="5B0C369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28196D"/>
    <w:multiLevelType w:val="hybridMultilevel"/>
    <w:tmpl w:val="DF5E9D56"/>
    <w:lvl w:ilvl="0" w:tplc="8520C162">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833A55"/>
    <w:multiLevelType w:val="hybridMultilevel"/>
    <w:tmpl w:val="849E46E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022F58"/>
    <w:multiLevelType w:val="multilevel"/>
    <w:tmpl w:val="FA2C2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3709A3"/>
    <w:multiLevelType w:val="hybridMultilevel"/>
    <w:tmpl w:val="66B0E4CA"/>
    <w:lvl w:ilvl="0" w:tplc="DA28AF3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777EC9"/>
    <w:multiLevelType w:val="hybridMultilevel"/>
    <w:tmpl w:val="41A01A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210134"/>
    <w:multiLevelType w:val="multilevel"/>
    <w:tmpl w:val="C2085250"/>
    <w:lvl w:ilvl="0">
      <w:start w:val="1"/>
      <w:numFmt w:val="bullet"/>
      <w:pStyle w:val="Listaconvietas2"/>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592F51"/>
    <w:multiLevelType w:val="hybridMultilevel"/>
    <w:tmpl w:val="B516A062"/>
    <w:lvl w:ilvl="0" w:tplc="B4663FA2">
      <w:start w:val="2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452027"/>
    <w:multiLevelType w:val="hybridMultilevel"/>
    <w:tmpl w:val="63587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4629E3"/>
    <w:multiLevelType w:val="multilevel"/>
    <w:tmpl w:val="41AA8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444238"/>
    <w:multiLevelType w:val="multilevel"/>
    <w:tmpl w:val="4D16BB1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9" w15:restartNumberingAfterBreak="0">
    <w:nsid w:val="527E6055"/>
    <w:multiLevelType w:val="hybridMultilevel"/>
    <w:tmpl w:val="0D26DF64"/>
    <w:lvl w:ilvl="0" w:tplc="C310C6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B855DD"/>
    <w:multiLevelType w:val="hybridMultilevel"/>
    <w:tmpl w:val="2E64FB1C"/>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D42008"/>
    <w:multiLevelType w:val="hybridMultilevel"/>
    <w:tmpl w:val="B47C9D4A"/>
    <w:lvl w:ilvl="0" w:tplc="11D8F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EF2E00"/>
    <w:multiLevelType w:val="hybridMultilevel"/>
    <w:tmpl w:val="7C60F8D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B0CEF"/>
    <w:multiLevelType w:val="hybridMultilevel"/>
    <w:tmpl w:val="D9AE89DE"/>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5D03B54"/>
    <w:multiLevelType w:val="multilevel"/>
    <w:tmpl w:val="6EDC90F8"/>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38" w15:restartNumberingAfterBreak="0">
    <w:nsid w:val="69467E96"/>
    <w:multiLevelType w:val="multilevel"/>
    <w:tmpl w:val="23E0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0A612E"/>
    <w:multiLevelType w:val="multilevel"/>
    <w:tmpl w:val="B504E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0" w15:restartNumberingAfterBreak="0">
    <w:nsid w:val="6A0D35CA"/>
    <w:multiLevelType w:val="multilevel"/>
    <w:tmpl w:val="85F6C1D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1" w15:restartNumberingAfterBreak="0">
    <w:nsid w:val="6A95224F"/>
    <w:multiLevelType w:val="hybridMultilevel"/>
    <w:tmpl w:val="CFA223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6AE80F4F"/>
    <w:multiLevelType w:val="hybridMultilevel"/>
    <w:tmpl w:val="31EEE5B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4" w15:restartNumberingAfterBreak="0">
    <w:nsid w:val="74C567EE"/>
    <w:multiLevelType w:val="multilevel"/>
    <w:tmpl w:val="CF50BD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5" w15:restartNumberingAfterBreak="0">
    <w:nsid w:val="754C339A"/>
    <w:multiLevelType w:val="multilevel"/>
    <w:tmpl w:val="C8AE61F4"/>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46"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7" w15:restartNumberingAfterBreak="0">
    <w:nsid w:val="79CC6CD1"/>
    <w:multiLevelType w:val="hybridMultilevel"/>
    <w:tmpl w:val="05E6A45A"/>
    <w:lvl w:ilvl="0" w:tplc="08E6ACC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193DF8"/>
    <w:multiLevelType w:val="hybridMultilevel"/>
    <w:tmpl w:val="F98ADD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7"/>
  </w:num>
  <w:num w:numId="3">
    <w:abstractNumId w:val="19"/>
  </w:num>
  <w:num w:numId="4">
    <w:abstractNumId w:val="22"/>
  </w:num>
  <w:num w:numId="5">
    <w:abstractNumId w:val="7"/>
  </w:num>
  <w:num w:numId="6">
    <w:abstractNumId w:val="17"/>
  </w:num>
  <w:num w:numId="7">
    <w:abstractNumId w:val="3"/>
  </w:num>
  <w:num w:numId="8">
    <w:abstractNumId w:val="27"/>
  </w:num>
  <w:num w:numId="9">
    <w:abstractNumId w:val="4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7"/>
    <w:lvlOverride w:ilvl="0">
      <w:startOverride w:val="1"/>
    </w:lvlOverride>
    <w:lvlOverride w:ilvl="1"/>
    <w:lvlOverride w:ilvl="2"/>
    <w:lvlOverride w:ilvl="3"/>
    <w:lvlOverride w:ilvl="4"/>
    <w:lvlOverride w:ilvl="5"/>
    <w:lvlOverride w:ilvl="6"/>
    <w:lvlOverride w:ilvl="7"/>
    <w:lvlOverride w:ilvl="8"/>
  </w:num>
  <w:num w:numId="16">
    <w:abstractNumId w:val="28"/>
  </w:num>
  <w:num w:numId="17">
    <w:abstractNumId w:val="44"/>
  </w:num>
  <w:num w:numId="18">
    <w:abstractNumId w:val="9"/>
  </w:num>
  <w:num w:numId="19">
    <w:abstractNumId w:val="39"/>
  </w:num>
  <w:num w:numId="20">
    <w:abstractNumId w:val="38"/>
  </w:num>
  <w:num w:numId="21">
    <w:abstractNumId w:val="5"/>
  </w:num>
  <w:num w:numId="22">
    <w:abstractNumId w:val="29"/>
  </w:num>
  <w:num w:numId="23">
    <w:abstractNumId w:val="13"/>
  </w:num>
  <w:num w:numId="24">
    <w:abstractNumId w:val="16"/>
  </w:num>
  <w:num w:numId="25">
    <w:abstractNumId w:val="8"/>
  </w:num>
  <w:num w:numId="26">
    <w:abstractNumId w:val="4"/>
  </w:num>
  <w:num w:numId="27">
    <w:abstractNumId w:val="41"/>
  </w:num>
  <w:num w:numId="28">
    <w:abstractNumId w:val="33"/>
  </w:num>
  <w:num w:numId="29">
    <w:abstractNumId w:val="21"/>
  </w:num>
  <w:num w:numId="30">
    <w:abstractNumId w:val="2"/>
  </w:num>
  <w:num w:numId="31">
    <w:abstractNumId w:val="10"/>
  </w:num>
  <w:num w:numId="32">
    <w:abstractNumId w:val="31"/>
  </w:num>
  <w:num w:numId="33">
    <w:abstractNumId w:val="11"/>
  </w:num>
  <w:num w:numId="34">
    <w:abstractNumId w:val="30"/>
  </w:num>
  <w:num w:numId="35">
    <w:abstractNumId w:val="0"/>
  </w:num>
  <w:num w:numId="36">
    <w:abstractNumId w:val="24"/>
  </w:num>
  <w:num w:numId="37">
    <w:abstractNumId w:val="6"/>
  </w:num>
  <w:num w:numId="38">
    <w:abstractNumId w:val="26"/>
  </w:num>
  <w:num w:numId="39">
    <w:abstractNumId w:val="34"/>
  </w:num>
  <w:num w:numId="40">
    <w:abstractNumId w:val="32"/>
  </w:num>
  <w:num w:numId="41">
    <w:abstractNumId w:val="35"/>
  </w:num>
  <w:num w:numId="42">
    <w:abstractNumId w:val="15"/>
  </w:num>
  <w:num w:numId="43">
    <w:abstractNumId w:val="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3"/>
  </w:num>
  <w:num w:numId="47">
    <w:abstractNumId w:val="25"/>
  </w:num>
  <w:num w:numId="48">
    <w:abstractNumId w:val="42"/>
  </w:num>
  <w:num w:numId="49">
    <w:abstractNumId w:val="1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68"/>
    <w:rsid w:val="00010A80"/>
    <w:rsid w:val="000E1582"/>
    <w:rsid w:val="00101637"/>
    <w:rsid w:val="001242C4"/>
    <w:rsid w:val="00165E0A"/>
    <w:rsid w:val="00183EE3"/>
    <w:rsid w:val="0019439F"/>
    <w:rsid w:val="001A33D4"/>
    <w:rsid w:val="001D42DD"/>
    <w:rsid w:val="001D5A60"/>
    <w:rsid w:val="00261C4B"/>
    <w:rsid w:val="00305D1C"/>
    <w:rsid w:val="00342B94"/>
    <w:rsid w:val="00355094"/>
    <w:rsid w:val="003675AE"/>
    <w:rsid w:val="003B0227"/>
    <w:rsid w:val="003B6A70"/>
    <w:rsid w:val="003B73B8"/>
    <w:rsid w:val="003E415D"/>
    <w:rsid w:val="00451B11"/>
    <w:rsid w:val="004B188A"/>
    <w:rsid w:val="004E60DA"/>
    <w:rsid w:val="005238FD"/>
    <w:rsid w:val="00543563"/>
    <w:rsid w:val="0054797A"/>
    <w:rsid w:val="005731A2"/>
    <w:rsid w:val="005A3620"/>
    <w:rsid w:val="005B3F05"/>
    <w:rsid w:val="006242CE"/>
    <w:rsid w:val="00644809"/>
    <w:rsid w:val="0066462B"/>
    <w:rsid w:val="00665D9C"/>
    <w:rsid w:val="006A2502"/>
    <w:rsid w:val="0074248A"/>
    <w:rsid w:val="00780D56"/>
    <w:rsid w:val="007830D3"/>
    <w:rsid w:val="007D3CFE"/>
    <w:rsid w:val="007E1F22"/>
    <w:rsid w:val="00847B44"/>
    <w:rsid w:val="00877C98"/>
    <w:rsid w:val="008F0C0E"/>
    <w:rsid w:val="008F33E6"/>
    <w:rsid w:val="00916E3C"/>
    <w:rsid w:val="00920C6B"/>
    <w:rsid w:val="009243C8"/>
    <w:rsid w:val="009F50A9"/>
    <w:rsid w:val="00A35A2A"/>
    <w:rsid w:val="00A3616C"/>
    <w:rsid w:val="00A46989"/>
    <w:rsid w:val="00A86409"/>
    <w:rsid w:val="00A90FE6"/>
    <w:rsid w:val="00AB032E"/>
    <w:rsid w:val="00AF33BD"/>
    <w:rsid w:val="00B01980"/>
    <w:rsid w:val="00B37168"/>
    <w:rsid w:val="00BB181B"/>
    <w:rsid w:val="00BD19AF"/>
    <w:rsid w:val="00C03391"/>
    <w:rsid w:val="00C168D7"/>
    <w:rsid w:val="00C17E08"/>
    <w:rsid w:val="00C30F84"/>
    <w:rsid w:val="00D15AFF"/>
    <w:rsid w:val="00D41EFA"/>
    <w:rsid w:val="00D65DA8"/>
    <w:rsid w:val="00E1641D"/>
    <w:rsid w:val="00E634DC"/>
    <w:rsid w:val="00E84BFE"/>
    <w:rsid w:val="00EA2650"/>
    <w:rsid w:val="00EB1B8C"/>
    <w:rsid w:val="00EC7506"/>
    <w:rsid w:val="00F227B7"/>
    <w:rsid w:val="00F56120"/>
    <w:rsid w:val="00F6083E"/>
    <w:rsid w:val="00FC4808"/>
    <w:rsid w:val="00FF36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E6C9B"/>
  <w15:chartTrackingRefBased/>
  <w15:docId w15:val="{12686D2F-ABF5-4588-8F6B-2860C165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7168"/>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B37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B37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371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371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371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371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1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1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16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16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3716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3716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3716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3716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371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1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1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168"/>
    <w:rPr>
      <w:rFonts w:eastAsiaTheme="majorEastAsia" w:cstheme="majorBidi"/>
      <w:color w:val="272727" w:themeColor="text1" w:themeTint="D8"/>
    </w:rPr>
  </w:style>
  <w:style w:type="paragraph" w:styleId="Puesto">
    <w:name w:val="Title"/>
    <w:basedOn w:val="Normal"/>
    <w:next w:val="Normal"/>
    <w:link w:val="PuestoCar"/>
    <w:uiPriority w:val="10"/>
    <w:qFormat/>
    <w:rsid w:val="00B3716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71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1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1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168"/>
    <w:pPr>
      <w:spacing w:before="160"/>
      <w:jc w:val="center"/>
    </w:pPr>
    <w:rPr>
      <w:i/>
      <w:iCs/>
      <w:color w:val="404040" w:themeColor="text1" w:themeTint="BF"/>
    </w:rPr>
  </w:style>
  <w:style w:type="character" w:customStyle="1" w:styleId="CitaCar">
    <w:name w:val="Cita Car"/>
    <w:basedOn w:val="Fuentedeprrafopredeter"/>
    <w:link w:val="Cita"/>
    <w:uiPriority w:val="29"/>
    <w:rsid w:val="00B3716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7168"/>
    <w:pPr>
      <w:ind w:left="720"/>
      <w:contextualSpacing/>
    </w:pPr>
  </w:style>
  <w:style w:type="character" w:styleId="nfasisintenso">
    <w:name w:val="Intense Emphasis"/>
    <w:basedOn w:val="Fuentedeprrafopredeter"/>
    <w:uiPriority w:val="21"/>
    <w:qFormat/>
    <w:rsid w:val="00B37168"/>
    <w:rPr>
      <w:i/>
      <w:iCs/>
      <w:color w:val="2F5496" w:themeColor="accent1" w:themeShade="BF"/>
    </w:rPr>
  </w:style>
  <w:style w:type="paragraph" w:styleId="Citadestacada">
    <w:name w:val="Intense Quote"/>
    <w:basedOn w:val="Normal"/>
    <w:next w:val="Normal"/>
    <w:link w:val="CitadestacadaCar"/>
    <w:uiPriority w:val="30"/>
    <w:qFormat/>
    <w:rsid w:val="00B3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37168"/>
    <w:rPr>
      <w:i/>
      <w:iCs/>
      <w:color w:val="2F5496" w:themeColor="accent1" w:themeShade="BF"/>
    </w:rPr>
  </w:style>
  <w:style w:type="character" w:styleId="Referenciaintensa">
    <w:name w:val="Intense Reference"/>
    <w:basedOn w:val="Fuentedeprrafopredeter"/>
    <w:uiPriority w:val="32"/>
    <w:qFormat/>
    <w:rsid w:val="00B37168"/>
    <w:rPr>
      <w:b/>
      <w:bCs/>
      <w:smallCaps/>
      <w:color w:val="2F5496" w:themeColor="accent1" w:themeShade="BF"/>
      <w:spacing w:val="5"/>
    </w:rPr>
  </w:style>
  <w:style w:type="paragraph" w:styleId="Listaconvietas2">
    <w:name w:val="List Bullet 2"/>
    <w:basedOn w:val="Normal"/>
    <w:uiPriority w:val="99"/>
    <w:unhideWhenUsed/>
    <w:rsid w:val="00B37168"/>
    <w:pPr>
      <w:numPr>
        <w:numId w:val="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B37168"/>
    <w:rPr>
      <w:color w:val="0563C1" w:themeColor="hyperlink"/>
      <w:u w:val="single"/>
    </w:rPr>
  </w:style>
  <w:style w:type="character" w:customStyle="1" w:styleId="Mencinsinresolver1">
    <w:name w:val="Mención sin resolver1"/>
    <w:basedOn w:val="Fuentedeprrafopredeter"/>
    <w:uiPriority w:val="99"/>
    <w:semiHidden/>
    <w:unhideWhenUsed/>
    <w:rsid w:val="00B37168"/>
    <w:rPr>
      <w:color w:val="605E5C"/>
      <w:shd w:val="clear" w:color="auto" w:fill="E1DFDD"/>
    </w:rPr>
  </w:style>
  <w:style w:type="paragraph" w:styleId="TtulodeTDC">
    <w:name w:val="TOC Heading"/>
    <w:basedOn w:val="Ttulo1"/>
    <w:next w:val="Normal"/>
    <w:uiPriority w:val="39"/>
    <w:unhideWhenUsed/>
    <w:qFormat/>
    <w:rsid w:val="00B37168"/>
    <w:pPr>
      <w:spacing w:before="240" w:after="0"/>
      <w:outlineLvl w:val="9"/>
    </w:pPr>
    <w:rPr>
      <w:sz w:val="32"/>
      <w:szCs w:val="32"/>
    </w:rPr>
  </w:style>
  <w:style w:type="paragraph" w:styleId="TDC1">
    <w:name w:val="toc 1"/>
    <w:basedOn w:val="Normal"/>
    <w:next w:val="Normal"/>
    <w:autoRedefine/>
    <w:uiPriority w:val="39"/>
    <w:unhideWhenUsed/>
    <w:rsid w:val="00B37168"/>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B37168"/>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E415D"/>
    <w:rPr>
      <w:rFonts w:ascii="Times New Roman" w:eastAsia="Times New Roman" w:hAnsi="Times New Roman" w:cs="Times New Roman"/>
      <w:kern w:val="0"/>
      <w:sz w:val="20"/>
      <w:szCs w:val="20"/>
      <w:lang w:eastAsia="es-MX"/>
      <w14:ligatures w14:val="none"/>
    </w:rPr>
  </w:style>
  <w:style w:type="paragraph" w:customStyle="1" w:styleId="xgmail-msonormal">
    <w:name w:val="x_gmail-msonormal"/>
    <w:basedOn w:val="Normal"/>
    <w:rsid w:val="009F50A9"/>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67DC-0D6F-4A53-8BC1-5C4B6496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10710</Words>
  <Characters>58910</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2025-12-12T16:16:00Z</cp:lastPrinted>
  <dcterms:created xsi:type="dcterms:W3CDTF">2025-12-12T16:16:00Z</dcterms:created>
  <dcterms:modified xsi:type="dcterms:W3CDTF">2025-12-12T16:16:00Z</dcterms:modified>
</cp:coreProperties>
</file>