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Pr>
          <w:rFonts w:ascii="Palatino Linotype" w:eastAsia="Palatino Linotype" w:hAnsi="Palatino Linotype" w:cs="Palatino Linotype"/>
          <w:color w:val="000000"/>
          <w:sz w:val="24"/>
          <w:szCs w:val="24"/>
        </w:rPr>
        <w:t xml:space="preserve">do de México, a fecha </w:t>
      </w:r>
      <w:r w:rsidR="00AC4D67">
        <w:rPr>
          <w:rFonts w:ascii="Palatino Linotype" w:eastAsia="Palatino Linotype" w:hAnsi="Palatino Linotype" w:cs="Palatino Linotype"/>
          <w:color w:val="000000"/>
          <w:sz w:val="24"/>
          <w:szCs w:val="24"/>
        </w:rPr>
        <w:t xml:space="preserve">seis </w:t>
      </w:r>
      <w:r w:rsidR="00D63514">
        <w:rPr>
          <w:rFonts w:ascii="Palatino Linotype" w:eastAsia="Palatino Linotype" w:hAnsi="Palatino Linotype" w:cs="Palatino Linotype"/>
          <w:color w:val="000000"/>
          <w:sz w:val="24"/>
          <w:szCs w:val="24"/>
        </w:rPr>
        <w:t>(</w:t>
      </w:r>
      <w:r w:rsidR="00AC4D67">
        <w:rPr>
          <w:rFonts w:ascii="Palatino Linotype" w:eastAsia="Palatino Linotype" w:hAnsi="Palatino Linotype" w:cs="Palatino Linotype"/>
          <w:color w:val="000000"/>
          <w:sz w:val="24"/>
          <w:szCs w:val="24"/>
        </w:rPr>
        <w:t>06</w:t>
      </w:r>
      <w:r>
        <w:rPr>
          <w:rFonts w:ascii="Palatino Linotype" w:eastAsia="Palatino Linotype" w:hAnsi="Palatino Linotype" w:cs="Palatino Linotype"/>
          <w:color w:val="000000"/>
          <w:sz w:val="24"/>
          <w:szCs w:val="24"/>
        </w:rPr>
        <w:t xml:space="preserve">) de </w:t>
      </w:r>
      <w:r w:rsidR="00AC4D67">
        <w:rPr>
          <w:rFonts w:ascii="Palatino Linotype" w:eastAsia="Palatino Linotype" w:hAnsi="Palatino Linotype" w:cs="Palatino Linotype"/>
          <w:color w:val="000000"/>
          <w:sz w:val="24"/>
          <w:szCs w:val="24"/>
        </w:rPr>
        <w:t xml:space="preserve">marzo </w:t>
      </w:r>
      <w:r>
        <w:rPr>
          <w:rFonts w:ascii="Palatino Linotype" w:eastAsia="Palatino Linotype" w:hAnsi="Palatino Linotype" w:cs="Palatino Linotype"/>
          <w:color w:val="000000"/>
          <w:sz w:val="24"/>
          <w:szCs w:val="24"/>
        </w:rPr>
        <w:t xml:space="preserve">de dos mil veinticinco. </w:t>
      </w:r>
    </w:p>
    <w:p w:rsidR="00D727D0"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número </w:t>
      </w:r>
      <w:r w:rsidR="00D82C27">
        <w:rPr>
          <w:rFonts w:ascii="Palatino Linotype" w:eastAsia="Palatino Linotype" w:hAnsi="Palatino Linotype" w:cs="Palatino Linotype"/>
          <w:b/>
        </w:rPr>
        <w:t>00988/INFOEM/IP/RR/2025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interpuesto por </w:t>
      </w:r>
      <w:r w:rsidR="00CF41AD">
        <w:rPr>
          <w:rFonts w:ascii="Palatino Linotype" w:eastAsia="Palatino Linotype" w:hAnsi="Palatino Linotype" w:cs="Palatino Linotype"/>
          <w:b/>
          <w:sz w:val="24"/>
          <w:szCs w:val="24"/>
        </w:rPr>
        <w:t>XXXX</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a quien en lo sucesivo se le denominará como </w:t>
      </w:r>
      <w:r w:rsidR="00D250F6">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RECURRENTE</w:t>
      </w:r>
      <w:bookmarkStart w:id="0" w:name="_GoBack"/>
      <w:bookmarkEnd w:id="0"/>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contra de la falta de respuesta del </w:t>
      </w:r>
      <w:r w:rsidR="00D82C27">
        <w:rPr>
          <w:rFonts w:ascii="Palatino Linotype" w:eastAsia="Palatino Linotype" w:hAnsi="Palatino Linotype" w:cs="Palatino Linotype"/>
          <w:color w:val="000000"/>
          <w:sz w:val="24"/>
          <w:szCs w:val="24"/>
        </w:rPr>
        <w:t>Ayuntamiento de Jiquipilco</w:t>
      </w:r>
      <w:r w:rsidRPr="00D250F6">
        <w:rPr>
          <w:rFonts w:ascii="Palatino Linotype" w:eastAsia="Palatino Linotype" w:hAnsi="Palatino Linotype" w:cs="Palatino Linotype"/>
          <w:b/>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adelante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en lo conducente se procede a dictar la presente resolución: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 N T E C E D E N T E S</w:t>
      </w:r>
    </w:p>
    <w:p w:rsidR="00D727D0" w:rsidRDefault="00D727D0">
      <w:pPr>
        <w:spacing w:after="0" w:line="360" w:lineRule="auto"/>
        <w:ind w:right="-411"/>
        <w:rPr>
          <w:rFonts w:ascii="Palatino Linotype" w:eastAsia="Palatino Linotype" w:hAnsi="Palatino Linotype" w:cs="Palatino Linotype"/>
          <w:b/>
          <w:sz w:val="24"/>
          <w:szCs w:val="24"/>
        </w:rPr>
      </w:pPr>
    </w:p>
    <w:p w:rsidR="00D82C27" w:rsidRPr="00AB310C" w:rsidRDefault="00D82C27" w:rsidP="00D82C27">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AB310C">
        <w:rPr>
          <w:rFonts w:ascii="Palatino Linotype" w:hAnsi="Palatino Linotype" w:cs="Tahoma"/>
          <w:sz w:val="24"/>
          <w:szCs w:val="24"/>
        </w:rPr>
        <w:t xml:space="preserve">El </w:t>
      </w:r>
      <w:r>
        <w:rPr>
          <w:rFonts w:ascii="Palatino Linotype" w:hAnsi="Palatino Linotype" w:cs="Tahoma"/>
          <w:b/>
          <w:bCs/>
          <w:sz w:val="24"/>
          <w:szCs w:val="24"/>
        </w:rPr>
        <w:t xml:space="preserve">diez de enero </w:t>
      </w:r>
      <w:r w:rsidRPr="00AB310C">
        <w:rPr>
          <w:rFonts w:ascii="Palatino Linotype" w:hAnsi="Palatino Linotype" w:cs="Tahoma"/>
          <w:b/>
          <w:bCs/>
          <w:sz w:val="24"/>
          <w:szCs w:val="24"/>
        </w:rPr>
        <w:t>de dos mil veinticinco</w:t>
      </w:r>
      <w:r w:rsidRPr="00AB310C">
        <w:rPr>
          <w:rFonts w:ascii="Palatino Linotype" w:hAnsi="Palatino Linotype" w:cs="Tahoma"/>
          <w:sz w:val="24"/>
          <w:szCs w:val="24"/>
        </w:rPr>
        <w:t xml:space="preserve">, </w:t>
      </w:r>
      <w:r>
        <w:rPr>
          <w:rFonts w:ascii="Palatino Linotype" w:hAnsi="Palatino Linotype"/>
          <w:b/>
          <w:bCs/>
          <w:sz w:val="24"/>
          <w:szCs w:val="24"/>
        </w:rPr>
        <w:t>EL</w:t>
      </w:r>
      <w:r w:rsidRPr="00AB310C">
        <w:rPr>
          <w:rFonts w:ascii="Palatino Linotype" w:hAnsi="Palatino Linotype"/>
          <w:b/>
          <w:bCs/>
          <w:sz w:val="24"/>
          <w:szCs w:val="24"/>
        </w:rPr>
        <w:t xml:space="preserve"> RECURRENTE</w:t>
      </w:r>
      <w:r w:rsidRPr="00AB310C">
        <w:rPr>
          <w:rFonts w:ascii="Palatino Linotype" w:hAnsi="Palatino Linotype" w:cs="Tahoma"/>
          <w:sz w:val="24"/>
          <w:szCs w:val="24"/>
        </w:rPr>
        <w:t xml:space="preserve"> presentó una solicitud de acceso a la información pública ante el </w:t>
      </w:r>
      <w:r w:rsidRPr="00AB310C">
        <w:rPr>
          <w:rFonts w:ascii="Palatino Linotype" w:hAnsi="Palatino Linotype" w:cs="Tahoma"/>
          <w:b/>
          <w:bCs/>
          <w:sz w:val="24"/>
          <w:szCs w:val="24"/>
        </w:rPr>
        <w:t>SUJETO OBLIGADO</w:t>
      </w:r>
      <w:r w:rsidRPr="00AB310C">
        <w:rPr>
          <w:rFonts w:ascii="Palatino Linotype" w:hAnsi="Palatino Linotype" w:cs="Tahoma"/>
          <w:sz w:val="24"/>
          <w:szCs w:val="24"/>
        </w:rPr>
        <w:t>, a través del Sistema de Acceso a la Información Mexiquense (SAIMEX), la cual se tuvo por presentada al día siguiente hábil es decir</w:t>
      </w:r>
      <w:r>
        <w:rPr>
          <w:rFonts w:ascii="Palatino Linotype" w:hAnsi="Palatino Linotype" w:cs="Tahoma"/>
          <w:sz w:val="24"/>
          <w:szCs w:val="24"/>
        </w:rPr>
        <w:t>,</w:t>
      </w:r>
      <w:r w:rsidRPr="00AB310C">
        <w:rPr>
          <w:rFonts w:ascii="Palatino Linotype" w:hAnsi="Palatino Linotype" w:cs="Tahoma"/>
          <w:sz w:val="24"/>
          <w:szCs w:val="24"/>
        </w:rPr>
        <w:t xml:space="preserve"> el </w:t>
      </w:r>
      <w:r w:rsidRPr="00AB310C">
        <w:rPr>
          <w:rFonts w:ascii="Palatino Linotype" w:hAnsi="Palatino Linotype" w:cs="Tahoma"/>
          <w:b/>
          <w:bCs/>
          <w:sz w:val="24"/>
          <w:szCs w:val="24"/>
        </w:rPr>
        <w:t xml:space="preserve">trece de enero de dos mil veinticinco </w:t>
      </w:r>
      <w:r w:rsidRPr="00AB310C">
        <w:rPr>
          <w:rFonts w:ascii="Palatino Linotype" w:hAnsi="Palatino Linotype" w:cs="Tahoma"/>
          <w:bCs/>
          <w:sz w:val="24"/>
          <w:szCs w:val="24"/>
        </w:rPr>
        <w:t>en términos del</w:t>
      </w:r>
      <w:r>
        <w:rPr>
          <w:rFonts w:ascii="Palatino Linotype" w:hAnsi="Palatino Linotype" w:cs="Tahoma"/>
          <w:bCs/>
          <w:sz w:val="24"/>
          <w:szCs w:val="24"/>
        </w:rPr>
        <w:t xml:space="preserve"> </w:t>
      </w:r>
      <w:r w:rsidRPr="00AB310C">
        <w:rPr>
          <w:rFonts w:ascii="Palatino Linotype" w:hAnsi="Palatino Linotype" w:cs="Tahoma"/>
          <w:bCs/>
          <w:sz w:val="24"/>
          <w:szCs w:val="24"/>
        </w:rPr>
        <w:t xml:space="preserve">artículo 3, fracción X de la </w:t>
      </w:r>
      <w:r w:rsidRPr="00AB310C">
        <w:rPr>
          <w:rFonts w:ascii="Palatino Linotype" w:hAnsi="Palatino Linotype"/>
          <w:sz w:val="24"/>
          <w:szCs w:val="24"/>
        </w:rPr>
        <w:t>Ley de Transparencia y Acceso a la Información Pública del Estado de México y Municipios.</w:t>
      </w:r>
      <w:r w:rsidRPr="00AB310C">
        <w:rPr>
          <w:rFonts w:ascii="Palatino Linotype" w:hAnsi="Palatino Linotype" w:cs="Tahoma"/>
          <w:bCs/>
          <w:sz w:val="24"/>
          <w:szCs w:val="24"/>
        </w:rPr>
        <w:t xml:space="preserve"> </w:t>
      </w:r>
      <w:r w:rsidRPr="00AB310C">
        <w:rPr>
          <w:rFonts w:ascii="Palatino Linotype" w:hAnsi="Palatino Linotype" w:cs="Tahoma"/>
          <w:sz w:val="24"/>
          <w:szCs w:val="24"/>
        </w:rPr>
        <w:t>Dicha solicitud quedó registrada con el número de folio</w:t>
      </w:r>
      <w:r w:rsidRPr="00AB310C">
        <w:rPr>
          <w:rFonts w:ascii="Palatino Linotype" w:hAnsi="Palatino Linotype" w:cs="Tahoma"/>
          <w:b/>
          <w:bCs/>
          <w:sz w:val="24"/>
          <w:szCs w:val="24"/>
        </w:rPr>
        <w:t xml:space="preserve"> </w:t>
      </w:r>
      <w:r>
        <w:rPr>
          <w:rFonts w:ascii="Palatino Linotype" w:hAnsi="Palatino Linotype"/>
          <w:b/>
          <w:bCs/>
          <w:sz w:val="24"/>
          <w:szCs w:val="24"/>
        </w:rPr>
        <w:t xml:space="preserve">00011/JIQUIPIL/IP/2025 </w:t>
      </w:r>
      <w:r w:rsidRPr="00AB310C">
        <w:rPr>
          <w:rFonts w:ascii="Palatino Linotype" w:hAnsi="Palatino Linotype" w:cs="Tahoma"/>
          <w:sz w:val="24"/>
          <w:szCs w:val="24"/>
        </w:rPr>
        <w:t>y en ella se requirió la siguiente información</w:t>
      </w:r>
      <w:r>
        <w:rPr>
          <w:rFonts w:ascii="Palatino Linotype" w:eastAsia="Palatino Linotype" w:hAnsi="Palatino Linotype" w:cs="Palatino Linotype"/>
          <w:color w:val="000000"/>
          <w:sz w:val="24"/>
          <w:szCs w:val="24"/>
        </w:rPr>
        <w:t>:</w:t>
      </w:r>
    </w:p>
    <w:p w:rsidR="00D727D0"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D82C27" w:rsidRDefault="001D4F8C" w:rsidP="00D82C27">
      <w:pPr>
        <w:spacing w:after="0" w:line="240" w:lineRule="auto"/>
        <w:ind w:left="709" w:right="709"/>
        <w:jc w:val="both"/>
        <w:rPr>
          <w:rFonts w:ascii="Palatino Linotype" w:hAnsi="Palatino Linotype"/>
          <w:i/>
          <w:color w:val="000000"/>
          <w:sz w:val="24"/>
          <w:szCs w:val="24"/>
        </w:rPr>
      </w:pPr>
      <w:r w:rsidRPr="00D82C27">
        <w:rPr>
          <w:rFonts w:ascii="Palatino Linotype" w:eastAsia="Palatino Linotype" w:hAnsi="Palatino Linotype" w:cs="Palatino Linotype"/>
          <w:i/>
          <w:color w:val="000000"/>
          <w:sz w:val="24"/>
          <w:szCs w:val="24"/>
        </w:rPr>
        <w:t>“</w:t>
      </w:r>
      <w:r w:rsidR="00D82C27" w:rsidRPr="00D82C27">
        <w:rPr>
          <w:rFonts w:ascii="Palatino Linotype" w:hAnsi="Palatino Linotype"/>
          <w:i/>
          <w:color w:val="000000"/>
          <w:sz w:val="24"/>
          <w:szCs w:val="24"/>
        </w:rPr>
        <w:t>Solicito se me facilite el perfil de puestos de todos los cargos con que cuentan todas las áreas de la administración, lo cual está a cargo de la Coordinación de Recursos Humanos.</w:t>
      </w:r>
      <w:r w:rsidR="00ED39C7" w:rsidRPr="00D82C27">
        <w:rPr>
          <w:rFonts w:ascii="Palatino Linotype" w:hAnsi="Palatino Linotype"/>
          <w:i/>
          <w:color w:val="000000"/>
          <w:sz w:val="24"/>
          <w:szCs w:val="24"/>
        </w:rPr>
        <w:t>”(Sic)</w:t>
      </w:r>
    </w:p>
    <w:p w:rsidR="00D250F6" w:rsidRDefault="00D250F6" w:rsidP="00D250F6">
      <w:pPr>
        <w:spacing w:after="0" w:line="240" w:lineRule="auto"/>
        <w:ind w:left="709" w:right="709"/>
        <w:jc w:val="both"/>
        <w:rPr>
          <w:rFonts w:ascii="Palatino Linotype" w:eastAsia="Palatino Linotype" w:hAnsi="Palatino Linotype" w:cs="Palatino Linotype"/>
          <w:color w:val="000000"/>
          <w:sz w:val="24"/>
          <w:szCs w:val="24"/>
        </w:rPr>
      </w:pPr>
    </w:p>
    <w:p w:rsidR="00D727D0"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Modalidad de entrega: </w:t>
      </w:r>
      <w:r>
        <w:rPr>
          <w:rFonts w:ascii="Palatino Linotype" w:eastAsia="Palatino Linotype" w:hAnsi="Palatino Linotype" w:cs="Palatino Linotype"/>
          <w:color w:val="000000"/>
          <w:sz w:val="24"/>
          <w:szCs w:val="24"/>
        </w:rPr>
        <w:t xml:space="preserve">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w:t>
      </w:r>
    </w:p>
    <w:p w:rsidR="0063035A" w:rsidRPr="0063035A"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3D23F2">
        <w:rPr>
          <w:rFonts w:ascii="Palatino Linotype" w:eastAsia="Palatino Linotype" w:hAnsi="Palatino Linotype" w:cs="Palatino Linotype"/>
          <w:color w:val="000000"/>
          <w:sz w:val="24"/>
          <w:szCs w:val="24"/>
        </w:rPr>
        <w:t>Derivado de lo anterior</w:t>
      </w:r>
      <w:r>
        <w:rPr>
          <w:rFonts w:ascii="Palatino Linotype" w:eastAsia="Palatino Linotype" w:hAnsi="Palatino Linotype" w:cs="Palatino Linotype"/>
          <w:b/>
          <w:color w:val="000000"/>
          <w:sz w:val="24"/>
          <w:szCs w:val="24"/>
        </w:rPr>
        <w:t xml:space="preserve">, </w:t>
      </w:r>
      <w:r w:rsidR="001D4F8C">
        <w:rPr>
          <w:rFonts w:ascii="Palatino Linotype" w:eastAsia="Palatino Linotype" w:hAnsi="Palatino Linotype" w:cs="Palatino Linotype"/>
          <w:b/>
          <w:color w:val="000000"/>
          <w:sz w:val="24"/>
          <w:szCs w:val="24"/>
        </w:rPr>
        <w:t>EL SUJETO OBLIGADO</w:t>
      </w:r>
      <w:r w:rsidR="001D4F8C">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Ante la falta de respuesta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sidR="00ED39C7" w:rsidRPr="00ED39C7">
        <w:rPr>
          <w:rFonts w:ascii="Palatino Linotype" w:eastAsia="Palatino Linotype" w:hAnsi="Palatino Linotype" w:cs="Palatino Linotype"/>
          <w:b/>
          <w:color w:val="000000"/>
          <w:sz w:val="24"/>
          <w:szCs w:val="24"/>
        </w:rPr>
        <w:t xml:space="preserve">EL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interpuso el Recurso de Revisión el </w:t>
      </w:r>
      <w:r w:rsidR="00ED39C7">
        <w:rPr>
          <w:rFonts w:ascii="Palatino Linotype" w:eastAsia="Palatino Linotype" w:hAnsi="Palatino Linotype" w:cs="Palatino Linotype"/>
          <w:b/>
          <w:color w:val="000000"/>
          <w:sz w:val="24"/>
          <w:szCs w:val="24"/>
        </w:rPr>
        <w:t xml:space="preserve">diez </w:t>
      </w:r>
      <w:r w:rsidR="003D23F2">
        <w:rPr>
          <w:rFonts w:ascii="Palatino Linotype" w:eastAsia="Palatino Linotype" w:hAnsi="Palatino Linotype" w:cs="Palatino Linotype"/>
          <w:b/>
          <w:color w:val="000000"/>
          <w:sz w:val="24"/>
          <w:szCs w:val="24"/>
        </w:rPr>
        <w:t>d</w:t>
      </w:r>
      <w:r w:rsidR="003F074D">
        <w:rPr>
          <w:rFonts w:ascii="Palatino Linotype" w:eastAsia="Palatino Linotype" w:hAnsi="Palatino Linotype" w:cs="Palatino Linotype"/>
          <w:b/>
          <w:color w:val="000000"/>
          <w:sz w:val="24"/>
          <w:szCs w:val="24"/>
        </w:rPr>
        <w:t xml:space="preserve">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color w:val="000000"/>
          <w:sz w:val="24"/>
          <w:szCs w:val="24"/>
        </w:rPr>
        <w:t xml:space="preserve">registrado en el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con número de expediente </w:t>
      </w:r>
      <w:r w:rsidR="00D82C27">
        <w:rPr>
          <w:rFonts w:ascii="Palatino Linotype" w:eastAsia="Palatino Linotype" w:hAnsi="Palatino Linotype" w:cs="Palatino Linotype"/>
          <w:b/>
          <w:color w:val="000000"/>
          <w:sz w:val="24"/>
          <w:szCs w:val="24"/>
        </w:rPr>
        <w:t>00988/INFOEM/IP/RR/2025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el cual aduce, las siguientes manifestaciones:</w:t>
      </w:r>
    </w:p>
    <w:p w:rsidR="00D727D0" w:rsidRDefault="001D4F8C">
      <w:pPr>
        <w:numPr>
          <w:ilvl w:val="0"/>
          <w:numId w:val="5"/>
        </w:numPr>
        <w:spacing w:after="0"/>
        <w:ind w:left="993" w:right="-411"/>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p>
    <w:p w:rsidR="00D727D0" w:rsidRPr="00ED39C7" w:rsidRDefault="001D4F8C" w:rsidP="0003512E">
      <w:pPr>
        <w:spacing w:after="0" w:line="240" w:lineRule="auto"/>
        <w:ind w:left="993"/>
        <w:jc w:val="both"/>
        <w:rPr>
          <w:rFonts w:ascii="Palatino Linotype" w:eastAsia="Times New Roman" w:hAnsi="Palatino Linotype" w:cs="Times New Roman"/>
          <w:i/>
          <w:sz w:val="24"/>
          <w:szCs w:val="24"/>
          <w:lang w:val="es-MX"/>
        </w:rPr>
      </w:pPr>
      <w:r w:rsidRPr="0003512E">
        <w:rPr>
          <w:rFonts w:ascii="Palatino Linotype" w:eastAsia="Palatino Linotype" w:hAnsi="Palatino Linotype" w:cs="Palatino Linotype"/>
          <w:i/>
          <w:color w:val="000000"/>
          <w:sz w:val="24"/>
          <w:szCs w:val="24"/>
        </w:rPr>
        <w:t>“</w:t>
      </w:r>
      <w:r w:rsidR="0003512E" w:rsidRPr="0003512E">
        <w:rPr>
          <w:rFonts w:ascii="Palatino Linotype" w:hAnsi="Palatino Linotype"/>
          <w:i/>
          <w:color w:val="000000"/>
          <w:sz w:val="24"/>
          <w:szCs w:val="24"/>
        </w:rPr>
        <w:t>Mediante la solicitud 00011/JIQUIPIL/IP/2025 solicité lo siguiente: "Solicito se me facilite el perfil de puestos de todos los cargos con que cuentan todas las áreas de la administración, lo cual está a cargo de la Coordinación de Recursos Humanos.</w:t>
      </w:r>
      <w:r w:rsidRPr="0003512E">
        <w:rPr>
          <w:rFonts w:ascii="Palatino Linotype" w:eastAsia="Palatino Linotype" w:hAnsi="Palatino Linotype" w:cs="Palatino Linotype"/>
          <w:i/>
          <w:color w:val="000000"/>
          <w:sz w:val="24"/>
          <w:szCs w:val="24"/>
        </w:rPr>
        <w:t>”</w:t>
      </w:r>
      <w:r w:rsidRPr="00ED39C7">
        <w:rPr>
          <w:rFonts w:ascii="Palatino Linotype" w:eastAsia="Palatino Linotype" w:hAnsi="Palatino Linotype" w:cs="Palatino Linotype"/>
          <w:i/>
          <w:color w:val="000000"/>
          <w:sz w:val="24"/>
          <w:szCs w:val="24"/>
        </w:rPr>
        <w:t xml:space="preserve"> (Sic).</w:t>
      </w:r>
    </w:p>
    <w:p w:rsidR="003F074D" w:rsidRPr="00AF7F2C"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color w:val="000000"/>
        </w:rPr>
        <w:t xml:space="preserve">: </w:t>
      </w:r>
    </w:p>
    <w:p w:rsidR="00D727D0" w:rsidRPr="0003512E" w:rsidRDefault="001D4F8C" w:rsidP="0003512E">
      <w:pPr>
        <w:spacing w:after="0" w:line="240" w:lineRule="auto"/>
        <w:ind w:left="993"/>
        <w:jc w:val="both"/>
        <w:rPr>
          <w:rFonts w:ascii="Palatino Linotype" w:eastAsia="Times New Roman" w:hAnsi="Palatino Linotype" w:cs="Times New Roman"/>
          <w:i/>
          <w:sz w:val="24"/>
          <w:szCs w:val="24"/>
          <w:lang w:val="es-MX"/>
        </w:rPr>
      </w:pPr>
      <w:r w:rsidRPr="0003512E">
        <w:rPr>
          <w:rFonts w:ascii="Palatino Linotype" w:eastAsia="Palatino Linotype" w:hAnsi="Palatino Linotype" w:cs="Palatino Linotype"/>
          <w:i/>
          <w:color w:val="000000"/>
          <w:sz w:val="24"/>
          <w:szCs w:val="24"/>
        </w:rPr>
        <w:t>“</w:t>
      </w:r>
      <w:r w:rsidR="0003512E" w:rsidRPr="0003512E">
        <w:rPr>
          <w:rFonts w:ascii="Palatino Linotype" w:hAnsi="Palatino Linotype"/>
          <w:i/>
          <w:color w:val="000000"/>
          <w:sz w:val="24"/>
          <w:szCs w:val="24"/>
        </w:rPr>
        <w:t>La entidad no dio respuesta a mi solicitud</w:t>
      </w:r>
      <w:r w:rsidRPr="0003512E">
        <w:rPr>
          <w:rFonts w:ascii="Palatino Linotype" w:eastAsia="Palatino Linotype" w:hAnsi="Palatino Linotype" w:cs="Palatino Linotype"/>
          <w:i/>
          <w:color w:val="000000"/>
          <w:sz w:val="24"/>
          <w:szCs w:val="24"/>
        </w:rPr>
        <w:t>” (Sic)</w:t>
      </w:r>
    </w:p>
    <w:p w:rsidR="00D727D0" w:rsidRDefault="00D727D0">
      <w:pPr>
        <w:spacing w:after="0" w:line="360" w:lineRule="auto"/>
        <w:ind w:right="-411"/>
        <w:jc w:val="both"/>
        <w:rPr>
          <w:rFonts w:ascii="Palatino Linotype" w:eastAsia="Palatino Linotype" w:hAnsi="Palatino Linotype" w:cs="Palatino Linotype"/>
          <w:sz w:val="24"/>
          <w:szCs w:val="24"/>
        </w:rPr>
      </w:pPr>
    </w:p>
    <w:p w:rsidR="00AF7F2C"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326911">
        <w:rPr>
          <w:rFonts w:ascii="Palatino Linotype" w:eastAsia="Palatino Linotype" w:hAnsi="Palatino Linotype" w:cs="Palatino Linotype"/>
          <w:color w:val="000000"/>
          <w:sz w:val="24"/>
          <w:szCs w:val="24"/>
        </w:rPr>
        <w:t xml:space="preserve">el acuerdo de admisión de fecha </w:t>
      </w:r>
      <w:r w:rsidR="0003512E">
        <w:rPr>
          <w:rFonts w:ascii="Palatino Linotype" w:eastAsia="Palatino Linotype" w:hAnsi="Palatino Linotype" w:cs="Palatino Linotype"/>
          <w:b/>
          <w:color w:val="000000"/>
          <w:sz w:val="24"/>
          <w:szCs w:val="24"/>
        </w:rPr>
        <w:t xml:space="preserve">trece </w:t>
      </w:r>
      <w:r w:rsidR="00ED39C7">
        <w:rPr>
          <w:rFonts w:ascii="Palatino Linotype" w:eastAsia="Palatino Linotype" w:hAnsi="Palatino Linotype" w:cs="Palatino Linotype"/>
          <w:b/>
          <w:color w:val="000000"/>
          <w:sz w:val="24"/>
          <w:szCs w:val="24"/>
        </w:rPr>
        <w:t>d</w:t>
      </w:r>
      <w:r w:rsidR="00211A72">
        <w:rPr>
          <w:rFonts w:ascii="Palatino Linotype" w:eastAsia="Palatino Linotype" w:hAnsi="Palatino Linotype" w:cs="Palatino Linotype"/>
          <w:b/>
          <w:color w:val="000000"/>
          <w:sz w:val="24"/>
          <w:szCs w:val="24"/>
        </w:rPr>
        <w:t xml:space="preserve">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sz w:val="24"/>
          <w:szCs w:val="24"/>
        </w:rPr>
        <w:t>determinando</w:t>
      </w:r>
      <w:r>
        <w:rPr>
          <w:rFonts w:ascii="Palatino Linotype" w:eastAsia="Palatino Linotype" w:hAnsi="Palatino Linotype" w:cs="Palatino Linotype"/>
          <w:color w:val="000000"/>
          <w:sz w:val="24"/>
          <w:szCs w:val="24"/>
        </w:rPr>
        <w:t xml:space="preserve"> un plazo de siete días para que las partes </w:t>
      </w:r>
      <w:r>
        <w:rPr>
          <w:rFonts w:ascii="Palatino Linotype" w:eastAsia="Palatino Linotype" w:hAnsi="Palatino Linotype" w:cs="Palatino Linotype"/>
          <w:sz w:val="24"/>
          <w:szCs w:val="24"/>
        </w:rPr>
        <w:t xml:space="preserve">manifestaron </w:t>
      </w:r>
      <w:r>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F7F2C">
        <w:rPr>
          <w:rFonts w:ascii="Palatino Linotype" w:eastAsia="Palatino Linotype" w:hAnsi="Palatino Linotype" w:cs="Palatino Linotype"/>
          <w:b/>
          <w:color w:val="000000"/>
          <w:sz w:val="24"/>
          <w:szCs w:val="24"/>
        </w:rPr>
        <w:t>EL SUJETO OBLIGADO</w:t>
      </w:r>
      <w:r w:rsidRPr="00AF7F2C">
        <w:rPr>
          <w:rFonts w:ascii="Palatino Linotype" w:eastAsia="Palatino Linotype" w:hAnsi="Palatino Linotype" w:cs="Palatino Linotype"/>
          <w:color w:val="000000"/>
          <w:sz w:val="24"/>
          <w:szCs w:val="24"/>
        </w:rPr>
        <w:t xml:space="preserve"> fue omiso en rendir el Informe Justificado; </w:t>
      </w:r>
      <w:r w:rsidR="00D63514" w:rsidRPr="00AF7F2C">
        <w:rPr>
          <w:rFonts w:ascii="Palatino Linotype" w:eastAsia="Palatino Linotype" w:hAnsi="Palatino Linotype" w:cs="Palatino Linotype"/>
          <w:color w:val="000000"/>
          <w:sz w:val="24"/>
          <w:szCs w:val="24"/>
        </w:rPr>
        <w:t>mientras que</w:t>
      </w:r>
      <w:r w:rsidR="00ED39C7">
        <w:rPr>
          <w:rFonts w:ascii="Palatino Linotype" w:eastAsia="Palatino Linotype" w:hAnsi="Palatino Linotype" w:cs="Palatino Linotype"/>
          <w:color w:val="000000"/>
          <w:sz w:val="24"/>
          <w:szCs w:val="24"/>
        </w:rPr>
        <w:t xml:space="preserve"> </w:t>
      </w:r>
      <w:r w:rsidR="00ED39C7">
        <w:rPr>
          <w:rFonts w:ascii="Palatino Linotype" w:eastAsia="Palatino Linotype" w:hAnsi="Palatino Linotype" w:cs="Palatino Linotype"/>
          <w:b/>
          <w:color w:val="000000"/>
          <w:sz w:val="24"/>
          <w:szCs w:val="24"/>
        </w:rPr>
        <w:t xml:space="preserve">EL </w:t>
      </w:r>
      <w:r w:rsidRPr="00AF7F2C">
        <w:rPr>
          <w:rFonts w:ascii="Palatino Linotype" w:eastAsia="Palatino Linotype" w:hAnsi="Palatino Linotype" w:cs="Palatino Linotype"/>
          <w:b/>
          <w:color w:val="000000"/>
          <w:sz w:val="24"/>
          <w:szCs w:val="24"/>
        </w:rPr>
        <w:t>RECURRENTE</w:t>
      </w:r>
      <w:r w:rsidR="00D63514" w:rsidRPr="00AF7F2C">
        <w:rPr>
          <w:rFonts w:ascii="Palatino Linotype" w:eastAsia="Palatino Linotype" w:hAnsi="Palatino Linotype" w:cs="Palatino Linotype"/>
          <w:color w:val="000000"/>
          <w:sz w:val="24"/>
          <w:szCs w:val="24"/>
        </w:rPr>
        <w:t xml:space="preserve"> </w:t>
      </w:r>
      <w:r w:rsidR="003E6BA3" w:rsidRPr="00AF7F2C">
        <w:rPr>
          <w:rFonts w:ascii="Palatino Linotype" w:eastAsia="Palatino Linotype" w:hAnsi="Palatino Linotype" w:cs="Palatino Linotype"/>
          <w:color w:val="000000"/>
          <w:sz w:val="24"/>
          <w:szCs w:val="24"/>
        </w:rPr>
        <w:t xml:space="preserve">no realizó manifestaciones que a su derecho conviniera.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Pr>
          <w:rFonts w:ascii="Palatino Linotype" w:eastAsia="Palatino Linotype" w:hAnsi="Palatino Linotype" w:cs="Palatino Linotype"/>
          <w:b/>
          <w:color w:val="000000"/>
          <w:sz w:val="24"/>
          <w:szCs w:val="24"/>
        </w:rPr>
        <w:t xml:space="preserve"> </w:t>
      </w:r>
      <w:r w:rsidR="0003512E">
        <w:rPr>
          <w:rFonts w:ascii="Palatino Linotype" w:eastAsia="Palatino Linotype" w:hAnsi="Palatino Linotype" w:cs="Palatino Linotype"/>
          <w:b/>
          <w:color w:val="000000"/>
          <w:sz w:val="24"/>
          <w:szCs w:val="24"/>
        </w:rPr>
        <w:t>veinticinco d</w:t>
      </w:r>
      <w:r>
        <w:rPr>
          <w:rFonts w:ascii="Palatino Linotype" w:eastAsia="Palatino Linotype" w:hAnsi="Palatino Linotype" w:cs="Palatino Linotype"/>
          <w:b/>
          <w:color w:val="000000"/>
          <w:sz w:val="24"/>
          <w:szCs w:val="24"/>
        </w:rPr>
        <w:t xml:space="preserve">e febrero de dos mil veinticinco </w:t>
      </w:r>
      <w:r>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Default="00D727D0">
      <w:pPr>
        <w:spacing w:after="0" w:line="360" w:lineRule="auto"/>
        <w:ind w:right="-411"/>
        <w:jc w:val="center"/>
        <w:rPr>
          <w:rFonts w:ascii="Palatino Linotype" w:eastAsia="Palatino Linotype" w:hAnsi="Palatino Linotype" w:cs="Palatino Linotype"/>
          <w:b/>
          <w:sz w:val="24"/>
          <w:szCs w:val="24"/>
        </w:rPr>
      </w:pPr>
    </w:p>
    <w:p w:rsidR="00D727D0" w:rsidRDefault="001D4F8C">
      <w:pPr>
        <w:spacing w:after="0" w:line="360" w:lineRule="auto"/>
        <w:ind w:right="-411"/>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 O N S I D E R A N D 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De la competencia</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De la Oportunidad y Procedencia del Recurso de Revisión</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por lo que, en el presente caso, al haber sido presentado el recurso de revisión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dicho requisito resulta innecesario.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Pr="003D23F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w:t>
      </w:r>
      <w:r>
        <w:rPr>
          <w:rFonts w:ascii="Palatino Linotype" w:eastAsia="Palatino Linotype" w:hAnsi="Palatino Linotype" w:cs="Palatino Linotype"/>
          <w:color w:val="000000"/>
          <w:sz w:val="24"/>
          <w:szCs w:val="24"/>
        </w:rPr>
        <w:lastRenderedPageBreak/>
        <w:t xml:space="preserve">revisión, la falta de respuesta a una solicitud de información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hipótesis jurídica que se actualiza en este caso, aunado a que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combate la falta de trámite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y expresa motivos de inconformidad en contra de dicha circunstancia.</w:t>
      </w:r>
    </w:p>
    <w:p w:rsidR="003D23F2"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Pr>
          <w:rFonts w:ascii="Palatino Linotype" w:eastAsia="Palatino Linotype" w:hAnsi="Palatino Linotype" w:cs="Palatino Linotype"/>
          <w:b/>
          <w:sz w:val="24"/>
          <w:szCs w:val="24"/>
        </w:rPr>
        <w:t xml:space="preserve">TERCERO. Estudio y resolución del asunto. </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por tanto, procedente la interposición del recurso de revisión.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consecuencia, las razones o motivos de inconformidad hechos valer, resultan </w:t>
      </w:r>
      <w:r>
        <w:rPr>
          <w:rFonts w:ascii="Palatino Linotype" w:eastAsia="Palatino Linotype" w:hAnsi="Palatino Linotype" w:cs="Palatino Linotype"/>
          <w:b/>
          <w:color w:val="000000"/>
          <w:sz w:val="24"/>
          <w:szCs w:val="24"/>
        </w:rPr>
        <w:t>fundadas y procedentes</w:t>
      </w:r>
      <w:r>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responder la solicitud de información hecha por </w:t>
      </w:r>
      <w:r w:rsidR="0003512E">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b/>
          <w:color w:val="000000"/>
          <w:sz w:val="24"/>
          <w:szCs w:val="24"/>
        </w:rPr>
        <w:t xml:space="preserve"> RECURRENTE</w:t>
      </w:r>
      <w:r>
        <w:rPr>
          <w:rFonts w:ascii="Palatino Linotype" w:eastAsia="Palatino Linotype" w:hAnsi="Palatino Linotype" w:cs="Palatino Linotype"/>
          <w:color w:val="000000"/>
          <w:sz w:val="24"/>
          <w:szCs w:val="24"/>
        </w:rPr>
        <w:t xml:space="preserve">, es decir, incumplió las obligaciones que se le imponen como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en cumplimiento a esta resolución,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De la clasificación de la información</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Por lo que para dar atención a la solicitud de información, si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w:t>
      </w:r>
      <w:r>
        <w:rPr>
          <w:rFonts w:ascii="Palatino Linotype" w:eastAsia="Palatino Linotype" w:hAnsi="Palatino Linotype" w:cs="Palatino Linotype"/>
          <w:color w:val="000000"/>
          <w:sz w:val="24"/>
          <w:szCs w:val="24"/>
        </w:rPr>
        <w:lastRenderedPageBreak/>
        <w:t xml:space="preserve">concluir que, el caso particular se ajusta al supuesto previsto por la norma legal invocada como fundamento; siendo que, además, en todo momento, se debe aplicar una prueba de daño, entendida </w:t>
      </w:r>
      <w:r>
        <w:rPr>
          <w:rFonts w:ascii="Palatino Linotype" w:eastAsia="Palatino Linotype" w:hAnsi="Palatino Linotype" w:cs="Palatino Linotype"/>
          <w:sz w:val="24"/>
          <w:szCs w:val="24"/>
        </w:rPr>
        <w:t>ésta</w:t>
      </w:r>
      <w:r>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color w:val="000000"/>
          <w:sz w:val="24"/>
          <w:szCs w:val="24"/>
        </w:rPr>
        <w:t>.</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 la vista a los órganos de control interno competentes </w:t>
      </w:r>
    </w:p>
    <w:p w:rsidR="00D727D0" w:rsidRPr="00E47FE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Como ya se mencionó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color w:val="000000"/>
          <w:sz w:val="24"/>
          <w:szCs w:val="24"/>
        </w:rPr>
        <w:t>ORDENA</w:t>
      </w:r>
      <w:r>
        <w:rPr>
          <w:rFonts w:ascii="Palatino Linotype" w:eastAsia="Palatino Linotype" w:hAnsi="Palatino Linotype" w:cs="Palatino Linotype"/>
          <w:color w:val="000000"/>
          <w:sz w:val="24"/>
          <w:szCs w:val="24"/>
        </w:rPr>
        <w:t xml:space="preserve">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atienda la solicitud de información </w:t>
      </w:r>
      <w:r w:rsidR="00AF7F2C">
        <w:rPr>
          <w:rFonts w:ascii="Palatino Linotype" w:eastAsia="Palatino Linotype" w:hAnsi="Palatino Linotype" w:cs="Palatino Linotype"/>
          <w:b/>
          <w:color w:val="000000"/>
          <w:sz w:val="24"/>
          <w:szCs w:val="24"/>
        </w:rPr>
        <w:t xml:space="preserve"> </w:t>
      </w:r>
      <w:r w:rsidR="0003512E">
        <w:rPr>
          <w:rFonts w:ascii="Palatino Linotype" w:eastAsia="Palatino Linotype" w:hAnsi="Palatino Linotype" w:cs="Palatino Linotype"/>
          <w:b/>
          <w:color w:val="000000"/>
          <w:sz w:val="24"/>
          <w:szCs w:val="24"/>
        </w:rPr>
        <w:t>00011/JIQUIPIL/IP/2025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que ha sido materia del presente fallo.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E11CD8" w:rsidRDefault="00E11CD8">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left="426" w:right="-41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 E    R E S U E L V E</w:t>
      </w:r>
    </w:p>
    <w:p w:rsidR="00D727D0"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Resultan fundadas las razones o motivos de inconformidad hechos valer por </w:t>
      </w:r>
      <w:r w:rsidR="00ED39C7">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 xml:space="preserve"> </w:t>
      </w:r>
      <w:r w:rsidR="0003512E">
        <w:rPr>
          <w:rFonts w:ascii="Palatino Linotype" w:eastAsia="Palatino Linotype" w:hAnsi="Palatino Linotype" w:cs="Palatino Linotype"/>
          <w:b/>
          <w:color w:val="000000"/>
          <w:sz w:val="24"/>
          <w:szCs w:val="24"/>
        </w:rPr>
        <w:t>00011/JIQUIPIL/IP/2025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vía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Pr>
          <w:rFonts w:ascii="Palatino Linotype" w:eastAsia="Palatino Linotype" w:hAnsi="Palatino Linotype" w:cs="Palatino Linotype"/>
          <w:b/>
          <w:sz w:val="24"/>
          <w:szCs w:val="24"/>
        </w:rPr>
        <w:t>DEL SUJETO OBLIGADO</w:t>
      </w:r>
      <w:r>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4"/>
          <w:szCs w:val="24"/>
        </w:rPr>
        <w:t>dé cumplimiento a lo ordenado dentro del plazo de diez días hábiles,</w:t>
      </w:r>
      <w:r>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CUARTO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Se hace del conocimiento</w:t>
      </w:r>
      <w:r>
        <w:rPr>
          <w:rFonts w:ascii="Palatino Linotype" w:eastAsia="Palatino Linotype" w:hAnsi="Palatino Linotype" w:cs="Palatino Linotype"/>
          <w:sz w:val="24"/>
          <w:szCs w:val="24"/>
        </w:rPr>
        <w:t xml:space="preserve"> a </w:t>
      </w:r>
      <w:r w:rsidR="00ED39C7">
        <w:rPr>
          <w:rFonts w:ascii="Palatino Linotype" w:eastAsia="Palatino Linotype" w:hAnsi="Palatino Linotype" w:cs="Palatino Linotype"/>
          <w:b/>
          <w:sz w:val="24"/>
          <w:szCs w:val="24"/>
        </w:rPr>
        <w:t>EL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en cumplimiento a esta Resolución.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Gírese</w:t>
      </w:r>
      <w:r>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b/>
          <w:sz w:val="24"/>
          <w:szCs w:val="24"/>
        </w:rPr>
        <w:t>Considerando TERCERO</w:t>
      </w:r>
      <w:r>
        <w:rPr>
          <w:rFonts w:ascii="Palatino Linotype" w:eastAsia="Palatino Linotype" w:hAnsi="Palatino Linotype" w:cs="Palatino Linotype"/>
          <w:sz w:val="24"/>
          <w:szCs w:val="24"/>
        </w:rPr>
        <w:t xml:space="preserve"> de la presente resolución.</w:t>
      </w:r>
    </w:p>
    <w:p w:rsidR="00E11CD8" w:rsidRDefault="00E11CD8">
      <w:pPr>
        <w:spacing w:after="0" w:line="360" w:lineRule="auto"/>
        <w:ind w:right="-411"/>
        <w:jc w:val="both"/>
        <w:rPr>
          <w:rFonts w:ascii="Palatino Linotype" w:eastAsia="Palatino Linotype" w:hAnsi="Palatino Linotype" w:cs="Palatino Linotype"/>
          <w:sz w:val="24"/>
          <w:szCs w:val="24"/>
        </w:rPr>
      </w:pPr>
    </w:p>
    <w:p w:rsidR="00E11CD8" w:rsidRPr="00E11CD8" w:rsidRDefault="00E11CD8" w:rsidP="00E11CD8">
      <w:pPr>
        <w:spacing w:line="360" w:lineRule="auto"/>
        <w:ind w:left="-142" w:right="-234" w:firstLine="1"/>
        <w:jc w:val="both"/>
        <w:rPr>
          <w:rFonts w:ascii="Palatino Linotype" w:hAnsi="Palatino Linotype"/>
          <w:sz w:val="24"/>
        </w:rPr>
      </w:pPr>
      <w:r w:rsidRPr="00E11CD8">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E11CD8">
        <w:rPr>
          <w:rFonts w:ascii="Palatino Linotype" w:hAnsi="Palatino Linotype"/>
          <w:sz w:val="24"/>
        </w:rPr>
        <w:lastRenderedPageBreak/>
        <w:t xml:space="preserve">SHARON CRISTINA MORALES MARTÍNEZ; LUIS GUSTAVO PARRA NORIEGA Y GUADALUPE RAMÍREZ PEÑA; EN LA OCTAVA SESIÓN ORDINARIA CELEBRADA EL SEIS (06) DE MARZO DE DOS MIL VEINTICINCO, ANTE EL SECRETARIO TÉCNICO DEL PLENO ALEXIS TAPIA RAMÍREZ. </w:t>
      </w: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727D0" w:rsidRPr="00E11CD8" w:rsidRDefault="00D727D0">
      <w:pPr>
        <w:spacing w:after="0"/>
        <w:ind w:right="-411"/>
        <w:rPr>
          <w:sz w:val="28"/>
          <w:szCs w:val="24"/>
        </w:rPr>
      </w:pPr>
    </w:p>
    <w:p w:rsidR="00D57CA8" w:rsidRPr="00E11CD8" w:rsidRDefault="00D57CA8">
      <w:pPr>
        <w:spacing w:after="0"/>
        <w:ind w:right="-411"/>
        <w:rPr>
          <w:sz w:val="28"/>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D0" w:rsidRDefault="00680FD0">
      <w:pPr>
        <w:spacing w:after="0" w:line="240" w:lineRule="auto"/>
      </w:pPr>
      <w:r>
        <w:separator/>
      </w:r>
    </w:p>
  </w:endnote>
  <w:endnote w:type="continuationSeparator" w:id="0">
    <w:p w:rsidR="00680FD0" w:rsidRDefault="0068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F41AD">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F41AD">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F41A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F41AD">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D0" w:rsidRDefault="00680FD0">
      <w:pPr>
        <w:spacing w:after="0" w:line="240" w:lineRule="auto"/>
      </w:pPr>
      <w:r>
        <w:separator/>
      </w:r>
    </w:p>
  </w:footnote>
  <w:footnote w:type="continuationSeparator" w:id="0">
    <w:p w:rsidR="00680FD0" w:rsidRDefault="00680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C4D67" w:rsidP="00D250F6">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w:t>
          </w:r>
          <w:r w:rsidR="00E11CD8">
            <w:rPr>
              <w:rFonts w:ascii="Palatino Linotype" w:eastAsia="Palatino Linotype" w:hAnsi="Palatino Linotype" w:cs="Palatino Linotype"/>
            </w:rPr>
            <w:t>988</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E11CD8" w:rsidP="00916C20">
          <w:pPr>
            <w:spacing w:after="120" w:line="256" w:lineRule="auto"/>
            <w:ind w:right="1207"/>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Jiquipilco</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D82C27">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C4D67">
            <w:rPr>
              <w:rFonts w:ascii="Palatino Linotype" w:eastAsia="Palatino Linotype" w:hAnsi="Palatino Linotype" w:cs="Palatino Linotype"/>
            </w:rPr>
            <w:t>0</w:t>
          </w:r>
          <w:r w:rsidR="00D250F6">
            <w:rPr>
              <w:rFonts w:ascii="Palatino Linotype" w:eastAsia="Palatino Linotype" w:hAnsi="Palatino Linotype" w:cs="Palatino Linotype"/>
            </w:rPr>
            <w:t>9</w:t>
          </w:r>
          <w:r w:rsidR="00D82C27">
            <w:rPr>
              <w:rFonts w:ascii="Palatino Linotype" w:eastAsia="Palatino Linotype" w:hAnsi="Palatino Linotype" w:cs="Palatino Linotype"/>
            </w:rPr>
            <w:t>88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D82C27" w:rsidP="00D250F6">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Ayuntamiento de Jiquipilco</w:t>
          </w:r>
          <w:r w:rsidR="00D250F6">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CF41AD" w:rsidP="00D82C2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r w:rsidR="00D82C27">
            <w:rPr>
              <w:rFonts w:ascii="Palatino Linotype" w:eastAsia="Palatino Linotype" w:hAnsi="Palatino Linotype" w:cs="Palatino Linotype"/>
            </w:rPr>
            <w:t xml:space="preserve"> </w:t>
          </w:r>
          <w:r w:rsidR="00B77D42">
            <w:rPr>
              <w:rFonts w:ascii="Palatino Linotype" w:eastAsia="Palatino Linotype" w:hAnsi="Palatino Linotype" w:cs="Palatino Linotype"/>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0383"/>
    <w:rsid w:val="000B1AF2"/>
    <w:rsid w:val="001102E4"/>
    <w:rsid w:val="001435CA"/>
    <w:rsid w:val="001D4F8C"/>
    <w:rsid w:val="001F07C5"/>
    <w:rsid w:val="00211A72"/>
    <w:rsid w:val="00214AEA"/>
    <w:rsid w:val="002829BD"/>
    <w:rsid w:val="002E4B1E"/>
    <w:rsid w:val="00326911"/>
    <w:rsid w:val="003D23F2"/>
    <w:rsid w:val="003E6BA3"/>
    <w:rsid w:val="003F074D"/>
    <w:rsid w:val="005B7410"/>
    <w:rsid w:val="0061342D"/>
    <w:rsid w:val="0063035A"/>
    <w:rsid w:val="00680FD0"/>
    <w:rsid w:val="006B6964"/>
    <w:rsid w:val="00784F1A"/>
    <w:rsid w:val="00890D69"/>
    <w:rsid w:val="008D7BAF"/>
    <w:rsid w:val="008F05F0"/>
    <w:rsid w:val="0090170D"/>
    <w:rsid w:val="00916C20"/>
    <w:rsid w:val="00A769D4"/>
    <w:rsid w:val="00AB310C"/>
    <w:rsid w:val="00AC4D67"/>
    <w:rsid w:val="00AF7F2C"/>
    <w:rsid w:val="00B46ECE"/>
    <w:rsid w:val="00B77D42"/>
    <w:rsid w:val="00BF43A4"/>
    <w:rsid w:val="00CF41AD"/>
    <w:rsid w:val="00D250F6"/>
    <w:rsid w:val="00D330C9"/>
    <w:rsid w:val="00D57CA8"/>
    <w:rsid w:val="00D62DE2"/>
    <w:rsid w:val="00D63514"/>
    <w:rsid w:val="00D727D0"/>
    <w:rsid w:val="00D82C27"/>
    <w:rsid w:val="00DC6295"/>
    <w:rsid w:val="00E11CD8"/>
    <w:rsid w:val="00E47FE5"/>
    <w:rsid w:val="00EA35F6"/>
    <w:rsid w:val="00ED39C7"/>
    <w:rsid w:val="00F557FF"/>
    <w:rsid w:val="00FF62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3055</Words>
  <Characters>16803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2025-03-07T17:44:00Z</cp:lastPrinted>
  <dcterms:created xsi:type="dcterms:W3CDTF">2025-02-27T21:06:00Z</dcterms:created>
  <dcterms:modified xsi:type="dcterms:W3CDTF">2025-03-28T20:20:00Z</dcterms:modified>
</cp:coreProperties>
</file>