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A2" w:rsidRPr="000A733F" w:rsidRDefault="008274A2" w:rsidP="008274A2">
      <w:pPr>
        <w:widowControl w:val="0"/>
        <w:pBdr>
          <w:top w:val="nil"/>
          <w:left w:val="nil"/>
          <w:bottom w:val="nil"/>
          <w:right w:val="nil"/>
          <w:between w:val="nil"/>
        </w:pBdr>
        <w:spacing w:line="276" w:lineRule="auto"/>
        <w:rPr>
          <w:rFonts w:ascii="Palatino Linotype" w:hAnsi="Palatino Linotype"/>
        </w:rPr>
      </w:pPr>
    </w:p>
    <w:p w:rsidR="008274A2" w:rsidRPr="00ED12D0" w:rsidRDefault="008274A2" w:rsidP="008274A2">
      <w:pPr>
        <w:spacing w:line="360" w:lineRule="auto"/>
        <w:jc w:val="both"/>
        <w:rPr>
          <w:rFonts w:ascii="Palatino Linotype" w:eastAsia="Palatino Linotype" w:hAnsi="Palatino Linotype" w:cs="Palatino Linotype"/>
        </w:rPr>
      </w:pPr>
      <w:r w:rsidRPr="00ED12D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de marzo de dos mil veinticinco.</w:t>
      </w:r>
    </w:p>
    <w:p w:rsidR="008274A2" w:rsidRPr="00ED12D0" w:rsidRDefault="008274A2" w:rsidP="008274A2">
      <w:pPr>
        <w:spacing w:line="360" w:lineRule="auto"/>
        <w:jc w:val="both"/>
        <w:rPr>
          <w:rFonts w:ascii="Palatino Linotype" w:eastAsia="Palatino Linotype" w:hAnsi="Palatino Linotype" w:cs="Palatino Linotype"/>
        </w:rPr>
      </w:pPr>
    </w:p>
    <w:p w:rsidR="008274A2" w:rsidRPr="00ED12D0" w:rsidRDefault="008274A2" w:rsidP="008274A2">
      <w:pPr>
        <w:spacing w:line="360" w:lineRule="auto"/>
        <w:jc w:val="both"/>
        <w:rPr>
          <w:rFonts w:ascii="Palatino Linotype" w:eastAsia="Palatino Linotype" w:hAnsi="Palatino Linotype" w:cs="Palatino Linotype"/>
        </w:rPr>
      </w:pPr>
      <w:r w:rsidRPr="00ED12D0">
        <w:rPr>
          <w:rFonts w:ascii="Palatino Linotype" w:eastAsia="Palatino Linotype" w:hAnsi="Palatino Linotype" w:cs="Palatino Linotype"/>
          <w:b/>
        </w:rPr>
        <w:t>VISTO</w:t>
      </w:r>
      <w:r w:rsidRPr="00ED12D0">
        <w:rPr>
          <w:rFonts w:ascii="Palatino Linotype" w:eastAsia="Palatino Linotype" w:hAnsi="Palatino Linotype" w:cs="Palatino Linotype"/>
        </w:rPr>
        <w:t xml:space="preserve"> el expediente electrónico formado con motivo del recurso de revisión </w:t>
      </w:r>
      <w:r w:rsidRPr="00ED12D0">
        <w:rPr>
          <w:rFonts w:ascii="Palatino Linotype" w:eastAsia="Palatino Linotype" w:hAnsi="Palatino Linotype" w:cs="Palatino Linotype"/>
          <w:b/>
        </w:rPr>
        <w:t xml:space="preserve">07143/INFOEM/IP/RR/2024, </w:t>
      </w:r>
      <w:r w:rsidRPr="00ED12D0">
        <w:rPr>
          <w:rFonts w:ascii="Palatino Linotype" w:eastAsia="Palatino Linotype" w:hAnsi="Palatino Linotype" w:cs="Palatino Linotype"/>
        </w:rPr>
        <w:t xml:space="preserve">promovido por </w:t>
      </w:r>
      <w:r w:rsidR="000C1B08">
        <w:rPr>
          <w:rFonts w:ascii="Palatino Linotype" w:eastAsia="Palatino Linotype" w:hAnsi="Palatino Linotype" w:cs="Palatino Linotype"/>
          <w:b/>
          <w:bCs/>
        </w:rPr>
        <w:t>XXXX</w:t>
      </w:r>
      <w:r w:rsidRPr="00ED12D0">
        <w:rPr>
          <w:rFonts w:ascii="Palatino Linotype" w:eastAsia="Palatino Linotype" w:hAnsi="Palatino Linotype" w:cs="Palatino Linotype"/>
          <w:b/>
        </w:rPr>
        <w:t>,</w:t>
      </w:r>
      <w:r w:rsidRPr="00ED12D0">
        <w:rPr>
          <w:rFonts w:ascii="Palatino Linotype" w:eastAsia="Palatino Linotype" w:hAnsi="Palatino Linotype" w:cs="Palatino Linotype"/>
        </w:rPr>
        <w:t xml:space="preserve"> a quien en lo sucesivo se identificará como </w:t>
      </w:r>
      <w:r w:rsidRPr="00ED12D0">
        <w:rPr>
          <w:rFonts w:ascii="Palatino Linotype" w:eastAsia="Palatino Linotype" w:hAnsi="Palatino Linotype" w:cs="Palatino Linotype"/>
          <w:b/>
        </w:rPr>
        <w:t>EL RECURRENTE</w:t>
      </w:r>
      <w:r w:rsidRPr="00ED12D0">
        <w:rPr>
          <w:rFonts w:ascii="Palatino Linotype" w:eastAsia="Palatino Linotype" w:hAnsi="Palatino Linotype" w:cs="Palatino Linotype"/>
        </w:rPr>
        <w:t xml:space="preserve">, en contra de la respuesta del </w:t>
      </w:r>
      <w:r w:rsidRPr="00ED12D0">
        <w:rPr>
          <w:rFonts w:ascii="Palatino Linotype" w:eastAsia="Palatino Linotype" w:hAnsi="Palatino Linotype" w:cs="Palatino Linotype"/>
          <w:b/>
        </w:rPr>
        <w:t xml:space="preserve">Poder Legislativo, </w:t>
      </w:r>
      <w:r w:rsidRPr="00ED12D0">
        <w:rPr>
          <w:rFonts w:ascii="Palatino Linotype" w:eastAsia="Palatino Linotype" w:hAnsi="Palatino Linotype" w:cs="Palatino Linotype"/>
        </w:rPr>
        <w:t>en adelante el</w:t>
      </w:r>
      <w:r w:rsidRPr="00ED12D0">
        <w:rPr>
          <w:rFonts w:ascii="Palatino Linotype" w:eastAsia="Palatino Linotype" w:hAnsi="Palatino Linotype" w:cs="Palatino Linotype"/>
          <w:b/>
        </w:rPr>
        <w:t xml:space="preserve"> SUJETO OBLIGADO</w:t>
      </w:r>
      <w:r w:rsidRPr="00ED12D0">
        <w:rPr>
          <w:rFonts w:ascii="Palatino Linotype" w:eastAsia="Palatino Linotype" w:hAnsi="Palatino Linotype" w:cs="Palatino Linotype"/>
        </w:rPr>
        <w:t xml:space="preserve">, por lo que se procede a dictar la presente resolución, con base en los siguientes: </w:t>
      </w:r>
      <w:bookmarkStart w:id="0" w:name="_GoBack"/>
      <w:bookmarkEnd w:id="0"/>
    </w:p>
    <w:p w:rsidR="008274A2" w:rsidRPr="00ED12D0" w:rsidRDefault="008274A2" w:rsidP="008274A2">
      <w:pPr>
        <w:spacing w:line="360" w:lineRule="auto"/>
        <w:jc w:val="both"/>
        <w:rPr>
          <w:rFonts w:ascii="Palatino Linotype" w:eastAsia="Palatino Linotype" w:hAnsi="Palatino Linotype" w:cs="Palatino Linotype"/>
          <w:b/>
        </w:rPr>
      </w:pPr>
    </w:p>
    <w:p w:rsidR="008274A2" w:rsidRPr="00ED12D0" w:rsidRDefault="008274A2" w:rsidP="008274A2">
      <w:pPr>
        <w:keepNext/>
        <w:keepLines/>
        <w:spacing w:line="360" w:lineRule="auto"/>
        <w:jc w:val="center"/>
        <w:rPr>
          <w:rFonts w:ascii="Palatino Linotype" w:eastAsia="Palatino Linotype" w:hAnsi="Palatino Linotype" w:cs="Palatino Linotype"/>
          <w:b/>
        </w:rPr>
      </w:pPr>
      <w:bookmarkStart w:id="1" w:name="_heading=h.gjdgxs" w:colFirst="0" w:colLast="0"/>
      <w:bookmarkEnd w:id="1"/>
      <w:r w:rsidRPr="00ED12D0">
        <w:rPr>
          <w:rFonts w:ascii="Palatino Linotype" w:eastAsia="Palatino Linotype" w:hAnsi="Palatino Linotype" w:cs="Palatino Linotype"/>
          <w:b/>
        </w:rPr>
        <w:t>A N T E C E D E N T E S</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w:t>
      </w:r>
      <w:r w:rsidRPr="00ED12D0">
        <w:rPr>
          <w:rFonts w:ascii="Palatino Linotype" w:eastAsia="Palatino Linotype" w:hAnsi="Palatino Linotype" w:cs="Palatino Linotype"/>
          <w:b/>
          <w:color w:val="000000"/>
        </w:rPr>
        <w:t>veintitrés de octubre de dos mil veinticuatro</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b/>
          <w:color w:val="000000"/>
        </w:rPr>
        <w:t>EL RECURRENTE,</w:t>
      </w:r>
      <w:r w:rsidRPr="00ED12D0">
        <w:rPr>
          <w:rFonts w:ascii="Palatino Linotype" w:eastAsia="Palatino Linotype" w:hAnsi="Palatino Linotype" w:cs="Palatino Linotype"/>
          <w:color w:val="000000"/>
        </w:rPr>
        <w:t xml:space="preserve"> ante el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 xml:space="preserve"> a través del Sistema de Acceso a la Información Mexiquense (SAIMEX), vinculada al Sistema de Acceso a la Información Mexiquense (SAIMEX), presentó una solicitud de información registrada con el número </w:t>
      </w:r>
      <w:r w:rsidRPr="00ED12D0">
        <w:rPr>
          <w:rFonts w:ascii="Palatino Linotype" w:eastAsia="Palatino Linotype" w:hAnsi="Palatino Linotype" w:cs="Palatino Linotype"/>
          <w:b/>
          <w:bCs/>
          <w:color w:val="000000"/>
        </w:rPr>
        <w:t>00500/PLEGISLA/IP/2024</w:t>
      </w:r>
      <w:r w:rsidRPr="00ED12D0">
        <w:rPr>
          <w:rFonts w:ascii="Palatino Linotype" w:eastAsia="Palatino Linotype" w:hAnsi="Palatino Linotype" w:cs="Palatino Linotype"/>
          <w:b/>
          <w:color w:val="000000"/>
        </w:rPr>
        <w:t xml:space="preserve">, </w:t>
      </w:r>
      <w:r w:rsidRPr="00ED12D0">
        <w:rPr>
          <w:rFonts w:ascii="Palatino Linotype" w:eastAsia="Palatino Linotype" w:hAnsi="Palatino Linotype" w:cs="Palatino Linotype"/>
        </w:rPr>
        <w:t>en la que se</w:t>
      </w:r>
      <w:r w:rsidRPr="00ED12D0">
        <w:rPr>
          <w:rFonts w:ascii="Palatino Linotype" w:eastAsia="Palatino Linotype" w:hAnsi="Palatino Linotype" w:cs="Palatino Linotype"/>
          <w:color w:val="000000"/>
        </w:rPr>
        <w:t xml:space="preserve"> solicitó lo siguiente:</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pBdr>
          <w:top w:val="nil"/>
          <w:left w:val="nil"/>
          <w:bottom w:val="nil"/>
          <w:right w:val="nil"/>
          <w:between w:val="nil"/>
        </w:pBdr>
        <w:spacing w:line="360" w:lineRule="auto"/>
        <w:ind w:left="720" w:right="822"/>
        <w:jc w:val="both"/>
        <w:rPr>
          <w:rFonts w:ascii="Palatino Linotype" w:eastAsia="Palatino Linotype" w:hAnsi="Palatino Linotype" w:cs="Palatino Linotype"/>
          <w:i/>
          <w:color w:val="000000"/>
        </w:rPr>
      </w:pPr>
      <w:r w:rsidRPr="00ED12D0">
        <w:rPr>
          <w:rFonts w:ascii="Palatino Linotype" w:eastAsia="Palatino Linotype" w:hAnsi="Palatino Linotype" w:cs="Palatino Linotype"/>
          <w:i/>
          <w:color w:val="000000"/>
        </w:rPr>
        <w:t xml:space="preserve">“AL ORGANO SUPERIOR DE FISCALIZACIÓN DEL ESTADO DE MÉXICO. El pasado 10 de junio de 2024, este Órgano Técnico de la Legislatura derogó los Lineamientos para el Registro y Control del Inventario y la Conciliación y Desincorporación de Bienes Muebles e Inmuebles para las Entidades Fiscalizables Municipales del Estado de México. En su exposición </w:t>
      </w:r>
      <w:r w:rsidRPr="00ED12D0">
        <w:rPr>
          <w:rFonts w:ascii="Palatino Linotype" w:eastAsia="Palatino Linotype" w:hAnsi="Palatino Linotype" w:cs="Palatino Linotype"/>
          <w:i/>
          <w:color w:val="000000"/>
        </w:rPr>
        <w:lastRenderedPageBreak/>
        <w:t xml:space="preserve">de motivos, señaló que una de las razones era: “...dicha normatividad ya establece las disposiciones para el registro y control del inventario de bienes muebles e inmuebles, por lo que los lineamientos responden a una realidad diferente al contexto actual.” Sin embargo, El Manual Único de Contabilidad vigente establece, en su numeral 6, denominado Políticas de Registro, en el inciso 7, titulado Cancelación de Cuentas, lo siguiente: "El objetivo de esta política es dar a conocer a las Dependencias, Organismos Auxiliares y Fideicomisos Públicos, Órganos Autónomos, Municipios y sus Organismos Descentralizados y a los Poderes Legislativo y Judicial, la normatividad para el registro contable y presupuestal de los activos fijos, así como su depreciación, venta y baja." Asimismo, señala que: "Tratándose de las adquisiciones de Bienes muebles, cuyo costo total unitario de adquisición sea igual o superior a 70 veces el valor diario de la UMA, deberán registrarse contablemente como un aumento en el activo no circulante, y la unidad ejecutora del gasto que los adquiera deberá informar al área de control patrimonial para que los bienes sean incluidos en el sistema de control patrimonial, a fin de que el saldo de la cuenta de Bienes muebles corresponda al monto total del sistema de control patrimonial, incluyendo aquellos bienes adquiridos a través de fideicomisos. Dichos montos deberán ser conciliados semestralmente." Por otro lado, respecto al sistema CREG-patrimonial, el manual establece que: "El CREG-patrimonial es un sistema automatizado que integra y controla la información de las cuentas de Bienes muebles e inmuebles de las entidades fiscalizables, permitiendo la consolidación del expediente de cada bien, proporcionando información de manera ágil y oportuna para su consulta y fiscalización, a </w:t>
      </w:r>
      <w:r w:rsidRPr="00ED12D0">
        <w:rPr>
          <w:rFonts w:ascii="Palatino Linotype" w:eastAsia="Palatino Linotype" w:hAnsi="Palatino Linotype" w:cs="Palatino Linotype"/>
          <w:i/>
          <w:color w:val="000000"/>
        </w:rPr>
        <w:lastRenderedPageBreak/>
        <w:t xml:space="preserve">través de la emisión de los listados de inventarios en los diferentes reportes utilizados." "Las entidades fiscalizables podrán utilizar el CREG-patrimonial como una herramienta informática que les permita el control de sus Bienes muebles e inmuebles." En este contexto, y en relacion con el ejercicio 2024, para la revisión del último trimestre del año, se solicita la siguiente información: 1. ¿Qué norma emplea este Órgano Fiscalizador para revisar el proceso de conciliación físico-contable? Solicito se me proporcione de manera dgital por este medio. 2. ¿Qué norma emplea este Órgano Fiscalizador para revisar de manera objetiva las cuentas de activo fijo y el inventario general de bienes muebles e inmuebles, en lo que toca a su control, baja, registro contable y manejo administrativo, como la asignación de número de inventario? Solicito se me proporcione de manera dgital por este medio. 3. ¿Es obligatorio el uso del sistema CREG-PATRIMONIAL, institucionalizado por el OSFEM para los municipios? ¿Sobre qué norma se basa dicha obligatoriedad? Solicito se me proporcionen de manera dgital por este medio.” (Sic) </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Se señaló como modalidad de entrega a través de SAIMEX.</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w:t>
      </w:r>
      <w:r w:rsidRPr="00ED12D0">
        <w:rPr>
          <w:rFonts w:ascii="Palatino Linotype" w:eastAsia="Palatino Linotype" w:hAnsi="Palatino Linotype" w:cs="Palatino Linotype"/>
          <w:b/>
          <w:color w:val="000000"/>
        </w:rPr>
        <w:t xml:space="preserve">veintitrés de octubre de dos mil veinticuatro, </w:t>
      </w:r>
      <w:r w:rsidRPr="00ED12D0">
        <w:rPr>
          <w:rFonts w:ascii="Palatino Linotype" w:eastAsia="Palatino Linotype" w:hAnsi="Palatino Linotype" w:cs="Palatino Linotype"/>
          <w:color w:val="000000"/>
        </w:rPr>
        <w:t>se realizó un requerimiento de información.</w:t>
      </w:r>
      <w:r w:rsidRPr="00ED12D0">
        <w:rPr>
          <w:rFonts w:ascii="Palatino Linotype" w:eastAsia="Palatino Linotype" w:hAnsi="Palatino Linotype" w:cs="Palatino Linotype"/>
          <w:b/>
          <w:color w:val="000000"/>
        </w:rPr>
        <w:t xml:space="preserve"> </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w:t>
      </w:r>
      <w:r w:rsidRPr="00ED12D0">
        <w:rPr>
          <w:rFonts w:ascii="Palatino Linotype" w:eastAsia="Palatino Linotype" w:hAnsi="Palatino Linotype" w:cs="Palatino Linotype"/>
          <w:b/>
          <w:color w:val="000000"/>
        </w:rPr>
        <w:t>once de noviembre de dos mil veinticuatro</w:t>
      </w:r>
      <w:r w:rsidRPr="00ED12D0">
        <w:rPr>
          <w:rFonts w:ascii="Palatino Linotype" w:eastAsia="Palatino Linotype" w:hAnsi="Palatino Linotype" w:cs="Palatino Linotype"/>
          <w:color w:val="000000"/>
        </w:rPr>
        <w:t>, el Sujeto Obligado dio respuesta a la solicitud de información en los siguientes términos:</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tbl>
      <w:tblPr>
        <w:tblW w:w="7337" w:type="dxa"/>
        <w:jc w:val="center"/>
        <w:tblCellSpacing w:w="0" w:type="dxa"/>
        <w:tblCellMar>
          <w:left w:w="0" w:type="dxa"/>
          <w:right w:w="0" w:type="dxa"/>
        </w:tblCellMar>
        <w:tblLook w:val="04A0" w:firstRow="1" w:lastRow="0" w:firstColumn="1" w:lastColumn="0" w:noHBand="0" w:noVBand="1"/>
      </w:tblPr>
      <w:tblGrid>
        <w:gridCol w:w="7337"/>
      </w:tblGrid>
      <w:tr w:rsidR="008274A2" w:rsidRPr="00ED12D0" w:rsidTr="008274A2">
        <w:trPr>
          <w:trHeight w:val="313"/>
          <w:tblCellSpacing w:w="0" w:type="dxa"/>
          <w:jc w:val="center"/>
        </w:trPr>
        <w:tc>
          <w:tcPr>
            <w:tcW w:w="0" w:type="auto"/>
            <w:vAlign w:val="center"/>
            <w:hideMark/>
          </w:tcPr>
          <w:p w:rsidR="008274A2" w:rsidRPr="00ED12D0" w:rsidRDefault="008274A2" w:rsidP="008274A2">
            <w:pPr>
              <w:jc w:val="right"/>
              <w:rPr>
                <w:rFonts w:ascii="Palatino Linotype" w:hAnsi="Palatino Linotype"/>
                <w:i/>
              </w:rPr>
            </w:pPr>
            <w:r w:rsidRPr="00ED12D0">
              <w:rPr>
                <w:rFonts w:ascii="Palatino Linotype" w:hAnsi="Palatino Linotype"/>
                <w:i/>
              </w:rPr>
              <w:lastRenderedPageBreak/>
              <w:t>“Metepec, México a 11 de Noviembre de 2024</w:t>
            </w:r>
          </w:p>
        </w:tc>
      </w:tr>
      <w:tr w:rsidR="008274A2" w:rsidRPr="00ED12D0" w:rsidTr="008274A2">
        <w:trPr>
          <w:trHeight w:val="313"/>
          <w:tblCellSpacing w:w="0" w:type="dxa"/>
          <w:jc w:val="center"/>
        </w:trPr>
        <w:tc>
          <w:tcPr>
            <w:tcW w:w="0" w:type="auto"/>
            <w:vAlign w:val="center"/>
            <w:hideMark/>
          </w:tcPr>
          <w:p w:rsidR="008274A2" w:rsidRPr="00ED12D0" w:rsidRDefault="008274A2" w:rsidP="008274A2">
            <w:pPr>
              <w:jc w:val="right"/>
              <w:rPr>
                <w:rFonts w:ascii="Palatino Linotype" w:hAnsi="Palatino Linotype"/>
                <w:i/>
              </w:rPr>
            </w:pPr>
            <w:r w:rsidRPr="00ED12D0">
              <w:rPr>
                <w:rFonts w:ascii="Palatino Linotype" w:hAnsi="Palatino Linotype"/>
                <w:i/>
              </w:rPr>
              <w:t>Nombre del solicitante: C. Solicitante</w:t>
            </w:r>
          </w:p>
        </w:tc>
      </w:tr>
      <w:tr w:rsidR="008274A2" w:rsidRPr="00ED12D0" w:rsidTr="008274A2">
        <w:trPr>
          <w:trHeight w:val="313"/>
          <w:tblCellSpacing w:w="0" w:type="dxa"/>
          <w:jc w:val="center"/>
        </w:trPr>
        <w:tc>
          <w:tcPr>
            <w:tcW w:w="0" w:type="auto"/>
            <w:vAlign w:val="center"/>
            <w:hideMark/>
          </w:tcPr>
          <w:p w:rsidR="008274A2" w:rsidRPr="00ED12D0" w:rsidRDefault="008274A2" w:rsidP="008274A2">
            <w:pPr>
              <w:jc w:val="right"/>
              <w:rPr>
                <w:rFonts w:ascii="Palatino Linotype" w:hAnsi="Palatino Linotype"/>
                <w:i/>
              </w:rPr>
            </w:pPr>
            <w:r w:rsidRPr="00ED12D0">
              <w:rPr>
                <w:rFonts w:ascii="Palatino Linotype" w:hAnsi="Palatino Linotype"/>
                <w:i/>
              </w:rPr>
              <w:t>Folio de la solicitud: 00500/PLEGISLA/IP/2024</w:t>
            </w:r>
          </w:p>
        </w:tc>
      </w:tr>
      <w:tr w:rsidR="008274A2" w:rsidRPr="00ED12D0" w:rsidTr="008274A2">
        <w:trPr>
          <w:trHeight w:val="469"/>
          <w:tblCellSpacing w:w="0" w:type="dxa"/>
          <w:jc w:val="center"/>
        </w:trPr>
        <w:tc>
          <w:tcPr>
            <w:tcW w:w="0" w:type="auto"/>
            <w:vAlign w:val="center"/>
            <w:hideMark/>
          </w:tcPr>
          <w:p w:rsidR="008274A2" w:rsidRPr="00ED12D0" w:rsidRDefault="008274A2" w:rsidP="008274A2">
            <w:pPr>
              <w:jc w:val="right"/>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rPr>
                <w:rFonts w:ascii="Palatino Linotype" w:hAnsi="Palatino Linotype"/>
                <w:i/>
              </w:rPr>
            </w:pPr>
            <w:r w:rsidRPr="00ED12D0">
              <w:rPr>
                <w:rFonts w:ascii="Palatino Linotype" w:hAnsi="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274A2" w:rsidRPr="00ED12D0" w:rsidTr="008274A2">
        <w:trPr>
          <w:trHeight w:val="391"/>
          <w:tblCellSpacing w:w="0" w:type="dxa"/>
          <w:jc w:val="center"/>
        </w:trPr>
        <w:tc>
          <w:tcPr>
            <w:tcW w:w="0" w:type="auto"/>
            <w:vAlign w:val="center"/>
            <w:hideMark/>
          </w:tcPr>
          <w:p w:rsidR="008274A2" w:rsidRPr="00ED12D0" w:rsidRDefault="008274A2" w:rsidP="008274A2">
            <w:pPr>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rPr>
                <w:rFonts w:ascii="Palatino Linotype" w:hAnsi="Palatino Linotype"/>
                <w:i/>
              </w:rPr>
            </w:pPr>
            <w:r w:rsidRPr="00ED12D0">
              <w:rPr>
                <w:rFonts w:ascii="Palatino Linotype" w:hAnsi="Palatino Linotype"/>
                <w:i/>
              </w:rPr>
              <w:t>Se anexa oficio de respuesta.</w:t>
            </w:r>
          </w:p>
        </w:tc>
      </w:tr>
      <w:tr w:rsidR="008274A2" w:rsidRPr="00ED12D0" w:rsidTr="008274A2">
        <w:trPr>
          <w:trHeight w:val="391"/>
          <w:tblCellSpacing w:w="0" w:type="dxa"/>
          <w:jc w:val="center"/>
        </w:trPr>
        <w:tc>
          <w:tcPr>
            <w:tcW w:w="0" w:type="auto"/>
            <w:vAlign w:val="center"/>
            <w:hideMark/>
          </w:tcPr>
          <w:p w:rsidR="008274A2" w:rsidRPr="00ED12D0" w:rsidRDefault="008274A2" w:rsidP="008274A2">
            <w:pPr>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jc w:val="center"/>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rPr>
                <w:rFonts w:ascii="Palatino Linotype" w:hAnsi="Palatino Linotype"/>
                <w:i/>
              </w:rPr>
            </w:pPr>
            <w:r w:rsidRPr="00ED12D0">
              <w:rPr>
                <w:rFonts w:ascii="Palatino Linotype" w:hAnsi="Palatino Linotype"/>
                <w:i/>
              </w:rPr>
              <w:t>ATENTAMENTE</w:t>
            </w:r>
          </w:p>
        </w:tc>
      </w:tr>
      <w:tr w:rsidR="008274A2" w:rsidRPr="00ED12D0" w:rsidTr="008274A2">
        <w:trPr>
          <w:trHeight w:val="234"/>
          <w:tblCellSpacing w:w="0" w:type="dxa"/>
          <w:jc w:val="center"/>
        </w:trPr>
        <w:tc>
          <w:tcPr>
            <w:tcW w:w="0" w:type="auto"/>
            <w:vAlign w:val="center"/>
            <w:hideMark/>
          </w:tcPr>
          <w:p w:rsidR="008274A2" w:rsidRPr="00ED12D0" w:rsidRDefault="008274A2" w:rsidP="008274A2">
            <w:pPr>
              <w:rPr>
                <w:rFonts w:ascii="Palatino Linotype" w:hAnsi="Palatino Linotype"/>
                <w:i/>
              </w:rPr>
            </w:pPr>
          </w:p>
        </w:tc>
      </w:tr>
      <w:tr w:rsidR="008274A2" w:rsidRPr="00ED12D0" w:rsidTr="008274A2">
        <w:trPr>
          <w:trHeight w:val="156"/>
          <w:tblCellSpacing w:w="0" w:type="dxa"/>
          <w:jc w:val="center"/>
        </w:trPr>
        <w:tc>
          <w:tcPr>
            <w:tcW w:w="0" w:type="auto"/>
            <w:vAlign w:val="center"/>
            <w:hideMark/>
          </w:tcPr>
          <w:p w:rsidR="008274A2" w:rsidRPr="00ED12D0" w:rsidRDefault="008274A2" w:rsidP="008274A2">
            <w:pPr>
              <w:rPr>
                <w:rFonts w:ascii="Palatino Linotype" w:hAnsi="Palatino Linotype"/>
                <w:i/>
              </w:rPr>
            </w:pPr>
            <w:r w:rsidRPr="00ED12D0">
              <w:rPr>
                <w:rFonts w:ascii="Palatino Linotype" w:hAnsi="Palatino Linotype"/>
                <w:i/>
              </w:rPr>
              <w:t>Jesús Felipe Borja Coronel”</w:t>
            </w:r>
          </w:p>
        </w:tc>
      </w:tr>
    </w:tbl>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spacing w:line="360" w:lineRule="auto"/>
        <w:jc w:val="both"/>
        <w:rPr>
          <w:rFonts w:ascii="Palatino Linotype" w:eastAsia="Palatino Linotype" w:hAnsi="Palatino Linotype" w:cs="Palatino Linotype"/>
        </w:rPr>
      </w:pPr>
    </w:p>
    <w:p w:rsidR="008274A2" w:rsidRPr="00ED12D0" w:rsidRDefault="008274A2" w:rsidP="008274A2">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A la respuesta se adjuntaron los archivos que se describen enseguida:</w:t>
      </w: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8274A2" w:rsidRPr="00ED12D0" w:rsidRDefault="00840CBF" w:rsidP="00221052">
      <w:pPr>
        <w:pStyle w:val="Prrafodelista"/>
        <w:numPr>
          <w:ilvl w:val="0"/>
          <w:numId w:val="8"/>
        </w:numPr>
        <w:pBdr>
          <w:top w:val="nil"/>
          <w:left w:val="nil"/>
          <w:bottom w:val="nil"/>
          <w:right w:val="nil"/>
          <w:between w:val="nil"/>
        </w:pBdr>
        <w:spacing w:line="360" w:lineRule="auto"/>
        <w:ind w:right="822"/>
        <w:jc w:val="both"/>
        <w:rPr>
          <w:rFonts w:ascii="Palatino Linotype" w:eastAsia="Palatino Linotype" w:hAnsi="Palatino Linotype" w:cs="Palatino Linotype"/>
        </w:rPr>
      </w:pPr>
      <w:hyperlink r:id="rId7" w:tgtFrame="_blank" w:history="1">
        <w:r w:rsidR="008274A2" w:rsidRPr="00ED12D0">
          <w:rPr>
            <w:rStyle w:val="Hipervnculo"/>
            <w:rFonts w:ascii="Palatino Linotype" w:eastAsiaTheme="majorEastAsia" w:hAnsi="Palatino Linotype" w:cs="Arial"/>
            <w:b/>
            <w:bCs/>
            <w:color w:val="auto"/>
          </w:rPr>
          <w:t>Respuesta 0500-24.pdf</w:t>
        </w:r>
      </w:hyperlink>
      <w:r w:rsidR="008274A2" w:rsidRPr="00ED12D0">
        <w:rPr>
          <w:rFonts w:ascii="Palatino Linotype" w:hAnsi="Palatino Linotype"/>
        </w:rPr>
        <w:t>:</w:t>
      </w:r>
      <w:r w:rsidR="00221052" w:rsidRPr="00ED12D0">
        <w:rPr>
          <w:rFonts w:ascii="Palatino Linotype" w:hAnsi="Palatino Linotype"/>
        </w:rPr>
        <w:t xml:space="preserve"> oficio número OSFEM/UAJ/DJC/SPH/271/2024 de fecha ocho de noviembre de dos mil veinticuatro, suscrito por el Servidor Público Habilitado, en el que señaló, que los requerimientos del particular no actualizan el ejercicio de acceso a la información pública, toda vez que se pretende un pronunciamiento de manera afirmativa o negativa, o bien se emita un pronunciamiento categórico mediante el cual explique determinada situación, a fin de satisfacer su interrogante o inquietud. </w:t>
      </w:r>
    </w:p>
    <w:p w:rsidR="008274A2" w:rsidRPr="00ED12D0" w:rsidRDefault="008274A2" w:rsidP="00221052">
      <w:pPr>
        <w:pStyle w:val="Prrafodelista"/>
        <w:pBdr>
          <w:top w:val="nil"/>
          <w:left w:val="nil"/>
          <w:bottom w:val="nil"/>
          <w:right w:val="nil"/>
          <w:between w:val="nil"/>
        </w:pBdr>
        <w:spacing w:line="360" w:lineRule="auto"/>
        <w:ind w:left="1440" w:right="822"/>
        <w:jc w:val="both"/>
        <w:rPr>
          <w:rFonts w:ascii="Palatino Linotype" w:eastAsia="Palatino Linotype" w:hAnsi="Palatino Linotype" w:cs="Palatino Linotype"/>
        </w:rPr>
      </w:pPr>
    </w:p>
    <w:p w:rsidR="008274A2" w:rsidRPr="00ED12D0" w:rsidRDefault="00840CBF" w:rsidP="00221052">
      <w:pPr>
        <w:pStyle w:val="Prrafodelista"/>
        <w:numPr>
          <w:ilvl w:val="0"/>
          <w:numId w:val="8"/>
        </w:numPr>
        <w:pBdr>
          <w:top w:val="nil"/>
          <w:left w:val="nil"/>
          <w:bottom w:val="nil"/>
          <w:right w:val="nil"/>
          <w:between w:val="nil"/>
        </w:pBdr>
        <w:spacing w:line="360" w:lineRule="auto"/>
        <w:ind w:right="822"/>
        <w:jc w:val="both"/>
        <w:rPr>
          <w:rFonts w:ascii="Palatino Linotype" w:eastAsia="Palatino Linotype" w:hAnsi="Palatino Linotype" w:cs="Palatino Linotype"/>
        </w:rPr>
      </w:pPr>
      <w:hyperlink r:id="rId8" w:tgtFrame="_blank" w:history="1">
        <w:r w:rsidR="008274A2" w:rsidRPr="00ED12D0">
          <w:rPr>
            <w:rStyle w:val="Hipervnculo"/>
            <w:rFonts w:ascii="Palatino Linotype" w:eastAsiaTheme="majorEastAsia" w:hAnsi="Palatino Linotype" w:cs="Arial"/>
            <w:b/>
            <w:bCs/>
            <w:color w:val="auto"/>
          </w:rPr>
          <w:t>Respuesta 500-OSFEM.pdf</w:t>
        </w:r>
      </w:hyperlink>
      <w:r w:rsidR="008274A2" w:rsidRPr="00ED12D0">
        <w:rPr>
          <w:rFonts w:ascii="Palatino Linotype" w:hAnsi="Palatino Linotype"/>
        </w:rPr>
        <w:t xml:space="preserve">: </w:t>
      </w:r>
      <w:r w:rsidR="00221052" w:rsidRPr="00ED12D0">
        <w:rPr>
          <w:rFonts w:ascii="Palatino Linotype" w:hAnsi="Palatino Linotype"/>
        </w:rPr>
        <w:t xml:space="preserve">oficio número 00500/PGISLA/IP/2024 de fecha once de noviembre de dos mil veinticuatro, suscrito por el Titular de la Unidad en el que señaló que se proporciona la respuesta del servidor público habilitado. </w:t>
      </w: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w:t>
      </w:r>
      <w:r w:rsidR="00627EF0" w:rsidRPr="00ED12D0">
        <w:rPr>
          <w:rFonts w:ascii="Palatino Linotype" w:eastAsia="Palatino Linotype" w:hAnsi="Palatino Linotype" w:cs="Palatino Linotype"/>
          <w:b/>
          <w:color w:val="000000"/>
        </w:rPr>
        <w:t>once de noviembre</w:t>
      </w:r>
      <w:r w:rsidRPr="00ED12D0">
        <w:rPr>
          <w:rFonts w:ascii="Palatino Linotype" w:eastAsia="Palatino Linotype" w:hAnsi="Palatino Linotype" w:cs="Palatino Linotype"/>
          <w:b/>
          <w:color w:val="000000"/>
        </w:rPr>
        <w:t xml:space="preserve"> de dos mil veinticuatro</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b/>
          <w:color w:val="000000"/>
        </w:rPr>
        <w:t>EL RECURRENTE</w:t>
      </w:r>
      <w:r w:rsidRPr="00ED12D0">
        <w:rPr>
          <w:rFonts w:ascii="Palatino Linotype" w:eastAsia="Palatino Linotype" w:hAnsi="Palatino Linotype" w:cs="Palatino Linotype"/>
          <w:color w:val="000000"/>
        </w:rPr>
        <w:t xml:space="preserve"> interpuso el recurso de revisión, en contra de la respuesta, señalando como:</w:t>
      </w:r>
    </w:p>
    <w:p w:rsidR="00627EF0" w:rsidRPr="00ED12D0" w:rsidRDefault="00627EF0" w:rsidP="00627EF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627EF0">
      <w:pPr>
        <w:numPr>
          <w:ilvl w:val="0"/>
          <w:numId w:val="1"/>
        </w:numPr>
        <w:spacing w:line="360" w:lineRule="auto"/>
        <w:ind w:right="822"/>
        <w:jc w:val="both"/>
        <w:rPr>
          <w:rFonts w:ascii="Palatino Linotype" w:hAnsi="Palatino Linotype"/>
        </w:rPr>
      </w:pPr>
      <w:r w:rsidRPr="00ED12D0">
        <w:rPr>
          <w:rFonts w:ascii="Palatino Linotype" w:eastAsia="Palatino Linotype" w:hAnsi="Palatino Linotype" w:cs="Palatino Linotype"/>
          <w:b/>
        </w:rPr>
        <w:t>Acto impugnado</w:t>
      </w:r>
      <w:r w:rsidRPr="00ED12D0">
        <w:rPr>
          <w:rFonts w:ascii="Palatino Linotype" w:eastAsia="Palatino Linotype" w:hAnsi="Palatino Linotype" w:cs="Palatino Linotype"/>
          <w:b/>
          <w:i/>
        </w:rPr>
        <w:t>:</w:t>
      </w:r>
      <w:r w:rsidRPr="00ED12D0">
        <w:rPr>
          <w:rFonts w:ascii="Palatino Linotype" w:eastAsia="Palatino Linotype" w:hAnsi="Palatino Linotype" w:cs="Palatino Linotype"/>
          <w:i/>
          <w:color w:val="000000"/>
        </w:rPr>
        <w:t xml:space="preserve"> "</w:t>
      </w:r>
      <w:r w:rsidR="00627EF0" w:rsidRPr="00ED12D0">
        <w:rPr>
          <w:rFonts w:ascii="Palatino Linotype" w:eastAsia="Palatino Linotype" w:hAnsi="Palatino Linotype" w:cs="Palatino Linotype"/>
          <w:i/>
          <w:color w:val="000000"/>
        </w:rPr>
        <w:t>LA RESPUSTA DEL SUJETO OBLIGADO, Y LA OMISIÓN DE ESTUDIAR LA INEXISTENCIA DE LA INFORMACIÓN QUE SOLICITÉ</w:t>
      </w:r>
      <w:r w:rsidRPr="00ED12D0">
        <w:rPr>
          <w:rFonts w:ascii="Palatino Linotype" w:eastAsia="Palatino Linotype" w:hAnsi="Palatino Linotype" w:cs="Palatino Linotype"/>
          <w:i/>
          <w:color w:val="000000"/>
        </w:rPr>
        <w:t>" (Sic)</w:t>
      </w:r>
    </w:p>
    <w:p w:rsidR="00627EF0" w:rsidRPr="00ED12D0" w:rsidRDefault="00627EF0" w:rsidP="00627EF0">
      <w:pPr>
        <w:spacing w:line="360" w:lineRule="auto"/>
        <w:ind w:left="720" w:right="822"/>
        <w:jc w:val="both"/>
        <w:rPr>
          <w:rFonts w:ascii="Palatino Linotype" w:hAnsi="Palatino Linotype"/>
        </w:rPr>
      </w:pPr>
    </w:p>
    <w:p w:rsidR="008274A2" w:rsidRPr="00ED12D0" w:rsidRDefault="008274A2" w:rsidP="00627EF0">
      <w:pPr>
        <w:numPr>
          <w:ilvl w:val="0"/>
          <w:numId w:val="1"/>
        </w:numPr>
        <w:spacing w:line="360" w:lineRule="auto"/>
        <w:ind w:right="822"/>
        <w:jc w:val="both"/>
        <w:rPr>
          <w:rFonts w:ascii="Palatino Linotype" w:eastAsia="Palatino Linotype" w:hAnsi="Palatino Linotype" w:cs="Palatino Linotype"/>
        </w:rPr>
      </w:pPr>
      <w:r w:rsidRPr="00ED12D0">
        <w:rPr>
          <w:rFonts w:ascii="Palatino Linotype" w:eastAsia="Palatino Linotype" w:hAnsi="Palatino Linotype" w:cs="Palatino Linotype"/>
          <w:b/>
        </w:rPr>
        <w:t xml:space="preserve">Razones o Motivos de inconformidad: </w:t>
      </w:r>
      <w:r w:rsidRPr="00ED12D0">
        <w:rPr>
          <w:rFonts w:ascii="Palatino Linotype" w:eastAsia="Palatino Linotype" w:hAnsi="Palatino Linotype" w:cs="Palatino Linotype"/>
          <w:i/>
        </w:rPr>
        <w:t>"</w:t>
      </w:r>
      <w:r w:rsidR="00627EF0" w:rsidRPr="00ED12D0">
        <w:rPr>
          <w:rFonts w:ascii="Palatino Linotype" w:hAnsi="Palatino Linotype"/>
          <w:color w:val="000000"/>
        </w:rPr>
        <w:t xml:space="preserve"> </w:t>
      </w:r>
      <w:r w:rsidR="00627EF0" w:rsidRPr="00ED12D0">
        <w:rPr>
          <w:rFonts w:ascii="Palatino Linotype" w:eastAsia="Palatino Linotype" w:hAnsi="Palatino Linotype" w:cs="Palatino Linotype"/>
          <w:i/>
        </w:rPr>
        <w:t xml:space="preserve">Recurso de Revisión contra la Respuesta Emitida por el Órgano Superior de Fiscalización del Estado de México Hechos y Antecedentes El día 10 de junio de 2024, el Órgano Superior de Fiscalización del Estado de México derogó los Lineamientos para el Registro y Control del Inventario y la Conciliación y Desincorporación de Bienes Muebles e Inmuebles para las Entidades Fiscalizables Municipales. En su exposición de motivos, dicho órgano justificó esta decisión al señalar que “... dicha normatividad ya establece las disposiciones para el registro y control del inventario de bienes muebles e inmuebles, por lo que los lineamientos responden a una realidad diferente al contexto actual.” En este contexto, y de acuerdo con lo establecido en el Manual Único de Contabilidad vigente, solicité, con fundamento en la Ley de Transparencia y Acceso a la Información Pública </w:t>
      </w:r>
      <w:r w:rsidR="00627EF0" w:rsidRPr="00ED12D0">
        <w:rPr>
          <w:rFonts w:ascii="Palatino Linotype" w:eastAsia="Palatino Linotype" w:hAnsi="Palatino Linotype" w:cs="Palatino Linotype"/>
          <w:i/>
        </w:rPr>
        <w:lastRenderedPageBreak/>
        <w:t xml:space="preserve">del Estado de México y Municipios, información específica sobre las normas aplicables al proceso de registro y control de inventarios de bienes muebles e inmuebles. El día 23 de octubre de 2024, mediante el oficio UIPL/1768/2024, se remitió la solicitud de información al OSFEM, describiendo textualmente los siguientes puntos: Solicitud (texto literal): "1. ¿Qué norma emplea este Órgano Fiscalizador para revisar el proceso de conciliación físico-contable? Solicito se me proporcione de manera digital por este medio. 2. ¿Qué norma emplea este Órgano Fiscalizador para revisar de manera objetiva las cuentas de activo fijo y el inventario general de bienes muebles e inmuebles, en lo que toca a su control, baja, registro contable y manejo administrativo, como la asignación de número de inventario? Solicito se me proporcione de manera digital por este medio. 3. ¿Es obligatorio el uso del sistema CREG-PATRIMONIAL, institucionalizado por el OSFEM para los municipios? ¿Sobre qué norma se basa dicha obligatoriedad? Solicito se me proporcionen de manera digital por este medio." En respuesta, el OSFEM emitió el oficio OSFEM/UAJ/DJC/SPH/271/2024, en el cual argumenta que mi solicitud fue una serie de “cuestionamientos o manifestaciones subjetivas,” argumentando que “... los requerimientos formulados por el solicitante, no actualizan el ejercicio de acceso a la información pública, toda vez que se pretende que esta autoridad fiscalizadora se pronuncie de manera afirmativa o negativa, o bien emita un pronunciamiento categórico mediante el cual explique determinada situación, a fin de satisfacer su interrogante o inquietud.” Argumentos Interpretación Errónea de la Solicitud como “Cuestionamientos” en Lugar de Solicitudes de Acceso a Documentación Normativa: Conforme al artículo 6 de </w:t>
      </w:r>
      <w:r w:rsidR="00627EF0" w:rsidRPr="00ED12D0">
        <w:rPr>
          <w:rFonts w:ascii="Palatino Linotype" w:eastAsia="Palatino Linotype" w:hAnsi="Palatino Linotype" w:cs="Palatino Linotype"/>
          <w:i/>
        </w:rPr>
        <w:lastRenderedPageBreak/>
        <w:t xml:space="preserve">la Constitución Política de los Estados Unidos Mexicanos y a la Ley de Transparencia y Acceso a la Información Pública del Estado de México y Municipios (LTyAIP), toda persona tiene derecho a solicitar y recibir información pública que esté en posesión de cualquier autoridad. En mi solicitud, solicité acceso a normas específicas que el OSFEM emplea para revisar el proceso de conciliación físico-contable y el control de activos, así como para determinar la obligatoriedad del sistema CREG-patrimonial. En ningún momento formulé una pregunta que requiriera un pronunciamiento subjetivo ni una explicación interpretativa, sino acceso a normas y disposiciones formales. Confusión entre Solicitud de Acceso a Información Documentada y Solicitud de Opiniones: El OSFEM interpreta mi solicitud como un requerimiento de explicaciones o pronunciamientos categóricos. Sin embargo, la solicitud claramente requiere “que se me proporcione de manera digital” normas específicas y documentadas relacionadas con el control, baja, registro contable y manejo administrativo de activos fijos y la obligatoriedad del sistema CREG-patrimonial. Como se desprende textualmente de mi solicitud, lo que se requirió fue el acceso a documentos normativos que sustentan dichos procesos, no una opinión o valoración. Obligación del OSFEM de Proveer Información en Posesión del Sujeto Obligado: Conforme al artículo 4 de la LTyAIP, el derecho humano de acceso a la información pública incluye la “prerrogativa de las personas para buscar, difundir, investigar, recabar, recibir y solicitar información pública”. El mismo artículo menciona que esta prerrogativa debe “privilegiar el principio de máxima publicidad de la información.” En este caso, se solicitó acceso a la normativa y procedimientos que el OSFEM debería tener </w:t>
      </w:r>
      <w:r w:rsidR="00627EF0" w:rsidRPr="00ED12D0">
        <w:rPr>
          <w:rFonts w:ascii="Palatino Linotype" w:eastAsia="Palatino Linotype" w:hAnsi="Palatino Linotype" w:cs="Palatino Linotype"/>
          <w:i/>
        </w:rPr>
        <w:lastRenderedPageBreak/>
        <w:t xml:space="preserve">en su archivo y que deberían estar a disposición del público, ya que constituyen el fundamento normativo de su operación en la fiscalización de activos. El Artículo 160 de la Ley de Transparencia y Acceso a la Información Pública Obliga al OSFEM a Proveer la Información Solicitada: El OSFEM también hace referencia al artículo 160, en el cual se establece que los sujetos obligados deben otorgar “acceso a los documentos que se encuentren en sus archivos o que estén obligados a documentar de acuerdo con sus facultades, competencias o funciones”. Las normas y disposiciones relacionadas con la conciliación físico-contable, el control de activos y el sistema CREG-patrimonial claramente se incluyen dentro de sus competencias y funciones, por lo que el OSFEM tiene la obligación de proporcionar acceso a dichos documentos. Indebida Limitación al Derecho de Acceso a la Información Pública: En su respuesta, el OSFEM interpreta restrictivamente mi solicitud y aplica una limitación injustificada al derecho de acceso a la información. Al considerar que la solicitud no actualiza el ejercicio del derecho de acceso a la información pública, se ignora el principio de máxima publicidad, establecido tanto en el artículo 4 de la LTyAIP como en el artículo 6 constitucional, que buscan garantizar el acceso a toda información pública en posesión de los sujetos obligados, salvo excepciones previstas en ley, que en este caso no se aplican. Conclusión Con base en lo anterior, solicito que se revoque la respuesta emitida por el OSFEM y se ordene a dicho órgano proporcionar las normas o documentos normativos específicos que emplea para el control y registro contable de bienes muebles e inmuebles, así como para la obligatoriedad del sistema CREG-patrimonial, en cumplimiento con el derecho </w:t>
      </w:r>
      <w:r w:rsidR="00627EF0" w:rsidRPr="00ED12D0">
        <w:rPr>
          <w:rFonts w:ascii="Palatino Linotype" w:eastAsia="Palatino Linotype" w:hAnsi="Palatino Linotype" w:cs="Palatino Linotype"/>
          <w:i/>
        </w:rPr>
        <w:lastRenderedPageBreak/>
        <w:t>de acceso a la información pública y conforme al principio de máxima publicidad.</w:t>
      </w:r>
      <w:r w:rsidRPr="00ED12D0">
        <w:rPr>
          <w:rFonts w:ascii="Palatino Linotype" w:eastAsia="Palatino Linotype" w:hAnsi="Palatino Linotype" w:cs="Palatino Linotype"/>
          <w:i/>
        </w:rPr>
        <w:t>" (Sic)</w:t>
      </w:r>
    </w:p>
    <w:p w:rsidR="008274A2" w:rsidRPr="00ED12D0" w:rsidRDefault="008274A2" w:rsidP="008274A2">
      <w:pPr>
        <w:spacing w:line="360" w:lineRule="auto"/>
        <w:jc w:val="both"/>
        <w:rPr>
          <w:rFonts w:ascii="Palatino Linotype" w:eastAsia="Palatino Linotype" w:hAnsi="Palatino Linotype" w:cs="Palatino Linotype"/>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ED12D0">
        <w:rPr>
          <w:rFonts w:ascii="Palatino Linotype" w:eastAsia="Palatino Linotype" w:hAnsi="Palatino Linotype" w:cs="Palatino Linotype"/>
          <w:b/>
          <w:color w:val="000000"/>
        </w:rPr>
        <w:t xml:space="preserve">Ley de Transparencia y Acceso a la Información Pública del Estado de México y Municipios </w:t>
      </w:r>
      <w:r w:rsidRPr="00ED12D0">
        <w:rPr>
          <w:rFonts w:ascii="Palatino Linotype" w:eastAsia="Palatino Linotype" w:hAnsi="Palatino Linotype" w:cs="Palatino Linotype"/>
          <w:color w:val="000000"/>
        </w:rPr>
        <w:t xml:space="preserve">se </w:t>
      </w:r>
      <w:r w:rsidRPr="00ED12D0">
        <w:rPr>
          <w:rFonts w:ascii="Palatino Linotype" w:eastAsia="Palatino Linotype" w:hAnsi="Palatino Linotype" w:cs="Palatino Linotype"/>
        </w:rPr>
        <w:t>turna</w:t>
      </w:r>
      <w:r w:rsidRPr="00ED12D0">
        <w:rPr>
          <w:rFonts w:ascii="Palatino Linotype" w:eastAsia="Palatino Linotype" w:hAnsi="Palatino Linotype" w:cs="Palatino Linotype"/>
          <w:color w:val="000000"/>
        </w:rPr>
        <w:t xml:space="preserve"> a la </w:t>
      </w:r>
      <w:r w:rsidRPr="00ED12D0">
        <w:rPr>
          <w:rFonts w:ascii="Palatino Linotype" w:eastAsia="Palatino Linotype" w:hAnsi="Palatino Linotype" w:cs="Palatino Linotype"/>
          <w:b/>
          <w:color w:val="000000"/>
        </w:rPr>
        <w:t xml:space="preserve">Comisionada María del Rosario Mejía Ayala, </w:t>
      </w:r>
      <w:r w:rsidRPr="00ED12D0">
        <w:rPr>
          <w:rFonts w:ascii="Palatino Linotype" w:eastAsia="Palatino Linotype" w:hAnsi="Palatino Linotype" w:cs="Palatino Linotype"/>
        </w:rPr>
        <w:t xml:space="preserve">para </w:t>
      </w:r>
      <w:r w:rsidRPr="00ED12D0">
        <w:rPr>
          <w:rFonts w:ascii="Palatino Linotype" w:eastAsia="Palatino Linotype" w:hAnsi="Palatino Linotype" w:cs="Palatino Linotype"/>
          <w:color w:val="000000"/>
        </w:rPr>
        <w:t xml:space="preserve">su análisis. </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rPr>
        <w:t>La</w:t>
      </w:r>
      <w:r w:rsidRPr="00ED12D0">
        <w:rPr>
          <w:rFonts w:ascii="Palatino Linotype" w:eastAsia="Palatino Linotype" w:hAnsi="Palatino Linotype" w:cs="Palatino Linotype"/>
          <w:color w:val="000000"/>
        </w:rPr>
        <w:t xml:space="preserve"> Comisionad</w:t>
      </w:r>
      <w:r w:rsidRPr="00ED12D0">
        <w:rPr>
          <w:rFonts w:ascii="Palatino Linotype" w:eastAsia="Palatino Linotype" w:hAnsi="Palatino Linotype" w:cs="Palatino Linotype"/>
        </w:rPr>
        <w:t>a</w:t>
      </w:r>
      <w:r w:rsidRPr="00ED12D0">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005C6D41" w:rsidRPr="00ED12D0">
        <w:rPr>
          <w:rFonts w:ascii="Palatino Linotype" w:eastAsia="Palatino Linotype" w:hAnsi="Palatino Linotype" w:cs="Palatino Linotype"/>
          <w:b/>
          <w:color w:val="000000"/>
        </w:rPr>
        <w:t>doce de noviembre</w:t>
      </w:r>
      <w:r w:rsidRPr="00ED12D0">
        <w:rPr>
          <w:rFonts w:ascii="Palatino Linotype" w:eastAsia="Palatino Linotype" w:hAnsi="Palatino Linotype" w:cs="Palatino Linotype"/>
          <w:b/>
          <w:color w:val="000000"/>
        </w:rPr>
        <w:t xml:space="preserve"> de dos mil veinticuatro</w:t>
      </w:r>
      <w:r w:rsidRPr="00ED12D0">
        <w:rPr>
          <w:rFonts w:ascii="Palatino Linotype" w:eastAsia="Palatino Linotype" w:hAnsi="Palatino Linotype" w:cs="Palatino Linotype"/>
          <w:color w:val="000000"/>
        </w:rPr>
        <w:t xml:space="preserve">, puso a disposición de las partes el expediente electrónico vía </w:t>
      </w:r>
      <w:r w:rsidRPr="00ED12D0">
        <w:rPr>
          <w:rFonts w:ascii="Palatino Linotype" w:eastAsia="Palatino Linotype" w:hAnsi="Palatino Linotype" w:cs="Palatino Linotype"/>
          <w:b/>
          <w:color w:val="000000"/>
        </w:rPr>
        <w:t xml:space="preserve">SAIMEX </w:t>
      </w:r>
      <w:r w:rsidRPr="00ED12D0">
        <w:rPr>
          <w:rFonts w:ascii="Palatino Linotype" w:eastAsia="Palatino Linotype" w:hAnsi="Palatino Linotype" w:cs="Palatino Linotype"/>
          <w:color w:val="000000"/>
        </w:rPr>
        <w:t xml:space="preserve">a efecto de que en un plazo máximo de siete días </w:t>
      </w:r>
      <w:r w:rsidRPr="00ED12D0">
        <w:rPr>
          <w:rFonts w:ascii="Palatino Linotype" w:eastAsia="Palatino Linotype" w:hAnsi="Palatino Linotype" w:cs="Palatino Linotype"/>
        </w:rPr>
        <w:t>manifestara</w:t>
      </w:r>
      <w:r w:rsidRPr="00ED12D0">
        <w:rPr>
          <w:rFonts w:ascii="Palatino Linotype" w:eastAsia="Palatino Linotype" w:hAnsi="Palatino Linotype" w:cs="Palatino Linotype"/>
          <w:color w:val="000000"/>
        </w:rPr>
        <w:t xml:space="preserve"> lo que a derecho </w:t>
      </w:r>
      <w:r w:rsidRPr="00ED12D0">
        <w:rPr>
          <w:rFonts w:ascii="Palatino Linotype" w:eastAsia="Palatino Linotype" w:hAnsi="Palatino Linotype" w:cs="Palatino Linotype"/>
        </w:rPr>
        <w:t>conviniera</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rPr>
        <w:t>ofreciera</w:t>
      </w:r>
      <w:r w:rsidRPr="00ED12D0">
        <w:rPr>
          <w:rFonts w:ascii="Palatino Linotype" w:eastAsia="Palatino Linotype" w:hAnsi="Palatino Linotype" w:cs="Palatino Linotype"/>
          <w:color w:val="000000"/>
        </w:rPr>
        <w:t xml:space="preserve"> pruebas y alegatos según corresponda al caso concreto, de esta forma para que el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rPr>
        <w:t>presentará</w:t>
      </w:r>
      <w:r w:rsidRPr="00ED12D0">
        <w:rPr>
          <w:rFonts w:ascii="Palatino Linotype" w:eastAsia="Palatino Linotype" w:hAnsi="Palatino Linotype" w:cs="Palatino Linotype"/>
          <w:color w:val="000000"/>
        </w:rPr>
        <w:t xml:space="preserve"> el informe justificado procedente. </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De las constancias del expediente electrónico SAIMEX se advierte que el Recurrente no realizó manifestaciones; por su parte, el Sujeto Obligado entregó informe justificado el </w:t>
      </w:r>
      <w:r w:rsidR="005C6D41" w:rsidRPr="00ED12D0">
        <w:rPr>
          <w:rFonts w:ascii="Palatino Linotype" w:eastAsia="Palatino Linotype" w:hAnsi="Palatino Linotype" w:cs="Palatino Linotype"/>
          <w:b/>
          <w:color w:val="000000"/>
        </w:rPr>
        <w:t>veintiuno de noviembre</w:t>
      </w:r>
      <w:r w:rsidRPr="00ED12D0">
        <w:rPr>
          <w:rFonts w:ascii="Palatino Linotype" w:eastAsia="Palatino Linotype" w:hAnsi="Palatino Linotype" w:cs="Palatino Linotype"/>
          <w:b/>
          <w:color w:val="000000"/>
        </w:rPr>
        <w:t xml:space="preserve"> de dos mil veinticuatro</w:t>
      </w:r>
      <w:r w:rsidRPr="00ED12D0">
        <w:rPr>
          <w:rFonts w:ascii="Palatino Linotype" w:eastAsia="Palatino Linotype" w:hAnsi="Palatino Linotype" w:cs="Palatino Linotype"/>
          <w:color w:val="000000"/>
        </w:rPr>
        <w:t xml:space="preserve">, el cual se puso a la vista del particular el </w:t>
      </w:r>
      <w:r w:rsidR="005C6D41" w:rsidRPr="00ED12D0">
        <w:rPr>
          <w:rFonts w:ascii="Palatino Linotype" w:eastAsia="Palatino Linotype" w:hAnsi="Palatino Linotype" w:cs="Palatino Linotype"/>
          <w:b/>
          <w:color w:val="000000"/>
        </w:rPr>
        <w:t>once de marzo</w:t>
      </w:r>
      <w:r w:rsidRPr="00ED12D0">
        <w:rPr>
          <w:rFonts w:ascii="Palatino Linotype" w:eastAsia="Palatino Linotype" w:hAnsi="Palatino Linotype" w:cs="Palatino Linotype"/>
          <w:b/>
          <w:color w:val="000000"/>
        </w:rPr>
        <w:t xml:space="preserve"> de dos mil veinticinco</w:t>
      </w:r>
      <w:r w:rsidRPr="00ED12D0">
        <w:rPr>
          <w:rFonts w:ascii="Palatino Linotype" w:eastAsia="Palatino Linotype" w:hAnsi="Palatino Linotype" w:cs="Palatino Linotype"/>
          <w:color w:val="000000"/>
        </w:rPr>
        <w:t>, a través del cual se anexaron los archivos que se describen enseguida:</w:t>
      </w:r>
    </w:p>
    <w:p w:rsidR="005C6D41" w:rsidRPr="00ED12D0" w:rsidRDefault="005C6D41" w:rsidP="005C6D41">
      <w:pPr>
        <w:pBdr>
          <w:top w:val="nil"/>
          <w:left w:val="nil"/>
          <w:bottom w:val="nil"/>
          <w:right w:val="nil"/>
          <w:between w:val="nil"/>
        </w:pBdr>
        <w:spacing w:line="360" w:lineRule="auto"/>
        <w:jc w:val="both"/>
        <w:rPr>
          <w:rFonts w:ascii="Palatino Linotype" w:eastAsia="Palatino Linotype" w:hAnsi="Palatino Linotype" w:cs="Palatino Linotype"/>
        </w:rPr>
      </w:pPr>
    </w:p>
    <w:p w:rsidR="005C6D41" w:rsidRPr="00ED12D0" w:rsidRDefault="00840CBF" w:rsidP="005C6D41">
      <w:pPr>
        <w:pStyle w:val="Prrafodelista"/>
        <w:numPr>
          <w:ilvl w:val="0"/>
          <w:numId w:val="9"/>
        </w:numPr>
        <w:pBdr>
          <w:top w:val="nil"/>
          <w:left w:val="nil"/>
          <w:bottom w:val="nil"/>
          <w:right w:val="nil"/>
          <w:between w:val="nil"/>
        </w:pBdr>
        <w:spacing w:line="360" w:lineRule="auto"/>
        <w:ind w:right="822"/>
        <w:jc w:val="both"/>
        <w:rPr>
          <w:rFonts w:ascii="Palatino Linotype" w:hAnsi="Palatino Linotype"/>
        </w:rPr>
      </w:pPr>
      <w:hyperlink r:id="rId9" w:history="1">
        <w:r w:rsidR="005C6D41" w:rsidRPr="00ED12D0">
          <w:rPr>
            <w:rStyle w:val="Hipervnculo"/>
            <w:rFonts w:ascii="Palatino Linotype" w:eastAsiaTheme="majorEastAsia" w:hAnsi="Palatino Linotype" w:cs="Arial"/>
            <w:b/>
            <w:bCs/>
            <w:color w:val="auto"/>
          </w:rPr>
          <w:t>Informe justificado RR. 07143-2024 (sol. 0500-2024).pdf</w:t>
        </w:r>
      </w:hyperlink>
      <w:r w:rsidR="005C6D41" w:rsidRPr="00ED12D0">
        <w:rPr>
          <w:rFonts w:ascii="Palatino Linotype" w:hAnsi="Palatino Linotype"/>
        </w:rPr>
        <w:t xml:space="preserve">: oficio número UIPL/1934/2024 de fecha veintiuno de noviembre de dos mil veinticuatro, suscrito por el </w:t>
      </w:r>
      <w:r w:rsidR="002A2FBD" w:rsidRPr="00ED12D0">
        <w:rPr>
          <w:rFonts w:ascii="Palatino Linotype" w:hAnsi="Palatino Linotype"/>
        </w:rPr>
        <w:t>Titular de la Unidad de Transparencia, en el que ratificó su respuesta, aunado a ello, señaló lo siguiente:</w:t>
      </w:r>
    </w:p>
    <w:p w:rsidR="002A2FBD" w:rsidRPr="00ED12D0" w:rsidRDefault="002A2FBD" w:rsidP="002A2FBD">
      <w:pPr>
        <w:pStyle w:val="Prrafodelista"/>
        <w:pBdr>
          <w:top w:val="nil"/>
          <w:left w:val="nil"/>
          <w:bottom w:val="nil"/>
          <w:right w:val="nil"/>
          <w:between w:val="nil"/>
        </w:pBdr>
        <w:spacing w:line="360" w:lineRule="auto"/>
        <w:ind w:right="822"/>
        <w:jc w:val="both"/>
        <w:rPr>
          <w:rFonts w:ascii="Palatino Linotype" w:hAnsi="Palatino Linotype"/>
        </w:rPr>
      </w:pPr>
      <w:r w:rsidRPr="00ED12D0">
        <w:rPr>
          <w:rFonts w:ascii="Palatino Linotype" w:hAnsi="Palatino Linotype"/>
        </w:rPr>
        <w:t xml:space="preserve">“Por lo anterior, el servidor público habilitado del OSFEM, precisa que el registro de control de bienes muebles e inmuebles a los que refiere el solicitante, se encuentran contenidas en diversos ordenamientos, como la Ley General de Contabilidad Gubernamental, Ley General de Bienes Nacionales, Los Lineamientos dirigidos a asegurar que el Sistema de Contabilidad Gubernamental facilite el Registro y Control de </w:t>
      </w:r>
      <w:r w:rsidR="000A733F" w:rsidRPr="00ED12D0">
        <w:rPr>
          <w:rFonts w:ascii="Palatino Linotype" w:hAnsi="Palatino Linotype"/>
        </w:rPr>
        <w:t>los</w:t>
      </w:r>
      <w:r w:rsidRPr="00ED12D0">
        <w:rPr>
          <w:rFonts w:ascii="Palatino Linotype" w:hAnsi="Palatino Linotype"/>
        </w:rPr>
        <w:t xml:space="preserve"> inventarios de los Bienes Muebles e Inmuebles de los Entes ´Públicos, la Ley de Bienes del Estado de México y sus Municipios, el Manual Único de Contabilidad Gubernamental, los Acuerdos del Consejo de Armonización Contable (CONAC) y los Acuerdos del Consejo de Armonización Contable del Estado de México (CACEM), fundamentalmente el registro que cada ente utilice es responsabilidad de los mismos. </w:t>
      </w:r>
    </w:p>
    <w:p w:rsidR="005C6D41" w:rsidRPr="00ED12D0" w:rsidRDefault="005C6D41" w:rsidP="005C6D41">
      <w:pPr>
        <w:pStyle w:val="Prrafodelista"/>
        <w:pBdr>
          <w:top w:val="nil"/>
          <w:left w:val="nil"/>
          <w:bottom w:val="nil"/>
          <w:right w:val="nil"/>
          <w:between w:val="nil"/>
        </w:pBdr>
        <w:spacing w:line="360" w:lineRule="auto"/>
        <w:ind w:right="822"/>
        <w:jc w:val="both"/>
        <w:rPr>
          <w:rFonts w:ascii="Palatino Linotype" w:hAnsi="Palatino Linotype"/>
        </w:rPr>
      </w:pPr>
    </w:p>
    <w:p w:rsidR="005C6D41" w:rsidRPr="00ED12D0" w:rsidRDefault="00840CBF" w:rsidP="005C6D41">
      <w:pPr>
        <w:pStyle w:val="Prrafodelista"/>
        <w:numPr>
          <w:ilvl w:val="0"/>
          <w:numId w:val="9"/>
        </w:numPr>
        <w:pBdr>
          <w:top w:val="nil"/>
          <w:left w:val="nil"/>
          <w:bottom w:val="nil"/>
          <w:right w:val="nil"/>
          <w:between w:val="nil"/>
        </w:pBdr>
        <w:spacing w:line="360" w:lineRule="auto"/>
        <w:ind w:right="822"/>
        <w:jc w:val="both"/>
        <w:rPr>
          <w:rFonts w:ascii="Palatino Linotype" w:eastAsia="Palatino Linotype" w:hAnsi="Palatino Linotype" w:cs="Palatino Linotype"/>
        </w:rPr>
      </w:pPr>
      <w:hyperlink r:id="rId10" w:history="1">
        <w:r w:rsidR="005C6D41" w:rsidRPr="00ED12D0">
          <w:rPr>
            <w:rStyle w:val="Hipervnculo"/>
            <w:rFonts w:ascii="Palatino Linotype" w:eastAsiaTheme="majorEastAsia" w:hAnsi="Palatino Linotype" w:cs="Arial"/>
            <w:b/>
            <w:bCs/>
            <w:color w:val="auto"/>
          </w:rPr>
          <w:t>Consideraciones OSFEM-RR. 07143-2024 (sol. 0500-2024).pdf</w:t>
        </w:r>
      </w:hyperlink>
      <w:r w:rsidR="005C6D41" w:rsidRPr="00ED12D0">
        <w:rPr>
          <w:rFonts w:ascii="Palatino Linotype" w:hAnsi="Palatino Linotype"/>
        </w:rPr>
        <w:t xml:space="preserve">: </w:t>
      </w:r>
      <w:r w:rsidR="00D000F0" w:rsidRPr="00ED12D0">
        <w:rPr>
          <w:rFonts w:ascii="Palatino Linotype" w:hAnsi="Palatino Linotype"/>
        </w:rPr>
        <w:t>oficio OSFEM/UAJ/DJC/SPH/276/2024 de fecha catorce de noviembre de dos mil veinticuatro, suscrito por el Servi</w:t>
      </w:r>
      <w:r w:rsidR="00463B5C" w:rsidRPr="00ED12D0">
        <w:rPr>
          <w:rFonts w:ascii="Palatino Linotype" w:hAnsi="Palatino Linotype"/>
        </w:rPr>
        <w:t xml:space="preserve">dor Público Habilitado en el que señaló: </w:t>
      </w:r>
    </w:p>
    <w:p w:rsidR="00463B5C"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i/>
        </w:rPr>
      </w:pPr>
      <w:r w:rsidRPr="00ED12D0">
        <w:rPr>
          <w:rFonts w:ascii="Palatino Linotype" w:eastAsia="Palatino Linotype" w:hAnsi="Palatino Linotype" w:cs="Palatino Linotype"/>
          <w:i/>
        </w:rPr>
        <w:t xml:space="preserve">“Al respecto, me permito expresar que a través del oficio OSFEM/UAJ/DJC/SPH/271/2024 del 08 de noviembre del año en curso, se </w:t>
      </w:r>
      <w:r w:rsidRPr="00ED12D0">
        <w:rPr>
          <w:rFonts w:ascii="Palatino Linotype" w:eastAsia="Palatino Linotype" w:hAnsi="Palatino Linotype" w:cs="Palatino Linotype"/>
          <w:i/>
        </w:rPr>
        <w:lastRenderedPageBreak/>
        <w:t xml:space="preserve">emitió respuesta vía SAIMEX, misma que en este acto se ratifica en todas y cada una de sus partes. </w:t>
      </w:r>
    </w:p>
    <w:p w:rsidR="00463B5C"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i/>
        </w:rPr>
      </w:pPr>
    </w:p>
    <w:p w:rsidR="00463B5C"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i/>
        </w:rPr>
      </w:pPr>
      <w:r w:rsidRPr="00ED12D0">
        <w:rPr>
          <w:rFonts w:ascii="Palatino Linotype" w:eastAsia="Palatino Linotype" w:hAnsi="Palatino Linotype" w:cs="Palatino Linotype"/>
          <w:i/>
        </w:rPr>
        <w:t xml:space="preserve">En este sentido, se reitera que el solicitante, realiza una serie de preguntas sobre el tema de control patrimonial municipal en donde esta autoridad fiscalizadora, se encuentra imposibilitada de emitir un juicio de valor, en virtud de no encontrarse entre sus atribuciones, dicha función. Máxime que el particular no señala en las razones de inconformidad, argumentos válidos o procedentes que desvirtúen la respuesta emitida. </w:t>
      </w:r>
    </w:p>
    <w:p w:rsidR="00463B5C"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i/>
        </w:rPr>
      </w:pPr>
    </w:p>
    <w:p w:rsidR="00463B5C"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i/>
        </w:rPr>
      </w:pPr>
      <w:r w:rsidRPr="00ED12D0">
        <w:rPr>
          <w:rFonts w:ascii="Palatino Linotype" w:eastAsia="Palatino Linotype" w:hAnsi="Palatino Linotype" w:cs="Palatino Linotype"/>
          <w:i/>
        </w:rPr>
        <w:t>No obstante lo anterior, es de precisar que el registro y control de bienes muebles e inmuebles a que se refiere el solicitante, existen diversas disposiciones se encuentran contenidas en diferentes ordenamientos como la Ley General de Contabilidad Gubernamental, Ley General de Bienes Nacionales, los Lineamientos dirigidos a asegurar que el Sistema de Contabilidad Gubernamental facilite el Registro y Control de los Inventarios de los Bienes Muebles e Inmuebles de los Entes Públicos, la Ley de Bienes del Estado de México y sus Municipios, el Manual Único de Contabilidad Gubernamental, los Acuerdos del Consejo de Armonización Contable (CONAC) y los Acuerdos del Consejo de Armonización Contable del Estado de México (CACEM), fundamentalmente y el registro que cada ente utilice es responsabilidad de los mismos.</w:t>
      </w:r>
    </w:p>
    <w:p w:rsidR="005C6D41" w:rsidRPr="00ED12D0" w:rsidRDefault="00463B5C" w:rsidP="00463B5C">
      <w:pPr>
        <w:pStyle w:val="Prrafodelista"/>
        <w:pBdr>
          <w:top w:val="nil"/>
          <w:left w:val="nil"/>
          <w:bottom w:val="nil"/>
          <w:right w:val="nil"/>
          <w:between w:val="nil"/>
        </w:pBdr>
        <w:spacing w:line="360" w:lineRule="auto"/>
        <w:ind w:right="822"/>
        <w:jc w:val="both"/>
        <w:rPr>
          <w:rFonts w:ascii="Palatino Linotype" w:eastAsia="Palatino Linotype" w:hAnsi="Palatino Linotype" w:cs="Palatino Linotype"/>
        </w:rPr>
      </w:pPr>
      <w:r w:rsidRPr="00ED12D0">
        <w:rPr>
          <w:rFonts w:ascii="Palatino Linotype" w:eastAsia="Palatino Linotype" w:hAnsi="Palatino Linotype" w:cs="Palatino Linotype"/>
          <w:i/>
        </w:rPr>
        <w:t xml:space="preserve">Por otra parte, de conformidad con lo que establecen los artículos 115 fracción II de la Constitución Política de los Estados Unidos Mexicanos; 3, 31 fracción </w:t>
      </w:r>
      <w:r w:rsidRPr="00ED12D0">
        <w:rPr>
          <w:rFonts w:ascii="Palatino Linotype" w:eastAsia="Palatino Linotype" w:hAnsi="Palatino Linotype" w:cs="Palatino Linotype"/>
          <w:i/>
        </w:rPr>
        <w:lastRenderedPageBreak/>
        <w:t>I, 86 párrafo I y 164 de la Ley Orgánica Municipal del Estado de México, los Ayuntamientos de los Municipios, tienen facultades para emitir disposiciones administrativas que sean necesarias para el ejercicio de sus atribuciones.”</w:t>
      </w:r>
      <w:r w:rsidRPr="00ED12D0">
        <w:rPr>
          <w:rFonts w:ascii="Palatino Linotype" w:eastAsia="Palatino Linotype" w:hAnsi="Palatino Linotype" w:cs="Palatino Linotype"/>
        </w:rPr>
        <w:t>(Sic)</w:t>
      </w:r>
    </w:p>
    <w:p w:rsidR="005C6D41" w:rsidRPr="00ED12D0" w:rsidRDefault="005C6D41" w:rsidP="005C6D4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2" w:name="_heading=h.30j0zll" w:colFirst="0" w:colLast="0"/>
      <w:bookmarkEnd w:id="2"/>
      <w:r w:rsidRPr="00ED12D0">
        <w:rPr>
          <w:rFonts w:ascii="Palatino Linotype" w:eastAsia="Palatino Linotype" w:hAnsi="Palatino Linotype" w:cs="Palatino Linotype"/>
          <w:color w:val="000000"/>
        </w:rPr>
        <w:t xml:space="preserve">El </w:t>
      </w:r>
      <w:r w:rsidRPr="00ED12D0">
        <w:rPr>
          <w:rFonts w:ascii="Palatino Linotype" w:eastAsia="Palatino Linotype" w:hAnsi="Palatino Linotype" w:cs="Palatino Linotype"/>
          <w:b/>
          <w:color w:val="000000"/>
        </w:rPr>
        <w:t xml:space="preserve">catorce de </w:t>
      </w:r>
      <w:r w:rsidR="00463B5C" w:rsidRPr="00ED12D0">
        <w:rPr>
          <w:rFonts w:ascii="Palatino Linotype" w:eastAsia="Palatino Linotype" w:hAnsi="Palatino Linotype" w:cs="Palatino Linotype"/>
          <w:b/>
          <w:color w:val="000000"/>
        </w:rPr>
        <w:t>enero de dos mil veinticinco,</w:t>
      </w:r>
      <w:r w:rsidRPr="00ED12D0">
        <w:rPr>
          <w:rFonts w:ascii="Palatino Linotype" w:eastAsia="Palatino Linotype" w:hAnsi="Palatino Linotype" w:cs="Palatino Linotype"/>
          <w:color w:val="000000"/>
        </w:rPr>
        <w:t xml:space="preserve"> se notificó el acuerdo a través del cual se aprobó la ampliación de plazo para emitir resolución. </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A733F" w:rsidRPr="00ED12D0" w:rsidRDefault="000A733F" w:rsidP="000A733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8274A2" w:rsidRPr="00ED12D0" w:rsidRDefault="008274A2" w:rsidP="008274A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Complejidad del </w:t>
      </w:r>
      <w:r w:rsidRPr="00ED12D0">
        <w:rPr>
          <w:rFonts w:ascii="Palatino Linotype" w:eastAsia="Palatino Linotype" w:hAnsi="Palatino Linotype" w:cs="Palatino Linotype"/>
        </w:rPr>
        <w:t>asunto</w:t>
      </w:r>
      <w:r w:rsidRPr="00ED12D0">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8274A2" w:rsidRPr="00ED12D0" w:rsidRDefault="008274A2" w:rsidP="008274A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Actividad Procesal del interesado. Acciones u omisiones del interesado.</w:t>
      </w:r>
    </w:p>
    <w:p w:rsidR="008274A2" w:rsidRPr="00ED12D0" w:rsidRDefault="008274A2" w:rsidP="008274A2">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8274A2" w:rsidRPr="00ED12D0" w:rsidRDefault="008274A2" w:rsidP="008274A2">
      <w:pPr>
        <w:spacing w:line="360" w:lineRule="auto"/>
        <w:ind w:left="567"/>
        <w:jc w:val="both"/>
        <w:rPr>
          <w:rFonts w:ascii="Palatino Linotype" w:eastAsia="Palatino Linotype" w:hAnsi="Palatino Linotype" w:cs="Palatino Linotype"/>
        </w:rPr>
      </w:pPr>
      <w:r w:rsidRPr="00ED12D0">
        <w:rPr>
          <w:rFonts w:ascii="Palatino Linotype" w:eastAsia="Palatino Linotype" w:hAnsi="Palatino Linotype" w:cs="Palatino Linotype"/>
        </w:rPr>
        <w:t>d) La afectación generada en la situación jurídica de la persona involucrada en el proceso: Violación a sus derechos humanos.</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ED12D0">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274A2" w:rsidRPr="00ED12D0" w:rsidRDefault="008274A2" w:rsidP="008274A2">
      <w:pPr>
        <w:spacing w:line="360" w:lineRule="auto"/>
        <w:jc w:val="both"/>
        <w:rPr>
          <w:rFonts w:ascii="Palatino Linotype" w:eastAsia="Palatino Linotype" w:hAnsi="Palatino Linotype" w:cs="Palatino Linotype"/>
          <w:b/>
        </w:rPr>
      </w:pPr>
    </w:p>
    <w:p w:rsidR="008274A2" w:rsidRPr="00ED12D0" w:rsidRDefault="008274A2" w:rsidP="008274A2">
      <w:pPr>
        <w:numPr>
          <w:ilvl w:val="0"/>
          <w:numId w:val="2"/>
        </w:numPr>
        <w:spacing w:line="360" w:lineRule="auto"/>
        <w:ind w:left="0" w:firstLine="0"/>
        <w:jc w:val="both"/>
        <w:rPr>
          <w:rFonts w:ascii="Palatino Linotype" w:eastAsia="Palatino Linotype" w:hAnsi="Palatino Linotype" w:cs="Palatino Linotype"/>
          <w:b/>
        </w:rPr>
      </w:pPr>
      <w:r w:rsidRPr="00ED12D0">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del rubro </w:t>
      </w:r>
      <w:r w:rsidRPr="00ED12D0">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D12D0">
        <w:rPr>
          <w:rFonts w:ascii="Palatino Linotype" w:eastAsia="Palatino Linotype" w:hAnsi="Palatino Linotype" w:cs="Palatino Linotype"/>
        </w:rPr>
        <w:t>, visible en la Gaceta del Semanario Judicial de la Federación con el registro digital 205635.</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spacing w:line="360" w:lineRule="auto"/>
        <w:ind w:left="0" w:firstLine="0"/>
        <w:jc w:val="both"/>
        <w:rPr>
          <w:rFonts w:ascii="Palatino Linotype" w:eastAsia="Palatino Linotype" w:hAnsi="Palatino Linotype" w:cs="Palatino Linotype"/>
          <w:b/>
        </w:rPr>
      </w:pPr>
      <w:r w:rsidRPr="00ED12D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spacing w:line="360" w:lineRule="auto"/>
        <w:ind w:left="0" w:firstLine="0"/>
        <w:jc w:val="both"/>
        <w:rPr>
          <w:rFonts w:ascii="Palatino Linotype" w:eastAsia="Palatino Linotype" w:hAnsi="Palatino Linotype" w:cs="Palatino Linotype"/>
          <w:b/>
        </w:rPr>
      </w:pPr>
      <w:r w:rsidRPr="00ED12D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spacing w:line="360" w:lineRule="auto"/>
        <w:ind w:left="0" w:firstLine="0"/>
        <w:jc w:val="both"/>
        <w:rPr>
          <w:rFonts w:ascii="Palatino Linotype" w:eastAsia="Palatino Linotype" w:hAnsi="Palatino Linotype" w:cs="Palatino Linotype"/>
          <w:b/>
        </w:rPr>
      </w:pPr>
      <w:r w:rsidRPr="00ED12D0">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rsidR="008274A2" w:rsidRPr="00ED12D0" w:rsidRDefault="008274A2" w:rsidP="008274A2">
      <w:pPr>
        <w:spacing w:line="360" w:lineRule="auto"/>
        <w:ind w:left="851"/>
        <w:jc w:val="both"/>
        <w:rPr>
          <w:rFonts w:ascii="Palatino Linotype" w:eastAsia="Palatino Linotype" w:hAnsi="Palatino Linotype" w:cs="Palatino Linotype"/>
        </w:rPr>
      </w:pPr>
      <w:r w:rsidRPr="00ED12D0">
        <w:rPr>
          <w:rFonts w:ascii="Palatino Linotype" w:eastAsia="Palatino Linotype" w:hAnsi="Palatino Linotype" w:cs="Palatino Linotype"/>
        </w:rPr>
        <w:t xml:space="preserve"> </w:t>
      </w:r>
      <w:r w:rsidRPr="00ED12D0">
        <w:rPr>
          <w:rFonts w:ascii="Palatino Linotype" w:eastAsia="Palatino Linotype" w:hAnsi="Palatino Linotype" w:cs="Palatino Linotype"/>
          <w:i/>
        </w:rPr>
        <w:t>“PLAZO RAZONABLE PARA RESOLVER. DIMENSIÓN Y EFECTOS DE ESTE CONCEPTO CUANDO SE ADUCE EXCESIVA CARGA DE TRABAJO.”</w:t>
      </w:r>
      <w:r w:rsidRPr="00ED12D0">
        <w:rPr>
          <w:rFonts w:ascii="Palatino Linotype" w:eastAsia="Palatino Linotype" w:hAnsi="Palatino Linotype" w:cs="Palatino Linotype"/>
        </w:rPr>
        <w:t xml:space="preserve"> consultable en el Seminario Judicial de la Federación y su gaceta, con el registro digital 2002351.</w:t>
      </w:r>
    </w:p>
    <w:p w:rsidR="008274A2" w:rsidRPr="00ED12D0" w:rsidRDefault="008274A2" w:rsidP="008274A2">
      <w:pPr>
        <w:spacing w:line="360" w:lineRule="auto"/>
        <w:ind w:left="851"/>
        <w:jc w:val="both"/>
        <w:rPr>
          <w:rFonts w:ascii="Palatino Linotype" w:eastAsia="Palatino Linotype" w:hAnsi="Palatino Linotype" w:cs="Palatino Linotype"/>
          <w:b/>
        </w:rPr>
      </w:pPr>
    </w:p>
    <w:p w:rsidR="008274A2" w:rsidRPr="00ED12D0" w:rsidRDefault="008274A2" w:rsidP="008274A2">
      <w:pPr>
        <w:spacing w:line="360" w:lineRule="auto"/>
        <w:ind w:left="851"/>
        <w:jc w:val="both"/>
        <w:rPr>
          <w:rFonts w:ascii="Palatino Linotype" w:eastAsia="Palatino Linotype" w:hAnsi="Palatino Linotype" w:cs="Palatino Linotype"/>
        </w:rPr>
      </w:pPr>
      <w:r w:rsidRPr="00ED12D0">
        <w:rPr>
          <w:rFonts w:ascii="Palatino Linotype" w:eastAsia="Palatino Linotype" w:hAnsi="Palatino Linotype" w:cs="Palatino Linotype"/>
          <w:i/>
        </w:rPr>
        <w:t>“PLAZO RAZONABLE PARA RESOLVER. CONCEPTO Y ELEMENTOS QUE LO INTEGRAN A LA LUZ DEL DERECHO INTERNACIONAL DE LOS DERECHOS HUMANOS.”</w:t>
      </w:r>
      <w:r w:rsidRPr="00ED12D0">
        <w:rPr>
          <w:rFonts w:ascii="Palatino Linotype" w:eastAsia="Palatino Linotype" w:hAnsi="Palatino Linotype" w:cs="Palatino Linotype"/>
        </w:rPr>
        <w:t>, visible en el Seminario Judicial de la Federación y su gaceta, con el registro digital 2002350.</w:t>
      </w:r>
    </w:p>
    <w:p w:rsidR="008274A2" w:rsidRPr="00ED12D0" w:rsidRDefault="008274A2" w:rsidP="008274A2">
      <w:pPr>
        <w:spacing w:line="360" w:lineRule="auto"/>
        <w:jc w:val="both"/>
        <w:rPr>
          <w:rFonts w:ascii="Palatino Linotype" w:eastAsia="Palatino Linotype" w:hAnsi="Palatino Linotype" w:cs="Palatino Linotype"/>
          <w:i/>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La Comisionada Ponente decretó el cierre de instrucción mediante el acuerdo del </w:t>
      </w:r>
      <w:r w:rsidR="00463B5C" w:rsidRPr="00ED12D0">
        <w:rPr>
          <w:rFonts w:ascii="Palatino Linotype" w:eastAsia="Palatino Linotype" w:hAnsi="Palatino Linotype" w:cs="Palatino Linotype"/>
          <w:b/>
          <w:color w:val="000000"/>
        </w:rPr>
        <w:t>dieciocho de marzo</w:t>
      </w:r>
      <w:r w:rsidRPr="00ED12D0">
        <w:rPr>
          <w:rFonts w:ascii="Palatino Linotype" w:eastAsia="Palatino Linotype" w:hAnsi="Palatino Linotype" w:cs="Palatino Linotype"/>
          <w:b/>
          <w:color w:val="000000"/>
        </w:rPr>
        <w:t xml:space="preserve"> de dos mil veinticinco.</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spacing w:line="360" w:lineRule="auto"/>
        <w:jc w:val="center"/>
        <w:rPr>
          <w:rFonts w:ascii="Palatino Linotype" w:eastAsia="Palatino Linotype" w:hAnsi="Palatino Linotype" w:cs="Palatino Linotype"/>
        </w:rPr>
      </w:pPr>
      <w:bookmarkStart w:id="3" w:name="_heading=h.1fob9te" w:colFirst="0" w:colLast="0"/>
      <w:bookmarkEnd w:id="3"/>
      <w:r w:rsidRPr="00ED12D0">
        <w:rPr>
          <w:rFonts w:ascii="Palatino Linotype" w:eastAsia="Palatino Linotype" w:hAnsi="Palatino Linotype" w:cs="Palatino Linotype"/>
          <w:b/>
        </w:rPr>
        <w:t>C O N S I D E R A N D O</w:t>
      </w:r>
    </w:p>
    <w:p w:rsidR="008274A2" w:rsidRPr="00ED12D0" w:rsidRDefault="008274A2" w:rsidP="008274A2">
      <w:pPr>
        <w:spacing w:line="360" w:lineRule="auto"/>
        <w:jc w:val="center"/>
        <w:rPr>
          <w:rFonts w:ascii="Palatino Linotype" w:eastAsia="Palatino Linotype" w:hAnsi="Palatino Linotype" w:cs="Palatino Linotype"/>
        </w:rPr>
      </w:pPr>
    </w:p>
    <w:p w:rsidR="008274A2" w:rsidRPr="00ED12D0" w:rsidRDefault="008274A2" w:rsidP="008274A2">
      <w:pPr>
        <w:spacing w:line="360" w:lineRule="auto"/>
        <w:jc w:val="both"/>
        <w:rPr>
          <w:rFonts w:ascii="Palatino Linotype" w:eastAsia="Palatino Linotype" w:hAnsi="Palatino Linotype" w:cs="Palatino Linotype"/>
          <w:b/>
        </w:rPr>
      </w:pPr>
      <w:bookmarkStart w:id="4" w:name="_heading=h.3znysh7" w:colFirst="0" w:colLast="0"/>
      <w:bookmarkEnd w:id="4"/>
      <w:r w:rsidRPr="00ED12D0">
        <w:rPr>
          <w:rFonts w:ascii="Palatino Linotype" w:eastAsia="Palatino Linotype" w:hAnsi="Palatino Linotype" w:cs="Palatino Linotype"/>
          <w:b/>
        </w:rPr>
        <w:t>PRIMERO. De la competencia</w:t>
      </w:r>
    </w:p>
    <w:p w:rsidR="00463B5C" w:rsidRPr="00ED12D0" w:rsidRDefault="008274A2" w:rsidP="00463B5C">
      <w:pPr>
        <w:numPr>
          <w:ilvl w:val="0"/>
          <w:numId w:val="2"/>
        </w:numPr>
        <w:pBdr>
          <w:top w:val="nil"/>
          <w:left w:val="nil"/>
          <w:bottom w:val="nil"/>
          <w:right w:val="nil"/>
          <w:between w:val="nil"/>
        </w:pBdr>
        <w:spacing w:before="240"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463B5C" w:rsidRPr="00ED12D0" w:rsidRDefault="00463B5C" w:rsidP="00463B5C">
      <w:pPr>
        <w:pBdr>
          <w:top w:val="nil"/>
          <w:left w:val="nil"/>
          <w:bottom w:val="nil"/>
          <w:right w:val="nil"/>
          <w:between w:val="nil"/>
        </w:pBdr>
        <w:spacing w:before="240" w:line="360" w:lineRule="auto"/>
        <w:jc w:val="both"/>
        <w:rPr>
          <w:rFonts w:ascii="Palatino Linotype" w:eastAsia="Palatino Linotype" w:hAnsi="Palatino Linotype" w:cs="Palatino Linotype"/>
          <w:color w:val="000000"/>
        </w:rPr>
      </w:pPr>
    </w:p>
    <w:p w:rsidR="00463B5C" w:rsidRPr="00ED12D0" w:rsidRDefault="008274A2" w:rsidP="008274A2">
      <w:pPr>
        <w:keepNext/>
        <w:keepLines/>
        <w:spacing w:line="360" w:lineRule="auto"/>
        <w:rPr>
          <w:rFonts w:ascii="Palatino Linotype" w:eastAsia="Palatino Linotype" w:hAnsi="Palatino Linotype" w:cs="Palatino Linotype"/>
          <w:b/>
        </w:rPr>
      </w:pPr>
      <w:bookmarkStart w:id="5" w:name="_heading=h.2et92p0" w:colFirst="0" w:colLast="0"/>
      <w:bookmarkEnd w:id="5"/>
      <w:r w:rsidRPr="00ED12D0">
        <w:rPr>
          <w:rFonts w:ascii="Palatino Linotype" w:eastAsia="Palatino Linotype" w:hAnsi="Palatino Linotype" w:cs="Palatino Linotype"/>
          <w:b/>
        </w:rPr>
        <w:t>SEGUNDO. De la oportunidad y procedencia.</w:t>
      </w:r>
    </w:p>
    <w:p w:rsidR="00463B5C" w:rsidRPr="00ED12D0" w:rsidRDefault="00463B5C" w:rsidP="008274A2">
      <w:pPr>
        <w:keepNext/>
        <w:keepLines/>
        <w:spacing w:line="360" w:lineRule="auto"/>
        <w:rPr>
          <w:rFonts w:ascii="Palatino Linotype" w:eastAsia="Palatino Linotype" w:hAnsi="Palatino Linotype" w:cs="Palatino Linotype"/>
          <w:b/>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medio de impugnación fue presentado a través del </w:t>
      </w:r>
      <w:r w:rsidRPr="00ED12D0">
        <w:rPr>
          <w:rFonts w:ascii="Palatino Linotype" w:eastAsia="Palatino Linotype" w:hAnsi="Palatino Linotype" w:cs="Palatino Linotype"/>
          <w:b/>
          <w:color w:val="000000"/>
        </w:rPr>
        <w:t>SAIMEX,</w:t>
      </w:r>
      <w:r w:rsidRPr="00ED12D0">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 xml:space="preserve"> entregó respuesta a la solicitud el día </w:t>
      </w:r>
      <w:r w:rsidRPr="00ED12D0">
        <w:rPr>
          <w:rFonts w:ascii="Palatino Linotype" w:eastAsia="Palatino Linotype" w:hAnsi="Palatino Linotype" w:cs="Palatino Linotype"/>
          <w:b/>
          <w:color w:val="000000"/>
        </w:rPr>
        <w:t>veintiséis de abril de dos mil veinticuatro</w:t>
      </w:r>
      <w:r w:rsidRPr="00ED12D0">
        <w:rPr>
          <w:rFonts w:ascii="Palatino Linotype" w:eastAsia="Palatino Linotype" w:hAnsi="Palatino Linotype" w:cs="Palatino Linotype"/>
          <w:color w:val="000000"/>
        </w:rPr>
        <w:t>, de tal forma que el plazo para interponer el recurso de revisión transcurrió del</w:t>
      </w:r>
      <w:r w:rsidRPr="00ED12D0">
        <w:rPr>
          <w:rFonts w:ascii="Palatino Linotype" w:eastAsia="Palatino Linotype" w:hAnsi="Palatino Linotype" w:cs="Palatino Linotype"/>
          <w:b/>
          <w:color w:val="000000"/>
        </w:rPr>
        <w:t xml:space="preserve"> veinticinco de abril al diecisiete de mayo de dos mil veinticuatro</w:t>
      </w:r>
      <w:r w:rsidRPr="00ED12D0">
        <w:rPr>
          <w:rFonts w:ascii="Palatino Linotype" w:eastAsia="Palatino Linotype" w:hAnsi="Palatino Linotype" w:cs="Palatino Linotype"/>
          <w:color w:val="000000"/>
        </w:rPr>
        <w:t xml:space="preserve">; en consecuencia, presentó su inconformidad el día </w:t>
      </w:r>
      <w:r w:rsidRPr="00ED12D0">
        <w:rPr>
          <w:rFonts w:ascii="Palatino Linotype" w:eastAsia="Palatino Linotype" w:hAnsi="Palatino Linotype" w:cs="Palatino Linotype"/>
          <w:b/>
          <w:color w:val="000000"/>
        </w:rPr>
        <w:t>treinta de abril de dos mil veinticuatro</w:t>
      </w:r>
      <w:r w:rsidRPr="00ED12D0">
        <w:rPr>
          <w:rFonts w:ascii="Palatino Linotype" w:eastAsia="Palatino Linotype" w:hAnsi="Palatino Linotype" w:cs="Palatino Linotype"/>
          <w:color w:val="000000"/>
        </w:rPr>
        <w:t xml:space="preserve">, por lo que se encuentra dentro de los márgenes temporales previstos en el artículo 178 de la </w:t>
      </w:r>
      <w:r w:rsidRPr="00ED12D0">
        <w:rPr>
          <w:rFonts w:ascii="Palatino Linotype" w:eastAsia="Palatino Linotype" w:hAnsi="Palatino Linotype" w:cs="Palatino Linotype"/>
          <w:b/>
          <w:color w:val="000000"/>
        </w:rPr>
        <w:t xml:space="preserve">Ley de Transparencia y Acceso a la Información Pública del Estado de México y Municipios </w:t>
      </w:r>
      <w:r w:rsidRPr="00ED12D0">
        <w:rPr>
          <w:rFonts w:ascii="Palatino Linotype" w:eastAsia="Palatino Linotype" w:hAnsi="Palatino Linotype" w:cs="Palatino Linotype"/>
          <w:color w:val="000000"/>
        </w:rPr>
        <w:t>vigente.</w:t>
      </w:r>
    </w:p>
    <w:p w:rsidR="008274A2" w:rsidRPr="00ED12D0" w:rsidRDefault="008274A2" w:rsidP="008274A2">
      <w:pPr>
        <w:spacing w:line="360" w:lineRule="auto"/>
        <w:rPr>
          <w:rFonts w:ascii="Palatino Linotype" w:eastAsia="Palatino Linotype" w:hAnsi="Palatino Linotype" w:cs="Palatino Linotype"/>
        </w:rPr>
      </w:pPr>
    </w:p>
    <w:p w:rsidR="008274A2" w:rsidRPr="00ED12D0" w:rsidRDefault="008274A2" w:rsidP="008274A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lastRenderedPageBreak/>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pStyle w:val="Ttulo2"/>
        <w:tabs>
          <w:tab w:val="left" w:pos="0"/>
        </w:tabs>
        <w:spacing w:before="0" w:line="360" w:lineRule="auto"/>
        <w:rPr>
          <w:rFonts w:ascii="Palatino Linotype" w:eastAsia="Palatino Linotype" w:hAnsi="Palatino Linotype" w:cs="Palatino Linotype"/>
          <w:b/>
          <w:color w:val="000000"/>
          <w:sz w:val="24"/>
          <w:szCs w:val="24"/>
        </w:rPr>
      </w:pPr>
      <w:r w:rsidRPr="00ED12D0">
        <w:rPr>
          <w:rFonts w:ascii="Palatino Linotype" w:eastAsia="Palatino Linotype" w:hAnsi="Palatino Linotype" w:cs="Palatino Linotype"/>
          <w:b/>
          <w:color w:val="000000"/>
          <w:sz w:val="24"/>
          <w:szCs w:val="24"/>
        </w:rPr>
        <w:t xml:space="preserve">TERCERO. De las causales de sobreseimiento </w:t>
      </w: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ED12D0">
        <w:rPr>
          <w:rFonts w:ascii="Palatino Linotype" w:eastAsia="Palatino Linotype" w:hAnsi="Palatino Linotype" w:cs="Palatino Linotype"/>
          <w:b/>
          <w:color w:val="000000"/>
          <w:u w:val="single"/>
        </w:rPr>
        <w:t>sobreseimiento</w:t>
      </w:r>
      <w:r w:rsidRPr="00ED12D0">
        <w:rPr>
          <w:rFonts w:ascii="Palatino Linotype" w:eastAsia="Palatino Linotype" w:hAnsi="Palatino Linotype" w:cs="Palatino Linotype"/>
          <w:color w:val="000000"/>
        </w:rPr>
        <w:t xml:space="preserve">; y en su caso ordenar la entrega de la información con respecto a la respuesta emitida por el </w:t>
      </w:r>
      <w:r w:rsidRPr="00ED12D0">
        <w:rPr>
          <w:rFonts w:ascii="Palatino Linotype" w:eastAsia="Palatino Linotype" w:hAnsi="Palatino Linotype" w:cs="Palatino Linotype"/>
          <w:b/>
          <w:color w:val="000000"/>
        </w:rPr>
        <w:t>SUJETO</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b/>
          <w:color w:val="000000"/>
        </w:rPr>
        <w:t>OBLIGADO</w:t>
      </w:r>
      <w:r w:rsidRPr="00ED12D0">
        <w:rPr>
          <w:rFonts w:ascii="Palatino Linotype" w:eastAsia="Palatino Linotype" w:hAnsi="Palatino Linotype" w:cs="Palatino Linotype"/>
          <w:color w:val="000000"/>
        </w:rPr>
        <w:t>.</w:t>
      </w:r>
    </w:p>
    <w:p w:rsidR="008274A2" w:rsidRPr="00ED12D0" w:rsidRDefault="008274A2" w:rsidP="008274A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De acuerdo al precepto legal contenido en la fracción III del artículo 192 de la </w:t>
      </w:r>
      <w:r w:rsidRPr="00ED12D0">
        <w:rPr>
          <w:rFonts w:ascii="Palatino Linotype" w:eastAsia="Palatino Linotype" w:hAnsi="Palatino Linotype" w:cs="Palatino Linotype"/>
          <w:b/>
          <w:color w:val="000000"/>
        </w:rPr>
        <w:t>Ley de Transparencia y Acceso a la Información Pública del Estado de México y Municipios</w:t>
      </w:r>
      <w:r w:rsidRPr="00ED12D0">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8274A2" w:rsidRPr="00ED12D0" w:rsidRDefault="008274A2" w:rsidP="008274A2">
      <w:pPr>
        <w:pBdr>
          <w:top w:val="nil"/>
          <w:left w:val="nil"/>
          <w:bottom w:val="nil"/>
          <w:right w:val="nil"/>
          <w:between w:val="nil"/>
        </w:pBdr>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w:t>
      </w:r>
    </w:p>
    <w:p w:rsidR="00463B5C" w:rsidRPr="00ED12D0" w:rsidRDefault="00463B5C" w:rsidP="00463B5C">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6"/>
        </w:numPr>
        <w:spacing w:line="360" w:lineRule="auto"/>
        <w:ind w:left="567" w:firstLine="0"/>
        <w:jc w:val="both"/>
        <w:rPr>
          <w:rFonts w:ascii="Palatino Linotype" w:eastAsia="Palatino Linotype" w:hAnsi="Palatino Linotype" w:cs="Palatino Linotype"/>
        </w:rPr>
      </w:pPr>
      <w:r w:rsidRPr="00ED12D0">
        <w:rPr>
          <w:rFonts w:ascii="Palatino Linotype" w:eastAsia="Palatino Linotype" w:hAnsi="Palatino Linotype" w:cs="Palatino Linotype"/>
          <w:b/>
        </w:rPr>
        <w:lastRenderedPageBreak/>
        <w:t>Modifique el acto impugnado:</w:t>
      </w:r>
      <w:r w:rsidRPr="00ED12D0">
        <w:rPr>
          <w:rFonts w:ascii="Palatino Linotype" w:eastAsia="Palatino Linotype" w:hAnsi="Palatino Linotype" w:cs="Palatino Linotype"/>
        </w:rPr>
        <w:t xml:space="preserve"> Se actualiza cuando el </w:t>
      </w:r>
      <w:r w:rsidRPr="00ED12D0">
        <w:rPr>
          <w:rFonts w:ascii="Palatino Linotype" w:eastAsia="Palatino Linotype" w:hAnsi="Palatino Linotype" w:cs="Palatino Linotype"/>
          <w:b/>
        </w:rPr>
        <w:t>SUJETO OBLIGADO</w:t>
      </w:r>
      <w:r w:rsidRPr="00ED12D0">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8274A2" w:rsidRPr="00ED12D0" w:rsidRDefault="008274A2" w:rsidP="008274A2">
      <w:pPr>
        <w:numPr>
          <w:ilvl w:val="0"/>
          <w:numId w:val="6"/>
        </w:numPr>
        <w:spacing w:line="360" w:lineRule="auto"/>
        <w:ind w:left="567" w:firstLine="0"/>
        <w:jc w:val="both"/>
        <w:rPr>
          <w:rFonts w:ascii="Palatino Linotype" w:eastAsia="Palatino Linotype" w:hAnsi="Palatino Linotype" w:cs="Palatino Linotype"/>
        </w:rPr>
      </w:pPr>
      <w:r w:rsidRPr="00ED12D0">
        <w:rPr>
          <w:rFonts w:ascii="Palatino Linotype" w:eastAsia="Palatino Linotype" w:hAnsi="Palatino Linotype" w:cs="Palatino Linotype"/>
          <w:b/>
        </w:rPr>
        <w:t>Revoque el acto impugnado:</w:t>
      </w:r>
      <w:r w:rsidRPr="00ED12D0">
        <w:rPr>
          <w:rFonts w:ascii="Palatino Linotype" w:eastAsia="Palatino Linotype" w:hAnsi="Palatino Linotype" w:cs="Palatino Linotype"/>
        </w:rPr>
        <w:t xml:space="preserve"> En este supuesto, el </w:t>
      </w:r>
      <w:r w:rsidRPr="00ED12D0">
        <w:rPr>
          <w:rFonts w:ascii="Palatino Linotype" w:eastAsia="Palatino Linotype" w:hAnsi="Palatino Linotype" w:cs="Palatino Linotype"/>
          <w:b/>
        </w:rPr>
        <w:t>SUJETO OBLIGADO</w:t>
      </w:r>
      <w:r w:rsidRPr="00ED12D0">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8274A2" w:rsidRPr="00ED12D0" w:rsidRDefault="008274A2" w:rsidP="008274A2">
      <w:pPr>
        <w:spacing w:line="360" w:lineRule="auto"/>
        <w:jc w:val="both"/>
        <w:rPr>
          <w:rFonts w:ascii="Palatino Linotype" w:eastAsia="Palatino Linotype" w:hAnsi="Palatino Linotype" w:cs="Palatino Linotype"/>
        </w:rPr>
      </w:pPr>
    </w:p>
    <w:p w:rsidR="008274A2" w:rsidRPr="00ED12D0" w:rsidRDefault="008274A2" w:rsidP="008274A2">
      <w:pPr>
        <w:numPr>
          <w:ilvl w:val="0"/>
          <w:numId w:val="2"/>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E92D61" w:rsidRPr="00ED12D0" w:rsidRDefault="00E92D61" w:rsidP="00E92D61">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color w:val="000000"/>
        </w:rPr>
      </w:pPr>
    </w:p>
    <w:p w:rsidR="008274A2" w:rsidRPr="00ED12D0" w:rsidRDefault="008274A2" w:rsidP="00E92D61">
      <w:pPr>
        <w:numPr>
          <w:ilvl w:val="0"/>
          <w:numId w:val="2"/>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b/>
          <w:color w:val="000000"/>
        </w:rPr>
      </w:pPr>
      <w:r w:rsidRPr="00ED12D0">
        <w:rPr>
          <w:rFonts w:ascii="Palatino Linotype" w:eastAsia="Palatino Linotype" w:hAnsi="Palatino Linotype" w:cs="Palatino Linotype"/>
          <w:color w:val="000000"/>
        </w:rPr>
        <w:t xml:space="preserve">En el presente caso, el Recurrente solicitó </w:t>
      </w:r>
      <w:r w:rsidR="00E92D61" w:rsidRPr="00ED12D0">
        <w:rPr>
          <w:rFonts w:ascii="Palatino Linotype" w:eastAsia="Palatino Linotype" w:hAnsi="Palatino Linotype" w:cs="Palatino Linotype"/>
          <w:color w:val="000000"/>
        </w:rPr>
        <w:t>en relación al ejercicio fiscal 2024, la Norma emplea este Órgano Fiscalizador para revisar el proceso de conciliación físico-contable</w:t>
      </w:r>
      <w:r w:rsidR="00E92D61" w:rsidRPr="00ED12D0">
        <w:rPr>
          <w:rFonts w:ascii="Palatino Linotype" w:eastAsia="Palatino Linotype" w:hAnsi="Palatino Linotype" w:cs="Palatino Linotype"/>
          <w:b/>
          <w:color w:val="000000"/>
        </w:rPr>
        <w:t xml:space="preserve"> y </w:t>
      </w:r>
      <w:r w:rsidR="00E92D61" w:rsidRPr="00ED12D0">
        <w:rPr>
          <w:rFonts w:ascii="Palatino Linotype" w:eastAsia="Palatino Linotype" w:hAnsi="Palatino Linotype" w:cs="Palatino Linotype"/>
          <w:color w:val="000000"/>
        </w:rPr>
        <w:t>para revisar de manera objetiva las cuentas de activo fijo y el inventario general de bienes muebles e inmuebles, en lo que toca a su control, baja, registro contable y manejo administrativo, como la asignación de número de inventario, así como conocer si es obligatorio el uso del sistema CREG-PATRIMONIAL, institucionalizado por el OSFEM para los municipios y norma se basa dicha obligatoriedad.</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E92D61">
      <w:pPr>
        <w:numPr>
          <w:ilvl w:val="0"/>
          <w:numId w:val="2"/>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i/>
          <w:color w:val="000000"/>
        </w:rPr>
      </w:pPr>
      <w:r w:rsidRPr="00ED12D0">
        <w:rPr>
          <w:rFonts w:ascii="Palatino Linotype" w:eastAsia="Palatino Linotype" w:hAnsi="Palatino Linotype" w:cs="Palatino Linotype"/>
          <w:color w:val="000000"/>
        </w:rPr>
        <w:lastRenderedPageBreak/>
        <w:t xml:space="preserve">En respuesta, el Sujeto Obligado </w:t>
      </w:r>
      <w:r w:rsidR="00E92D61" w:rsidRPr="00ED12D0">
        <w:rPr>
          <w:rFonts w:ascii="Palatino Linotype" w:eastAsia="Palatino Linotype" w:hAnsi="Palatino Linotype" w:cs="Palatino Linotype"/>
          <w:color w:val="000000"/>
        </w:rPr>
        <w:t xml:space="preserve">señaló que los requerimientos del particular no actualizan el ejercicio de acceso a la información pública, toda vez que se pretende un pronunciamiento de manera afirmativa o negativa, o bien se emita un pronunciamiento categórico mediante el cual explique determinada situación, a fin de satisfacer su interrogante o inquietud. </w:t>
      </w:r>
    </w:p>
    <w:p w:rsidR="00E92D61" w:rsidRPr="00ED12D0" w:rsidRDefault="00E92D61" w:rsidP="00E92D61">
      <w:pPr>
        <w:pStyle w:val="Prrafodelista"/>
        <w:rPr>
          <w:rFonts w:ascii="Palatino Linotype" w:eastAsia="Palatino Linotype" w:hAnsi="Palatino Linotype" w:cs="Palatino Linotype"/>
          <w:i/>
          <w:color w:val="000000"/>
        </w:rPr>
      </w:pPr>
    </w:p>
    <w:p w:rsidR="00E92D61" w:rsidRPr="00ED12D0" w:rsidRDefault="00E92D61" w:rsidP="00E92D61">
      <w:pPr>
        <w:numPr>
          <w:ilvl w:val="0"/>
          <w:numId w:val="2"/>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Posteriormente, a través de informe justificado el Servidor Público Habilitado señaló</w:t>
      </w:r>
      <w:r w:rsidR="00147807" w:rsidRPr="00ED12D0">
        <w:rPr>
          <w:rFonts w:ascii="Palatino Linotype" w:eastAsia="Palatino Linotype" w:hAnsi="Palatino Linotype" w:cs="Palatino Linotype"/>
          <w:color w:val="000000"/>
        </w:rPr>
        <w:t xml:space="preserve"> lo siguiente:</w:t>
      </w:r>
    </w:p>
    <w:p w:rsidR="00147807" w:rsidRPr="00ED12D0" w:rsidRDefault="00147807" w:rsidP="00147807">
      <w:pPr>
        <w:pStyle w:val="Prrafodelista"/>
        <w:pBdr>
          <w:top w:val="nil"/>
          <w:left w:val="nil"/>
          <w:bottom w:val="nil"/>
          <w:right w:val="nil"/>
          <w:between w:val="nil"/>
        </w:pBdr>
        <w:tabs>
          <w:tab w:val="left" w:pos="8222"/>
        </w:tabs>
        <w:spacing w:line="360" w:lineRule="auto"/>
        <w:ind w:right="822"/>
        <w:jc w:val="both"/>
        <w:rPr>
          <w:rFonts w:ascii="Palatino Linotype" w:eastAsia="Palatino Linotype" w:hAnsi="Palatino Linotype" w:cs="Palatino Linotype"/>
          <w:i/>
        </w:rPr>
      </w:pPr>
      <w:r w:rsidRPr="00ED12D0">
        <w:rPr>
          <w:rFonts w:ascii="Palatino Linotype" w:eastAsia="Palatino Linotype" w:hAnsi="Palatino Linotype" w:cs="Palatino Linotype"/>
          <w:i/>
        </w:rPr>
        <w:t>“No obstante lo anterior, es de precisar que el registro y control de bienes muebles e inmuebles a que se refiere el solicitante, existen diversas disposiciones se encuentran contenidas en diferentes ordenamientos como la Ley General de Contabilidad Gubernamental, Ley General de Bienes Nacionales, los Lineamientos dirigidos a asegurar que el Sistema de Contabilidad Gubernamental facilite el Registro y Control de los Inventarios de los Bienes Muebles e Inmuebles de los Entes Públicos, la Ley de Bienes del Estado de México y sus Municipios, el Manual Único de Contabilidad Gubernamental, los Acuerdos del Consejo de Armonización Contable (CONAC) y los Acuerdos del Consejo de Armonización Contable del Estado de México (CACEM), fundamentalmente y el registro que cada ente utilice es responsabilidad de los mismos.</w:t>
      </w:r>
    </w:p>
    <w:p w:rsidR="00147807" w:rsidRPr="00ED12D0" w:rsidRDefault="00147807" w:rsidP="00147807">
      <w:pPr>
        <w:pStyle w:val="Prrafodelista"/>
        <w:tabs>
          <w:tab w:val="left" w:pos="8222"/>
        </w:tabs>
        <w:spacing w:line="360" w:lineRule="auto"/>
        <w:ind w:right="822"/>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i/>
        </w:rPr>
        <w:t xml:space="preserve">Por otra parte, de conformidad con lo que establecen los artículos 115 fracción II de la Constitución Política de los Estados Unidos Mexicanos; 3, 31 fracción I, 86 párrafo I y 164 de la Ley Orgánica Municipal del Estado de México, </w:t>
      </w:r>
      <w:r w:rsidRPr="00ED12D0">
        <w:rPr>
          <w:rFonts w:ascii="Palatino Linotype" w:eastAsia="Palatino Linotype" w:hAnsi="Palatino Linotype" w:cs="Palatino Linotype"/>
          <w:b/>
          <w:i/>
        </w:rPr>
        <w:t xml:space="preserve">los Ayuntamientos de los Municipios, tienen facultades para emitir </w:t>
      </w:r>
      <w:r w:rsidRPr="00ED12D0">
        <w:rPr>
          <w:rFonts w:ascii="Palatino Linotype" w:eastAsia="Palatino Linotype" w:hAnsi="Palatino Linotype" w:cs="Palatino Linotype"/>
          <w:b/>
          <w:i/>
        </w:rPr>
        <w:lastRenderedPageBreak/>
        <w:t>disposiciones administrativas que sean necesarias para el ejercicio de sus atribuciones.</w:t>
      </w:r>
    </w:p>
    <w:p w:rsidR="00E92D61" w:rsidRPr="00ED12D0" w:rsidRDefault="00E92D61" w:rsidP="00147807">
      <w:pPr>
        <w:pBdr>
          <w:top w:val="nil"/>
          <w:left w:val="nil"/>
          <w:bottom w:val="nil"/>
          <w:right w:val="nil"/>
          <w:between w:val="nil"/>
        </w:pBdr>
        <w:tabs>
          <w:tab w:val="left" w:pos="284"/>
          <w:tab w:val="left" w:pos="567"/>
        </w:tabs>
        <w:spacing w:line="360" w:lineRule="auto"/>
        <w:jc w:val="both"/>
        <w:rPr>
          <w:rFonts w:ascii="Palatino Linotype" w:eastAsia="Palatino Linotype" w:hAnsi="Palatino Linotype" w:cs="Palatino Linotype"/>
          <w:i/>
          <w:color w:val="000000"/>
        </w:rPr>
      </w:pPr>
    </w:p>
    <w:p w:rsidR="008274A2" w:rsidRPr="00ED12D0" w:rsidRDefault="008274A2" w:rsidP="00147807">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Así, podemos advertir que a través de informe justificado, el Sujeto Obliga</w:t>
      </w:r>
      <w:r w:rsidR="00147807" w:rsidRPr="00ED12D0">
        <w:rPr>
          <w:rFonts w:ascii="Palatino Linotype" w:eastAsia="Palatino Linotype" w:hAnsi="Palatino Linotype" w:cs="Palatino Linotype"/>
          <w:color w:val="000000"/>
        </w:rPr>
        <w:t xml:space="preserve">do amplió su respuesta y señaló diversos ordenamientos legales, asimismo, señaló que los ayuntamientos tienen las facultades de emitir las disposiciones necesarias para el ejercicio de sus atribuciones, </w:t>
      </w:r>
      <w:r w:rsidRPr="00ED12D0">
        <w:rPr>
          <w:rFonts w:ascii="Palatino Linotype" w:eastAsia="Palatino Linotype" w:hAnsi="Palatino Linotype" w:cs="Palatino Linotype"/>
          <w:color w:val="000000"/>
        </w:rPr>
        <w:t xml:space="preserve">en ese sentido, la </w:t>
      </w:r>
      <w:r w:rsidRPr="00ED12D0">
        <w:rPr>
          <w:rFonts w:ascii="Palatino Linotype" w:eastAsia="Palatino Linotype" w:hAnsi="Palatino Linotype" w:cs="Palatino Linotype"/>
          <w:b/>
          <w:color w:val="000000"/>
        </w:rPr>
        <w:t>Ley de Transparencia y Acceso a la Información Pública del Estado de México y Municipios</w:t>
      </w:r>
      <w:r w:rsidRPr="00ED12D0">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w:t>
      </w:r>
      <w:r w:rsidRPr="00ED12D0">
        <w:rPr>
          <w:rFonts w:ascii="Palatino Linotype" w:eastAsia="Palatino Linotype" w:hAnsi="Palatino Linotype" w:cs="Palatino Linotype"/>
          <w:b/>
          <w:color w:val="000000"/>
        </w:rPr>
        <w:t>veracidad,</w:t>
      </w:r>
      <w:r w:rsidRPr="00ED12D0">
        <w:rPr>
          <w:rFonts w:ascii="Palatino Linotype" w:eastAsia="Palatino Linotype" w:hAnsi="Palatino Linotype" w:cs="Palatino Linotype"/>
          <w:color w:val="000000"/>
        </w:rPr>
        <w:t xml:space="preserve"> oportunidad entre otros, numeral en comento que a la letra señala:</w:t>
      </w:r>
    </w:p>
    <w:p w:rsidR="00147807" w:rsidRPr="00ED12D0" w:rsidRDefault="00147807" w:rsidP="0014780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ED12D0">
        <w:rPr>
          <w:rFonts w:ascii="Palatino Linotype" w:eastAsia="Palatino Linotype" w:hAnsi="Palatino Linotype" w:cs="Palatino Linotype"/>
          <w:i/>
          <w:color w:val="000000"/>
        </w:rPr>
        <w:t xml:space="preserve">“Artículo 4.- </w:t>
      </w: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ED12D0">
        <w:rPr>
          <w:rFonts w:ascii="Palatino Linotype" w:eastAsia="Palatino Linotype" w:hAnsi="Palatino Linotype" w:cs="Palatino Linotype"/>
          <w:i/>
          <w:color w:val="000000"/>
        </w:rPr>
        <w:t>..</w:t>
      </w: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ED12D0">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8274A2" w:rsidRPr="00ED12D0" w:rsidRDefault="008274A2" w:rsidP="008274A2">
      <w:pPr>
        <w:pBdr>
          <w:top w:val="nil"/>
          <w:left w:val="nil"/>
          <w:bottom w:val="nil"/>
          <w:right w:val="nil"/>
          <w:between w:val="nil"/>
        </w:pBdr>
        <w:spacing w:line="360" w:lineRule="auto"/>
        <w:ind w:left="720"/>
        <w:jc w:val="both"/>
        <w:rPr>
          <w:rFonts w:ascii="Palatino Linotype" w:eastAsia="Palatino Linotype" w:hAnsi="Palatino Linotype" w:cs="Palatino Linotype"/>
          <w:b/>
          <w:i/>
          <w:color w:val="000000"/>
        </w:rPr>
      </w:pPr>
      <w:r w:rsidRPr="00ED12D0">
        <w:rPr>
          <w:rFonts w:ascii="Palatino Linotype" w:eastAsia="Palatino Linotype" w:hAnsi="Palatino Linotype" w:cs="Palatino Linotype"/>
          <w:i/>
          <w:color w:val="000000"/>
        </w:rPr>
        <w:t>…”</w:t>
      </w:r>
    </w:p>
    <w:p w:rsidR="008274A2" w:rsidRPr="00ED12D0" w:rsidRDefault="008274A2" w:rsidP="008274A2">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0"/>
        </w:tabs>
        <w:spacing w:line="360" w:lineRule="auto"/>
        <w:ind w:left="0" w:hanging="142"/>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Numerales que compelen al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 xml:space="preserve"> a apegarse en todo momento a los criterios ya expuestos, </w:t>
      </w:r>
      <w:r w:rsidRPr="00ED12D0">
        <w:rPr>
          <w:rFonts w:ascii="Palatino Linotype" w:eastAsia="Palatino Linotype" w:hAnsi="Palatino Linotype" w:cs="Palatino Linotype"/>
        </w:rPr>
        <w:t>impidiendo</w:t>
      </w:r>
      <w:r w:rsidRPr="00ED12D0">
        <w:rPr>
          <w:rFonts w:ascii="Palatino Linotype" w:eastAsia="Palatino Linotype" w:hAnsi="Palatino Linotype" w:cs="Palatino Linotype"/>
          <w:color w:val="000000"/>
        </w:rPr>
        <w:t xml:space="preserve"> a este Órgano Colegiado cuestionar la veracidad de la información.</w:t>
      </w:r>
    </w:p>
    <w:p w:rsidR="008274A2" w:rsidRPr="00ED12D0" w:rsidRDefault="008274A2" w:rsidP="008274A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 Así, este Pleno advierte que el </w:t>
      </w:r>
      <w:r w:rsidRPr="00ED12D0">
        <w:rPr>
          <w:rFonts w:ascii="Palatino Linotype" w:eastAsia="Palatino Linotype" w:hAnsi="Palatino Linotype" w:cs="Palatino Linotype"/>
          <w:b/>
          <w:color w:val="000000"/>
        </w:rPr>
        <w:t>SUJETO OBLIGADO</w:t>
      </w:r>
      <w:r w:rsidRPr="00ED12D0">
        <w:rPr>
          <w:rFonts w:ascii="Palatino Linotype" w:eastAsia="Palatino Linotype" w:hAnsi="Palatino Linotype" w:cs="Palatino Linotype"/>
          <w:color w:val="000000"/>
        </w:rPr>
        <w:t xml:space="preserve"> </w:t>
      </w:r>
      <w:r w:rsidRPr="00ED12D0">
        <w:rPr>
          <w:rFonts w:ascii="Palatino Linotype" w:eastAsia="Palatino Linotype" w:hAnsi="Palatino Linotype" w:cs="Palatino Linotype"/>
          <w:b/>
          <w:color w:val="000000"/>
        </w:rPr>
        <w:t xml:space="preserve">modificó </w:t>
      </w:r>
      <w:r w:rsidRPr="00ED12D0">
        <w:rPr>
          <w:rFonts w:ascii="Palatino Linotype" w:eastAsia="Palatino Linotype" w:hAnsi="Palatino Linotype" w:cs="Palatino Linotype"/>
          <w:color w:val="000000"/>
        </w:rPr>
        <w:t>el acto que le dio origen a los recursos de revisión, lo que trae como consecuencia que el mismo quede sin materia, actualizándose de este modo, la hipótesis jurídica contenida en la fracción III del artículo 192 de la Ley de Transparencia Local.</w:t>
      </w:r>
    </w:p>
    <w:p w:rsidR="008274A2" w:rsidRPr="00ED12D0" w:rsidRDefault="008274A2" w:rsidP="008274A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ED12D0">
        <w:rPr>
          <w:rFonts w:ascii="Palatino Linotype" w:eastAsia="Palatino Linotype" w:hAnsi="Palatino Linotype" w:cs="Palatino Linotype"/>
          <w:b/>
          <w:color w:val="000000"/>
        </w:rPr>
        <w:t>SUJETOS OBLIGADOS</w:t>
      </w:r>
      <w:r w:rsidRPr="00ED12D0">
        <w:rPr>
          <w:rFonts w:ascii="Palatino Linotype" w:eastAsia="Palatino Linotype" w:hAnsi="Palatino Linotype" w:cs="Palatino Linotype"/>
          <w:color w:val="000000"/>
        </w:rPr>
        <w:t xml:space="preserve"> o la negativa de entrega de esta, derivada de la solicitud de información pública.</w:t>
      </w:r>
    </w:p>
    <w:p w:rsidR="008274A2" w:rsidRPr="00ED12D0" w:rsidRDefault="008274A2" w:rsidP="008274A2">
      <w:pPr>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De este modo, cuando el </w:t>
      </w:r>
      <w:r w:rsidRPr="00ED12D0">
        <w:rPr>
          <w:rFonts w:ascii="Palatino Linotype" w:eastAsia="Palatino Linotype" w:hAnsi="Palatino Linotype" w:cs="Palatino Linotype"/>
          <w:b/>
          <w:color w:val="000000"/>
        </w:rPr>
        <w:t xml:space="preserve">SUJETO OBLIGADO, </w:t>
      </w:r>
      <w:r w:rsidRPr="00ED12D0">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ED12D0">
        <w:rPr>
          <w:rFonts w:ascii="Palatino Linotype" w:eastAsia="Palatino Linotype" w:hAnsi="Palatino Linotype" w:cs="Palatino Linotype"/>
          <w:i/>
          <w:color w:val="000000"/>
        </w:rPr>
        <w:t>litis</w:t>
      </w:r>
      <w:r w:rsidRPr="00ED12D0">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8274A2" w:rsidRPr="00ED12D0" w:rsidRDefault="008274A2" w:rsidP="008274A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147807" w:rsidRPr="00ED12D0" w:rsidRDefault="00147807" w:rsidP="00147807">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pBdr>
          <w:top w:val="nil"/>
          <w:left w:val="nil"/>
          <w:bottom w:val="nil"/>
          <w:right w:val="nil"/>
          <w:between w:val="nil"/>
        </w:pBdr>
        <w:tabs>
          <w:tab w:val="left" w:pos="709"/>
          <w:tab w:val="left" w:pos="851"/>
        </w:tabs>
        <w:spacing w:line="360" w:lineRule="auto"/>
        <w:ind w:left="851"/>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b/>
          <w:i/>
          <w:color w:val="000000"/>
        </w:rPr>
        <w:lastRenderedPageBreak/>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ED12D0">
        <w:rPr>
          <w:rFonts w:ascii="Palatino Linotype" w:eastAsia="Palatino Linotype" w:hAnsi="Palatino Linotype" w:cs="Palatino Linotype"/>
          <w:i/>
          <w:color w:val="000000"/>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8274A2" w:rsidRPr="00ED12D0" w:rsidRDefault="008274A2" w:rsidP="008274A2">
      <w:pPr>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284"/>
          <w:tab w:val="left" w:pos="567"/>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La anterior jurisprudencia resulta aplicable al presente asunto, en dos aspectos: </w:t>
      </w:r>
    </w:p>
    <w:p w:rsidR="008274A2" w:rsidRPr="00ED12D0" w:rsidRDefault="008274A2" w:rsidP="008274A2">
      <w:pPr>
        <w:numPr>
          <w:ilvl w:val="0"/>
          <w:numId w:val="7"/>
        </w:numPr>
        <w:spacing w:line="360" w:lineRule="auto"/>
        <w:ind w:left="567" w:firstLine="0"/>
        <w:jc w:val="both"/>
        <w:rPr>
          <w:rFonts w:ascii="Palatino Linotype" w:eastAsia="Palatino Linotype" w:hAnsi="Palatino Linotype" w:cs="Palatino Linotype"/>
        </w:rPr>
      </w:pPr>
      <w:r w:rsidRPr="00ED12D0">
        <w:rPr>
          <w:rFonts w:ascii="Palatino Linotype" w:eastAsia="Palatino Linotype" w:hAnsi="Palatino Linotype" w:cs="Palatino Linotype"/>
          <w:b/>
        </w:rPr>
        <w:lastRenderedPageBreak/>
        <w:t>La cesación de los efectos perniciosos del acto de autoridad:</w:t>
      </w:r>
      <w:r w:rsidRPr="00ED12D0">
        <w:rPr>
          <w:rFonts w:ascii="Palatino Linotype" w:eastAsia="Palatino Linotype" w:hAnsi="Palatino Linotype" w:cs="Palatino Linotype"/>
        </w:rPr>
        <w:t xml:space="preserve"> Al respecto, la Ley de Transparencia contempla la figura jurídica del sobreseimiento cuando el </w:t>
      </w:r>
      <w:r w:rsidRPr="00ED12D0">
        <w:rPr>
          <w:rFonts w:ascii="Palatino Linotype" w:eastAsia="Palatino Linotype" w:hAnsi="Palatino Linotype" w:cs="Palatino Linotype"/>
          <w:b/>
        </w:rPr>
        <w:t>SUJETO OBLIGADO</w:t>
      </w:r>
      <w:r w:rsidRPr="00ED12D0">
        <w:rPr>
          <w:rFonts w:ascii="Palatino Linotype" w:eastAsia="Palatino Linotype" w:hAnsi="Palatino Linotype" w:cs="Palatino Linotype"/>
        </w:rPr>
        <w:t xml:space="preserve"> de </w:t>
      </w:r>
      <w:r w:rsidRPr="00ED12D0">
        <w:rPr>
          <w:rFonts w:ascii="Palatino Linotype" w:eastAsia="Palatino Linotype" w:hAnsi="Palatino Linotype" w:cs="Palatino Linotype"/>
          <w:i/>
        </w:rPr>
        <w:t>motu proprio</w:t>
      </w:r>
      <w:r w:rsidRPr="00ED12D0">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rsidR="008274A2" w:rsidRPr="00ED12D0" w:rsidRDefault="008274A2" w:rsidP="008274A2">
      <w:pPr>
        <w:numPr>
          <w:ilvl w:val="0"/>
          <w:numId w:val="7"/>
        </w:numPr>
        <w:spacing w:line="360" w:lineRule="auto"/>
        <w:ind w:left="567" w:firstLine="0"/>
        <w:jc w:val="both"/>
        <w:rPr>
          <w:rFonts w:ascii="Palatino Linotype" w:eastAsia="Palatino Linotype" w:hAnsi="Palatino Linotype" w:cs="Palatino Linotype"/>
        </w:rPr>
      </w:pPr>
      <w:r w:rsidRPr="00ED12D0">
        <w:rPr>
          <w:rFonts w:ascii="Palatino Linotype" w:eastAsia="Palatino Linotype" w:hAnsi="Palatino Linotype" w:cs="Palatino Linotype"/>
          <w:b/>
        </w:rPr>
        <w:t>El momento procesal para modificar el acto impugnado:</w:t>
      </w:r>
      <w:r w:rsidRPr="00ED12D0">
        <w:rPr>
          <w:rFonts w:ascii="Palatino Linotype" w:eastAsia="Palatino Linotype" w:hAnsi="Palatino Linotype" w:cs="Palatino Linotype"/>
        </w:rPr>
        <w:t xml:space="preserve"> Para que se actualice el sobreseimiento de un recurso de revisión, el </w:t>
      </w:r>
      <w:r w:rsidRPr="00ED12D0">
        <w:rPr>
          <w:rFonts w:ascii="Palatino Linotype" w:eastAsia="Palatino Linotype" w:hAnsi="Palatino Linotype" w:cs="Palatino Linotype"/>
          <w:b/>
        </w:rPr>
        <w:t>SUJETO OBLIGADO</w:t>
      </w:r>
      <w:r w:rsidRPr="00ED12D0">
        <w:rPr>
          <w:rFonts w:ascii="Palatino Linotype" w:eastAsia="Palatino Linotype" w:hAnsi="Palatino Linotype" w:cs="Palatino Linotype"/>
        </w:rPr>
        <w:t xml:space="preserve"> puede entregar o completar la información al momento de rendir su informe de justificación o </w:t>
      </w:r>
      <w:r w:rsidRPr="00ED12D0">
        <w:rPr>
          <w:rFonts w:ascii="Palatino Linotype" w:eastAsia="Palatino Linotype" w:hAnsi="Palatino Linotype" w:cs="Palatino Linotype"/>
          <w:b/>
          <w:u w:val="single"/>
        </w:rPr>
        <w:t>posteriormente</w:t>
      </w:r>
      <w:r w:rsidRPr="00ED12D0">
        <w:rPr>
          <w:rFonts w:ascii="Palatino Linotype" w:eastAsia="Palatino Linotype" w:hAnsi="Palatino Linotype" w:cs="Palatino Linotype"/>
        </w:rPr>
        <w:t xml:space="preserve"> a éste, siempre y cuando el Pleno del Instituto no haya dictado resolución definitiva.</w:t>
      </w:r>
    </w:p>
    <w:p w:rsidR="008274A2" w:rsidRPr="00ED12D0" w:rsidRDefault="008274A2" w:rsidP="008274A2">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Eduardo Pallares, en su artículo </w:t>
      </w:r>
      <w:r w:rsidRPr="00ED12D0">
        <w:rPr>
          <w:rFonts w:ascii="Palatino Linotype" w:eastAsia="Palatino Linotype" w:hAnsi="Palatino Linotype" w:cs="Palatino Linotype"/>
          <w:i/>
          <w:color w:val="000000"/>
        </w:rPr>
        <w:t>“La caducidad y el sobreseimiento en el amparo”</w:t>
      </w:r>
      <w:r w:rsidRPr="00ED12D0">
        <w:rPr>
          <w:rFonts w:ascii="Palatino Linotype" w:eastAsia="Palatino Linotype" w:hAnsi="Palatino Linotype" w:cs="Palatino Linotype"/>
          <w:color w:val="000000"/>
        </w:rPr>
        <w:t xml:space="preserve">, cita la definición de Aguilera Paz, aduciendo que se </w:t>
      </w:r>
      <w:r w:rsidRPr="00ED12D0">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ED12D0">
        <w:rPr>
          <w:rFonts w:ascii="Palatino Linotype" w:eastAsia="Palatino Linotype" w:hAnsi="Palatino Linotype" w:cs="Palatino Linotype"/>
          <w:color w:val="000000"/>
        </w:rPr>
        <w:t>. Asimismo, señala que existe el sobreseimiento provisional y el definitivo</w:t>
      </w:r>
      <w:r w:rsidRPr="00ED12D0">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8274A2" w:rsidRPr="00ED12D0"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147807" w:rsidRPr="00ED12D0" w:rsidRDefault="008274A2" w:rsidP="00147807">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ED12D0">
        <w:rPr>
          <w:rFonts w:ascii="Palatino Linotype" w:eastAsia="Palatino Linotype" w:hAnsi="Palatino Linotype" w:cs="Palatino Linotype"/>
          <w:b/>
          <w:color w:val="000000"/>
          <w:u w:val="single"/>
        </w:rPr>
        <w:t xml:space="preserve">sin que se entre al estudio de los agravios o motivos de inconformidad. </w:t>
      </w:r>
      <w:r w:rsidRPr="00ED12D0">
        <w:rPr>
          <w:rFonts w:ascii="Palatino Linotype" w:eastAsia="Palatino Linotype" w:hAnsi="Palatino Linotype" w:cs="Palatino Linotype"/>
          <w:color w:val="000000"/>
        </w:rPr>
        <w:t xml:space="preserve">Este mismo criterio es compartido por el más alto tribunal </w:t>
      </w:r>
      <w:r w:rsidRPr="00ED12D0">
        <w:rPr>
          <w:rFonts w:ascii="Palatino Linotype" w:eastAsia="Palatino Linotype" w:hAnsi="Palatino Linotype" w:cs="Palatino Linotype"/>
          <w:color w:val="000000"/>
        </w:rPr>
        <w:lastRenderedPageBreak/>
        <w:t>del país en múltiples jurisprudencias, por lo que a continuación se agrega una de ellas que sirve como orientador en esta resolución:</w:t>
      </w:r>
    </w:p>
    <w:p w:rsidR="00147807" w:rsidRPr="00ED12D0" w:rsidRDefault="00147807" w:rsidP="00147807">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8274A2" w:rsidRPr="00ED12D0" w:rsidRDefault="008274A2" w:rsidP="00147807">
      <w:pPr>
        <w:spacing w:line="360" w:lineRule="auto"/>
        <w:ind w:left="851" w:right="822"/>
        <w:jc w:val="both"/>
        <w:rPr>
          <w:rFonts w:ascii="Palatino Linotype" w:eastAsia="Palatino Linotype" w:hAnsi="Palatino Linotype" w:cs="Palatino Linotype"/>
          <w:i/>
        </w:rPr>
      </w:pPr>
      <w:r w:rsidRPr="00ED12D0">
        <w:rPr>
          <w:rFonts w:ascii="Palatino Linotype" w:eastAsia="Palatino Linotype" w:hAnsi="Palatino Linotype" w:cs="Palatino Linotype"/>
          <w:b/>
          <w:i/>
        </w:rPr>
        <w:t>SOBRESEIMIENTO EN EL JUICIO DE AMPARO DIRECTO. IMPIDE EL ESTUDIO DE LAS VIOLACIONES PROCESALES PLANTEADAS EN LOS CONCEPTOS DE VIOLACIÓN. El sobreseimiento</w:t>
      </w:r>
      <w:r w:rsidRPr="00ED12D0">
        <w:rPr>
          <w:rFonts w:ascii="Palatino Linotype" w:eastAsia="Palatino Linotype" w:hAnsi="Palatino Linotype" w:cs="Palatino Linotype"/>
          <w:i/>
        </w:rPr>
        <w:t xml:space="preserve"> en el juicio de amparo directo </w:t>
      </w:r>
      <w:r w:rsidRPr="00ED12D0">
        <w:rPr>
          <w:rFonts w:ascii="Palatino Linotype" w:eastAsia="Palatino Linotype" w:hAnsi="Palatino Linotype" w:cs="Palatino Linotype"/>
          <w:b/>
          <w:i/>
        </w:rPr>
        <w:t>provoca la terminación de la controversia planteada</w:t>
      </w:r>
      <w:r w:rsidRPr="00ED12D0">
        <w:rPr>
          <w:rFonts w:ascii="Palatino Linotype" w:eastAsia="Palatino Linotype" w:hAnsi="Palatino Linotype" w:cs="Palatino Linotype"/>
          <w:i/>
        </w:rPr>
        <w:t xml:space="preserve"> por el quejoso en la demanda de amparo</w:t>
      </w:r>
      <w:r w:rsidRPr="00ED12D0">
        <w:rPr>
          <w:rFonts w:ascii="Palatino Linotype" w:eastAsia="Palatino Linotype" w:hAnsi="Palatino Linotype" w:cs="Palatino Linotype"/>
          <w:b/>
          <w:i/>
        </w:rPr>
        <w:t>, sin hacer un pronunciamiento de fondo sobre la legalidad o ilegalidad de la sentencia reclamada</w:t>
      </w:r>
      <w:r w:rsidRPr="00ED12D0">
        <w:rPr>
          <w:rFonts w:ascii="Palatino Linotype" w:eastAsia="Palatino Linotype" w:hAnsi="Palatino Linotype" w:cs="Palatino Linotype"/>
          <w:i/>
        </w:rPr>
        <w:t xml:space="preserve">. </w:t>
      </w:r>
      <w:r w:rsidRPr="00ED12D0">
        <w:rPr>
          <w:rFonts w:ascii="Palatino Linotype" w:eastAsia="Palatino Linotype" w:hAnsi="Palatino Linotype" w:cs="Palatino Linotype"/>
          <w:b/>
          <w:i/>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ED12D0">
        <w:rPr>
          <w:rFonts w:ascii="Palatino Linotype" w:eastAsia="Palatino Linotype" w:hAnsi="Palatino Linotype" w:cs="Palatino Linotype"/>
          <w:i/>
        </w:rPr>
        <w:t>.</w:t>
      </w:r>
    </w:p>
    <w:p w:rsidR="008274A2" w:rsidRPr="00ED12D0" w:rsidRDefault="008274A2" w:rsidP="00147807">
      <w:pPr>
        <w:spacing w:line="360" w:lineRule="auto"/>
        <w:ind w:left="851" w:right="822"/>
        <w:jc w:val="both"/>
        <w:rPr>
          <w:rFonts w:ascii="Palatino Linotype" w:eastAsia="Palatino Linotype" w:hAnsi="Palatino Linotype" w:cs="Palatino Linotype"/>
          <w:i/>
        </w:rPr>
      </w:pPr>
      <w:r w:rsidRPr="00ED12D0">
        <w:rPr>
          <w:rFonts w:ascii="Palatino Linotype" w:eastAsia="Palatino Linotype" w:hAnsi="Palatino Linotype" w:cs="Palatino Linotype"/>
          <w:i/>
        </w:rPr>
        <w:t>SÉPTIMO TRIBUNAL COLEGIADO EN MATERIA CIVIL DEL PRIMER CIRCUITO.</w:t>
      </w:r>
    </w:p>
    <w:p w:rsidR="008274A2" w:rsidRPr="00ED12D0" w:rsidRDefault="008274A2" w:rsidP="00147807">
      <w:pPr>
        <w:spacing w:line="360" w:lineRule="auto"/>
        <w:ind w:left="851" w:right="822"/>
        <w:jc w:val="both"/>
        <w:rPr>
          <w:rFonts w:ascii="Palatino Linotype" w:eastAsia="Palatino Linotype" w:hAnsi="Palatino Linotype" w:cs="Palatino Linotype"/>
          <w:b/>
          <w:i/>
        </w:rPr>
      </w:pPr>
      <w:r w:rsidRPr="00ED12D0">
        <w:rPr>
          <w:rFonts w:ascii="Palatino Linotype" w:eastAsia="Palatino Linotype" w:hAnsi="Palatino Linotype" w:cs="Palatino Linotype"/>
          <w:i/>
        </w:rPr>
        <w:t>Amparo directo 699/2008. Mariana Leticia González Steele. 13 de noviembre de 2008. Unanimidad de votos. Ponente: Sara Judith Montalvo Trejo. Secretario: Arnulfo Mateos García.</w:t>
      </w:r>
    </w:p>
    <w:p w:rsidR="008274A2" w:rsidRPr="00ED12D0" w:rsidRDefault="008274A2" w:rsidP="008274A2">
      <w:pPr>
        <w:spacing w:line="360" w:lineRule="auto"/>
        <w:jc w:val="both"/>
        <w:rPr>
          <w:rFonts w:ascii="Palatino Linotype" w:eastAsia="Palatino Linotype" w:hAnsi="Palatino Linotype" w:cs="Palatino Linotype"/>
          <w:b/>
          <w:i/>
        </w:rPr>
      </w:pPr>
    </w:p>
    <w:p w:rsidR="008274A2" w:rsidRPr="00ED12D0" w:rsidRDefault="008274A2" w:rsidP="008274A2">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Consecuentemente, por lo que hace a los motivos de inconformidad, los mismos devienen inatendibles por actualizarse la figura del sobreseimiento, misma </w:t>
      </w:r>
      <w:r w:rsidRPr="00ED12D0">
        <w:rPr>
          <w:rFonts w:ascii="Palatino Linotype" w:eastAsia="Palatino Linotype" w:hAnsi="Palatino Linotype" w:cs="Palatino Linotype"/>
          <w:color w:val="000000"/>
        </w:rPr>
        <w:lastRenderedPageBreak/>
        <w:t>que impide el estudio de los agravios planteados, máxime que se ha dado cumplimiento al derecho de acceso a la información.</w:t>
      </w:r>
    </w:p>
    <w:p w:rsidR="008274A2" w:rsidRPr="00ED12D0"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Bajo ese tenor y en términos del artículo 186 fracción I este Pleno determina el </w:t>
      </w:r>
      <w:r w:rsidRPr="00ED12D0">
        <w:rPr>
          <w:rFonts w:ascii="Palatino Linotype" w:eastAsia="Palatino Linotype" w:hAnsi="Palatino Linotype" w:cs="Palatino Linotype"/>
          <w:b/>
          <w:color w:val="000000"/>
        </w:rPr>
        <w:t xml:space="preserve">SOBRESEIMIENTO </w:t>
      </w:r>
      <w:r w:rsidRPr="00ED12D0">
        <w:rPr>
          <w:rFonts w:ascii="Palatino Linotype" w:eastAsia="Palatino Linotype" w:hAnsi="Palatino Linotype" w:cs="Palatino Linotype"/>
          <w:color w:val="000000"/>
        </w:rPr>
        <w:t xml:space="preserve">del recurso de revisión </w:t>
      </w:r>
      <w:r w:rsidR="00147807" w:rsidRPr="00ED12D0">
        <w:rPr>
          <w:rFonts w:ascii="Palatino Linotype" w:eastAsia="Palatino Linotype" w:hAnsi="Palatino Linotype" w:cs="Palatino Linotype"/>
          <w:b/>
          <w:color w:val="000000"/>
        </w:rPr>
        <w:t>07143</w:t>
      </w:r>
      <w:r w:rsidRPr="00ED12D0">
        <w:rPr>
          <w:rFonts w:ascii="Palatino Linotype" w:eastAsia="Palatino Linotype" w:hAnsi="Palatino Linotype" w:cs="Palatino Linotype"/>
          <w:b/>
          <w:color w:val="000000"/>
        </w:rPr>
        <w:t>/INFOEM/IP/RR/202</w:t>
      </w:r>
      <w:r w:rsidR="00147807" w:rsidRPr="00ED12D0">
        <w:rPr>
          <w:rFonts w:ascii="Palatino Linotype" w:eastAsia="Palatino Linotype" w:hAnsi="Palatino Linotype" w:cs="Palatino Linotype"/>
          <w:b/>
          <w:color w:val="000000"/>
        </w:rPr>
        <w:t>4</w:t>
      </w:r>
      <w:r w:rsidRPr="00ED12D0">
        <w:rPr>
          <w:rFonts w:ascii="Palatino Linotype" w:eastAsia="Palatino Linotype" w:hAnsi="Palatino Linotype" w:cs="Palatino Linotype"/>
          <w:color w:val="000000"/>
        </w:rPr>
        <w:t>, toda vez que la afectación al derecho de acceso a la información pública establecido constitucionalmente a favor del Particular ha sido resarcida.</w:t>
      </w:r>
    </w:p>
    <w:p w:rsidR="008274A2" w:rsidRPr="00ED12D0"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ED12D0" w:rsidRDefault="008274A2" w:rsidP="008274A2">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ED12D0">
        <w:rPr>
          <w:rFonts w:ascii="Palatino Linotype" w:eastAsia="Palatino Linotype" w:hAnsi="Palatino Linotype" w:cs="Palatino Linotype"/>
          <w:color w:val="000000"/>
        </w:rPr>
        <w:t xml:space="preserve">Por lo anteriormente expuesto y fundado, este </w:t>
      </w:r>
      <w:r w:rsidRPr="00ED12D0">
        <w:rPr>
          <w:rFonts w:ascii="Palatino Linotype" w:eastAsia="Palatino Linotype" w:hAnsi="Palatino Linotype" w:cs="Palatino Linotype"/>
          <w:b/>
          <w:color w:val="000000"/>
        </w:rPr>
        <w:t>ÓRGANO GARANTE</w:t>
      </w:r>
      <w:r w:rsidRPr="00ED12D0">
        <w:rPr>
          <w:rFonts w:ascii="Palatino Linotype" w:eastAsia="Palatino Linotype" w:hAnsi="Palatino Linotype" w:cs="Palatino Linotype"/>
          <w:color w:val="000000"/>
        </w:rPr>
        <w:t xml:space="preserve"> emite los siguientes:</w:t>
      </w:r>
    </w:p>
    <w:p w:rsidR="008274A2" w:rsidRPr="00ED12D0"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8274A2" w:rsidRPr="00ED12D0" w:rsidRDefault="008274A2" w:rsidP="008274A2">
      <w:pPr>
        <w:spacing w:line="360" w:lineRule="auto"/>
        <w:jc w:val="center"/>
        <w:rPr>
          <w:rFonts w:ascii="Palatino Linotype" w:eastAsia="Palatino Linotype" w:hAnsi="Palatino Linotype" w:cs="Palatino Linotype"/>
          <w:b/>
        </w:rPr>
      </w:pPr>
      <w:r w:rsidRPr="00ED12D0">
        <w:rPr>
          <w:rFonts w:ascii="Palatino Linotype" w:eastAsia="Palatino Linotype" w:hAnsi="Palatino Linotype" w:cs="Palatino Linotype"/>
          <w:b/>
        </w:rPr>
        <w:t>R E S O L U T I V O S</w:t>
      </w:r>
    </w:p>
    <w:p w:rsidR="008274A2" w:rsidRPr="00ED12D0"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ED12D0" w:rsidRDefault="008274A2" w:rsidP="008274A2">
      <w:pPr>
        <w:spacing w:line="360" w:lineRule="auto"/>
        <w:jc w:val="both"/>
        <w:rPr>
          <w:rFonts w:ascii="Palatino Linotype" w:eastAsia="Palatino Linotype" w:hAnsi="Palatino Linotype" w:cs="Palatino Linotype"/>
        </w:rPr>
      </w:pPr>
      <w:r w:rsidRPr="00ED12D0">
        <w:rPr>
          <w:rFonts w:ascii="Palatino Linotype" w:eastAsia="Palatino Linotype" w:hAnsi="Palatino Linotype" w:cs="Palatino Linotype"/>
          <w:b/>
        </w:rPr>
        <w:t xml:space="preserve">PRIMERO. </w:t>
      </w:r>
      <w:r w:rsidRPr="00ED12D0">
        <w:rPr>
          <w:rFonts w:ascii="Palatino Linotype" w:eastAsia="Palatino Linotype" w:hAnsi="Palatino Linotype" w:cs="Palatino Linotype"/>
        </w:rPr>
        <w:t xml:space="preserve">Se </w:t>
      </w:r>
      <w:r w:rsidRPr="00ED12D0">
        <w:rPr>
          <w:rFonts w:ascii="Palatino Linotype" w:eastAsia="Palatino Linotype" w:hAnsi="Palatino Linotype" w:cs="Palatino Linotype"/>
          <w:b/>
        </w:rPr>
        <w:t>SOBRESEE</w:t>
      </w:r>
      <w:r w:rsidRPr="00ED12D0">
        <w:rPr>
          <w:rFonts w:ascii="Palatino Linotype" w:eastAsia="Palatino Linotype" w:hAnsi="Palatino Linotype" w:cs="Palatino Linotype"/>
        </w:rPr>
        <w:t xml:space="preserve"> el recurso de revisión número </w:t>
      </w:r>
      <w:r w:rsidR="00147807" w:rsidRPr="00ED12D0">
        <w:rPr>
          <w:rFonts w:ascii="Palatino Linotype" w:eastAsia="Palatino Linotype" w:hAnsi="Palatino Linotype" w:cs="Palatino Linotype"/>
          <w:b/>
        </w:rPr>
        <w:t>07143</w:t>
      </w:r>
      <w:r w:rsidRPr="00ED12D0">
        <w:rPr>
          <w:rFonts w:ascii="Palatino Linotype" w:eastAsia="Palatino Linotype" w:hAnsi="Palatino Linotype" w:cs="Palatino Linotype"/>
          <w:b/>
        </w:rPr>
        <w:t>/INFOEM/IP/RR/202</w:t>
      </w:r>
      <w:r w:rsidR="00147807" w:rsidRPr="00ED12D0">
        <w:rPr>
          <w:rFonts w:ascii="Palatino Linotype" w:eastAsia="Palatino Linotype" w:hAnsi="Palatino Linotype" w:cs="Palatino Linotype"/>
          <w:b/>
        </w:rPr>
        <w:t>4</w:t>
      </w:r>
      <w:r w:rsidRPr="00ED12D0">
        <w:rPr>
          <w:rFonts w:ascii="Palatino Linotype" w:eastAsia="Palatino Linotype" w:hAnsi="Palatino Linotype" w:cs="Palatino Linotype"/>
          <w:b/>
        </w:rPr>
        <w:t xml:space="preserve"> </w:t>
      </w:r>
      <w:r w:rsidRPr="00ED12D0">
        <w:rPr>
          <w:rFonts w:ascii="Palatino Linotype" w:eastAsia="Palatino Linotype" w:hAnsi="Palatino Linotype" w:cs="Palatino Linotype"/>
        </w:rPr>
        <w:t xml:space="preserve">conforme al artículo 192 fracción III de la Ley de Transparencia y Acceso a la Información Pública del Estado de México y Municipios, porque al </w:t>
      </w:r>
      <w:r w:rsidRPr="00ED12D0">
        <w:rPr>
          <w:rFonts w:ascii="Palatino Linotype" w:eastAsia="Palatino Linotype" w:hAnsi="Palatino Linotype" w:cs="Palatino Linotype"/>
          <w:b/>
        </w:rPr>
        <w:t>modificar la respuesta a través del informe justificado y atender lo solicitado</w:t>
      </w:r>
      <w:r w:rsidRPr="00ED12D0">
        <w:rPr>
          <w:rFonts w:ascii="Palatino Linotype" w:eastAsia="Palatino Linotype" w:hAnsi="Palatino Linotype" w:cs="Palatino Linotype"/>
        </w:rPr>
        <w:t xml:space="preserve">, el recurso de revisión quedó sin materia en términos del Considerando </w:t>
      </w:r>
      <w:r w:rsidRPr="00ED12D0">
        <w:rPr>
          <w:rFonts w:ascii="Palatino Linotype" w:eastAsia="Palatino Linotype" w:hAnsi="Palatino Linotype" w:cs="Palatino Linotype"/>
          <w:b/>
        </w:rPr>
        <w:t>TERCERO</w:t>
      </w:r>
      <w:r w:rsidRPr="00ED12D0">
        <w:rPr>
          <w:rFonts w:ascii="Palatino Linotype" w:eastAsia="Palatino Linotype" w:hAnsi="Palatino Linotype" w:cs="Palatino Linotype"/>
        </w:rPr>
        <w:t xml:space="preserve"> de la presente resolución.</w:t>
      </w:r>
    </w:p>
    <w:p w:rsidR="008274A2" w:rsidRPr="00ED12D0" w:rsidRDefault="008274A2" w:rsidP="008274A2">
      <w:pPr>
        <w:spacing w:line="360" w:lineRule="auto"/>
        <w:jc w:val="both"/>
        <w:rPr>
          <w:rFonts w:ascii="Palatino Linotype" w:eastAsia="Palatino Linotype" w:hAnsi="Palatino Linotype" w:cs="Palatino Linotype"/>
        </w:rPr>
      </w:pPr>
    </w:p>
    <w:p w:rsidR="008274A2" w:rsidRPr="00ED12D0" w:rsidRDefault="008274A2" w:rsidP="008274A2">
      <w:pPr>
        <w:spacing w:line="360" w:lineRule="auto"/>
        <w:jc w:val="both"/>
        <w:rPr>
          <w:rFonts w:ascii="Palatino Linotype" w:eastAsia="Palatino Linotype" w:hAnsi="Palatino Linotype" w:cs="Palatino Linotype"/>
          <w:b/>
        </w:rPr>
      </w:pPr>
      <w:r w:rsidRPr="00ED12D0">
        <w:rPr>
          <w:rFonts w:ascii="Palatino Linotype" w:eastAsia="Palatino Linotype" w:hAnsi="Palatino Linotype" w:cs="Palatino Linotype"/>
          <w:b/>
        </w:rPr>
        <w:t xml:space="preserve">SEGUNDO. </w:t>
      </w:r>
      <w:r w:rsidR="00C85B27" w:rsidRPr="00ED12D0">
        <w:rPr>
          <w:rFonts w:ascii="Palatino Linotype" w:eastAsia="Palatino Linotype" w:hAnsi="Palatino Linotype" w:cs="Palatino Linotype"/>
          <w:b/>
        </w:rPr>
        <w:t>NOTIFÍQUESE</w:t>
      </w:r>
      <w:r w:rsidRPr="00ED12D0">
        <w:rPr>
          <w:rFonts w:ascii="Palatino Linotype" w:eastAsia="Palatino Linotype" w:hAnsi="Palatino Linotype" w:cs="Palatino Linotype"/>
          <w:b/>
        </w:rPr>
        <w:t xml:space="preserve"> </w:t>
      </w:r>
      <w:r w:rsidRPr="00ED12D0">
        <w:rPr>
          <w:rFonts w:ascii="Palatino Linotype" w:eastAsia="Palatino Linotype" w:hAnsi="Palatino Linotype" w:cs="Palatino Linotype"/>
        </w:rPr>
        <w:t xml:space="preserve">a través del Sistema de Acceso a la Información Mexiquense </w:t>
      </w:r>
      <w:r w:rsidRPr="00ED12D0">
        <w:rPr>
          <w:rFonts w:ascii="Palatino Linotype" w:eastAsia="Palatino Linotype" w:hAnsi="Palatino Linotype" w:cs="Palatino Linotype"/>
          <w:b/>
        </w:rPr>
        <w:t xml:space="preserve">(SAIMEX) </w:t>
      </w:r>
      <w:r w:rsidRPr="00ED12D0">
        <w:rPr>
          <w:rFonts w:ascii="Palatino Linotype" w:eastAsia="Palatino Linotype" w:hAnsi="Palatino Linotype" w:cs="Palatino Linotype"/>
        </w:rPr>
        <w:t>la presente resolución al Titular de la Unidad de Transparencia del</w:t>
      </w:r>
      <w:r w:rsidRPr="00ED12D0">
        <w:rPr>
          <w:rFonts w:ascii="Palatino Linotype" w:eastAsia="Palatino Linotype" w:hAnsi="Palatino Linotype" w:cs="Palatino Linotype"/>
          <w:b/>
        </w:rPr>
        <w:t xml:space="preserve"> SUJETO OBLIGADO. </w:t>
      </w:r>
    </w:p>
    <w:p w:rsidR="008274A2" w:rsidRPr="00ED12D0" w:rsidRDefault="008274A2" w:rsidP="008274A2">
      <w:pPr>
        <w:tabs>
          <w:tab w:val="left" w:pos="3263"/>
        </w:tabs>
        <w:spacing w:line="360" w:lineRule="auto"/>
        <w:jc w:val="both"/>
        <w:rPr>
          <w:rFonts w:ascii="Palatino Linotype" w:eastAsia="Palatino Linotype" w:hAnsi="Palatino Linotype" w:cs="Palatino Linotype"/>
          <w:b/>
        </w:rPr>
      </w:pPr>
      <w:r w:rsidRPr="00ED12D0">
        <w:rPr>
          <w:rFonts w:ascii="Palatino Linotype" w:eastAsia="Palatino Linotype" w:hAnsi="Palatino Linotype" w:cs="Palatino Linotype"/>
          <w:b/>
        </w:rPr>
        <w:tab/>
      </w:r>
    </w:p>
    <w:p w:rsidR="008274A2" w:rsidRPr="00ED12D0" w:rsidRDefault="008274A2" w:rsidP="008274A2">
      <w:pPr>
        <w:spacing w:line="360" w:lineRule="auto"/>
        <w:jc w:val="both"/>
        <w:rPr>
          <w:rFonts w:ascii="Palatino Linotype" w:eastAsia="Palatino Linotype" w:hAnsi="Palatino Linotype" w:cs="Palatino Linotype"/>
          <w:color w:val="222222"/>
        </w:rPr>
      </w:pPr>
      <w:r w:rsidRPr="00ED12D0">
        <w:rPr>
          <w:rFonts w:ascii="Palatino Linotype" w:eastAsia="Palatino Linotype" w:hAnsi="Palatino Linotype" w:cs="Palatino Linotype"/>
          <w:b/>
        </w:rPr>
        <w:lastRenderedPageBreak/>
        <w:t xml:space="preserve">TERCERO. Notifíquese </w:t>
      </w:r>
      <w:r w:rsidRPr="00ED12D0">
        <w:rPr>
          <w:rFonts w:ascii="Palatino Linotype" w:eastAsia="Palatino Linotype" w:hAnsi="Palatino Linotype" w:cs="Palatino Linotype"/>
        </w:rPr>
        <w:t xml:space="preserve">al </w:t>
      </w:r>
      <w:r w:rsidRPr="00ED12D0">
        <w:rPr>
          <w:rFonts w:ascii="Palatino Linotype" w:eastAsia="Palatino Linotype" w:hAnsi="Palatino Linotype" w:cs="Palatino Linotype"/>
          <w:b/>
        </w:rPr>
        <w:t>RECURRENTE</w:t>
      </w:r>
      <w:r w:rsidRPr="00ED12D0">
        <w:rPr>
          <w:rFonts w:ascii="Palatino Linotype" w:eastAsia="Palatino Linotype" w:hAnsi="Palatino Linotype" w:cs="Palatino Linotype"/>
        </w:rPr>
        <w:t xml:space="preserve"> la presente resolución vía SAIMEX.</w:t>
      </w:r>
    </w:p>
    <w:p w:rsidR="008274A2" w:rsidRPr="00ED12D0" w:rsidRDefault="008274A2" w:rsidP="008274A2">
      <w:pPr>
        <w:spacing w:line="360" w:lineRule="auto"/>
        <w:jc w:val="both"/>
        <w:rPr>
          <w:rFonts w:ascii="Palatino Linotype" w:eastAsia="Palatino Linotype" w:hAnsi="Palatino Linotype" w:cs="Palatino Linotype"/>
          <w:color w:val="222222"/>
        </w:rPr>
      </w:pPr>
    </w:p>
    <w:p w:rsidR="008274A2" w:rsidRPr="00ED12D0" w:rsidRDefault="008274A2" w:rsidP="008274A2">
      <w:pPr>
        <w:spacing w:line="360" w:lineRule="auto"/>
        <w:jc w:val="both"/>
        <w:rPr>
          <w:rFonts w:ascii="Palatino Linotype" w:eastAsia="Palatino Linotype" w:hAnsi="Palatino Linotype" w:cs="Palatino Linotype"/>
        </w:rPr>
      </w:pPr>
      <w:r w:rsidRPr="00ED12D0">
        <w:rPr>
          <w:rFonts w:ascii="Palatino Linotype" w:eastAsia="Palatino Linotype" w:hAnsi="Palatino Linotype" w:cs="Palatino Linotype"/>
          <w:b/>
        </w:rPr>
        <w:t>CUARTO.</w:t>
      </w:r>
      <w:r w:rsidRPr="00ED12D0">
        <w:rPr>
          <w:rFonts w:ascii="Palatino Linotype" w:eastAsia="Palatino Linotype" w:hAnsi="Palatino Linotype" w:cs="Palatino Linotype"/>
        </w:rPr>
        <w:t xml:space="preserve"> Se hace del conocimiento del </w:t>
      </w:r>
      <w:r w:rsidRPr="00ED12D0">
        <w:rPr>
          <w:rFonts w:ascii="Palatino Linotype" w:eastAsia="Palatino Linotype" w:hAnsi="Palatino Linotype" w:cs="Palatino Linotype"/>
          <w:b/>
        </w:rPr>
        <w:t>RECURRENTE</w:t>
      </w:r>
      <w:r w:rsidRPr="00ED12D0">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8274A2" w:rsidRPr="00ED12D0" w:rsidRDefault="008274A2" w:rsidP="008274A2">
      <w:pPr>
        <w:spacing w:line="360" w:lineRule="auto"/>
        <w:jc w:val="both"/>
        <w:rPr>
          <w:rFonts w:ascii="Palatino Linotype" w:eastAsia="Palatino Linotype" w:hAnsi="Palatino Linotype" w:cs="Palatino Linotype"/>
        </w:rPr>
      </w:pPr>
    </w:p>
    <w:p w:rsidR="008274A2" w:rsidRPr="000A733F" w:rsidRDefault="000A733F"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ED12D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8274A2" w:rsidRPr="000A733F"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8274A2" w:rsidRPr="000A733F" w:rsidRDefault="008274A2" w:rsidP="008274A2">
      <w:pPr>
        <w:pBdr>
          <w:top w:val="nil"/>
          <w:left w:val="nil"/>
          <w:bottom w:val="nil"/>
          <w:right w:val="nil"/>
          <w:between w:val="nil"/>
        </w:pBdr>
        <w:ind w:left="720"/>
        <w:rPr>
          <w:rFonts w:ascii="Palatino Linotype" w:eastAsia="Palatino Linotype" w:hAnsi="Palatino Linotype" w:cs="Palatino Linotype"/>
          <w:color w:val="000000"/>
        </w:rPr>
      </w:pPr>
    </w:p>
    <w:p w:rsidR="008274A2" w:rsidRPr="000A733F" w:rsidRDefault="008274A2" w:rsidP="008274A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1E58D8" w:rsidRPr="000A733F" w:rsidRDefault="001E58D8" w:rsidP="008274A2">
      <w:pPr>
        <w:rPr>
          <w:rFonts w:ascii="Palatino Linotype" w:hAnsi="Palatino Linotype"/>
        </w:rPr>
      </w:pPr>
    </w:p>
    <w:p w:rsidR="00463B5C" w:rsidRPr="000A733F" w:rsidRDefault="00463B5C">
      <w:pPr>
        <w:rPr>
          <w:rFonts w:ascii="Palatino Linotype" w:hAnsi="Palatino Linotype"/>
        </w:rPr>
      </w:pPr>
    </w:p>
    <w:sectPr w:rsidR="00463B5C" w:rsidRPr="000A733F">
      <w:headerReference w:type="even" r:id="rId11"/>
      <w:headerReference w:type="default" r:id="rId12"/>
      <w:footerReference w:type="default" r:id="rId13"/>
      <w:headerReference w:type="first" r:id="rId14"/>
      <w:footerReference w:type="first" r:id="rId15"/>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BF" w:rsidRDefault="00840CBF" w:rsidP="008274A2">
      <w:r>
        <w:separator/>
      </w:r>
    </w:p>
  </w:endnote>
  <w:endnote w:type="continuationSeparator" w:id="0">
    <w:p w:rsidR="00840CBF" w:rsidRDefault="00840CBF" w:rsidP="0082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BD" w:rsidRDefault="002A2F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C1B08">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C1B08">
      <w:rPr>
        <w:b/>
        <w:noProof/>
        <w:color w:val="000000"/>
      </w:rPr>
      <w:t>27</w:t>
    </w:r>
    <w:r>
      <w:rPr>
        <w:b/>
        <w:color w:val="000000"/>
      </w:rPr>
      <w:fldChar w:fldCharType="end"/>
    </w:r>
  </w:p>
  <w:p w:rsidR="002A2FBD" w:rsidRDefault="002A2FB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BD" w:rsidRDefault="002A2FB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0C1B0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0C1B08">
      <w:rPr>
        <w:b/>
        <w:noProof/>
        <w:color w:val="000000"/>
      </w:rPr>
      <w:t>27</w:t>
    </w:r>
    <w:r>
      <w:rPr>
        <w:b/>
        <w:color w:val="000000"/>
      </w:rPr>
      <w:fldChar w:fldCharType="end"/>
    </w:r>
  </w:p>
  <w:p w:rsidR="002A2FBD" w:rsidRDefault="002A2FB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BF" w:rsidRDefault="00840CBF" w:rsidP="008274A2">
      <w:r>
        <w:separator/>
      </w:r>
    </w:p>
  </w:footnote>
  <w:footnote w:type="continuationSeparator" w:id="0">
    <w:p w:rsidR="00840CBF" w:rsidRDefault="00840CBF" w:rsidP="0082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BD" w:rsidRDefault="00840CB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BD" w:rsidRDefault="002A2FBD">
    <w:pPr>
      <w:widowControl w:val="0"/>
      <w:pBdr>
        <w:top w:val="nil"/>
        <w:left w:val="nil"/>
        <w:bottom w:val="nil"/>
        <w:right w:val="nil"/>
        <w:between w:val="nil"/>
      </w:pBdr>
      <w:spacing w:line="276" w:lineRule="auto"/>
      <w:rPr>
        <w:color w:val="000000"/>
      </w:rPr>
    </w:pPr>
  </w:p>
  <w:tbl>
    <w:tblPr>
      <w:tblW w:w="9214" w:type="dxa"/>
      <w:tblLayout w:type="fixed"/>
      <w:tblLook w:val="0400" w:firstRow="0" w:lastRow="0" w:firstColumn="0" w:lastColumn="0" w:noHBand="0" w:noVBand="1"/>
    </w:tblPr>
    <w:tblGrid>
      <w:gridCol w:w="2268"/>
      <w:gridCol w:w="6946"/>
    </w:tblGrid>
    <w:tr w:rsidR="002A2FBD">
      <w:trPr>
        <w:trHeight w:val="1435"/>
      </w:trPr>
      <w:tc>
        <w:tcPr>
          <w:tcW w:w="2268" w:type="dxa"/>
          <w:shd w:val="clear" w:color="auto" w:fill="auto"/>
        </w:tcPr>
        <w:p w:rsidR="002A2FBD" w:rsidRDefault="002A2FBD">
          <w:pPr>
            <w:tabs>
              <w:tab w:val="right" w:pos="4273"/>
            </w:tabs>
            <w:rPr>
              <w:rFonts w:ascii="Garamond" w:eastAsia="Garamond" w:hAnsi="Garamond" w:cs="Garamond"/>
              <w:sz w:val="16"/>
              <w:szCs w:val="16"/>
            </w:rPr>
          </w:pPr>
        </w:p>
      </w:tc>
      <w:tc>
        <w:tcPr>
          <w:tcW w:w="6946" w:type="dxa"/>
          <w:shd w:val="clear" w:color="auto" w:fill="auto"/>
        </w:tcPr>
        <w:p w:rsidR="002A2FBD" w:rsidRDefault="002A2FBD"/>
        <w:tbl>
          <w:tblPr>
            <w:tblW w:w="6662" w:type="dxa"/>
            <w:tblInd w:w="40" w:type="dxa"/>
            <w:tblLayout w:type="fixed"/>
            <w:tblLook w:val="0400" w:firstRow="0" w:lastRow="0" w:firstColumn="0" w:lastColumn="0" w:noHBand="0" w:noVBand="1"/>
          </w:tblPr>
          <w:tblGrid>
            <w:gridCol w:w="2551"/>
            <w:gridCol w:w="4111"/>
          </w:tblGrid>
          <w:tr w:rsidR="002A2FBD">
            <w:trPr>
              <w:trHeight w:val="150"/>
            </w:trPr>
            <w:tc>
              <w:tcPr>
                <w:tcW w:w="2551" w:type="dxa"/>
                <w:shd w:val="clear" w:color="auto" w:fill="auto"/>
              </w:tcPr>
              <w:p w:rsidR="002A2FBD" w:rsidRDefault="002A2FB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2A2FBD" w:rsidRDefault="002A2FBD">
                <w:pPr>
                  <w:tabs>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07143/INFOEM/IP/RR/2024</w:t>
                </w:r>
                <w:r>
                  <w:rPr>
                    <w:rFonts w:ascii="Palatino Linotype" w:eastAsia="Palatino Linotype" w:hAnsi="Palatino Linotype" w:cs="Palatino Linotype"/>
                    <w:b/>
                    <w:sz w:val="22"/>
                    <w:szCs w:val="22"/>
                  </w:rPr>
                  <w:t xml:space="preserve"> </w:t>
                </w:r>
              </w:p>
            </w:tc>
          </w:tr>
          <w:tr w:rsidR="002A2FBD">
            <w:trPr>
              <w:trHeight w:val="295"/>
            </w:trPr>
            <w:tc>
              <w:tcPr>
                <w:tcW w:w="2551" w:type="dxa"/>
                <w:shd w:val="clear" w:color="auto" w:fill="auto"/>
              </w:tcPr>
              <w:p w:rsidR="002A2FBD" w:rsidRDefault="002A2FB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2A2FBD" w:rsidRDefault="002A2FBD">
                <w:pPr>
                  <w:tabs>
                    <w:tab w:val="left" w:pos="2834"/>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2A2FBD">
            <w:trPr>
              <w:trHeight w:val="295"/>
            </w:trPr>
            <w:tc>
              <w:tcPr>
                <w:tcW w:w="2551" w:type="dxa"/>
                <w:shd w:val="clear" w:color="auto" w:fill="auto"/>
              </w:tcPr>
              <w:p w:rsidR="002A2FBD" w:rsidRDefault="002A2FB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2A2FBD" w:rsidRDefault="002A2FBD">
                <w:pPr>
                  <w:tabs>
                    <w:tab w:val="right" w:pos="8838"/>
                  </w:tabs>
                  <w:ind w:left="-108" w:right="-109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A2FBD" w:rsidRDefault="002A2FBD">
                <w:pPr>
                  <w:tabs>
                    <w:tab w:val="right" w:pos="8838"/>
                  </w:tabs>
                  <w:ind w:left="-108" w:right="-1090"/>
                  <w:jc w:val="both"/>
                  <w:rPr>
                    <w:rFonts w:ascii="Palatino Linotype" w:eastAsia="Palatino Linotype" w:hAnsi="Palatino Linotype" w:cs="Palatino Linotype"/>
                    <w:b/>
                    <w:sz w:val="22"/>
                    <w:szCs w:val="22"/>
                  </w:rPr>
                </w:pPr>
              </w:p>
            </w:tc>
          </w:tr>
        </w:tbl>
        <w:p w:rsidR="002A2FBD" w:rsidRDefault="002A2FBD">
          <w:pPr>
            <w:tabs>
              <w:tab w:val="right" w:pos="8838"/>
            </w:tabs>
            <w:ind w:left="-28"/>
            <w:jc w:val="both"/>
            <w:rPr>
              <w:rFonts w:ascii="Arial" w:eastAsia="Arial" w:hAnsi="Arial" w:cs="Arial"/>
              <w:b/>
              <w:sz w:val="22"/>
              <w:szCs w:val="22"/>
            </w:rPr>
          </w:pPr>
        </w:p>
      </w:tc>
    </w:tr>
  </w:tbl>
  <w:p w:rsidR="002A2FBD" w:rsidRDefault="00840CB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BD" w:rsidRDefault="00840CBF">
    <w:pPr>
      <w:widowControl w:val="0"/>
      <w:pBdr>
        <w:top w:val="nil"/>
        <w:left w:val="nil"/>
        <w:bottom w:val="nil"/>
        <w:right w:val="nil"/>
        <w:between w:val="nil"/>
      </w:pBdr>
      <w:spacing w:line="276" w:lineRule="auto"/>
      <w:rPr>
        <w:color w:val="000000"/>
        <w:sz w:val="14"/>
        <w:szCs w:val="14"/>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46.2pt;margin-top:-121.9pt;width:589.8pt;height:768pt;z-index:-251656192;mso-position-horizontal-relative:margin;mso-position-vertical-relative:margin">
          <v:imagedata r:id="rId1" o:title="image1"/>
          <w10:wrap anchorx="margin" anchory="margin"/>
        </v:shape>
      </w:pict>
    </w:r>
  </w:p>
  <w:tbl>
    <w:tblPr>
      <w:tblW w:w="10020" w:type="dxa"/>
      <w:tblLayout w:type="fixed"/>
      <w:tblLook w:val="0400" w:firstRow="0" w:lastRow="0" w:firstColumn="0" w:lastColumn="0" w:noHBand="0" w:noVBand="1"/>
    </w:tblPr>
    <w:tblGrid>
      <w:gridCol w:w="2265"/>
      <w:gridCol w:w="7755"/>
    </w:tblGrid>
    <w:tr w:rsidR="002A2FBD">
      <w:trPr>
        <w:trHeight w:val="1435"/>
      </w:trPr>
      <w:tc>
        <w:tcPr>
          <w:tcW w:w="2265" w:type="dxa"/>
          <w:shd w:val="clear" w:color="auto" w:fill="auto"/>
        </w:tcPr>
        <w:p w:rsidR="002A2FBD" w:rsidRDefault="002A2FBD">
          <w:pPr>
            <w:tabs>
              <w:tab w:val="right" w:pos="4273"/>
            </w:tabs>
            <w:rPr>
              <w:rFonts w:ascii="Garamond" w:eastAsia="Garamond" w:hAnsi="Garamond" w:cs="Garamond"/>
              <w:sz w:val="22"/>
              <w:szCs w:val="22"/>
            </w:rPr>
          </w:pPr>
        </w:p>
      </w:tc>
      <w:tc>
        <w:tcPr>
          <w:tcW w:w="7755" w:type="dxa"/>
          <w:shd w:val="clear" w:color="auto" w:fill="auto"/>
        </w:tcPr>
        <w:p w:rsidR="002A2FBD" w:rsidRDefault="002A2FBD">
          <w:pPr>
            <w:widowControl w:val="0"/>
            <w:pBdr>
              <w:top w:val="nil"/>
              <w:left w:val="nil"/>
              <w:bottom w:val="nil"/>
              <w:right w:val="nil"/>
              <w:between w:val="nil"/>
            </w:pBdr>
            <w:spacing w:line="276" w:lineRule="auto"/>
            <w:rPr>
              <w:rFonts w:ascii="Garamond" w:eastAsia="Garamond" w:hAnsi="Garamond" w:cs="Garamond"/>
              <w:sz w:val="22"/>
              <w:szCs w:val="22"/>
            </w:rPr>
          </w:pPr>
        </w:p>
        <w:tbl>
          <w:tblPr>
            <w:tblW w:w="7410" w:type="dxa"/>
            <w:tblInd w:w="40" w:type="dxa"/>
            <w:tblLayout w:type="fixed"/>
            <w:tblLook w:val="0400" w:firstRow="0" w:lastRow="0" w:firstColumn="0" w:lastColumn="0" w:noHBand="0" w:noVBand="1"/>
          </w:tblPr>
          <w:tblGrid>
            <w:gridCol w:w="2445"/>
            <w:gridCol w:w="4965"/>
          </w:tblGrid>
          <w:tr w:rsidR="002A2FBD">
            <w:trPr>
              <w:trHeight w:val="144"/>
            </w:trPr>
            <w:tc>
              <w:tcPr>
                <w:tcW w:w="2445" w:type="dxa"/>
                <w:shd w:val="clear" w:color="auto" w:fill="auto"/>
              </w:tcPr>
              <w:p w:rsidR="002A2FBD" w:rsidRDefault="002A2FBD">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65" w:type="dxa"/>
                <w:shd w:val="clear" w:color="auto" w:fill="auto"/>
              </w:tcPr>
              <w:p w:rsidR="002A2FBD" w:rsidRDefault="002A2FBD">
                <w:pPr>
                  <w:tabs>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07143/INFOEM/IP/RR/2024</w:t>
                </w:r>
              </w:p>
            </w:tc>
          </w:tr>
          <w:tr w:rsidR="002A2FBD">
            <w:trPr>
              <w:trHeight w:val="144"/>
            </w:trPr>
            <w:tc>
              <w:tcPr>
                <w:tcW w:w="2445" w:type="dxa"/>
                <w:shd w:val="clear" w:color="auto" w:fill="auto"/>
              </w:tcPr>
              <w:p w:rsidR="002A2FBD" w:rsidRDefault="002A2FB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65" w:type="dxa"/>
                <w:shd w:val="clear" w:color="auto" w:fill="auto"/>
              </w:tcPr>
              <w:p w:rsidR="002A2FBD" w:rsidRPr="008274A2" w:rsidRDefault="000C1B08">
                <w:pPr>
                  <w:tabs>
                    <w:tab w:val="left" w:pos="3122"/>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bCs/>
                    <w:sz w:val="22"/>
                    <w:szCs w:val="22"/>
                  </w:rPr>
                  <w:t>XXXX</w:t>
                </w:r>
              </w:p>
            </w:tc>
          </w:tr>
          <w:tr w:rsidR="002A2FBD">
            <w:trPr>
              <w:trHeight w:val="283"/>
            </w:trPr>
            <w:tc>
              <w:tcPr>
                <w:tcW w:w="2445" w:type="dxa"/>
                <w:shd w:val="clear" w:color="auto" w:fill="auto"/>
              </w:tcPr>
              <w:p w:rsidR="002A2FBD" w:rsidRDefault="002A2FB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65" w:type="dxa"/>
                <w:shd w:val="clear" w:color="auto" w:fill="auto"/>
              </w:tcPr>
              <w:p w:rsidR="002A2FBD" w:rsidRDefault="002A2FBD">
                <w:pPr>
                  <w:tabs>
                    <w:tab w:val="left" w:pos="2834"/>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2A2FBD">
            <w:trPr>
              <w:trHeight w:val="283"/>
            </w:trPr>
            <w:tc>
              <w:tcPr>
                <w:tcW w:w="2445" w:type="dxa"/>
                <w:shd w:val="clear" w:color="auto" w:fill="auto"/>
              </w:tcPr>
              <w:p w:rsidR="002A2FBD" w:rsidRDefault="002A2FB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965" w:type="dxa"/>
                <w:shd w:val="clear" w:color="auto" w:fill="auto"/>
              </w:tcPr>
              <w:p w:rsidR="002A2FBD" w:rsidRDefault="002A2FBD">
                <w:pPr>
                  <w:tabs>
                    <w:tab w:val="right" w:pos="8838"/>
                  </w:tabs>
                  <w:ind w:left="-74" w:right="-126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2A2FBD" w:rsidRDefault="002A2FBD">
                <w:pPr>
                  <w:tabs>
                    <w:tab w:val="right" w:pos="8838"/>
                  </w:tabs>
                  <w:ind w:left="-74" w:right="-1269"/>
                  <w:rPr>
                    <w:rFonts w:ascii="Palatino Linotype" w:eastAsia="Palatino Linotype" w:hAnsi="Palatino Linotype" w:cs="Palatino Linotype"/>
                    <w:b/>
                    <w:sz w:val="22"/>
                    <w:szCs w:val="22"/>
                  </w:rPr>
                </w:pPr>
              </w:p>
            </w:tc>
          </w:tr>
        </w:tbl>
        <w:p w:rsidR="002A2FBD" w:rsidRDefault="002A2FBD">
          <w:pPr>
            <w:tabs>
              <w:tab w:val="right" w:pos="8838"/>
            </w:tabs>
            <w:ind w:left="-28"/>
            <w:jc w:val="both"/>
            <w:rPr>
              <w:rFonts w:ascii="Arial" w:eastAsia="Arial" w:hAnsi="Arial" w:cs="Arial"/>
              <w:b/>
              <w:sz w:val="22"/>
              <w:szCs w:val="22"/>
            </w:rPr>
          </w:pPr>
        </w:p>
      </w:tc>
    </w:tr>
  </w:tbl>
  <w:p w:rsidR="002A2FBD" w:rsidRDefault="002A2FBD">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56FD"/>
    <w:multiLevelType w:val="multilevel"/>
    <w:tmpl w:val="EAD20940"/>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15:restartNumberingAfterBreak="0">
    <w:nsid w:val="220130EE"/>
    <w:multiLevelType w:val="multilevel"/>
    <w:tmpl w:val="D2ACB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191593"/>
    <w:multiLevelType w:val="multilevel"/>
    <w:tmpl w:val="C38080D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BF65BA"/>
    <w:multiLevelType w:val="multilevel"/>
    <w:tmpl w:val="D9BA2FF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29F3297"/>
    <w:multiLevelType w:val="hybridMultilevel"/>
    <w:tmpl w:val="C6B46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50468C"/>
    <w:multiLevelType w:val="hybridMultilevel"/>
    <w:tmpl w:val="6930C4C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B9F0C8D"/>
    <w:multiLevelType w:val="multilevel"/>
    <w:tmpl w:val="4E8E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D95CB9"/>
    <w:multiLevelType w:val="multilevel"/>
    <w:tmpl w:val="DD72E26C"/>
    <w:lvl w:ilvl="0">
      <w:start w:val="1"/>
      <w:numFmt w:val="decimal"/>
      <w:lvlText w:val="%1."/>
      <w:lvlJc w:val="left"/>
      <w:pPr>
        <w:ind w:left="36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F3613F"/>
    <w:multiLevelType w:val="multilevel"/>
    <w:tmpl w:val="D3EE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6"/>
  </w:num>
  <w:num w:numId="4">
    <w:abstractNumId w:val="8"/>
  </w:num>
  <w:num w:numId="5">
    <w:abstractNumId w:val="3"/>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A2"/>
    <w:rsid w:val="000A733F"/>
    <w:rsid w:val="000C1B08"/>
    <w:rsid w:val="00147807"/>
    <w:rsid w:val="001E58D8"/>
    <w:rsid w:val="00221052"/>
    <w:rsid w:val="002A2FBD"/>
    <w:rsid w:val="00301BF3"/>
    <w:rsid w:val="00463B5C"/>
    <w:rsid w:val="005C6D41"/>
    <w:rsid w:val="00627EF0"/>
    <w:rsid w:val="006F0168"/>
    <w:rsid w:val="008274A2"/>
    <w:rsid w:val="00840CBF"/>
    <w:rsid w:val="00C85B27"/>
    <w:rsid w:val="00CC5547"/>
    <w:rsid w:val="00D000F0"/>
    <w:rsid w:val="00D63C11"/>
    <w:rsid w:val="00E92D61"/>
    <w:rsid w:val="00ED1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3395AC6-D1C6-49CF-AA3A-68C788F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A2"/>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semiHidden/>
    <w:unhideWhenUsed/>
    <w:qFormat/>
    <w:rsid w:val="008274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8274A2"/>
    <w:rPr>
      <w:rFonts w:asciiTheme="majorHAnsi" w:eastAsiaTheme="majorEastAsia" w:hAnsiTheme="majorHAnsi" w:cstheme="majorBidi"/>
      <w:color w:val="2E74B5" w:themeColor="accent1" w:themeShade="BF"/>
      <w:sz w:val="26"/>
      <w:szCs w:val="26"/>
      <w:lang w:eastAsia="es-MX"/>
    </w:rPr>
  </w:style>
  <w:style w:type="paragraph" w:styleId="Piedepgina">
    <w:name w:val="footer"/>
    <w:basedOn w:val="Normal"/>
    <w:link w:val="PiedepginaCar"/>
    <w:uiPriority w:val="99"/>
    <w:unhideWhenUsed/>
    <w:rsid w:val="008274A2"/>
    <w:pPr>
      <w:tabs>
        <w:tab w:val="center" w:pos="4419"/>
        <w:tab w:val="right" w:pos="8838"/>
      </w:tabs>
    </w:pPr>
  </w:style>
  <w:style w:type="character" w:customStyle="1" w:styleId="PiedepginaCar">
    <w:name w:val="Pie de página Car"/>
    <w:basedOn w:val="Fuentedeprrafopredeter"/>
    <w:link w:val="Piedepgina"/>
    <w:uiPriority w:val="99"/>
    <w:rsid w:val="008274A2"/>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274A2"/>
    <w:rPr>
      <w:color w:val="0000FF"/>
      <w:u w:val="single"/>
    </w:rPr>
  </w:style>
  <w:style w:type="paragraph" w:styleId="Prrafodelista">
    <w:name w:val="List Paragraph"/>
    <w:basedOn w:val="Normal"/>
    <w:uiPriority w:val="34"/>
    <w:qFormat/>
    <w:rsid w:val="00827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74633.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2274219.pag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imex.org.mx/saimex/solicitud/downloadAttach/2288241.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2288240.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27</Pages>
  <Words>5801</Words>
  <Characters>31909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7</cp:revision>
  <cp:lastPrinted>2025-03-24T16:11:00Z</cp:lastPrinted>
  <dcterms:created xsi:type="dcterms:W3CDTF">2025-03-12T20:33:00Z</dcterms:created>
  <dcterms:modified xsi:type="dcterms:W3CDTF">2025-04-01T19:34:00Z</dcterms:modified>
</cp:coreProperties>
</file>