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CA879" w14:textId="05569530" w:rsidR="006168E4" w:rsidRPr="00A81D21" w:rsidRDefault="006168E4" w:rsidP="006F5F55">
      <w:pPr>
        <w:spacing w:before="240" w:line="360" w:lineRule="auto"/>
        <w:jc w:val="both"/>
        <w:rPr>
          <w:rFonts w:ascii="Palatino Linotype" w:eastAsia="Times New Roman" w:hAnsi="Palatino Linotype" w:cs="Arial"/>
          <w:color w:val="000000"/>
          <w:sz w:val="24"/>
          <w:szCs w:val="24"/>
          <w:lang w:eastAsia="es-MX"/>
        </w:rPr>
      </w:pPr>
      <w:r w:rsidRPr="00A81D21">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E3214" w:rsidRPr="00A81D21">
        <w:rPr>
          <w:rFonts w:ascii="Palatino Linotype" w:eastAsia="Times New Roman" w:hAnsi="Palatino Linotype" w:cs="Arial"/>
          <w:color w:val="000000"/>
          <w:sz w:val="24"/>
          <w:szCs w:val="24"/>
          <w:lang w:eastAsia="es-MX"/>
        </w:rPr>
        <w:t xml:space="preserve">dos de abril de dos mil veinticinco. </w:t>
      </w:r>
      <w:r w:rsidR="00726CB4" w:rsidRPr="00A81D21">
        <w:rPr>
          <w:rFonts w:ascii="Palatino Linotype" w:eastAsia="Times New Roman" w:hAnsi="Palatino Linotype" w:cs="Arial"/>
          <w:color w:val="000000"/>
          <w:sz w:val="24"/>
          <w:szCs w:val="24"/>
          <w:lang w:eastAsia="es-MX"/>
        </w:rPr>
        <w:t xml:space="preserve"> </w:t>
      </w:r>
      <w:r w:rsidR="00ED0EA7" w:rsidRPr="00A81D21">
        <w:rPr>
          <w:rFonts w:ascii="Palatino Linotype" w:eastAsia="Times New Roman" w:hAnsi="Palatino Linotype" w:cs="Arial"/>
          <w:color w:val="000000"/>
          <w:sz w:val="24"/>
          <w:szCs w:val="24"/>
          <w:lang w:eastAsia="es-MX"/>
        </w:rPr>
        <w:t xml:space="preserve"> </w:t>
      </w:r>
      <w:r w:rsidR="008963E2" w:rsidRPr="00A81D21">
        <w:rPr>
          <w:rFonts w:ascii="Palatino Linotype" w:eastAsia="Times New Roman" w:hAnsi="Palatino Linotype" w:cs="Arial"/>
          <w:color w:val="000000"/>
          <w:sz w:val="24"/>
          <w:szCs w:val="24"/>
          <w:lang w:eastAsia="es-MX"/>
        </w:rPr>
        <w:t xml:space="preserve"> </w:t>
      </w:r>
      <w:r w:rsidR="00E36029" w:rsidRPr="00A81D21">
        <w:rPr>
          <w:rFonts w:ascii="Palatino Linotype" w:eastAsia="Times New Roman" w:hAnsi="Palatino Linotype" w:cs="Arial"/>
          <w:color w:val="000000"/>
          <w:sz w:val="24"/>
          <w:szCs w:val="24"/>
          <w:lang w:eastAsia="es-MX"/>
        </w:rPr>
        <w:t xml:space="preserve"> </w:t>
      </w:r>
      <w:r w:rsidR="00BE673B" w:rsidRPr="00A81D21">
        <w:rPr>
          <w:rFonts w:ascii="Palatino Linotype" w:eastAsia="Times New Roman" w:hAnsi="Palatino Linotype" w:cs="Arial"/>
          <w:color w:val="000000"/>
          <w:sz w:val="24"/>
          <w:szCs w:val="24"/>
          <w:lang w:eastAsia="es-MX"/>
        </w:rPr>
        <w:t xml:space="preserve"> </w:t>
      </w:r>
      <w:r w:rsidR="00FB6049" w:rsidRPr="00A81D21">
        <w:rPr>
          <w:rFonts w:ascii="Palatino Linotype" w:eastAsia="Times New Roman" w:hAnsi="Palatino Linotype" w:cs="Arial"/>
          <w:color w:val="000000"/>
          <w:sz w:val="24"/>
          <w:szCs w:val="24"/>
          <w:lang w:eastAsia="es-MX"/>
        </w:rPr>
        <w:t xml:space="preserve"> </w:t>
      </w:r>
      <w:r w:rsidR="00817A08" w:rsidRPr="00A81D21">
        <w:rPr>
          <w:rFonts w:ascii="Palatino Linotype" w:eastAsia="Times New Roman" w:hAnsi="Palatino Linotype" w:cs="Arial"/>
          <w:color w:val="000000"/>
          <w:sz w:val="24"/>
          <w:szCs w:val="24"/>
          <w:lang w:eastAsia="es-MX"/>
        </w:rPr>
        <w:t xml:space="preserve"> </w:t>
      </w:r>
    </w:p>
    <w:p w14:paraId="4D0CAFAA" w14:textId="4CEFF511" w:rsidR="00726CB4" w:rsidRPr="00A81D21" w:rsidRDefault="006168E4" w:rsidP="006F5F55">
      <w:pPr>
        <w:tabs>
          <w:tab w:val="left" w:pos="1701"/>
        </w:tabs>
        <w:spacing w:before="240" w:line="360" w:lineRule="auto"/>
        <w:jc w:val="both"/>
        <w:rPr>
          <w:rFonts w:ascii="Palatino Linotype" w:hAnsi="Palatino Linotype" w:cs="Arial"/>
          <w:sz w:val="24"/>
          <w:szCs w:val="24"/>
        </w:rPr>
      </w:pPr>
      <w:r w:rsidRPr="00A81D21">
        <w:rPr>
          <w:rFonts w:ascii="Palatino Linotype" w:hAnsi="Palatino Linotype" w:cs="Arial"/>
          <w:b/>
          <w:sz w:val="24"/>
        </w:rPr>
        <w:t>VISTO</w:t>
      </w:r>
      <w:r w:rsidRPr="00A81D21">
        <w:rPr>
          <w:rFonts w:ascii="Palatino Linotype" w:hAnsi="Palatino Linotype" w:cs="Arial"/>
          <w:sz w:val="24"/>
        </w:rPr>
        <w:t xml:space="preserve"> el expediente electrónico formado con motivo del recurso de revisión número </w:t>
      </w:r>
      <w:r w:rsidR="00EE3214" w:rsidRPr="00A81D21">
        <w:rPr>
          <w:rFonts w:ascii="Palatino Linotype" w:hAnsi="Palatino Linotype" w:cs="Arial"/>
          <w:b/>
          <w:bCs/>
          <w:sz w:val="24"/>
          <w:lang w:eastAsia="es-MX"/>
        </w:rPr>
        <w:t>02725/INFOEM/IP/RR/2025</w:t>
      </w:r>
      <w:r w:rsidRPr="00A81D21">
        <w:rPr>
          <w:rFonts w:ascii="Palatino Linotype" w:hAnsi="Palatino Linotype" w:cs="Arial"/>
          <w:sz w:val="24"/>
        </w:rPr>
        <w:t xml:space="preserve">, </w:t>
      </w:r>
      <w:r w:rsidRPr="00A81D21">
        <w:rPr>
          <w:rFonts w:ascii="Palatino Linotype" w:hAnsi="Palatino Linotype" w:cs="Arial"/>
          <w:sz w:val="24"/>
          <w:szCs w:val="24"/>
        </w:rPr>
        <w:t>interpuesto por</w:t>
      </w:r>
      <w:r w:rsidR="00FB6049" w:rsidRPr="00A81D21">
        <w:rPr>
          <w:rFonts w:ascii="Palatino Linotype" w:hAnsi="Palatino Linotype" w:cs="Arial"/>
          <w:sz w:val="24"/>
          <w:szCs w:val="24"/>
        </w:rPr>
        <w:t xml:space="preserve"> </w:t>
      </w:r>
      <w:r w:rsidR="00EE3214" w:rsidRPr="00A81D21">
        <w:rPr>
          <w:rFonts w:ascii="Palatino Linotype" w:hAnsi="Palatino Linotype" w:cs="Arial"/>
          <w:sz w:val="24"/>
          <w:szCs w:val="24"/>
        </w:rPr>
        <w:t xml:space="preserve">un particular, en lo sucesivo </w:t>
      </w:r>
      <w:r w:rsidR="00EE3214" w:rsidRPr="00A81D21">
        <w:rPr>
          <w:rFonts w:ascii="Palatino Linotype" w:hAnsi="Palatino Linotype" w:cs="Arial"/>
          <w:b/>
          <w:bCs/>
          <w:sz w:val="24"/>
          <w:szCs w:val="24"/>
        </w:rPr>
        <w:t xml:space="preserve">El Recurrente, </w:t>
      </w:r>
      <w:r w:rsidR="00EE3214" w:rsidRPr="00A81D21">
        <w:rPr>
          <w:rFonts w:ascii="Palatino Linotype" w:hAnsi="Palatino Linotype" w:cs="Arial"/>
          <w:sz w:val="24"/>
          <w:szCs w:val="24"/>
        </w:rPr>
        <w:t xml:space="preserve">en contra de la respuesta del </w:t>
      </w:r>
      <w:r w:rsidR="00EE3214" w:rsidRPr="00A81D21">
        <w:rPr>
          <w:rFonts w:ascii="Palatino Linotype" w:hAnsi="Palatino Linotype" w:cs="Arial"/>
          <w:b/>
          <w:bCs/>
          <w:sz w:val="24"/>
          <w:szCs w:val="24"/>
        </w:rPr>
        <w:t xml:space="preserve">Ayuntamiento de Cocotitlán, </w:t>
      </w:r>
      <w:r w:rsidR="00EE3214" w:rsidRPr="00A81D21">
        <w:rPr>
          <w:rFonts w:ascii="Palatino Linotype" w:hAnsi="Palatino Linotype" w:cs="Arial"/>
          <w:sz w:val="24"/>
          <w:szCs w:val="24"/>
        </w:rPr>
        <w:t xml:space="preserve">en lo subsecuente </w:t>
      </w:r>
      <w:r w:rsidR="00EE3214" w:rsidRPr="00A81D21">
        <w:rPr>
          <w:rFonts w:ascii="Palatino Linotype" w:hAnsi="Palatino Linotype" w:cs="Arial"/>
          <w:b/>
          <w:bCs/>
          <w:sz w:val="24"/>
          <w:szCs w:val="24"/>
        </w:rPr>
        <w:t xml:space="preserve">El Sujeto Obligado, </w:t>
      </w:r>
      <w:r w:rsidR="00726CB4" w:rsidRPr="00A81D21">
        <w:rPr>
          <w:rFonts w:ascii="Palatino Linotype" w:hAnsi="Palatino Linotype" w:cs="Arial"/>
          <w:sz w:val="24"/>
          <w:szCs w:val="24"/>
        </w:rPr>
        <w:t xml:space="preserve">se procede a dictar la presente resolución. </w:t>
      </w:r>
    </w:p>
    <w:p w14:paraId="273656A1" w14:textId="77777777" w:rsidR="008963E2" w:rsidRPr="00A81D21" w:rsidRDefault="008963E2" w:rsidP="006F5F55">
      <w:pPr>
        <w:tabs>
          <w:tab w:val="left" w:pos="1701"/>
        </w:tabs>
        <w:spacing w:before="240" w:line="360" w:lineRule="auto"/>
        <w:jc w:val="both"/>
        <w:rPr>
          <w:rFonts w:ascii="Palatino Linotype" w:hAnsi="Palatino Linotype" w:cs="Arial"/>
          <w:sz w:val="24"/>
          <w:szCs w:val="24"/>
        </w:rPr>
      </w:pPr>
    </w:p>
    <w:p w14:paraId="39A8E1A3" w14:textId="4BD243AC" w:rsidR="006168E4" w:rsidRPr="00A81D21" w:rsidRDefault="006168E4" w:rsidP="00844569">
      <w:pPr>
        <w:spacing w:before="240" w:after="240" w:line="360" w:lineRule="auto"/>
        <w:jc w:val="center"/>
        <w:rPr>
          <w:rFonts w:ascii="Palatino Linotype" w:hAnsi="Palatino Linotype"/>
          <w:b/>
          <w:sz w:val="28"/>
        </w:rPr>
      </w:pPr>
      <w:r w:rsidRPr="00A81D21">
        <w:rPr>
          <w:rFonts w:ascii="Palatino Linotype" w:hAnsi="Palatino Linotype"/>
          <w:b/>
          <w:sz w:val="28"/>
        </w:rPr>
        <w:t>A N T E C E D E N T E S   D E L   A S U N T O</w:t>
      </w:r>
    </w:p>
    <w:p w14:paraId="1EE5021C" w14:textId="77777777" w:rsidR="006168E4" w:rsidRPr="00A81D21" w:rsidRDefault="006168E4" w:rsidP="00844569">
      <w:pPr>
        <w:spacing w:before="240" w:after="240" w:line="360" w:lineRule="auto"/>
        <w:jc w:val="both"/>
        <w:rPr>
          <w:rFonts w:ascii="Palatino Linotype" w:hAnsi="Palatino Linotype"/>
        </w:rPr>
      </w:pPr>
      <w:r w:rsidRPr="00A81D21">
        <w:rPr>
          <w:rFonts w:ascii="Palatino Linotype" w:hAnsi="Palatino Linotype" w:cs="Arial"/>
          <w:b/>
          <w:sz w:val="28"/>
        </w:rPr>
        <w:t>PRIMERO.</w:t>
      </w:r>
      <w:r w:rsidRPr="00A81D21">
        <w:rPr>
          <w:rFonts w:ascii="Palatino Linotype" w:hAnsi="Palatino Linotype" w:cs="Arial"/>
        </w:rPr>
        <w:t xml:space="preserve"> </w:t>
      </w:r>
      <w:r w:rsidRPr="00A81D21">
        <w:rPr>
          <w:rFonts w:ascii="Palatino Linotype" w:hAnsi="Palatino Linotype"/>
          <w:b/>
          <w:sz w:val="28"/>
          <w:szCs w:val="28"/>
        </w:rPr>
        <w:t>De la Solicitud de Información.</w:t>
      </w:r>
    </w:p>
    <w:p w14:paraId="156226FF" w14:textId="39ABBD89" w:rsidR="00EE3214" w:rsidRPr="00A81D21" w:rsidRDefault="006168E4" w:rsidP="00844569">
      <w:pPr>
        <w:spacing w:before="240" w:line="360" w:lineRule="auto"/>
        <w:jc w:val="both"/>
        <w:rPr>
          <w:rFonts w:ascii="Palatino Linotype" w:hAnsi="Palatino Linotype" w:cs="Arial"/>
          <w:sz w:val="24"/>
        </w:rPr>
      </w:pPr>
      <w:r w:rsidRPr="00A81D21">
        <w:rPr>
          <w:rFonts w:ascii="Palatino Linotype" w:hAnsi="Palatino Linotype" w:cs="Arial"/>
          <w:sz w:val="24"/>
        </w:rPr>
        <w:t xml:space="preserve">Con </w:t>
      </w:r>
      <w:r w:rsidR="00C03F20" w:rsidRPr="00A81D21">
        <w:rPr>
          <w:rFonts w:ascii="Palatino Linotype" w:hAnsi="Palatino Linotype" w:cs="Arial"/>
          <w:sz w:val="24"/>
        </w:rPr>
        <w:t>fecha</w:t>
      </w:r>
      <w:r w:rsidR="00ED0EA7" w:rsidRPr="00A81D21">
        <w:rPr>
          <w:rFonts w:ascii="Palatino Linotype" w:hAnsi="Palatino Linotype" w:cs="Arial"/>
          <w:sz w:val="24"/>
        </w:rPr>
        <w:t xml:space="preserve"> </w:t>
      </w:r>
      <w:r w:rsidR="00EE3214" w:rsidRPr="00A81D21">
        <w:rPr>
          <w:rFonts w:ascii="Palatino Linotype" w:hAnsi="Palatino Linotype" w:cs="Arial"/>
          <w:b/>
          <w:bCs/>
          <w:sz w:val="24"/>
        </w:rPr>
        <w:t xml:space="preserve">catorce de febrero de dos mil veinticinco, El Recurrente, </w:t>
      </w:r>
      <w:r w:rsidR="00EE3214" w:rsidRPr="00A81D21">
        <w:rPr>
          <w:rFonts w:ascii="Palatino Linotype" w:hAnsi="Palatino Linotype" w:cs="Arial"/>
          <w:sz w:val="24"/>
        </w:rPr>
        <w:t>presentó a través del Sistema de Acceso a la Información Mexiquense (</w:t>
      </w:r>
      <w:r w:rsidR="00EE3214" w:rsidRPr="00A81D21">
        <w:rPr>
          <w:rFonts w:ascii="Palatino Linotype" w:hAnsi="Palatino Linotype" w:cs="Arial"/>
          <w:b/>
          <w:sz w:val="24"/>
        </w:rPr>
        <w:t>SAIMEX)</w:t>
      </w:r>
      <w:r w:rsidR="00EE3214" w:rsidRPr="00A81D21">
        <w:rPr>
          <w:rFonts w:ascii="Palatino Linotype" w:hAnsi="Palatino Linotype" w:cs="Arial"/>
          <w:sz w:val="24"/>
        </w:rPr>
        <w:t xml:space="preserve"> ante </w:t>
      </w:r>
      <w:r w:rsidR="00EE3214" w:rsidRPr="00A81D21">
        <w:rPr>
          <w:rFonts w:ascii="Palatino Linotype" w:hAnsi="Palatino Linotype" w:cs="Arial"/>
          <w:b/>
          <w:sz w:val="24"/>
        </w:rPr>
        <w:t>El Sujeto Obligado</w:t>
      </w:r>
      <w:r w:rsidR="00EE3214" w:rsidRPr="00A81D21">
        <w:rPr>
          <w:rFonts w:ascii="Palatino Linotype" w:hAnsi="Palatino Linotype" w:cs="Arial"/>
          <w:sz w:val="24"/>
        </w:rPr>
        <w:t xml:space="preserve">, solicitud de acceso a la información pública, registrada bajo el número de expediente </w:t>
      </w:r>
      <w:r w:rsidR="00EE3214" w:rsidRPr="00A81D21">
        <w:rPr>
          <w:rFonts w:ascii="Palatino Linotype" w:hAnsi="Palatino Linotype" w:cs="Arial"/>
          <w:b/>
          <w:bCs/>
          <w:sz w:val="24"/>
        </w:rPr>
        <w:t xml:space="preserve">00107/COCOTIT/IP/2025, </w:t>
      </w:r>
      <w:r w:rsidR="00EE3214" w:rsidRPr="00A81D21">
        <w:rPr>
          <w:rFonts w:ascii="Palatino Linotype" w:hAnsi="Palatino Linotype" w:cs="Arial"/>
          <w:sz w:val="24"/>
        </w:rPr>
        <w:t>mediante la cual solicitó información en el tenor siguiente:</w:t>
      </w:r>
    </w:p>
    <w:p w14:paraId="7FFF54DC" w14:textId="2AE1C3BA" w:rsidR="00EE3214" w:rsidRPr="00A81D21" w:rsidRDefault="00EE3214" w:rsidP="00EE3214">
      <w:pPr>
        <w:pStyle w:val="Citas"/>
        <w:rPr>
          <w:b/>
          <w:bCs/>
        </w:rPr>
      </w:pPr>
      <w:r w:rsidRPr="00A81D21">
        <w:t xml:space="preserve">“copias certificadas de la 1 nómina del mes febrero de todos y cada uno de los directores que conforman su organigrama 2025-2027” </w:t>
      </w:r>
      <w:r w:rsidRPr="00A81D21">
        <w:rPr>
          <w:b/>
          <w:bCs/>
        </w:rPr>
        <w:t>(Sic)</w:t>
      </w:r>
    </w:p>
    <w:p w14:paraId="73DDF68A" w14:textId="37B69757" w:rsidR="00F4623D" w:rsidRPr="00A81D21"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A81D21">
        <w:rPr>
          <w:rFonts w:ascii="Palatino Linotype" w:eastAsia="Times New Roman" w:hAnsi="Palatino Linotype" w:cs="Times New Roman"/>
          <w:b/>
          <w:sz w:val="24"/>
          <w:szCs w:val="24"/>
          <w:lang w:val="es-ES_tradnl" w:eastAsia="es-ES"/>
        </w:rPr>
        <w:t>Modalidad de entrega:</w:t>
      </w:r>
      <w:r w:rsidRPr="00A81D21">
        <w:rPr>
          <w:rFonts w:ascii="Palatino Linotype" w:eastAsia="Times New Roman" w:hAnsi="Palatino Linotype" w:cs="Times New Roman"/>
          <w:sz w:val="24"/>
          <w:szCs w:val="24"/>
          <w:lang w:val="es-ES_tradnl" w:eastAsia="es-ES"/>
        </w:rPr>
        <w:t xml:space="preserve"> </w:t>
      </w:r>
      <w:r w:rsidR="0018726A" w:rsidRPr="00A81D21">
        <w:rPr>
          <w:rFonts w:ascii="Palatino Linotype" w:eastAsia="Times New Roman" w:hAnsi="Palatino Linotype" w:cs="Times New Roman"/>
          <w:sz w:val="24"/>
          <w:szCs w:val="24"/>
          <w:lang w:val="es-ES_tradnl" w:eastAsia="es-ES"/>
        </w:rPr>
        <w:t xml:space="preserve">A </w:t>
      </w:r>
      <w:r w:rsidR="00F4623D" w:rsidRPr="00A81D21">
        <w:rPr>
          <w:rFonts w:ascii="Palatino Linotype" w:eastAsia="Times New Roman" w:hAnsi="Palatino Linotype" w:cs="Times New Roman"/>
          <w:sz w:val="24"/>
          <w:szCs w:val="24"/>
          <w:lang w:val="es-ES_tradnl" w:eastAsia="es-ES"/>
        </w:rPr>
        <w:t>través del SAIMEX</w:t>
      </w:r>
      <w:r w:rsidR="00EE3214" w:rsidRPr="00A81D21">
        <w:rPr>
          <w:rFonts w:ascii="Palatino Linotype" w:eastAsia="Times New Roman" w:hAnsi="Palatino Linotype" w:cs="Times New Roman"/>
          <w:sz w:val="24"/>
          <w:szCs w:val="24"/>
          <w:lang w:val="es-ES_tradnl" w:eastAsia="es-ES"/>
        </w:rPr>
        <w:t xml:space="preserve"> y copias certificadas (con costo)</w:t>
      </w:r>
    </w:p>
    <w:p w14:paraId="45B4D0EB" w14:textId="77777777" w:rsidR="00EE3214" w:rsidRPr="00A81D21" w:rsidRDefault="00EE3214" w:rsidP="00F4623D">
      <w:pPr>
        <w:spacing w:before="240" w:line="360" w:lineRule="auto"/>
        <w:ind w:right="850"/>
        <w:jc w:val="both"/>
        <w:rPr>
          <w:rFonts w:ascii="Palatino Linotype" w:eastAsia="Times New Roman" w:hAnsi="Palatino Linotype" w:cs="Times New Roman"/>
          <w:sz w:val="24"/>
          <w:szCs w:val="24"/>
          <w:lang w:val="es-ES_tradnl" w:eastAsia="es-ES"/>
        </w:rPr>
      </w:pPr>
    </w:p>
    <w:p w14:paraId="1B7C3267" w14:textId="327B8B6B" w:rsidR="006168E4" w:rsidRPr="00A81D21" w:rsidRDefault="006323CA" w:rsidP="00844569">
      <w:pPr>
        <w:spacing w:before="240" w:line="360" w:lineRule="auto"/>
        <w:jc w:val="both"/>
        <w:rPr>
          <w:rFonts w:ascii="Palatino Linotype" w:hAnsi="Palatino Linotype" w:cs="Arial"/>
          <w:b/>
          <w:sz w:val="28"/>
        </w:rPr>
      </w:pPr>
      <w:r w:rsidRPr="00A81D21">
        <w:rPr>
          <w:rFonts w:ascii="Palatino Linotype" w:hAnsi="Palatino Linotype" w:cs="Arial"/>
          <w:b/>
          <w:sz w:val="28"/>
        </w:rPr>
        <w:lastRenderedPageBreak/>
        <w:t>SEGUNDO</w:t>
      </w:r>
      <w:r w:rsidR="006168E4" w:rsidRPr="00A81D21">
        <w:rPr>
          <w:rFonts w:ascii="Palatino Linotype" w:hAnsi="Palatino Linotype" w:cs="Arial"/>
          <w:b/>
          <w:sz w:val="28"/>
        </w:rPr>
        <w:t xml:space="preserve">. </w:t>
      </w:r>
      <w:r w:rsidR="006168E4" w:rsidRPr="00A81D21">
        <w:rPr>
          <w:rFonts w:ascii="Palatino Linotype" w:hAnsi="Palatino Linotype" w:cs="Arial"/>
          <w:b/>
          <w:sz w:val="28"/>
          <w:szCs w:val="20"/>
        </w:rPr>
        <w:t>De la respuesta del Sujeto Obligado.</w:t>
      </w:r>
    </w:p>
    <w:p w14:paraId="7FEC6EA2" w14:textId="1A710FF3" w:rsidR="00EE3214" w:rsidRPr="00A81D21" w:rsidRDefault="006168E4" w:rsidP="00045379">
      <w:pPr>
        <w:spacing w:before="240" w:line="360" w:lineRule="auto"/>
        <w:jc w:val="both"/>
        <w:rPr>
          <w:rFonts w:ascii="Palatino Linotype" w:hAnsi="Palatino Linotype" w:cs="Arial"/>
          <w:sz w:val="24"/>
          <w:szCs w:val="24"/>
        </w:rPr>
      </w:pPr>
      <w:r w:rsidRPr="00A81D21">
        <w:rPr>
          <w:rFonts w:ascii="Palatino Linotype" w:hAnsi="Palatino Linotype" w:cs="Arial"/>
          <w:sz w:val="24"/>
          <w:szCs w:val="24"/>
        </w:rPr>
        <w:t xml:space="preserve">En el expediente electrónico </w:t>
      </w:r>
      <w:r w:rsidRPr="00A81D21">
        <w:rPr>
          <w:rFonts w:ascii="Palatino Linotype" w:hAnsi="Palatino Linotype" w:cs="Arial"/>
          <w:b/>
          <w:sz w:val="24"/>
          <w:szCs w:val="24"/>
        </w:rPr>
        <w:t>SAIMEX</w:t>
      </w:r>
      <w:r w:rsidRPr="00A81D21">
        <w:rPr>
          <w:rFonts w:ascii="Palatino Linotype" w:hAnsi="Palatino Linotype" w:cs="Arial"/>
          <w:sz w:val="24"/>
          <w:szCs w:val="24"/>
        </w:rPr>
        <w:t xml:space="preserve">, se aprecia que el </w:t>
      </w:r>
      <w:r w:rsidR="00EE3214" w:rsidRPr="00A81D21">
        <w:rPr>
          <w:rFonts w:ascii="Palatino Linotype" w:hAnsi="Palatino Linotype" w:cs="Arial"/>
          <w:b/>
          <w:bCs/>
          <w:sz w:val="24"/>
          <w:szCs w:val="24"/>
        </w:rPr>
        <w:t xml:space="preserve">diez de marzo de dos mil veinticinco, El Sujeto Obligado </w:t>
      </w:r>
      <w:r w:rsidR="00EE3214" w:rsidRPr="00A81D21">
        <w:rPr>
          <w:rFonts w:ascii="Palatino Linotype" w:hAnsi="Palatino Linotype" w:cs="Arial"/>
          <w:sz w:val="24"/>
          <w:szCs w:val="24"/>
        </w:rPr>
        <w:t xml:space="preserve">dio respuesta a la solicitud de información </w:t>
      </w:r>
      <w:r w:rsidR="00EE3214" w:rsidRPr="00A81D21">
        <w:rPr>
          <w:rFonts w:ascii="Palatino Linotype" w:hAnsi="Palatino Linotype" w:cs="Arial"/>
          <w:b/>
          <w:bCs/>
          <w:sz w:val="24"/>
          <w:szCs w:val="24"/>
        </w:rPr>
        <w:t xml:space="preserve">00107/COCOTIT/IP/2025, </w:t>
      </w:r>
      <w:r w:rsidR="00EE3214" w:rsidRPr="00A81D21">
        <w:rPr>
          <w:rFonts w:ascii="Palatino Linotype" w:hAnsi="Palatino Linotype" w:cs="Arial"/>
          <w:sz w:val="24"/>
          <w:szCs w:val="24"/>
        </w:rPr>
        <w:t>resulta de nuestro interés lo siguiente:</w:t>
      </w:r>
    </w:p>
    <w:p w14:paraId="317D756B" w14:textId="470CA58E" w:rsidR="00EE3214" w:rsidRPr="00A81D21" w:rsidRDefault="00EE3214" w:rsidP="00EE3214">
      <w:pPr>
        <w:pStyle w:val="Citas"/>
      </w:pPr>
      <w:r w:rsidRPr="00A81D21">
        <w:t>“En respuesta a la solicitud recibida, nos permitimos hacer de su conocimiento que con fundamento en el artículo 53, Fracciones: II, V y VI de la Ley de Transparencia y Acceso a la Información Pública del Estado de México y Municipios, le contestamos que:</w:t>
      </w:r>
    </w:p>
    <w:p w14:paraId="39A4CAD7" w14:textId="7B1197A6" w:rsidR="00EE3214" w:rsidRPr="00A81D21" w:rsidRDefault="00EE3214" w:rsidP="00EE3214">
      <w:pPr>
        <w:pStyle w:val="Citas"/>
        <w:rPr>
          <w:b/>
          <w:bCs/>
        </w:rPr>
      </w:pPr>
      <w:r w:rsidRPr="00A81D21">
        <w:t xml:space="preserve">De acuerdo a su solicitud número 00107/COCO/IP/2025, “copias certificadas de la 1 nómina del mes febrero de todos y cada uno de los directores que conforman su organigrama 2025-2027”. Le informo a usted que con fundamento en el código financiero del Estado de México y municipios en el Articulo 73 fracción I, el costo de las copias certificadas la primera hoja es de $103 pesos y por cada hoja subsecuente $50 pesos Por tal motivo se hace mención que deberá hacer el pago correspondiente en la caja de esta Tesorería Municipal para poder hacer entrega de dicha información” </w:t>
      </w:r>
      <w:r w:rsidRPr="00A81D21">
        <w:rPr>
          <w:b/>
          <w:bCs/>
        </w:rPr>
        <w:t>(Sic)</w:t>
      </w:r>
    </w:p>
    <w:p w14:paraId="119A0137" w14:textId="77777777" w:rsidR="00EE3214" w:rsidRPr="00A81D21" w:rsidRDefault="00EE3214" w:rsidP="00045379">
      <w:pPr>
        <w:spacing w:before="240" w:line="360" w:lineRule="auto"/>
        <w:jc w:val="both"/>
        <w:rPr>
          <w:rFonts w:ascii="Palatino Linotype" w:hAnsi="Palatino Linotype" w:cs="Arial"/>
          <w:sz w:val="24"/>
          <w:szCs w:val="24"/>
        </w:rPr>
      </w:pPr>
    </w:p>
    <w:p w14:paraId="5B815B1F" w14:textId="6B9DC82B" w:rsidR="00B60699" w:rsidRPr="00A81D21" w:rsidRDefault="00B60699" w:rsidP="00B60699">
      <w:pPr>
        <w:spacing w:before="240" w:line="360" w:lineRule="auto"/>
        <w:jc w:val="both"/>
        <w:rPr>
          <w:rFonts w:ascii="Palatino Linotype" w:hAnsi="Palatino Linotype" w:cs="Arial"/>
          <w:sz w:val="24"/>
          <w:szCs w:val="24"/>
        </w:rPr>
      </w:pPr>
      <w:r w:rsidRPr="00A81D21">
        <w:rPr>
          <w:rFonts w:ascii="Palatino Linotype" w:hAnsi="Palatino Linotype" w:cs="Arial"/>
          <w:sz w:val="24"/>
          <w:szCs w:val="24"/>
        </w:rPr>
        <w:t xml:space="preserve">De manera complementaria, </w:t>
      </w:r>
      <w:r w:rsidRPr="00A81D21">
        <w:rPr>
          <w:rFonts w:ascii="Palatino Linotype" w:hAnsi="Palatino Linotype" w:cs="Arial"/>
          <w:b/>
          <w:bCs/>
          <w:sz w:val="24"/>
          <w:szCs w:val="24"/>
        </w:rPr>
        <w:t xml:space="preserve">El Sujeto Obligado </w:t>
      </w:r>
      <w:r w:rsidRPr="00A81D21">
        <w:rPr>
          <w:rFonts w:ascii="Palatino Linotype" w:hAnsi="Palatino Linotype" w:cs="Arial"/>
          <w:sz w:val="24"/>
          <w:szCs w:val="24"/>
        </w:rPr>
        <w:t xml:space="preserve">adjuntó </w:t>
      </w:r>
      <w:r w:rsidR="00FB072A" w:rsidRPr="00A81D21">
        <w:rPr>
          <w:rFonts w:ascii="Palatino Linotype" w:hAnsi="Palatino Linotype" w:cs="Arial"/>
          <w:sz w:val="24"/>
          <w:szCs w:val="24"/>
        </w:rPr>
        <w:t xml:space="preserve">el documento electrónico </w:t>
      </w:r>
      <w:r w:rsidR="00FB072A" w:rsidRPr="00A81D21">
        <w:rPr>
          <w:rFonts w:ascii="Palatino Linotype" w:hAnsi="Palatino Linotype" w:cs="Arial"/>
          <w:b/>
          <w:bCs/>
          <w:sz w:val="24"/>
          <w:szCs w:val="24"/>
        </w:rPr>
        <w:t>“</w:t>
      </w:r>
      <w:r w:rsidR="00EE3214" w:rsidRPr="00A81D21">
        <w:rPr>
          <w:rFonts w:ascii="Palatino Linotype" w:hAnsi="Palatino Linotype" w:cs="Arial"/>
          <w:b/>
          <w:bCs/>
          <w:sz w:val="24"/>
          <w:szCs w:val="24"/>
        </w:rPr>
        <w:t xml:space="preserve">Respuesta 00107.pdf”, </w:t>
      </w:r>
      <w:r w:rsidR="002578DC" w:rsidRPr="00A81D21">
        <w:rPr>
          <w:rFonts w:ascii="Palatino Linotype" w:hAnsi="Palatino Linotype" w:cs="Arial"/>
          <w:sz w:val="24"/>
          <w:szCs w:val="24"/>
        </w:rPr>
        <w:t xml:space="preserve">cuyo contenido se tiene por reproducido como si a la letra se insertase en virtud de que serán materia de análisis en el considerando respectivo. </w:t>
      </w:r>
    </w:p>
    <w:p w14:paraId="11990309" w14:textId="77777777" w:rsidR="00ED0EA7" w:rsidRPr="00A81D21" w:rsidRDefault="00ED0EA7" w:rsidP="00045379">
      <w:pPr>
        <w:spacing w:before="240" w:line="360" w:lineRule="auto"/>
        <w:jc w:val="both"/>
        <w:rPr>
          <w:rFonts w:ascii="Palatino Linotype" w:hAnsi="Palatino Linotype" w:cs="Arial"/>
          <w:sz w:val="24"/>
          <w:szCs w:val="24"/>
        </w:rPr>
      </w:pPr>
    </w:p>
    <w:p w14:paraId="37F573AF" w14:textId="0D7336A5" w:rsidR="006168E4" w:rsidRPr="00A81D21" w:rsidRDefault="00774A9C" w:rsidP="00844569">
      <w:pPr>
        <w:spacing w:before="240" w:line="360" w:lineRule="auto"/>
        <w:jc w:val="both"/>
        <w:rPr>
          <w:rFonts w:ascii="Palatino Linotype" w:hAnsi="Palatino Linotype" w:cs="Arial"/>
          <w:b/>
          <w:sz w:val="28"/>
        </w:rPr>
      </w:pPr>
      <w:r w:rsidRPr="00A81D21">
        <w:rPr>
          <w:rFonts w:ascii="Palatino Linotype" w:hAnsi="Palatino Linotype" w:cs="Arial"/>
          <w:b/>
          <w:sz w:val="28"/>
        </w:rPr>
        <w:lastRenderedPageBreak/>
        <w:t>TERCERO</w:t>
      </w:r>
      <w:r w:rsidR="006168E4" w:rsidRPr="00A81D21">
        <w:rPr>
          <w:rFonts w:ascii="Palatino Linotype" w:hAnsi="Palatino Linotype" w:cs="Arial"/>
          <w:b/>
          <w:sz w:val="28"/>
        </w:rPr>
        <w:t xml:space="preserve">. </w:t>
      </w:r>
      <w:r w:rsidR="006168E4" w:rsidRPr="00A81D21">
        <w:rPr>
          <w:rFonts w:ascii="Palatino Linotype" w:hAnsi="Palatino Linotype"/>
          <w:b/>
          <w:sz w:val="28"/>
        </w:rPr>
        <w:t>Del recurso de revisión.</w:t>
      </w:r>
    </w:p>
    <w:p w14:paraId="05FA1782" w14:textId="3AC00307" w:rsidR="00EE3214" w:rsidRPr="00A81D21" w:rsidRDefault="006168E4" w:rsidP="00844569">
      <w:pPr>
        <w:spacing w:before="240" w:line="360" w:lineRule="auto"/>
        <w:jc w:val="both"/>
        <w:rPr>
          <w:rFonts w:ascii="Palatino Linotype" w:hAnsi="Palatino Linotype" w:cs="Arial"/>
          <w:bCs/>
          <w:sz w:val="24"/>
          <w:szCs w:val="24"/>
        </w:rPr>
      </w:pPr>
      <w:r w:rsidRPr="00A81D21">
        <w:rPr>
          <w:rFonts w:ascii="Palatino Linotype" w:hAnsi="Palatino Linotype" w:cs="Arial"/>
          <w:sz w:val="24"/>
          <w:szCs w:val="24"/>
        </w:rPr>
        <w:t xml:space="preserve">Inconforme con la respuesta notificada por </w:t>
      </w:r>
      <w:r w:rsidR="008B42B1" w:rsidRPr="00A81D21">
        <w:rPr>
          <w:rFonts w:ascii="Palatino Linotype" w:hAnsi="Palatino Linotype" w:cs="Arial"/>
          <w:b/>
          <w:sz w:val="24"/>
          <w:szCs w:val="24"/>
        </w:rPr>
        <w:t>E</w:t>
      </w:r>
      <w:r w:rsidRPr="00A81D21">
        <w:rPr>
          <w:rFonts w:ascii="Palatino Linotype" w:hAnsi="Palatino Linotype" w:cs="Arial"/>
          <w:b/>
          <w:sz w:val="24"/>
          <w:szCs w:val="24"/>
        </w:rPr>
        <w:t xml:space="preserve">l </w:t>
      </w:r>
      <w:r w:rsidR="008B42B1" w:rsidRPr="00A81D21">
        <w:rPr>
          <w:rFonts w:ascii="Palatino Linotype" w:hAnsi="Palatino Linotype" w:cs="Arial"/>
          <w:b/>
          <w:sz w:val="24"/>
          <w:szCs w:val="24"/>
        </w:rPr>
        <w:t>S</w:t>
      </w:r>
      <w:r w:rsidRPr="00A81D21">
        <w:rPr>
          <w:rFonts w:ascii="Palatino Linotype" w:hAnsi="Palatino Linotype" w:cs="Arial"/>
          <w:b/>
          <w:sz w:val="24"/>
          <w:szCs w:val="24"/>
        </w:rPr>
        <w:t xml:space="preserve">ujeto </w:t>
      </w:r>
      <w:r w:rsidR="008B42B1" w:rsidRPr="00A81D21">
        <w:rPr>
          <w:rFonts w:ascii="Palatino Linotype" w:hAnsi="Palatino Linotype" w:cs="Arial"/>
          <w:b/>
          <w:sz w:val="24"/>
          <w:szCs w:val="24"/>
        </w:rPr>
        <w:t>O</w:t>
      </w:r>
      <w:r w:rsidRPr="00A81D21">
        <w:rPr>
          <w:rFonts w:ascii="Palatino Linotype" w:hAnsi="Palatino Linotype" w:cs="Arial"/>
          <w:b/>
          <w:sz w:val="24"/>
          <w:szCs w:val="24"/>
        </w:rPr>
        <w:t xml:space="preserve">bligado, </w:t>
      </w:r>
      <w:r w:rsidR="005202C4" w:rsidRPr="00A81D21">
        <w:rPr>
          <w:rFonts w:ascii="Palatino Linotype" w:hAnsi="Palatino Linotype" w:cs="Arial"/>
          <w:b/>
          <w:sz w:val="24"/>
          <w:szCs w:val="24"/>
        </w:rPr>
        <w:t>El</w:t>
      </w:r>
      <w:r w:rsidR="00817A08" w:rsidRPr="00A81D21">
        <w:rPr>
          <w:rFonts w:ascii="Palatino Linotype" w:hAnsi="Palatino Linotype" w:cs="Arial"/>
          <w:b/>
          <w:sz w:val="24"/>
          <w:szCs w:val="24"/>
        </w:rPr>
        <w:t xml:space="preserve"> Recurrente </w:t>
      </w:r>
      <w:r w:rsidR="00817A08" w:rsidRPr="00A81D21">
        <w:rPr>
          <w:rFonts w:ascii="Palatino Linotype" w:hAnsi="Palatino Linotype" w:cs="Arial"/>
          <w:bCs/>
          <w:sz w:val="24"/>
          <w:szCs w:val="24"/>
        </w:rPr>
        <w:t xml:space="preserve">interpuso el recurso de revisión, en fecha </w:t>
      </w:r>
      <w:r w:rsidR="00EE3214" w:rsidRPr="00A81D21">
        <w:rPr>
          <w:rFonts w:ascii="Palatino Linotype" w:hAnsi="Palatino Linotype" w:cs="Arial"/>
          <w:b/>
          <w:sz w:val="24"/>
          <w:szCs w:val="24"/>
        </w:rPr>
        <w:t xml:space="preserve">diez de marzo de dos mil veinticinco, </w:t>
      </w:r>
      <w:r w:rsidR="00EE3214" w:rsidRPr="00A81D21">
        <w:rPr>
          <w:rFonts w:ascii="Palatino Linotype" w:hAnsi="Palatino Linotype" w:cs="Arial"/>
          <w:bCs/>
          <w:sz w:val="24"/>
          <w:szCs w:val="24"/>
        </w:rPr>
        <w:t xml:space="preserve">el cual fue registrado en el sistema electrónico con el expediente </w:t>
      </w:r>
      <w:r w:rsidR="00EE3214" w:rsidRPr="00A81D21">
        <w:rPr>
          <w:rFonts w:ascii="Palatino Linotype" w:hAnsi="Palatino Linotype" w:cs="Arial"/>
          <w:b/>
          <w:sz w:val="24"/>
          <w:szCs w:val="24"/>
        </w:rPr>
        <w:t xml:space="preserve">02725/INFOEM/IP/RR/2025, </w:t>
      </w:r>
      <w:r w:rsidR="00EE3214" w:rsidRPr="00A81D21">
        <w:rPr>
          <w:rFonts w:ascii="Palatino Linotype" w:hAnsi="Palatino Linotype" w:cs="Arial"/>
          <w:bCs/>
          <w:sz w:val="24"/>
          <w:szCs w:val="24"/>
        </w:rPr>
        <w:t xml:space="preserve">en el cual arguye las siguientes manifestaciones: </w:t>
      </w:r>
    </w:p>
    <w:p w14:paraId="3774298B" w14:textId="77777777" w:rsidR="006168E4" w:rsidRPr="00A81D21" w:rsidRDefault="006168E4" w:rsidP="00844569">
      <w:pPr>
        <w:spacing w:before="240" w:line="360" w:lineRule="auto"/>
        <w:jc w:val="both"/>
        <w:rPr>
          <w:rFonts w:ascii="Palatino Linotype" w:hAnsi="Palatino Linotype" w:cs="Arial"/>
          <w:b/>
          <w:sz w:val="24"/>
        </w:rPr>
      </w:pPr>
      <w:r w:rsidRPr="00A81D21">
        <w:rPr>
          <w:rFonts w:ascii="Palatino Linotype" w:hAnsi="Palatino Linotype" w:cs="Arial"/>
          <w:b/>
          <w:sz w:val="24"/>
        </w:rPr>
        <w:t>Acto Impugnado:</w:t>
      </w:r>
    </w:p>
    <w:p w14:paraId="40CA7A53" w14:textId="1FAE5228" w:rsidR="003406C5" w:rsidRPr="00A81D21" w:rsidRDefault="003406C5" w:rsidP="003406C5">
      <w:pPr>
        <w:pStyle w:val="Citas"/>
        <w:rPr>
          <w:b/>
          <w:bCs/>
          <w:sz w:val="24"/>
        </w:rPr>
      </w:pPr>
      <w:r w:rsidRPr="00A81D21">
        <w:t>“</w:t>
      </w:r>
      <w:r w:rsidR="00EE3214" w:rsidRPr="00A81D21">
        <w:t>no hay información de lo que se le solicitó</w:t>
      </w:r>
      <w:r w:rsidRPr="00A81D21">
        <w:t xml:space="preserve">” </w:t>
      </w:r>
      <w:r w:rsidRPr="00A81D21">
        <w:rPr>
          <w:b/>
          <w:bCs/>
        </w:rPr>
        <w:t>(Sic)</w:t>
      </w:r>
    </w:p>
    <w:p w14:paraId="22A465CC" w14:textId="77777777" w:rsidR="006168E4" w:rsidRPr="00A81D21" w:rsidRDefault="006168E4" w:rsidP="00844569">
      <w:pPr>
        <w:spacing w:before="240" w:line="360" w:lineRule="auto"/>
        <w:jc w:val="both"/>
        <w:rPr>
          <w:rFonts w:ascii="Palatino Linotype" w:hAnsi="Palatino Linotype" w:cs="Arial"/>
          <w:sz w:val="24"/>
        </w:rPr>
      </w:pPr>
      <w:r w:rsidRPr="00A81D21">
        <w:rPr>
          <w:rFonts w:ascii="Palatino Linotype" w:hAnsi="Palatino Linotype" w:cs="Arial"/>
          <w:b/>
          <w:sz w:val="24"/>
        </w:rPr>
        <w:t>Razones o Motivos de Inconformidad</w:t>
      </w:r>
      <w:r w:rsidRPr="00A81D21">
        <w:rPr>
          <w:rFonts w:ascii="Palatino Linotype" w:hAnsi="Palatino Linotype" w:cs="Arial"/>
          <w:sz w:val="24"/>
        </w:rPr>
        <w:t xml:space="preserve">: </w:t>
      </w:r>
    </w:p>
    <w:p w14:paraId="0F651FB8" w14:textId="6DA960EB" w:rsidR="005202C4" w:rsidRPr="00A81D21" w:rsidRDefault="003406C5" w:rsidP="003406C5">
      <w:pPr>
        <w:pStyle w:val="Citas"/>
        <w:rPr>
          <w:b/>
          <w:bCs/>
        </w:rPr>
      </w:pPr>
      <w:r w:rsidRPr="00A81D21">
        <w:t>“</w:t>
      </w:r>
      <w:r w:rsidR="00EE3214" w:rsidRPr="00A81D21">
        <w:t>no entregan la Información, hasta que se pague</w:t>
      </w:r>
      <w:r w:rsidRPr="00A81D21">
        <w:t xml:space="preserve">” </w:t>
      </w:r>
      <w:r w:rsidRPr="00A81D21">
        <w:rPr>
          <w:b/>
          <w:bCs/>
        </w:rPr>
        <w:t>(Sic)</w:t>
      </w:r>
    </w:p>
    <w:p w14:paraId="5B263052" w14:textId="77777777" w:rsidR="003406C5" w:rsidRPr="00A81D21" w:rsidRDefault="003406C5" w:rsidP="00AA207C">
      <w:pPr>
        <w:pStyle w:val="Citas"/>
        <w:rPr>
          <w:b/>
        </w:rPr>
      </w:pPr>
    </w:p>
    <w:p w14:paraId="7E88DE81" w14:textId="5F87B745" w:rsidR="006168E4" w:rsidRPr="00A81D21" w:rsidRDefault="00774A9C" w:rsidP="00844569">
      <w:pPr>
        <w:spacing w:before="240" w:line="360" w:lineRule="auto"/>
        <w:jc w:val="both"/>
        <w:rPr>
          <w:rFonts w:ascii="Palatino Linotype" w:hAnsi="Palatino Linotype" w:cs="Arial"/>
          <w:b/>
          <w:sz w:val="24"/>
          <w:szCs w:val="24"/>
        </w:rPr>
      </w:pPr>
      <w:r w:rsidRPr="00A81D21">
        <w:rPr>
          <w:rFonts w:ascii="Palatino Linotype" w:hAnsi="Palatino Linotype" w:cs="Arial"/>
          <w:b/>
          <w:sz w:val="28"/>
        </w:rPr>
        <w:t>CUARTO</w:t>
      </w:r>
      <w:r w:rsidR="006168E4" w:rsidRPr="00A81D21">
        <w:rPr>
          <w:rFonts w:ascii="Palatino Linotype" w:hAnsi="Palatino Linotype" w:cs="Arial"/>
          <w:b/>
          <w:sz w:val="24"/>
          <w:szCs w:val="24"/>
        </w:rPr>
        <w:t xml:space="preserve">. </w:t>
      </w:r>
      <w:r w:rsidR="006168E4" w:rsidRPr="00A81D21">
        <w:rPr>
          <w:rFonts w:ascii="Palatino Linotype" w:hAnsi="Palatino Linotype" w:cs="Arial"/>
          <w:b/>
          <w:sz w:val="28"/>
          <w:szCs w:val="28"/>
        </w:rPr>
        <w:t>Del turno del recurso de revisión.</w:t>
      </w:r>
    </w:p>
    <w:p w14:paraId="63CCE915" w14:textId="232F3F2B" w:rsidR="006168E4" w:rsidRPr="00A81D21" w:rsidRDefault="006168E4" w:rsidP="00844569">
      <w:pPr>
        <w:spacing w:before="240" w:line="360" w:lineRule="auto"/>
        <w:jc w:val="both"/>
        <w:rPr>
          <w:rFonts w:ascii="Palatino Linotype" w:hAnsi="Palatino Linotype" w:cs="Arial"/>
          <w:sz w:val="24"/>
          <w:szCs w:val="24"/>
        </w:rPr>
      </w:pPr>
      <w:r w:rsidRPr="00A81D21">
        <w:rPr>
          <w:rFonts w:ascii="Palatino Linotype" w:hAnsi="Palatino Linotype" w:cs="Arial"/>
          <w:sz w:val="24"/>
          <w:szCs w:val="24"/>
        </w:rPr>
        <w:t xml:space="preserve">Medio de impugnación que le fue turnado </w:t>
      </w:r>
      <w:r w:rsidR="0018726A" w:rsidRPr="00A81D21">
        <w:rPr>
          <w:rFonts w:ascii="Palatino Linotype" w:hAnsi="Palatino Linotype" w:cs="Arial"/>
          <w:sz w:val="24"/>
          <w:szCs w:val="24"/>
        </w:rPr>
        <w:t>al Comisionado</w:t>
      </w:r>
      <w:r w:rsidRPr="00A81D21">
        <w:rPr>
          <w:rFonts w:ascii="Palatino Linotype" w:hAnsi="Palatino Linotype" w:cs="Arial"/>
          <w:sz w:val="24"/>
          <w:szCs w:val="24"/>
        </w:rPr>
        <w:t xml:space="preserve"> </w:t>
      </w:r>
      <w:r w:rsidR="000E5F05" w:rsidRPr="00A81D21">
        <w:rPr>
          <w:rFonts w:ascii="Palatino Linotype" w:hAnsi="Palatino Linotype" w:cs="Arial"/>
          <w:b/>
          <w:sz w:val="24"/>
          <w:szCs w:val="24"/>
        </w:rPr>
        <w:t>José Martínez Vilchis</w:t>
      </w:r>
      <w:r w:rsidRPr="00A81D21">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sidRPr="00A81D21">
        <w:rPr>
          <w:rFonts w:ascii="Palatino Linotype" w:hAnsi="Palatino Linotype" w:cs="Arial"/>
          <w:sz w:val="24"/>
          <w:szCs w:val="24"/>
        </w:rPr>
        <w:t xml:space="preserve"> </w:t>
      </w:r>
      <w:r w:rsidR="00EE3214" w:rsidRPr="00A81D21">
        <w:rPr>
          <w:rFonts w:ascii="Palatino Linotype" w:hAnsi="Palatino Linotype" w:cs="Arial"/>
          <w:b/>
          <w:bCs/>
          <w:sz w:val="24"/>
          <w:szCs w:val="24"/>
        </w:rPr>
        <w:t>doce de marzo</w:t>
      </w:r>
      <w:r w:rsidR="00FB072A" w:rsidRPr="00A81D21">
        <w:rPr>
          <w:rFonts w:ascii="Palatino Linotype" w:hAnsi="Palatino Linotype" w:cs="Arial"/>
          <w:b/>
          <w:bCs/>
          <w:sz w:val="24"/>
          <w:szCs w:val="24"/>
        </w:rPr>
        <w:t xml:space="preserve"> de dos mil </w:t>
      </w:r>
      <w:r w:rsidR="00EE3214" w:rsidRPr="00A81D21">
        <w:rPr>
          <w:rFonts w:ascii="Palatino Linotype" w:hAnsi="Palatino Linotype" w:cs="Arial"/>
          <w:b/>
          <w:bCs/>
          <w:sz w:val="24"/>
          <w:szCs w:val="24"/>
        </w:rPr>
        <w:t>veinticinco</w:t>
      </w:r>
      <w:r w:rsidR="00FB072A" w:rsidRPr="00A81D21">
        <w:rPr>
          <w:rFonts w:ascii="Palatino Linotype" w:hAnsi="Palatino Linotype" w:cs="Arial"/>
          <w:b/>
          <w:bCs/>
          <w:sz w:val="24"/>
          <w:szCs w:val="24"/>
        </w:rPr>
        <w:t xml:space="preserve">, </w:t>
      </w:r>
      <w:r w:rsidRPr="00A81D21">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Pr="00A81D21" w:rsidRDefault="005E46D0" w:rsidP="00844569">
      <w:pPr>
        <w:spacing w:before="240" w:line="360" w:lineRule="auto"/>
        <w:jc w:val="both"/>
        <w:rPr>
          <w:rFonts w:ascii="Palatino Linotype" w:hAnsi="Palatino Linotype" w:cs="Arial"/>
          <w:sz w:val="24"/>
          <w:szCs w:val="24"/>
        </w:rPr>
      </w:pPr>
    </w:p>
    <w:p w14:paraId="4BCFD455" w14:textId="249654CB" w:rsidR="006168E4" w:rsidRPr="00A81D21" w:rsidRDefault="00774A9C" w:rsidP="00844569">
      <w:pPr>
        <w:spacing w:before="240" w:line="360" w:lineRule="auto"/>
        <w:jc w:val="both"/>
        <w:rPr>
          <w:rFonts w:ascii="Palatino Linotype" w:hAnsi="Palatino Linotype" w:cs="Arial"/>
          <w:b/>
          <w:sz w:val="24"/>
          <w:szCs w:val="24"/>
        </w:rPr>
      </w:pPr>
      <w:r w:rsidRPr="00A81D21">
        <w:rPr>
          <w:rFonts w:ascii="Palatino Linotype" w:hAnsi="Palatino Linotype" w:cs="Arial"/>
          <w:b/>
          <w:sz w:val="28"/>
        </w:rPr>
        <w:t>QUINTO</w:t>
      </w:r>
      <w:r w:rsidR="006168E4" w:rsidRPr="00A81D21">
        <w:rPr>
          <w:rFonts w:ascii="Palatino Linotype" w:hAnsi="Palatino Linotype" w:cs="Arial"/>
          <w:b/>
          <w:sz w:val="24"/>
          <w:szCs w:val="24"/>
        </w:rPr>
        <w:t xml:space="preserve">. </w:t>
      </w:r>
      <w:r w:rsidR="006168E4" w:rsidRPr="00A81D21">
        <w:rPr>
          <w:rFonts w:ascii="Palatino Linotype" w:hAnsi="Palatino Linotype" w:cs="Arial"/>
          <w:b/>
          <w:sz w:val="28"/>
          <w:szCs w:val="28"/>
        </w:rPr>
        <w:t>De la etapa de instrucción.</w:t>
      </w:r>
    </w:p>
    <w:p w14:paraId="4D68AB8A" w14:textId="0459610E" w:rsidR="00FC0941" w:rsidRPr="00A81D21" w:rsidRDefault="005E46D0" w:rsidP="005E46D0">
      <w:pPr>
        <w:spacing w:before="240" w:line="360" w:lineRule="auto"/>
        <w:jc w:val="both"/>
        <w:rPr>
          <w:rFonts w:ascii="Palatino Linotype" w:hAnsi="Palatino Linotype" w:cs="Arial"/>
          <w:sz w:val="24"/>
          <w:szCs w:val="24"/>
        </w:rPr>
      </w:pPr>
      <w:r w:rsidRPr="00A81D21">
        <w:rPr>
          <w:rFonts w:ascii="Palatino Linotype" w:hAnsi="Palatino Linotype" w:cs="Arial"/>
          <w:sz w:val="24"/>
          <w:szCs w:val="24"/>
        </w:rPr>
        <w:lastRenderedPageBreak/>
        <w:t xml:space="preserve">Así, una vez transcurrido el término legal referido, </w:t>
      </w:r>
      <w:r w:rsidR="002B4228" w:rsidRPr="00A81D21">
        <w:rPr>
          <w:rFonts w:ascii="Palatino Linotype" w:hAnsi="Palatino Linotype" w:cs="Arial"/>
          <w:b/>
          <w:bCs/>
          <w:sz w:val="24"/>
          <w:szCs w:val="24"/>
        </w:rPr>
        <w:t xml:space="preserve">El Sujeto Obligado </w:t>
      </w:r>
      <w:r w:rsidR="00FC0941" w:rsidRPr="00A81D21">
        <w:rPr>
          <w:rFonts w:ascii="Palatino Linotype" w:hAnsi="Palatino Linotype" w:cs="Arial"/>
          <w:sz w:val="24"/>
          <w:szCs w:val="24"/>
        </w:rPr>
        <w:t xml:space="preserve">fue omiso en rendir su informe justificado. </w:t>
      </w:r>
    </w:p>
    <w:p w14:paraId="62D38638" w14:textId="148298E5" w:rsidR="006168E4" w:rsidRPr="00A81D21" w:rsidRDefault="001A2E07" w:rsidP="005E46D0">
      <w:pPr>
        <w:spacing w:before="240" w:line="360" w:lineRule="auto"/>
        <w:jc w:val="both"/>
        <w:rPr>
          <w:rFonts w:ascii="Palatino Linotype" w:hAnsi="Palatino Linotype" w:cs="Arial"/>
          <w:sz w:val="24"/>
          <w:szCs w:val="24"/>
        </w:rPr>
      </w:pPr>
      <w:r w:rsidRPr="00A81D21">
        <w:rPr>
          <w:rFonts w:ascii="Palatino Linotype" w:hAnsi="Palatino Linotype" w:cs="Arial"/>
          <w:bCs/>
          <w:sz w:val="24"/>
          <w:szCs w:val="24"/>
        </w:rPr>
        <w:t xml:space="preserve">Por lo cual se decretó el cierre de instrucción con fecha </w:t>
      </w:r>
      <w:r w:rsidR="00EE3214" w:rsidRPr="00A81D21">
        <w:rPr>
          <w:rFonts w:ascii="Palatino Linotype" w:hAnsi="Palatino Linotype" w:cs="Arial"/>
          <w:b/>
          <w:sz w:val="24"/>
          <w:szCs w:val="24"/>
        </w:rPr>
        <w:t xml:space="preserve">veinticinco de marzo de dos mil veinticinco, </w:t>
      </w:r>
      <w:r w:rsidR="005E46D0" w:rsidRPr="00A81D21">
        <w:rPr>
          <w:rFonts w:ascii="Palatino Linotype" w:hAnsi="Palatino Linotype" w:cs="Arial"/>
          <w:b/>
          <w:sz w:val="24"/>
          <w:szCs w:val="24"/>
        </w:rPr>
        <w:t>e</w:t>
      </w:r>
      <w:r w:rsidR="005E46D0" w:rsidRPr="00A81D21">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1BAEA35F" w14:textId="77777777" w:rsidR="00FC0941" w:rsidRPr="00A81D21" w:rsidRDefault="00FC0941" w:rsidP="00844569">
      <w:pPr>
        <w:spacing w:before="240" w:line="360" w:lineRule="auto"/>
        <w:jc w:val="center"/>
        <w:rPr>
          <w:rFonts w:ascii="Palatino Linotype" w:hAnsi="Palatino Linotype" w:cs="Arial"/>
          <w:b/>
          <w:sz w:val="24"/>
        </w:rPr>
      </w:pPr>
    </w:p>
    <w:p w14:paraId="67D0FD90" w14:textId="62817692" w:rsidR="006168E4" w:rsidRPr="00A81D21" w:rsidRDefault="006168E4" w:rsidP="00844569">
      <w:pPr>
        <w:spacing w:before="240" w:line="360" w:lineRule="auto"/>
        <w:jc w:val="center"/>
        <w:rPr>
          <w:rFonts w:ascii="Palatino Linotype" w:hAnsi="Palatino Linotype" w:cs="Arial"/>
          <w:b/>
          <w:sz w:val="24"/>
        </w:rPr>
      </w:pPr>
      <w:r w:rsidRPr="00A81D21">
        <w:rPr>
          <w:rFonts w:ascii="Palatino Linotype" w:hAnsi="Palatino Linotype" w:cs="Arial"/>
          <w:b/>
          <w:sz w:val="24"/>
        </w:rPr>
        <w:t xml:space="preserve">C O N S I D E R A N D O </w:t>
      </w:r>
    </w:p>
    <w:p w14:paraId="579C7ABE" w14:textId="77777777" w:rsidR="006168E4" w:rsidRPr="00A81D21" w:rsidRDefault="006168E4" w:rsidP="00844569">
      <w:pPr>
        <w:spacing w:before="240" w:line="360" w:lineRule="auto"/>
        <w:jc w:val="both"/>
        <w:rPr>
          <w:rFonts w:ascii="Palatino Linotype" w:hAnsi="Palatino Linotype" w:cs="Arial"/>
          <w:sz w:val="24"/>
        </w:rPr>
      </w:pPr>
      <w:r w:rsidRPr="00A81D21">
        <w:rPr>
          <w:rFonts w:ascii="Palatino Linotype" w:hAnsi="Palatino Linotype" w:cs="Arial"/>
          <w:b/>
          <w:sz w:val="28"/>
        </w:rPr>
        <w:t>PRIMERO.</w:t>
      </w:r>
      <w:r w:rsidRPr="00A81D21">
        <w:rPr>
          <w:rFonts w:ascii="Palatino Linotype" w:hAnsi="Palatino Linotype" w:cs="Arial"/>
          <w:b/>
        </w:rPr>
        <w:t xml:space="preserve"> </w:t>
      </w:r>
      <w:r w:rsidRPr="00A81D21">
        <w:rPr>
          <w:rFonts w:ascii="Palatino Linotype" w:hAnsi="Palatino Linotype" w:cs="Arial"/>
          <w:b/>
          <w:sz w:val="28"/>
          <w:szCs w:val="28"/>
        </w:rPr>
        <w:t>De la competencia</w:t>
      </w:r>
      <w:r w:rsidRPr="00A81D21">
        <w:rPr>
          <w:rFonts w:ascii="Palatino Linotype" w:hAnsi="Palatino Linotype" w:cs="Arial"/>
          <w:sz w:val="28"/>
          <w:szCs w:val="28"/>
        </w:rPr>
        <w:t>.</w:t>
      </w:r>
    </w:p>
    <w:p w14:paraId="00444395" w14:textId="77777777" w:rsidR="00FE18C4" w:rsidRPr="00A81D21" w:rsidRDefault="00FE18C4" w:rsidP="00FE18C4">
      <w:pPr>
        <w:spacing w:line="360" w:lineRule="auto"/>
        <w:jc w:val="both"/>
        <w:rPr>
          <w:rFonts w:ascii="Palatino Linotype" w:hAnsi="Palatino Linotype"/>
          <w:sz w:val="24"/>
          <w:szCs w:val="24"/>
        </w:rPr>
      </w:pPr>
      <w:r w:rsidRPr="00A81D21">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2C16CB38" w14:textId="77777777" w:rsidR="00EE3214" w:rsidRPr="00A81D21" w:rsidRDefault="00EE3214" w:rsidP="00EE3214">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5593326D" w14:textId="77777777" w:rsidR="00FE18C4" w:rsidRPr="00A81D21" w:rsidRDefault="00FE18C4" w:rsidP="00EE3214">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017EE330" w14:textId="77777777" w:rsidR="00EE3214" w:rsidRPr="00A81D21" w:rsidRDefault="00EE3214" w:rsidP="00EE3214">
      <w:pPr>
        <w:pStyle w:val="Prrafodelista"/>
        <w:autoSpaceDE w:val="0"/>
        <w:autoSpaceDN w:val="0"/>
        <w:adjustRightInd w:val="0"/>
        <w:spacing w:before="240" w:after="160" w:line="360" w:lineRule="auto"/>
        <w:ind w:left="0"/>
        <w:jc w:val="both"/>
        <w:rPr>
          <w:rFonts w:ascii="Palatino Linotype" w:hAnsi="Palatino Linotype" w:cs="Arial"/>
          <w:b/>
        </w:rPr>
      </w:pPr>
      <w:r w:rsidRPr="00A81D21">
        <w:rPr>
          <w:rFonts w:ascii="Palatino Linotype" w:hAnsi="Palatino Linotype" w:cs="Arial"/>
          <w:b/>
          <w:sz w:val="28"/>
        </w:rPr>
        <w:lastRenderedPageBreak/>
        <w:t>SEGUNDO</w:t>
      </w:r>
      <w:r w:rsidRPr="00A81D21">
        <w:rPr>
          <w:rFonts w:ascii="Palatino Linotype" w:hAnsi="Palatino Linotype" w:cs="Arial"/>
          <w:b/>
        </w:rPr>
        <w:t xml:space="preserve">. </w:t>
      </w:r>
      <w:r w:rsidRPr="00A81D21">
        <w:rPr>
          <w:rFonts w:ascii="Palatino Linotype" w:hAnsi="Palatino Linotype" w:cs="Arial"/>
          <w:b/>
          <w:sz w:val="28"/>
          <w:szCs w:val="28"/>
        </w:rPr>
        <w:t>Sobre los alcances del recurso de revisión.</w:t>
      </w:r>
      <w:r w:rsidRPr="00A81D21">
        <w:rPr>
          <w:rFonts w:ascii="Palatino Linotype" w:hAnsi="Palatino Linotype" w:cs="Arial"/>
          <w:b/>
        </w:rPr>
        <w:t xml:space="preserve"> </w:t>
      </w:r>
    </w:p>
    <w:p w14:paraId="7BDE529E" w14:textId="77777777" w:rsidR="00EE3214" w:rsidRPr="00A81D21"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r w:rsidRPr="00A81D21">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B1481B8" w14:textId="77777777" w:rsidR="00EE3214" w:rsidRPr="00A81D21"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p>
    <w:p w14:paraId="7CC13AB2" w14:textId="77777777" w:rsidR="00EE3214" w:rsidRPr="00A81D21" w:rsidRDefault="00EE3214" w:rsidP="00EE3214">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A81D21">
        <w:rPr>
          <w:rFonts w:ascii="Palatino Linotype" w:hAnsi="Palatino Linotype" w:cs="Arial"/>
          <w:b/>
          <w:sz w:val="28"/>
          <w:lang w:val="es-MX"/>
        </w:rPr>
        <w:t>TERCERO</w:t>
      </w:r>
      <w:r w:rsidRPr="00A81D21">
        <w:rPr>
          <w:rFonts w:ascii="Palatino Linotype" w:hAnsi="Palatino Linotype" w:cs="Arial"/>
          <w:b/>
          <w:lang w:val="es-MX"/>
        </w:rPr>
        <w:t xml:space="preserve">. </w:t>
      </w:r>
      <w:r w:rsidRPr="00A81D21">
        <w:rPr>
          <w:rFonts w:ascii="Palatino Linotype" w:hAnsi="Palatino Linotype" w:cs="Arial"/>
          <w:b/>
          <w:sz w:val="28"/>
          <w:szCs w:val="28"/>
          <w:lang w:val="es-MX"/>
        </w:rPr>
        <w:t>De las causas de improcedencia.</w:t>
      </w:r>
    </w:p>
    <w:p w14:paraId="1BF5AA1D" w14:textId="77777777" w:rsidR="00EE3214" w:rsidRPr="00A81D21" w:rsidRDefault="00EE3214" w:rsidP="00EE3214">
      <w:pPr>
        <w:spacing w:after="0" w:line="360" w:lineRule="auto"/>
        <w:jc w:val="both"/>
        <w:rPr>
          <w:rFonts w:ascii="Palatino Linotype" w:eastAsia="Times New Roman" w:hAnsi="Palatino Linotype" w:cs="Times New Roman"/>
          <w:sz w:val="24"/>
          <w:szCs w:val="24"/>
          <w:lang w:eastAsia="es-ES"/>
        </w:rPr>
      </w:pPr>
      <w:r w:rsidRPr="00A81D2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3A8BE04B"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b/>
          <w:i/>
          <w:lang w:eastAsia="es-ES"/>
        </w:rPr>
        <w:t xml:space="preserve">“Artículo 180. </w:t>
      </w:r>
      <w:r w:rsidRPr="00A81D21">
        <w:rPr>
          <w:rFonts w:ascii="Palatino Linotype" w:eastAsia="Times New Roman" w:hAnsi="Palatino Linotype" w:cs="Arial"/>
          <w:i/>
          <w:lang w:eastAsia="es-ES"/>
        </w:rPr>
        <w:t>El recurso de revisión contendrá:</w:t>
      </w:r>
    </w:p>
    <w:p w14:paraId="23287B35"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t>I. El sujeto obligado ante la cual se presentó la solicitud;</w:t>
      </w:r>
    </w:p>
    <w:p w14:paraId="630B718D"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b/>
          <w:i/>
          <w:u w:val="single"/>
          <w:lang w:eastAsia="es-ES"/>
        </w:rPr>
        <w:t>II. El nombre del solicitante que recurre</w:t>
      </w:r>
      <w:r w:rsidRPr="00A81D2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9100B22"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t>III. El número de folio de respuesta de la solicitud de acceso;</w:t>
      </w:r>
    </w:p>
    <w:p w14:paraId="0787FA30"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0695A6F5"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t>V. El acto que se recurre;</w:t>
      </w:r>
    </w:p>
    <w:p w14:paraId="3632BC3A"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t>VI. Las razones o motivos de inconformidad;</w:t>
      </w:r>
    </w:p>
    <w:p w14:paraId="536BD1E3"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6A5FE2FB"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t>VIII. Firma del recurrente, en su caso, cuando se presente por escrito, requisito sin el cual se dará trámite al recurso.</w:t>
      </w:r>
    </w:p>
    <w:p w14:paraId="7B939823"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t>Adicionalmente, se podrán anexar las pruebas y demás elementos que considere procedentes someter a juicio del Instituto.</w:t>
      </w:r>
    </w:p>
    <w:p w14:paraId="68407890" w14:textId="77777777" w:rsidR="00EE3214" w:rsidRPr="00A81D21" w:rsidRDefault="00EE3214" w:rsidP="00EE3214">
      <w:pPr>
        <w:spacing w:before="240" w:line="360" w:lineRule="auto"/>
        <w:ind w:left="851" w:right="851"/>
        <w:jc w:val="both"/>
        <w:rPr>
          <w:rFonts w:ascii="Palatino Linotype" w:eastAsia="Times New Roman" w:hAnsi="Palatino Linotype" w:cs="Arial"/>
          <w:i/>
          <w:lang w:eastAsia="es-ES"/>
        </w:rPr>
      </w:pPr>
      <w:r w:rsidRPr="00A81D21">
        <w:rPr>
          <w:rFonts w:ascii="Palatino Linotype" w:eastAsia="Times New Roman" w:hAnsi="Palatino Linotype" w:cs="Arial"/>
          <w:i/>
          <w:lang w:eastAsia="es-ES"/>
        </w:rPr>
        <w:t>En ningún caso será necesario que el particular ratifique el recurso de revisión interpuesto.</w:t>
      </w:r>
    </w:p>
    <w:p w14:paraId="0C5E2447" w14:textId="77777777" w:rsidR="00EE3214" w:rsidRPr="00A81D21" w:rsidRDefault="00EE3214" w:rsidP="00EE3214">
      <w:pPr>
        <w:spacing w:before="240" w:line="360" w:lineRule="auto"/>
        <w:ind w:left="851" w:right="851"/>
        <w:jc w:val="both"/>
        <w:rPr>
          <w:rFonts w:ascii="Palatino Linotype" w:eastAsia="Times New Roman" w:hAnsi="Palatino Linotype" w:cs="Arial"/>
          <w:i/>
          <w:sz w:val="24"/>
          <w:szCs w:val="24"/>
          <w:lang w:eastAsia="es-ES"/>
        </w:rPr>
      </w:pPr>
      <w:r w:rsidRPr="00A81D2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81D21">
        <w:rPr>
          <w:rFonts w:ascii="Palatino Linotype" w:eastAsia="Times New Roman" w:hAnsi="Palatino Linotype" w:cs="Arial"/>
          <w:b/>
          <w:i/>
          <w:lang w:eastAsia="es-ES"/>
        </w:rPr>
        <w:t xml:space="preserve"> [Sic] </w:t>
      </w:r>
    </w:p>
    <w:p w14:paraId="12A263DB" w14:textId="77777777" w:rsidR="00EE3214" w:rsidRPr="00A81D21" w:rsidRDefault="00EE3214" w:rsidP="00EE3214">
      <w:pPr>
        <w:spacing w:after="0" w:line="360" w:lineRule="auto"/>
        <w:jc w:val="both"/>
        <w:rPr>
          <w:rFonts w:ascii="Palatino Linotype" w:eastAsia="Times New Roman" w:hAnsi="Palatino Linotype" w:cs="Arial"/>
          <w:b/>
          <w:i/>
          <w:sz w:val="24"/>
          <w:szCs w:val="24"/>
          <w:lang w:eastAsia="es-ES"/>
        </w:rPr>
      </w:pPr>
    </w:p>
    <w:p w14:paraId="7ADD748A" w14:textId="77777777" w:rsidR="00EE3214" w:rsidRPr="00A81D21" w:rsidRDefault="00EE3214" w:rsidP="00EE3214">
      <w:pPr>
        <w:spacing w:after="0" w:line="360" w:lineRule="auto"/>
        <w:jc w:val="both"/>
        <w:rPr>
          <w:rFonts w:ascii="Palatino Linotype" w:hAnsi="Palatino Linotype" w:cs="Arial"/>
          <w:sz w:val="24"/>
          <w:szCs w:val="24"/>
          <w:lang w:eastAsia="es-ES"/>
        </w:rPr>
      </w:pPr>
      <w:r w:rsidRPr="00A81D21">
        <w:rPr>
          <w:rFonts w:ascii="Palatino Linotype" w:hAnsi="Palatino Linotype" w:cs="Segoe UI"/>
          <w:sz w:val="24"/>
          <w:szCs w:val="24"/>
          <w:lang w:eastAsia="es-ES"/>
        </w:rPr>
        <w:t xml:space="preserve">Cabe señalar que </w:t>
      </w:r>
      <w:r w:rsidRPr="00A81D21">
        <w:rPr>
          <w:rFonts w:ascii="Palatino Linotype" w:hAnsi="Palatino Linotype" w:cs="Segoe UI"/>
          <w:b/>
          <w:sz w:val="24"/>
          <w:szCs w:val="24"/>
          <w:lang w:eastAsia="es-ES"/>
        </w:rPr>
        <w:t>El Recurrente</w:t>
      </w:r>
      <w:r w:rsidRPr="00A81D21">
        <w:rPr>
          <w:rFonts w:ascii="Palatino Linotype" w:hAnsi="Palatino Linotype" w:cs="Segoe UI"/>
          <w:sz w:val="24"/>
          <w:szCs w:val="24"/>
          <w:lang w:eastAsia="es-ES"/>
        </w:rPr>
        <w:t xml:space="preserve"> ejerció de manera anónima su derecho de acceso a la información pública</w:t>
      </w:r>
      <w:r w:rsidRPr="00A81D21">
        <w:rPr>
          <w:rFonts w:ascii="Palatino Linotype" w:hAnsi="Palatino Linotype" w:cs="Times New Roman"/>
          <w:sz w:val="24"/>
          <w:szCs w:val="24"/>
          <w:lang w:eastAsia="es-ES"/>
        </w:rPr>
        <w:t xml:space="preserve">, sin embargo, no es motivo para desechar las </w:t>
      </w:r>
      <w:r w:rsidRPr="00A81D2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1CCCC3E0" w14:textId="77777777" w:rsidR="00EE3214" w:rsidRPr="00A81D21" w:rsidRDefault="00EE3214" w:rsidP="00EE3214">
      <w:pPr>
        <w:spacing w:before="240" w:line="360" w:lineRule="auto"/>
        <w:ind w:left="851" w:right="851"/>
        <w:jc w:val="both"/>
        <w:rPr>
          <w:rFonts w:ascii="Palatino Linotype" w:hAnsi="Palatino Linotype" w:cs="Arial"/>
          <w:b/>
          <w:i/>
          <w:lang w:eastAsia="es-ES"/>
        </w:rPr>
      </w:pPr>
      <w:r w:rsidRPr="00A81D21">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81D21">
        <w:rPr>
          <w:rFonts w:ascii="Palatino Linotype" w:hAnsi="Palatino Linotype" w:cs="Arial"/>
          <w:b/>
          <w:i/>
          <w:lang w:eastAsia="es-ES"/>
        </w:rPr>
        <w:t>[Sic]</w:t>
      </w:r>
    </w:p>
    <w:p w14:paraId="76833805" w14:textId="77777777" w:rsidR="00EE3214" w:rsidRPr="00A81D21" w:rsidRDefault="00EE3214" w:rsidP="00EE3214">
      <w:pPr>
        <w:spacing w:before="240" w:line="360" w:lineRule="auto"/>
        <w:ind w:left="851" w:right="851"/>
        <w:jc w:val="both"/>
        <w:rPr>
          <w:rFonts w:ascii="Palatino Linotype" w:hAnsi="Palatino Linotype" w:cs="Arial"/>
          <w:b/>
          <w:i/>
          <w:lang w:eastAsia="es-ES"/>
        </w:rPr>
      </w:pPr>
    </w:p>
    <w:p w14:paraId="23091B3E" w14:textId="77777777" w:rsidR="00EE3214" w:rsidRPr="00A81D21" w:rsidRDefault="00EE3214" w:rsidP="00EE3214">
      <w:pPr>
        <w:spacing w:after="0" w:line="360" w:lineRule="auto"/>
        <w:jc w:val="both"/>
        <w:rPr>
          <w:rFonts w:ascii="Palatino Linotype" w:hAnsi="Palatino Linotype" w:cs="Times New Roman"/>
          <w:sz w:val="24"/>
          <w:szCs w:val="24"/>
          <w:lang w:eastAsia="es-ES"/>
        </w:rPr>
      </w:pPr>
      <w:r w:rsidRPr="00A81D2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81D21">
        <w:rPr>
          <w:rFonts w:ascii="Palatino Linotype" w:hAnsi="Palatino Linotype" w:cs="Arial"/>
          <w:sz w:val="24"/>
          <w:szCs w:val="24"/>
          <w:lang w:eastAsia="es-ES"/>
        </w:rPr>
        <w:t>vigésimo, vigésimo primero</w:t>
      </w:r>
      <w:r w:rsidRPr="00A81D21">
        <w:rPr>
          <w:rFonts w:ascii="Palatino Linotype" w:eastAsia="Times New Roman" w:hAnsi="Palatino Linotype" w:cs="Arial"/>
          <w:sz w:val="24"/>
          <w:szCs w:val="24"/>
          <w:lang w:eastAsia="es-ES"/>
        </w:rPr>
        <w:t xml:space="preserve"> y vigésimo segundo</w:t>
      </w:r>
      <w:r w:rsidRPr="00A81D21">
        <w:rPr>
          <w:rFonts w:ascii="Palatino Linotype" w:hAnsi="Palatino Linotype" w:cs="Times New Roman"/>
          <w:sz w:val="24"/>
          <w:szCs w:val="24"/>
          <w:lang w:eastAsia="es-ES"/>
        </w:rPr>
        <w:t>, de la Constitución Política del Estado Libre y Soberano de México, se establece lo siguiente:</w:t>
      </w:r>
    </w:p>
    <w:p w14:paraId="2F66E414" w14:textId="77777777" w:rsidR="00EE3214" w:rsidRPr="00A81D21" w:rsidRDefault="00EE3214" w:rsidP="00EE3214">
      <w:pPr>
        <w:spacing w:before="240" w:line="360" w:lineRule="auto"/>
        <w:ind w:left="851" w:right="851"/>
        <w:jc w:val="center"/>
        <w:rPr>
          <w:rFonts w:ascii="Palatino Linotype" w:eastAsia="Times New Roman" w:hAnsi="Palatino Linotype" w:cs="Times New Roman"/>
          <w:b/>
          <w:i/>
          <w:u w:val="single"/>
          <w:lang w:eastAsia="es-ES"/>
        </w:rPr>
      </w:pPr>
      <w:r w:rsidRPr="00A81D21">
        <w:rPr>
          <w:rFonts w:ascii="Palatino Linotype" w:eastAsia="Times New Roman" w:hAnsi="Palatino Linotype" w:cs="Times New Roman"/>
          <w:b/>
          <w:i/>
          <w:u w:val="single"/>
          <w:lang w:eastAsia="es-ES"/>
        </w:rPr>
        <w:t>Constitución Política de los Estados Unidos Mexicanos</w:t>
      </w:r>
    </w:p>
    <w:p w14:paraId="1948A2D8"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b/>
          <w:i/>
          <w:lang w:eastAsia="es-ES"/>
        </w:rPr>
        <w:t>“Artículo 6</w:t>
      </w:r>
      <w:r w:rsidRPr="00A81D2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9BE834"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w:t>
      </w:r>
    </w:p>
    <w:p w14:paraId="0227BB0E"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 xml:space="preserve">Para efectos de lo dispuesto en el presente artículo se observará lo siguiente: </w:t>
      </w:r>
    </w:p>
    <w:p w14:paraId="493FC959"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2F1C3D31"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w:t>
      </w:r>
    </w:p>
    <w:p w14:paraId="696453D2"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48F08305" w14:textId="77777777" w:rsidR="00EE3214" w:rsidRPr="00A81D21" w:rsidRDefault="00EE3214" w:rsidP="00EE3214">
      <w:pPr>
        <w:spacing w:before="240" w:line="360" w:lineRule="auto"/>
        <w:ind w:left="851" w:right="851"/>
        <w:jc w:val="both"/>
        <w:rPr>
          <w:rFonts w:ascii="Palatino Linotype" w:eastAsia="Times New Roman" w:hAnsi="Palatino Linotype" w:cs="Times New Roman"/>
          <w:b/>
          <w:i/>
          <w:lang w:eastAsia="es-ES"/>
        </w:rPr>
      </w:pPr>
      <w:r w:rsidRPr="00A81D2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81D21">
        <w:rPr>
          <w:rFonts w:ascii="Palatino Linotype" w:eastAsia="Times New Roman" w:hAnsi="Palatino Linotype" w:cs="Times New Roman"/>
          <w:b/>
          <w:i/>
          <w:lang w:eastAsia="es-ES"/>
        </w:rPr>
        <w:t>[Sic]</w:t>
      </w:r>
    </w:p>
    <w:p w14:paraId="4DDF2797" w14:textId="77777777" w:rsidR="00EE3214" w:rsidRPr="00A81D21" w:rsidRDefault="00EE3214" w:rsidP="00EE3214">
      <w:pPr>
        <w:spacing w:before="240" w:line="360" w:lineRule="auto"/>
        <w:ind w:left="851" w:right="851"/>
        <w:jc w:val="both"/>
        <w:rPr>
          <w:rFonts w:ascii="Palatino Linotype" w:eastAsia="Times New Roman" w:hAnsi="Palatino Linotype" w:cs="Times New Roman"/>
          <w:b/>
          <w:i/>
          <w:lang w:eastAsia="es-ES"/>
        </w:rPr>
      </w:pPr>
    </w:p>
    <w:p w14:paraId="04FE9E5B" w14:textId="77777777" w:rsidR="00EE3214" w:rsidRPr="00A81D21" w:rsidRDefault="00EE3214" w:rsidP="00EE3214">
      <w:pPr>
        <w:spacing w:before="240" w:line="360" w:lineRule="auto"/>
        <w:ind w:left="851" w:right="851"/>
        <w:jc w:val="center"/>
        <w:rPr>
          <w:rFonts w:ascii="Palatino Linotype" w:eastAsia="Times New Roman" w:hAnsi="Palatino Linotype" w:cs="Times New Roman"/>
          <w:b/>
          <w:i/>
          <w:u w:val="single"/>
          <w:lang w:eastAsia="es-ES"/>
        </w:rPr>
      </w:pPr>
      <w:r w:rsidRPr="00A81D21">
        <w:rPr>
          <w:rFonts w:ascii="Palatino Linotype" w:eastAsia="Times New Roman" w:hAnsi="Palatino Linotype" w:cs="Times New Roman"/>
          <w:b/>
          <w:i/>
          <w:u w:val="single"/>
          <w:lang w:eastAsia="es-ES"/>
        </w:rPr>
        <w:t>Constitución Política del Estado Libre y Soberano de México</w:t>
      </w:r>
    </w:p>
    <w:p w14:paraId="370DBC03"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w:t>
      </w:r>
      <w:r w:rsidRPr="00A81D21">
        <w:rPr>
          <w:rFonts w:ascii="Palatino Linotype" w:eastAsia="Times New Roman" w:hAnsi="Palatino Linotype" w:cs="Times New Roman"/>
          <w:b/>
          <w:i/>
          <w:lang w:eastAsia="es-ES"/>
        </w:rPr>
        <w:t>Artículo 5</w:t>
      </w:r>
      <w:r w:rsidRPr="00A81D2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4F28659"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w:t>
      </w:r>
    </w:p>
    <w:p w14:paraId="0718D436"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E91C0DB"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 xml:space="preserve"> (…)</w:t>
      </w:r>
    </w:p>
    <w:p w14:paraId="18A075F7"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5EDA477D"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6F5808A"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w:t>
      </w:r>
    </w:p>
    <w:p w14:paraId="4351312F"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1CD8A614"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3E68041D"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w:t>
      </w:r>
    </w:p>
    <w:p w14:paraId="3772A4E0" w14:textId="77777777" w:rsidR="00EE3214" w:rsidRPr="00A81D21" w:rsidRDefault="00EE3214" w:rsidP="00EE3214">
      <w:pPr>
        <w:spacing w:before="240" w:line="360" w:lineRule="auto"/>
        <w:ind w:left="851" w:right="851"/>
        <w:jc w:val="both"/>
        <w:rPr>
          <w:rFonts w:ascii="Palatino Linotype" w:eastAsia="Times New Roman" w:hAnsi="Palatino Linotype" w:cs="Times New Roman"/>
          <w:b/>
          <w:i/>
          <w:lang w:eastAsia="es-ES"/>
        </w:rPr>
      </w:pPr>
      <w:r w:rsidRPr="00A81D2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81D21">
        <w:rPr>
          <w:rFonts w:ascii="Palatino Linotype" w:eastAsia="Times New Roman" w:hAnsi="Palatino Linotype" w:cs="Times New Roman"/>
          <w:b/>
          <w:i/>
          <w:lang w:eastAsia="es-ES"/>
        </w:rPr>
        <w:t>[Sic]</w:t>
      </w:r>
    </w:p>
    <w:p w14:paraId="442C0522" w14:textId="77777777" w:rsidR="00EE3214" w:rsidRPr="00A81D21" w:rsidRDefault="00EE3214" w:rsidP="00EE3214">
      <w:pPr>
        <w:spacing w:after="0" w:line="360" w:lineRule="auto"/>
        <w:jc w:val="both"/>
        <w:rPr>
          <w:rFonts w:ascii="Palatino Linotype" w:eastAsia="Times New Roman" w:hAnsi="Palatino Linotype" w:cs="Times New Roman"/>
          <w:sz w:val="24"/>
          <w:szCs w:val="24"/>
          <w:lang w:eastAsia="es-ES"/>
        </w:rPr>
      </w:pPr>
      <w:r w:rsidRPr="00A81D21">
        <w:rPr>
          <w:rFonts w:ascii="Palatino Linotype" w:eastAsia="Times New Roman" w:hAnsi="Palatino Linotype" w:cs="Times New Roman"/>
          <w:sz w:val="24"/>
          <w:szCs w:val="24"/>
          <w:lang w:eastAsia="es-ES"/>
        </w:rPr>
        <w:lastRenderedPageBreak/>
        <w:t>Por otra parte, del contenido del artículo 1 de la Constitución Política de los Estados Unidos Mexicanos, se destaca lo siguiente:</w:t>
      </w:r>
    </w:p>
    <w:p w14:paraId="67CDC86F" w14:textId="77777777" w:rsidR="00EE3214" w:rsidRPr="00A81D21" w:rsidRDefault="00EE3214" w:rsidP="00EE3214">
      <w:pPr>
        <w:spacing w:before="240" w:line="360" w:lineRule="auto"/>
        <w:ind w:left="851" w:right="851"/>
        <w:jc w:val="both"/>
        <w:rPr>
          <w:rFonts w:ascii="Palatino Linotype" w:hAnsi="Palatino Linotype" w:cs="Times New Roman"/>
          <w:i/>
          <w:lang w:eastAsia="es-ES"/>
        </w:rPr>
      </w:pPr>
      <w:r w:rsidRPr="00A81D21">
        <w:rPr>
          <w:rFonts w:ascii="Palatino Linotype" w:hAnsi="Palatino Linotype" w:cs="Times New Roman"/>
          <w:i/>
          <w:lang w:eastAsia="es-ES"/>
        </w:rPr>
        <w:t>“</w:t>
      </w:r>
      <w:r w:rsidRPr="00A81D21">
        <w:rPr>
          <w:rFonts w:ascii="Palatino Linotype" w:hAnsi="Palatino Linotype" w:cs="Times New Roman"/>
          <w:b/>
          <w:i/>
          <w:lang w:eastAsia="es-ES"/>
        </w:rPr>
        <w:t>Artículo 1o</w:t>
      </w:r>
      <w:r w:rsidRPr="00A81D2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C8F376B" w14:textId="77777777" w:rsidR="00EE3214" w:rsidRPr="00A81D21" w:rsidRDefault="00EE3214" w:rsidP="00EE3214">
      <w:pPr>
        <w:spacing w:before="240" w:line="360" w:lineRule="auto"/>
        <w:ind w:left="851" w:right="851"/>
        <w:jc w:val="both"/>
        <w:rPr>
          <w:rFonts w:ascii="Palatino Linotype" w:hAnsi="Palatino Linotype" w:cs="Times New Roman"/>
          <w:i/>
          <w:lang w:eastAsia="es-ES"/>
        </w:rPr>
      </w:pPr>
      <w:r w:rsidRPr="00A81D2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7D4DEFB1" w14:textId="77777777" w:rsidR="00EE3214" w:rsidRPr="00A81D21" w:rsidRDefault="00EE3214" w:rsidP="00EE3214">
      <w:pPr>
        <w:spacing w:before="240" w:line="360" w:lineRule="auto"/>
        <w:ind w:left="851" w:right="851"/>
        <w:jc w:val="both"/>
        <w:rPr>
          <w:rFonts w:ascii="Palatino Linotype" w:hAnsi="Palatino Linotype" w:cs="Times New Roman"/>
          <w:b/>
          <w:i/>
          <w:lang w:eastAsia="es-ES"/>
        </w:rPr>
      </w:pPr>
      <w:r w:rsidRPr="00A81D2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81D21">
        <w:rPr>
          <w:rFonts w:ascii="Palatino Linotype" w:hAnsi="Palatino Linotype" w:cs="Times New Roman"/>
          <w:b/>
          <w:i/>
          <w:lang w:eastAsia="es-ES"/>
        </w:rPr>
        <w:t>[Sic]</w:t>
      </w:r>
    </w:p>
    <w:p w14:paraId="31F141C1" w14:textId="77777777" w:rsidR="00EE3214" w:rsidRPr="00A81D21" w:rsidRDefault="00EE3214" w:rsidP="00EE3214">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0F7444AF" w14:textId="77777777" w:rsidR="00EE3214" w:rsidRPr="00A81D21" w:rsidRDefault="00EE3214" w:rsidP="00EE3214">
      <w:pPr>
        <w:tabs>
          <w:tab w:val="left" w:pos="709"/>
        </w:tabs>
        <w:spacing w:before="240" w:line="360" w:lineRule="auto"/>
        <w:ind w:right="51"/>
        <w:jc w:val="both"/>
        <w:rPr>
          <w:rFonts w:ascii="Palatino Linotype" w:hAnsi="Palatino Linotype"/>
          <w:b/>
          <w:sz w:val="28"/>
          <w:szCs w:val="28"/>
        </w:rPr>
      </w:pPr>
      <w:r w:rsidRPr="00A81D2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81D21">
        <w:rPr>
          <w:rFonts w:ascii="Palatino Linotype" w:eastAsia="Times New Roman" w:hAnsi="Palatino Linotype" w:cs="Times New Roman"/>
          <w:b/>
          <w:sz w:val="24"/>
          <w:szCs w:val="24"/>
          <w:u w:val="single"/>
          <w:lang w:eastAsia="es-ES"/>
        </w:rPr>
        <w:t>incluso, la solicitud de acceso a la información pueda ser anónima</w:t>
      </w:r>
      <w:r w:rsidRPr="00A81D21">
        <w:rPr>
          <w:rFonts w:ascii="Palatino Linotype" w:eastAsia="Times New Roman" w:hAnsi="Palatino Linotype" w:cs="Times New Roman"/>
          <w:sz w:val="24"/>
          <w:szCs w:val="24"/>
          <w:lang w:eastAsia="es-ES"/>
        </w:rPr>
        <w:t xml:space="preserve"> o no contener un nombre que identifique al solicitante o que permita tener </w:t>
      </w:r>
      <w:r w:rsidRPr="00A81D21">
        <w:rPr>
          <w:rFonts w:ascii="Palatino Linotype" w:eastAsia="Times New Roman" w:hAnsi="Palatino Linotype" w:cs="Times New Roman"/>
          <w:sz w:val="24"/>
          <w:szCs w:val="24"/>
          <w:lang w:eastAsia="es-ES"/>
        </w:rPr>
        <w:lastRenderedPageBreak/>
        <w:t xml:space="preserve">certeza sobre su identidad. </w:t>
      </w:r>
      <w:r w:rsidRPr="00A81D21">
        <w:rPr>
          <w:rFonts w:ascii="Palatino Linotype" w:hAnsi="Palatino Linotype" w:cs="Arial"/>
          <w:sz w:val="24"/>
          <w:szCs w:val="24"/>
        </w:rPr>
        <w:t>En conclusión, se cubrieron los requisitos de procedencia y procedibilidad y conforme a las constancias que obran en el expediente.</w:t>
      </w:r>
    </w:p>
    <w:p w14:paraId="7A7BB08F" w14:textId="77777777" w:rsidR="00EE3214" w:rsidRPr="00A81D21" w:rsidRDefault="00EE3214" w:rsidP="00EE3214">
      <w:pPr>
        <w:tabs>
          <w:tab w:val="left" w:pos="709"/>
        </w:tabs>
        <w:spacing w:before="240" w:line="360" w:lineRule="auto"/>
        <w:ind w:right="51"/>
        <w:jc w:val="both"/>
        <w:rPr>
          <w:rFonts w:ascii="Palatino Linotype" w:hAnsi="Palatino Linotype"/>
          <w:b/>
          <w:sz w:val="28"/>
          <w:szCs w:val="28"/>
        </w:rPr>
      </w:pPr>
    </w:p>
    <w:p w14:paraId="7631469F" w14:textId="77777777" w:rsidR="00EE3214" w:rsidRPr="00A81D21" w:rsidRDefault="00EE3214" w:rsidP="00EE3214">
      <w:pPr>
        <w:tabs>
          <w:tab w:val="left" w:pos="709"/>
        </w:tabs>
        <w:spacing w:before="240" w:line="360" w:lineRule="auto"/>
        <w:ind w:right="51"/>
        <w:jc w:val="both"/>
        <w:rPr>
          <w:rFonts w:ascii="Palatino Linotype" w:hAnsi="Palatino Linotype"/>
          <w:b/>
          <w:sz w:val="28"/>
          <w:szCs w:val="28"/>
        </w:rPr>
      </w:pPr>
      <w:r w:rsidRPr="00A81D21">
        <w:rPr>
          <w:rFonts w:ascii="Palatino Linotype" w:hAnsi="Palatino Linotype"/>
          <w:b/>
          <w:sz w:val="28"/>
          <w:szCs w:val="28"/>
        </w:rPr>
        <w:t xml:space="preserve">CUARTO. Estudio y resolución del asunto </w:t>
      </w:r>
      <w:r w:rsidRPr="00A81D21">
        <w:rPr>
          <w:rFonts w:ascii="Palatino Linotype" w:hAnsi="Palatino Linotype"/>
          <w:b/>
          <w:sz w:val="28"/>
          <w:szCs w:val="28"/>
        </w:rPr>
        <w:tab/>
      </w:r>
    </w:p>
    <w:p w14:paraId="5B6F3886" w14:textId="77777777" w:rsidR="00EE3214" w:rsidRPr="00A81D21"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r w:rsidRPr="00A81D21">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54D842C5" w14:textId="77777777" w:rsidR="00EE3214" w:rsidRPr="00A81D21" w:rsidRDefault="00EE3214" w:rsidP="00EE3214">
      <w:pPr>
        <w:spacing w:after="0" w:line="360" w:lineRule="auto"/>
        <w:jc w:val="both"/>
        <w:rPr>
          <w:rFonts w:ascii="Palatino Linotype" w:eastAsia="Times New Roman" w:hAnsi="Palatino Linotype" w:cs="Times New Roman"/>
          <w:sz w:val="24"/>
          <w:szCs w:val="24"/>
          <w:lang w:eastAsia="es-ES"/>
        </w:rPr>
      </w:pPr>
      <w:r w:rsidRPr="00A81D21">
        <w:rPr>
          <w:rFonts w:ascii="Palatino Linotype" w:hAnsi="Palatino Linotype" w:cs="Arial"/>
          <w:sz w:val="24"/>
          <w:szCs w:val="24"/>
        </w:rPr>
        <w:t xml:space="preserve">En este tenor, es necesario subrayar que </w:t>
      </w:r>
      <w:r w:rsidRPr="00A81D2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7867475"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b/>
          <w:i/>
          <w:lang w:eastAsia="es-ES"/>
        </w:rPr>
        <w:t>“Artículo 4.</w:t>
      </w:r>
      <w:r w:rsidRPr="00A81D21">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2E6DC4"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w:t>
      </w:r>
      <w:r w:rsidRPr="00A81D21">
        <w:rPr>
          <w:rFonts w:ascii="Palatino Linotype" w:eastAsia="Times New Roman" w:hAnsi="Palatino Linotype" w:cs="Times New Roman"/>
          <w:i/>
          <w:lang w:eastAsia="es-ES"/>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C35DA10"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8FB53D5"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b/>
          <w:i/>
          <w:lang w:eastAsia="es-ES"/>
        </w:rPr>
        <w:t>Artículo 12.</w:t>
      </w:r>
      <w:r w:rsidRPr="00A81D21">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CCBD8D0"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3497383"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w:t>
      </w:r>
    </w:p>
    <w:p w14:paraId="73E13B28" w14:textId="77777777" w:rsidR="00EE3214" w:rsidRPr="00A81D21" w:rsidRDefault="00EE3214" w:rsidP="00EE3214">
      <w:pPr>
        <w:spacing w:before="240" w:line="360" w:lineRule="auto"/>
        <w:ind w:left="851" w:right="851"/>
        <w:jc w:val="both"/>
        <w:rPr>
          <w:rFonts w:ascii="Palatino Linotype" w:eastAsia="Times New Roman" w:hAnsi="Palatino Linotype" w:cs="Times New Roman"/>
          <w:b/>
          <w:i/>
          <w:lang w:eastAsia="es-ES"/>
        </w:rPr>
      </w:pPr>
      <w:r w:rsidRPr="00A81D21">
        <w:rPr>
          <w:rFonts w:ascii="Palatino Linotype" w:eastAsia="Times New Roman" w:hAnsi="Palatino Linotype" w:cs="Times New Roman"/>
          <w:b/>
          <w:i/>
          <w:lang w:eastAsia="es-ES"/>
        </w:rPr>
        <w:t xml:space="preserve">Artículo 24. </w:t>
      </w:r>
    </w:p>
    <w:p w14:paraId="22A7742E"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w:t>
      </w:r>
    </w:p>
    <w:p w14:paraId="0D20CBED"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E3BF3F4"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i/>
          <w:lang w:eastAsia="es-ES"/>
        </w:rPr>
        <w:lastRenderedPageBreak/>
        <w:t>(…)</w:t>
      </w:r>
    </w:p>
    <w:p w14:paraId="1D0A9B9A" w14:textId="77777777" w:rsidR="00EE3214" w:rsidRPr="00A81D21" w:rsidRDefault="00EE3214" w:rsidP="00EE3214">
      <w:pPr>
        <w:spacing w:before="240" w:line="360" w:lineRule="auto"/>
        <w:ind w:left="851" w:right="851"/>
        <w:jc w:val="both"/>
        <w:rPr>
          <w:rFonts w:ascii="Palatino Linotype" w:eastAsia="Times New Roman" w:hAnsi="Palatino Linotype" w:cs="Times New Roman"/>
          <w:i/>
          <w:lang w:eastAsia="es-ES"/>
        </w:rPr>
      </w:pPr>
      <w:r w:rsidRPr="00A81D21">
        <w:rPr>
          <w:rFonts w:ascii="Palatino Linotype" w:eastAsia="Times New Roman" w:hAnsi="Palatino Linotype" w:cs="Times New Roman"/>
          <w:b/>
          <w:i/>
          <w:lang w:eastAsia="es-ES"/>
        </w:rPr>
        <w:t>Artículo 160.</w:t>
      </w:r>
      <w:r w:rsidRPr="00A81D21">
        <w:rPr>
          <w:rFonts w:ascii="Palatino Linotype" w:eastAsia="Times New Roman" w:hAnsi="Palatino Linotype" w:cs="Times New Roman"/>
          <w:i/>
          <w:lang w:eastAsia="es-ES"/>
        </w:rPr>
        <w:t xml:space="preserve"> Los sujetos obligados deberán otorgar acceso a los documentos que se </w:t>
      </w:r>
      <w:r w:rsidRPr="00A81D21">
        <w:rPr>
          <w:rFonts w:ascii="Palatino Linotype" w:eastAsia="Times New Roman" w:hAnsi="Palatino Linotype" w:cs="Times New Roman"/>
          <w:b/>
          <w:i/>
          <w:lang w:eastAsia="es-ES"/>
        </w:rPr>
        <w:t xml:space="preserve"> </w:t>
      </w:r>
      <w:r w:rsidRPr="00A81D21">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B00331F" w14:textId="77777777" w:rsidR="00EE3214" w:rsidRPr="00A81D21" w:rsidRDefault="00EE3214" w:rsidP="00EE3214">
      <w:pPr>
        <w:spacing w:before="240" w:line="360" w:lineRule="auto"/>
        <w:ind w:left="851" w:right="851"/>
        <w:jc w:val="both"/>
        <w:rPr>
          <w:rFonts w:ascii="Palatino Linotype" w:eastAsia="Times New Roman" w:hAnsi="Palatino Linotype" w:cs="Times New Roman"/>
          <w:b/>
          <w:i/>
          <w:lang w:eastAsia="es-ES"/>
        </w:rPr>
      </w:pPr>
      <w:r w:rsidRPr="00A81D21">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A81D21">
        <w:rPr>
          <w:rFonts w:ascii="Palatino Linotype" w:eastAsia="Times New Roman" w:hAnsi="Palatino Linotype" w:cs="Times New Roman"/>
          <w:b/>
          <w:i/>
          <w:lang w:eastAsia="es-ES"/>
        </w:rPr>
        <w:t>[Sic]</w:t>
      </w:r>
    </w:p>
    <w:p w14:paraId="11B5ED61" w14:textId="77777777" w:rsidR="00EE3214" w:rsidRPr="00A81D21" w:rsidRDefault="00EE3214" w:rsidP="00EE3214">
      <w:pPr>
        <w:spacing w:after="0" w:line="360" w:lineRule="auto"/>
        <w:jc w:val="both"/>
        <w:rPr>
          <w:rFonts w:ascii="Palatino Linotype" w:eastAsia="Times New Roman" w:hAnsi="Palatino Linotype" w:cs="Times New Roman"/>
          <w:sz w:val="24"/>
          <w:szCs w:val="24"/>
          <w:lang w:eastAsia="es-ES"/>
        </w:rPr>
      </w:pPr>
    </w:p>
    <w:p w14:paraId="0B604FCC" w14:textId="77777777" w:rsidR="00EE3214" w:rsidRPr="00A81D21" w:rsidRDefault="00EE3214" w:rsidP="00EE3214">
      <w:pPr>
        <w:spacing w:after="0" w:line="360" w:lineRule="auto"/>
        <w:jc w:val="both"/>
        <w:rPr>
          <w:rFonts w:ascii="Palatino Linotype" w:eastAsia="Times New Roman" w:hAnsi="Palatino Linotype" w:cs="Times New Roman"/>
          <w:sz w:val="24"/>
          <w:szCs w:val="24"/>
          <w:lang w:eastAsia="es-ES"/>
        </w:rPr>
      </w:pPr>
      <w:r w:rsidRPr="00A81D21">
        <w:rPr>
          <w:rFonts w:ascii="Palatino Linotype" w:eastAsia="Times New Roman" w:hAnsi="Palatino Linotype" w:cs="Times New Roman"/>
          <w:sz w:val="24"/>
          <w:szCs w:val="24"/>
          <w:lang w:eastAsia="es-ES"/>
        </w:rPr>
        <w:t xml:space="preserve">Así que la obligación de los </w:t>
      </w:r>
      <w:r w:rsidRPr="00A81D21">
        <w:rPr>
          <w:rFonts w:ascii="Palatino Linotype" w:eastAsia="Times New Roman" w:hAnsi="Palatino Linotype" w:cs="Times New Roman"/>
          <w:b/>
          <w:sz w:val="24"/>
          <w:szCs w:val="24"/>
          <w:lang w:eastAsia="es-ES"/>
        </w:rPr>
        <w:t>Sujetos Obligados</w:t>
      </w:r>
      <w:r w:rsidRPr="00A81D21">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A81D21">
        <w:rPr>
          <w:rFonts w:ascii="Palatino Linotype" w:eastAsia="Times New Roman" w:hAnsi="Palatino Linotype" w:cs="Times New Roman"/>
          <w:bCs/>
          <w:sz w:val="24"/>
          <w:szCs w:val="24"/>
          <w:lang w:eastAsia="es-ES"/>
        </w:rPr>
        <w:t>de la Ley local en la materia, que se reproduce de la siguiente forma</w:t>
      </w:r>
      <w:r w:rsidRPr="00A81D21">
        <w:rPr>
          <w:rFonts w:ascii="Palatino Linotype" w:eastAsia="Times New Roman" w:hAnsi="Palatino Linotype" w:cs="Times New Roman"/>
          <w:sz w:val="24"/>
          <w:szCs w:val="24"/>
          <w:lang w:eastAsia="es-ES"/>
        </w:rPr>
        <w:t>:</w:t>
      </w:r>
    </w:p>
    <w:p w14:paraId="08E2095F" w14:textId="77777777" w:rsidR="00EE3214" w:rsidRPr="00A81D21" w:rsidRDefault="00EE3214" w:rsidP="00EE3214">
      <w:pPr>
        <w:spacing w:before="240" w:line="360" w:lineRule="auto"/>
        <w:ind w:left="851" w:right="851"/>
        <w:jc w:val="both"/>
        <w:rPr>
          <w:rFonts w:ascii="Palatino Linotype" w:eastAsia="Times New Roman" w:hAnsi="Palatino Linotype" w:cs="Arial"/>
          <w:b/>
          <w:i/>
          <w:lang w:eastAsia="es-ES"/>
        </w:rPr>
      </w:pPr>
      <w:r w:rsidRPr="00A81D21">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A81D21">
        <w:rPr>
          <w:rFonts w:ascii="Palatino Linotype" w:eastAsia="Times New Roman" w:hAnsi="Palatino Linotype" w:cs="Arial"/>
          <w:b/>
          <w:i/>
          <w:lang w:eastAsia="es-ES"/>
        </w:rPr>
        <w:t>[Sic]</w:t>
      </w:r>
    </w:p>
    <w:p w14:paraId="118C28DF" w14:textId="77777777" w:rsidR="00EE3214" w:rsidRPr="00A81D21" w:rsidRDefault="00EE3214" w:rsidP="007B0046">
      <w:pPr>
        <w:spacing w:before="240" w:line="360" w:lineRule="auto"/>
        <w:ind w:left="851" w:right="851"/>
        <w:jc w:val="both"/>
        <w:rPr>
          <w:rFonts w:ascii="Palatino Linotype" w:eastAsia="Times New Roman" w:hAnsi="Palatino Linotype" w:cs="Arial"/>
          <w:i/>
          <w:lang w:eastAsia="es-ES"/>
        </w:rPr>
      </w:pPr>
    </w:p>
    <w:p w14:paraId="729B243C" w14:textId="3B57768D" w:rsidR="004C0F85" w:rsidRPr="00A81D21" w:rsidRDefault="00F95FBD" w:rsidP="004C0F85">
      <w:pPr>
        <w:autoSpaceDE w:val="0"/>
        <w:autoSpaceDN w:val="0"/>
        <w:adjustRightInd w:val="0"/>
        <w:spacing w:line="360" w:lineRule="auto"/>
        <w:jc w:val="both"/>
        <w:rPr>
          <w:rFonts w:ascii="Palatino Linotype" w:hAnsi="Palatino Linotype" w:cs="Arial"/>
          <w:sz w:val="24"/>
          <w:szCs w:val="24"/>
        </w:rPr>
      </w:pPr>
      <w:r w:rsidRPr="00A81D21">
        <w:rPr>
          <w:rFonts w:ascii="Palatino Linotype" w:hAnsi="Palatino Linotype" w:cs="Arial"/>
          <w:sz w:val="24"/>
          <w:szCs w:val="24"/>
        </w:rPr>
        <w:t xml:space="preserve">Una vez sentado lo anterior, de una interpretación armónica a la solicitud de información </w:t>
      </w:r>
      <w:r w:rsidR="00EE3214" w:rsidRPr="00A81D21">
        <w:rPr>
          <w:rFonts w:ascii="Palatino Linotype" w:hAnsi="Palatino Linotype" w:cs="Arial"/>
          <w:b/>
          <w:bCs/>
          <w:sz w:val="24"/>
          <w:szCs w:val="24"/>
        </w:rPr>
        <w:t>00107/COCOTIT/IP/2025</w:t>
      </w:r>
      <w:r w:rsidR="00FB072A" w:rsidRPr="00A81D21">
        <w:rPr>
          <w:rFonts w:ascii="Palatino Linotype" w:hAnsi="Palatino Linotype" w:cs="Arial"/>
          <w:b/>
          <w:bCs/>
          <w:sz w:val="24"/>
          <w:szCs w:val="24"/>
        </w:rPr>
        <w:t xml:space="preserve">, </w:t>
      </w:r>
      <w:r w:rsidR="00FB072A" w:rsidRPr="00A81D21">
        <w:rPr>
          <w:rFonts w:ascii="Palatino Linotype" w:hAnsi="Palatino Linotype" w:cs="Arial"/>
          <w:sz w:val="24"/>
          <w:szCs w:val="24"/>
        </w:rPr>
        <w:t xml:space="preserve">se desprenden las siguientes consideraciones: </w:t>
      </w:r>
    </w:p>
    <w:p w14:paraId="11466023" w14:textId="2699BAAC" w:rsidR="00F95FBD" w:rsidRPr="00A81D21" w:rsidRDefault="00F95FBD" w:rsidP="0038610C">
      <w:pPr>
        <w:pStyle w:val="Prrafodelista"/>
        <w:numPr>
          <w:ilvl w:val="0"/>
          <w:numId w:val="7"/>
        </w:numPr>
        <w:autoSpaceDE w:val="0"/>
        <w:autoSpaceDN w:val="0"/>
        <w:adjustRightInd w:val="0"/>
        <w:spacing w:line="360" w:lineRule="auto"/>
        <w:jc w:val="both"/>
        <w:rPr>
          <w:rFonts w:ascii="Palatino Linotype" w:hAnsi="Palatino Linotype" w:cs="Arial"/>
        </w:rPr>
      </w:pPr>
      <w:r w:rsidRPr="00A81D21">
        <w:rPr>
          <w:rFonts w:ascii="Palatino Linotype" w:hAnsi="Palatino Linotype" w:cs="Arial"/>
        </w:rPr>
        <w:t xml:space="preserve">Que el derecho de acceso a la información pública estriba en la prerrogativa de carácter constitucional que reconoce la potestad de los ciudadanos para solicitar </w:t>
      </w:r>
      <w:r w:rsidRPr="00A81D21">
        <w:rPr>
          <w:rFonts w:ascii="Palatino Linotype" w:hAnsi="Palatino Linotype" w:cs="Arial"/>
        </w:rPr>
        <w:lastRenderedPageBreak/>
        <w:t xml:space="preserve">soportes documentales generados, poseídos o administrados por los </w:t>
      </w:r>
      <w:r w:rsidRPr="00A81D21">
        <w:rPr>
          <w:rFonts w:ascii="Palatino Linotype" w:hAnsi="Palatino Linotype" w:cs="Arial"/>
          <w:b/>
          <w:bCs/>
        </w:rPr>
        <w:t>Sujetos Obligados.</w:t>
      </w:r>
    </w:p>
    <w:p w14:paraId="539984B8" w14:textId="77777777" w:rsidR="004C0F85" w:rsidRPr="00A81D21" w:rsidRDefault="004C0F85" w:rsidP="004C0F85">
      <w:pPr>
        <w:pStyle w:val="Prrafodelista"/>
        <w:autoSpaceDE w:val="0"/>
        <w:autoSpaceDN w:val="0"/>
        <w:adjustRightInd w:val="0"/>
        <w:spacing w:line="360" w:lineRule="auto"/>
        <w:ind w:left="720"/>
        <w:jc w:val="both"/>
        <w:rPr>
          <w:rFonts w:ascii="Palatino Linotype" w:hAnsi="Palatino Linotype" w:cs="Arial"/>
        </w:rPr>
      </w:pPr>
    </w:p>
    <w:p w14:paraId="16A4407F" w14:textId="1428AC0D" w:rsidR="004C0F85" w:rsidRPr="00A81D21" w:rsidRDefault="00FC0941" w:rsidP="0038610C">
      <w:pPr>
        <w:pStyle w:val="Prrafodelista"/>
        <w:numPr>
          <w:ilvl w:val="0"/>
          <w:numId w:val="5"/>
        </w:numPr>
        <w:autoSpaceDE w:val="0"/>
        <w:autoSpaceDN w:val="0"/>
        <w:adjustRightInd w:val="0"/>
        <w:spacing w:line="360" w:lineRule="auto"/>
        <w:jc w:val="both"/>
        <w:rPr>
          <w:rFonts w:ascii="Palatino Linotype" w:hAnsi="Palatino Linotype" w:cs="Arial"/>
        </w:rPr>
      </w:pPr>
      <w:r w:rsidRPr="00A81D21">
        <w:rPr>
          <w:rFonts w:ascii="Palatino Linotype" w:hAnsi="Palatino Linotype" w:cs="Arial"/>
        </w:rPr>
        <w:t xml:space="preserve">Que </w:t>
      </w:r>
      <w:r w:rsidR="004C0F85" w:rsidRPr="00A81D21">
        <w:rPr>
          <w:rFonts w:ascii="Palatino Linotype" w:hAnsi="Palatino Linotype" w:cs="Arial"/>
        </w:rPr>
        <w:t xml:space="preserve">el particular fijo como elemento temporal </w:t>
      </w:r>
      <w:r w:rsidR="004C0F85" w:rsidRPr="00A81D21">
        <w:rPr>
          <w:rFonts w:ascii="Palatino Linotype" w:hAnsi="Palatino Linotype" w:cs="Arial"/>
          <w:i/>
          <w:iCs/>
        </w:rPr>
        <w:t>“</w:t>
      </w:r>
      <w:r w:rsidR="0062762F" w:rsidRPr="00A81D21">
        <w:rPr>
          <w:rFonts w:ascii="Palatino Linotype" w:hAnsi="Palatino Linotype" w:cs="Arial"/>
          <w:i/>
          <w:iCs/>
        </w:rPr>
        <w:t>1 nómina del mes febrero</w:t>
      </w:r>
      <w:r w:rsidR="004C0F85" w:rsidRPr="00A81D21">
        <w:rPr>
          <w:rFonts w:ascii="Palatino Linotype" w:hAnsi="Palatino Linotype" w:cs="Arial"/>
          <w:i/>
          <w:iCs/>
        </w:rPr>
        <w:t xml:space="preserve">”, </w:t>
      </w:r>
      <w:r w:rsidR="004C0F85" w:rsidRPr="00A81D21">
        <w:rPr>
          <w:rFonts w:ascii="Palatino Linotype" w:hAnsi="Palatino Linotype" w:cs="Arial"/>
        </w:rPr>
        <w:t xml:space="preserve">es decir, </w:t>
      </w:r>
      <w:r w:rsidR="0062762F" w:rsidRPr="00A81D21">
        <w:rPr>
          <w:rFonts w:ascii="Palatino Linotype" w:hAnsi="Palatino Linotype" w:cs="Arial"/>
        </w:rPr>
        <w:t xml:space="preserve">resulta de su interés la información relativa al periodo comprendido del uno al quince de febrero de dos mil veinticinco. </w:t>
      </w:r>
    </w:p>
    <w:p w14:paraId="31F30020" w14:textId="77777777" w:rsidR="0062762F" w:rsidRPr="00A81D21" w:rsidRDefault="0062762F" w:rsidP="0062762F">
      <w:pPr>
        <w:pStyle w:val="Prrafodelista"/>
        <w:rPr>
          <w:rFonts w:ascii="Palatino Linotype" w:hAnsi="Palatino Linotype" w:cs="Arial"/>
        </w:rPr>
      </w:pPr>
    </w:p>
    <w:p w14:paraId="32E37174" w14:textId="77777777" w:rsidR="0062762F" w:rsidRPr="00A81D21" w:rsidRDefault="0062762F" w:rsidP="0062762F">
      <w:pPr>
        <w:pStyle w:val="Prrafodelista"/>
        <w:spacing w:before="240" w:line="360" w:lineRule="auto"/>
        <w:ind w:left="720"/>
        <w:jc w:val="both"/>
        <w:rPr>
          <w:rFonts w:ascii="Palatino Linotype" w:hAnsi="Palatino Linotype"/>
          <w:lang w:val="es-MX"/>
        </w:rPr>
      </w:pPr>
      <w:r w:rsidRPr="00A81D21">
        <w:rPr>
          <w:rFonts w:ascii="Palatino Linotype" w:hAnsi="Palatino Linotype" w:cs="Arial"/>
        </w:rPr>
        <w:t xml:space="preserve">Bajo este contexto, se destaca que el </w:t>
      </w:r>
      <w:r w:rsidRPr="00A81D21">
        <w:rPr>
          <w:rFonts w:ascii="Palatino Linotype" w:hAnsi="Palatino Linotype"/>
          <w:lang w:val="es-MX"/>
        </w:rPr>
        <w:t xml:space="preserve">derecho de acceso a la información estriba respecto de aquellos soportes documentales generados, poseídos o administrados por </w:t>
      </w:r>
      <w:r w:rsidRPr="00A81D21">
        <w:rPr>
          <w:rFonts w:ascii="Palatino Linotype" w:hAnsi="Palatino Linotype"/>
          <w:b/>
          <w:bCs/>
          <w:lang w:val="es-MX"/>
        </w:rPr>
        <w:t xml:space="preserve">El Sujeto Obligado </w:t>
      </w:r>
      <w:r w:rsidRPr="00A81D21">
        <w:rPr>
          <w:rFonts w:ascii="Palatino Linotype" w:hAnsi="Palatino Linotype"/>
          <w:lang w:val="es-MX"/>
        </w:rPr>
        <w:t>que se encuentren disponibles al momento de ejercer dicha prerrogativa, es decir, excluye los siguientes actos:</w:t>
      </w:r>
    </w:p>
    <w:p w14:paraId="5A84381F" w14:textId="77777777" w:rsidR="0062762F" w:rsidRPr="00A81D21" w:rsidRDefault="0062762F" w:rsidP="0062762F">
      <w:pPr>
        <w:pStyle w:val="Prrafodelista"/>
        <w:spacing w:before="240" w:line="360" w:lineRule="auto"/>
        <w:ind w:left="720"/>
        <w:jc w:val="both"/>
        <w:rPr>
          <w:rFonts w:ascii="Palatino Linotype" w:hAnsi="Palatino Linotype"/>
          <w:lang w:val="es-MX"/>
        </w:rPr>
      </w:pPr>
      <w:r w:rsidRPr="00A81D21">
        <w:rPr>
          <w:rFonts w:ascii="Palatino Linotype" w:hAnsi="Palatino Linotype"/>
          <w:b/>
          <w:bCs/>
          <w:lang w:val="es-MX"/>
        </w:rPr>
        <w:t xml:space="preserve">Actos futuros inminentes: </w:t>
      </w:r>
      <w:r w:rsidRPr="00A81D21">
        <w:rPr>
          <w:rFonts w:ascii="Palatino Linotype" w:hAnsi="Palatino Linotype"/>
          <w:lang w:val="es-MX"/>
        </w:rPr>
        <w:t xml:space="preserve">Son aquellos cuyo mandamiento ya se ha dictado y su ejecución puede realizarse de un momento a otro. </w:t>
      </w:r>
    </w:p>
    <w:p w14:paraId="1D69D3F5" w14:textId="77777777" w:rsidR="0062762F" w:rsidRPr="00A81D21" w:rsidRDefault="0062762F" w:rsidP="0062762F">
      <w:pPr>
        <w:pStyle w:val="Prrafodelista"/>
        <w:spacing w:before="240" w:line="360" w:lineRule="auto"/>
        <w:ind w:left="720"/>
        <w:jc w:val="both"/>
        <w:rPr>
          <w:rFonts w:ascii="Palatino Linotype" w:hAnsi="Palatino Linotype"/>
          <w:lang w:val="es-MX"/>
        </w:rPr>
      </w:pPr>
      <w:r w:rsidRPr="00A81D21">
        <w:rPr>
          <w:rFonts w:ascii="Palatino Linotype" w:hAnsi="Palatino Linotype"/>
          <w:b/>
          <w:bCs/>
          <w:lang w:val="es-MX"/>
        </w:rPr>
        <w:t xml:space="preserve">Actos futuros probables: </w:t>
      </w:r>
      <w:r w:rsidRPr="00A81D21">
        <w:rPr>
          <w:rFonts w:ascii="Palatino Linotype" w:hAnsi="Palatino Linotype"/>
          <w:lang w:val="es-MX"/>
        </w:rPr>
        <w:t xml:space="preserve">Son aquellos que pueden o no suceder, es decir, son de remota realización. </w:t>
      </w:r>
    </w:p>
    <w:p w14:paraId="7FF5178C" w14:textId="77777777" w:rsidR="0062762F" w:rsidRPr="00A81D21" w:rsidRDefault="0062762F" w:rsidP="0062762F">
      <w:pPr>
        <w:pStyle w:val="Prrafodelista"/>
        <w:autoSpaceDE w:val="0"/>
        <w:autoSpaceDN w:val="0"/>
        <w:adjustRightInd w:val="0"/>
        <w:spacing w:line="360" w:lineRule="auto"/>
        <w:ind w:left="720"/>
        <w:jc w:val="both"/>
        <w:rPr>
          <w:rFonts w:ascii="Palatino Linotype" w:hAnsi="Palatino Linotype" w:cs="Arial"/>
          <w:lang w:val="es-MX"/>
        </w:rPr>
      </w:pPr>
    </w:p>
    <w:p w14:paraId="604B2ED8" w14:textId="4C64F2D6" w:rsidR="0062762F" w:rsidRPr="00A81D21" w:rsidRDefault="0062762F" w:rsidP="0062762F">
      <w:pPr>
        <w:pStyle w:val="Prrafodelista"/>
        <w:autoSpaceDE w:val="0"/>
        <w:autoSpaceDN w:val="0"/>
        <w:adjustRightInd w:val="0"/>
        <w:spacing w:line="360" w:lineRule="auto"/>
        <w:ind w:left="720"/>
        <w:jc w:val="both"/>
        <w:rPr>
          <w:rFonts w:ascii="Palatino Linotype" w:hAnsi="Palatino Linotype" w:cs="Arial"/>
          <w:lang w:val="es-MX"/>
        </w:rPr>
      </w:pPr>
      <w:r w:rsidRPr="00A81D21">
        <w:rPr>
          <w:rFonts w:ascii="Palatino Linotype" w:hAnsi="Palatino Linotype" w:cs="Arial"/>
          <w:lang w:val="es-MX"/>
        </w:rPr>
        <w:t xml:space="preserve">En este sentido, con relación a la solicitud de información </w:t>
      </w:r>
      <w:r w:rsidRPr="00A81D21">
        <w:rPr>
          <w:rFonts w:ascii="Palatino Linotype" w:hAnsi="Palatino Linotype" w:cs="Arial"/>
          <w:b/>
          <w:bCs/>
          <w:lang w:val="es-MX"/>
        </w:rPr>
        <w:t xml:space="preserve">00107/COCOTIT/IP/2025, </w:t>
      </w:r>
      <w:r w:rsidRPr="00A81D21">
        <w:rPr>
          <w:rFonts w:ascii="Palatino Linotype" w:hAnsi="Palatino Linotype" w:cs="Arial"/>
          <w:lang w:val="es-MX"/>
        </w:rPr>
        <w:t xml:space="preserve">al tomar en consideración que el derecho de acceso a la información fue ejercido el catorce de febrero de dos mil veinticinco, resulta inconcuso que fue requerido un hecho futuro. Sin embargo, como se expondrá en párrafos subsecuentes, </w:t>
      </w:r>
      <w:r w:rsidRPr="00A81D21">
        <w:rPr>
          <w:rFonts w:ascii="Palatino Linotype" w:hAnsi="Palatino Linotype" w:cs="Arial"/>
          <w:b/>
          <w:bCs/>
          <w:lang w:val="es-MX"/>
        </w:rPr>
        <w:t xml:space="preserve">El Sujeto Obligado </w:t>
      </w:r>
      <w:r w:rsidRPr="00A81D21">
        <w:rPr>
          <w:rFonts w:ascii="Palatino Linotype" w:hAnsi="Palatino Linotype" w:cs="Arial"/>
          <w:lang w:val="es-MX"/>
        </w:rPr>
        <w:t xml:space="preserve">atendió la solicitud de información a la luz del principio de máxima publicidad, poniendo a disposición la información requerida a favor del particular, por ello, la </w:t>
      </w:r>
      <w:r w:rsidRPr="00A81D21">
        <w:rPr>
          <w:rFonts w:ascii="Palatino Linotype" w:hAnsi="Palatino Linotype" w:cs="Arial"/>
          <w:lang w:val="es-MX"/>
        </w:rPr>
        <w:lastRenderedPageBreak/>
        <w:t xml:space="preserve">temporalidad se fija del uno al quince de febrero de dos mil veinticinco, en atención al principio de suplencia imperante en la materia. </w:t>
      </w:r>
    </w:p>
    <w:p w14:paraId="23736917" w14:textId="77777777" w:rsidR="0062762F" w:rsidRPr="00A81D21" w:rsidRDefault="0062762F" w:rsidP="0062762F">
      <w:pPr>
        <w:pStyle w:val="Prrafodelista"/>
        <w:autoSpaceDE w:val="0"/>
        <w:autoSpaceDN w:val="0"/>
        <w:adjustRightInd w:val="0"/>
        <w:spacing w:line="360" w:lineRule="auto"/>
        <w:ind w:left="720"/>
        <w:jc w:val="both"/>
        <w:rPr>
          <w:rFonts w:ascii="Palatino Linotype" w:hAnsi="Palatino Linotype" w:cs="Arial"/>
          <w:lang w:val="es-MX"/>
        </w:rPr>
      </w:pPr>
    </w:p>
    <w:p w14:paraId="3872E213" w14:textId="77777777" w:rsidR="0062762F" w:rsidRPr="00A81D21" w:rsidRDefault="0062762F" w:rsidP="0038610C">
      <w:pPr>
        <w:pStyle w:val="Prrafodelista"/>
        <w:numPr>
          <w:ilvl w:val="0"/>
          <w:numId w:val="5"/>
        </w:numPr>
        <w:autoSpaceDE w:val="0"/>
        <w:autoSpaceDN w:val="0"/>
        <w:adjustRightInd w:val="0"/>
        <w:spacing w:line="360" w:lineRule="auto"/>
        <w:jc w:val="both"/>
        <w:rPr>
          <w:rFonts w:ascii="Palatino Linotype" w:hAnsi="Palatino Linotype" w:cs="Arial"/>
        </w:rPr>
      </w:pPr>
      <w:r w:rsidRPr="00A81D21">
        <w:rPr>
          <w:rFonts w:ascii="Palatino Linotype" w:hAnsi="Palatino Linotype" w:cs="Arial"/>
        </w:rPr>
        <w:t xml:space="preserve">Que al haber requerido </w:t>
      </w:r>
      <w:r w:rsidRPr="00A81D21">
        <w:rPr>
          <w:rFonts w:ascii="Palatino Linotype" w:hAnsi="Palatino Linotype" w:cs="Arial"/>
          <w:i/>
          <w:iCs/>
        </w:rPr>
        <w:t xml:space="preserve">“copias certificadas de la 1 nómina”, </w:t>
      </w:r>
      <w:r w:rsidRPr="00A81D21">
        <w:rPr>
          <w:rFonts w:ascii="Palatino Linotype" w:hAnsi="Palatino Linotype" w:cs="Arial"/>
        </w:rPr>
        <w:t xml:space="preserve">resulta necesario señalar que el particular no resulta experto en terminología de administración pública o incluso transparencia, en este sentido, se comprende que resultan de su interés los recibos, comprobantes de pago o CFDI por concepto de pago de nómina. </w:t>
      </w:r>
    </w:p>
    <w:p w14:paraId="77904598" w14:textId="77777777" w:rsidR="0062762F" w:rsidRPr="00A81D21" w:rsidRDefault="0062762F" w:rsidP="0062762F">
      <w:pPr>
        <w:pStyle w:val="Prrafodelista"/>
        <w:autoSpaceDE w:val="0"/>
        <w:autoSpaceDN w:val="0"/>
        <w:adjustRightInd w:val="0"/>
        <w:spacing w:line="360" w:lineRule="auto"/>
        <w:ind w:left="720"/>
        <w:jc w:val="both"/>
        <w:rPr>
          <w:rFonts w:ascii="Palatino Linotype" w:hAnsi="Palatino Linotype" w:cs="Arial"/>
          <w:lang w:val="es-MX"/>
        </w:rPr>
      </w:pPr>
    </w:p>
    <w:p w14:paraId="7D502D1C" w14:textId="5BD021D7" w:rsidR="007E0EE4" w:rsidRPr="00A81D21" w:rsidRDefault="007E0EE4" w:rsidP="007E0EE4">
      <w:pPr>
        <w:spacing w:before="240" w:line="360" w:lineRule="auto"/>
        <w:jc w:val="both"/>
        <w:rPr>
          <w:rFonts w:ascii="Palatino Linotype" w:hAnsi="Palatino Linotype"/>
          <w:sz w:val="24"/>
          <w:szCs w:val="24"/>
        </w:rPr>
      </w:pPr>
      <w:r w:rsidRPr="00A81D21">
        <w:rPr>
          <w:rFonts w:ascii="Palatino Linotype" w:hAnsi="Palatino Linotype"/>
          <w:sz w:val="24"/>
          <w:szCs w:val="24"/>
        </w:rPr>
        <w:t xml:space="preserve">Dichas precisiones, con fundamento en los artículos 13 y 181 cuarto párrafo de la Ley en materia, los cuales a la letra rezan: </w:t>
      </w:r>
    </w:p>
    <w:p w14:paraId="07DF835C" w14:textId="77777777" w:rsidR="007E0EE4" w:rsidRPr="00A81D21" w:rsidRDefault="007E0EE4" w:rsidP="007E0EE4">
      <w:pPr>
        <w:pStyle w:val="Citas"/>
      </w:pPr>
      <w:r w:rsidRPr="00A81D21">
        <w:rPr>
          <w:b/>
          <w:bCs/>
        </w:rPr>
        <w:t xml:space="preserve">“Artículo 13. </w:t>
      </w:r>
      <w:r w:rsidRPr="00A81D21">
        <w:t>El Instituto, en el ámbito de sus atribuciones, deberá suplir cualquier deficiencia para garantizar el ejercicio del derecho de acceso a la información.</w:t>
      </w:r>
    </w:p>
    <w:p w14:paraId="24BF2163" w14:textId="77777777" w:rsidR="007E0EE4" w:rsidRPr="00A81D21" w:rsidRDefault="007E0EE4" w:rsidP="007E0EE4">
      <w:pPr>
        <w:pStyle w:val="Citas"/>
        <w:rPr>
          <w:b/>
        </w:rPr>
      </w:pPr>
      <w:r w:rsidRPr="00A81D21">
        <w:rPr>
          <w:b/>
        </w:rPr>
        <w:t xml:space="preserve">Artículo 181. … </w:t>
      </w:r>
    </w:p>
    <w:p w14:paraId="537098F2" w14:textId="77777777" w:rsidR="007E0EE4" w:rsidRPr="00A81D21" w:rsidRDefault="007E0EE4" w:rsidP="007E0EE4">
      <w:pPr>
        <w:pStyle w:val="Citas"/>
        <w:rPr>
          <w:b/>
        </w:rPr>
      </w:pPr>
      <w:r w:rsidRPr="00A81D21">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A81D21">
        <w:rPr>
          <w:b/>
        </w:rPr>
        <w:t>[Sic]</w:t>
      </w:r>
    </w:p>
    <w:p w14:paraId="522C01DC" w14:textId="77777777" w:rsidR="007E0EE4" w:rsidRPr="00A81D21" w:rsidRDefault="007E0EE4" w:rsidP="00F95FBD">
      <w:pPr>
        <w:autoSpaceDE w:val="0"/>
        <w:autoSpaceDN w:val="0"/>
        <w:adjustRightInd w:val="0"/>
        <w:spacing w:line="360" w:lineRule="auto"/>
        <w:jc w:val="both"/>
        <w:rPr>
          <w:rFonts w:ascii="Palatino Linotype" w:hAnsi="Palatino Linotype" w:cs="Arial"/>
        </w:rPr>
      </w:pPr>
    </w:p>
    <w:p w14:paraId="1A2C71D7" w14:textId="77777777" w:rsidR="007E0EE4" w:rsidRPr="00A81D21" w:rsidRDefault="007E0EE4" w:rsidP="007E0EE4">
      <w:pPr>
        <w:spacing w:before="240" w:line="360" w:lineRule="auto"/>
        <w:jc w:val="both"/>
        <w:rPr>
          <w:rFonts w:ascii="Palatino Linotype" w:hAnsi="Palatino Linotype"/>
          <w:sz w:val="24"/>
          <w:szCs w:val="24"/>
        </w:rPr>
      </w:pPr>
      <w:r w:rsidRPr="00A81D21">
        <w:rPr>
          <w:rFonts w:ascii="Palatino Linotype" w:hAnsi="Palatino Linotype"/>
          <w:sz w:val="24"/>
          <w:szCs w:val="24"/>
        </w:rPr>
        <w:t xml:space="preserve">Bajo estas líneas argumentativas, al retomar y delimitar los requerimientos formulados por el ahora </w:t>
      </w:r>
      <w:r w:rsidRPr="00A81D21">
        <w:rPr>
          <w:rFonts w:ascii="Palatino Linotype" w:hAnsi="Palatino Linotype"/>
          <w:b/>
          <w:bCs/>
          <w:sz w:val="24"/>
          <w:szCs w:val="24"/>
        </w:rPr>
        <w:t xml:space="preserve">Recurrente, </w:t>
      </w:r>
      <w:r w:rsidRPr="00A81D21">
        <w:rPr>
          <w:rFonts w:ascii="Palatino Linotype" w:hAnsi="Palatino Linotype"/>
          <w:sz w:val="24"/>
          <w:szCs w:val="24"/>
        </w:rPr>
        <w:t xml:space="preserve">de manera objetiva se precisa que versa en conocer la siguiente información: </w:t>
      </w:r>
    </w:p>
    <w:p w14:paraId="0259C91A" w14:textId="28C99907" w:rsidR="0062762F" w:rsidRPr="00A81D21" w:rsidRDefault="007E0EE4" w:rsidP="0038610C">
      <w:pPr>
        <w:pStyle w:val="Prrafodelista"/>
        <w:numPr>
          <w:ilvl w:val="0"/>
          <w:numId w:val="6"/>
        </w:numPr>
        <w:autoSpaceDE w:val="0"/>
        <w:autoSpaceDN w:val="0"/>
        <w:adjustRightInd w:val="0"/>
        <w:spacing w:line="360" w:lineRule="auto"/>
        <w:jc w:val="both"/>
        <w:rPr>
          <w:rFonts w:ascii="Palatino Linotype" w:hAnsi="Palatino Linotype" w:cs="Arial"/>
        </w:rPr>
      </w:pPr>
      <w:r w:rsidRPr="00A81D21">
        <w:rPr>
          <w:rFonts w:ascii="Palatino Linotype" w:hAnsi="Palatino Linotype" w:cs="Arial"/>
        </w:rPr>
        <w:lastRenderedPageBreak/>
        <w:t xml:space="preserve">Recibos, comprobantes de pago o CFDI expedidos a favor </w:t>
      </w:r>
      <w:r w:rsidR="004C0F85" w:rsidRPr="00A81D21">
        <w:rPr>
          <w:rFonts w:ascii="Palatino Linotype" w:hAnsi="Palatino Linotype" w:cs="Arial"/>
        </w:rPr>
        <w:t xml:space="preserve">de </w:t>
      </w:r>
      <w:r w:rsidR="0062762F" w:rsidRPr="00A81D21">
        <w:rPr>
          <w:rFonts w:ascii="Palatino Linotype" w:hAnsi="Palatino Linotype" w:cs="Arial"/>
        </w:rPr>
        <w:t xml:space="preserve">los directores que conforman el organigrama 2025-2027, del periodo comprendido del uno al quince de febrero de dos mil veinticinco. </w:t>
      </w:r>
    </w:p>
    <w:p w14:paraId="3EAF9F26" w14:textId="77777777" w:rsidR="005A4C25" w:rsidRPr="00A81D21" w:rsidRDefault="005A4C25" w:rsidP="005A4C25">
      <w:pPr>
        <w:pStyle w:val="Prrafodelista"/>
        <w:autoSpaceDE w:val="0"/>
        <w:autoSpaceDN w:val="0"/>
        <w:adjustRightInd w:val="0"/>
        <w:spacing w:line="360" w:lineRule="auto"/>
        <w:ind w:left="720"/>
        <w:jc w:val="both"/>
        <w:rPr>
          <w:rFonts w:ascii="Palatino Linotype" w:hAnsi="Palatino Linotype" w:cs="Arial"/>
        </w:rPr>
      </w:pPr>
    </w:p>
    <w:p w14:paraId="248B5CE2" w14:textId="3850F2CA" w:rsidR="00122EC2" w:rsidRPr="00A81D21" w:rsidRDefault="000B6B2F" w:rsidP="005E74B7">
      <w:pPr>
        <w:spacing w:after="0" w:line="360" w:lineRule="auto"/>
        <w:jc w:val="both"/>
        <w:rPr>
          <w:bCs/>
          <w:sz w:val="24"/>
          <w:szCs w:val="24"/>
        </w:rPr>
      </w:pPr>
      <w:r w:rsidRPr="00A81D21">
        <w:rPr>
          <w:rFonts w:ascii="Palatino Linotype" w:hAnsi="Palatino Linotype"/>
          <w:noProof/>
          <w:sz w:val="24"/>
          <w:szCs w:val="24"/>
          <w:lang w:val="es-ES" w:eastAsia="es-ES"/>
        </w:rPr>
        <w:drawing>
          <wp:anchor distT="0" distB="0" distL="114300" distR="114300" simplePos="0" relativeHeight="251773941" behindDoc="0" locked="0" layoutInCell="1" allowOverlap="1" wp14:anchorId="09F745B8" wp14:editId="05F29581">
            <wp:simplePos x="0" y="0"/>
            <wp:positionH relativeFrom="page">
              <wp:align>center</wp:align>
            </wp:positionH>
            <wp:positionV relativeFrom="paragraph">
              <wp:posOffset>1268584</wp:posOffset>
            </wp:positionV>
            <wp:extent cx="5749925" cy="3239770"/>
            <wp:effectExtent l="19050" t="19050" r="22225" b="17780"/>
            <wp:wrapThrough wrapText="bothSides">
              <wp:wrapPolygon edited="0">
                <wp:start x="-72" y="-127"/>
                <wp:lineTo x="-72" y="21592"/>
                <wp:lineTo x="21612" y="21592"/>
                <wp:lineTo x="21612" y="-127"/>
                <wp:lineTo x="-72" y="-127"/>
              </wp:wrapPolygon>
            </wp:wrapThrough>
            <wp:docPr id="9237587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7660" cy="324432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22EC2" w:rsidRPr="00A81D21">
        <w:rPr>
          <w:rFonts w:ascii="Palatino Linotype" w:hAnsi="Palatino Linotype" w:cs="Arial"/>
          <w:sz w:val="24"/>
          <w:szCs w:val="24"/>
        </w:rPr>
        <w:t xml:space="preserve">Bajo este contexto, a efecto de identificar las unidades administrativas competentes se traen a colación </w:t>
      </w:r>
      <w:r w:rsidR="005E74B7" w:rsidRPr="00A81D21">
        <w:rPr>
          <w:rFonts w:ascii="Palatino Linotype" w:hAnsi="Palatino Linotype" w:cs="Arial"/>
          <w:sz w:val="24"/>
          <w:szCs w:val="24"/>
        </w:rPr>
        <w:t>las siguientes imágenes ilustrativas, correspondientes al organigrama del sujeto obligado:</w:t>
      </w:r>
    </w:p>
    <w:p w14:paraId="11770C6B" w14:textId="2560EC80" w:rsidR="00122EC2" w:rsidRPr="00A81D21" w:rsidRDefault="00122EC2" w:rsidP="00122EC2">
      <w:pPr>
        <w:spacing w:before="240" w:line="360" w:lineRule="auto"/>
        <w:jc w:val="both"/>
        <w:rPr>
          <w:rFonts w:ascii="Palatino Linotype" w:hAnsi="Palatino Linotype"/>
          <w:sz w:val="24"/>
          <w:szCs w:val="24"/>
        </w:rPr>
      </w:pPr>
    </w:p>
    <w:p w14:paraId="34957524" w14:textId="03FFC414" w:rsidR="007E0EE4" w:rsidRPr="00A81D21" w:rsidRDefault="007E0EE4" w:rsidP="00122EC2">
      <w:pPr>
        <w:spacing w:before="240" w:line="360" w:lineRule="auto"/>
        <w:jc w:val="both"/>
        <w:rPr>
          <w:rFonts w:ascii="Palatino Linotype" w:hAnsi="Palatino Linotype"/>
          <w:sz w:val="24"/>
          <w:szCs w:val="24"/>
        </w:rPr>
      </w:pPr>
    </w:p>
    <w:p w14:paraId="321B1B4A" w14:textId="3E5C9F02" w:rsidR="00994FEC" w:rsidRPr="00A81D21" w:rsidRDefault="00994FEC" w:rsidP="00E8308B">
      <w:pPr>
        <w:autoSpaceDE w:val="0"/>
        <w:autoSpaceDN w:val="0"/>
        <w:adjustRightInd w:val="0"/>
        <w:spacing w:before="240" w:line="360" w:lineRule="auto"/>
        <w:jc w:val="both"/>
        <w:rPr>
          <w:rFonts w:ascii="Palatino Linotype" w:hAnsi="Palatino Linotype" w:cs="Arial"/>
          <w:sz w:val="24"/>
          <w:szCs w:val="24"/>
        </w:rPr>
      </w:pPr>
    </w:p>
    <w:p w14:paraId="04EA4E95" w14:textId="6F50973C" w:rsidR="000B6B2F" w:rsidRPr="00A81D21" w:rsidRDefault="000B6B2F" w:rsidP="00E8308B">
      <w:pPr>
        <w:autoSpaceDE w:val="0"/>
        <w:autoSpaceDN w:val="0"/>
        <w:adjustRightInd w:val="0"/>
        <w:spacing w:before="240" w:line="360" w:lineRule="auto"/>
        <w:jc w:val="both"/>
        <w:rPr>
          <w:rFonts w:ascii="Palatino Linotype" w:hAnsi="Palatino Linotype" w:cs="Arial"/>
          <w:sz w:val="24"/>
          <w:szCs w:val="24"/>
        </w:rPr>
      </w:pPr>
      <w:r w:rsidRPr="00A81D21">
        <w:rPr>
          <w:rFonts w:ascii="Palatino Linotype" w:hAnsi="Palatino Linotype"/>
          <w:noProof/>
          <w:sz w:val="24"/>
          <w:szCs w:val="24"/>
          <w:lang w:val="es-ES" w:eastAsia="es-ES"/>
        </w:rPr>
        <w:lastRenderedPageBreak/>
        <w:drawing>
          <wp:anchor distT="0" distB="0" distL="114300" distR="114300" simplePos="0" relativeHeight="251809782" behindDoc="0" locked="0" layoutInCell="1" allowOverlap="1" wp14:anchorId="353DE06B" wp14:editId="3118228F">
            <wp:simplePos x="0" y="0"/>
            <wp:positionH relativeFrom="page">
              <wp:align>center</wp:align>
            </wp:positionH>
            <wp:positionV relativeFrom="paragraph">
              <wp:posOffset>19099</wp:posOffset>
            </wp:positionV>
            <wp:extent cx="5756275" cy="3239770"/>
            <wp:effectExtent l="19050" t="19050" r="15875" b="17780"/>
            <wp:wrapThrough wrapText="bothSides">
              <wp:wrapPolygon edited="0">
                <wp:start x="-71" y="-127"/>
                <wp:lineTo x="-71" y="21592"/>
                <wp:lineTo x="21588" y="21592"/>
                <wp:lineTo x="21588" y="-127"/>
                <wp:lineTo x="-71" y="-127"/>
              </wp:wrapPolygon>
            </wp:wrapThrough>
            <wp:docPr id="1503347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275" cy="32397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E0F577F" w14:textId="5227F52C" w:rsidR="001C51C5" w:rsidRPr="00A81D21" w:rsidRDefault="007E0EE4" w:rsidP="00E8308B">
      <w:pPr>
        <w:autoSpaceDE w:val="0"/>
        <w:autoSpaceDN w:val="0"/>
        <w:adjustRightInd w:val="0"/>
        <w:spacing w:before="240" w:line="360" w:lineRule="auto"/>
        <w:jc w:val="both"/>
        <w:rPr>
          <w:rFonts w:ascii="Palatino Linotype" w:hAnsi="Palatino Linotype" w:cs="Arial"/>
          <w:sz w:val="24"/>
          <w:szCs w:val="24"/>
        </w:rPr>
      </w:pPr>
      <w:r w:rsidRPr="00A81D21">
        <w:rPr>
          <w:rFonts w:ascii="Palatino Linotype" w:hAnsi="Palatino Linotype" w:cs="Arial"/>
          <w:sz w:val="24"/>
          <w:szCs w:val="24"/>
        </w:rPr>
        <w:t>D</w:t>
      </w:r>
      <w:r w:rsidR="009C5799" w:rsidRPr="00A81D21">
        <w:rPr>
          <w:rFonts w:ascii="Palatino Linotype" w:hAnsi="Palatino Linotype" w:cs="Arial"/>
          <w:sz w:val="24"/>
          <w:szCs w:val="24"/>
        </w:rPr>
        <w:t xml:space="preserve">e lo expuesto con anterioridad, se desprende que </w:t>
      </w:r>
      <w:r w:rsidR="009C5799" w:rsidRPr="00A81D21">
        <w:rPr>
          <w:rFonts w:ascii="Palatino Linotype" w:hAnsi="Palatino Linotype" w:cs="Arial"/>
          <w:b/>
          <w:bCs/>
          <w:sz w:val="24"/>
          <w:szCs w:val="24"/>
        </w:rPr>
        <w:t xml:space="preserve">El Sujeto Obligado </w:t>
      </w:r>
      <w:r w:rsidR="009C5799" w:rsidRPr="00A81D21">
        <w:rPr>
          <w:rFonts w:ascii="Palatino Linotype" w:hAnsi="Palatino Linotype" w:cs="Arial"/>
          <w:sz w:val="24"/>
          <w:szCs w:val="24"/>
        </w:rPr>
        <w:t xml:space="preserve">se auxilia de diversas Coordinaciones, Direcciones y Departamentos para cumplir con sus fines y objetivos, resultando de nuestro interés </w:t>
      </w:r>
      <w:r w:rsidR="00247537" w:rsidRPr="00A81D21">
        <w:rPr>
          <w:rFonts w:ascii="Palatino Linotype" w:hAnsi="Palatino Linotype" w:cs="Arial"/>
          <w:sz w:val="24"/>
          <w:szCs w:val="24"/>
        </w:rPr>
        <w:t xml:space="preserve">la </w:t>
      </w:r>
      <w:r w:rsidR="001C51C5" w:rsidRPr="00A81D21">
        <w:rPr>
          <w:rFonts w:ascii="Palatino Linotype" w:hAnsi="Palatino Linotype" w:cs="Arial"/>
          <w:sz w:val="24"/>
          <w:szCs w:val="24"/>
        </w:rPr>
        <w:t>Tesorería municipal</w:t>
      </w:r>
      <w:r w:rsidR="000B6B2F" w:rsidRPr="00A81D21">
        <w:rPr>
          <w:rFonts w:ascii="Palatino Linotype" w:hAnsi="Palatino Linotype" w:cs="Arial"/>
          <w:sz w:val="24"/>
          <w:szCs w:val="24"/>
        </w:rPr>
        <w:t xml:space="preserve">, así como la Coordinación de Administración y Desarrollo de Personal. </w:t>
      </w:r>
    </w:p>
    <w:p w14:paraId="427AC716" w14:textId="494120CB" w:rsidR="001C51C5" w:rsidRPr="00A81D21" w:rsidRDefault="00B926B2" w:rsidP="00E8308B">
      <w:pPr>
        <w:autoSpaceDE w:val="0"/>
        <w:autoSpaceDN w:val="0"/>
        <w:adjustRightInd w:val="0"/>
        <w:spacing w:before="240" w:line="360" w:lineRule="auto"/>
        <w:jc w:val="both"/>
        <w:rPr>
          <w:rFonts w:ascii="Palatino Linotype" w:hAnsi="Palatino Linotype" w:cs="Arial"/>
          <w:sz w:val="24"/>
          <w:szCs w:val="24"/>
        </w:rPr>
      </w:pPr>
      <w:r w:rsidRPr="00A81D21">
        <w:rPr>
          <w:rFonts w:ascii="Palatino Linotype" w:hAnsi="Palatino Linotype" w:cs="Arial"/>
          <w:sz w:val="24"/>
          <w:szCs w:val="24"/>
        </w:rPr>
        <w:t xml:space="preserve">En virtud de lo anterior, para delimitar las fronteras conceptuales </w:t>
      </w:r>
      <w:r w:rsidR="005A4C25" w:rsidRPr="00A81D21">
        <w:rPr>
          <w:rFonts w:ascii="Palatino Linotype" w:hAnsi="Palatino Linotype" w:cs="Arial"/>
          <w:sz w:val="24"/>
          <w:szCs w:val="24"/>
        </w:rPr>
        <w:t>de la unidad administrativa en cita</w:t>
      </w:r>
      <w:r w:rsidR="00994FEC" w:rsidRPr="00A81D21">
        <w:rPr>
          <w:rFonts w:ascii="Palatino Linotype" w:hAnsi="Palatino Linotype" w:cs="Arial"/>
          <w:sz w:val="24"/>
          <w:szCs w:val="24"/>
        </w:rPr>
        <w:t xml:space="preserve">, resulta oportuno traer </w:t>
      </w:r>
      <w:r w:rsidR="00387A7A" w:rsidRPr="00A81D21">
        <w:rPr>
          <w:rFonts w:ascii="Palatino Linotype" w:hAnsi="Palatino Linotype" w:cs="Arial"/>
          <w:sz w:val="24"/>
          <w:szCs w:val="24"/>
        </w:rPr>
        <w:t xml:space="preserve">el artículo 95 de la Ley Orgánica Municipal del Estado de México, así como </w:t>
      </w:r>
      <w:r w:rsidR="00DD604B" w:rsidRPr="00A81D21">
        <w:rPr>
          <w:rFonts w:ascii="Palatino Linotype" w:hAnsi="Palatino Linotype" w:cs="Arial"/>
          <w:sz w:val="24"/>
          <w:szCs w:val="24"/>
        </w:rPr>
        <w:t xml:space="preserve">los numerales 51 y 52 </w:t>
      </w:r>
      <w:r w:rsidR="00B6625A" w:rsidRPr="00A81D21">
        <w:rPr>
          <w:rFonts w:ascii="Palatino Linotype" w:hAnsi="Palatino Linotype" w:cs="Arial"/>
          <w:sz w:val="24"/>
          <w:szCs w:val="24"/>
        </w:rPr>
        <w:t xml:space="preserve"> del Bando municipal de </w:t>
      </w:r>
      <w:r w:rsidR="00DD604B" w:rsidRPr="00A81D21">
        <w:rPr>
          <w:rFonts w:ascii="Palatino Linotype" w:hAnsi="Palatino Linotype" w:cs="Arial"/>
          <w:sz w:val="24"/>
          <w:szCs w:val="24"/>
        </w:rPr>
        <w:t>Cocotitlán</w:t>
      </w:r>
      <w:r w:rsidR="00B6625A" w:rsidRPr="00A81D21">
        <w:rPr>
          <w:rFonts w:ascii="Palatino Linotype" w:hAnsi="Palatino Linotype" w:cs="Arial"/>
          <w:sz w:val="24"/>
          <w:szCs w:val="24"/>
        </w:rPr>
        <w:t xml:space="preserve">, porciones normativas que disponen a la literalidad lo siguiente: </w:t>
      </w:r>
      <w:r w:rsidR="00387A7A" w:rsidRPr="00A81D21">
        <w:rPr>
          <w:rFonts w:ascii="Palatino Linotype" w:hAnsi="Palatino Linotype" w:cs="Arial"/>
          <w:sz w:val="24"/>
          <w:szCs w:val="24"/>
        </w:rPr>
        <w:t xml:space="preserve"> </w:t>
      </w:r>
    </w:p>
    <w:p w14:paraId="68B2EE1D" w14:textId="77777777" w:rsidR="00387A7A" w:rsidRPr="00A81D21" w:rsidRDefault="00387A7A" w:rsidP="00387A7A">
      <w:pPr>
        <w:pStyle w:val="Citas"/>
        <w:jc w:val="center"/>
        <w:rPr>
          <w:b/>
          <w:bCs/>
          <w:i w:val="0"/>
          <w:iCs/>
        </w:rPr>
      </w:pPr>
      <w:r w:rsidRPr="00A81D21">
        <w:rPr>
          <w:b/>
          <w:bCs/>
          <w:i w:val="0"/>
          <w:iCs/>
        </w:rPr>
        <w:t>LEY ORGÁNICA MUNICIPAL DEL ESTADO DE MÉXICO</w:t>
      </w:r>
    </w:p>
    <w:p w14:paraId="3365CD2A" w14:textId="406F84BA" w:rsidR="00387A7A" w:rsidRPr="00A81D21" w:rsidRDefault="00387A7A" w:rsidP="00387A7A">
      <w:pPr>
        <w:pStyle w:val="Citas"/>
      </w:pPr>
      <w:r w:rsidRPr="00A81D21">
        <w:t>“Artículo 95.- Son atribuciones del tesorero municipal:</w:t>
      </w:r>
    </w:p>
    <w:p w14:paraId="637C9D0C" w14:textId="77777777" w:rsidR="00387A7A" w:rsidRPr="00A81D21" w:rsidRDefault="00387A7A" w:rsidP="00387A7A">
      <w:pPr>
        <w:pStyle w:val="Citas"/>
      </w:pPr>
      <w:r w:rsidRPr="00A81D21">
        <w:lastRenderedPageBreak/>
        <w:t>I. Administrar la hacienda pública municipal, de conformidad con las disposiciones legales aplicables;</w:t>
      </w:r>
    </w:p>
    <w:p w14:paraId="3EA1B891" w14:textId="77777777" w:rsidR="00387A7A" w:rsidRPr="00A81D21" w:rsidRDefault="00387A7A" w:rsidP="00387A7A">
      <w:pPr>
        <w:pStyle w:val="Citas"/>
        <w:rPr>
          <w:b/>
          <w:bCs/>
          <w:u w:val="single"/>
        </w:rPr>
      </w:pPr>
      <w:r w:rsidRPr="00A81D21">
        <w:rPr>
          <w:b/>
          <w:bCs/>
          <w:u w:val="single"/>
        </w:rPr>
        <w:t xml:space="preserve">IV. Llevar los registros contables, financieros y administrativos de los ingresos, egresos, e inventarios; </w:t>
      </w:r>
    </w:p>
    <w:p w14:paraId="5D325908" w14:textId="77777777" w:rsidR="00387A7A" w:rsidRPr="00A81D21" w:rsidRDefault="00387A7A" w:rsidP="00387A7A">
      <w:pPr>
        <w:pStyle w:val="Citas"/>
      </w:pPr>
      <w:r w:rsidRPr="00A81D21">
        <w:t>V. Proporcionar oportunamente al ayuntamiento todos los datos o informes que sean necesarios para la formulación del Presupuesto de Egresos Municipales, vigilando que se ajuste a las disposiciones de esta Ley y otros ordenamientos aplicables;</w:t>
      </w:r>
    </w:p>
    <w:p w14:paraId="6F8E773F" w14:textId="77777777" w:rsidR="00387A7A" w:rsidRPr="00A81D21" w:rsidRDefault="00387A7A" w:rsidP="00387A7A">
      <w:pPr>
        <w:pStyle w:val="Citas"/>
      </w:pPr>
      <w:r w:rsidRPr="00A81D21">
        <w:t>XVI. Glosar oportunamente las cuentas del ayuntamiento;</w:t>
      </w:r>
    </w:p>
    <w:p w14:paraId="4781A8F1" w14:textId="77777777" w:rsidR="00387A7A" w:rsidRPr="00A81D21" w:rsidRDefault="00387A7A" w:rsidP="00387A7A">
      <w:pPr>
        <w:pStyle w:val="Citas"/>
        <w:rPr>
          <w:b/>
          <w:bCs/>
        </w:rPr>
      </w:pPr>
      <w:r w:rsidRPr="00A81D21">
        <w:t xml:space="preserve">(…)” </w:t>
      </w:r>
      <w:r w:rsidRPr="00A81D21">
        <w:rPr>
          <w:b/>
          <w:bCs/>
        </w:rPr>
        <w:t>(Sic)</w:t>
      </w:r>
    </w:p>
    <w:p w14:paraId="5EFB1BBD" w14:textId="77777777" w:rsidR="00DD604B" w:rsidRPr="00A81D21" w:rsidRDefault="00DD604B" w:rsidP="00387A7A">
      <w:pPr>
        <w:pStyle w:val="Citas"/>
        <w:jc w:val="center"/>
        <w:rPr>
          <w:b/>
          <w:bCs/>
          <w:i w:val="0"/>
          <w:iCs/>
        </w:rPr>
      </w:pPr>
    </w:p>
    <w:p w14:paraId="5CB266C4" w14:textId="6293E668" w:rsidR="00994FEC" w:rsidRPr="00A81D21" w:rsidRDefault="00387A7A" w:rsidP="00387A7A">
      <w:pPr>
        <w:pStyle w:val="Citas"/>
        <w:jc w:val="center"/>
        <w:rPr>
          <w:b/>
          <w:bCs/>
          <w:i w:val="0"/>
          <w:iCs/>
        </w:rPr>
      </w:pPr>
      <w:r w:rsidRPr="00A81D21">
        <w:rPr>
          <w:b/>
          <w:bCs/>
          <w:i w:val="0"/>
          <w:iCs/>
        </w:rPr>
        <w:t xml:space="preserve">BANDO MUNICIPAL DE </w:t>
      </w:r>
      <w:r w:rsidR="000B6B2F" w:rsidRPr="00A81D21">
        <w:rPr>
          <w:b/>
          <w:bCs/>
          <w:i w:val="0"/>
          <w:iCs/>
        </w:rPr>
        <w:t>COCOTITLÁN</w:t>
      </w:r>
    </w:p>
    <w:p w14:paraId="11FC425F" w14:textId="6787F49D" w:rsidR="000B6B2F" w:rsidRPr="00A81D21" w:rsidRDefault="00387A7A" w:rsidP="000B6B2F">
      <w:pPr>
        <w:pStyle w:val="Citas"/>
      </w:pPr>
      <w:r w:rsidRPr="00A81D21">
        <w:t>“</w:t>
      </w:r>
      <w:r w:rsidR="000B6B2F" w:rsidRPr="00A81D21">
        <w:t>Artículo 51. La Tesorería Municipal tendrá las atribuciones contenidas en el Título IV, Régimen Administrativo en su Capítulo Segundo de la Ley Orgánica Municipal del Estado de México; del Código Financiero del Estado de México y demás ordenamientos relativos en la materia.</w:t>
      </w:r>
    </w:p>
    <w:p w14:paraId="158AF754" w14:textId="77777777" w:rsidR="000B6B2F" w:rsidRPr="00A81D21" w:rsidRDefault="000B6B2F" w:rsidP="000B6B2F">
      <w:pPr>
        <w:pStyle w:val="Citas"/>
      </w:pPr>
      <w:r w:rsidRPr="00A81D21">
        <w:t>Artículo 52. La Tesorería Municipal tendrá a su cargo las siguientes áreas:</w:t>
      </w:r>
    </w:p>
    <w:p w14:paraId="0F3F0991" w14:textId="77777777" w:rsidR="000B6B2F" w:rsidRPr="00A81D21" w:rsidRDefault="000B6B2F" w:rsidP="000B6B2F">
      <w:pPr>
        <w:pStyle w:val="Citas"/>
      </w:pPr>
      <w:r w:rsidRPr="00A81D21">
        <w:t>I. Departamento de Catastro Municipal;</w:t>
      </w:r>
    </w:p>
    <w:p w14:paraId="24E62912" w14:textId="005EAE10" w:rsidR="00387A7A" w:rsidRPr="00A81D21" w:rsidRDefault="000B6B2F" w:rsidP="000B6B2F">
      <w:pPr>
        <w:pStyle w:val="Citas"/>
      </w:pPr>
      <w:r w:rsidRPr="00A81D21">
        <w:t>II. Jefatura de Ingresos;</w:t>
      </w:r>
    </w:p>
    <w:p w14:paraId="52351A8E" w14:textId="77777777" w:rsidR="000B6B2F" w:rsidRPr="00A81D21" w:rsidRDefault="000B6B2F" w:rsidP="000B6B2F">
      <w:pPr>
        <w:pStyle w:val="Citas"/>
        <w:rPr>
          <w:b/>
          <w:bCs/>
          <w:u w:val="single"/>
        </w:rPr>
      </w:pPr>
      <w:r w:rsidRPr="00A81D21">
        <w:rPr>
          <w:b/>
          <w:bCs/>
          <w:u w:val="single"/>
        </w:rPr>
        <w:t>III. Jefatura de Egresos; y</w:t>
      </w:r>
    </w:p>
    <w:p w14:paraId="15A1335B" w14:textId="726BD1FF" w:rsidR="000B6B2F" w:rsidRPr="00A81D21" w:rsidRDefault="000B6B2F" w:rsidP="000B6B2F">
      <w:pPr>
        <w:pStyle w:val="Citas"/>
        <w:rPr>
          <w:b/>
          <w:bCs/>
        </w:rPr>
      </w:pPr>
      <w:r w:rsidRPr="00A81D21">
        <w:rPr>
          <w:b/>
          <w:bCs/>
          <w:u w:val="single"/>
        </w:rPr>
        <w:t>IV. Administración y desarrollo personal.</w:t>
      </w:r>
      <w:r w:rsidR="00DD604B" w:rsidRPr="00A81D21">
        <w:rPr>
          <w:b/>
          <w:bCs/>
          <w:u w:val="single"/>
        </w:rPr>
        <w:t xml:space="preserve">” </w:t>
      </w:r>
      <w:r w:rsidR="00DD604B" w:rsidRPr="00A81D21">
        <w:rPr>
          <w:b/>
          <w:bCs/>
        </w:rPr>
        <w:t>(Sic)</w:t>
      </w:r>
    </w:p>
    <w:p w14:paraId="5366910F" w14:textId="1DB2D87C" w:rsidR="00387A7A" w:rsidRPr="00A81D21" w:rsidRDefault="006E135A" w:rsidP="006E135A">
      <w:pPr>
        <w:autoSpaceDE w:val="0"/>
        <w:autoSpaceDN w:val="0"/>
        <w:adjustRightInd w:val="0"/>
        <w:spacing w:before="240" w:line="360" w:lineRule="auto"/>
        <w:jc w:val="both"/>
        <w:rPr>
          <w:rFonts w:ascii="Palatino Linotype" w:hAnsi="Palatino Linotype" w:cs="Arial"/>
          <w:sz w:val="24"/>
          <w:szCs w:val="24"/>
        </w:rPr>
      </w:pPr>
      <w:r w:rsidRPr="00A81D21">
        <w:rPr>
          <w:rFonts w:ascii="Palatino Linotype" w:hAnsi="Palatino Linotype" w:cs="Arial"/>
          <w:sz w:val="24"/>
          <w:szCs w:val="24"/>
        </w:rPr>
        <w:lastRenderedPageBreak/>
        <w:t xml:space="preserve">Bajo este contexto, a toda luz se desprende que la </w:t>
      </w:r>
      <w:r w:rsidR="00387A7A" w:rsidRPr="00A81D21">
        <w:rPr>
          <w:rFonts w:ascii="Palatino Linotype" w:hAnsi="Palatino Linotype" w:cs="Arial"/>
          <w:sz w:val="24"/>
          <w:szCs w:val="24"/>
        </w:rPr>
        <w:t>Tesorería municipal se encarga de la recaudación de contribuciones de particulares, así como de llevar los registros contables, financieros y administrativos de los ingresos y egresos del municipio</w:t>
      </w:r>
      <w:r w:rsidR="00B6625A" w:rsidRPr="00A81D21">
        <w:rPr>
          <w:rFonts w:ascii="Palatino Linotype" w:hAnsi="Palatino Linotype" w:cs="Arial"/>
          <w:sz w:val="24"/>
          <w:szCs w:val="24"/>
        </w:rPr>
        <w:t xml:space="preserve">, respecto de éstos últimos se engloba a los procesos de nómina. </w:t>
      </w:r>
      <w:r w:rsidR="00A84C03" w:rsidRPr="00A81D21">
        <w:rPr>
          <w:rFonts w:ascii="Palatino Linotype" w:hAnsi="Palatino Linotype" w:cs="Arial"/>
          <w:sz w:val="24"/>
          <w:szCs w:val="24"/>
        </w:rPr>
        <w:t xml:space="preserve"> </w:t>
      </w:r>
    </w:p>
    <w:p w14:paraId="4C43AA19" w14:textId="1EA3A432" w:rsidR="001249A0" w:rsidRPr="00A81D21" w:rsidRDefault="001249A0" w:rsidP="001249A0">
      <w:pPr>
        <w:spacing w:before="240" w:line="360" w:lineRule="auto"/>
        <w:jc w:val="both"/>
        <w:rPr>
          <w:rFonts w:ascii="Palatino Linotype" w:hAnsi="Palatino Linotype" w:cs="Arial"/>
          <w:sz w:val="24"/>
          <w:szCs w:val="24"/>
          <w:lang w:val="es-ES"/>
        </w:rPr>
      </w:pPr>
      <w:r w:rsidRPr="00A81D21">
        <w:rPr>
          <w:rFonts w:ascii="Palatino Linotype" w:hAnsi="Palatino Linotype" w:cs="Arial"/>
          <w:color w:val="000000"/>
          <w:sz w:val="24"/>
          <w:szCs w:val="24"/>
        </w:rPr>
        <w:t>De manera complementaria,  toda vez que el particular solicita recibos de nómina de la</w:t>
      </w:r>
      <w:r w:rsidR="006E135A" w:rsidRPr="00A81D21">
        <w:rPr>
          <w:rFonts w:ascii="Palatino Linotype" w:hAnsi="Palatino Linotype" w:cs="Arial"/>
          <w:color w:val="000000"/>
          <w:sz w:val="24"/>
          <w:szCs w:val="24"/>
        </w:rPr>
        <w:t>s</w:t>
      </w:r>
      <w:r w:rsidRPr="00A81D21">
        <w:rPr>
          <w:rFonts w:ascii="Palatino Linotype" w:hAnsi="Palatino Linotype" w:cs="Arial"/>
          <w:color w:val="000000"/>
          <w:sz w:val="24"/>
          <w:szCs w:val="24"/>
        </w:rPr>
        <w:t xml:space="preserve"> quincena</w:t>
      </w:r>
      <w:r w:rsidR="006E135A" w:rsidRPr="00A81D21">
        <w:rPr>
          <w:rFonts w:ascii="Palatino Linotype" w:hAnsi="Palatino Linotype" w:cs="Arial"/>
          <w:color w:val="000000"/>
          <w:sz w:val="24"/>
          <w:szCs w:val="24"/>
        </w:rPr>
        <w:t>s</w:t>
      </w:r>
      <w:r w:rsidRPr="00A81D21">
        <w:rPr>
          <w:rFonts w:ascii="Palatino Linotype" w:hAnsi="Palatino Linotype" w:cs="Arial"/>
          <w:color w:val="000000"/>
          <w:sz w:val="24"/>
          <w:szCs w:val="24"/>
        </w:rPr>
        <w:t xml:space="preserve"> referida</w:t>
      </w:r>
      <w:r w:rsidR="006E135A" w:rsidRPr="00A81D21">
        <w:rPr>
          <w:rFonts w:ascii="Palatino Linotype" w:hAnsi="Palatino Linotype" w:cs="Arial"/>
          <w:color w:val="000000"/>
          <w:sz w:val="24"/>
          <w:szCs w:val="24"/>
        </w:rPr>
        <w:t>s</w:t>
      </w:r>
      <w:r w:rsidRPr="00A81D21">
        <w:rPr>
          <w:rFonts w:ascii="Palatino Linotype" w:hAnsi="Palatino Linotype" w:cs="Arial"/>
          <w:color w:val="000000"/>
          <w:sz w:val="24"/>
          <w:szCs w:val="24"/>
        </w:rPr>
        <w:t xml:space="preserve">, </w:t>
      </w:r>
      <w:r w:rsidRPr="00A81D21">
        <w:rPr>
          <w:rFonts w:ascii="Palatino Linotype" w:hAnsi="Palatino Linotype"/>
          <w:sz w:val="24"/>
          <w:szCs w:val="24"/>
          <w:lang w:val="es-ES"/>
        </w:rPr>
        <w:t xml:space="preserve">conviene precisar que </w:t>
      </w:r>
      <w:r w:rsidRPr="00A81D21">
        <w:rPr>
          <w:rFonts w:ascii="Palatino Linotype" w:hAnsi="Palatino Linotype" w:cs="Arial"/>
          <w:sz w:val="24"/>
          <w:szCs w:val="24"/>
          <w:lang w:val="es-ES"/>
        </w:rPr>
        <w:t>en nuestra legislación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5AE16017" w14:textId="77777777" w:rsidR="001249A0" w:rsidRPr="00A81D21" w:rsidRDefault="001249A0" w:rsidP="001249A0">
      <w:pPr>
        <w:spacing w:before="240" w:line="360" w:lineRule="auto"/>
        <w:ind w:left="851" w:right="851"/>
        <w:jc w:val="both"/>
        <w:rPr>
          <w:rFonts w:ascii="Palatino Linotype" w:hAnsi="Palatino Linotype" w:cs="Arial"/>
          <w:b/>
          <w:i/>
          <w:lang w:val="es-ES"/>
        </w:rPr>
      </w:pPr>
      <w:r w:rsidRPr="00A81D21">
        <w:rPr>
          <w:rFonts w:ascii="Palatino Linotype" w:hAnsi="Palatino Linotype" w:cs="Arial"/>
          <w:b/>
          <w:bCs/>
          <w:i/>
          <w:lang w:val="es-ES"/>
        </w:rPr>
        <w:t xml:space="preserve">“NÓMINA </w:t>
      </w:r>
      <w:r w:rsidRPr="00A81D21">
        <w:rPr>
          <w:rFonts w:ascii="Palatino Linotype" w:hAnsi="Palatino Linotype" w:cs="Arial"/>
          <w:i/>
          <w:lang w:val="es-ES"/>
        </w:rPr>
        <w:t>Listado general de los trabajadores de una institución, en</w:t>
      </w:r>
      <w:r w:rsidRPr="00A81D21">
        <w:rPr>
          <w:rFonts w:ascii="Palatino Linotype" w:hAnsi="Palatino Linotype" w:cs="Arial"/>
          <w:b/>
          <w:bCs/>
          <w:i/>
          <w:lang w:val="es-ES"/>
        </w:rPr>
        <w:t xml:space="preserve"> </w:t>
      </w:r>
      <w:r w:rsidRPr="00A81D21">
        <w:rPr>
          <w:rFonts w:ascii="Palatino Linotype" w:hAnsi="Palatino Linotype" w:cs="Arial"/>
          <w:i/>
          <w:lang w:val="es-ES"/>
        </w:rPr>
        <w:t>el cual se asientan las percepciones brutas, deducciones y</w:t>
      </w:r>
      <w:r w:rsidRPr="00A81D21">
        <w:rPr>
          <w:rFonts w:ascii="Palatino Linotype" w:hAnsi="Palatino Linotype" w:cs="Arial"/>
          <w:b/>
          <w:bCs/>
          <w:i/>
          <w:lang w:val="es-ES"/>
        </w:rPr>
        <w:t xml:space="preserve"> </w:t>
      </w:r>
      <w:r w:rsidRPr="00A81D21">
        <w:rPr>
          <w:rFonts w:ascii="Palatino Linotype" w:hAnsi="Palatino Linotype" w:cs="Arial"/>
          <w:i/>
          <w:lang w:val="es-ES"/>
        </w:rPr>
        <w:t xml:space="preserve">alcance neto </w:t>
      </w:r>
      <w:r w:rsidRPr="00A81D21">
        <w:rPr>
          <w:rFonts w:ascii="Palatino Linotype" w:hAnsi="Palatino Linotype" w:cs="Arial"/>
          <w:i/>
          <w:color w:val="000000"/>
          <w:lang w:val="es-ES"/>
        </w:rPr>
        <w:t>de</w:t>
      </w:r>
      <w:r w:rsidRPr="00A81D21">
        <w:rPr>
          <w:rFonts w:ascii="Palatino Linotype" w:hAnsi="Palatino Linotype" w:cs="Arial"/>
          <w:i/>
          <w:lang w:val="es-ES"/>
        </w:rPr>
        <w:t xml:space="preserve"> las mismas; la nómina es utilizada para</w:t>
      </w:r>
      <w:r w:rsidRPr="00A81D21">
        <w:rPr>
          <w:rFonts w:ascii="Palatino Linotype" w:hAnsi="Palatino Linotype" w:cs="Arial"/>
          <w:b/>
          <w:bCs/>
          <w:i/>
          <w:lang w:val="es-ES"/>
        </w:rPr>
        <w:t xml:space="preserve"> </w:t>
      </w:r>
      <w:r w:rsidRPr="00A81D21">
        <w:rPr>
          <w:rFonts w:ascii="Palatino Linotype" w:hAnsi="Palatino Linotype" w:cs="Arial"/>
          <w:i/>
          <w:lang w:val="es-ES"/>
        </w:rPr>
        <w:t>efectuar los pagos periódicos (semanales, quincenales o</w:t>
      </w:r>
      <w:r w:rsidRPr="00A81D21">
        <w:rPr>
          <w:rFonts w:ascii="Palatino Linotype" w:hAnsi="Palatino Linotype" w:cs="Arial"/>
          <w:b/>
          <w:bCs/>
          <w:i/>
          <w:lang w:val="es-ES"/>
        </w:rPr>
        <w:t xml:space="preserve"> </w:t>
      </w:r>
      <w:r w:rsidRPr="00A81D21">
        <w:rPr>
          <w:rFonts w:ascii="Palatino Linotype" w:hAnsi="Palatino Linotype" w:cs="Arial"/>
          <w:i/>
          <w:lang w:val="es-ES"/>
        </w:rPr>
        <w:t>mensuales) a los trabajadores por concepto de sueldos y</w:t>
      </w:r>
      <w:r w:rsidRPr="00A81D21">
        <w:rPr>
          <w:rFonts w:ascii="Palatino Linotype" w:hAnsi="Palatino Linotype" w:cs="Arial"/>
          <w:b/>
          <w:bCs/>
          <w:i/>
          <w:lang w:val="es-ES"/>
        </w:rPr>
        <w:t xml:space="preserve"> </w:t>
      </w:r>
      <w:r w:rsidRPr="00A81D21">
        <w:rPr>
          <w:rFonts w:ascii="Palatino Linotype" w:hAnsi="Palatino Linotype" w:cs="Arial"/>
          <w:i/>
          <w:lang w:val="es-ES"/>
        </w:rPr>
        <w:t xml:space="preserve">salarios.” </w:t>
      </w:r>
      <w:r w:rsidRPr="00A81D21">
        <w:rPr>
          <w:rFonts w:ascii="Palatino Linotype" w:hAnsi="Palatino Linotype" w:cs="Arial"/>
          <w:b/>
          <w:i/>
          <w:lang w:val="es-ES"/>
        </w:rPr>
        <w:t>[Sic]</w:t>
      </w:r>
    </w:p>
    <w:p w14:paraId="1330387C" w14:textId="77777777" w:rsidR="001249A0" w:rsidRPr="00A81D21" w:rsidRDefault="001249A0" w:rsidP="001249A0">
      <w:pPr>
        <w:spacing w:before="240" w:line="360" w:lineRule="auto"/>
        <w:ind w:left="851" w:right="851"/>
        <w:jc w:val="both"/>
        <w:rPr>
          <w:rFonts w:ascii="Palatino Linotype" w:hAnsi="Palatino Linotype" w:cs="Arial"/>
          <w:b/>
          <w:i/>
          <w:lang w:val="es-ES"/>
        </w:rPr>
      </w:pPr>
    </w:p>
    <w:p w14:paraId="3BF3B6A1" w14:textId="77777777" w:rsidR="001249A0" w:rsidRPr="00A81D21" w:rsidRDefault="001249A0" w:rsidP="001249A0">
      <w:pPr>
        <w:spacing w:line="360" w:lineRule="auto"/>
        <w:jc w:val="both"/>
        <w:rPr>
          <w:rFonts w:ascii="Palatino Linotype" w:hAnsi="Palatino Linotype" w:cs="Arial"/>
          <w:sz w:val="24"/>
          <w:szCs w:val="24"/>
          <w:lang w:eastAsia="es-MX"/>
        </w:rPr>
      </w:pPr>
      <w:r w:rsidRPr="00A81D21">
        <w:rPr>
          <w:rFonts w:ascii="Palatino Linotype" w:hAnsi="Palatino Linotype" w:cs="Arial"/>
          <w:sz w:val="24"/>
          <w:szCs w:val="24"/>
        </w:rPr>
        <w:t>Como ya se apuntó, si bien es cierto nuestra legislación no establece la definición de “nómina”,</w:t>
      </w:r>
      <w:r w:rsidRPr="00A81D21">
        <w:rPr>
          <w:rFonts w:ascii="Palatino Linotype" w:hAnsi="Palatino Linotype" w:cs="Arial"/>
          <w:b/>
          <w:sz w:val="24"/>
          <w:szCs w:val="24"/>
        </w:rPr>
        <w:t xml:space="preserve"> </w:t>
      </w:r>
      <w:r w:rsidRPr="00A81D21">
        <w:rPr>
          <w:rFonts w:ascii="Palatino Linotype" w:hAnsi="Palatino Linotype" w:cs="Arial"/>
          <w:sz w:val="24"/>
          <w:szCs w:val="24"/>
          <w:lang w:eastAsia="es-MX"/>
        </w:rPr>
        <w:t xml:space="preserve">este término es </w:t>
      </w:r>
      <w:r w:rsidRPr="00A81D21">
        <w:rPr>
          <w:rFonts w:ascii="Palatino Linotype" w:hAnsi="Palatino Linotype" w:cs="Arial"/>
          <w:sz w:val="24"/>
          <w:szCs w:val="24"/>
        </w:rPr>
        <w:t>mencionado</w:t>
      </w:r>
      <w:r w:rsidRPr="00A81D21">
        <w:rPr>
          <w:rFonts w:ascii="Palatino Linotype" w:hAnsi="Palatino Linotype" w:cs="Arial"/>
          <w:sz w:val="24"/>
          <w:szCs w:val="24"/>
          <w:lang w:eastAsia="es-MX"/>
        </w:rPr>
        <w:t xml:space="preserve"> en diferentes ordenamientos legales; </w:t>
      </w:r>
      <w:r w:rsidRPr="00A81D21">
        <w:rPr>
          <w:rFonts w:ascii="Palatino Linotype" w:hAnsi="Palatino Linotype" w:cs="Arial"/>
          <w:sz w:val="24"/>
          <w:szCs w:val="24"/>
          <w:lang w:eastAsia="es-MX"/>
        </w:rPr>
        <w:lastRenderedPageBreak/>
        <w:t xml:space="preserve">resultando de nuestro interés el artículo 804 fracción II de la Ley Federal de Trabajo, el cual a la letra reza: </w:t>
      </w:r>
    </w:p>
    <w:p w14:paraId="0FB20034" w14:textId="77777777" w:rsidR="001249A0" w:rsidRPr="00A81D21" w:rsidRDefault="001249A0" w:rsidP="001249A0">
      <w:pPr>
        <w:spacing w:before="240" w:line="360" w:lineRule="auto"/>
        <w:ind w:left="851" w:right="851"/>
        <w:jc w:val="both"/>
        <w:rPr>
          <w:rFonts w:ascii="Palatino Linotype" w:hAnsi="Palatino Linotype" w:cs="Arial"/>
          <w:i/>
          <w:szCs w:val="20"/>
          <w:lang w:eastAsia="es-MX"/>
        </w:rPr>
      </w:pPr>
      <w:r w:rsidRPr="00A81D21">
        <w:rPr>
          <w:rFonts w:ascii="Palatino Linotype" w:hAnsi="Palatino Linotype" w:cs="Arial"/>
          <w:bCs/>
          <w:i/>
          <w:szCs w:val="20"/>
          <w:lang w:eastAsia="es-MX"/>
        </w:rPr>
        <w:t>“</w:t>
      </w:r>
      <w:r w:rsidRPr="00A81D21">
        <w:rPr>
          <w:rFonts w:ascii="Palatino Linotype" w:hAnsi="Palatino Linotype" w:cs="Arial"/>
          <w:b/>
          <w:i/>
          <w:szCs w:val="20"/>
          <w:lang w:eastAsia="es-MX"/>
        </w:rPr>
        <w:t>Artículo 804.-</w:t>
      </w:r>
      <w:r w:rsidRPr="00A81D21">
        <w:rPr>
          <w:rFonts w:ascii="Palatino Linotype" w:hAnsi="Palatino Linotype" w:cs="Arial"/>
          <w:i/>
          <w:szCs w:val="20"/>
          <w:lang w:eastAsia="es-MX"/>
        </w:rPr>
        <w:t xml:space="preserve"> </w:t>
      </w:r>
      <w:r w:rsidRPr="00A81D21">
        <w:rPr>
          <w:rFonts w:ascii="Palatino Linotype" w:hAnsi="Palatino Linotype" w:cs="Arial"/>
          <w:b/>
          <w:i/>
          <w:szCs w:val="20"/>
          <w:u w:val="single"/>
          <w:lang w:eastAsia="es-MX"/>
        </w:rPr>
        <w:t>El patrón tiene obligación de conservar y exhibir en juicio los documentos que a continuación se precisan</w:t>
      </w:r>
      <w:r w:rsidRPr="00A81D21">
        <w:rPr>
          <w:rFonts w:ascii="Palatino Linotype" w:hAnsi="Palatino Linotype" w:cs="Arial"/>
          <w:i/>
          <w:szCs w:val="20"/>
          <w:lang w:eastAsia="es-MX"/>
        </w:rPr>
        <w:t xml:space="preserve">: </w:t>
      </w:r>
    </w:p>
    <w:p w14:paraId="3ABE89D5" w14:textId="77777777" w:rsidR="001249A0" w:rsidRPr="00A81D21" w:rsidRDefault="001249A0" w:rsidP="001249A0">
      <w:pPr>
        <w:spacing w:before="240" w:line="360" w:lineRule="auto"/>
        <w:ind w:left="851" w:right="851"/>
        <w:jc w:val="both"/>
        <w:rPr>
          <w:rFonts w:ascii="Palatino Linotype" w:hAnsi="Palatino Linotype" w:cs="Arial"/>
          <w:i/>
          <w:szCs w:val="20"/>
          <w:lang w:eastAsia="es-MX"/>
        </w:rPr>
      </w:pPr>
      <w:r w:rsidRPr="00A81D21">
        <w:rPr>
          <w:rFonts w:ascii="Palatino Linotype" w:hAnsi="Palatino Linotype" w:cs="Arial"/>
          <w:i/>
          <w:szCs w:val="20"/>
          <w:lang w:eastAsia="es-MX"/>
        </w:rPr>
        <w:t>(…)</w:t>
      </w:r>
    </w:p>
    <w:p w14:paraId="3ABA7A09" w14:textId="77777777" w:rsidR="001249A0" w:rsidRPr="00A81D21" w:rsidRDefault="001249A0" w:rsidP="001249A0">
      <w:pPr>
        <w:spacing w:before="240" w:line="360" w:lineRule="auto"/>
        <w:ind w:left="851" w:right="851"/>
        <w:jc w:val="both"/>
        <w:rPr>
          <w:rFonts w:ascii="Palatino Linotype" w:hAnsi="Palatino Linotype" w:cs="Arial"/>
          <w:i/>
          <w:szCs w:val="20"/>
          <w:lang w:eastAsia="es-MX"/>
        </w:rPr>
      </w:pPr>
      <w:r w:rsidRPr="00A81D21">
        <w:rPr>
          <w:rFonts w:ascii="Palatino Linotype" w:hAnsi="Palatino Linotype" w:cs="Arial"/>
          <w:i/>
          <w:szCs w:val="20"/>
          <w:lang w:eastAsia="es-MX"/>
        </w:rPr>
        <w:t xml:space="preserve">II. </w:t>
      </w:r>
      <w:r w:rsidRPr="00A81D21">
        <w:rPr>
          <w:rFonts w:ascii="Palatino Linotype" w:hAnsi="Palatino Linotype" w:cs="Arial"/>
          <w:b/>
          <w:i/>
          <w:szCs w:val="20"/>
          <w:u w:val="single"/>
          <w:lang w:eastAsia="es-MX"/>
        </w:rPr>
        <w:t>Listas de raya o nómina de personal</w:t>
      </w:r>
      <w:r w:rsidRPr="00A81D21">
        <w:rPr>
          <w:rFonts w:ascii="Palatino Linotype" w:hAnsi="Palatino Linotype" w:cs="Arial"/>
          <w:i/>
          <w:szCs w:val="20"/>
          <w:lang w:eastAsia="es-MX"/>
        </w:rPr>
        <w:t xml:space="preserve">, cuando se lleven en el centro de trabajo; o recibos de pagos de salarios; </w:t>
      </w:r>
    </w:p>
    <w:p w14:paraId="1EE873F4" w14:textId="77777777" w:rsidR="001249A0" w:rsidRPr="00A81D21" w:rsidRDefault="001249A0" w:rsidP="001249A0">
      <w:pPr>
        <w:spacing w:before="240" w:line="360" w:lineRule="auto"/>
        <w:ind w:left="851" w:right="851"/>
        <w:jc w:val="both"/>
        <w:rPr>
          <w:rFonts w:ascii="Palatino Linotype" w:hAnsi="Palatino Linotype" w:cs="Arial"/>
          <w:i/>
          <w:szCs w:val="20"/>
          <w:lang w:eastAsia="es-MX"/>
        </w:rPr>
      </w:pPr>
      <w:r w:rsidRPr="00A81D21">
        <w:rPr>
          <w:rFonts w:ascii="Palatino Linotype" w:hAnsi="Palatino Linotype" w:cs="Arial"/>
          <w:i/>
          <w:szCs w:val="20"/>
          <w:lang w:eastAsia="es-MX"/>
        </w:rPr>
        <w:t>(…)</w:t>
      </w:r>
    </w:p>
    <w:p w14:paraId="56B51275" w14:textId="77777777" w:rsidR="001249A0" w:rsidRPr="00A81D21" w:rsidRDefault="001249A0" w:rsidP="001249A0">
      <w:pPr>
        <w:spacing w:before="240" w:line="360" w:lineRule="auto"/>
        <w:ind w:left="851" w:right="851"/>
        <w:jc w:val="both"/>
        <w:rPr>
          <w:rFonts w:ascii="Palatino Linotype" w:hAnsi="Palatino Linotype" w:cs="Arial"/>
          <w:b/>
          <w:i/>
          <w:szCs w:val="20"/>
          <w:lang w:eastAsia="es-MX"/>
        </w:rPr>
      </w:pPr>
      <w:r w:rsidRPr="00A81D21">
        <w:rPr>
          <w:rFonts w:ascii="Palatino Linotype" w:hAnsi="Palatino Linotype" w:cs="Arial"/>
          <w:b/>
          <w:i/>
          <w:szCs w:val="20"/>
          <w:u w:val="single"/>
          <w:lang w:eastAsia="es-MX"/>
        </w:rPr>
        <w:t>Los documentos</w:t>
      </w:r>
      <w:r w:rsidRPr="00A81D21">
        <w:rPr>
          <w:rFonts w:ascii="Palatino Linotype" w:hAnsi="Palatino Linotype" w:cs="Arial"/>
          <w:i/>
          <w:szCs w:val="20"/>
          <w:lang w:eastAsia="es-MX"/>
        </w:rPr>
        <w:t xml:space="preserve"> señalados en la fracción I </w:t>
      </w:r>
      <w:r w:rsidRPr="00A81D21">
        <w:rPr>
          <w:rFonts w:ascii="Palatino Linotype" w:hAnsi="Palatino Linotype" w:cs="Arial"/>
          <w:b/>
          <w:i/>
          <w:szCs w:val="20"/>
          <w:u w:val="single"/>
          <w:lang w:eastAsia="es-MX"/>
        </w:rPr>
        <w:t>deberán conservarse</w:t>
      </w:r>
      <w:r w:rsidRPr="00A81D21">
        <w:rPr>
          <w:rFonts w:ascii="Palatino Linotype" w:hAnsi="Palatino Linotype" w:cs="Arial"/>
          <w:i/>
          <w:szCs w:val="20"/>
          <w:lang w:eastAsia="es-MX"/>
        </w:rPr>
        <w:t xml:space="preserve"> mientras dure la relación laboral y hasta un año después; los </w:t>
      </w:r>
      <w:r w:rsidRPr="00A81D21">
        <w:rPr>
          <w:rFonts w:ascii="Palatino Linotype" w:hAnsi="Palatino Linotype" w:cs="Arial"/>
          <w:b/>
          <w:i/>
          <w:szCs w:val="20"/>
          <w:u w:val="single"/>
          <w:lang w:eastAsia="es-MX"/>
        </w:rPr>
        <w:t>señalados en las fracciones II</w:t>
      </w:r>
      <w:r w:rsidRPr="00A81D21">
        <w:rPr>
          <w:rFonts w:ascii="Palatino Linotype" w:hAnsi="Palatino Linotype" w:cs="Arial"/>
          <w:i/>
          <w:szCs w:val="20"/>
          <w:lang w:eastAsia="es-MX"/>
        </w:rPr>
        <w:t xml:space="preserve">, III y IV, </w:t>
      </w:r>
      <w:r w:rsidRPr="00A81D21">
        <w:rPr>
          <w:rFonts w:ascii="Palatino Linotype" w:hAnsi="Palatino Linotype" w:cs="Arial"/>
          <w:b/>
          <w:i/>
          <w:szCs w:val="20"/>
          <w:u w:val="single"/>
          <w:lang w:eastAsia="es-MX"/>
        </w:rPr>
        <w:t>durante el último año y un año después de que se extinga la relación laboral</w:t>
      </w:r>
      <w:r w:rsidRPr="00A81D21">
        <w:rPr>
          <w:rFonts w:ascii="Palatino Linotype" w:hAnsi="Palatino Linotype" w:cs="Arial"/>
          <w:i/>
          <w:szCs w:val="20"/>
          <w:lang w:eastAsia="es-MX"/>
        </w:rPr>
        <w:t xml:space="preserve">; y los mencionados en la fracción V, conforme lo señalen las Leyes que los rijan.” </w:t>
      </w:r>
      <w:r w:rsidRPr="00A81D21">
        <w:rPr>
          <w:rFonts w:ascii="Palatino Linotype" w:hAnsi="Palatino Linotype" w:cs="Arial"/>
          <w:b/>
          <w:i/>
          <w:szCs w:val="20"/>
          <w:lang w:eastAsia="es-MX"/>
        </w:rPr>
        <w:t>(Sic)</w:t>
      </w:r>
    </w:p>
    <w:p w14:paraId="34B13855" w14:textId="77777777" w:rsidR="00886305" w:rsidRPr="00A81D21" w:rsidRDefault="00886305" w:rsidP="001249A0">
      <w:pPr>
        <w:tabs>
          <w:tab w:val="right" w:leader="dot" w:pos="8505"/>
        </w:tabs>
        <w:spacing w:before="240" w:after="240" w:line="360" w:lineRule="auto"/>
        <w:jc w:val="both"/>
        <w:rPr>
          <w:rFonts w:ascii="Palatino Linotype" w:hAnsi="Palatino Linotype" w:cs="Arial"/>
          <w:sz w:val="24"/>
          <w:szCs w:val="24"/>
          <w:lang w:eastAsia="es-MX"/>
        </w:rPr>
      </w:pPr>
    </w:p>
    <w:p w14:paraId="2B85F6B7" w14:textId="0ADF5449" w:rsidR="001249A0" w:rsidRPr="00A81D21" w:rsidRDefault="001249A0" w:rsidP="001249A0">
      <w:pPr>
        <w:tabs>
          <w:tab w:val="right" w:leader="dot" w:pos="8505"/>
        </w:tabs>
        <w:spacing w:before="240" w:after="240" w:line="360" w:lineRule="auto"/>
        <w:jc w:val="both"/>
        <w:rPr>
          <w:rFonts w:ascii="Palatino Linotype" w:hAnsi="Palatino Linotype" w:cs="Arial"/>
          <w:sz w:val="24"/>
          <w:szCs w:val="24"/>
          <w:lang w:eastAsia="es-MX"/>
        </w:rPr>
      </w:pPr>
      <w:r w:rsidRPr="00A81D21">
        <w:rPr>
          <w:rFonts w:ascii="Palatino Linotype" w:hAnsi="Palatino Linotype" w:cs="Arial"/>
          <w:sz w:val="24"/>
          <w:szCs w:val="24"/>
          <w:lang w:eastAsia="es-MX"/>
        </w:rPr>
        <w:t xml:space="preserve">De lo antes señalado, es dable concluir que los recibos de pago, consisten en un registro conformado por el conjunto de trabajadores a los cuales se les va a remunerar por los </w:t>
      </w:r>
      <w:hyperlink r:id="rId10" w:history="1">
        <w:r w:rsidRPr="00A81D21">
          <w:rPr>
            <w:rFonts w:ascii="Palatino Linotype" w:hAnsi="Palatino Linotype" w:cs="Arial"/>
            <w:sz w:val="24"/>
            <w:szCs w:val="24"/>
            <w:lang w:eastAsia="es-MX"/>
          </w:rPr>
          <w:t>servicios</w:t>
        </w:r>
      </w:hyperlink>
      <w:r w:rsidRPr="00A81D21">
        <w:rPr>
          <w:rFonts w:ascii="Palatino Linotype" w:hAnsi="Palatino Linotype" w:cs="Arial"/>
          <w:sz w:val="24"/>
          <w:szCs w:val="24"/>
          <w:lang w:eastAsia="es-MX"/>
        </w:rPr>
        <w:t xml:space="preserve"> que éstos le prestan al patrón, en el cual se asientan las percepciones brutas, deducciones y el neto a recibir de dichos trabajadores.</w:t>
      </w:r>
    </w:p>
    <w:p w14:paraId="4D569722" w14:textId="77777777" w:rsidR="001249A0" w:rsidRPr="00A81D21" w:rsidRDefault="001249A0" w:rsidP="001249A0">
      <w:pPr>
        <w:spacing w:before="240" w:after="360" w:line="360" w:lineRule="auto"/>
        <w:ind w:right="49"/>
        <w:jc w:val="both"/>
        <w:rPr>
          <w:rFonts w:ascii="Palatino Linotype" w:hAnsi="Palatino Linotype" w:cs="Arial"/>
          <w:sz w:val="24"/>
          <w:szCs w:val="24"/>
        </w:rPr>
      </w:pPr>
      <w:r w:rsidRPr="00A81D21">
        <w:rPr>
          <w:rFonts w:ascii="Palatino Linotype" w:hAnsi="Palatino Linotype" w:cs="Arial"/>
          <w:sz w:val="24"/>
          <w:szCs w:val="24"/>
        </w:rPr>
        <w:t xml:space="preserve">De lo establecido en dicho precepto legal, se puede llegar a la conclusión de que los recibos de pago, consisten en un registro conformado por el conjunto de trabajadores a los cuales se les va a remunerar por los servicios que éstos le prestan al patrón, en el </w:t>
      </w:r>
      <w:r w:rsidRPr="00A81D21">
        <w:rPr>
          <w:rFonts w:ascii="Palatino Linotype" w:hAnsi="Palatino Linotype" w:cs="Arial"/>
          <w:sz w:val="24"/>
          <w:szCs w:val="24"/>
        </w:rPr>
        <w:lastRenderedPageBreak/>
        <w:t>cual se asientan las percepciones brutas, deducciones y el neto a recibir de dichos trabajadores.</w:t>
      </w:r>
    </w:p>
    <w:p w14:paraId="0DF0C63A" w14:textId="77777777" w:rsidR="001249A0" w:rsidRPr="00A81D21" w:rsidRDefault="001249A0" w:rsidP="001249A0">
      <w:pPr>
        <w:spacing w:before="240" w:after="360" w:line="360" w:lineRule="auto"/>
        <w:ind w:right="49"/>
        <w:jc w:val="both"/>
        <w:rPr>
          <w:rFonts w:ascii="Palatino Linotype" w:hAnsi="Palatino Linotype" w:cs="Arial"/>
          <w:sz w:val="24"/>
          <w:szCs w:val="24"/>
        </w:rPr>
      </w:pPr>
      <w:r w:rsidRPr="00A81D21">
        <w:rPr>
          <w:rFonts w:ascii="Palatino Linotype" w:hAnsi="Palatino Linotype" w:cs="Arial"/>
          <w:sz w:val="24"/>
          <w:szCs w:val="24"/>
        </w:rPr>
        <w:t>En relación a ello, el artículo 50 de la Ley del Trabajo de los Servidores Públicos del Estado y Municipios, dispone a la literalidad:</w:t>
      </w:r>
    </w:p>
    <w:p w14:paraId="68F14E7F" w14:textId="77777777" w:rsidR="001249A0" w:rsidRPr="00A81D21" w:rsidRDefault="001249A0" w:rsidP="001249A0">
      <w:pPr>
        <w:spacing w:before="240" w:line="360" w:lineRule="auto"/>
        <w:ind w:left="851" w:right="851"/>
        <w:jc w:val="both"/>
        <w:rPr>
          <w:rFonts w:ascii="Palatino Linotype" w:hAnsi="Palatino Linotype"/>
          <w:i/>
        </w:rPr>
      </w:pPr>
      <w:r w:rsidRPr="00A81D21">
        <w:rPr>
          <w:rFonts w:ascii="Palatino Linotype" w:hAnsi="Palatino Linotype"/>
          <w:i/>
        </w:rPr>
        <w:t>“</w:t>
      </w:r>
      <w:r w:rsidRPr="00A81D21">
        <w:rPr>
          <w:rFonts w:ascii="Palatino Linotype" w:hAnsi="Palatino Linotype"/>
          <w:b/>
          <w:i/>
        </w:rPr>
        <w:t>ARTÍCULO 50</w:t>
      </w:r>
      <w:r w:rsidRPr="00A81D21">
        <w:rPr>
          <w:rFonts w:ascii="Palatino Linotype" w:hAnsi="Palatino Linotype"/>
          <w:i/>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0C5D5D85" w14:textId="77777777" w:rsidR="001249A0" w:rsidRPr="00A81D21" w:rsidRDefault="001249A0" w:rsidP="001249A0">
      <w:pPr>
        <w:spacing w:before="240" w:line="360" w:lineRule="auto"/>
        <w:ind w:left="851" w:right="851"/>
        <w:jc w:val="both"/>
        <w:rPr>
          <w:rFonts w:ascii="Palatino Linotype" w:hAnsi="Palatino Linotype"/>
          <w:b/>
          <w:i/>
        </w:rPr>
      </w:pPr>
      <w:r w:rsidRPr="00A81D21">
        <w:rPr>
          <w:rFonts w:ascii="Palatino Linotype" w:hAnsi="Palatino Linotype"/>
          <w:i/>
        </w:rPr>
        <w:t xml:space="preserve">Iguales consecuencias se generarán para todos </w:t>
      </w:r>
      <w:r w:rsidRPr="00A81D21">
        <w:rPr>
          <w:rFonts w:ascii="Palatino Linotype" w:hAnsi="Palatino Linotype"/>
          <w:i/>
          <w:u w:val="single"/>
        </w:rPr>
        <w:t xml:space="preserve">los </w:t>
      </w:r>
      <w:r w:rsidRPr="00A81D21">
        <w:rPr>
          <w:rFonts w:ascii="Palatino Linotype" w:hAnsi="Palatino Linotype"/>
          <w:b/>
          <w:i/>
          <w:u w:val="single"/>
        </w:rPr>
        <w:t>servidores públicos, cuando la relación de trabajo se formalice mediante un contrato o por encontrarse en lista de raya</w:t>
      </w:r>
      <w:r w:rsidRPr="00A81D21">
        <w:rPr>
          <w:rFonts w:ascii="Palatino Linotype" w:hAnsi="Palatino Linotype"/>
          <w:i/>
          <w:u w:val="single"/>
        </w:rPr>
        <w:t>.”</w:t>
      </w:r>
      <w:r w:rsidRPr="00A81D21">
        <w:rPr>
          <w:rFonts w:ascii="Palatino Linotype" w:hAnsi="Palatino Linotype"/>
          <w:i/>
        </w:rPr>
        <w:t xml:space="preserve"> </w:t>
      </w:r>
      <w:r w:rsidRPr="00A81D21">
        <w:rPr>
          <w:rFonts w:ascii="Palatino Linotype" w:hAnsi="Palatino Linotype"/>
          <w:b/>
          <w:i/>
        </w:rPr>
        <w:t>[Sic]</w:t>
      </w:r>
    </w:p>
    <w:p w14:paraId="74D962B2" w14:textId="77777777" w:rsidR="001249A0" w:rsidRPr="00A81D21" w:rsidRDefault="001249A0" w:rsidP="001249A0">
      <w:pPr>
        <w:spacing w:before="240" w:line="360" w:lineRule="auto"/>
        <w:ind w:left="851" w:right="851"/>
        <w:jc w:val="both"/>
        <w:rPr>
          <w:rFonts w:ascii="Palatino Linotype" w:hAnsi="Palatino Linotype"/>
          <w:b/>
          <w:i/>
        </w:rPr>
      </w:pPr>
    </w:p>
    <w:p w14:paraId="52AC4D62" w14:textId="77777777" w:rsidR="001249A0" w:rsidRPr="00A81D21" w:rsidRDefault="001249A0" w:rsidP="001249A0">
      <w:pPr>
        <w:spacing w:before="240" w:after="360" w:line="360" w:lineRule="auto"/>
        <w:ind w:right="49"/>
        <w:jc w:val="both"/>
        <w:rPr>
          <w:rFonts w:ascii="Palatino Linotype" w:hAnsi="Palatino Linotype" w:cs="Arial"/>
          <w:sz w:val="24"/>
          <w:szCs w:val="24"/>
        </w:rPr>
      </w:pPr>
      <w:r w:rsidRPr="00A81D21">
        <w:rPr>
          <w:rFonts w:ascii="Palatino Linotype" w:hAnsi="Palatino Linotype" w:cs="Arial"/>
          <w:sz w:val="24"/>
          <w:szCs w:val="24"/>
        </w:rPr>
        <w:t>Luego entonces, se advierte que la relación laboral entre un servidor público y el Estado se formaliza mediante nombramiento, contrato, formato único de movimientos de personal o por encontrarse en lista de raya. Bajo esta óptica, tratándose de servidores públicos de los Municipios la Ley del Trabajo de los Servidores Públicos del Estado y Municipios, en su artículo 220-K, establece lo siguiente:</w:t>
      </w:r>
    </w:p>
    <w:p w14:paraId="37219938" w14:textId="77777777" w:rsidR="001249A0" w:rsidRPr="00A81D21" w:rsidRDefault="001249A0" w:rsidP="001249A0">
      <w:pPr>
        <w:tabs>
          <w:tab w:val="left" w:pos="9072"/>
        </w:tabs>
        <w:spacing w:before="240" w:line="360" w:lineRule="auto"/>
        <w:ind w:left="851" w:right="902"/>
        <w:jc w:val="both"/>
        <w:rPr>
          <w:rFonts w:ascii="Palatino Linotype" w:hAnsi="Palatino Linotype"/>
          <w:bCs/>
          <w:i/>
        </w:rPr>
      </w:pPr>
      <w:r w:rsidRPr="00A81D21">
        <w:rPr>
          <w:rFonts w:ascii="Palatino Linotype" w:hAnsi="Palatino Linotype"/>
          <w:b/>
          <w:bCs/>
          <w:i/>
        </w:rPr>
        <w:t>“ARTÍCULO 220 K.-</w:t>
      </w:r>
      <w:r w:rsidRPr="00A81D21">
        <w:rPr>
          <w:rFonts w:ascii="Palatino Linotype" w:hAnsi="Palatino Linotype"/>
          <w:bCs/>
          <w:i/>
        </w:rPr>
        <w:t xml:space="preserve"> La institución o dependencia pública tiene la obligación de conservar y exhibir en el proceso los documentos que a continuación se precisan:</w:t>
      </w:r>
    </w:p>
    <w:p w14:paraId="1EFFD369" w14:textId="77777777" w:rsidR="001249A0" w:rsidRPr="00A81D21" w:rsidRDefault="001249A0" w:rsidP="001249A0">
      <w:pPr>
        <w:tabs>
          <w:tab w:val="left" w:pos="9072"/>
        </w:tabs>
        <w:spacing w:before="240" w:line="360" w:lineRule="auto"/>
        <w:ind w:left="851" w:right="902"/>
        <w:jc w:val="both"/>
        <w:rPr>
          <w:rFonts w:ascii="Palatino Linotype" w:hAnsi="Palatino Linotype"/>
          <w:bCs/>
          <w:i/>
        </w:rPr>
      </w:pPr>
      <w:r w:rsidRPr="00A81D21">
        <w:rPr>
          <w:rFonts w:ascii="Palatino Linotype" w:hAnsi="Palatino Linotype"/>
          <w:bCs/>
          <w:i/>
        </w:rPr>
        <w:t>(…)</w:t>
      </w:r>
    </w:p>
    <w:p w14:paraId="575E235B" w14:textId="77777777" w:rsidR="001249A0" w:rsidRPr="00A81D21" w:rsidRDefault="001249A0" w:rsidP="001249A0">
      <w:pPr>
        <w:tabs>
          <w:tab w:val="left" w:pos="9072"/>
        </w:tabs>
        <w:spacing w:before="240" w:line="360" w:lineRule="auto"/>
        <w:ind w:left="851" w:right="902"/>
        <w:jc w:val="both"/>
        <w:rPr>
          <w:rFonts w:ascii="Palatino Linotype" w:hAnsi="Palatino Linotype"/>
          <w:bCs/>
          <w:i/>
        </w:rPr>
      </w:pPr>
      <w:r w:rsidRPr="00A81D21">
        <w:rPr>
          <w:rFonts w:ascii="Palatino Linotype" w:hAnsi="Palatino Linotype"/>
          <w:bCs/>
          <w:i/>
        </w:rPr>
        <w:lastRenderedPageBreak/>
        <w:t xml:space="preserve">II. </w:t>
      </w:r>
      <w:r w:rsidRPr="00A81D21">
        <w:rPr>
          <w:rFonts w:ascii="Palatino Linotype" w:hAnsi="Palatino Linotype"/>
          <w:b/>
          <w:i/>
          <w:u w:val="single"/>
        </w:rPr>
        <w:t xml:space="preserve">Recibos de pagos de salarios o las constancias documentales del pago de salario </w:t>
      </w:r>
      <w:r w:rsidRPr="00A81D21">
        <w:rPr>
          <w:rFonts w:ascii="Palatino Linotype" w:hAnsi="Palatino Linotype"/>
          <w:bCs/>
          <w:i/>
        </w:rPr>
        <w:t>cuando sea por depósito o mediante información electrónica;</w:t>
      </w:r>
    </w:p>
    <w:p w14:paraId="517F4D73" w14:textId="77777777" w:rsidR="001249A0" w:rsidRPr="00A81D21" w:rsidRDefault="001249A0" w:rsidP="001249A0">
      <w:pPr>
        <w:tabs>
          <w:tab w:val="left" w:pos="9072"/>
        </w:tabs>
        <w:spacing w:before="240" w:line="360" w:lineRule="auto"/>
        <w:ind w:left="851" w:right="902"/>
        <w:jc w:val="both"/>
        <w:rPr>
          <w:rFonts w:ascii="Palatino Linotype" w:hAnsi="Palatino Linotype"/>
          <w:bCs/>
          <w:i/>
        </w:rPr>
      </w:pPr>
      <w:r w:rsidRPr="00A81D21">
        <w:rPr>
          <w:rFonts w:ascii="Palatino Linotype" w:hAnsi="Palatino Linotype"/>
          <w:bCs/>
          <w:i/>
        </w:rPr>
        <w:t>(…)</w:t>
      </w:r>
    </w:p>
    <w:p w14:paraId="1BCB0421" w14:textId="77777777" w:rsidR="001249A0" w:rsidRPr="00A81D21" w:rsidRDefault="001249A0" w:rsidP="001249A0">
      <w:pPr>
        <w:tabs>
          <w:tab w:val="left" w:pos="9072"/>
        </w:tabs>
        <w:spacing w:before="240" w:line="360" w:lineRule="auto"/>
        <w:ind w:left="851" w:right="902"/>
        <w:jc w:val="both"/>
        <w:rPr>
          <w:rFonts w:ascii="Palatino Linotype" w:hAnsi="Palatino Linotype"/>
          <w:bCs/>
          <w:i/>
        </w:rPr>
      </w:pPr>
      <w:r w:rsidRPr="00A81D21">
        <w:rPr>
          <w:rFonts w:ascii="Palatino Linotype" w:hAnsi="Palatino Linotype"/>
          <w:bCs/>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566A272D" w14:textId="77777777" w:rsidR="001249A0" w:rsidRPr="00A81D21" w:rsidRDefault="001249A0" w:rsidP="001249A0">
      <w:pPr>
        <w:tabs>
          <w:tab w:val="left" w:pos="9072"/>
        </w:tabs>
        <w:spacing w:before="240" w:line="360" w:lineRule="auto"/>
        <w:ind w:left="851" w:right="902"/>
        <w:jc w:val="both"/>
        <w:rPr>
          <w:rFonts w:ascii="Palatino Linotype" w:hAnsi="Palatino Linotype"/>
          <w:b/>
          <w:bCs/>
          <w:i/>
        </w:rPr>
      </w:pPr>
      <w:r w:rsidRPr="00A81D21">
        <w:rPr>
          <w:rFonts w:ascii="Palatino Linotype" w:hAnsi="Palatino Linotype"/>
          <w:bCs/>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sidRPr="00A81D21">
        <w:rPr>
          <w:rFonts w:ascii="Palatino Linotype" w:hAnsi="Palatino Linotype"/>
          <w:b/>
          <w:bCs/>
          <w:i/>
        </w:rPr>
        <w:t>” [Sic]</w:t>
      </w:r>
    </w:p>
    <w:p w14:paraId="416DC43C" w14:textId="77777777" w:rsidR="001249A0" w:rsidRPr="00A81D21" w:rsidRDefault="001249A0" w:rsidP="001249A0">
      <w:pPr>
        <w:tabs>
          <w:tab w:val="left" w:pos="9072"/>
        </w:tabs>
        <w:spacing w:before="240" w:line="360" w:lineRule="auto"/>
        <w:ind w:left="851" w:right="902"/>
        <w:jc w:val="both"/>
        <w:rPr>
          <w:rFonts w:ascii="Palatino Linotype" w:hAnsi="Palatino Linotype"/>
          <w:b/>
          <w:bCs/>
          <w:i/>
        </w:rPr>
      </w:pPr>
    </w:p>
    <w:p w14:paraId="2B0E184D" w14:textId="77777777" w:rsidR="001249A0" w:rsidRPr="00A81D21" w:rsidRDefault="001249A0" w:rsidP="001249A0">
      <w:pPr>
        <w:spacing w:before="240" w:after="240" w:line="360" w:lineRule="auto"/>
        <w:ind w:right="49"/>
        <w:jc w:val="both"/>
        <w:rPr>
          <w:rFonts w:ascii="Palatino Linotype" w:hAnsi="Palatino Linotype" w:cs="Arial"/>
          <w:sz w:val="24"/>
          <w:szCs w:val="24"/>
        </w:rPr>
      </w:pPr>
      <w:r w:rsidRPr="00A81D21">
        <w:rPr>
          <w:rFonts w:ascii="Palatino Linotype" w:hAnsi="Palatino Linotype" w:cs="Arial"/>
          <w:sz w:val="24"/>
          <w:szCs w:val="24"/>
        </w:rPr>
        <w:t>En consecuencia, se advierte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56C70808" w14:textId="77777777" w:rsidR="001249A0" w:rsidRPr="00A81D21" w:rsidRDefault="001249A0" w:rsidP="001249A0">
      <w:pPr>
        <w:tabs>
          <w:tab w:val="right" w:leader="dot" w:pos="8505"/>
        </w:tabs>
        <w:spacing w:before="240" w:after="240" w:line="360" w:lineRule="auto"/>
        <w:jc w:val="both"/>
        <w:rPr>
          <w:rStyle w:val="apple-style-span"/>
          <w:rFonts w:ascii="Palatino Linotype" w:hAnsi="Palatino Linotype"/>
          <w:color w:val="000000"/>
          <w:sz w:val="24"/>
          <w:szCs w:val="24"/>
        </w:rPr>
      </w:pPr>
      <w:r w:rsidRPr="00A81D21">
        <w:rPr>
          <w:rFonts w:ascii="Palatino Linotype" w:hAnsi="Palatino Linotype"/>
          <w:color w:val="000000"/>
          <w:sz w:val="24"/>
          <w:szCs w:val="24"/>
        </w:rPr>
        <w:t xml:space="preserve">Por ende, para conocer lo que debe contener la información correspondiente a la “Nómina”, es necesario señalar </w:t>
      </w:r>
      <w:r w:rsidRPr="00A81D21">
        <w:rPr>
          <w:rStyle w:val="apple-style-span"/>
          <w:rFonts w:ascii="Palatino Linotype" w:hAnsi="Palatino Linotype" w:cs="Arial"/>
          <w:color w:val="000000"/>
          <w:sz w:val="24"/>
          <w:szCs w:val="24"/>
        </w:rPr>
        <w:t xml:space="preserve">la fracción II del artículo 4 de la Ley de Fiscalización Superior del Estado de México, la cual señala: </w:t>
      </w:r>
    </w:p>
    <w:p w14:paraId="2C8BEE61" w14:textId="77777777" w:rsidR="001249A0" w:rsidRPr="00A81D21" w:rsidRDefault="001249A0" w:rsidP="001249A0">
      <w:pPr>
        <w:autoSpaceDE w:val="0"/>
        <w:autoSpaceDN w:val="0"/>
        <w:adjustRightInd w:val="0"/>
        <w:spacing w:before="240" w:line="360" w:lineRule="auto"/>
        <w:ind w:left="851" w:right="851"/>
        <w:jc w:val="both"/>
        <w:rPr>
          <w:rFonts w:ascii="Palatino Linotype" w:hAnsi="Palatino Linotype" w:cs="Arial"/>
          <w:i/>
          <w:lang w:eastAsia="es-MX"/>
        </w:rPr>
      </w:pPr>
      <w:r w:rsidRPr="00A81D21">
        <w:rPr>
          <w:rFonts w:ascii="Palatino Linotype" w:hAnsi="Palatino Linotype" w:cs="Arial"/>
          <w:b/>
          <w:bCs/>
          <w:i/>
          <w:lang w:eastAsia="es-MX"/>
        </w:rPr>
        <w:lastRenderedPageBreak/>
        <w:t xml:space="preserve">“Artículo 4. </w:t>
      </w:r>
      <w:r w:rsidRPr="00A81D21">
        <w:rPr>
          <w:rFonts w:ascii="Palatino Linotype" w:hAnsi="Palatino Linotype" w:cs="Arial"/>
          <w:i/>
          <w:lang w:eastAsia="es-MX"/>
        </w:rPr>
        <w:t>Son sujetos de fiscalización:</w:t>
      </w:r>
    </w:p>
    <w:p w14:paraId="5B889122" w14:textId="77777777" w:rsidR="001249A0" w:rsidRPr="00A81D21" w:rsidRDefault="001249A0" w:rsidP="0038610C">
      <w:pPr>
        <w:numPr>
          <w:ilvl w:val="0"/>
          <w:numId w:val="1"/>
        </w:numPr>
        <w:autoSpaceDE w:val="0"/>
        <w:autoSpaceDN w:val="0"/>
        <w:adjustRightInd w:val="0"/>
        <w:spacing w:before="240" w:line="360" w:lineRule="auto"/>
        <w:ind w:left="851" w:right="851" w:firstLine="0"/>
        <w:jc w:val="both"/>
        <w:rPr>
          <w:rFonts w:ascii="Palatino Linotype" w:hAnsi="Palatino Linotype" w:cs="Arial"/>
          <w:b/>
          <w:i/>
          <w:u w:val="single"/>
          <w:lang w:eastAsia="es-MX"/>
        </w:rPr>
      </w:pPr>
      <w:r w:rsidRPr="00A81D21">
        <w:rPr>
          <w:rFonts w:ascii="Palatino Linotype" w:hAnsi="Palatino Linotype" w:cs="Arial"/>
          <w:b/>
          <w:i/>
          <w:u w:val="single"/>
          <w:lang w:eastAsia="es-MX"/>
        </w:rPr>
        <w:t>Los municipios del Estado de México;</w:t>
      </w:r>
    </w:p>
    <w:p w14:paraId="21349A19" w14:textId="77777777" w:rsidR="001249A0" w:rsidRPr="00A81D21" w:rsidRDefault="001249A0" w:rsidP="001249A0">
      <w:pPr>
        <w:autoSpaceDE w:val="0"/>
        <w:autoSpaceDN w:val="0"/>
        <w:adjustRightInd w:val="0"/>
        <w:spacing w:before="240" w:line="360" w:lineRule="auto"/>
        <w:ind w:left="851" w:right="851"/>
        <w:jc w:val="both"/>
        <w:rPr>
          <w:rFonts w:ascii="Palatino Linotype" w:hAnsi="Palatino Linotype" w:cs="Arial"/>
          <w:b/>
          <w:i/>
          <w:lang w:eastAsia="es-MX"/>
        </w:rPr>
      </w:pPr>
      <w:r w:rsidRPr="00A81D21">
        <w:rPr>
          <w:rFonts w:ascii="Palatino Linotype" w:hAnsi="Palatino Linotype" w:cs="Arial"/>
          <w:i/>
          <w:lang w:eastAsia="es-MX"/>
        </w:rPr>
        <w:t xml:space="preserve">(…)” </w:t>
      </w:r>
      <w:r w:rsidRPr="00A81D21">
        <w:rPr>
          <w:rFonts w:ascii="Palatino Linotype" w:hAnsi="Palatino Linotype" w:cs="Arial"/>
          <w:b/>
          <w:i/>
          <w:lang w:eastAsia="es-MX"/>
        </w:rPr>
        <w:t>[Sic]</w:t>
      </w:r>
    </w:p>
    <w:p w14:paraId="2C4B0B00" w14:textId="77777777" w:rsidR="006E135A" w:rsidRPr="00A81D21" w:rsidRDefault="006E135A" w:rsidP="001249A0">
      <w:pPr>
        <w:autoSpaceDE w:val="0"/>
        <w:autoSpaceDN w:val="0"/>
        <w:adjustRightInd w:val="0"/>
        <w:spacing w:line="360" w:lineRule="auto"/>
        <w:ind w:right="49"/>
        <w:jc w:val="both"/>
        <w:rPr>
          <w:rStyle w:val="apple-style-span"/>
          <w:rFonts w:ascii="Palatino Linotype" w:hAnsi="Palatino Linotype" w:cs="Arial"/>
          <w:color w:val="000000"/>
          <w:sz w:val="24"/>
          <w:szCs w:val="24"/>
        </w:rPr>
      </w:pPr>
    </w:p>
    <w:p w14:paraId="318796C8" w14:textId="06DECC2A" w:rsidR="001249A0" w:rsidRPr="00A81D21" w:rsidRDefault="001249A0" w:rsidP="001249A0">
      <w:pPr>
        <w:autoSpaceDE w:val="0"/>
        <w:autoSpaceDN w:val="0"/>
        <w:adjustRightInd w:val="0"/>
        <w:spacing w:line="360" w:lineRule="auto"/>
        <w:ind w:right="49"/>
        <w:jc w:val="both"/>
        <w:rPr>
          <w:rStyle w:val="apple-style-span"/>
          <w:rFonts w:ascii="Palatino Linotype" w:hAnsi="Palatino Linotype" w:cs="Arial"/>
          <w:bCs/>
          <w:color w:val="000000"/>
          <w:sz w:val="24"/>
          <w:szCs w:val="24"/>
        </w:rPr>
      </w:pPr>
      <w:r w:rsidRPr="00A81D21">
        <w:rPr>
          <w:rStyle w:val="apple-style-span"/>
          <w:rFonts w:ascii="Palatino Linotype" w:hAnsi="Palatino Linotype" w:cs="Arial"/>
          <w:color w:val="000000"/>
          <w:sz w:val="24"/>
          <w:szCs w:val="24"/>
        </w:rPr>
        <w:t xml:space="preserve">Razón por la que, al Órgano Superior de Fiscalización de esta entidad federativa, le asiste la facultad de emitir los </w:t>
      </w:r>
      <w:r w:rsidRPr="00A81D21">
        <w:rPr>
          <w:rStyle w:val="apple-style-span"/>
          <w:rFonts w:ascii="Palatino Linotype" w:hAnsi="Palatino Linotype" w:cs="Arial"/>
          <w:b/>
          <w:color w:val="000000"/>
          <w:sz w:val="24"/>
          <w:szCs w:val="24"/>
        </w:rPr>
        <w:t>Lineamientos para la Integración del Informe Mensual</w:t>
      </w:r>
      <w:r w:rsidRPr="00A81D21">
        <w:rPr>
          <w:rStyle w:val="apple-style-span"/>
          <w:rFonts w:ascii="Palatino Linotype" w:hAnsi="Palatino Linotype" w:cs="Arial"/>
          <w:color w:val="000000"/>
          <w:sz w:val="24"/>
          <w:szCs w:val="24"/>
        </w:rPr>
        <w:t xml:space="preserve">, en términos la fracción XI del artículo 8 de la Ley de Fiscalización Superior del Estado de México, que señalan: </w:t>
      </w:r>
    </w:p>
    <w:p w14:paraId="39B051D8" w14:textId="77777777" w:rsidR="001249A0" w:rsidRPr="00A81D21" w:rsidRDefault="001249A0" w:rsidP="001249A0">
      <w:pPr>
        <w:autoSpaceDE w:val="0"/>
        <w:autoSpaceDN w:val="0"/>
        <w:adjustRightInd w:val="0"/>
        <w:spacing w:before="240" w:line="360" w:lineRule="auto"/>
        <w:ind w:left="851" w:right="851"/>
        <w:jc w:val="both"/>
        <w:rPr>
          <w:rFonts w:ascii="Palatino Linotype" w:hAnsi="Palatino Linotype" w:cs="Arial"/>
          <w:i/>
        </w:rPr>
      </w:pPr>
      <w:r w:rsidRPr="00A81D21">
        <w:rPr>
          <w:rFonts w:ascii="Palatino Linotype" w:hAnsi="Palatino Linotype" w:cs="Arial"/>
          <w:b/>
          <w:bCs/>
          <w:i/>
        </w:rPr>
        <w:t xml:space="preserve">“Artículo 8. </w:t>
      </w:r>
      <w:r w:rsidRPr="00A81D21">
        <w:rPr>
          <w:rFonts w:ascii="Palatino Linotype" w:hAnsi="Palatino Linotype" w:cs="Arial"/>
          <w:i/>
        </w:rPr>
        <w:t>El Órgano Superior tendrá las siguientes atribuciones:</w:t>
      </w:r>
    </w:p>
    <w:p w14:paraId="1765F5A0" w14:textId="77777777" w:rsidR="001249A0" w:rsidRPr="00A81D21" w:rsidRDefault="001249A0" w:rsidP="001249A0">
      <w:pPr>
        <w:autoSpaceDE w:val="0"/>
        <w:autoSpaceDN w:val="0"/>
        <w:adjustRightInd w:val="0"/>
        <w:spacing w:before="240" w:line="360" w:lineRule="auto"/>
        <w:ind w:left="851" w:right="851"/>
        <w:jc w:val="both"/>
        <w:rPr>
          <w:rFonts w:ascii="Palatino Linotype" w:hAnsi="Palatino Linotype" w:cs="Arial"/>
          <w:i/>
        </w:rPr>
      </w:pPr>
      <w:r w:rsidRPr="00A81D21">
        <w:rPr>
          <w:rFonts w:ascii="Palatino Linotype" w:hAnsi="Palatino Linotype" w:cs="Arial"/>
          <w:b/>
          <w:bCs/>
          <w:i/>
        </w:rPr>
        <w:t xml:space="preserve">XI. </w:t>
      </w:r>
      <w:r w:rsidRPr="00A81D21">
        <w:rPr>
          <w:rFonts w:ascii="Palatino Linotype" w:hAnsi="Palatino Linotype" w:cs="Arial"/>
          <w:i/>
        </w:rPr>
        <w:t>Establecer los lineamientos, criterios, procedimientos, métodos y sistemas para las acciones de control y evaluación, necesarios para la fiscalización de las cuentas públicas y los informes trimestrales;</w:t>
      </w:r>
    </w:p>
    <w:p w14:paraId="3D8CA9BB" w14:textId="77777777" w:rsidR="001249A0" w:rsidRPr="00A81D21" w:rsidRDefault="001249A0" w:rsidP="001249A0">
      <w:pPr>
        <w:autoSpaceDE w:val="0"/>
        <w:autoSpaceDN w:val="0"/>
        <w:adjustRightInd w:val="0"/>
        <w:spacing w:before="240" w:line="360" w:lineRule="auto"/>
        <w:ind w:left="851" w:right="851"/>
        <w:jc w:val="both"/>
        <w:rPr>
          <w:rStyle w:val="apple-style-span"/>
          <w:rFonts w:ascii="Palatino Linotype" w:hAnsi="Palatino Linotype" w:cs="Arial"/>
          <w:b/>
          <w:i/>
          <w:color w:val="000000"/>
        </w:rPr>
      </w:pPr>
      <w:r w:rsidRPr="00A81D21">
        <w:rPr>
          <w:rStyle w:val="apple-style-span"/>
          <w:rFonts w:ascii="Palatino Linotype" w:hAnsi="Palatino Linotype" w:cs="Arial"/>
          <w:color w:val="000000"/>
        </w:rPr>
        <w:t xml:space="preserve">(…)” </w:t>
      </w:r>
      <w:r w:rsidRPr="00A81D21">
        <w:rPr>
          <w:rStyle w:val="apple-style-span"/>
          <w:rFonts w:ascii="Palatino Linotype" w:hAnsi="Palatino Linotype" w:cs="Arial"/>
          <w:b/>
          <w:i/>
          <w:color w:val="000000"/>
        </w:rPr>
        <w:t>[Sic]</w:t>
      </w:r>
    </w:p>
    <w:p w14:paraId="58584406" w14:textId="77777777" w:rsidR="001249A0" w:rsidRPr="00A81D21" w:rsidRDefault="001249A0" w:rsidP="001249A0">
      <w:pPr>
        <w:autoSpaceDE w:val="0"/>
        <w:autoSpaceDN w:val="0"/>
        <w:adjustRightInd w:val="0"/>
        <w:spacing w:before="240" w:line="360" w:lineRule="auto"/>
        <w:ind w:left="851" w:right="851"/>
        <w:jc w:val="both"/>
        <w:rPr>
          <w:rStyle w:val="apple-style-span"/>
          <w:rFonts w:ascii="Palatino Linotype" w:hAnsi="Palatino Linotype" w:cs="Arial"/>
          <w:b/>
          <w:color w:val="000000"/>
        </w:rPr>
      </w:pPr>
    </w:p>
    <w:p w14:paraId="4D3672E5" w14:textId="038D4325" w:rsidR="001249A0" w:rsidRPr="00A81D21" w:rsidRDefault="001249A0" w:rsidP="001249A0">
      <w:pPr>
        <w:spacing w:line="360" w:lineRule="auto"/>
        <w:jc w:val="both"/>
        <w:rPr>
          <w:rFonts w:ascii="Palatino Linotype" w:hAnsi="Palatino Linotype"/>
          <w:sz w:val="24"/>
          <w:szCs w:val="24"/>
        </w:rPr>
      </w:pPr>
      <w:r w:rsidRPr="00A81D21">
        <w:rPr>
          <w:rFonts w:ascii="Palatino Linotype" w:hAnsi="Palatino Linotype"/>
          <w:sz w:val="24"/>
          <w:szCs w:val="24"/>
        </w:rPr>
        <w:t>De esta forma, el Órgano Superior de Fiscalización del Estado de México (OSFEM</w:t>
      </w:r>
      <w:r w:rsidR="00202B9E" w:rsidRPr="00A81D21">
        <w:rPr>
          <w:rFonts w:ascii="Palatino Linotype" w:hAnsi="Palatino Linotype"/>
          <w:sz w:val="24"/>
          <w:szCs w:val="24"/>
        </w:rPr>
        <w:t>), emite</w:t>
      </w:r>
      <w:r w:rsidRPr="00A81D21">
        <w:rPr>
          <w:rFonts w:ascii="Palatino Linotype" w:hAnsi="Palatino Linotype"/>
          <w:sz w:val="24"/>
          <w:szCs w:val="24"/>
        </w:rPr>
        <w:t xml:space="preserve"> anualmente los Lineamientos para definir los criterios, formatos y documentación necesaria para presentar los </w:t>
      </w:r>
      <w:r w:rsidR="00151AE3" w:rsidRPr="00A81D21">
        <w:rPr>
          <w:rFonts w:ascii="Palatino Linotype" w:hAnsi="Palatino Linotype"/>
          <w:sz w:val="24"/>
          <w:szCs w:val="24"/>
        </w:rPr>
        <w:t>informes, dentro</w:t>
      </w:r>
      <w:r w:rsidRPr="00A81D21">
        <w:rPr>
          <w:rFonts w:ascii="Palatino Linotype" w:hAnsi="Palatino Linotype"/>
          <w:sz w:val="24"/>
          <w:szCs w:val="24"/>
        </w:rPr>
        <w:t xml:space="preserve"> de los cuales destaca –en relación con el análisis que nos ocupa-, recibos de nómina. </w:t>
      </w:r>
    </w:p>
    <w:p w14:paraId="3CE2976E" w14:textId="77777777" w:rsidR="001249A0" w:rsidRPr="00A81D21" w:rsidRDefault="001249A0" w:rsidP="001249A0">
      <w:pPr>
        <w:spacing w:line="360" w:lineRule="auto"/>
        <w:jc w:val="both"/>
        <w:rPr>
          <w:rFonts w:ascii="Palatino Linotype" w:hAnsi="Palatino Linotype"/>
          <w:sz w:val="24"/>
          <w:szCs w:val="24"/>
        </w:rPr>
      </w:pPr>
      <w:r w:rsidRPr="00A81D21">
        <w:rPr>
          <w:rFonts w:ascii="Palatino Linotype" w:hAnsi="Palatino Linotype"/>
          <w:sz w:val="24"/>
          <w:szCs w:val="24"/>
        </w:rPr>
        <w:t xml:space="preserve">Resulta preciso señalar que estos lineamientos son de observancia general para todos los servidores públicos de las entidades fiscalizables que desempeñen un empleo, cargo o comisión, de cualquier naturaleza en la administración pública municipal y </w:t>
      </w:r>
      <w:r w:rsidRPr="00A81D21">
        <w:rPr>
          <w:rFonts w:ascii="Palatino Linotype" w:hAnsi="Palatino Linotype"/>
          <w:sz w:val="24"/>
          <w:szCs w:val="24"/>
        </w:rPr>
        <w:lastRenderedPageBreak/>
        <w:t>que manejen recursos públicos como lo son los municipios; en atención a ello, el informe mensual deberá ser presentado al Órgano Superior de Fiscalización dentro de los 20 días posteriores al término del mes correspondiente de acuerdo a lo establecido en el artículo 32 de la Ley de Fiscalización Superior del Estado de México, que a la letra dice:</w:t>
      </w:r>
    </w:p>
    <w:p w14:paraId="5BD82170" w14:textId="77777777" w:rsidR="001249A0" w:rsidRPr="00A81D21" w:rsidRDefault="001249A0" w:rsidP="001249A0">
      <w:pPr>
        <w:spacing w:before="240" w:line="360" w:lineRule="auto"/>
        <w:ind w:left="851" w:right="851"/>
        <w:jc w:val="both"/>
        <w:rPr>
          <w:rFonts w:ascii="Palatino Linotype" w:hAnsi="Palatino Linotype"/>
          <w:i/>
        </w:rPr>
      </w:pPr>
      <w:r w:rsidRPr="00A81D21">
        <w:rPr>
          <w:rFonts w:ascii="Palatino Linotype" w:hAnsi="Palatino Linotype"/>
          <w:b/>
          <w:i/>
        </w:rPr>
        <w:t>“Artículo 32.-</w:t>
      </w:r>
      <w:r w:rsidRPr="00A81D21">
        <w:rPr>
          <w:rFonts w:ascii="Palatino Linotype" w:hAnsi="Palatino Linotype"/>
          <w:i/>
        </w:rPr>
        <w:t xml:space="preserve"> El Gobernador del Estado, por conducto del titular de la dependencia competente, presentará a la Legislatura la cuenta pública del Gobierno del Estado del ejercicio fiscal inmediato anterior, a más tardar el quince de mayo de cada año.</w:t>
      </w:r>
    </w:p>
    <w:p w14:paraId="0D87B4A9" w14:textId="77777777" w:rsidR="001249A0" w:rsidRPr="00A81D21" w:rsidRDefault="001249A0" w:rsidP="001249A0">
      <w:pPr>
        <w:spacing w:before="240" w:line="360" w:lineRule="auto"/>
        <w:ind w:left="851" w:right="851"/>
        <w:jc w:val="both"/>
        <w:rPr>
          <w:rFonts w:ascii="Palatino Linotype" w:hAnsi="Palatino Linotype"/>
          <w:b/>
          <w:i/>
        </w:rPr>
      </w:pPr>
      <w:r w:rsidRPr="00A81D21">
        <w:rPr>
          <w:rFonts w:ascii="Palatino Linotype" w:hAnsi="Palatino Linotype"/>
          <w:b/>
          <w:i/>
        </w:rPr>
        <w:t>Los Presidentes Municipales presentarán a la Legislatura las cuentas públicas anuales</w:t>
      </w:r>
      <w:r w:rsidRPr="00A81D21">
        <w:rPr>
          <w:rFonts w:ascii="Palatino Linotype" w:hAnsi="Palatino Linotype"/>
          <w:i/>
        </w:rPr>
        <w:t xml:space="preserve"> de sus respectivos municipios, del ejercicio fiscal inmediato anterior, </w:t>
      </w:r>
      <w:r w:rsidRPr="00A81D21">
        <w:rPr>
          <w:rFonts w:ascii="Palatino Linotype" w:hAnsi="Palatino Linotype"/>
          <w:b/>
          <w:i/>
        </w:rPr>
        <w:t>dentro de los quince primeros días del mes de marzo</w:t>
      </w:r>
      <w:r w:rsidRPr="00A81D21">
        <w:rPr>
          <w:rFonts w:ascii="Palatino Linotype" w:hAnsi="Palatino Linotype"/>
          <w:i/>
        </w:rPr>
        <w:t xml:space="preserve"> de cada año; </w:t>
      </w:r>
      <w:r w:rsidRPr="00A81D21">
        <w:rPr>
          <w:rFonts w:ascii="Palatino Linotype" w:hAnsi="Palatino Linotype"/>
          <w:b/>
          <w:i/>
        </w:rPr>
        <w:t>asimism</w:t>
      </w:r>
      <w:r w:rsidRPr="00A81D21">
        <w:rPr>
          <w:rFonts w:ascii="Palatino Linotype" w:hAnsi="Palatino Linotype"/>
          <w:i/>
        </w:rPr>
        <w:t xml:space="preserve">o, </w:t>
      </w:r>
      <w:r w:rsidRPr="00A81D21">
        <w:rPr>
          <w:rFonts w:ascii="Palatino Linotype" w:hAnsi="Palatino Linotype"/>
          <w:b/>
          <w:i/>
          <w:u w:val="single"/>
        </w:rPr>
        <w:t>los informes mensuales</w:t>
      </w:r>
      <w:r w:rsidRPr="00A81D21">
        <w:rPr>
          <w:rFonts w:ascii="Palatino Linotype" w:hAnsi="Palatino Linotype"/>
          <w:i/>
        </w:rPr>
        <w:t xml:space="preserve"> los deberán presentar </w:t>
      </w:r>
      <w:r w:rsidRPr="00A81D21">
        <w:rPr>
          <w:rFonts w:ascii="Palatino Linotype" w:hAnsi="Palatino Linotype"/>
          <w:b/>
          <w:i/>
          <w:u w:val="single"/>
        </w:rPr>
        <w:t xml:space="preserve">dentro de los veinte días posteriores al término del mes correspondiente.” </w:t>
      </w:r>
      <w:r w:rsidRPr="00A81D21">
        <w:rPr>
          <w:rFonts w:ascii="Palatino Linotype" w:hAnsi="Palatino Linotype"/>
          <w:b/>
          <w:i/>
        </w:rPr>
        <w:t>[Sic]</w:t>
      </w:r>
    </w:p>
    <w:p w14:paraId="2A2A6B3F" w14:textId="77777777" w:rsidR="001249A0" w:rsidRPr="00A81D21" w:rsidRDefault="001249A0" w:rsidP="001249A0">
      <w:pPr>
        <w:ind w:left="851" w:right="758"/>
        <w:jc w:val="both"/>
        <w:rPr>
          <w:rFonts w:ascii="Palatino Linotype" w:hAnsi="Palatino Linotype"/>
          <w:i/>
        </w:rPr>
      </w:pPr>
    </w:p>
    <w:p w14:paraId="66CA1AF8" w14:textId="6F05CF8C" w:rsidR="001249A0" w:rsidRPr="00A81D21" w:rsidRDefault="001249A0" w:rsidP="00D92434">
      <w:pPr>
        <w:spacing w:before="240" w:after="240" w:line="360" w:lineRule="auto"/>
        <w:ind w:right="-91"/>
        <w:jc w:val="both"/>
        <w:rPr>
          <w:rFonts w:ascii="Palatino Linotype" w:hAnsi="Palatino Linotype"/>
          <w:sz w:val="24"/>
          <w:szCs w:val="24"/>
        </w:rPr>
      </w:pPr>
      <w:r w:rsidRPr="00A81D21">
        <w:rPr>
          <w:rFonts w:ascii="Palatino Linotype" w:hAnsi="Palatino Linotype"/>
          <w:sz w:val="24"/>
          <w:szCs w:val="24"/>
        </w:rPr>
        <w:t xml:space="preserve">La información </w:t>
      </w:r>
      <w:r w:rsidRPr="00A81D21">
        <w:rPr>
          <w:rFonts w:ascii="Palatino Linotype" w:hAnsi="Palatino Linotype"/>
          <w:b/>
          <w:sz w:val="24"/>
          <w:szCs w:val="24"/>
        </w:rPr>
        <w:t>documental comprobatoria</w:t>
      </w:r>
      <w:r w:rsidRPr="00A81D21">
        <w:rPr>
          <w:rFonts w:ascii="Palatino Linotype" w:hAnsi="Palatino Linotype"/>
          <w:sz w:val="24"/>
          <w:szCs w:val="24"/>
        </w:rPr>
        <w:t xml:space="preserve">, </w:t>
      </w:r>
      <w:r w:rsidRPr="00A81D21">
        <w:rPr>
          <w:rFonts w:ascii="Palatino Linotype" w:hAnsi="Palatino Linotype"/>
          <w:b/>
          <w:sz w:val="24"/>
          <w:szCs w:val="24"/>
          <w:u w:val="single"/>
        </w:rPr>
        <w:t>deberá conservarse en los archivos de la entidad fiscalizada –Municipio</w:t>
      </w:r>
      <w:r w:rsidRPr="00A81D21">
        <w:rPr>
          <w:rFonts w:ascii="Palatino Linotype" w:hAnsi="Palatino Linotype"/>
          <w:sz w:val="24"/>
          <w:szCs w:val="24"/>
        </w:rPr>
        <w:t>-, en original y debidamente integrada en términos de los lineamientos de referencia, pues son susceptibles de revisión directa por el órgano Superior de Fiscalización.</w:t>
      </w:r>
      <w:r w:rsidR="00D92434" w:rsidRPr="00A81D21">
        <w:rPr>
          <w:rFonts w:ascii="Palatino Linotype" w:hAnsi="Palatino Linotype"/>
          <w:sz w:val="24"/>
          <w:szCs w:val="24"/>
        </w:rPr>
        <w:t xml:space="preserve"> </w:t>
      </w:r>
      <w:r w:rsidRPr="00A81D21">
        <w:rPr>
          <w:rFonts w:ascii="Palatino Linotype" w:hAnsi="Palatino Linotype" w:cs="Arial"/>
          <w:sz w:val="24"/>
          <w:szCs w:val="24"/>
          <w:lang w:val="es-ES"/>
        </w:rPr>
        <w:t>Una vez puntualizado esto, se advierte que los recibos de nómina contienen la información relativa a las remuneraciones de los servidores públicos.</w:t>
      </w:r>
      <w:r w:rsidR="00D92434" w:rsidRPr="00A81D21">
        <w:rPr>
          <w:rFonts w:ascii="Palatino Linotype" w:hAnsi="Palatino Linotype" w:cs="Arial"/>
          <w:sz w:val="24"/>
          <w:szCs w:val="24"/>
          <w:lang w:val="es-ES"/>
        </w:rPr>
        <w:t xml:space="preserve"> </w:t>
      </w:r>
      <w:r w:rsidRPr="00A81D21">
        <w:rPr>
          <w:rFonts w:ascii="Palatino Linotype" w:hAnsi="Palatino Linotype"/>
          <w:sz w:val="24"/>
          <w:szCs w:val="24"/>
        </w:rPr>
        <w:t xml:space="preserve">Aunado a lo anterior, los Lineamientos para la Integración del informe trimestral de los Sujetos de Fiscalización Municipales para el Ejercicio, visibles en la página oficial del Órgano Superior de Fiscalización del Estado de México (OSFEM) en el sitio de internet: </w:t>
      </w:r>
    </w:p>
    <w:p w14:paraId="3B9BF61A" w14:textId="15B2E0DB" w:rsidR="00A84C03" w:rsidRPr="00A81D21" w:rsidRDefault="00A84C03" w:rsidP="00D92434">
      <w:pPr>
        <w:spacing w:before="240" w:after="240" w:line="360" w:lineRule="auto"/>
        <w:ind w:right="-91"/>
        <w:jc w:val="both"/>
        <w:rPr>
          <w:rFonts w:ascii="Palatino Linotype" w:hAnsi="Palatino Linotype"/>
          <w:sz w:val="24"/>
          <w:szCs w:val="24"/>
        </w:rPr>
      </w:pPr>
      <w:r w:rsidRPr="00A81D21">
        <w:rPr>
          <w:rFonts w:ascii="Palatino Linotype" w:hAnsi="Palatino Linotype"/>
          <w:noProof/>
          <w:sz w:val="24"/>
          <w:szCs w:val="24"/>
          <w:lang w:val="es-ES" w:eastAsia="es-ES"/>
        </w:rPr>
        <w:lastRenderedPageBreak/>
        <w:drawing>
          <wp:anchor distT="0" distB="0" distL="114300" distR="114300" simplePos="0" relativeHeight="251800566" behindDoc="0" locked="0" layoutInCell="1" allowOverlap="1" wp14:anchorId="140696F0" wp14:editId="0A68E989">
            <wp:simplePos x="0" y="0"/>
            <wp:positionH relativeFrom="column">
              <wp:posOffset>-127000</wp:posOffset>
            </wp:positionH>
            <wp:positionV relativeFrom="paragraph">
              <wp:posOffset>19050</wp:posOffset>
            </wp:positionV>
            <wp:extent cx="5692140" cy="3225165"/>
            <wp:effectExtent l="19050" t="19050" r="22860" b="13335"/>
            <wp:wrapThrough wrapText="bothSides">
              <wp:wrapPolygon edited="0">
                <wp:start x="-72" y="-128"/>
                <wp:lineTo x="-72" y="21562"/>
                <wp:lineTo x="21614" y="21562"/>
                <wp:lineTo x="21614" y="-128"/>
                <wp:lineTo x="-72" y="-128"/>
              </wp:wrapPolygon>
            </wp:wrapThrough>
            <wp:docPr id="8" name="Imagen 9"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A screenshot of a computer scree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2140" cy="32251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9AE0373" w14:textId="77777777" w:rsidR="001249A0" w:rsidRPr="00A81D21" w:rsidRDefault="001249A0" w:rsidP="001249A0">
      <w:pPr>
        <w:spacing w:before="240" w:after="240" w:line="360" w:lineRule="auto"/>
        <w:jc w:val="both"/>
        <w:rPr>
          <w:rFonts w:ascii="Palatino Linotype" w:hAnsi="Palatino Linotype" w:cs="Arial"/>
          <w:b/>
          <w:sz w:val="24"/>
          <w:szCs w:val="24"/>
          <w:lang w:val="es-ES"/>
        </w:rPr>
      </w:pPr>
      <w:r w:rsidRPr="00A81D21">
        <w:rPr>
          <w:rFonts w:ascii="Palatino Linotype" w:hAnsi="Palatino Linotype"/>
          <w:i/>
          <w:noProof/>
          <w:sz w:val="24"/>
          <w:szCs w:val="24"/>
          <w:lang w:val="es-ES" w:eastAsia="es-ES"/>
        </w:rPr>
        <mc:AlternateContent>
          <mc:Choice Requires="wps">
            <w:drawing>
              <wp:anchor distT="0" distB="0" distL="114300" distR="114300" simplePos="0" relativeHeight="251774966" behindDoc="0" locked="0" layoutInCell="1" allowOverlap="1" wp14:anchorId="30DEF44E" wp14:editId="744F2E79">
                <wp:simplePos x="0" y="0"/>
                <wp:positionH relativeFrom="column">
                  <wp:posOffset>316865</wp:posOffset>
                </wp:positionH>
                <wp:positionV relativeFrom="paragraph">
                  <wp:posOffset>8944610</wp:posOffset>
                </wp:positionV>
                <wp:extent cx="4724400" cy="276225"/>
                <wp:effectExtent l="0" t="0" r="19050" b="28575"/>
                <wp:wrapNone/>
                <wp:docPr id="5" name="Rectángulo 16"/>
                <wp:cNvGraphicFramePr/>
                <a:graphic xmlns:a="http://schemas.openxmlformats.org/drawingml/2006/main">
                  <a:graphicData uri="http://schemas.microsoft.com/office/word/2010/wordprocessingShape">
                    <wps:wsp>
                      <wps:cNvSpPr/>
                      <wps:spPr>
                        <a:xfrm>
                          <a:off x="0" y="0"/>
                          <a:ext cx="4724400" cy="2762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308A907" id="Rectángulo 16" o:spid="_x0000_s1026" style="position:absolute;margin-left:24.95pt;margin-top:704.3pt;width:372pt;height:21.75pt;z-index:2517749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xcwIAAEIFAAAOAAAAZHJzL2Uyb0RvYy54bWysVN9v2jAQfp+0/8Hy+5oQ0XZFDRWiYppU&#10;tdXaqc/GsSGa4/POhsD++p2dEFCH9jCNB3POfff7O9/e7RrDtgp9Dbbko4ucM2UlVLVdlfz76+LT&#10;Z858ELYSBqwq+V55fjf9+OG2dRNVwBpMpZCRE+snrSv5OgQ3yTIv16oR/gKcsqTUgI0IdMVVVqFo&#10;yXtjsiLPr7IWsHIIUnlPX+87JZ8m/1orGZ609iowU3LKLaQT07mMZza9FZMVCreuZZ+G+IcsGlFb&#10;Cjq4uhdBsA3Wf7hqaongQYcLCU0GWtdSpRqomlH+rpqXtXAq1ULN8W5ok/9/buXj9sU9I7WhdX7i&#10;SYxV7DQ28Z/yY7vUrP3QLLULTNLH8XUxHufUU0m64vqqKC5jN7OjtUMfvihoWBRKjjSM1COxffCh&#10;gx4gMZiFRW1MGoixrCU23eSXebLwYOoqaiPO42o5N8i2gma6WOT06wOfwCgNYymbY1VJCnujog9j&#10;vynN6orqKLoIkXBqcCukVDZc9X4TOpppSmEwHJ0zNGHUG/XYaKYSEQfDvqa/RRwsUlSwYTBuagt4&#10;LnL1Y4jc4Q/VdzXH8pdQ7Z+RIXRr4J1c1DSaB+HDs0DiPU2Tdjk80aEN0AiglzhbA/469z3iiY6k&#10;5aylPSq5/7kRqDgzXy0R9WZELKHFS5fx5XVBFzzVLE81dtPMgcY6olfDySRGfDAHUSM0b7TysxiV&#10;VMJKil1yGfBwmYduv+nRkGo2SzBaNifCg31xMjqPXY3Ue929CXQ9PwMx+xEOOycm72jaYaOlhdkm&#10;gK4Th4997ftNi5q2oH9U4ktwek+o49M3/Q0AAP//AwBQSwMEFAAGAAgAAAAhAGDhZYbgAAAADAEA&#10;AA8AAABkcnMvZG93bnJldi54bWxMj8tOwzAQRfdI/IM1SOyoU1OaB3EqQEKIigUU2Luxm0S1x1Hs&#10;JuHvma5gOWeu7pwpN7OzbDRD6DxKWC4SYAZrrztsJHx9Pt9kwEJUqJX1aCT8mACb6vKiVIX2E36Y&#10;cRcbRiUYCiWhjbEvOA91a5wKC98bpN3BD05FGoeG60FNVO4sF0my5k51SBda1Zun1tTH3clJePfH&#10;A7ffQmzTxxeRvrpsasY3Ka+v5od7YNHM8S8MZ31Sh4qc9v6EOjArYZXnlCS+SrI1MEqk+S2h/Rnd&#10;iSXwquT/n6h+AQAA//8DAFBLAQItABQABgAIAAAAIQC2gziS/gAAAOEBAAATAAAAAAAAAAAAAAAA&#10;AAAAAABbQ29udGVudF9UeXBlc10ueG1sUEsBAi0AFAAGAAgAAAAhADj9If/WAAAAlAEAAAsAAAAA&#10;AAAAAAAAAAAALwEAAF9yZWxzLy5yZWxzUEsBAi0AFAAGAAgAAAAhAOIPxnFzAgAAQgUAAA4AAAAA&#10;AAAAAAAAAAAALgIAAGRycy9lMm9Eb2MueG1sUEsBAi0AFAAGAAgAAAAhAGDhZYbgAAAADAEAAA8A&#10;AAAAAAAAAAAAAAAAzQQAAGRycy9kb3ducmV2LnhtbFBLBQYAAAAABAAEAPMAAADaBQAAAAA=&#10;" filled="f" strokecolor="red" strokeweight="1.5pt"/>
            </w:pict>
          </mc:Fallback>
        </mc:AlternateContent>
      </w:r>
      <w:r w:rsidRPr="00A81D21">
        <w:rPr>
          <w:rFonts w:ascii="Palatino Linotype" w:hAnsi="Palatino Linotype" w:cs="Arial"/>
          <w:sz w:val="24"/>
          <w:szCs w:val="24"/>
          <w:lang w:val="es-ES"/>
        </w:rPr>
        <w:t xml:space="preserve">Atento a lo anterior, resulta claro que existe la obligación por parte del </w:t>
      </w:r>
      <w:r w:rsidRPr="00A81D21">
        <w:rPr>
          <w:rFonts w:ascii="Palatino Linotype" w:hAnsi="Palatino Linotype" w:cs="Arial"/>
          <w:b/>
          <w:sz w:val="24"/>
          <w:szCs w:val="24"/>
          <w:lang w:val="es-ES"/>
        </w:rPr>
        <w:t>Sujeto Obligado</w:t>
      </w:r>
      <w:r w:rsidRPr="00A81D21">
        <w:rPr>
          <w:rFonts w:ascii="Palatino Linotype" w:hAnsi="Palatino Linotype" w:cs="Arial"/>
          <w:sz w:val="24"/>
          <w:szCs w:val="24"/>
          <w:lang w:val="es-ES"/>
        </w:rPr>
        <w:t xml:space="preserve">, de entregar los informes trimestrales al Órgano Superior de Fiscalización del Estado de México de conformidad con el artículo 32 de la Ley de Fiscalización Superior del Estado de México, en los cuales se incluye lo referente a los Comprobantes Fiscales Digitales por Internet por concepto de Nómina, en consecuencia, la información solicitada debe de obrar en los archivos del </w:t>
      </w:r>
      <w:r w:rsidRPr="00A81D21">
        <w:rPr>
          <w:rFonts w:ascii="Palatino Linotype" w:hAnsi="Palatino Linotype" w:cs="Arial"/>
          <w:b/>
          <w:sz w:val="24"/>
          <w:szCs w:val="24"/>
          <w:lang w:val="es-ES"/>
        </w:rPr>
        <w:t xml:space="preserve">Sujeto Obligado. </w:t>
      </w:r>
    </w:p>
    <w:p w14:paraId="63C73502" w14:textId="77777777" w:rsidR="001249A0" w:rsidRPr="00A81D21" w:rsidRDefault="001249A0" w:rsidP="001249A0">
      <w:pPr>
        <w:spacing w:line="360" w:lineRule="auto"/>
        <w:jc w:val="both"/>
        <w:rPr>
          <w:rFonts w:ascii="Palatino Linotype" w:hAnsi="Palatino Linotype" w:cs="Arial"/>
          <w:bCs/>
          <w:sz w:val="24"/>
          <w:szCs w:val="24"/>
          <w:lang w:val="es-ES"/>
        </w:rPr>
      </w:pPr>
      <w:r w:rsidRPr="00A81D21">
        <w:rPr>
          <w:rFonts w:ascii="Palatino Linotype" w:hAnsi="Palatino Linotype" w:cs="Arial"/>
          <w:sz w:val="24"/>
          <w:szCs w:val="24"/>
          <w:lang w:val="es-ES"/>
        </w:rPr>
        <w:t>En este sentido, de acuerdo a la naturaleza de la información solicitada se concluye que ésta es de</w:t>
      </w:r>
      <w:r w:rsidRPr="00A81D21">
        <w:rPr>
          <w:rFonts w:ascii="Palatino Linotype" w:hAnsi="Palatino Linotype" w:cs="Arial"/>
          <w:bCs/>
          <w:sz w:val="24"/>
          <w:szCs w:val="24"/>
          <w:lang w:val="es-ES"/>
        </w:rPr>
        <w:t xml:space="preserve"> interés general y de alcance público, puesto que la ciudadanía tiene derecho a saber cuánto es el gasto ejercido para el pago de remuneraciones por servicios personales al realizar las funciones públicas, esto es, su acceso</w:t>
      </w:r>
      <w:r w:rsidRPr="00A81D21">
        <w:rPr>
          <w:rFonts w:ascii="Palatino Linotype" w:hAnsi="Palatino Linotype" w:cs="Arial"/>
          <w:sz w:val="24"/>
          <w:szCs w:val="24"/>
          <w:lang w:val="es-ES"/>
        </w:rPr>
        <w:t xml:space="preserve"> </w:t>
      </w:r>
      <w:r w:rsidRPr="00A81D21">
        <w:rPr>
          <w:rFonts w:ascii="Palatino Linotype" w:hAnsi="Palatino Linotype" w:cs="Arial"/>
          <w:bCs/>
          <w:sz w:val="24"/>
          <w:szCs w:val="24"/>
          <w:lang w:val="es-ES"/>
        </w:rPr>
        <w:t xml:space="preserve">permite transparentar la aplicación de los recursos públicos que son otorgados para el </w:t>
      </w:r>
      <w:r w:rsidRPr="00A81D21">
        <w:rPr>
          <w:rFonts w:ascii="Palatino Linotype" w:hAnsi="Palatino Linotype" w:cs="Arial"/>
          <w:bCs/>
          <w:sz w:val="24"/>
          <w:szCs w:val="24"/>
          <w:lang w:val="es-ES"/>
        </w:rPr>
        <w:lastRenderedPageBreak/>
        <w:t xml:space="preserve">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6C496C95" w14:textId="77777777" w:rsidR="001249A0" w:rsidRPr="00A81D21" w:rsidRDefault="001249A0" w:rsidP="001249A0">
      <w:pPr>
        <w:spacing w:before="240" w:line="360" w:lineRule="auto"/>
        <w:ind w:left="851" w:right="851"/>
        <w:jc w:val="both"/>
        <w:rPr>
          <w:rFonts w:ascii="Palatino Linotype" w:hAnsi="Palatino Linotype" w:cs="Arial"/>
          <w:bCs/>
          <w:i/>
          <w:lang w:val="es-ES"/>
        </w:rPr>
      </w:pPr>
      <w:r w:rsidRPr="00A81D21">
        <w:rPr>
          <w:rFonts w:ascii="Palatino Linotype" w:hAnsi="Palatino Linotype" w:cs="Arial"/>
          <w:bCs/>
          <w:i/>
          <w:lang w:val="es-ES"/>
        </w:rPr>
        <w:t>“</w:t>
      </w:r>
      <w:r w:rsidRPr="00A81D21">
        <w:rPr>
          <w:rFonts w:ascii="Palatino Linotype" w:hAnsi="Palatino Linotype" w:cs="Arial"/>
          <w:b/>
          <w:bCs/>
          <w:i/>
          <w:lang w:val="es-ES"/>
        </w:rPr>
        <w:t>Artículo 23</w:t>
      </w:r>
      <w:r w:rsidRPr="00A81D21">
        <w:rPr>
          <w:rFonts w:ascii="Palatino Linotype" w:hAnsi="Palatino Linotype" w:cs="Arial"/>
          <w:bCs/>
          <w:i/>
          <w:lang w:val="es-ES"/>
        </w:rPr>
        <w:t xml:space="preserve"> Son </w:t>
      </w:r>
      <w:r w:rsidRPr="00A81D21">
        <w:rPr>
          <w:rFonts w:ascii="Palatino Linotype" w:eastAsia="MS Mincho" w:hAnsi="Palatino Linotype" w:cs="Arial"/>
          <w:i/>
          <w:lang w:val="es-ES"/>
        </w:rPr>
        <w:t>sujetos</w:t>
      </w:r>
      <w:r w:rsidRPr="00A81D21">
        <w:rPr>
          <w:rFonts w:ascii="Palatino Linotype" w:hAnsi="Palatino Linotype" w:cs="Arial"/>
          <w:bCs/>
          <w:i/>
          <w:lang w:val="es-ES"/>
        </w:rPr>
        <w:t xml:space="preserve"> obligados a transparentar y permitir el acceso a su información y proteger los datos personales que obren en su poder:</w:t>
      </w:r>
    </w:p>
    <w:p w14:paraId="57D78EAF" w14:textId="77777777" w:rsidR="001249A0" w:rsidRPr="00A81D21" w:rsidRDefault="001249A0" w:rsidP="001249A0">
      <w:pPr>
        <w:spacing w:before="240" w:line="360" w:lineRule="auto"/>
        <w:ind w:left="851" w:right="851"/>
        <w:jc w:val="both"/>
        <w:rPr>
          <w:rFonts w:ascii="Palatino Linotype" w:hAnsi="Palatino Linotype" w:cs="Arial"/>
          <w:bCs/>
          <w:i/>
          <w:lang w:val="es-ES"/>
        </w:rPr>
      </w:pPr>
      <w:r w:rsidRPr="00A81D21">
        <w:rPr>
          <w:rFonts w:ascii="Palatino Linotype" w:hAnsi="Palatino Linotype" w:cs="Arial"/>
          <w:b/>
          <w:bCs/>
          <w:i/>
          <w:lang w:val="es-ES"/>
        </w:rPr>
        <w:t>IV.</w:t>
      </w:r>
      <w:r w:rsidRPr="00A81D21">
        <w:rPr>
          <w:rFonts w:ascii="Palatino Linotype" w:hAnsi="Palatino Linotype" w:cs="Arial"/>
          <w:bCs/>
          <w:i/>
          <w:lang w:val="es-ES"/>
        </w:rPr>
        <w:t xml:space="preserve"> Los ayuntamientos </w:t>
      </w:r>
      <w:r w:rsidRPr="00A81D21">
        <w:rPr>
          <w:rFonts w:ascii="Palatino Linotype" w:hAnsi="Palatino Linotype" w:cs="Arial"/>
          <w:b/>
          <w:bCs/>
          <w:i/>
          <w:u w:val="single"/>
          <w:lang w:val="es-ES"/>
        </w:rPr>
        <w:t>y las dependencias, organismos, órganos y entidades de la administración municipal;</w:t>
      </w:r>
    </w:p>
    <w:p w14:paraId="0389A17A" w14:textId="77777777" w:rsidR="001249A0" w:rsidRPr="00A81D21" w:rsidRDefault="001249A0" w:rsidP="001249A0">
      <w:pPr>
        <w:spacing w:before="240" w:line="360" w:lineRule="auto"/>
        <w:ind w:left="851" w:right="851"/>
        <w:jc w:val="both"/>
        <w:rPr>
          <w:rFonts w:ascii="Palatino Linotype" w:hAnsi="Palatino Linotype" w:cs="Arial"/>
          <w:b/>
          <w:bCs/>
          <w:i/>
          <w:lang w:val="es-ES"/>
        </w:rPr>
      </w:pPr>
      <w:r w:rsidRPr="00A81D21">
        <w:rPr>
          <w:rFonts w:ascii="Palatino Linotype" w:hAnsi="Palatino Linotype" w:cs="Arial"/>
          <w:bCs/>
          <w:i/>
          <w:lang w:val="es-ES"/>
        </w:rPr>
        <w:t xml:space="preserve">Los sujetos obligados deberán hacer pública toda aquella información relativa a los montos y las personas a quienes entreguen, por cualquier motivo, recursos públicos, así como los informes que dichas personas les entreguen sobre el uso y destino de dichos recursos.” </w:t>
      </w:r>
      <w:r w:rsidRPr="00A81D21">
        <w:rPr>
          <w:rFonts w:ascii="Palatino Linotype" w:hAnsi="Palatino Linotype" w:cs="Arial"/>
          <w:b/>
          <w:bCs/>
          <w:i/>
          <w:lang w:val="es-ES"/>
        </w:rPr>
        <w:t>[Sic]</w:t>
      </w:r>
    </w:p>
    <w:p w14:paraId="520466E3" w14:textId="77777777" w:rsidR="001249A0" w:rsidRPr="00A81D21" w:rsidRDefault="001249A0" w:rsidP="001249A0">
      <w:pPr>
        <w:spacing w:line="360" w:lineRule="auto"/>
        <w:jc w:val="both"/>
        <w:rPr>
          <w:rFonts w:ascii="Palatino Linotype" w:hAnsi="Palatino Linotype" w:cs="Arial"/>
          <w:sz w:val="24"/>
          <w:szCs w:val="24"/>
          <w:lang w:val="es-ES"/>
        </w:rPr>
      </w:pPr>
    </w:p>
    <w:p w14:paraId="0DEBFAB2" w14:textId="77777777" w:rsidR="001249A0" w:rsidRPr="00A81D21" w:rsidRDefault="001249A0" w:rsidP="001249A0">
      <w:pPr>
        <w:spacing w:line="360" w:lineRule="auto"/>
        <w:jc w:val="both"/>
        <w:rPr>
          <w:rFonts w:ascii="Palatino Linotype" w:hAnsi="Palatino Linotype" w:cs="Arial"/>
          <w:sz w:val="24"/>
          <w:szCs w:val="24"/>
          <w:lang w:val="es-ES"/>
        </w:rPr>
      </w:pPr>
      <w:r w:rsidRPr="00A81D21">
        <w:rPr>
          <w:rFonts w:ascii="Palatino Linotype" w:hAnsi="Palatino Linotype" w:cs="Arial"/>
          <w:sz w:val="24"/>
          <w:szCs w:val="24"/>
          <w:lang w:val="es-ES"/>
        </w:rPr>
        <w:t xml:space="preserve">Sirve de sustento por analogía, para justificar la publicidad sobre los datos relativos a los montos por concepto de pago de las remuneraciones, los criterios </w:t>
      </w:r>
      <w:r w:rsidRPr="00A81D21">
        <w:rPr>
          <w:rFonts w:ascii="Palatino Linotype" w:hAnsi="Palatino Linotype" w:cs="Arial"/>
          <w:b/>
          <w:sz w:val="24"/>
          <w:szCs w:val="24"/>
          <w:lang w:val="es-ES"/>
        </w:rPr>
        <w:t>01/2003</w:t>
      </w:r>
      <w:r w:rsidRPr="00A81D21">
        <w:rPr>
          <w:rFonts w:ascii="Palatino Linotype" w:hAnsi="Palatino Linotype" w:cs="Arial"/>
          <w:sz w:val="24"/>
          <w:szCs w:val="24"/>
          <w:lang w:val="es-ES"/>
        </w:rPr>
        <w:t xml:space="preserve"> y </w:t>
      </w:r>
      <w:r w:rsidRPr="00A81D21">
        <w:rPr>
          <w:rFonts w:ascii="Palatino Linotype" w:hAnsi="Palatino Linotype" w:cs="Arial"/>
          <w:b/>
          <w:sz w:val="24"/>
          <w:szCs w:val="24"/>
          <w:lang w:val="es-ES"/>
        </w:rPr>
        <w:t>02/2003</w:t>
      </w:r>
      <w:r w:rsidRPr="00A81D21">
        <w:rPr>
          <w:rFonts w:ascii="Palatino Linotype" w:hAnsi="Palatino Linotype" w:cs="Arial"/>
          <w:sz w:val="24"/>
          <w:szCs w:val="24"/>
          <w:lang w:val="es-ES"/>
        </w:rPr>
        <w:t xml:space="preserve"> emitidos por el Comité de Acceso a la Información Pública y Protección de Datos Personales de la Suprema Corte de Justicia de la Nación que a continuación se citan: </w:t>
      </w:r>
    </w:p>
    <w:p w14:paraId="30FD252E" w14:textId="77777777" w:rsidR="001249A0" w:rsidRPr="00A81D21" w:rsidRDefault="001249A0" w:rsidP="001249A0">
      <w:pPr>
        <w:spacing w:before="240" w:line="360" w:lineRule="auto"/>
        <w:ind w:left="851" w:right="851"/>
        <w:jc w:val="center"/>
        <w:rPr>
          <w:rFonts w:ascii="Palatino Linotype" w:hAnsi="Palatino Linotype" w:cs="Arial"/>
          <w:b/>
          <w:i/>
          <w:lang w:val="es-ES"/>
        </w:rPr>
      </w:pPr>
      <w:r w:rsidRPr="00A81D21">
        <w:rPr>
          <w:rFonts w:ascii="Palatino Linotype" w:hAnsi="Palatino Linotype" w:cs="Arial"/>
          <w:b/>
          <w:i/>
          <w:lang w:val="es-ES"/>
        </w:rPr>
        <w:t>Criterio 01/2003.</w:t>
      </w:r>
    </w:p>
    <w:p w14:paraId="7A88171F" w14:textId="77777777" w:rsidR="001249A0" w:rsidRPr="00A81D21" w:rsidRDefault="001249A0" w:rsidP="001249A0">
      <w:pPr>
        <w:spacing w:before="240" w:line="360" w:lineRule="auto"/>
        <w:ind w:left="851" w:right="851"/>
        <w:jc w:val="both"/>
        <w:rPr>
          <w:rFonts w:ascii="Palatino Linotype" w:hAnsi="Palatino Linotype" w:cs="Arial"/>
          <w:b/>
          <w:bCs/>
          <w:i/>
          <w:lang w:val="es-ES"/>
        </w:rPr>
      </w:pPr>
      <w:r w:rsidRPr="00A81D21">
        <w:rPr>
          <w:rFonts w:ascii="Palatino Linotype" w:hAnsi="Palatino Linotype" w:cs="Arial"/>
          <w:b/>
          <w:i/>
          <w:lang w:val="es-ES"/>
        </w:rPr>
        <w:lastRenderedPageBreak/>
        <w:t>“INGRESOS DE LOS SERVIDORES PÚBLICOS. CONSTITUYEN INFORMACIÓN PÚBLICA AÚN Y CUANDO SU DIFUSIÓN PUEDE AFECTAR LA VIDA O LA SEGURIDAD DE AQUELLOS.</w:t>
      </w:r>
      <w:r w:rsidRPr="00A81D21">
        <w:rPr>
          <w:rFonts w:ascii="Palatino Linotype" w:hAnsi="Palatino Linotype" w:cs="Arial"/>
          <w:i/>
          <w:lang w:val="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A81D21">
        <w:rPr>
          <w:rFonts w:ascii="Palatino Linotype" w:hAnsi="Palatino Linotype" w:cs="Arial"/>
          <w:b/>
          <w:i/>
          <w:u w:val="single"/>
          <w:lang w:val="es-E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A81D21">
        <w:rPr>
          <w:rFonts w:ascii="Palatino Linotype" w:hAnsi="Palatino Linotype" w:cs="Arial"/>
          <w:i/>
          <w:u w:val="single"/>
          <w:lang w:val="es-ES"/>
        </w:rPr>
        <w:t>…”</w:t>
      </w:r>
      <w:r w:rsidRPr="00A81D21">
        <w:rPr>
          <w:rFonts w:ascii="Palatino Linotype" w:hAnsi="Palatino Linotype" w:cs="Arial"/>
          <w:i/>
          <w:lang w:val="es-ES"/>
        </w:rPr>
        <w:t xml:space="preserve"> </w:t>
      </w:r>
      <w:r w:rsidRPr="00A81D21">
        <w:rPr>
          <w:rFonts w:ascii="Palatino Linotype" w:hAnsi="Palatino Linotype" w:cs="Arial"/>
          <w:b/>
          <w:bCs/>
          <w:i/>
          <w:lang w:val="es-ES"/>
        </w:rPr>
        <w:t>[Sic]</w:t>
      </w:r>
    </w:p>
    <w:p w14:paraId="63652339" w14:textId="77777777" w:rsidR="001249A0" w:rsidRPr="00A81D21" w:rsidRDefault="001249A0" w:rsidP="001249A0">
      <w:pPr>
        <w:spacing w:before="240" w:line="360" w:lineRule="auto"/>
        <w:ind w:left="851" w:right="851"/>
        <w:jc w:val="center"/>
        <w:rPr>
          <w:rFonts w:ascii="Palatino Linotype" w:hAnsi="Palatino Linotype" w:cs="Arial"/>
          <w:b/>
          <w:i/>
          <w:lang w:val="es-ES"/>
        </w:rPr>
      </w:pPr>
      <w:r w:rsidRPr="00A81D21">
        <w:rPr>
          <w:rFonts w:ascii="Palatino Linotype" w:hAnsi="Palatino Linotype" w:cs="Arial"/>
          <w:b/>
          <w:i/>
          <w:lang w:val="es-ES"/>
        </w:rPr>
        <w:t>Criterio 02/2003.</w:t>
      </w:r>
    </w:p>
    <w:p w14:paraId="3A052F41" w14:textId="77777777" w:rsidR="001249A0" w:rsidRPr="00A81D21" w:rsidRDefault="001249A0" w:rsidP="001249A0">
      <w:pPr>
        <w:spacing w:before="240" w:line="360" w:lineRule="auto"/>
        <w:ind w:left="851" w:right="851"/>
        <w:jc w:val="both"/>
        <w:rPr>
          <w:rFonts w:ascii="Palatino Linotype" w:hAnsi="Palatino Linotype" w:cs="Arial"/>
          <w:b/>
          <w:i/>
          <w:lang w:val="es-ES"/>
        </w:rPr>
      </w:pPr>
      <w:r w:rsidRPr="00A81D21">
        <w:rPr>
          <w:rFonts w:ascii="Palatino Linotype" w:hAnsi="Palatino Linotype" w:cs="Arial"/>
          <w:b/>
          <w:i/>
          <w:lang w:val="es-ES"/>
        </w:rPr>
        <w:t>“INGRESOS DE LOS SERVIDORES PÚBLICOS, SON INFORMACIÓN PÚBLICA AÚN Y CUANDO CONSTITUYEN DATOS PERSONALES QUE SE REFIEREN AL PATRIMONIO DE AQUÉLLOS.</w:t>
      </w:r>
      <w:r w:rsidRPr="00A81D21">
        <w:rPr>
          <w:rFonts w:ascii="Palatino Linotype" w:hAnsi="Palatino Linotype" w:cs="Arial"/>
          <w:i/>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w:t>
      </w:r>
      <w:r w:rsidRPr="00A81D21">
        <w:rPr>
          <w:rFonts w:ascii="Palatino Linotype" w:hAnsi="Palatino Linotype" w:cs="Arial"/>
          <w:i/>
          <w:lang w:val="es-ES"/>
        </w:rPr>
        <w:lastRenderedPageBreak/>
        <w:t xml:space="preserve">reciben los servidores públicos, ya que aun y cuando se trata de datos personales relativos a su patrimonio, para su difusión no se requiere consentimiento de aquellos, </w:t>
      </w:r>
      <w:r w:rsidRPr="00A81D21">
        <w:rPr>
          <w:rFonts w:ascii="Palatino Linotype" w:hAnsi="Palatino Linotype" w:cs="Arial"/>
          <w:b/>
          <w:i/>
          <w:u w:val="single"/>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A81D21">
        <w:rPr>
          <w:rFonts w:ascii="Palatino Linotype" w:hAnsi="Palatino Linotype" w:cs="Arial"/>
          <w:i/>
          <w:lang w:val="es-ES"/>
        </w:rPr>
        <w:t xml:space="preserve"> el sistema de compensación…” </w:t>
      </w:r>
      <w:r w:rsidRPr="00A81D21">
        <w:rPr>
          <w:rFonts w:ascii="Palatino Linotype" w:hAnsi="Palatino Linotype" w:cs="Arial"/>
          <w:b/>
          <w:i/>
          <w:lang w:val="es-ES"/>
        </w:rPr>
        <w:t>[Sic]</w:t>
      </w:r>
    </w:p>
    <w:p w14:paraId="34B7CD4C" w14:textId="77777777" w:rsidR="00886305" w:rsidRPr="00A81D21" w:rsidRDefault="00886305" w:rsidP="001249A0">
      <w:pPr>
        <w:spacing w:before="240" w:after="240" w:line="360" w:lineRule="auto"/>
        <w:jc w:val="both"/>
        <w:rPr>
          <w:rFonts w:ascii="Palatino Linotype" w:hAnsi="Palatino Linotype" w:cs="Arial"/>
          <w:sz w:val="24"/>
          <w:szCs w:val="24"/>
          <w:lang w:val="es-ES"/>
        </w:rPr>
      </w:pPr>
    </w:p>
    <w:p w14:paraId="3CF8530A" w14:textId="411744D1" w:rsidR="001249A0" w:rsidRPr="00A81D21" w:rsidRDefault="001249A0" w:rsidP="001249A0">
      <w:pPr>
        <w:spacing w:before="240" w:after="240" w:line="360" w:lineRule="auto"/>
        <w:jc w:val="both"/>
        <w:rPr>
          <w:rFonts w:ascii="Palatino Linotype" w:hAnsi="Palatino Linotype" w:cs="Arial"/>
          <w:sz w:val="24"/>
          <w:szCs w:val="24"/>
          <w:lang w:val="es-ES"/>
        </w:rPr>
      </w:pPr>
      <w:r w:rsidRPr="00A81D21">
        <w:rPr>
          <w:rFonts w:ascii="Palatino Linotype" w:hAnsi="Palatino Linotype" w:cs="Arial"/>
          <w:sz w:val="24"/>
          <w:szCs w:val="24"/>
          <w:lang w:val="es-ES"/>
        </w:rPr>
        <w:t xml:space="preserve">En este sentido, </w:t>
      </w:r>
      <w:r w:rsidRPr="00A81D21">
        <w:rPr>
          <w:rFonts w:ascii="Palatino Linotype" w:hAnsi="Palatino Linotype" w:cs="Arial"/>
          <w:b/>
          <w:sz w:val="24"/>
          <w:szCs w:val="24"/>
          <w:lang w:val="es-ES"/>
        </w:rPr>
        <w:t>El Sujeto Obligado</w:t>
      </w:r>
      <w:r w:rsidRPr="00A81D21">
        <w:rPr>
          <w:rFonts w:ascii="Palatino Linotype" w:hAnsi="Palatino Linotype" w:cs="Arial"/>
          <w:sz w:val="24"/>
          <w:szCs w:val="24"/>
          <w:lang w:val="es-ES"/>
        </w:rPr>
        <w:t xml:space="preserve"> se encuentra constreñido a entregar la información solicitada por </w:t>
      </w:r>
      <w:r w:rsidRPr="00A81D21">
        <w:rPr>
          <w:rFonts w:ascii="Palatino Linotype" w:hAnsi="Palatino Linotype" w:cs="Arial"/>
          <w:b/>
          <w:color w:val="000000"/>
          <w:sz w:val="24"/>
          <w:szCs w:val="24"/>
          <w:lang w:val="es-ES" w:eastAsia="es-MX"/>
        </w:rPr>
        <w:t>El</w:t>
      </w:r>
      <w:r w:rsidRPr="00A81D21">
        <w:rPr>
          <w:rFonts w:ascii="Palatino Linotype" w:hAnsi="Palatino Linotype" w:cs="Arial"/>
          <w:b/>
          <w:color w:val="000000"/>
          <w:sz w:val="24"/>
          <w:szCs w:val="24"/>
          <w:lang w:eastAsia="es-MX"/>
        </w:rPr>
        <w:t xml:space="preserve"> Recurrente</w:t>
      </w:r>
      <w:r w:rsidRPr="00A81D21">
        <w:rPr>
          <w:rFonts w:ascii="Palatino Linotype" w:hAnsi="Palatino Linotype" w:cs="Arial"/>
          <w:sz w:val="24"/>
          <w:szCs w:val="24"/>
          <w:lang w:val="es-ES"/>
        </w:rPr>
        <w:t xml:space="preserve">, de acuerdo con lo dispuesto por los artículos 3, fracción XI y 12 </w:t>
      </w:r>
      <w:r w:rsidRPr="00A81D21">
        <w:rPr>
          <w:rFonts w:ascii="Palatino Linotype" w:hAnsi="Palatino Linotype" w:cs="Arial"/>
          <w:bCs/>
          <w:sz w:val="24"/>
          <w:szCs w:val="24"/>
          <w:lang w:val="es-ES"/>
        </w:rPr>
        <w:t>de la Ley de Transparencia y Acceso a la Información Pública del Estado de México y Municipios</w:t>
      </w:r>
      <w:r w:rsidRPr="00A81D21">
        <w:rPr>
          <w:rFonts w:ascii="Palatino Linotype" w:hAnsi="Palatino Linotype" w:cs="Arial"/>
          <w:sz w:val="24"/>
          <w:szCs w:val="24"/>
          <w:lang w:val="es-ES"/>
        </w:rPr>
        <w:t>, de los cuales se desprende que es información pública la contenida en los documentos que los Sujetos Obligados generen, administren o se encuentre en su posesión en ejercicio de sus atribuciones.</w:t>
      </w:r>
    </w:p>
    <w:p w14:paraId="1D968AAA" w14:textId="77777777" w:rsidR="001249A0" w:rsidRPr="00A81D21" w:rsidRDefault="001249A0" w:rsidP="001249A0">
      <w:pPr>
        <w:autoSpaceDE w:val="0"/>
        <w:autoSpaceDN w:val="0"/>
        <w:adjustRightInd w:val="0"/>
        <w:spacing w:before="240" w:after="240" w:line="360" w:lineRule="auto"/>
        <w:jc w:val="both"/>
        <w:rPr>
          <w:rFonts w:ascii="Palatino Linotype" w:hAnsi="Palatino Linotype" w:cs="Arial"/>
          <w:sz w:val="24"/>
          <w:szCs w:val="24"/>
          <w:lang w:val="es-ES"/>
        </w:rPr>
      </w:pPr>
      <w:r w:rsidRPr="00A81D21">
        <w:rPr>
          <w:rFonts w:ascii="Palatino Linotype" w:hAnsi="Palatino Linotype" w:cs="Arial"/>
          <w:sz w:val="24"/>
          <w:szCs w:val="24"/>
          <w:lang w:val="es-ES"/>
        </w:rPr>
        <w:t xml:space="preserve">Siendo aplicable, el criterio </w:t>
      </w:r>
      <w:r w:rsidRPr="00A81D21">
        <w:rPr>
          <w:rFonts w:ascii="Palatino Linotype" w:hAnsi="Palatino Linotype" w:cs="Arial"/>
          <w:bCs/>
          <w:sz w:val="24"/>
          <w:szCs w:val="24"/>
          <w:lang w:val="es-E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A81D21">
        <w:rPr>
          <w:rFonts w:ascii="Palatino Linotype" w:hAnsi="Palatino Linotype" w:cs="Arial"/>
          <w:sz w:val="24"/>
          <w:szCs w:val="24"/>
          <w:lang w:val="es-ES"/>
        </w:rPr>
        <w:t>cuyo rubro y texto dispone:</w:t>
      </w:r>
    </w:p>
    <w:p w14:paraId="3352620B" w14:textId="77777777" w:rsidR="001249A0" w:rsidRPr="00A81D21" w:rsidRDefault="001249A0" w:rsidP="001249A0">
      <w:pPr>
        <w:spacing w:before="240" w:line="360" w:lineRule="auto"/>
        <w:ind w:left="851" w:right="851"/>
        <w:jc w:val="center"/>
        <w:rPr>
          <w:rFonts w:ascii="Palatino Linotype" w:hAnsi="Palatino Linotype" w:cs="Arial"/>
          <w:b/>
          <w:i/>
          <w:lang w:val="es-ES"/>
        </w:rPr>
      </w:pPr>
      <w:r w:rsidRPr="00A81D21">
        <w:rPr>
          <w:rFonts w:ascii="Palatino Linotype" w:hAnsi="Palatino Linotype" w:cs="Arial"/>
          <w:b/>
          <w:i/>
          <w:lang w:val="es-ES"/>
        </w:rPr>
        <w:t>CRITERIO 0002-11</w:t>
      </w:r>
    </w:p>
    <w:p w14:paraId="7A880201" w14:textId="77777777" w:rsidR="001249A0" w:rsidRPr="00A81D21" w:rsidRDefault="001249A0" w:rsidP="001249A0">
      <w:pPr>
        <w:spacing w:before="240" w:line="360" w:lineRule="auto"/>
        <w:ind w:left="851" w:right="851"/>
        <w:jc w:val="both"/>
        <w:rPr>
          <w:rFonts w:ascii="Palatino Linotype" w:hAnsi="Palatino Linotype" w:cs="Arial"/>
          <w:i/>
          <w:lang w:val="es-ES"/>
        </w:rPr>
      </w:pPr>
      <w:r w:rsidRPr="00A81D21">
        <w:rPr>
          <w:rFonts w:ascii="Palatino Linotype" w:hAnsi="Palatino Linotype" w:cs="Arial"/>
          <w:b/>
          <w:i/>
          <w:lang w:val="es-ES"/>
        </w:rPr>
        <w:lastRenderedPageBreak/>
        <w:t xml:space="preserve">“INFORMACIÓN PÚBLICA, CONCEPTO DE, EN MATERIA DE TRANSPARENCIA. INTERPRETACIÓN TEMÁTICA DE LOS ARTÍCULOS 2 2, FRACCIÓN </w:t>
      </w:r>
      <w:r w:rsidRPr="00A81D21">
        <w:rPr>
          <w:rFonts w:ascii="Palatino Linotype" w:hAnsi="Palatino Linotype" w:cs="Arial"/>
          <w:b/>
          <w:bCs/>
          <w:i/>
          <w:lang w:val="es-ES"/>
        </w:rPr>
        <w:t xml:space="preserve">V, XV, Y XVI, </w:t>
      </w:r>
      <w:r w:rsidRPr="00A81D21">
        <w:rPr>
          <w:rFonts w:ascii="Palatino Linotype" w:hAnsi="Palatino Linotype" w:cs="Arial"/>
          <w:b/>
          <w:i/>
          <w:lang w:val="es-ES"/>
        </w:rPr>
        <w:t>32, 4,11 Y 41.</w:t>
      </w:r>
      <w:r w:rsidRPr="00A81D21">
        <w:rPr>
          <w:rFonts w:ascii="Palatino Linotype" w:hAnsi="Palatino Linotype" w:cs="Arial"/>
          <w:i/>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C1E18A" w14:textId="77777777" w:rsidR="001249A0" w:rsidRPr="00A81D21" w:rsidRDefault="001249A0" w:rsidP="001249A0">
      <w:pPr>
        <w:spacing w:before="240" w:line="360" w:lineRule="auto"/>
        <w:ind w:left="851" w:right="851"/>
        <w:jc w:val="both"/>
        <w:rPr>
          <w:rFonts w:ascii="Palatino Linotype" w:hAnsi="Palatino Linotype" w:cs="Arial"/>
          <w:i/>
          <w:lang w:val="es-ES"/>
        </w:rPr>
      </w:pPr>
      <w:r w:rsidRPr="00A81D21">
        <w:rPr>
          <w:rFonts w:ascii="Palatino Linotype" w:hAnsi="Palatino Linotype" w:cs="Arial"/>
          <w:i/>
          <w:lang w:val="es-ES"/>
        </w:rPr>
        <w:t>En consecuencia el acceso a la información se refiere a que se cumplan cualquiera de los siguientes tres supuestos:</w:t>
      </w:r>
    </w:p>
    <w:p w14:paraId="7EF64AAA" w14:textId="77777777" w:rsidR="001249A0" w:rsidRPr="00A81D21" w:rsidRDefault="001249A0" w:rsidP="001249A0">
      <w:pPr>
        <w:spacing w:before="240" w:line="360" w:lineRule="auto"/>
        <w:ind w:left="851" w:right="851"/>
        <w:jc w:val="both"/>
        <w:rPr>
          <w:rFonts w:ascii="Palatino Linotype" w:hAnsi="Palatino Linotype" w:cs="Arial"/>
          <w:b/>
          <w:i/>
          <w:u w:val="single"/>
          <w:lang w:val="es-ES"/>
        </w:rPr>
      </w:pPr>
      <w:r w:rsidRPr="00A81D21">
        <w:rPr>
          <w:rFonts w:ascii="Palatino Linotype" w:hAnsi="Palatino Linotype" w:cs="Arial"/>
          <w:b/>
          <w:i/>
          <w:u w:val="single"/>
          <w:lang w:val="es-ES"/>
        </w:rPr>
        <w:t>1) Que se trate de información registrada en cualquier soporte documental, que en ejercicio de las atribuciones conferidas, sea generada por los Sujetos Obligados;</w:t>
      </w:r>
    </w:p>
    <w:p w14:paraId="499B4C4D" w14:textId="77777777" w:rsidR="001249A0" w:rsidRPr="00A81D21" w:rsidRDefault="001249A0" w:rsidP="001249A0">
      <w:pPr>
        <w:spacing w:before="240" w:line="360" w:lineRule="auto"/>
        <w:ind w:left="851" w:right="851"/>
        <w:jc w:val="both"/>
        <w:rPr>
          <w:rFonts w:ascii="Palatino Linotype" w:hAnsi="Palatino Linotype" w:cs="Arial"/>
          <w:i/>
          <w:lang w:val="es-ES"/>
        </w:rPr>
      </w:pPr>
      <w:r w:rsidRPr="00A81D21">
        <w:rPr>
          <w:rFonts w:ascii="Palatino Linotype" w:hAnsi="Palatino Linotype" w:cs="Arial"/>
          <w:i/>
          <w:lang w:val="es-ES"/>
        </w:rPr>
        <w:t>2) Que se trate de información registrada en cualquier soporte documental, que en ejercicio de las atribuciones conferidas, sea administrada por los Sujetos Obligados, y</w:t>
      </w:r>
    </w:p>
    <w:p w14:paraId="65CAF937" w14:textId="77777777" w:rsidR="001249A0" w:rsidRPr="00A81D21" w:rsidRDefault="001249A0" w:rsidP="001249A0">
      <w:pPr>
        <w:spacing w:before="240" w:line="360" w:lineRule="auto"/>
        <w:ind w:left="851" w:right="851"/>
        <w:jc w:val="both"/>
        <w:rPr>
          <w:rFonts w:ascii="Palatino Linotype" w:hAnsi="Palatino Linotype" w:cs="Arial"/>
          <w:b/>
          <w:i/>
          <w:lang w:val="es-ES"/>
        </w:rPr>
      </w:pPr>
      <w:r w:rsidRPr="00A81D21">
        <w:rPr>
          <w:rFonts w:ascii="Palatino Linotype" w:hAnsi="Palatino Linotype" w:cs="Arial"/>
          <w:i/>
          <w:lang w:val="es-ES"/>
        </w:rPr>
        <w:t xml:space="preserve">3) Que se trate de información registrada en cualquier soporte documental, que en ejercicio de las atribuciones conferidas, se encuentre en posesión de los Sujetos Obligados.” </w:t>
      </w:r>
      <w:r w:rsidRPr="00A81D21">
        <w:rPr>
          <w:rFonts w:ascii="Palatino Linotype" w:hAnsi="Palatino Linotype" w:cs="Arial"/>
          <w:b/>
          <w:i/>
          <w:lang w:val="es-ES"/>
        </w:rPr>
        <w:t>[Sic]</w:t>
      </w:r>
    </w:p>
    <w:p w14:paraId="36C7AB9E" w14:textId="77777777" w:rsidR="001249A0" w:rsidRPr="00A81D21" w:rsidRDefault="001249A0" w:rsidP="001249A0">
      <w:pPr>
        <w:autoSpaceDE w:val="0"/>
        <w:autoSpaceDN w:val="0"/>
        <w:adjustRightInd w:val="0"/>
        <w:spacing w:before="240" w:line="360" w:lineRule="auto"/>
        <w:jc w:val="both"/>
        <w:rPr>
          <w:rFonts w:ascii="Palatino Linotype" w:hAnsi="Palatino Linotype" w:cs="Arial"/>
          <w:sz w:val="24"/>
          <w:szCs w:val="24"/>
        </w:rPr>
      </w:pPr>
    </w:p>
    <w:p w14:paraId="250F90CF" w14:textId="77777777" w:rsidR="001249A0" w:rsidRPr="00A81D21" w:rsidRDefault="001249A0" w:rsidP="001249A0">
      <w:pPr>
        <w:autoSpaceDE w:val="0"/>
        <w:autoSpaceDN w:val="0"/>
        <w:adjustRightInd w:val="0"/>
        <w:spacing w:before="240" w:line="360" w:lineRule="auto"/>
        <w:jc w:val="both"/>
        <w:rPr>
          <w:rFonts w:ascii="Palatino Linotype" w:hAnsi="Palatino Linotype" w:cs="Arial"/>
          <w:sz w:val="24"/>
          <w:szCs w:val="24"/>
        </w:rPr>
      </w:pPr>
      <w:r w:rsidRPr="00A81D21">
        <w:rPr>
          <w:rFonts w:ascii="Palatino Linotype" w:hAnsi="Palatino Linotype" w:cs="Arial"/>
          <w:sz w:val="24"/>
          <w:szCs w:val="24"/>
        </w:rPr>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14:paraId="613328D1" w14:textId="77777777" w:rsidR="001249A0" w:rsidRPr="00A81D21" w:rsidRDefault="001249A0" w:rsidP="001249A0">
      <w:pPr>
        <w:pStyle w:val="Default"/>
        <w:spacing w:before="240" w:after="160" w:line="360" w:lineRule="auto"/>
        <w:ind w:left="851" w:right="851"/>
        <w:jc w:val="both"/>
        <w:rPr>
          <w:rFonts w:ascii="Palatino Linotype" w:hAnsi="Palatino Linotype"/>
          <w:b/>
          <w:bCs/>
          <w:i/>
          <w:sz w:val="22"/>
          <w:szCs w:val="22"/>
        </w:rPr>
      </w:pPr>
      <w:r w:rsidRPr="00A81D21">
        <w:rPr>
          <w:rFonts w:ascii="Palatino Linotype" w:hAnsi="Palatino Linotype"/>
          <w:b/>
          <w:bCs/>
          <w:i/>
          <w:sz w:val="22"/>
          <w:szCs w:val="22"/>
        </w:rPr>
        <w:lastRenderedPageBreak/>
        <w:t xml:space="preserve">“Artículo 24. </w:t>
      </w:r>
      <w:r w:rsidRPr="00A81D21">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02B1CF0B" w14:textId="77777777" w:rsidR="001249A0" w:rsidRPr="00A81D21" w:rsidRDefault="001249A0" w:rsidP="001249A0">
      <w:pPr>
        <w:pStyle w:val="Default"/>
        <w:spacing w:before="240" w:after="160" w:line="360" w:lineRule="auto"/>
        <w:ind w:left="851" w:right="851"/>
        <w:jc w:val="both"/>
        <w:rPr>
          <w:rFonts w:ascii="Palatino Linotype" w:hAnsi="Palatino Linotype"/>
          <w:b/>
          <w:bCs/>
          <w:i/>
          <w:sz w:val="22"/>
          <w:szCs w:val="22"/>
        </w:rPr>
      </w:pPr>
      <w:r w:rsidRPr="00A81D21">
        <w:rPr>
          <w:rFonts w:ascii="Palatino Linotype" w:hAnsi="Palatino Linotype"/>
          <w:b/>
          <w:bCs/>
          <w:i/>
          <w:sz w:val="22"/>
          <w:szCs w:val="22"/>
        </w:rPr>
        <w:t xml:space="preserve">XII. </w:t>
      </w:r>
      <w:r w:rsidRPr="00A81D21">
        <w:rPr>
          <w:rFonts w:ascii="Palatino Linotype" w:hAnsi="Palatino Linotype"/>
          <w:b/>
          <w:i/>
          <w:sz w:val="22"/>
          <w:szCs w:val="22"/>
          <w:u w:val="single"/>
        </w:rPr>
        <w:t>Publicar y mantener actualizada la información relativa a las obligaciones generales de transparencia</w:t>
      </w:r>
      <w:r w:rsidRPr="00A81D21">
        <w:rPr>
          <w:rFonts w:ascii="Palatino Linotype" w:hAnsi="Palatino Linotype"/>
          <w:i/>
          <w:sz w:val="22"/>
          <w:szCs w:val="22"/>
        </w:rPr>
        <w:t xml:space="preserve"> previstas en la presente Ley o determinadas así por el Instituto, y en general aquella que sea de interés público;</w:t>
      </w:r>
    </w:p>
    <w:p w14:paraId="7A6088CC" w14:textId="77777777" w:rsidR="001249A0" w:rsidRPr="00A81D21" w:rsidRDefault="001249A0" w:rsidP="001249A0">
      <w:pPr>
        <w:pStyle w:val="Default"/>
        <w:spacing w:before="240" w:after="160" w:line="360" w:lineRule="auto"/>
        <w:ind w:left="851" w:right="851"/>
        <w:jc w:val="both"/>
        <w:rPr>
          <w:rFonts w:ascii="Palatino Linotype" w:hAnsi="Palatino Linotype"/>
          <w:i/>
          <w:sz w:val="22"/>
          <w:szCs w:val="22"/>
        </w:rPr>
      </w:pPr>
      <w:r w:rsidRPr="00A81D21">
        <w:rPr>
          <w:rFonts w:ascii="Palatino Linotype" w:hAnsi="Palatino Linotype"/>
          <w:b/>
          <w:bCs/>
          <w:i/>
          <w:sz w:val="22"/>
          <w:szCs w:val="22"/>
        </w:rPr>
        <w:t xml:space="preserve">Artículo 92. </w:t>
      </w:r>
      <w:r w:rsidRPr="00A81D21">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46CF5F7" w14:textId="77777777" w:rsidR="001249A0" w:rsidRPr="00A81D21" w:rsidRDefault="001249A0" w:rsidP="001249A0">
      <w:pPr>
        <w:pStyle w:val="Default"/>
        <w:spacing w:before="240" w:after="160" w:line="360" w:lineRule="auto"/>
        <w:ind w:left="851" w:right="851"/>
        <w:jc w:val="both"/>
        <w:rPr>
          <w:rFonts w:ascii="Palatino Linotype" w:hAnsi="Palatino Linotype"/>
          <w:i/>
          <w:sz w:val="22"/>
          <w:szCs w:val="22"/>
        </w:rPr>
      </w:pPr>
      <w:r w:rsidRPr="00A81D21">
        <w:rPr>
          <w:rFonts w:ascii="Palatino Linotype" w:hAnsi="Palatino Linotype"/>
          <w:b/>
          <w:bCs/>
          <w:i/>
          <w:sz w:val="22"/>
          <w:szCs w:val="22"/>
        </w:rPr>
        <w:t>(…</w:t>
      </w:r>
      <w:r w:rsidRPr="00A81D21">
        <w:rPr>
          <w:rFonts w:ascii="Palatino Linotype" w:hAnsi="Palatino Linotype"/>
          <w:i/>
          <w:sz w:val="22"/>
          <w:szCs w:val="22"/>
        </w:rPr>
        <w:t>)</w:t>
      </w:r>
    </w:p>
    <w:p w14:paraId="4324FF3D" w14:textId="77777777" w:rsidR="001249A0" w:rsidRPr="00A81D21" w:rsidRDefault="001249A0" w:rsidP="001249A0">
      <w:pPr>
        <w:autoSpaceDE w:val="0"/>
        <w:autoSpaceDN w:val="0"/>
        <w:adjustRightInd w:val="0"/>
        <w:spacing w:before="240" w:line="360" w:lineRule="auto"/>
        <w:ind w:left="851" w:right="851"/>
        <w:jc w:val="both"/>
        <w:rPr>
          <w:rFonts w:ascii="Palatino Linotype" w:hAnsi="Palatino Linotype"/>
          <w:b/>
          <w:i/>
          <w:u w:val="single"/>
        </w:rPr>
      </w:pPr>
      <w:r w:rsidRPr="00A81D21">
        <w:rPr>
          <w:rFonts w:ascii="Palatino Linotype" w:hAnsi="Palatino Linotype"/>
          <w:b/>
          <w:bCs/>
          <w:i/>
          <w:u w:val="single"/>
        </w:rPr>
        <w:t xml:space="preserve">VIII. </w:t>
      </w:r>
      <w:r w:rsidRPr="00A81D21">
        <w:rPr>
          <w:rFonts w:ascii="Palatino Linotype" w:hAnsi="Palatino Linotype"/>
          <w:b/>
          <w:i/>
          <w:u w:val="single"/>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D60A052" w14:textId="77777777" w:rsidR="001249A0" w:rsidRPr="00A81D21" w:rsidRDefault="001249A0" w:rsidP="001249A0">
      <w:pPr>
        <w:autoSpaceDE w:val="0"/>
        <w:autoSpaceDN w:val="0"/>
        <w:adjustRightInd w:val="0"/>
        <w:spacing w:before="240" w:line="360" w:lineRule="auto"/>
        <w:ind w:left="851" w:right="851"/>
        <w:jc w:val="both"/>
        <w:rPr>
          <w:rFonts w:ascii="Palatino Linotype" w:hAnsi="Palatino Linotype"/>
          <w:b/>
          <w:i/>
          <w:u w:val="single"/>
        </w:rPr>
      </w:pPr>
      <w:r w:rsidRPr="00A81D21">
        <w:rPr>
          <w:rFonts w:ascii="Palatino Linotype" w:hAnsi="Palatino Linotype"/>
          <w:b/>
          <w:i/>
          <w:u w:val="single"/>
        </w:rPr>
        <w:t>(…)”</w:t>
      </w:r>
      <w:r w:rsidRPr="00A81D21">
        <w:rPr>
          <w:rFonts w:ascii="Palatino Linotype" w:hAnsi="Palatino Linotype"/>
          <w:i/>
          <w:u w:val="single"/>
        </w:rPr>
        <w:t xml:space="preserve"> </w:t>
      </w:r>
      <w:r w:rsidRPr="00A81D21">
        <w:rPr>
          <w:rFonts w:ascii="Palatino Linotype" w:hAnsi="Palatino Linotype"/>
          <w:b/>
          <w:i/>
          <w:u w:val="single"/>
        </w:rPr>
        <w:t>[Sic]</w:t>
      </w:r>
    </w:p>
    <w:p w14:paraId="7EF36FD5" w14:textId="77777777" w:rsidR="001249A0" w:rsidRPr="00A81D21" w:rsidRDefault="001249A0" w:rsidP="001249A0">
      <w:pPr>
        <w:autoSpaceDE w:val="0"/>
        <w:autoSpaceDN w:val="0"/>
        <w:adjustRightInd w:val="0"/>
        <w:spacing w:before="240" w:line="360" w:lineRule="auto"/>
        <w:ind w:right="851"/>
        <w:jc w:val="both"/>
        <w:rPr>
          <w:rFonts w:ascii="Palatino Linotype" w:hAnsi="Palatino Linotype"/>
          <w:b/>
          <w:i/>
        </w:rPr>
      </w:pPr>
    </w:p>
    <w:p w14:paraId="5C163CEE" w14:textId="77777777" w:rsidR="001249A0" w:rsidRPr="00A81D21" w:rsidRDefault="001249A0" w:rsidP="001249A0">
      <w:pPr>
        <w:spacing w:line="360" w:lineRule="auto"/>
        <w:contextualSpacing/>
        <w:jc w:val="both"/>
        <w:rPr>
          <w:rFonts w:ascii="Palatino Linotype" w:eastAsia="MS Mincho" w:hAnsi="Palatino Linotype" w:cs="Times New Roman"/>
          <w:sz w:val="24"/>
          <w:szCs w:val="24"/>
        </w:rPr>
      </w:pPr>
      <w:r w:rsidRPr="00A81D21">
        <w:rPr>
          <w:rFonts w:ascii="Palatino Linotype" w:eastAsia="MS Mincho" w:hAnsi="Palatino Linotype" w:cs="Tahoma"/>
          <w:sz w:val="24"/>
          <w:szCs w:val="24"/>
        </w:rPr>
        <w:t xml:space="preserve">Así, la Ley de Transparencia y Acceso a la Información Pública del Estado de México y Municipios </w:t>
      </w:r>
      <w:r w:rsidRPr="00A81D21">
        <w:rPr>
          <w:rFonts w:ascii="Palatino Linotype" w:eastAsia="Arial Unicode MS" w:hAnsi="Palatino Linotype" w:cs="Arial"/>
          <w:sz w:val="24"/>
          <w:szCs w:val="24"/>
        </w:rPr>
        <w:t xml:space="preserve">en el artículo 92 </w:t>
      </w:r>
      <w:r w:rsidRPr="00A81D21">
        <w:rPr>
          <w:rFonts w:ascii="Palatino Linotype" w:eastAsia="Arial Unicode MS" w:hAnsi="Palatino Linotype" w:cs="Times New Roman"/>
          <w:sz w:val="24"/>
          <w:szCs w:val="24"/>
        </w:rPr>
        <w:t>fracción VIII, señala que</w:t>
      </w:r>
      <w:r w:rsidRPr="00A81D21">
        <w:rPr>
          <w:rFonts w:ascii="Palatino Linotype" w:eastAsia="MS Mincho" w:hAnsi="Palatino Linotype" w:cs="Tahoma"/>
          <w:sz w:val="24"/>
          <w:szCs w:val="24"/>
        </w:rPr>
        <w:t xml:space="preserve"> la </w:t>
      </w:r>
      <w:r w:rsidRPr="00A81D21">
        <w:rPr>
          <w:rFonts w:ascii="Palatino Linotype" w:eastAsia="Times New Roman" w:hAnsi="Palatino Linotype" w:cs="Arial"/>
          <w:sz w:val="24"/>
          <w:szCs w:val="24"/>
        </w:rPr>
        <w:t xml:space="preserve">información solicitada respecto de la remuneración bruta y neta de todos los servidores públicos de base o de </w:t>
      </w:r>
      <w:r w:rsidRPr="00A81D21">
        <w:rPr>
          <w:rFonts w:ascii="Palatino Linotype" w:eastAsia="Times New Roman" w:hAnsi="Palatino Linotype" w:cs="Arial"/>
          <w:sz w:val="24"/>
          <w:szCs w:val="24"/>
        </w:rPr>
        <w:lastRenderedPageBreak/>
        <w:t xml:space="preserve">confianza, de todas las percepciones, incluyendo sueldos, prestaciones, gratificaciones, primas, comisiones, dietas, bonos, estímulos, ingresos y sistemas de compensación, señalando la periodicidad de dicha remuneración, </w:t>
      </w:r>
      <w:r w:rsidRPr="00A81D21">
        <w:rPr>
          <w:rFonts w:ascii="Palatino Linotype" w:eastAsia="Arial Unicode MS" w:hAnsi="Palatino Linotype" w:cs="Arial"/>
          <w:sz w:val="24"/>
          <w:szCs w:val="24"/>
        </w:rPr>
        <w:t xml:space="preserve">se trata de las obligaciones de transparencia comunes, esto es, información que por su naturaleza es pública y que los </w:t>
      </w:r>
      <w:r w:rsidRPr="00A81D21">
        <w:rPr>
          <w:rFonts w:ascii="Palatino Linotype" w:eastAsia="MS Mincho" w:hAnsi="Palatino Linotype" w:cs="Times New Roman"/>
          <w:sz w:val="24"/>
          <w:szCs w:val="24"/>
        </w:rPr>
        <w:t xml:space="preserve">sujetos obligados deben poner a disposición del público de manera permanente y por tanto deberán mantenerla actualizada, en los respectivos medios electrónicos, de acuerdo con sus facultades, atribuciones, funciones u objeto social. </w:t>
      </w:r>
    </w:p>
    <w:p w14:paraId="5C2C6EB8" w14:textId="77777777" w:rsidR="001249A0" w:rsidRPr="00A81D21" w:rsidRDefault="001249A0" w:rsidP="001249A0">
      <w:pPr>
        <w:spacing w:line="360" w:lineRule="auto"/>
        <w:contextualSpacing/>
        <w:jc w:val="both"/>
        <w:rPr>
          <w:rFonts w:ascii="Palatino Linotype" w:eastAsia="MS Mincho" w:hAnsi="Palatino Linotype" w:cs="Times New Roman"/>
          <w:sz w:val="24"/>
          <w:szCs w:val="24"/>
        </w:rPr>
      </w:pPr>
    </w:p>
    <w:p w14:paraId="2FA07724" w14:textId="77777777" w:rsidR="001249A0" w:rsidRPr="00A81D21" w:rsidRDefault="001249A0" w:rsidP="001249A0">
      <w:pPr>
        <w:spacing w:after="240" w:line="360" w:lineRule="auto"/>
        <w:jc w:val="both"/>
        <w:rPr>
          <w:rFonts w:ascii="Palatino Linotype" w:hAnsi="Palatino Linotype" w:cs="Arial"/>
          <w:b/>
          <w:sz w:val="24"/>
          <w:szCs w:val="24"/>
        </w:rPr>
      </w:pPr>
      <w:r w:rsidRPr="00A81D21">
        <w:rPr>
          <w:rFonts w:ascii="Palatino Linotype" w:hAnsi="Palatino Linotype" w:cs="Arial"/>
          <w:sz w:val="24"/>
          <w:szCs w:val="24"/>
        </w:rPr>
        <w:t xml:space="preserve">Atento a lo anterior, resulta claro que existe la obligación del </w:t>
      </w:r>
      <w:r w:rsidRPr="00A81D21">
        <w:rPr>
          <w:rFonts w:ascii="Palatino Linotype" w:hAnsi="Palatino Linotype" w:cs="Arial"/>
          <w:b/>
          <w:sz w:val="24"/>
          <w:szCs w:val="24"/>
        </w:rPr>
        <w:t>Sujeto Obligado</w:t>
      </w:r>
      <w:r w:rsidRPr="00A81D21">
        <w:rPr>
          <w:rFonts w:ascii="Palatino Linotype" w:hAnsi="Palatino Linotype" w:cs="Arial"/>
          <w:sz w:val="24"/>
          <w:szCs w:val="24"/>
        </w:rPr>
        <w:t xml:space="preserve">, de entregar los informes trimestrales al Órgano Superior de Fiscalización del Estado de México, en los cuales se incluye la información relativa a los recibos de nómina correspondientes a un periodo determinado; en consecuencia, la información solicitada por </w:t>
      </w:r>
      <w:r w:rsidRPr="00A81D21">
        <w:rPr>
          <w:rFonts w:ascii="Palatino Linotype" w:hAnsi="Palatino Linotype" w:cs="Arial"/>
          <w:b/>
          <w:sz w:val="24"/>
          <w:szCs w:val="24"/>
        </w:rPr>
        <w:t xml:space="preserve">El Recurrente </w:t>
      </w:r>
      <w:r w:rsidRPr="00A81D21">
        <w:rPr>
          <w:rFonts w:ascii="Palatino Linotype" w:hAnsi="Palatino Linotype" w:cs="Arial"/>
          <w:sz w:val="24"/>
          <w:szCs w:val="24"/>
        </w:rPr>
        <w:t xml:space="preserve">debe obrar en los archivos del </w:t>
      </w:r>
      <w:r w:rsidRPr="00A81D21">
        <w:rPr>
          <w:rFonts w:ascii="Palatino Linotype" w:hAnsi="Palatino Linotype" w:cs="Arial"/>
          <w:b/>
          <w:sz w:val="24"/>
          <w:szCs w:val="24"/>
        </w:rPr>
        <w:t xml:space="preserve">Sujeto Obligado. </w:t>
      </w:r>
    </w:p>
    <w:p w14:paraId="361846C5" w14:textId="6E18E453" w:rsidR="006F373D" w:rsidRPr="00A81D21"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bookmarkStart w:id="0" w:name="_Hlk174960738"/>
      <w:r w:rsidRPr="00A81D21">
        <w:rPr>
          <w:rFonts w:ascii="Palatino Linotype" w:hAnsi="Palatino Linotype" w:cs="Arial"/>
          <w:bCs/>
          <w:sz w:val="24"/>
          <w:szCs w:val="24"/>
          <w:lang w:eastAsia="es-MX"/>
        </w:rPr>
        <w:t>Asimismo, se puntualiza que expedir recibos de nómina, comprobantes de pago o CFDI se trata de una obligación común de todos los patrones, quienes deberán de observar los numerales 29 y 29A del Código Fiscal de la Federación, así como la Resolución Miscelánea Fiscal, porciones normativas que prevén como requisitos de los documentos en cita, los siguientes:</w:t>
      </w:r>
    </w:p>
    <w:p w14:paraId="5C5FBD4B" w14:textId="77777777" w:rsidR="006F373D" w:rsidRPr="00A81D21" w:rsidRDefault="006F373D" w:rsidP="0038610C">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Registro Federal de Contribuyentes, nombre o razón social de quien los expida y el régimen fiscal en que tributen.</w:t>
      </w:r>
    </w:p>
    <w:p w14:paraId="5FEDDC42" w14:textId="77777777" w:rsidR="006F373D" w:rsidRPr="00A81D21" w:rsidRDefault="006F373D" w:rsidP="0038610C">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Número de folio y sello digital del Servicio de Administración Tributaria.</w:t>
      </w:r>
    </w:p>
    <w:p w14:paraId="4327AD0A" w14:textId="77777777" w:rsidR="006F373D" w:rsidRPr="00A81D21" w:rsidRDefault="006F373D" w:rsidP="0038610C">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 xml:space="preserve">Lugar y fecha de expedición. </w:t>
      </w:r>
    </w:p>
    <w:p w14:paraId="64262309" w14:textId="77777777" w:rsidR="006F373D" w:rsidRPr="00A81D21" w:rsidRDefault="006F373D" w:rsidP="0038610C">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lastRenderedPageBreak/>
        <w:t xml:space="preserve">Registro Federal de Contribuyentes, nombre o razón social, así como el código postal del domicilio fiscal de la persona a favor de quien se expida. </w:t>
      </w:r>
    </w:p>
    <w:p w14:paraId="261AF846" w14:textId="77777777" w:rsidR="006F373D" w:rsidRPr="00A81D21" w:rsidRDefault="006F373D" w:rsidP="0038610C">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 xml:space="preserve">Cantidad, unidad de medida, clase de bienes o mercancías, o descripción del servicio. </w:t>
      </w:r>
    </w:p>
    <w:p w14:paraId="73B34D66" w14:textId="77777777" w:rsidR="006F373D" w:rsidRPr="00A81D21" w:rsidRDefault="006F373D" w:rsidP="0038610C">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Valor unitario consignado en número</w:t>
      </w:r>
    </w:p>
    <w:p w14:paraId="40AD3632" w14:textId="77777777" w:rsidR="006F373D" w:rsidRPr="00A81D21" w:rsidRDefault="006F373D" w:rsidP="0038610C">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 xml:space="preserve">Importe total consignado en número o letra. </w:t>
      </w:r>
    </w:p>
    <w:p w14:paraId="5004E49E" w14:textId="77777777" w:rsidR="006F373D" w:rsidRPr="00A81D21" w:rsidRDefault="006F373D" w:rsidP="0038610C">
      <w:pPr>
        <w:pStyle w:val="Prrafodelista"/>
        <w:numPr>
          <w:ilvl w:val="0"/>
          <w:numId w:val="2"/>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 xml:space="preserve">Otros. </w:t>
      </w:r>
    </w:p>
    <w:p w14:paraId="66C37409" w14:textId="77777777" w:rsidR="006F373D" w:rsidRPr="00A81D21"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r w:rsidRPr="00A81D21">
        <w:rPr>
          <w:rFonts w:ascii="Palatino Linotype" w:hAnsi="Palatino Linotype" w:cs="Arial"/>
          <w:bCs/>
          <w:sz w:val="24"/>
          <w:szCs w:val="24"/>
          <w:lang w:eastAsia="es-MX"/>
        </w:rPr>
        <w:t>Además, deben de contener los siguientes datos:</w:t>
      </w:r>
    </w:p>
    <w:p w14:paraId="73477A06" w14:textId="77777777" w:rsidR="006F373D" w:rsidRPr="00A81D21" w:rsidRDefault="006F373D" w:rsidP="0038610C">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Fecha y hora de certificación.</w:t>
      </w:r>
    </w:p>
    <w:p w14:paraId="18212295" w14:textId="77777777" w:rsidR="006F373D" w:rsidRPr="00A81D21" w:rsidRDefault="006F373D" w:rsidP="0038610C">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sidRPr="00A81D21">
        <w:rPr>
          <w:rFonts w:ascii="Palatino Linotype" w:hAnsi="Palatino Linotype" w:cs="Arial"/>
          <w:bCs/>
          <w:lang w:eastAsia="es-MX"/>
        </w:rPr>
        <w:t xml:space="preserve">Número de serie del certificado digital del SAT con el que se realizó el sellado. </w:t>
      </w:r>
    </w:p>
    <w:p w14:paraId="4A385EE8" w14:textId="77777777" w:rsidR="006F373D" w:rsidRPr="00A81D21"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r w:rsidRPr="00A81D21">
        <w:rPr>
          <w:rFonts w:ascii="Palatino Linotype" w:hAnsi="Palatino Linotype" w:cs="Arial"/>
          <w:bCs/>
          <w:sz w:val="24"/>
          <w:szCs w:val="24"/>
          <w:lang w:eastAsia="es-MX"/>
        </w:rPr>
        <w:t>De manera complementaria, la representación impresa además debe contener los requisitos contenidos en la Resolución Miscelánea Vigente:</w:t>
      </w:r>
    </w:p>
    <w:p w14:paraId="6F9DCDA2" w14:textId="77777777" w:rsidR="006F373D" w:rsidRPr="00A81D21" w:rsidRDefault="006F373D" w:rsidP="0038610C">
      <w:pPr>
        <w:pStyle w:val="Prrafodelista"/>
        <w:numPr>
          <w:ilvl w:val="0"/>
          <w:numId w:val="4"/>
        </w:numPr>
        <w:spacing w:line="360" w:lineRule="auto"/>
        <w:ind w:right="901"/>
        <w:jc w:val="both"/>
        <w:rPr>
          <w:rFonts w:ascii="Palatino Linotype" w:hAnsi="Palatino Linotype" w:cs="Arial"/>
          <w:color w:val="000000"/>
          <w:lang w:val="es-ES_tradnl"/>
        </w:rPr>
      </w:pPr>
      <w:r w:rsidRPr="00A81D21">
        <w:rPr>
          <w:rFonts w:ascii="Palatino Linotype" w:hAnsi="Palatino Linotype" w:cs="Arial"/>
          <w:color w:val="000000"/>
          <w:lang w:val="es-ES_tradnl"/>
        </w:rPr>
        <w:t>Código de barras generado conforme al rubro I.D del Anexo 20 o el número de folio fiscal del comprobante.</w:t>
      </w:r>
    </w:p>
    <w:p w14:paraId="13E6BA83" w14:textId="77777777" w:rsidR="006F373D" w:rsidRPr="00A81D21" w:rsidRDefault="006F373D" w:rsidP="0038610C">
      <w:pPr>
        <w:pStyle w:val="Prrafodelista"/>
        <w:numPr>
          <w:ilvl w:val="0"/>
          <w:numId w:val="4"/>
        </w:numPr>
        <w:spacing w:line="360" w:lineRule="auto"/>
        <w:ind w:right="901"/>
        <w:jc w:val="both"/>
        <w:rPr>
          <w:rFonts w:ascii="Palatino Linotype" w:hAnsi="Palatino Linotype" w:cs="Arial"/>
          <w:color w:val="000000"/>
          <w:lang w:val="es-ES_tradnl"/>
        </w:rPr>
      </w:pPr>
      <w:r w:rsidRPr="00A81D21">
        <w:rPr>
          <w:rFonts w:ascii="Palatino Linotype" w:hAnsi="Palatino Linotype" w:cs="Arial"/>
          <w:color w:val="000000"/>
          <w:lang w:val="es-ES_tradnl"/>
        </w:rPr>
        <w:t>Número de serie del CSD del emisor y del SAT.</w:t>
      </w:r>
    </w:p>
    <w:p w14:paraId="158DF468" w14:textId="77777777" w:rsidR="006F373D" w:rsidRPr="00A81D21" w:rsidRDefault="006F373D" w:rsidP="0038610C">
      <w:pPr>
        <w:pStyle w:val="Prrafodelista"/>
        <w:numPr>
          <w:ilvl w:val="0"/>
          <w:numId w:val="4"/>
        </w:numPr>
        <w:spacing w:line="360" w:lineRule="auto"/>
        <w:ind w:right="901"/>
        <w:jc w:val="both"/>
        <w:rPr>
          <w:rFonts w:ascii="Palatino Linotype" w:hAnsi="Palatino Linotype" w:cs="Arial"/>
          <w:color w:val="000000"/>
          <w:lang w:val="es-ES_tradnl"/>
        </w:rPr>
      </w:pPr>
      <w:r w:rsidRPr="00A81D21">
        <w:rPr>
          <w:rFonts w:ascii="Palatino Linotype" w:hAnsi="Palatino Linotype" w:cs="Arial"/>
          <w:color w:val="000000"/>
          <w:lang w:val="es-ES_tradnl"/>
        </w:rPr>
        <w:t>La leyenda “Este documento es una representación impresa de un CFDI”.</w:t>
      </w:r>
    </w:p>
    <w:p w14:paraId="01E5F1D5" w14:textId="77777777" w:rsidR="006F373D" w:rsidRPr="00A81D21" w:rsidRDefault="006F373D" w:rsidP="0038610C">
      <w:pPr>
        <w:pStyle w:val="Prrafodelista"/>
        <w:numPr>
          <w:ilvl w:val="0"/>
          <w:numId w:val="4"/>
        </w:numPr>
        <w:spacing w:line="360" w:lineRule="auto"/>
        <w:ind w:right="901"/>
        <w:jc w:val="both"/>
        <w:rPr>
          <w:rFonts w:ascii="Palatino Linotype" w:hAnsi="Palatino Linotype" w:cs="Arial"/>
          <w:color w:val="000000"/>
          <w:lang w:val="es-ES_tradnl"/>
        </w:rPr>
      </w:pPr>
      <w:r w:rsidRPr="00A81D21">
        <w:rPr>
          <w:rFonts w:ascii="Palatino Linotype" w:hAnsi="Palatino Linotype" w:cs="Arial"/>
          <w:color w:val="000000"/>
          <w:lang w:val="es-ES_tradnl"/>
        </w:rPr>
        <w:t>Fecha y hora de emisión y de certificación de la Factura en adición a lo señalado en el artículo 29-A, fracción III del CFF.</w:t>
      </w:r>
    </w:p>
    <w:p w14:paraId="37C3D74A" w14:textId="12AF85E6" w:rsidR="006F373D" w:rsidRPr="00A81D21" w:rsidRDefault="006F373D" w:rsidP="0038610C">
      <w:pPr>
        <w:pStyle w:val="Prrafodelista"/>
        <w:numPr>
          <w:ilvl w:val="0"/>
          <w:numId w:val="4"/>
        </w:numPr>
        <w:spacing w:line="360" w:lineRule="auto"/>
        <w:jc w:val="both"/>
        <w:rPr>
          <w:rFonts w:ascii="Palatino Linotype" w:hAnsi="Palatino Linotype"/>
        </w:rPr>
      </w:pPr>
      <w:r w:rsidRPr="00A81D21">
        <w:rPr>
          <w:rFonts w:ascii="Palatino Linotype" w:hAnsi="Palatino Linotype" w:cs="Arial"/>
          <w:color w:val="000000"/>
          <w:lang w:val="es-ES_tradnl"/>
        </w:rPr>
        <w:t xml:space="preserve">Cadena original del complemento de certificación digital del </w:t>
      </w:r>
      <w:r w:rsidRPr="00A81D21">
        <w:rPr>
          <w:rFonts w:ascii="Palatino Linotype" w:hAnsi="Palatino Linotype" w:cs="Arial"/>
          <w:b/>
          <w:bCs/>
          <w:color w:val="000000"/>
          <w:lang w:val="es-ES_tradnl"/>
        </w:rPr>
        <w:t>SAT.</w:t>
      </w:r>
    </w:p>
    <w:bookmarkEnd w:id="0"/>
    <w:p w14:paraId="7A82003C" w14:textId="1C4ED187" w:rsidR="00A6185A" w:rsidRPr="00A81D21" w:rsidRDefault="00CD783C" w:rsidP="00A6185A">
      <w:pPr>
        <w:spacing w:line="360" w:lineRule="auto"/>
        <w:jc w:val="both"/>
        <w:rPr>
          <w:rFonts w:ascii="Palatino Linotype" w:hAnsi="Palatino Linotype" w:cs="Arial"/>
          <w:sz w:val="24"/>
          <w:szCs w:val="24"/>
        </w:rPr>
      </w:pPr>
      <w:r w:rsidRPr="00A81D21">
        <w:rPr>
          <w:rFonts w:ascii="Palatino Linotype" w:hAnsi="Palatino Linotype"/>
          <w:sz w:val="24"/>
          <w:szCs w:val="24"/>
        </w:rPr>
        <w:lastRenderedPageBreak/>
        <w:t xml:space="preserve">Con base en lo anteriormente expuesto, se desprende que la esfera competencial del </w:t>
      </w:r>
      <w:r w:rsidRPr="00A81D21">
        <w:rPr>
          <w:rFonts w:ascii="Palatino Linotype" w:hAnsi="Palatino Linotype"/>
          <w:b/>
          <w:bCs/>
          <w:sz w:val="24"/>
          <w:szCs w:val="24"/>
        </w:rPr>
        <w:t xml:space="preserve">Sujeto Obligado </w:t>
      </w:r>
      <w:r w:rsidRPr="00A81D21">
        <w:rPr>
          <w:rFonts w:ascii="Palatino Linotype" w:hAnsi="Palatino Linotype"/>
          <w:sz w:val="24"/>
          <w:szCs w:val="24"/>
        </w:rPr>
        <w:t xml:space="preserve">le constriñe a generar, poseer y administrar la información requerida. </w:t>
      </w:r>
      <w:r w:rsidR="00A6185A" w:rsidRPr="00A81D21">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4FF335" w14:textId="77777777" w:rsidR="00A6185A" w:rsidRPr="00A81D21" w:rsidRDefault="00A6185A" w:rsidP="00A6185A">
      <w:pPr>
        <w:pStyle w:val="Citas"/>
      </w:pPr>
      <w:r w:rsidRPr="00A81D21">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Pr="00A81D21" w:rsidRDefault="00A6185A" w:rsidP="00A6185A">
      <w:pPr>
        <w:pStyle w:val="Citas"/>
      </w:pPr>
      <w:r w:rsidRPr="00A81D21">
        <w:t xml:space="preserve">Artículo 19. Se presume que la información debe existir si se refiere a las facultades, competencias y funciones que los ordenamientos jurídicos aplicables otorgan a los sujetos obligados. </w:t>
      </w:r>
    </w:p>
    <w:p w14:paraId="45904A7D" w14:textId="77777777" w:rsidR="00A6185A" w:rsidRPr="00A81D21" w:rsidRDefault="00A6185A" w:rsidP="00A6185A">
      <w:pPr>
        <w:pStyle w:val="Citas"/>
      </w:pPr>
      <w:r w:rsidRPr="00A81D21">
        <w:t xml:space="preserve">En los casos en que ciertas facultades, competencias o funciones no se hayan ejercido, se debe motivar la respuesta en función de las causas que motiven tal circunstancia. </w:t>
      </w:r>
    </w:p>
    <w:p w14:paraId="4B867E4B" w14:textId="77777777" w:rsidR="00A6185A" w:rsidRPr="00A81D21" w:rsidRDefault="00A6185A" w:rsidP="00A6185A">
      <w:pPr>
        <w:pStyle w:val="Citas"/>
        <w:rPr>
          <w:b/>
          <w:bCs/>
          <w:sz w:val="24"/>
          <w:szCs w:val="24"/>
        </w:rPr>
      </w:pPr>
      <w:r w:rsidRPr="00A81D21">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A81D21">
        <w:rPr>
          <w:b/>
          <w:bCs/>
        </w:rPr>
        <w:t>(Sic)</w:t>
      </w:r>
    </w:p>
    <w:p w14:paraId="74B18D02" w14:textId="77777777" w:rsidR="00DD604B" w:rsidRPr="00A81D21" w:rsidRDefault="00DD604B" w:rsidP="00A6185A">
      <w:pPr>
        <w:spacing w:after="240" w:line="360" w:lineRule="auto"/>
        <w:jc w:val="both"/>
        <w:rPr>
          <w:rFonts w:ascii="Palatino Linotype" w:hAnsi="Palatino Linotype" w:cs="Arial"/>
          <w:color w:val="000000"/>
          <w:sz w:val="24"/>
          <w:lang w:val="es-ES_tradnl"/>
        </w:rPr>
      </w:pPr>
    </w:p>
    <w:p w14:paraId="4B97DDA1" w14:textId="0ECF49FF" w:rsidR="00DD604B" w:rsidRPr="00A81D21" w:rsidRDefault="00A6185A" w:rsidP="00A6185A">
      <w:pPr>
        <w:spacing w:after="240" w:line="360" w:lineRule="auto"/>
        <w:jc w:val="both"/>
        <w:rPr>
          <w:rFonts w:ascii="Palatino Linotype" w:hAnsi="Palatino Linotype" w:cs="Arial"/>
          <w:color w:val="000000"/>
          <w:sz w:val="24"/>
          <w:lang w:val="es-ES_tradnl"/>
        </w:rPr>
      </w:pPr>
      <w:r w:rsidRPr="00A81D21">
        <w:rPr>
          <w:rFonts w:ascii="Palatino Linotype" w:hAnsi="Palatino Linotype" w:cs="Arial"/>
          <w:color w:val="000000"/>
          <w:sz w:val="24"/>
          <w:lang w:val="es-ES_tradnl"/>
        </w:rPr>
        <w:t xml:space="preserve">Una vez sentado lo anterior, como se mencionó en el antecedente segundo, </w:t>
      </w:r>
      <w:r w:rsidRPr="00A81D21">
        <w:rPr>
          <w:rFonts w:ascii="Palatino Linotype" w:hAnsi="Palatino Linotype" w:cs="Arial"/>
          <w:b/>
          <w:color w:val="000000"/>
          <w:sz w:val="24"/>
          <w:lang w:val="es-ES_tradnl"/>
        </w:rPr>
        <w:t xml:space="preserve">El Sujeto Obligado </w:t>
      </w:r>
      <w:r w:rsidRPr="00A81D21">
        <w:rPr>
          <w:rFonts w:ascii="Palatino Linotype" w:hAnsi="Palatino Linotype" w:cs="Arial"/>
          <w:color w:val="000000"/>
          <w:sz w:val="24"/>
          <w:lang w:val="es-ES_tradnl"/>
        </w:rPr>
        <w:t xml:space="preserve">en fecha </w:t>
      </w:r>
      <w:r w:rsidR="00DD604B" w:rsidRPr="00A81D21">
        <w:rPr>
          <w:rFonts w:ascii="Palatino Linotype" w:hAnsi="Palatino Linotype" w:cs="Arial"/>
          <w:b/>
          <w:bCs/>
          <w:color w:val="000000"/>
          <w:sz w:val="24"/>
          <w:lang w:val="es-ES_tradnl"/>
        </w:rPr>
        <w:t xml:space="preserve">diez de marzo de dos mil veinticinco, </w:t>
      </w:r>
      <w:r w:rsidR="00DD604B" w:rsidRPr="00A81D21">
        <w:rPr>
          <w:rFonts w:ascii="Palatino Linotype" w:hAnsi="Palatino Linotype" w:cs="Arial"/>
          <w:color w:val="000000"/>
          <w:sz w:val="24"/>
          <w:lang w:val="es-ES_tradnl"/>
        </w:rPr>
        <w:t xml:space="preserve">rindió su respuesta a la </w:t>
      </w:r>
      <w:r w:rsidR="00DD604B" w:rsidRPr="00A81D21">
        <w:rPr>
          <w:rFonts w:ascii="Palatino Linotype" w:hAnsi="Palatino Linotype" w:cs="Arial"/>
          <w:color w:val="000000"/>
          <w:sz w:val="24"/>
          <w:lang w:val="es-ES_tradnl"/>
        </w:rPr>
        <w:lastRenderedPageBreak/>
        <w:t>solicitud de información formulada por el particular, adjuntando para tal efecto lo siguiente:</w:t>
      </w:r>
    </w:p>
    <w:p w14:paraId="2A3C90DE" w14:textId="37986872" w:rsidR="00DD604B" w:rsidRPr="00A81D21" w:rsidRDefault="00DD604B" w:rsidP="0038610C">
      <w:pPr>
        <w:pStyle w:val="Prrafodelista"/>
        <w:numPr>
          <w:ilvl w:val="0"/>
          <w:numId w:val="8"/>
        </w:numPr>
        <w:spacing w:after="240" w:line="360" w:lineRule="auto"/>
        <w:jc w:val="both"/>
        <w:rPr>
          <w:rFonts w:ascii="Palatino Linotype" w:hAnsi="Palatino Linotype" w:cs="Arial"/>
          <w:b/>
          <w:bCs/>
          <w:color w:val="000000"/>
          <w:lang w:val="es-ES_tradnl"/>
        </w:rPr>
      </w:pPr>
      <w:r w:rsidRPr="00A81D21">
        <w:rPr>
          <w:rFonts w:ascii="Palatino Linotype" w:hAnsi="Palatino Linotype" w:cs="Arial"/>
          <w:b/>
          <w:bCs/>
          <w:color w:val="000000"/>
          <w:lang w:val="es-ES_tradnl"/>
        </w:rPr>
        <w:t xml:space="preserve">“Respuesta 00107.pdf”: </w:t>
      </w:r>
      <w:r w:rsidRPr="00A81D21">
        <w:rPr>
          <w:rFonts w:ascii="Palatino Linotype" w:hAnsi="Palatino Linotype" w:cs="Arial"/>
          <w:color w:val="000000"/>
          <w:lang w:val="es-ES_tradnl"/>
        </w:rPr>
        <w:t xml:space="preserve">Oficio sin número, signado por la tesorera municipal, dirigido a quien corresponda, en términos generales refiere que el pago </w:t>
      </w:r>
      <w:r w:rsidR="006D0201" w:rsidRPr="00A81D21">
        <w:rPr>
          <w:rFonts w:ascii="Palatino Linotype" w:hAnsi="Palatino Linotype" w:cs="Arial"/>
          <w:color w:val="000000"/>
          <w:lang w:val="es-ES_tradnl"/>
        </w:rPr>
        <w:t xml:space="preserve">de copias certificadas </w:t>
      </w:r>
      <w:r w:rsidRPr="00A81D21">
        <w:rPr>
          <w:rFonts w:ascii="Palatino Linotype" w:hAnsi="Palatino Linotype" w:cs="Arial"/>
          <w:color w:val="000000"/>
          <w:lang w:val="es-ES_tradnl"/>
        </w:rPr>
        <w:t xml:space="preserve">deberá de realizarse en la tesorería municipal. </w:t>
      </w:r>
    </w:p>
    <w:p w14:paraId="2B017D5B" w14:textId="77777777" w:rsidR="006D0201" w:rsidRPr="00A81D21" w:rsidRDefault="006D0201" w:rsidP="00A6185A">
      <w:pPr>
        <w:spacing w:after="240" w:line="360" w:lineRule="auto"/>
        <w:jc w:val="both"/>
        <w:rPr>
          <w:rFonts w:ascii="Palatino Linotype" w:hAnsi="Palatino Linotype" w:cs="Arial"/>
          <w:color w:val="000000"/>
          <w:sz w:val="24"/>
          <w:lang w:val="es-ES_tradnl"/>
        </w:rPr>
      </w:pPr>
    </w:p>
    <w:p w14:paraId="3DF5E4A7" w14:textId="6CEBBEBE" w:rsidR="00B6625A" w:rsidRPr="00A81D21" w:rsidRDefault="005A4C25" w:rsidP="00A6185A">
      <w:pPr>
        <w:spacing w:after="240" w:line="360" w:lineRule="auto"/>
        <w:jc w:val="both"/>
        <w:rPr>
          <w:rFonts w:ascii="Palatino Linotype" w:hAnsi="Palatino Linotype" w:cs="Arial"/>
          <w:b/>
          <w:bCs/>
          <w:color w:val="000000"/>
          <w:sz w:val="24"/>
          <w:lang w:val="es-ES_tradnl"/>
        </w:rPr>
      </w:pPr>
      <w:r w:rsidRPr="00A81D21">
        <w:rPr>
          <w:rFonts w:ascii="Palatino Linotype" w:hAnsi="Palatino Linotype" w:cs="Arial"/>
          <w:color w:val="000000"/>
          <w:sz w:val="24"/>
          <w:lang w:val="es-ES_tradnl"/>
        </w:rPr>
        <w:t xml:space="preserve">De ahí que deba arribarse a la premisa de que </w:t>
      </w:r>
      <w:r w:rsidRPr="00A81D21">
        <w:rPr>
          <w:rFonts w:ascii="Palatino Linotype" w:hAnsi="Palatino Linotype" w:cs="Arial"/>
          <w:b/>
          <w:bCs/>
          <w:color w:val="000000"/>
          <w:sz w:val="24"/>
          <w:lang w:val="es-ES_tradnl"/>
        </w:rPr>
        <w:t>El Sujeto Obligado</w:t>
      </w:r>
      <w:r w:rsidR="00DD604B" w:rsidRPr="00A81D21">
        <w:rPr>
          <w:rFonts w:ascii="Palatino Linotype" w:hAnsi="Palatino Linotype" w:cs="Arial"/>
          <w:b/>
          <w:bCs/>
          <w:color w:val="000000"/>
          <w:sz w:val="24"/>
          <w:lang w:val="es-ES_tradnl"/>
        </w:rPr>
        <w:t>:</w:t>
      </w:r>
    </w:p>
    <w:p w14:paraId="3687B082" w14:textId="28A3BA9A" w:rsidR="00DD604B" w:rsidRPr="00A81D21" w:rsidRDefault="00DD604B" w:rsidP="0038610C">
      <w:pPr>
        <w:pStyle w:val="Prrafodelista"/>
        <w:numPr>
          <w:ilvl w:val="0"/>
          <w:numId w:val="7"/>
        </w:numPr>
        <w:spacing w:line="360" w:lineRule="auto"/>
        <w:jc w:val="both"/>
        <w:rPr>
          <w:rFonts w:ascii="Palatino Linotype" w:hAnsi="Palatino Linotype"/>
          <w:lang w:val="es-ES_tradnl"/>
        </w:rPr>
      </w:pPr>
      <w:r w:rsidRPr="00A81D21">
        <w:rPr>
          <w:rFonts w:ascii="Palatino Linotype" w:hAnsi="Palatino Linotype"/>
          <w:lang w:val="es-ES_tradnl"/>
        </w:rPr>
        <w:t>Que fue señalado el lugar (dirección) para realizar el pago.</w:t>
      </w:r>
    </w:p>
    <w:p w14:paraId="6EBF1ACD" w14:textId="77777777" w:rsidR="00DD604B" w:rsidRPr="00A81D21" w:rsidRDefault="00DD604B" w:rsidP="00DD604B">
      <w:pPr>
        <w:pStyle w:val="Prrafodelista"/>
        <w:spacing w:line="360" w:lineRule="auto"/>
        <w:ind w:left="720"/>
        <w:jc w:val="both"/>
        <w:rPr>
          <w:rFonts w:ascii="Palatino Linotype" w:hAnsi="Palatino Linotype"/>
          <w:lang w:val="es-ES_tradnl"/>
        </w:rPr>
      </w:pPr>
    </w:p>
    <w:p w14:paraId="590BED4C" w14:textId="5C225742" w:rsidR="00DD604B" w:rsidRPr="00A81D21" w:rsidRDefault="00DD604B" w:rsidP="0038610C">
      <w:pPr>
        <w:pStyle w:val="Prrafodelista"/>
        <w:numPr>
          <w:ilvl w:val="0"/>
          <w:numId w:val="7"/>
        </w:numPr>
        <w:spacing w:line="360" w:lineRule="auto"/>
        <w:jc w:val="both"/>
        <w:rPr>
          <w:rFonts w:ascii="Palatino Linotype" w:hAnsi="Palatino Linotype"/>
          <w:lang w:val="es-ES_tradnl"/>
        </w:rPr>
      </w:pPr>
      <w:r w:rsidRPr="00A81D21">
        <w:rPr>
          <w:rFonts w:ascii="Palatino Linotype" w:hAnsi="Palatino Linotype"/>
          <w:lang w:val="es-ES_tradnl"/>
        </w:rPr>
        <w:t xml:space="preserve">Que no fue precisado el nombre del servidor público comisionado a efecto de brindar atención al particular. </w:t>
      </w:r>
    </w:p>
    <w:p w14:paraId="5EE19601" w14:textId="77777777" w:rsidR="00DD604B" w:rsidRPr="00A81D21" w:rsidRDefault="00DD604B" w:rsidP="00DD604B">
      <w:pPr>
        <w:pStyle w:val="Prrafodelista"/>
        <w:rPr>
          <w:rFonts w:ascii="Palatino Linotype" w:hAnsi="Palatino Linotype"/>
          <w:lang w:val="es-ES_tradnl"/>
        </w:rPr>
      </w:pPr>
    </w:p>
    <w:p w14:paraId="0F448A92" w14:textId="3777FEFF" w:rsidR="00DD604B" w:rsidRPr="00A81D21" w:rsidRDefault="00DD604B" w:rsidP="0038610C">
      <w:pPr>
        <w:pStyle w:val="Prrafodelista"/>
        <w:numPr>
          <w:ilvl w:val="0"/>
          <w:numId w:val="7"/>
        </w:numPr>
        <w:spacing w:line="360" w:lineRule="auto"/>
        <w:jc w:val="both"/>
        <w:rPr>
          <w:lang w:val="es-ES_tradnl"/>
        </w:rPr>
      </w:pPr>
      <w:r w:rsidRPr="00A81D21">
        <w:rPr>
          <w:rFonts w:ascii="Palatino Linotype" w:hAnsi="Palatino Linotype"/>
          <w:lang w:val="es-ES_tradnl"/>
        </w:rPr>
        <w:t xml:space="preserve">Que </w:t>
      </w:r>
      <w:r w:rsidR="006D0201" w:rsidRPr="00A81D21">
        <w:rPr>
          <w:rFonts w:ascii="Palatino Linotype" w:hAnsi="Palatino Linotype"/>
          <w:lang w:val="es-ES_tradnl"/>
        </w:rPr>
        <w:t>en términos del numeral 73 fracción I del Código Financiero del Estado de México y Municipios fue precisado el costo por la primera hoja y subsecuentes. Sin embargo, no fue precisado el número total de fojas a las cuales asciende la información e incluso el costo total</w:t>
      </w:r>
      <w:r w:rsidR="0091302F" w:rsidRPr="00A81D21">
        <w:rPr>
          <w:rFonts w:ascii="Palatino Linotype" w:hAnsi="Palatino Linotype"/>
          <w:lang w:val="es-ES_tradnl"/>
        </w:rPr>
        <w:t xml:space="preserve"> de las copias certificadas. </w:t>
      </w:r>
    </w:p>
    <w:p w14:paraId="154CF18B" w14:textId="77777777" w:rsidR="006D0201" w:rsidRPr="00A81D21" w:rsidRDefault="006D0201" w:rsidP="006D0201">
      <w:pPr>
        <w:pStyle w:val="Prrafodelista"/>
        <w:rPr>
          <w:lang w:val="es-ES_tradnl"/>
        </w:rPr>
      </w:pPr>
    </w:p>
    <w:p w14:paraId="6A85424A" w14:textId="01BC36DA" w:rsidR="006D0201" w:rsidRPr="00A81D21" w:rsidRDefault="006D0201" w:rsidP="0038610C">
      <w:pPr>
        <w:pStyle w:val="Prrafodelista"/>
        <w:numPr>
          <w:ilvl w:val="0"/>
          <w:numId w:val="7"/>
        </w:numPr>
        <w:spacing w:line="360" w:lineRule="auto"/>
        <w:jc w:val="both"/>
        <w:rPr>
          <w:rFonts w:ascii="Palatino Linotype" w:hAnsi="Palatino Linotype"/>
          <w:lang w:val="es-ES_tradnl"/>
        </w:rPr>
      </w:pPr>
      <w:r w:rsidRPr="00A81D21">
        <w:rPr>
          <w:rFonts w:ascii="Palatino Linotype" w:hAnsi="Palatino Linotype"/>
          <w:lang w:val="es-ES_tradnl"/>
        </w:rPr>
        <w:t xml:space="preserve">Que no fue tomada en consideración la modalidad relativa </w:t>
      </w:r>
      <w:r w:rsidRPr="00A81D21">
        <w:rPr>
          <w:rFonts w:ascii="Palatino Linotype" w:hAnsi="Palatino Linotype"/>
          <w:i/>
          <w:iCs/>
          <w:lang w:val="es-ES_tradnl"/>
        </w:rPr>
        <w:t xml:space="preserve">“A través del SAIMEX”, </w:t>
      </w:r>
      <w:r w:rsidRPr="00A81D21">
        <w:rPr>
          <w:rFonts w:ascii="Palatino Linotype" w:hAnsi="Palatino Linotype"/>
          <w:lang w:val="es-ES_tradnl"/>
        </w:rPr>
        <w:t xml:space="preserve">dicho en otras palabras, se inobservó el numeral 164 de la Ley de Transparencia y Acceso a la Información Pública del Estado de México y Municipios. </w:t>
      </w:r>
    </w:p>
    <w:p w14:paraId="16D7F78B" w14:textId="77777777" w:rsidR="00DD604B" w:rsidRPr="00A81D21" w:rsidRDefault="00DD604B" w:rsidP="006D0201">
      <w:pPr>
        <w:pStyle w:val="Prrafodelista"/>
        <w:spacing w:after="240" w:line="360" w:lineRule="auto"/>
        <w:ind w:left="720"/>
        <w:jc w:val="both"/>
        <w:rPr>
          <w:rFonts w:ascii="Palatino Linotype" w:hAnsi="Palatino Linotype" w:cs="Arial"/>
          <w:color w:val="000000"/>
          <w:lang w:val="es-ES_tradnl"/>
        </w:rPr>
      </w:pPr>
    </w:p>
    <w:p w14:paraId="3D3A6DB1" w14:textId="0CDE504A" w:rsidR="006F373D" w:rsidRPr="00A81D21" w:rsidRDefault="004A7C3E" w:rsidP="004A7C3E">
      <w:pPr>
        <w:spacing w:before="240" w:line="360" w:lineRule="auto"/>
        <w:jc w:val="both"/>
        <w:rPr>
          <w:rFonts w:ascii="Palatino Linotype" w:hAnsi="Palatino Linotype"/>
          <w:sz w:val="24"/>
          <w:szCs w:val="24"/>
        </w:rPr>
      </w:pPr>
      <w:r w:rsidRPr="00A81D21">
        <w:rPr>
          <w:rFonts w:ascii="Palatino Linotype" w:hAnsi="Palatino Linotype"/>
          <w:sz w:val="24"/>
          <w:szCs w:val="24"/>
        </w:rPr>
        <w:lastRenderedPageBreak/>
        <w:t xml:space="preserve">Inconforme con la respuesta del </w:t>
      </w:r>
      <w:r w:rsidRPr="00A81D21">
        <w:rPr>
          <w:rFonts w:ascii="Palatino Linotype" w:hAnsi="Palatino Linotype"/>
          <w:b/>
          <w:bCs/>
          <w:sz w:val="24"/>
          <w:szCs w:val="24"/>
        </w:rPr>
        <w:t xml:space="preserve">Sujeto Obligado, El Recurrente </w:t>
      </w:r>
      <w:r w:rsidRPr="00A81D21">
        <w:rPr>
          <w:rFonts w:ascii="Palatino Linotype" w:hAnsi="Palatino Linotype"/>
          <w:sz w:val="24"/>
          <w:szCs w:val="24"/>
        </w:rPr>
        <w:t xml:space="preserve">interpuso recurso de revisión en fecha </w:t>
      </w:r>
      <w:r w:rsidR="006D0201" w:rsidRPr="00A81D21">
        <w:rPr>
          <w:rFonts w:ascii="Palatino Linotype" w:hAnsi="Palatino Linotype"/>
          <w:b/>
          <w:bCs/>
          <w:sz w:val="24"/>
          <w:szCs w:val="24"/>
        </w:rPr>
        <w:t xml:space="preserve">diez de </w:t>
      </w:r>
      <w:r w:rsidR="008C7637" w:rsidRPr="00A81D21">
        <w:rPr>
          <w:rFonts w:ascii="Palatino Linotype" w:hAnsi="Palatino Linotype"/>
          <w:b/>
          <w:bCs/>
          <w:sz w:val="24"/>
          <w:szCs w:val="24"/>
        </w:rPr>
        <w:t xml:space="preserve">marzo, </w:t>
      </w:r>
      <w:r w:rsidR="008C7637" w:rsidRPr="00A81D21">
        <w:rPr>
          <w:rFonts w:ascii="Palatino Linotype" w:hAnsi="Palatino Linotype"/>
          <w:sz w:val="24"/>
          <w:szCs w:val="24"/>
        </w:rPr>
        <w:t xml:space="preserve">admitiéndose el </w:t>
      </w:r>
      <w:r w:rsidR="008C7637" w:rsidRPr="00A81D21">
        <w:rPr>
          <w:rFonts w:ascii="Palatino Linotype" w:hAnsi="Palatino Linotype"/>
          <w:b/>
          <w:bCs/>
          <w:sz w:val="24"/>
          <w:szCs w:val="24"/>
        </w:rPr>
        <w:t xml:space="preserve">doce de marzo, ambos de dos mil veinticuatro. </w:t>
      </w:r>
      <w:r w:rsidR="006F373D" w:rsidRPr="00A81D21">
        <w:rPr>
          <w:rFonts w:ascii="Palatino Linotype" w:hAnsi="Palatino Linotype"/>
          <w:sz w:val="24"/>
          <w:szCs w:val="24"/>
        </w:rPr>
        <w:t>Señalando como acto impugnado y como razones o motivos de inconformidad:</w:t>
      </w:r>
    </w:p>
    <w:p w14:paraId="412D64BD" w14:textId="77777777" w:rsidR="008C7637" w:rsidRPr="00A81D21" w:rsidRDefault="008C7637" w:rsidP="008C7637">
      <w:pPr>
        <w:spacing w:before="240" w:line="360" w:lineRule="auto"/>
        <w:jc w:val="both"/>
        <w:rPr>
          <w:rFonts w:ascii="Palatino Linotype" w:hAnsi="Palatino Linotype" w:cs="Arial"/>
          <w:b/>
          <w:sz w:val="24"/>
        </w:rPr>
      </w:pPr>
      <w:r w:rsidRPr="00A81D21">
        <w:rPr>
          <w:rFonts w:ascii="Palatino Linotype" w:hAnsi="Palatino Linotype" w:cs="Arial"/>
          <w:b/>
          <w:sz w:val="24"/>
        </w:rPr>
        <w:t>Acto Impugnado:</w:t>
      </w:r>
    </w:p>
    <w:p w14:paraId="057E9050" w14:textId="77777777" w:rsidR="008C7637" w:rsidRPr="00A81D21" w:rsidRDefault="008C7637" w:rsidP="008C7637">
      <w:pPr>
        <w:pStyle w:val="Citas"/>
        <w:rPr>
          <w:b/>
          <w:bCs/>
          <w:sz w:val="24"/>
        </w:rPr>
      </w:pPr>
      <w:r w:rsidRPr="00A81D21">
        <w:t xml:space="preserve">“no hay información de lo que se le solicitó” </w:t>
      </w:r>
      <w:r w:rsidRPr="00A81D21">
        <w:rPr>
          <w:b/>
          <w:bCs/>
        </w:rPr>
        <w:t>(Sic)</w:t>
      </w:r>
    </w:p>
    <w:p w14:paraId="637304E2" w14:textId="77777777" w:rsidR="008C7637" w:rsidRPr="00A81D21" w:rsidRDefault="008C7637" w:rsidP="008C7637">
      <w:pPr>
        <w:spacing w:before="240" w:line="360" w:lineRule="auto"/>
        <w:jc w:val="both"/>
        <w:rPr>
          <w:rFonts w:ascii="Palatino Linotype" w:hAnsi="Palatino Linotype" w:cs="Arial"/>
          <w:sz w:val="24"/>
        </w:rPr>
      </w:pPr>
      <w:r w:rsidRPr="00A81D21">
        <w:rPr>
          <w:rFonts w:ascii="Palatino Linotype" w:hAnsi="Palatino Linotype" w:cs="Arial"/>
          <w:b/>
          <w:sz w:val="24"/>
        </w:rPr>
        <w:t>Razones o Motivos de Inconformidad</w:t>
      </w:r>
      <w:r w:rsidRPr="00A81D21">
        <w:rPr>
          <w:rFonts w:ascii="Palatino Linotype" w:hAnsi="Palatino Linotype" w:cs="Arial"/>
          <w:sz w:val="24"/>
        </w:rPr>
        <w:t xml:space="preserve">: </w:t>
      </w:r>
    </w:p>
    <w:p w14:paraId="4E8F384E" w14:textId="77777777" w:rsidR="008C7637" w:rsidRPr="00A81D21" w:rsidRDefault="008C7637" w:rsidP="008C7637">
      <w:pPr>
        <w:pStyle w:val="Citas"/>
        <w:rPr>
          <w:b/>
          <w:bCs/>
        </w:rPr>
      </w:pPr>
      <w:r w:rsidRPr="00A81D21">
        <w:t xml:space="preserve">“no entregan la Información, hasta que se pague” </w:t>
      </w:r>
      <w:r w:rsidRPr="00A81D21">
        <w:rPr>
          <w:b/>
          <w:bCs/>
        </w:rPr>
        <w:t>(Sic)</w:t>
      </w:r>
    </w:p>
    <w:p w14:paraId="4AEA5FE0" w14:textId="77777777" w:rsidR="008C7637" w:rsidRPr="00A81D21" w:rsidRDefault="008C7637" w:rsidP="001E20F2">
      <w:pPr>
        <w:pStyle w:val="infoemcitas"/>
        <w:tabs>
          <w:tab w:val="left" w:pos="7655"/>
        </w:tabs>
        <w:ind w:left="0" w:right="0"/>
        <w:rPr>
          <w:i w:val="0"/>
          <w:sz w:val="24"/>
          <w:szCs w:val="24"/>
        </w:rPr>
      </w:pPr>
    </w:p>
    <w:p w14:paraId="265DD76F" w14:textId="48E03A0E" w:rsidR="001E20F2" w:rsidRPr="00A81D21" w:rsidRDefault="001E20F2" w:rsidP="001E20F2">
      <w:pPr>
        <w:pStyle w:val="infoemcitas"/>
        <w:tabs>
          <w:tab w:val="left" w:pos="7655"/>
        </w:tabs>
        <w:ind w:left="0" w:right="0"/>
        <w:rPr>
          <w:rFonts w:cs="Arial"/>
          <w:i w:val="0"/>
          <w:noProof/>
          <w:color w:val="000000"/>
          <w:sz w:val="24"/>
          <w:lang w:eastAsia="es-MX"/>
        </w:rPr>
      </w:pPr>
      <w:r w:rsidRPr="00A81D21">
        <w:rPr>
          <w:i w:val="0"/>
          <w:sz w:val="24"/>
          <w:szCs w:val="24"/>
        </w:rPr>
        <w:t xml:space="preserve">Así las cosas, hasta aquí lo expuesto, resulta inconcuso que </w:t>
      </w:r>
      <w:r w:rsidRPr="00A81D21">
        <w:rPr>
          <w:b/>
          <w:i w:val="0"/>
          <w:sz w:val="24"/>
          <w:szCs w:val="24"/>
        </w:rPr>
        <w:t xml:space="preserve">El Sujeto Obligado </w:t>
      </w:r>
      <w:r w:rsidRPr="00A81D21">
        <w:rPr>
          <w:rFonts w:cs="Arial"/>
          <w:i w:val="0"/>
          <w:noProof/>
          <w:color w:val="000000"/>
          <w:sz w:val="24"/>
          <w:lang w:eastAsia="es-MX"/>
        </w:rPr>
        <w:t xml:space="preserve">no satisfizo el derecho de acceso a la información pública ejercido por </w:t>
      </w:r>
      <w:r w:rsidR="00AE403B" w:rsidRPr="00A81D21">
        <w:rPr>
          <w:rFonts w:cs="Arial"/>
          <w:b/>
          <w:i w:val="0"/>
          <w:noProof/>
          <w:color w:val="000000"/>
          <w:sz w:val="24"/>
          <w:lang w:eastAsia="es-MX"/>
        </w:rPr>
        <w:t>El</w:t>
      </w:r>
      <w:r w:rsidRPr="00A81D21">
        <w:rPr>
          <w:rFonts w:cs="Arial"/>
          <w:b/>
          <w:i w:val="0"/>
          <w:noProof/>
          <w:color w:val="000000"/>
          <w:sz w:val="24"/>
          <w:lang w:eastAsia="es-MX"/>
        </w:rPr>
        <w:t xml:space="preserve"> Recurrente, </w:t>
      </w:r>
      <w:r w:rsidRPr="00A81D21">
        <w:rPr>
          <w:rFonts w:cs="Arial"/>
          <w:i w:val="0"/>
          <w:noProof/>
          <w:color w:val="000000"/>
          <w:sz w:val="24"/>
          <w:lang w:eastAsia="es-MX"/>
        </w:rPr>
        <w:t xml:space="preserve">al tenerse por actualizada la hipotesis prevista en el artículo 179, fracciones I y </w:t>
      </w:r>
      <w:r w:rsidR="008C7637" w:rsidRPr="00A81D21">
        <w:rPr>
          <w:rFonts w:cs="Arial"/>
          <w:i w:val="0"/>
          <w:noProof/>
          <w:color w:val="000000"/>
          <w:sz w:val="24"/>
          <w:lang w:eastAsia="es-MX"/>
        </w:rPr>
        <w:t>X</w:t>
      </w:r>
      <w:r w:rsidRPr="00A81D21">
        <w:rPr>
          <w:rFonts w:cs="Arial"/>
          <w:i w:val="0"/>
          <w:noProof/>
          <w:color w:val="000000"/>
          <w:sz w:val="24"/>
          <w:lang w:eastAsia="es-MX"/>
        </w:rPr>
        <w:t xml:space="preserve"> de la Ley de Transparencia y Acceso a la Información Pública del Estado de México y Municipios, cuyo contenido literal es el siguiente:</w:t>
      </w:r>
    </w:p>
    <w:p w14:paraId="791E8C98" w14:textId="77777777" w:rsidR="001E20F2" w:rsidRPr="00A81D21" w:rsidRDefault="001E20F2" w:rsidP="001E20F2">
      <w:pPr>
        <w:pStyle w:val="Citas"/>
      </w:pPr>
      <w:r w:rsidRPr="00A81D21">
        <w:t>“Artículo 179. El recurso de revisión es un medio de protección que la Ley otorga a los particulares, para hacer valer su derecho de acceso a la información pública, y procederá en contra de las siguientes causas:</w:t>
      </w:r>
    </w:p>
    <w:p w14:paraId="2404AA2B" w14:textId="77777777" w:rsidR="001E20F2" w:rsidRPr="00A81D21" w:rsidRDefault="001E20F2" w:rsidP="001E20F2">
      <w:pPr>
        <w:pStyle w:val="Citas"/>
      </w:pPr>
      <w:r w:rsidRPr="00A81D21">
        <w:t>I. La negativa a la información solicitada;</w:t>
      </w:r>
    </w:p>
    <w:p w14:paraId="6200EC57" w14:textId="77777777" w:rsidR="001E20F2" w:rsidRPr="00A81D21" w:rsidRDefault="001E20F2" w:rsidP="001E20F2">
      <w:pPr>
        <w:pStyle w:val="Citas"/>
      </w:pPr>
      <w:r w:rsidRPr="00A81D21">
        <w:t>(…)</w:t>
      </w:r>
    </w:p>
    <w:p w14:paraId="6CD89BA3" w14:textId="77777777" w:rsidR="008C7637" w:rsidRPr="00A81D21" w:rsidRDefault="008C7637" w:rsidP="001E20F2">
      <w:pPr>
        <w:pStyle w:val="Citas"/>
      </w:pPr>
      <w:r w:rsidRPr="00A81D21">
        <w:t xml:space="preserve">X. Los costos o tiempos de entrega de la información; </w:t>
      </w:r>
    </w:p>
    <w:p w14:paraId="030F68DA" w14:textId="6016FC44" w:rsidR="001E20F2" w:rsidRPr="00A81D21" w:rsidRDefault="001E20F2" w:rsidP="001E20F2">
      <w:pPr>
        <w:pStyle w:val="Citas"/>
        <w:rPr>
          <w:b/>
          <w:bCs/>
          <w:noProof/>
          <w:color w:val="000000"/>
          <w:sz w:val="24"/>
          <w:lang w:eastAsia="es-MX"/>
        </w:rPr>
      </w:pPr>
      <w:r w:rsidRPr="00A81D21">
        <w:rPr>
          <w:noProof/>
          <w:color w:val="000000"/>
          <w:sz w:val="24"/>
          <w:lang w:eastAsia="es-MX"/>
        </w:rPr>
        <w:lastRenderedPageBreak/>
        <w:t xml:space="preserve">(…)” </w:t>
      </w:r>
      <w:r w:rsidRPr="00A81D21">
        <w:rPr>
          <w:b/>
          <w:bCs/>
          <w:noProof/>
          <w:color w:val="000000"/>
          <w:sz w:val="24"/>
          <w:lang w:eastAsia="es-MX"/>
        </w:rPr>
        <w:t>(Sic)</w:t>
      </w:r>
    </w:p>
    <w:p w14:paraId="086DDD7E" w14:textId="77777777" w:rsidR="001E20F2" w:rsidRPr="00A81D21" w:rsidRDefault="001E20F2" w:rsidP="001E20F2">
      <w:pPr>
        <w:pStyle w:val="Citas"/>
        <w:ind w:left="0"/>
        <w:rPr>
          <w:noProof/>
          <w:color w:val="000000"/>
          <w:sz w:val="24"/>
          <w:lang w:eastAsia="es-MX"/>
        </w:rPr>
      </w:pPr>
    </w:p>
    <w:p w14:paraId="1437D3FF" w14:textId="04EA48F4" w:rsidR="008C7637" w:rsidRPr="00A81D21" w:rsidRDefault="001E20F2" w:rsidP="008C7637">
      <w:pPr>
        <w:pStyle w:val="Citas"/>
        <w:ind w:left="0" w:right="0"/>
        <w:rPr>
          <w:sz w:val="24"/>
          <w:szCs w:val="24"/>
        </w:rPr>
      </w:pPr>
      <w:r w:rsidRPr="00A81D21">
        <w:rPr>
          <w:i w:val="0"/>
          <w:sz w:val="24"/>
          <w:szCs w:val="24"/>
        </w:rPr>
        <w:t xml:space="preserve">Por otra parte, como fue referido en el antecedente quinto, </w:t>
      </w:r>
      <w:r w:rsidRPr="00A81D21">
        <w:rPr>
          <w:b/>
          <w:bCs/>
          <w:i w:val="0"/>
          <w:sz w:val="24"/>
          <w:szCs w:val="24"/>
        </w:rPr>
        <w:t xml:space="preserve">El Sujeto Obligado </w:t>
      </w:r>
      <w:r w:rsidRPr="00A81D21">
        <w:rPr>
          <w:i w:val="0"/>
          <w:sz w:val="24"/>
          <w:szCs w:val="24"/>
        </w:rPr>
        <w:t xml:space="preserve">fue omiso en rendir su informe justificado, en este sentido, se comprende que fue omiso en subsanar la violación al derecho de acceso a la información pública, resultando procedente ordenar la </w:t>
      </w:r>
      <w:r w:rsidR="006F373D" w:rsidRPr="00A81D21">
        <w:rPr>
          <w:i w:val="0"/>
          <w:sz w:val="24"/>
          <w:szCs w:val="24"/>
        </w:rPr>
        <w:t xml:space="preserve">entrega </w:t>
      </w:r>
      <w:r w:rsidR="008C7637" w:rsidRPr="00A81D21">
        <w:rPr>
          <w:i w:val="0"/>
          <w:sz w:val="24"/>
          <w:szCs w:val="24"/>
        </w:rPr>
        <w:t>de</w:t>
      </w:r>
      <w:r w:rsidR="006F373D" w:rsidRPr="00A81D21">
        <w:rPr>
          <w:i w:val="0"/>
          <w:sz w:val="24"/>
          <w:szCs w:val="24"/>
        </w:rPr>
        <w:t xml:space="preserve"> </w:t>
      </w:r>
      <w:r w:rsidR="008C7637" w:rsidRPr="00A81D21">
        <w:rPr>
          <w:i w:val="0"/>
          <w:sz w:val="24"/>
          <w:szCs w:val="24"/>
        </w:rPr>
        <w:t>recibos, comprobantes de pago o CFDI expedidos a favor de los directores que conforman el organigrama 2025-2027, del periodo comprendido del uno al quince de febrero de dos mil veinticinco.</w:t>
      </w:r>
      <w:r w:rsidR="008C7637" w:rsidRPr="00A81D21">
        <w:rPr>
          <w:sz w:val="24"/>
          <w:szCs w:val="24"/>
        </w:rPr>
        <w:t xml:space="preserve"> </w:t>
      </w:r>
    </w:p>
    <w:p w14:paraId="3E01854D" w14:textId="3C1EFEA6" w:rsidR="008C7637" w:rsidRPr="00A81D21" w:rsidRDefault="008C7637" w:rsidP="008C7637">
      <w:pPr>
        <w:spacing w:before="240" w:after="240" w:line="360" w:lineRule="auto"/>
        <w:jc w:val="both"/>
        <w:rPr>
          <w:rFonts w:ascii="Palatino Linotype" w:hAnsi="Palatino Linotype"/>
          <w:i/>
          <w:iCs/>
          <w:sz w:val="24"/>
          <w:szCs w:val="24"/>
        </w:rPr>
      </w:pPr>
      <w:r w:rsidRPr="00A81D21">
        <w:rPr>
          <w:rFonts w:ascii="Palatino Linotype" w:hAnsi="Palatino Linotype"/>
          <w:sz w:val="24"/>
          <w:szCs w:val="24"/>
        </w:rPr>
        <w:t xml:space="preserve">Finalmente, con relación al extracto de la solicitud de información </w:t>
      </w:r>
      <w:r w:rsidRPr="00A81D21">
        <w:rPr>
          <w:rFonts w:ascii="Palatino Linotype" w:hAnsi="Palatino Linotype"/>
          <w:b/>
          <w:bCs/>
          <w:sz w:val="24"/>
          <w:szCs w:val="24"/>
        </w:rPr>
        <w:t xml:space="preserve">00107/COCOTIT/IP/2025 </w:t>
      </w:r>
      <w:r w:rsidRPr="00A81D21">
        <w:rPr>
          <w:rFonts w:ascii="Palatino Linotype" w:hAnsi="Palatino Linotype"/>
          <w:sz w:val="24"/>
          <w:szCs w:val="24"/>
        </w:rPr>
        <w:t xml:space="preserve">relativo a </w:t>
      </w:r>
      <w:r w:rsidRPr="00A81D21">
        <w:rPr>
          <w:rFonts w:ascii="Palatino Linotype" w:hAnsi="Palatino Linotype"/>
          <w:i/>
          <w:iCs/>
          <w:sz w:val="24"/>
          <w:szCs w:val="24"/>
        </w:rPr>
        <w:t xml:space="preserve">“copias certificadas de la…”, </w:t>
      </w:r>
      <w:r w:rsidRPr="00A81D21">
        <w:rPr>
          <w:rFonts w:ascii="Palatino Linotype" w:hAnsi="Palatino Linotype"/>
          <w:iCs/>
          <w:sz w:val="24"/>
          <w:szCs w:val="24"/>
        </w:rPr>
        <w:t xml:space="preserve">no debe pasarse por alto lo que la Ley de Transparencia y Acceso a la Información Pública del Estado de México y Municipios regula la forma de entregar la información de acuerdo a la modalidad elegida por </w:t>
      </w:r>
      <w:r w:rsidRPr="00A81D21">
        <w:rPr>
          <w:rFonts w:ascii="Palatino Linotype" w:hAnsi="Palatino Linotype"/>
          <w:b/>
          <w:bCs/>
          <w:iCs/>
          <w:sz w:val="24"/>
          <w:szCs w:val="24"/>
        </w:rPr>
        <w:t>El recurrente</w:t>
      </w:r>
      <w:r w:rsidRPr="00A81D21">
        <w:rPr>
          <w:rFonts w:ascii="Palatino Linotype" w:hAnsi="Palatino Linotype"/>
          <w:iCs/>
          <w:sz w:val="24"/>
          <w:szCs w:val="24"/>
        </w:rPr>
        <w:t xml:space="preserve"> y sus excepciones, sirviendo de sustento los artículos 9 fracción III, 164, 165 y 174 de la Ley citada, los cuales a la letra señalan:</w:t>
      </w:r>
    </w:p>
    <w:p w14:paraId="5B63B9C1" w14:textId="77777777" w:rsidR="008C7637" w:rsidRPr="00A81D21" w:rsidRDefault="008C7637" w:rsidP="008C7637">
      <w:pPr>
        <w:pStyle w:val="Citas"/>
      </w:pPr>
      <w:r w:rsidRPr="00A81D21">
        <w:t>“</w:t>
      </w:r>
      <w:r w:rsidRPr="00A81D21">
        <w:rPr>
          <w:b/>
        </w:rPr>
        <w:t>Artículo 9</w:t>
      </w:r>
      <w:r w:rsidRPr="00A81D21">
        <w:t xml:space="preserve">. El Instituto deberá regir su funcionamiento de acuerdo a los siguientes principios: </w:t>
      </w:r>
    </w:p>
    <w:p w14:paraId="1BDA18B4" w14:textId="77777777" w:rsidR="008C7637" w:rsidRPr="00A81D21" w:rsidRDefault="008C7637" w:rsidP="008C7637">
      <w:pPr>
        <w:pStyle w:val="Citas"/>
      </w:pPr>
      <w:r w:rsidRPr="00A81D21">
        <w:t>(…)</w:t>
      </w:r>
    </w:p>
    <w:p w14:paraId="18F260F9" w14:textId="77777777" w:rsidR="008C7637" w:rsidRPr="00A81D21" w:rsidRDefault="008C7637" w:rsidP="008C7637">
      <w:pPr>
        <w:pStyle w:val="Citas"/>
      </w:pPr>
      <w:r w:rsidRPr="00A81D21">
        <w:t>III.</w:t>
      </w:r>
      <w:r w:rsidRPr="00A81D21">
        <w:tab/>
      </w:r>
      <w:r w:rsidRPr="00A81D21">
        <w:rPr>
          <w:b/>
        </w:rPr>
        <w:t>Gratuidad</w:t>
      </w:r>
      <w:r w:rsidRPr="00A81D21">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257EF10C" w14:textId="77777777" w:rsidR="008C7637" w:rsidRPr="00A81D21" w:rsidRDefault="008C7637" w:rsidP="008C7637">
      <w:pPr>
        <w:pStyle w:val="Citas"/>
        <w:rPr>
          <w:bCs/>
        </w:rPr>
      </w:pPr>
      <w:r w:rsidRPr="00A81D21">
        <w:rPr>
          <w:bCs/>
        </w:rPr>
        <w:lastRenderedPageBreak/>
        <w:t>(…)</w:t>
      </w:r>
    </w:p>
    <w:p w14:paraId="11F222DE" w14:textId="77777777" w:rsidR="008C7637" w:rsidRPr="00A81D21" w:rsidRDefault="008C7637" w:rsidP="008C7637">
      <w:pPr>
        <w:pStyle w:val="Citas"/>
      </w:pPr>
      <w:r w:rsidRPr="00A81D21">
        <w:rPr>
          <w:b/>
        </w:rPr>
        <w:t>Artículo 164.</w:t>
      </w:r>
      <w:r w:rsidRPr="00A81D21">
        <w:t xml:space="preserve"> </w:t>
      </w:r>
      <w:r w:rsidRPr="00A81D21">
        <w:rPr>
          <w:b/>
          <w:bCs/>
          <w:u w:val="single"/>
        </w:rPr>
        <w:t>El acceso se dará en la modalidad de entrega</w:t>
      </w:r>
      <w:r w:rsidRPr="00A81D21">
        <w:rPr>
          <w:b/>
          <w:bCs/>
        </w:rPr>
        <w:t xml:space="preserve"> y, en su caso, de envío </w:t>
      </w:r>
      <w:r w:rsidRPr="00A81D21">
        <w:rPr>
          <w:b/>
          <w:bCs/>
          <w:u w:val="single"/>
        </w:rPr>
        <w:t>elegidos por el solicitante</w:t>
      </w:r>
      <w:r w:rsidRPr="00A81D21">
        <w:rPr>
          <w:b/>
          <w:bCs/>
        </w:rPr>
        <w:t>.</w:t>
      </w:r>
      <w:r w:rsidRPr="00A81D21">
        <w:t xml:space="preserve"> Cuando la información no pueda entregarse o enviarse en la modalidad solicitada, el sujeto obligado deberá ofrecer otra u otras modalidades de entrega. </w:t>
      </w:r>
    </w:p>
    <w:p w14:paraId="11305965" w14:textId="77777777" w:rsidR="008C7637" w:rsidRPr="00A81D21" w:rsidRDefault="008C7637" w:rsidP="008C7637">
      <w:pPr>
        <w:pStyle w:val="Citas"/>
      </w:pPr>
      <w:r w:rsidRPr="00A81D21">
        <w:t>En cualquier caso, se deberá fundar y motivar la necesidad de ofrecer otras modalidades.</w:t>
      </w:r>
    </w:p>
    <w:p w14:paraId="06E23AC2" w14:textId="77777777" w:rsidR="008C7637" w:rsidRPr="00A81D21" w:rsidRDefault="008C7637" w:rsidP="008C7637">
      <w:pPr>
        <w:pStyle w:val="Citas"/>
      </w:pPr>
      <w:r w:rsidRPr="00A81D21">
        <w:rPr>
          <w:b/>
        </w:rPr>
        <w:t>Artículo 165</w:t>
      </w:r>
      <w:r w:rsidRPr="00A81D21">
        <w:t xml:space="preserve">. Los sujetos obligados establecerán la forma y términos en que darán trámite interno a las solicitudes en materia de acceso a la información. </w:t>
      </w:r>
    </w:p>
    <w:p w14:paraId="2FF4C765" w14:textId="77777777" w:rsidR="008C7637" w:rsidRPr="00A81D21" w:rsidRDefault="008C7637" w:rsidP="008C7637">
      <w:pPr>
        <w:pStyle w:val="Citas"/>
      </w:pPr>
      <w:r w:rsidRPr="00A81D21">
        <w:t xml:space="preserve">La información que se entregue en versión pública, cuya modalidad de reproducción o envío tenga un costo, procederá una vez que se acredite el pago respectivo. No puede entenderse como reproducción la elaboración de la misma. </w:t>
      </w:r>
    </w:p>
    <w:p w14:paraId="5C9239E4" w14:textId="77777777" w:rsidR="008C7637" w:rsidRPr="00A81D21" w:rsidRDefault="008C7637" w:rsidP="008C7637">
      <w:pPr>
        <w:pStyle w:val="Citas"/>
      </w:pPr>
      <w:r w:rsidRPr="00A81D21">
        <w:t xml:space="preserve">Ante la falta de respuesta a una solicitud en el plazo previsto y en caso de que proceda el acceso, los costos de reproducción y envío correrán a cargo del sujeto obligado. </w:t>
      </w:r>
    </w:p>
    <w:p w14:paraId="70C3D59D" w14:textId="77777777" w:rsidR="008C7637" w:rsidRPr="00A81D21" w:rsidRDefault="008C7637" w:rsidP="008C7637">
      <w:pPr>
        <w:pStyle w:val="Citas"/>
      </w:pPr>
      <w:r w:rsidRPr="00A81D21">
        <w:rPr>
          <w:b/>
        </w:rPr>
        <w:t>Artículo 174</w:t>
      </w:r>
      <w:r w:rsidRPr="00A81D21">
        <w:t xml:space="preserve">. </w:t>
      </w:r>
      <w:r w:rsidRPr="00A81D21">
        <w:rPr>
          <w:u w:val="single"/>
        </w:rPr>
        <w:t>En caso de existir costos para obtener la información deberán cubrirse de manera previa a la entrega</w:t>
      </w:r>
      <w:r w:rsidRPr="00A81D21">
        <w:t xml:space="preserve"> y no podrán ser superiores a la suma de: </w:t>
      </w:r>
    </w:p>
    <w:p w14:paraId="23E6D68E" w14:textId="77777777" w:rsidR="008C7637" w:rsidRPr="00A81D21" w:rsidRDefault="008C7637" w:rsidP="008C7637">
      <w:pPr>
        <w:pStyle w:val="Citas"/>
      </w:pPr>
      <w:r w:rsidRPr="00A81D21">
        <w:t xml:space="preserve">I. </w:t>
      </w:r>
      <w:r w:rsidRPr="00A81D21">
        <w:tab/>
        <w:t xml:space="preserve">El costo de los materiales utilizados en la reproducción de la información; </w:t>
      </w:r>
    </w:p>
    <w:p w14:paraId="69C1DC6D" w14:textId="77777777" w:rsidR="008C7637" w:rsidRPr="00A81D21" w:rsidRDefault="008C7637" w:rsidP="008C7637">
      <w:pPr>
        <w:pStyle w:val="Citas"/>
      </w:pPr>
      <w:r w:rsidRPr="00A81D21">
        <w:t>II.</w:t>
      </w:r>
      <w:r w:rsidRPr="00A81D21">
        <w:tab/>
        <w:t xml:space="preserve">El costo de envío, en su caso; y </w:t>
      </w:r>
    </w:p>
    <w:p w14:paraId="4D322F71" w14:textId="77777777" w:rsidR="008C7637" w:rsidRPr="00A81D21" w:rsidRDefault="008C7637" w:rsidP="008C7637">
      <w:pPr>
        <w:pStyle w:val="Citas"/>
      </w:pPr>
      <w:r w:rsidRPr="00A81D21">
        <w:t>III.</w:t>
      </w:r>
      <w:r w:rsidRPr="00A81D21">
        <w:tab/>
        <w:t>El pago de la certificación de los documentos, cuando proceda.</w:t>
      </w:r>
    </w:p>
    <w:p w14:paraId="1952E6D5" w14:textId="77777777" w:rsidR="008C7637" w:rsidRPr="00A81D21" w:rsidRDefault="008C7637" w:rsidP="008C7637">
      <w:pPr>
        <w:pStyle w:val="Citas"/>
        <w:rPr>
          <w:b/>
          <w:bCs/>
        </w:rPr>
      </w:pPr>
      <w:r w:rsidRPr="00A81D21">
        <w:rPr>
          <w:b/>
          <w:bCs/>
          <w:u w:val="single"/>
        </w:rPr>
        <w:t xml:space="preserve">Las cuotas de los derechos aplicables deberán establecerse, en su caso, en el Código Financiero del Estado de México y Municipios y demás disposiciones </w:t>
      </w:r>
      <w:r w:rsidRPr="00A81D21">
        <w:rPr>
          <w:b/>
          <w:bCs/>
          <w:u w:val="single"/>
        </w:rPr>
        <w:lastRenderedPageBreak/>
        <w:t>jurídicas aplicables</w:t>
      </w:r>
      <w:r w:rsidRPr="00A81D21">
        <w:rPr>
          <w:b/>
          <w:bCs/>
        </w:rPr>
        <w:t>,</w:t>
      </w:r>
      <w:r w:rsidRPr="00A81D21">
        <w:t xml:space="preserve"> las cuales se publicarán en los sitios de internet de los sujetos obligados. </w:t>
      </w:r>
      <w:r w:rsidRPr="00A81D21">
        <w:rPr>
          <w:b/>
          <w:bCs/>
          <w:u w:val="single"/>
        </w:rPr>
        <w:t>En su determinación se deberá considerar que los montos permitan o faciliten el ejercicio del derecho de acceso a la información</w:t>
      </w:r>
      <w:r w:rsidRPr="00A81D21">
        <w:rPr>
          <w:b/>
          <w:bCs/>
        </w:rPr>
        <w:t xml:space="preserve">. </w:t>
      </w:r>
    </w:p>
    <w:p w14:paraId="1C6E389F" w14:textId="77777777" w:rsidR="008C7637" w:rsidRPr="00A81D21" w:rsidRDefault="008C7637" w:rsidP="008C7637">
      <w:pPr>
        <w:pStyle w:val="Citas"/>
      </w:pPr>
      <w:r w:rsidRPr="00A81D21">
        <w:t xml:space="preserve">Los sujetos obligados a los que no les sea aplicable el Código Financiero del Estado de México y Municipios deberán establecer cuotas que no sean mayores a las dispuestas en dicho ordenamiento. </w:t>
      </w:r>
    </w:p>
    <w:p w14:paraId="4B7EEAED" w14:textId="77777777" w:rsidR="008C7637" w:rsidRPr="00A81D21" w:rsidRDefault="008C7637" w:rsidP="008C7637">
      <w:pPr>
        <w:pStyle w:val="Citas"/>
        <w:rPr>
          <w:b/>
          <w:bCs/>
        </w:rPr>
      </w:pPr>
      <w:r w:rsidRPr="00A81D21">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A81D21">
        <w:rPr>
          <w:b/>
          <w:bCs/>
        </w:rPr>
        <w:t>(Sic)</w:t>
      </w:r>
    </w:p>
    <w:p w14:paraId="5F0764A8" w14:textId="77777777" w:rsidR="008C7637" w:rsidRPr="00A81D21" w:rsidRDefault="008C7637" w:rsidP="008C7637">
      <w:pPr>
        <w:rPr>
          <w:rFonts w:cs="Arial"/>
        </w:rPr>
      </w:pPr>
    </w:p>
    <w:p w14:paraId="39AD63B6"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Ley de Transparencia y Acceso a la Información Pública del Estado de México,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4BD71F6C"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lastRenderedPageBreak/>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16DD5811"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448831E2"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37EE7D4C"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 xml:space="preserve">Tratándose del cobro, por concepto de los servicios que sean prestados por el Estado, se pagarán derechos conforme a las cuotas establecidas para cada caso, como lo son la </w:t>
      </w:r>
      <w:r w:rsidRPr="00A81D21">
        <w:rPr>
          <w:rFonts w:ascii="Palatino Linotype" w:hAnsi="Palatino Linotype"/>
          <w:sz w:val="24"/>
          <w:szCs w:val="24"/>
        </w:rPr>
        <w:lastRenderedPageBreak/>
        <w:t>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5349B06A"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 xml:space="preserve">Por ello, es que se estima que el cobro de derechos por la expedición de copias certificadas deberá ceñirse, en apego al principio de estricto derecho, a las disposiciones en materia tributaria y presupuestaria. </w:t>
      </w:r>
    </w:p>
    <w:p w14:paraId="4D01AA40"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53ED27A0"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Establecido lo anterior, no debe olvidarse que, en cuanto a la certificación de documentos en su poder, los sujetos obligados a los cuales les resulta aplicable el Código Financiero del Estado de México y Municipios, por lo que, indiscutiblemente deben emitir respuesta de acuerdo a lo establecido por la misma, puesto que no se encuentran facultados para no aplicar la misma.</w:t>
      </w:r>
    </w:p>
    <w:p w14:paraId="4C15FED0"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 xml:space="preserve">Consecuentemente, 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w:t>
      </w:r>
      <w:r w:rsidRPr="00A81D21">
        <w:rPr>
          <w:rFonts w:ascii="Palatino Linotype" w:hAnsi="Palatino Linotype"/>
          <w:sz w:val="24"/>
          <w:szCs w:val="24"/>
        </w:rPr>
        <w:lastRenderedPageBreak/>
        <w:t>percibir recursos por concepto de prestación de servicios que se encuentran previstos en el referido ordenamiento legal.</w:t>
      </w:r>
    </w:p>
    <w:p w14:paraId="02DD5BAA"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Finalmente, se concluye que el cobro por concepto de reproducción de la información en copia certificada no transgrede la esfera de derechos del solicitante, pues, por un lado, se encuentra previsto en la ley de la materia, y por el otro, como se estableció en supra líneas configura una prestación de servicios por parte del Estado, previsto en el Código Financiero del Estado de México y Municipios.</w:t>
      </w:r>
    </w:p>
    <w:p w14:paraId="01124408" w14:textId="77777777" w:rsidR="008C7637" w:rsidRPr="00A81D21" w:rsidRDefault="008C7637" w:rsidP="008C7637">
      <w:pPr>
        <w:spacing w:line="360" w:lineRule="auto"/>
        <w:jc w:val="both"/>
        <w:rPr>
          <w:rFonts w:ascii="Palatino Linotype" w:hAnsi="Palatino Linotype"/>
          <w:sz w:val="24"/>
          <w:szCs w:val="24"/>
        </w:rPr>
      </w:pPr>
      <w:r w:rsidRPr="00A81D21">
        <w:rPr>
          <w:rFonts w:ascii="Palatino Linotype" w:hAnsi="Palatino Linotype"/>
          <w:sz w:val="24"/>
          <w:szCs w:val="24"/>
        </w:rPr>
        <w:t xml:space="preserve">Para la entrega de la información en la modalidad solicitada por el particular en el asunto que nos ocupa,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w:t>
      </w:r>
      <w:r w:rsidRPr="00A81D21">
        <w:rPr>
          <w:rFonts w:ascii="Palatino Linotype" w:hAnsi="Palatino Linotype"/>
          <w:b/>
          <w:sz w:val="24"/>
          <w:szCs w:val="24"/>
          <w:u w:val="single"/>
        </w:rPr>
        <w:t>se deberá informar al particular el costo total, el lugar y procedimiento para realizar el pago correspondiente; y los horarios en los cuales estará a su disposición la información solicitada</w:t>
      </w:r>
      <w:r w:rsidRPr="00A81D21">
        <w:rPr>
          <w:rFonts w:ascii="Palatino Linotype" w:hAnsi="Palatino Linotype"/>
          <w:sz w:val="24"/>
          <w:szCs w:val="24"/>
        </w:rPr>
        <w:t>, en consecuencia resulta dable ordenar la entrega de la información en la modalidad de copias certificadas con costo.</w:t>
      </w:r>
    </w:p>
    <w:p w14:paraId="1354BA33" w14:textId="57D00D76" w:rsidR="00F34BCA" w:rsidRPr="00A81D21" w:rsidRDefault="00F34BCA" w:rsidP="00F34BCA">
      <w:pPr>
        <w:spacing w:line="360" w:lineRule="auto"/>
        <w:jc w:val="both"/>
        <w:rPr>
          <w:rFonts w:ascii="Palatino Linotype" w:eastAsia="Palatino Linotype" w:hAnsi="Palatino Linotype" w:cs="Palatino Linotype"/>
          <w:color w:val="000000"/>
          <w:sz w:val="24"/>
          <w:szCs w:val="24"/>
        </w:rPr>
      </w:pPr>
      <w:r w:rsidRPr="00A81D21">
        <w:rPr>
          <w:rFonts w:ascii="Palatino Linotype" w:hAnsi="Palatino Linotype"/>
          <w:sz w:val="24"/>
          <w:szCs w:val="24"/>
        </w:rPr>
        <w:t xml:space="preserve">De manera complementaria, cabe destacar que </w:t>
      </w:r>
      <w:r w:rsidRPr="00A81D21">
        <w:rPr>
          <w:rFonts w:ascii="Palatino Linotype" w:eastAsia="Palatino Linotype" w:hAnsi="Palatino Linotype" w:cs="Palatino Linotype"/>
          <w:color w:val="000000"/>
          <w:sz w:val="24"/>
          <w:szCs w:val="24"/>
        </w:rPr>
        <w:t>una vez que se realice el pago correspondiente por las copias certificadas, la información quedara disponible por 60 días hábiles, conforme a lo ya dispuesto en el artículo 166 de la Ley de la Materia, a saber:</w:t>
      </w:r>
    </w:p>
    <w:p w14:paraId="3477FDDC" w14:textId="77777777" w:rsidR="00F34BCA" w:rsidRPr="00A81D21" w:rsidRDefault="00F34BCA" w:rsidP="00F34BCA">
      <w:pPr>
        <w:spacing w:line="360" w:lineRule="auto"/>
        <w:ind w:right="-1124"/>
        <w:jc w:val="both"/>
        <w:rPr>
          <w:rFonts w:ascii="Palatino Linotype" w:eastAsia="Palatino Linotype" w:hAnsi="Palatino Linotype" w:cs="Palatino Linotype"/>
          <w:color w:val="000000"/>
        </w:rPr>
      </w:pPr>
    </w:p>
    <w:p w14:paraId="7A52B7C3" w14:textId="77777777" w:rsidR="00F34BCA" w:rsidRPr="00A81D21" w:rsidRDefault="00F34BCA" w:rsidP="00533298">
      <w:pPr>
        <w:pStyle w:val="Citas"/>
      </w:pPr>
      <w:r w:rsidRPr="00A81D21">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p>
    <w:p w14:paraId="5260A1AF" w14:textId="77777777" w:rsidR="00F34BCA" w:rsidRPr="00A81D21" w:rsidRDefault="00F34BCA" w:rsidP="00533298">
      <w:pPr>
        <w:pStyle w:val="Citas"/>
        <w:rPr>
          <w:u w:val="single"/>
        </w:rPr>
      </w:pPr>
      <w:r w:rsidRPr="00A81D21">
        <w:rPr>
          <w:b/>
          <w:u w:val="single"/>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r w:rsidRPr="00A81D21">
        <w:rPr>
          <w:u w:val="single"/>
        </w:rPr>
        <w:t xml:space="preserve">. </w:t>
      </w:r>
    </w:p>
    <w:p w14:paraId="60279B80" w14:textId="0512FFEA" w:rsidR="00F34BCA" w:rsidRPr="00A81D21" w:rsidRDefault="00F34BCA" w:rsidP="00533298">
      <w:pPr>
        <w:pStyle w:val="Citas"/>
        <w:rPr>
          <w:b/>
          <w:bCs/>
        </w:rPr>
      </w:pPr>
      <w:r w:rsidRPr="00A81D21">
        <w:t>Transcurridos dichos plazos, si los solicitantes no acuden a recibir la información requerida los sujetos obligados darán por concluida la solicitud y procederán, de ser el caso, a la destrucción del material en el que se reprodujo la información. Cuando el sujeto obligado no entregue la respuesta a la solicitud dentro del plazo previsto en la Ley, la solicitud se entenderá negada y el solicitante podrá interponer el recurso de revisión previsto en este ordenamiento. Una vez entregada la información, el solicitante acusará recibo por escrito, dándose por terminado el trámite de acceso a la información.”</w:t>
      </w:r>
      <w:r w:rsidR="00533298" w:rsidRPr="00A81D21">
        <w:t xml:space="preserve"> </w:t>
      </w:r>
      <w:r w:rsidR="00533298" w:rsidRPr="00A81D21">
        <w:rPr>
          <w:b/>
          <w:bCs/>
        </w:rPr>
        <w:t>(Sic)</w:t>
      </w:r>
    </w:p>
    <w:p w14:paraId="6A85710A" w14:textId="77777777" w:rsidR="00F34BCA" w:rsidRPr="00A81D21" w:rsidRDefault="00F34BCA" w:rsidP="00F34BCA">
      <w:pPr>
        <w:spacing w:line="360" w:lineRule="auto"/>
        <w:ind w:right="-1124"/>
        <w:jc w:val="both"/>
        <w:rPr>
          <w:rFonts w:ascii="Palatino Linotype" w:eastAsia="Palatino Linotype" w:hAnsi="Palatino Linotype" w:cs="Palatino Linotype"/>
          <w:color w:val="000000"/>
        </w:rPr>
      </w:pPr>
    </w:p>
    <w:p w14:paraId="1AAC6A4B" w14:textId="79E0D25F" w:rsidR="00533298" w:rsidRPr="00A81D21" w:rsidRDefault="00533298" w:rsidP="00533298">
      <w:pPr>
        <w:spacing w:line="360" w:lineRule="auto"/>
        <w:jc w:val="both"/>
        <w:rPr>
          <w:rFonts w:ascii="Palatino Linotype" w:eastAsia="Palatino Linotype" w:hAnsi="Palatino Linotype" w:cs="Palatino Linotype"/>
          <w:color w:val="000000"/>
        </w:rPr>
      </w:pPr>
      <w:r w:rsidRPr="00A81D21">
        <w:rPr>
          <w:rFonts w:ascii="Palatino Linotype" w:eastAsia="Palatino Linotype" w:hAnsi="Palatino Linotype" w:cs="Palatino Linotype"/>
          <w:color w:val="000000"/>
        </w:rPr>
        <w:t xml:space="preserve">Luego entonces, como también se advierte, para el caso que no se acuda por la información, se procederá a su destrucción. </w:t>
      </w:r>
    </w:p>
    <w:p w14:paraId="55942CEB" w14:textId="77777777" w:rsidR="00533298" w:rsidRPr="00A81D21" w:rsidRDefault="00533298" w:rsidP="00F34BCA">
      <w:pPr>
        <w:spacing w:line="360" w:lineRule="auto"/>
        <w:ind w:right="-1124"/>
        <w:jc w:val="both"/>
        <w:rPr>
          <w:rFonts w:ascii="Palatino Linotype" w:eastAsia="Palatino Linotype" w:hAnsi="Palatino Linotype" w:cs="Palatino Linotype"/>
          <w:color w:val="000000"/>
        </w:rPr>
      </w:pPr>
    </w:p>
    <w:p w14:paraId="735772D3" w14:textId="680467AD" w:rsidR="003B5229" w:rsidRPr="00A81D21" w:rsidRDefault="00533298" w:rsidP="003B5229">
      <w:pPr>
        <w:spacing w:before="240" w:after="240" w:line="360" w:lineRule="auto"/>
        <w:jc w:val="both"/>
        <w:rPr>
          <w:rFonts w:ascii="Palatino Linotype" w:hAnsi="Palatino Linotype"/>
          <w:b/>
          <w:sz w:val="28"/>
          <w:szCs w:val="28"/>
        </w:rPr>
      </w:pPr>
      <w:r w:rsidRPr="00A81D21">
        <w:rPr>
          <w:rFonts w:ascii="Palatino Linotype" w:hAnsi="Palatino Linotype"/>
          <w:b/>
          <w:bCs/>
          <w:sz w:val="28"/>
          <w:szCs w:val="28"/>
        </w:rPr>
        <w:t>D</w:t>
      </w:r>
      <w:r w:rsidR="003B5229" w:rsidRPr="00A81D21">
        <w:rPr>
          <w:rFonts w:ascii="Palatino Linotype" w:hAnsi="Palatino Linotype"/>
          <w:b/>
          <w:bCs/>
          <w:sz w:val="28"/>
          <w:szCs w:val="28"/>
        </w:rPr>
        <w:t>e la</w:t>
      </w:r>
      <w:r w:rsidR="003B5229" w:rsidRPr="00A81D21">
        <w:rPr>
          <w:rFonts w:ascii="Palatino Linotype" w:hAnsi="Palatino Linotype"/>
          <w:bCs/>
          <w:sz w:val="24"/>
          <w:szCs w:val="24"/>
        </w:rPr>
        <w:t xml:space="preserve"> </w:t>
      </w:r>
      <w:r w:rsidR="003B5229" w:rsidRPr="00A81D21">
        <w:rPr>
          <w:rFonts w:ascii="Palatino Linotype" w:hAnsi="Palatino Linotype"/>
          <w:b/>
          <w:sz w:val="28"/>
          <w:szCs w:val="28"/>
        </w:rPr>
        <w:t xml:space="preserve">Versión Pública </w:t>
      </w:r>
    </w:p>
    <w:p w14:paraId="7CDCFBF7" w14:textId="77777777" w:rsidR="003B5229" w:rsidRPr="00A81D21" w:rsidRDefault="003B5229" w:rsidP="003B5229">
      <w:pPr>
        <w:tabs>
          <w:tab w:val="left" w:pos="7938"/>
        </w:tabs>
        <w:spacing w:before="240" w:after="240" w:line="360" w:lineRule="auto"/>
        <w:jc w:val="both"/>
        <w:rPr>
          <w:rFonts w:ascii="Palatino Linotype" w:eastAsia="Arial Unicode MS" w:hAnsi="Palatino Linotype" w:cs="Arial"/>
          <w:sz w:val="24"/>
          <w:szCs w:val="24"/>
        </w:rPr>
      </w:pPr>
      <w:r w:rsidRPr="00A81D21">
        <w:rPr>
          <w:rFonts w:ascii="Palatino Linotype" w:eastAsia="Arial Unicode MS" w:hAnsi="Palatino Linotype" w:cs="Arial"/>
          <w:sz w:val="24"/>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w:t>
      </w:r>
      <w:r w:rsidRPr="00A81D21">
        <w:rPr>
          <w:rFonts w:ascii="Palatino Linotype" w:eastAsia="Arial Unicode MS" w:hAnsi="Palatino Linotype" w:cs="Arial"/>
          <w:sz w:val="24"/>
          <w:szCs w:val="24"/>
        </w:rPr>
        <w:lastRenderedPageBreak/>
        <w:t>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44BB218D" w14:textId="77777777" w:rsidR="003B5229" w:rsidRPr="00A81D21" w:rsidRDefault="003B5229" w:rsidP="003B5229">
      <w:pPr>
        <w:spacing w:before="240" w:line="360" w:lineRule="auto"/>
        <w:ind w:left="851" w:right="851"/>
        <w:jc w:val="both"/>
        <w:rPr>
          <w:rFonts w:ascii="Palatino Linotype" w:hAnsi="Palatino Linotype" w:cs="Arial"/>
          <w:i/>
        </w:rPr>
      </w:pPr>
      <w:r w:rsidRPr="00A81D21">
        <w:rPr>
          <w:rFonts w:ascii="Palatino Linotype" w:hAnsi="Palatino Linotype" w:cs="Arial"/>
          <w:i/>
        </w:rPr>
        <w:t>“Artículo 3. Para los efectos de la presente Ley se entenderá por:</w:t>
      </w:r>
    </w:p>
    <w:p w14:paraId="5A02EA93" w14:textId="77777777" w:rsidR="003B5229" w:rsidRPr="00A81D21" w:rsidRDefault="003B5229" w:rsidP="003B5229">
      <w:pPr>
        <w:spacing w:before="240" w:line="360" w:lineRule="auto"/>
        <w:ind w:left="851" w:right="851"/>
        <w:jc w:val="both"/>
        <w:rPr>
          <w:rFonts w:ascii="Palatino Linotype" w:hAnsi="Palatino Linotype" w:cs="Arial"/>
          <w:i/>
        </w:rPr>
      </w:pPr>
      <w:r w:rsidRPr="00A81D21">
        <w:rPr>
          <w:rFonts w:ascii="Palatino Linotype" w:hAnsi="Palatino Linotype" w:cs="Arial"/>
          <w:i/>
        </w:rPr>
        <w:t>(…)</w:t>
      </w:r>
    </w:p>
    <w:p w14:paraId="3CEDE6C3" w14:textId="77777777" w:rsidR="003B5229" w:rsidRPr="00A81D21" w:rsidRDefault="003B5229" w:rsidP="003B5229">
      <w:pPr>
        <w:spacing w:before="240" w:line="360" w:lineRule="auto"/>
        <w:ind w:left="851" w:right="851"/>
        <w:jc w:val="both"/>
        <w:rPr>
          <w:rFonts w:ascii="Palatino Linotype" w:hAnsi="Palatino Linotype" w:cs="Arial"/>
          <w:b/>
          <w:i/>
        </w:rPr>
      </w:pPr>
      <w:r w:rsidRPr="00A81D21">
        <w:rPr>
          <w:rFonts w:ascii="Palatino Linotype" w:hAnsi="Palatino Linotype" w:cs="Arial"/>
          <w:b/>
          <w:i/>
          <w:u w:val="single"/>
        </w:rPr>
        <w:t>IX. Datos personales:</w:t>
      </w:r>
      <w:r w:rsidRPr="00A81D21">
        <w:rPr>
          <w:rFonts w:ascii="Palatino Linotype" w:hAnsi="Palatino Linotype" w:cs="Arial"/>
          <w:b/>
          <w:i/>
        </w:rPr>
        <w:t xml:space="preserve"> </w:t>
      </w:r>
      <w:r w:rsidRPr="00A81D21">
        <w:rPr>
          <w:rFonts w:ascii="Palatino Linotype" w:hAnsi="Palatino Linotype" w:cs="Arial"/>
          <w:i/>
        </w:rPr>
        <w:t>La información concerniente a una persona, identificada o identificable según lo dispuesto por la Ley de Protección de Datos Personales del Estado de México;</w:t>
      </w:r>
    </w:p>
    <w:p w14:paraId="0DBAAD1F" w14:textId="77777777" w:rsidR="003B5229" w:rsidRPr="00A81D21" w:rsidRDefault="003B5229" w:rsidP="003B5229">
      <w:pPr>
        <w:spacing w:before="240" w:line="360" w:lineRule="auto"/>
        <w:ind w:left="851" w:right="851"/>
        <w:jc w:val="both"/>
        <w:rPr>
          <w:rFonts w:ascii="Palatino Linotype" w:hAnsi="Palatino Linotype" w:cs="Arial"/>
          <w:b/>
          <w:i/>
        </w:rPr>
      </w:pPr>
      <w:r w:rsidRPr="00A81D21">
        <w:rPr>
          <w:rFonts w:ascii="Palatino Linotype" w:hAnsi="Palatino Linotype" w:cs="Arial"/>
          <w:b/>
          <w:i/>
        </w:rPr>
        <w:t>(…)</w:t>
      </w:r>
    </w:p>
    <w:p w14:paraId="4D902F6A" w14:textId="77777777" w:rsidR="003B5229" w:rsidRPr="00A81D21" w:rsidRDefault="003B5229" w:rsidP="003B5229">
      <w:pPr>
        <w:spacing w:before="240" w:line="360" w:lineRule="auto"/>
        <w:ind w:left="851" w:right="851"/>
        <w:jc w:val="both"/>
        <w:rPr>
          <w:rFonts w:ascii="Palatino Linotype" w:hAnsi="Palatino Linotype" w:cs="Arial"/>
          <w:b/>
          <w:i/>
        </w:rPr>
      </w:pPr>
      <w:r w:rsidRPr="00A81D21">
        <w:rPr>
          <w:rFonts w:ascii="Palatino Linotype" w:hAnsi="Palatino Linotype" w:cs="Arial"/>
          <w:b/>
          <w:i/>
          <w:u w:val="single"/>
        </w:rPr>
        <w:t>XLV. Versión pública:</w:t>
      </w:r>
      <w:r w:rsidRPr="00A81D21">
        <w:rPr>
          <w:rFonts w:ascii="Palatino Linotype" w:hAnsi="Palatino Linotype" w:cs="Arial"/>
          <w:b/>
          <w:i/>
        </w:rPr>
        <w:t xml:space="preserve"> </w:t>
      </w:r>
      <w:r w:rsidRPr="00A81D21">
        <w:rPr>
          <w:rFonts w:ascii="Palatino Linotype" w:hAnsi="Palatino Linotype" w:cs="Arial"/>
          <w:i/>
        </w:rPr>
        <w:t>Documento en el que se elimine, suprime o borra la información clasificada como reservada o confidencial para permitir su acceso.</w:t>
      </w:r>
    </w:p>
    <w:p w14:paraId="2F77D558" w14:textId="77777777" w:rsidR="003B5229" w:rsidRPr="00A81D21" w:rsidRDefault="003B5229" w:rsidP="003B5229">
      <w:pPr>
        <w:spacing w:before="240" w:line="360" w:lineRule="auto"/>
        <w:ind w:left="851" w:right="851"/>
        <w:jc w:val="both"/>
        <w:rPr>
          <w:rFonts w:ascii="Palatino Linotype" w:hAnsi="Palatino Linotype" w:cs="Arial"/>
          <w:b/>
          <w:i/>
        </w:rPr>
      </w:pPr>
      <w:r w:rsidRPr="00A81D21">
        <w:rPr>
          <w:rFonts w:ascii="Palatino Linotype" w:hAnsi="Palatino Linotype" w:cs="Arial"/>
          <w:i/>
        </w:rPr>
        <w:t xml:space="preserve">Artículo 122. </w:t>
      </w:r>
      <w:r w:rsidRPr="00A81D21">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234050A9" w14:textId="77777777" w:rsidR="003B5229" w:rsidRPr="00A81D21" w:rsidRDefault="003B5229" w:rsidP="003B5229">
      <w:pPr>
        <w:spacing w:before="240" w:line="360" w:lineRule="auto"/>
        <w:ind w:left="851" w:right="851"/>
        <w:jc w:val="both"/>
        <w:rPr>
          <w:rFonts w:ascii="Palatino Linotype" w:hAnsi="Palatino Linotype" w:cs="Arial"/>
          <w:i/>
        </w:rPr>
      </w:pPr>
      <w:r w:rsidRPr="00A81D21">
        <w:rPr>
          <w:rFonts w:ascii="Palatino Linotype" w:hAnsi="Palatino Linotype" w:cs="Arial"/>
          <w:i/>
        </w:rPr>
        <w:t>[…]</w:t>
      </w:r>
    </w:p>
    <w:p w14:paraId="75632601" w14:textId="77777777" w:rsidR="003B5229" w:rsidRPr="00A81D21" w:rsidRDefault="003B5229" w:rsidP="003B5229">
      <w:pPr>
        <w:spacing w:before="240" w:line="360" w:lineRule="auto"/>
        <w:ind w:left="851" w:right="851"/>
        <w:jc w:val="both"/>
        <w:rPr>
          <w:rFonts w:ascii="Palatino Linotype" w:hAnsi="Palatino Linotype" w:cs="Arial"/>
          <w:i/>
        </w:rPr>
      </w:pPr>
      <w:r w:rsidRPr="00A81D21">
        <w:rPr>
          <w:rFonts w:ascii="Palatino Linotype" w:hAnsi="Palatino Linotype" w:cs="Arial"/>
          <w:i/>
        </w:rPr>
        <w:t>Artículo 132. La clasificación de la información se llevará a cabo en el momento en que:</w:t>
      </w:r>
    </w:p>
    <w:p w14:paraId="77B5E08F" w14:textId="77777777" w:rsidR="003B5229" w:rsidRPr="00A81D21" w:rsidRDefault="003B5229" w:rsidP="003B5229">
      <w:pPr>
        <w:spacing w:before="240" w:line="360" w:lineRule="auto"/>
        <w:ind w:left="851" w:right="851"/>
        <w:jc w:val="both"/>
        <w:rPr>
          <w:rFonts w:ascii="Palatino Linotype" w:hAnsi="Palatino Linotype" w:cs="Arial"/>
          <w:i/>
        </w:rPr>
      </w:pPr>
      <w:r w:rsidRPr="00A81D21">
        <w:rPr>
          <w:rFonts w:ascii="Palatino Linotype" w:hAnsi="Palatino Linotype" w:cs="Arial"/>
          <w:i/>
        </w:rPr>
        <w:lastRenderedPageBreak/>
        <w:t>[…]</w:t>
      </w:r>
    </w:p>
    <w:p w14:paraId="1774B2E1" w14:textId="77777777" w:rsidR="003B5229" w:rsidRPr="00A81D21" w:rsidRDefault="003B5229" w:rsidP="003B5229">
      <w:pPr>
        <w:spacing w:before="240" w:line="360" w:lineRule="auto"/>
        <w:ind w:left="851" w:right="851"/>
        <w:jc w:val="both"/>
        <w:rPr>
          <w:rFonts w:ascii="Palatino Linotype" w:hAnsi="Palatino Linotype" w:cs="Arial"/>
          <w:b/>
          <w:i/>
          <w:u w:val="single"/>
        </w:rPr>
      </w:pPr>
      <w:r w:rsidRPr="00A81D21">
        <w:rPr>
          <w:rFonts w:ascii="Palatino Linotype" w:hAnsi="Palatino Linotype" w:cs="Arial"/>
          <w:b/>
          <w:i/>
          <w:u w:val="single"/>
        </w:rPr>
        <w:t>II. Se determine mediante resolución de autoridad competente; o</w:t>
      </w:r>
    </w:p>
    <w:p w14:paraId="72FF2EFD" w14:textId="77777777" w:rsidR="003B5229" w:rsidRPr="00A81D21" w:rsidRDefault="003B5229" w:rsidP="003B5229">
      <w:pPr>
        <w:spacing w:before="240" w:line="360" w:lineRule="auto"/>
        <w:ind w:left="851" w:right="851"/>
        <w:jc w:val="both"/>
        <w:rPr>
          <w:rFonts w:ascii="Palatino Linotype" w:hAnsi="Palatino Linotype" w:cs="Arial"/>
          <w:b/>
          <w:i/>
        </w:rPr>
      </w:pPr>
      <w:r w:rsidRPr="00A81D21">
        <w:rPr>
          <w:rFonts w:ascii="Palatino Linotype" w:hAnsi="Palatino Linotype" w:cs="Arial"/>
          <w:b/>
          <w:i/>
        </w:rPr>
        <w:t>(…)</w:t>
      </w:r>
    </w:p>
    <w:p w14:paraId="42BA842A" w14:textId="77777777" w:rsidR="003B5229" w:rsidRPr="00A81D21" w:rsidRDefault="003B5229" w:rsidP="003B5229">
      <w:pPr>
        <w:spacing w:before="240" w:line="360" w:lineRule="auto"/>
        <w:ind w:left="851" w:right="851"/>
        <w:jc w:val="both"/>
        <w:rPr>
          <w:rFonts w:ascii="Palatino Linotype" w:hAnsi="Palatino Linotype" w:cs="Arial"/>
          <w:b/>
          <w:i/>
        </w:rPr>
      </w:pPr>
      <w:r w:rsidRPr="00A81D21">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A81D21">
        <w:rPr>
          <w:rFonts w:ascii="Palatino Linotype" w:hAnsi="Palatino Linotype" w:cs="Arial"/>
          <w:b/>
          <w:i/>
        </w:rPr>
        <w:t xml:space="preserve"> </w:t>
      </w:r>
      <w:r w:rsidRPr="00A81D21">
        <w:rPr>
          <w:rFonts w:ascii="Palatino Linotype" w:hAnsi="Palatino Linotype" w:cs="Arial"/>
          <w:b/>
          <w:i/>
          <w:u w:val="single"/>
        </w:rPr>
        <w:t xml:space="preserve">de manera genérica y fundando y motivando su clasificación.” </w:t>
      </w:r>
      <w:r w:rsidRPr="00A81D21">
        <w:rPr>
          <w:rFonts w:ascii="Palatino Linotype" w:hAnsi="Palatino Linotype" w:cs="Arial"/>
          <w:b/>
          <w:i/>
        </w:rPr>
        <w:t>[Sic]</w:t>
      </w:r>
    </w:p>
    <w:p w14:paraId="086D1A99" w14:textId="77777777" w:rsidR="003B5229" w:rsidRPr="00A81D21" w:rsidRDefault="003B5229" w:rsidP="003B5229">
      <w:pPr>
        <w:spacing w:after="0" w:line="360" w:lineRule="auto"/>
        <w:ind w:right="51"/>
        <w:jc w:val="both"/>
        <w:rPr>
          <w:rFonts w:ascii="Palatino Linotype" w:eastAsia="Arial Unicode MS" w:hAnsi="Palatino Linotype" w:cs="Arial"/>
          <w:sz w:val="24"/>
          <w:szCs w:val="24"/>
        </w:rPr>
      </w:pPr>
    </w:p>
    <w:p w14:paraId="5CA2232A" w14:textId="77777777" w:rsidR="003B5229" w:rsidRPr="00A81D21" w:rsidRDefault="003B5229" w:rsidP="003B5229">
      <w:pPr>
        <w:spacing w:after="0" w:line="360" w:lineRule="auto"/>
        <w:ind w:right="51"/>
        <w:jc w:val="both"/>
        <w:rPr>
          <w:rFonts w:ascii="Palatino Linotype" w:hAnsi="Palatino Linotype" w:cs="Arial"/>
          <w:sz w:val="24"/>
          <w:szCs w:val="24"/>
        </w:rPr>
      </w:pPr>
      <w:r w:rsidRPr="00A81D21">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A81D21">
        <w:rPr>
          <w:rFonts w:ascii="Palatino Linotype" w:hAnsi="Palatino Linotype"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32BFC51" w14:textId="77777777" w:rsidR="003B5229" w:rsidRPr="00A81D21" w:rsidRDefault="003B5229" w:rsidP="003B5229">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A81D21">
        <w:rPr>
          <w:rFonts w:ascii="Palatino Linotype" w:eastAsia="Times New Roman" w:hAnsi="Palatino Linotype"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597B8524" w14:textId="77777777" w:rsidR="003B5229" w:rsidRPr="00A81D21" w:rsidRDefault="003B5229" w:rsidP="003B5229">
      <w:pPr>
        <w:spacing w:before="240" w:after="240" w:line="360" w:lineRule="auto"/>
        <w:ind w:right="-91"/>
        <w:jc w:val="both"/>
        <w:rPr>
          <w:rFonts w:ascii="Palatino Linotype" w:eastAsia="Times New Roman" w:hAnsi="Palatino Linotype" w:cs="Arial"/>
          <w:sz w:val="24"/>
          <w:szCs w:val="24"/>
          <w:lang w:eastAsia="es-MX"/>
        </w:rPr>
      </w:pPr>
      <w:r w:rsidRPr="00A81D21">
        <w:rPr>
          <w:rFonts w:ascii="Palatino Linotype" w:eastAsia="Times New Roman" w:hAnsi="Palatino Linotype" w:cs="Arial"/>
          <w:sz w:val="24"/>
          <w:szCs w:val="24"/>
          <w:lang w:eastAsia="es-MX"/>
        </w:rPr>
        <w:t xml:space="preserve">Ahora bien, las personas físicas tramitan su inscripción en el registro con el propósito de realizar —mediante esa clave de identificación— operaciones o actividades de </w:t>
      </w:r>
      <w:r w:rsidRPr="00A81D21">
        <w:rPr>
          <w:rFonts w:ascii="Palatino Linotype" w:eastAsia="Times New Roman" w:hAnsi="Palatino Linotype" w:cs="Arial"/>
          <w:sz w:val="24"/>
          <w:szCs w:val="24"/>
          <w:lang w:eastAsia="es-MX"/>
        </w:rPr>
        <w:lastRenderedPageBreak/>
        <w:t>naturaleza fiscal, la cual, les permite hacer identificable respecto de una situación fiscal determinada.</w:t>
      </w:r>
    </w:p>
    <w:p w14:paraId="77CD4D0A" w14:textId="77777777" w:rsidR="003B5229" w:rsidRPr="00A81D21" w:rsidRDefault="003B5229" w:rsidP="003B5229">
      <w:pPr>
        <w:spacing w:before="240" w:after="240" w:line="360" w:lineRule="auto"/>
        <w:jc w:val="both"/>
        <w:rPr>
          <w:rFonts w:ascii="Palatino Linotype" w:hAnsi="Palatino Linotype" w:cs="Arial"/>
          <w:sz w:val="24"/>
          <w:szCs w:val="24"/>
          <w:lang w:eastAsia="es-MX"/>
        </w:rPr>
      </w:pPr>
      <w:r w:rsidRPr="00A81D21">
        <w:rPr>
          <w:rFonts w:ascii="Palatino Linotype"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1A115E3D" w14:textId="77777777" w:rsidR="003B5229" w:rsidRPr="00A81D21" w:rsidRDefault="003B5229" w:rsidP="003B5229">
      <w:pPr>
        <w:spacing w:before="240" w:after="240" w:line="360" w:lineRule="auto"/>
        <w:jc w:val="both"/>
        <w:rPr>
          <w:rFonts w:ascii="Palatino Linotype" w:eastAsia="Calibri" w:hAnsi="Palatino Linotype" w:cs="Arial"/>
          <w:sz w:val="24"/>
          <w:szCs w:val="24"/>
          <w:lang w:eastAsia="es-MX"/>
        </w:rPr>
      </w:pPr>
      <w:r w:rsidRPr="00A81D21">
        <w:rPr>
          <w:rFonts w:ascii="Palatino Linotype" w:hAnsi="Palatino Linotype" w:cs="Arial"/>
          <w:sz w:val="24"/>
          <w:szCs w:val="24"/>
          <w:lang w:eastAsia="es-MX"/>
        </w:rPr>
        <w:t xml:space="preserve">En cuanto a la </w:t>
      </w:r>
      <w:r w:rsidRPr="00A81D21">
        <w:rPr>
          <w:rFonts w:ascii="Palatino Linotype" w:hAnsi="Palatino Linotype" w:cs="Arial"/>
          <w:sz w:val="24"/>
          <w:szCs w:val="24"/>
        </w:rPr>
        <w:t xml:space="preserve">Clave Única de Registro de Población (CURP) en virtud de que éste se </w:t>
      </w:r>
      <w:r w:rsidRPr="00A81D21">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8FA207D"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 xml:space="preserve">Por cuanto hace a la </w:t>
      </w:r>
      <w:r w:rsidRPr="00A81D21">
        <w:rPr>
          <w:rFonts w:ascii="Palatino Linotype" w:hAnsi="Palatino Linotype"/>
          <w:b/>
          <w:sz w:val="24"/>
          <w:szCs w:val="24"/>
        </w:rPr>
        <w:t>Clave de cualquier tipo de seguridad social</w:t>
      </w:r>
      <w:r w:rsidRPr="00A81D21">
        <w:rPr>
          <w:rFonts w:ascii="Palatino Linotype" w:hAnsi="Palatino Linotype"/>
          <w:sz w:val="24"/>
          <w:szCs w:val="24"/>
        </w:rPr>
        <w:t xml:space="preserve"> (ISSEMYM u otros), está integrado por una </w:t>
      </w:r>
      <w:r w:rsidRPr="00A81D21">
        <w:rPr>
          <w:rFonts w:ascii="Palatino Linotype" w:hAnsi="Palatino Linotype"/>
          <w:bCs/>
          <w:sz w:val="24"/>
          <w:szCs w:val="24"/>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A81D21">
        <w:rPr>
          <w:rFonts w:ascii="Palatino Linotype" w:hAnsi="Palatino Linotype"/>
          <w:sz w:val="24"/>
          <w:szCs w:val="24"/>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A81D21">
        <w:rPr>
          <w:rFonts w:ascii="Palatino Linotype" w:eastAsia="Arial Unicode MS" w:hAnsi="Palatino Linotype"/>
          <w:sz w:val="24"/>
          <w:szCs w:val="24"/>
        </w:rPr>
        <w:t>4 fracción XI de la Ley de Protección de Datos Personales en Posesión de Sujetos Obligados del Estado de México y Municipios</w:t>
      </w:r>
      <w:r w:rsidRPr="00A81D21">
        <w:rPr>
          <w:rFonts w:ascii="Palatino Linotype" w:hAnsi="Palatino Linotype"/>
          <w:sz w:val="24"/>
          <w:szCs w:val="24"/>
        </w:rPr>
        <w:t>.</w:t>
      </w:r>
    </w:p>
    <w:p w14:paraId="101D36F8"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lastRenderedPageBreak/>
        <w:t xml:space="preserve">Respecto de los </w:t>
      </w:r>
      <w:r w:rsidRPr="00A81D21">
        <w:rPr>
          <w:rFonts w:ascii="Palatino Linotype" w:hAnsi="Palatino Linotype"/>
          <w:b/>
          <w:sz w:val="24"/>
          <w:szCs w:val="24"/>
        </w:rPr>
        <w:t>préstamos o descuentos</w:t>
      </w:r>
      <w:r w:rsidRPr="00A81D21">
        <w:rPr>
          <w:rFonts w:ascii="Palatino Linotype" w:hAnsi="Palatino Linotype"/>
          <w:sz w:val="24"/>
          <w:szCs w:val="24"/>
        </w:rPr>
        <w:t xml:space="preserve"> </w:t>
      </w:r>
      <w:r w:rsidRPr="00A81D21">
        <w:rPr>
          <w:rFonts w:ascii="Palatino Linotype" w:hAnsi="Palatino Linotype"/>
          <w:b/>
          <w:sz w:val="24"/>
          <w:szCs w:val="24"/>
        </w:rPr>
        <w:t>de carácter personal</w:t>
      </w:r>
      <w:r w:rsidRPr="00A81D21">
        <w:rPr>
          <w:rFonts w:ascii="Palatino Linotype" w:hAnsi="Palatino Linotype"/>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8ACB5BD"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Por su parte, el artículo 84 de la Ley del Trabajo de los Servidores Públicos del Estado y Municipios, señala:</w:t>
      </w:r>
    </w:p>
    <w:p w14:paraId="54843A64" w14:textId="6FC2A097" w:rsidR="003F50F0" w:rsidRPr="00A81D21" w:rsidRDefault="003F50F0" w:rsidP="003F50F0">
      <w:pPr>
        <w:pStyle w:val="Citas"/>
        <w:rPr>
          <w:noProof/>
        </w:rPr>
      </w:pPr>
      <w:r w:rsidRPr="00A81D21">
        <w:rPr>
          <w:b/>
          <w:noProof/>
        </w:rPr>
        <w:t>“ARTÍCULO 84.</w:t>
      </w:r>
      <w:r w:rsidRPr="00A81D21">
        <w:rPr>
          <w:noProof/>
        </w:rPr>
        <w:t xml:space="preserve"> Sólo podrán hacerse retenciones, descuentos o deducciones al sueldo de los servidores públicos por concepto de:</w:t>
      </w:r>
    </w:p>
    <w:p w14:paraId="59046F5B" w14:textId="77777777" w:rsidR="003F50F0" w:rsidRPr="00A81D21" w:rsidRDefault="003F50F0" w:rsidP="003F50F0">
      <w:pPr>
        <w:pStyle w:val="Citas"/>
        <w:rPr>
          <w:noProof/>
        </w:rPr>
      </w:pPr>
      <w:r w:rsidRPr="00A81D21">
        <w:rPr>
          <w:noProof/>
        </w:rPr>
        <w:t>I. Gravámenes fiscales relacionados con el sueldo;</w:t>
      </w:r>
    </w:p>
    <w:p w14:paraId="1A30EE2C" w14:textId="77777777" w:rsidR="003F50F0" w:rsidRPr="00A81D21" w:rsidRDefault="003F50F0" w:rsidP="003F50F0">
      <w:pPr>
        <w:pStyle w:val="Citas"/>
        <w:rPr>
          <w:noProof/>
        </w:rPr>
      </w:pPr>
      <w:r w:rsidRPr="00A81D21">
        <w:rPr>
          <w:noProof/>
        </w:rPr>
        <w:t>II. Deudas contraídas con las instituciones públicas o dependencias por concepto de anticipos de sueldo, pagos hechos con exceso, errores o pérdidas debidamente comprobados;</w:t>
      </w:r>
    </w:p>
    <w:p w14:paraId="622DC7FA" w14:textId="77777777" w:rsidR="003F50F0" w:rsidRPr="00A81D21" w:rsidRDefault="003F50F0" w:rsidP="003F50F0">
      <w:pPr>
        <w:pStyle w:val="Citas"/>
        <w:rPr>
          <w:noProof/>
        </w:rPr>
      </w:pPr>
      <w:r w:rsidRPr="00A81D21">
        <w:rPr>
          <w:noProof/>
        </w:rPr>
        <w:t>III. Cuotas sindicales;</w:t>
      </w:r>
    </w:p>
    <w:p w14:paraId="115DB24A" w14:textId="77777777" w:rsidR="003F50F0" w:rsidRPr="00A81D21" w:rsidRDefault="003F50F0" w:rsidP="003F50F0">
      <w:pPr>
        <w:pStyle w:val="Citas"/>
        <w:rPr>
          <w:noProof/>
        </w:rPr>
      </w:pPr>
      <w:r w:rsidRPr="00A81D21">
        <w:rPr>
          <w:noProof/>
        </w:rPr>
        <w:t>IV. Cuotas de aportación a fondos para la constitución de cooperativas y de cajas de ahorro, siempre que el servidor público hubiese manifestado previamente, de manera expresa, su conformidad;</w:t>
      </w:r>
    </w:p>
    <w:p w14:paraId="528D8D02" w14:textId="77777777" w:rsidR="003F50F0" w:rsidRPr="00A81D21" w:rsidRDefault="003F50F0" w:rsidP="003F50F0">
      <w:pPr>
        <w:pStyle w:val="Citas"/>
        <w:rPr>
          <w:noProof/>
        </w:rPr>
      </w:pPr>
      <w:r w:rsidRPr="00A81D21">
        <w:rPr>
          <w:noProof/>
        </w:rPr>
        <w:t>V. Descuentos ordenados por el Instituto de Seguridad Social del Estado de México y Municipios, con motivo de cuotas y obligaciones contraídas con éste por los servidores públicos;</w:t>
      </w:r>
    </w:p>
    <w:p w14:paraId="1B67748C" w14:textId="77777777" w:rsidR="003F50F0" w:rsidRPr="00A81D21" w:rsidRDefault="003F50F0" w:rsidP="003F50F0">
      <w:pPr>
        <w:pStyle w:val="Citas"/>
        <w:rPr>
          <w:noProof/>
        </w:rPr>
      </w:pPr>
      <w:r w:rsidRPr="00A81D21">
        <w:rPr>
          <w:noProof/>
        </w:rPr>
        <w:lastRenderedPageBreak/>
        <w:t>VI. Obligaciones a cargo del servidor público con las que haya consentido, derivadas de la adquisición o del uso de habitaciones consideradas como de interés social;</w:t>
      </w:r>
    </w:p>
    <w:p w14:paraId="6AEEEB22" w14:textId="77777777" w:rsidR="003F50F0" w:rsidRPr="00A81D21" w:rsidRDefault="003F50F0" w:rsidP="003F50F0">
      <w:pPr>
        <w:pStyle w:val="Citas"/>
        <w:rPr>
          <w:noProof/>
        </w:rPr>
      </w:pPr>
      <w:r w:rsidRPr="00A81D21">
        <w:rPr>
          <w:noProof/>
        </w:rPr>
        <w:t>VII. Faltas de puntualidad o de asistencia injustificadas;</w:t>
      </w:r>
    </w:p>
    <w:p w14:paraId="6ABF741B" w14:textId="77777777" w:rsidR="003F50F0" w:rsidRPr="00A81D21" w:rsidRDefault="003F50F0" w:rsidP="003F50F0">
      <w:pPr>
        <w:pStyle w:val="Citas"/>
        <w:rPr>
          <w:noProof/>
        </w:rPr>
      </w:pPr>
      <w:r w:rsidRPr="00A81D21">
        <w:rPr>
          <w:noProof/>
        </w:rPr>
        <w:t>VIII. Pensiones alimenticias ordenadas por la autoridad judicial; o</w:t>
      </w:r>
    </w:p>
    <w:p w14:paraId="4DD61A48" w14:textId="77777777" w:rsidR="003F50F0" w:rsidRPr="00A81D21" w:rsidRDefault="003F50F0" w:rsidP="003F50F0">
      <w:pPr>
        <w:pStyle w:val="Citas"/>
        <w:rPr>
          <w:noProof/>
        </w:rPr>
      </w:pPr>
      <w:r w:rsidRPr="00A81D21">
        <w:rPr>
          <w:noProof/>
        </w:rPr>
        <w:t>IX. Cualquier otro convenido con instituciones de servicios y aceptado por el servidor público.</w:t>
      </w:r>
    </w:p>
    <w:p w14:paraId="09EB81F1" w14:textId="19CC1570" w:rsidR="003F50F0" w:rsidRPr="00A81D21" w:rsidRDefault="003F50F0" w:rsidP="003F50F0">
      <w:pPr>
        <w:pStyle w:val="Citas"/>
        <w:rPr>
          <w:b/>
          <w:bCs/>
        </w:rPr>
      </w:pPr>
      <w:r w:rsidRPr="00A81D21">
        <w:rPr>
          <w:noProof/>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r w:rsidRPr="00A81D21">
        <w:rPr>
          <w:b/>
          <w:bCs/>
          <w:noProof/>
        </w:rPr>
        <w:t>(Sic)</w:t>
      </w:r>
    </w:p>
    <w:p w14:paraId="2AE4A8DC" w14:textId="77777777" w:rsidR="003F50F0" w:rsidRPr="00A81D21" w:rsidRDefault="003F50F0" w:rsidP="003F50F0">
      <w:pPr>
        <w:pStyle w:val="Citas"/>
        <w:rPr>
          <w:szCs w:val="24"/>
        </w:rPr>
      </w:pPr>
    </w:p>
    <w:p w14:paraId="212EBD24"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34CD7BBF"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 xml:space="preserve">No obstante, el denominado </w:t>
      </w:r>
      <w:r w:rsidRPr="00A81D21">
        <w:rPr>
          <w:rFonts w:ascii="Palatino Linotype" w:hAnsi="Palatino Linotype"/>
          <w:b/>
          <w:sz w:val="24"/>
          <w:szCs w:val="24"/>
        </w:rPr>
        <w:t>Sistema de Capitalización Individual</w:t>
      </w:r>
      <w:r w:rsidRPr="00A81D21">
        <w:rPr>
          <w:rFonts w:ascii="Palatino Linotype" w:hAnsi="Palatino Linotype"/>
          <w:sz w:val="24"/>
          <w:szCs w:val="24"/>
        </w:rPr>
        <w:t xml:space="preserve"> se define como el mecanismo de ahorro mediante el cual los servidores públicos y las instituciones </w:t>
      </w:r>
      <w:r w:rsidRPr="00A81D21">
        <w:rPr>
          <w:rFonts w:ascii="Palatino Linotype" w:hAnsi="Palatino Linotype"/>
          <w:sz w:val="24"/>
          <w:szCs w:val="24"/>
        </w:rPr>
        <w:lastRenderedPageBreak/>
        <w:t>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0F102CF2"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eastAsia="Arial Unicode MS" w:hAnsi="Palatino Linotype"/>
          <w:sz w:val="24"/>
          <w:szCs w:val="24"/>
        </w:rPr>
        <w:t xml:space="preserve">Por otra parte, </w:t>
      </w:r>
      <w:r w:rsidRPr="00A81D21">
        <w:rPr>
          <w:rFonts w:ascii="Palatino Linotype" w:hAnsi="Palatino Linotype"/>
          <w:sz w:val="24"/>
          <w:szCs w:val="24"/>
        </w:rPr>
        <w:t xml:space="preserve">las </w:t>
      </w:r>
      <w:r w:rsidRPr="00A81D21">
        <w:rPr>
          <w:rFonts w:ascii="Palatino Linotype" w:hAnsi="Palatino Linotype"/>
          <w:b/>
          <w:sz w:val="24"/>
          <w:szCs w:val="24"/>
        </w:rPr>
        <w:t xml:space="preserve">Cadenas Originales </w:t>
      </w:r>
      <w:r w:rsidRPr="00A81D21">
        <w:rPr>
          <w:rFonts w:ascii="Palatino Linotype" w:hAnsi="Palatino Linotype"/>
          <w:sz w:val="24"/>
          <w:szCs w:val="24"/>
        </w:rPr>
        <w:t xml:space="preserve">y </w:t>
      </w:r>
      <w:r w:rsidRPr="00A81D21">
        <w:rPr>
          <w:rFonts w:ascii="Palatino Linotype" w:hAnsi="Palatino Linotype"/>
          <w:b/>
          <w:sz w:val="24"/>
          <w:szCs w:val="24"/>
        </w:rPr>
        <w:t>Sellos</w:t>
      </w:r>
      <w:r w:rsidRPr="00A81D21">
        <w:rPr>
          <w:rFonts w:ascii="Palatino Linotype" w:hAnsi="Palatino Linotype"/>
          <w:sz w:val="24"/>
          <w:szCs w:val="24"/>
        </w:rPr>
        <w:t xml:space="preserve"> </w:t>
      </w:r>
      <w:r w:rsidRPr="00A81D21">
        <w:rPr>
          <w:rFonts w:ascii="Palatino Linotype" w:hAnsi="Palatino Linotype"/>
          <w:b/>
          <w:sz w:val="24"/>
          <w:szCs w:val="24"/>
        </w:rPr>
        <w:t>Digitales</w:t>
      </w:r>
      <w:r w:rsidRPr="00A81D21">
        <w:rPr>
          <w:rFonts w:ascii="Palatino Linotype" w:hAnsi="Palatino Linotype"/>
          <w:sz w:val="24"/>
          <w:szCs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A81D21">
        <w:rPr>
          <w:rFonts w:ascii="Palatino Linotype" w:hAnsi="Palatino Linotype"/>
          <w:b/>
          <w:sz w:val="24"/>
          <w:szCs w:val="24"/>
        </w:rPr>
        <w:t xml:space="preserve">vinculación </w:t>
      </w:r>
      <w:r w:rsidRPr="00A81D21">
        <w:rPr>
          <w:rFonts w:ascii="Palatino Linotype" w:hAnsi="Palatino Linotype"/>
          <w:sz w:val="24"/>
          <w:szCs w:val="24"/>
        </w:rPr>
        <w:t xml:space="preserve">entre la </w:t>
      </w:r>
      <w:r w:rsidRPr="00A81D21">
        <w:rPr>
          <w:rFonts w:ascii="Palatino Linotype" w:hAnsi="Palatino Linotype"/>
          <w:b/>
          <w:sz w:val="24"/>
          <w:szCs w:val="24"/>
        </w:rPr>
        <w:t>identidad de un sujeto o entidad</w:t>
      </w:r>
      <w:r w:rsidRPr="00A81D21">
        <w:rPr>
          <w:rFonts w:ascii="Palatino Linotype" w:hAnsi="Palatino Linotype"/>
          <w:sz w:val="24"/>
          <w:szCs w:val="24"/>
        </w:rPr>
        <w:t xml:space="preserve"> con su clave pública, lo que hace identificable a una persona o entidad, además de que dichos certificados tienen como finalidad o propósito específico firmar digitalmente las facturas electrónicas </w:t>
      </w:r>
      <w:r w:rsidRPr="00A81D21">
        <w:rPr>
          <w:rFonts w:ascii="Palatino Linotype" w:hAnsi="Palatino Linotype"/>
          <w:b/>
          <w:sz w:val="24"/>
          <w:szCs w:val="24"/>
        </w:rPr>
        <w:t>para acreditar la autoría de los comprobantes fiscales digitales</w:t>
      </w:r>
      <w:r w:rsidRPr="00A81D21">
        <w:rPr>
          <w:rFonts w:ascii="Palatino Linotype" w:hAnsi="Palatino Linotype"/>
          <w:sz w:val="24"/>
          <w:szCs w:val="24"/>
        </w:rPr>
        <w:t>. En ese tenor se transcriben los artículos señalados con antelación para mejor ilustración:</w:t>
      </w:r>
    </w:p>
    <w:p w14:paraId="57AD0149" w14:textId="069CE5A0" w:rsidR="003F50F0" w:rsidRPr="00A81D21" w:rsidRDefault="003F50F0" w:rsidP="003F50F0">
      <w:pPr>
        <w:pStyle w:val="Citas"/>
        <w:rPr>
          <w:noProof/>
        </w:rPr>
      </w:pPr>
      <w:r w:rsidRPr="00A81D21">
        <w:rPr>
          <w:b/>
          <w:noProof/>
        </w:rPr>
        <w:t xml:space="preserve">“Artículo 17-G.- </w:t>
      </w:r>
      <w:r w:rsidRPr="00A81D21">
        <w:rPr>
          <w:noProof/>
        </w:rPr>
        <w:t xml:space="preserve">Los certificados que emita el Servicio de Administración Tributaria para ser considerados válidos deberán contener los datos siguientes: </w:t>
      </w:r>
    </w:p>
    <w:p w14:paraId="4B6D3929" w14:textId="77777777" w:rsidR="003F50F0" w:rsidRPr="00A81D21" w:rsidRDefault="003F50F0" w:rsidP="003F50F0">
      <w:pPr>
        <w:pStyle w:val="Citas"/>
        <w:rPr>
          <w:noProof/>
        </w:rPr>
      </w:pPr>
      <w:r w:rsidRPr="00A81D21">
        <w:rPr>
          <w:noProof/>
        </w:rPr>
        <w:t>I. La mención de que se expiden como tales. Tratándose de certificados de sellos digitales, se deberán especificar las limitantes que tengan para su uso.</w:t>
      </w:r>
    </w:p>
    <w:p w14:paraId="270434AD" w14:textId="77777777" w:rsidR="003F50F0" w:rsidRPr="00A81D21" w:rsidRDefault="003F50F0" w:rsidP="003F50F0">
      <w:pPr>
        <w:pStyle w:val="Citas"/>
        <w:rPr>
          <w:noProof/>
        </w:rPr>
      </w:pPr>
      <w:r w:rsidRPr="00A81D21">
        <w:rPr>
          <w:b/>
          <w:noProof/>
        </w:rPr>
        <w:t>Artículo 29.</w:t>
      </w:r>
      <w:r w:rsidRPr="00A81D21">
        <w:rPr>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w:t>
      </w:r>
      <w:r w:rsidRPr="00A81D21">
        <w:rPr>
          <w:noProof/>
        </w:rPr>
        <w:lastRenderedPageBreak/>
        <w:t>disfruten de su uso o goce temporal, reciban servicios o aquéllas a las que les hubieren retenido contribuciones deberán solicitar el comprobante fiscal digital por Internet respectivo.</w:t>
      </w:r>
    </w:p>
    <w:p w14:paraId="3F2D17D2" w14:textId="77777777" w:rsidR="003F50F0" w:rsidRPr="00A81D21" w:rsidRDefault="003F50F0" w:rsidP="003F50F0">
      <w:pPr>
        <w:pStyle w:val="Citas"/>
        <w:rPr>
          <w:noProof/>
        </w:rPr>
      </w:pPr>
      <w:r w:rsidRPr="00A81D21">
        <w:rPr>
          <w:noProof/>
        </w:rPr>
        <w:t>Los contribuyentes a que se refiere el párrafo anterior deberán cumplir con las obligaciones siguientes:</w:t>
      </w:r>
    </w:p>
    <w:p w14:paraId="1C1B5844" w14:textId="77777777" w:rsidR="003F50F0" w:rsidRPr="00A81D21" w:rsidRDefault="003F50F0" w:rsidP="003F50F0">
      <w:pPr>
        <w:pStyle w:val="Citas"/>
        <w:rPr>
          <w:noProof/>
        </w:rPr>
      </w:pPr>
      <w:r w:rsidRPr="00A81D21">
        <w:rPr>
          <w:noProof/>
        </w:rPr>
        <w:t>(…)</w:t>
      </w:r>
    </w:p>
    <w:p w14:paraId="6015E911" w14:textId="77777777" w:rsidR="003F50F0" w:rsidRPr="00A81D21" w:rsidRDefault="003F50F0" w:rsidP="003F50F0">
      <w:pPr>
        <w:pStyle w:val="Citas"/>
        <w:rPr>
          <w:noProof/>
        </w:rPr>
      </w:pPr>
      <w:r w:rsidRPr="00A81D21">
        <w:rPr>
          <w:noProof/>
        </w:rPr>
        <w:t>II. Tramitar ante el Servicio de Administración Tributaria el certificado para el uso de los sellos digitales.</w:t>
      </w:r>
    </w:p>
    <w:p w14:paraId="2E2D8830" w14:textId="6AD9BE1D" w:rsidR="003F50F0" w:rsidRPr="00A81D21" w:rsidRDefault="003F50F0" w:rsidP="003F50F0">
      <w:pPr>
        <w:pStyle w:val="Citas"/>
        <w:rPr>
          <w:b/>
          <w:bCs/>
          <w:noProof/>
        </w:rPr>
      </w:pPr>
      <w:r w:rsidRPr="00A81D21">
        <w:rPr>
          <w:noProof/>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 </w:t>
      </w:r>
      <w:r w:rsidRPr="00A81D21">
        <w:rPr>
          <w:b/>
          <w:bCs/>
          <w:noProof/>
        </w:rPr>
        <w:t>(Sic)</w:t>
      </w:r>
    </w:p>
    <w:p w14:paraId="23CE5B60" w14:textId="77777777" w:rsidR="003F50F0" w:rsidRPr="00A81D21" w:rsidRDefault="003F50F0" w:rsidP="003F50F0">
      <w:pPr>
        <w:rPr>
          <w:szCs w:val="24"/>
        </w:rPr>
      </w:pPr>
    </w:p>
    <w:p w14:paraId="26BC6A35" w14:textId="689D06B0" w:rsidR="0086675B" w:rsidRPr="00A81D21" w:rsidRDefault="0086675B" w:rsidP="0086675B">
      <w:pPr>
        <w:spacing w:line="360" w:lineRule="auto"/>
        <w:jc w:val="both"/>
        <w:rPr>
          <w:rFonts w:ascii="Palatino Linotype" w:hAnsi="Palatino Linotype"/>
          <w:sz w:val="24"/>
          <w:szCs w:val="24"/>
        </w:rPr>
      </w:pPr>
      <w:r w:rsidRPr="00A81D21">
        <w:rPr>
          <w:rFonts w:ascii="Palatino Linotype" w:hAnsi="Palatino Linotype"/>
          <w:sz w:val="24"/>
          <w:szCs w:val="24"/>
        </w:rPr>
        <w:t xml:space="preserve">Por ende, debe considerarse que esta información incluida en los documentos fiscales, constituyen un elemento adicional que permite a cualquier persona verificar la legitimidad del documento entregado en una solicitud de acceso a la información y, pues dichos datos son de utilidad de manera directa a la secretaria de Hacienda y Crédito Público y por tanto son públicos. Por el contrario, cuando de la secuencia de números y letras de las cadenas y sellos digitales se advierta un Registro Federal de Contribuyentes o una Clave Única de Registro de Población, que pueda hacer </w:t>
      </w:r>
      <w:r w:rsidRPr="00A81D21">
        <w:rPr>
          <w:rFonts w:ascii="Palatino Linotype" w:hAnsi="Palatino Linotype"/>
          <w:sz w:val="24"/>
          <w:szCs w:val="24"/>
        </w:rPr>
        <w:lastRenderedPageBreak/>
        <w:t>identificable al titular del dato personal, procederá su debida clasificación como confidencial.</w:t>
      </w:r>
    </w:p>
    <w:p w14:paraId="3E9445B8"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 xml:space="preserve">Por lo que hace a los </w:t>
      </w:r>
      <w:r w:rsidRPr="00A81D21">
        <w:rPr>
          <w:rFonts w:ascii="Palatino Linotype" w:hAnsi="Palatino Linotype"/>
          <w:b/>
          <w:sz w:val="24"/>
          <w:szCs w:val="24"/>
        </w:rPr>
        <w:t>Códigos Bidimensionales</w:t>
      </w:r>
      <w:r w:rsidRPr="00A81D21">
        <w:rPr>
          <w:rFonts w:ascii="Palatino Linotype" w:hAnsi="Palatino Linotype"/>
          <w:sz w:val="24"/>
          <w:szCs w:val="24"/>
        </w:rPr>
        <w:t xml:space="preserve"> y los denominados </w:t>
      </w:r>
      <w:r w:rsidRPr="00A81D21">
        <w:rPr>
          <w:rFonts w:ascii="Palatino Linotype" w:hAnsi="Palatino Linotype"/>
          <w:b/>
          <w:sz w:val="24"/>
          <w:szCs w:val="24"/>
        </w:rPr>
        <w:t>Códigos QR</w:t>
      </w:r>
      <w:r w:rsidRPr="00A81D21">
        <w:rPr>
          <w:rFonts w:ascii="Palatino Linotype" w:hAnsi="Palatino Linotype"/>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A81D21">
        <w:rPr>
          <w:rFonts w:ascii="Palatino Linotype" w:hAnsi="Palatino Linotype"/>
          <w:b/>
          <w:sz w:val="24"/>
          <w:szCs w:val="24"/>
        </w:rPr>
        <w:t>Registro Federal de Contribuyentes</w:t>
      </w:r>
      <w:r w:rsidRPr="00A81D21">
        <w:rPr>
          <w:rFonts w:ascii="Palatino Linotype" w:hAnsi="Palatino Linotype"/>
          <w:sz w:val="24"/>
          <w:szCs w:val="24"/>
        </w:rPr>
        <w:t xml:space="preserve"> (RFC) y la </w:t>
      </w:r>
      <w:r w:rsidRPr="00A81D21">
        <w:rPr>
          <w:rFonts w:ascii="Palatino Linotype" w:hAnsi="Palatino Linotype"/>
          <w:b/>
          <w:sz w:val="24"/>
          <w:szCs w:val="24"/>
        </w:rPr>
        <w:t>Clave Única de Registro de Población</w:t>
      </w:r>
      <w:r w:rsidRPr="00A81D21">
        <w:rPr>
          <w:rFonts w:ascii="Palatino Linotype" w:hAnsi="Palatino Linotype"/>
          <w:sz w:val="24"/>
          <w:szCs w:val="24"/>
        </w:rPr>
        <w:t xml:space="preserve"> (CURP), por lo cual, deberán ser protegidos.</w:t>
      </w:r>
    </w:p>
    <w:p w14:paraId="66103A18" w14:textId="77777777" w:rsidR="008D0938" w:rsidRPr="00A81D21" w:rsidRDefault="008D0938" w:rsidP="008D0938">
      <w:pPr>
        <w:spacing w:line="360" w:lineRule="auto"/>
        <w:jc w:val="both"/>
        <w:rPr>
          <w:rFonts w:ascii="Palatino Linotype" w:hAnsi="Palatino Linotype"/>
          <w:sz w:val="24"/>
          <w:szCs w:val="24"/>
        </w:rPr>
      </w:pPr>
      <w:r w:rsidRPr="00A81D21">
        <w:rPr>
          <w:rFonts w:ascii="Palatino Linotype" w:hAnsi="Palatino Linotype"/>
          <w:b/>
          <w:sz w:val="24"/>
          <w:szCs w:val="24"/>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A81D21">
        <w:rPr>
          <w:rFonts w:ascii="Palatino Linotype" w:hAnsi="Palatino Linotype"/>
          <w:sz w:val="24"/>
          <w:szCs w:val="24"/>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0EB2034F"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lastRenderedPageBreak/>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49F97295"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796A10C2"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47C811C4"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lastRenderedPageBreak/>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7DAB8398"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5093D522"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FD51994" w14:textId="546A2826"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lastRenderedPageBreak/>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w:t>
      </w:r>
      <w:r w:rsidR="008A5518" w:rsidRPr="00A81D21">
        <w:rPr>
          <w:rFonts w:ascii="Palatino Linotype" w:hAnsi="Palatino Linotype"/>
          <w:sz w:val="24"/>
          <w:szCs w:val="24"/>
        </w:rPr>
        <w:t xml:space="preserve">; </w:t>
      </w:r>
      <w:r w:rsidRPr="00A81D21">
        <w:rPr>
          <w:rFonts w:ascii="Palatino Linotype" w:hAnsi="Palatino Linotype"/>
          <w:sz w:val="24"/>
          <w:szCs w:val="24"/>
        </w:rPr>
        <w:t>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8479798" w14:textId="7C915D09"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w:t>
      </w:r>
      <w:r w:rsidR="008A5518" w:rsidRPr="00A81D21">
        <w:rPr>
          <w:rFonts w:ascii="Palatino Linotype" w:hAnsi="Palatino Linotype"/>
          <w:sz w:val="24"/>
          <w:szCs w:val="24"/>
        </w:rPr>
        <w:t xml:space="preserve">, </w:t>
      </w:r>
      <w:r w:rsidRPr="00A81D21">
        <w:rPr>
          <w:rFonts w:ascii="Palatino Linotype" w:hAnsi="Palatino Linotype"/>
          <w:sz w:val="24"/>
          <w:szCs w:val="24"/>
        </w:rPr>
        <w:t>que literalmente establecen lo siguiente:</w:t>
      </w:r>
    </w:p>
    <w:p w14:paraId="38E40BBD" w14:textId="7CB3B316" w:rsidR="003F50F0" w:rsidRPr="00A81D21" w:rsidRDefault="003F50F0" w:rsidP="003F50F0">
      <w:pPr>
        <w:pStyle w:val="Citas"/>
      </w:pPr>
      <w:r w:rsidRPr="00A81D21">
        <w:rPr>
          <w:b/>
        </w:rPr>
        <w:t xml:space="preserve">“Artículo 49. </w:t>
      </w:r>
      <w:r w:rsidRPr="00A81D21">
        <w:t>Los Comités de Transparencia tendrán las siguientes atribuciones:</w:t>
      </w:r>
    </w:p>
    <w:p w14:paraId="1FA33398" w14:textId="77777777" w:rsidR="003F50F0" w:rsidRPr="00A81D21" w:rsidRDefault="003F50F0" w:rsidP="003F50F0">
      <w:pPr>
        <w:pStyle w:val="Citas"/>
        <w:rPr>
          <w:bCs/>
        </w:rPr>
      </w:pPr>
      <w:r w:rsidRPr="00A81D21">
        <w:rPr>
          <w:bCs/>
        </w:rPr>
        <w:t>(…)</w:t>
      </w:r>
    </w:p>
    <w:p w14:paraId="52FF1134" w14:textId="77777777" w:rsidR="003F50F0" w:rsidRPr="00A81D21" w:rsidRDefault="003F50F0" w:rsidP="003F50F0">
      <w:pPr>
        <w:pStyle w:val="Citas"/>
      </w:pPr>
      <w:r w:rsidRPr="00A81D21">
        <w:rPr>
          <w:b/>
        </w:rPr>
        <w:t>VIII.</w:t>
      </w:r>
      <w:r w:rsidRPr="00A81D21">
        <w:t xml:space="preserve"> Aprobar, modificar o revocar la clasificación de la información;</w:t>
      </w:r>
    </w:p>
    <w:p w14:paraId="1E43E091" w14:textId="77777777" w:rsidR="003F50F0" w:rsidRPr="00A81D21" w:rsidRDefault="003F50F0" w:rsidP="003F50F0">
      <w:pPr>
        <w:pStyle w:val="Citas"/>
        <w:rPr>
          <w:bCs/>
        </w:rPr>
      </w:pPr>
      <w:r w:rsidRPr="00A81D21">
        <w:rPr>
          <w:bCs/>
        </w:rPr>
        <w:t>(…)</w:t>
      </w:r>
    </w:p>
    <w:p w14:paraId="16E62E0D" w14:textId="77777777" w:rsidR="003F50F0" w:rsidRPr="00A81D21" w:rsidRDefault="003F50F0" w:rsidP="003F50F0">
      <w:pPr>
        <w:pStyle w:val="Citas"/>
      </w:pPr>
      <w:r w:rsidRPr="00A81D21">
        <w:rPr>
          <w:b/>
        </w:rPr>
        <w:t>Artículo 132.</w:t>
      </w:r>
      <w:r w:rsidRPr="00A81D21">
        <w:t xml:space="preserve"> La clasificación de la información se llevará a cabo en el momento en que:</w:t>
      </w:r>
    </w:p>
    <w:p w14:paraId="5C5B586D" w14:textId="77777777" w:rsidR="003F50F0" w:rsidRPr="00A81D21" w:rsidRDefault="003F50F0" w:rsidP="003F50F0">
      <w:pPr>
        <w:pStyle w:val="Citas"/>
      </w:pPr>
      <w:r w:rsidRPr="00A81D21">
        <w:rPr>
          <w:b/>
        </w:rPr>
        <w:lastRenderedPageBreak/>
        <w:t>I.</w:t>
      </w:r>
      <w:r w:rsidRPr="00A81D21">
        <w:t xml:space="preserve"> Se reciba una solicitud de acceso a la información;</w:t>
      </w:r>
    </w:p>
    <w:p w14:paraId="375C329A" w14:textId="77777777" w:rsidR="003F50F0" w:rsidRPr="00A81D21" w:rsidRDefault="003F50F0" w:rsidP="003F50F0">
      <w:pPr>
        <w:pStyle w:val="Citas"/>
      </w:pPr>
      <w:r w:rsidRPr="00A81D21">
        <w:rPr>
          <w:b/>
        </w:rPr>
        <w:t>II.</w:t>
      </w:r>
      <w:r w:rsidRPr="00A81D21">
        <w:t xml:space="preserve"> Se determine mediante resolución de autoridad competente; o</w:t>
      </w:r>
    </w:p>
    <w:p w14:paraId="670E1216" w14:textId="77777777" w:rsidR="003F50F0" w:rsidRPr="00A81D21" w:rsidRDefault="003F50F0" w:rsidP="003F50F0">
      <w:pPr>
        <w:pStyle w:val="Citas"/>
        <w:rPr>
          <w:b/>
        </w:rPr>
      </w:pPr>
      <w:r w:rsidRPr="00A81D21">
        <w:rPr>
          <w:b/>
          <w:bCs/>
        </w:rPr>
        <w:t>III.</w:t>
      </w:r>
      <w:r w:rsidRPr="00A81D21">
        <w:t xml:space="preserve"> Se generen versiones públicas para dar cumplimiento a las obligaciones de transparencia previstas en esta Ley.</w:t>
      </w:r>
      <w:r w:rsidRPr="00A81D21">
        <w:rPr>
          <w:b/>
        </w:rPr>
        <w:t>”</w:t>
      </w:r>
    </w:p>
    <w:p w14:paraId="16842F01" w14:textId="77777777" w:rsidR="003F50F0" w:rsidRPr="00A81D21" w:rsidRDefault="003F50F0" w:rsidP="003F50F0">
      <w:pPr>
        <w:pStyle w:val="Citas"/>
      </w:pPr>
      <w:r w:rsidRPr="00A81D21">
        <w:rPr>
          <w:b/>
        </w:rPr>
        <w:t>Segundo.-</w:t>
      </w:r>
      <w:r w:rsidRPr="00A81D21">
        <w:t xml:space="preserve"> Para efectos de los presentes Lineamientos Generales, se entenderá por:</w:t>
      </w:r>
    </w:p>
    <w:p w14:paraId="680BEB1D" w14:textId="77777777" w:rsidR="003F50F0" w:rsidRPr="00A81D21" w:rsidRDefault="003F50F0" w:rsidP="003F50F0">
      <w:pPr>
        <w:pStyle w:val="Citas"/>
      </w:pPr>
      <w:r w:rsidRPr="00A81D21">
        <w:t>(…)</w:t>
      </w:r>
    </w:p>
    <w:p w14:paraId="2C47A8C1" w14:textId="77777777" w:rsidR="003F50F0" w:rsidRPr="00A81D21" w:rsidRDefault="003F50F0" w:rsidP="003F50F0">
      <w:pPr>
        <w:pStyle w:val="Citas"/>
      </w:pPr>
      <w:r w:rsidRPr="00A81D21">
        <w:rPr>
          <w:b/>
        </w:rPr>
        <w:t>XVIII.</w:t>
      </w:r>
      <w:r w:rsidRPr="00A81D21">
        <w:t xml:space="preserve"> </w:t>
      </w:r>
      <w:r w:rsidRPr="00A81D21">
        <w:rPr>
          <w:b/>
        </w:rPr>
        <w:t>Versión pública:</w:t>
      </w:r>
      <w:r w:rsidRPr="00A81D2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CCA9F23" w14:textId="77777777" w:rsidR="003F50F0" w:rsidRPr="00A81D21" w:rsidRDefault="003F50F0" w:rsidP="003F50F0">
      <w:pPr>
        <w:pStyle w:val="Citas"/>
      </w:pPr>
      <w:r w:rsidRPr="00A81D21">
        <w:rPr>
          <w:b/>
        </w:rPr>
        <w:t>Cuarto.</w:t>
      </w:r>
      <w:r w:rsidRPr="00A81D2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2461934" w14:textId="77777777" w:rsidR="003F50F0" w:rsidRPr="00A81D21" w:rsidRDefault="003F50F0" w:rsidP="003F50F0">
      <w:pPr>
        <w:pStyle w:val="Citas"/>
      </w:pPr>
      <w:r w:rsidRPr="00A81D21">
        <w:t>Los sujetos obligados deberán aplicar, de manera estricta, las excepciones al derecho de acceso a la información y sólo podrán invocarlas cuando acrediten su procedencia.</w:t>
      </w:r>
    </w:p>
    <w:p w14:paraId="2D1B4AB0" w14:textId="77777777" w:rsidR="003F50F0" w:rsidRPr="00A81D21" w:rsidRDefault="003F50F0" w:rsidP="003F50F0">
      <w:pPr>
        <w:pStyle w:val="Citas"/>
      </w:pPr>
      <w:r w:rsidRPr="00A81D21">
        <w:rPr>
          <w:b/>
        </w:rPr>
        <w:t>Quinto.</w:t>
      </w:r>
      <w:r w:rsidRPr="00A81D2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A81D21">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0C0D0B3A" w14:textId="77777777" w:rsidR="003F50F0" w:rsidRPr="00A81D21" w:rsidRDefault="003F50F0" w:rsidP="003F50F0">
      <w:pPr>
        <w:pStyle w:val="Citas"/>
      </w:pPr>
      <w:r w:rsidRPr="00A81D21">
        <w:rPr>
          <w:b/>
        </w:rPr>
        <w:t>Séptimo.</w:t>
      </w:r>
      <w:r w:rsidRPr="00A81D21">
        <w:t xml:space="preserve"> La clasificación de la información se llevará a cabo en el momento en que:</w:t>
      </w:r>
    </w:p>
    <w:p w14:paraId="6B7458AE" w14:textId="77777777" w:rsidR="003F50F0" w:rsidRPr="00A81D21" w:rsidRDefault="003F50F0" w:rsidP="003F50F0">
      <w:pPr>
        <w:pStyle w:val="Citas"/>
      </w:pPr>
      <w:r w:rsidRPr="00A81D21">
        <w:rPr>
          <w:b/>
        </w:rPr>
        <w:t>I.</w:t>
      </w:r>
      <w:r w:rsidRPr="00A81D21">
        <w:t xml:space="preserve"> Se reciba una solicitud de acceso a la información;</w:t>
      </w:r>
    </w:p>
    <w:p w14:paraId="697AF648" w14:textId="77777777" w:rsidR="003F50F0" w:rsidRPr="00A81D21" w:rsidRDefault="003F50F0" w:rsidP="003F50F0">
      <w:pPr>
        <w:pStyle w:val="Citas"/>
      </w:pPr>
      <w:r w:rsidRPr="00A81D21">
        <w:rPr>
          <w:b/>
        </w:rPr>
        <w:t>II.</w:t>
      </w:r>
      <w:r w:rsidRPr="00A81D21">
        <w:t xml:space="preserve"> Se determine mediante resolución del Comité de Transparnecia, el órgano garante competente, o en cumplimiento a una sentencia del Poder Judicial; o</w:t>
      </w:r>
    </w:p>
    <w:p w14:paraId="2D4717BA" w14:textId="77777777" w:rsidR="003F50F0" w:rsidRPr="00A81D21" w:rsidRDefault="003F50F0" w:rsidP="003F50F0">
      <w:pPr>
        <w:pStyle w:val="Citas"/>
      </w:pPr>
      <w:r w:rsidRPr="00A81D21">
        <w:rPr>
          <w:b/>
        </w:rPr>
        <w:t>III.</w:t>
      </w:r>
      <w:r w:rsidRPr="00A81D21">
        <w:t xml:space="preserve"> Se generen versiones públicas para dar cumplimiento a las obligaciones de transparencia previstas en la Ley General, la Ley Federal y las correspondientes de las entidades federativas.</w:t>
      </w:r>
    </w:p>
    <w:p w14:paraId="33135562" w14:textId="77777777" w:rsidR="003F50F0" w:rsidRPr="00A81D21" w:rsidRDefault="003F50F0" w:rsidP="003F50F0">
      <w:pPr>
        <w:pStyle w:val="Citas"/>
      </w:pPr>
      <w:r w:rsidRPr="00A81D21">
        <w:t>Los titulares de las áreas deberán revisar la información requerida al momento de la recepción de una solicitud de acceso, para verificar si encuadra en una causal de reserva o de confidencialidad.</w:t>
      </w:r>
    </w:p>
    <w:p w14:paraId="52AE81E4" w14:textId="77777777" w:rsidR="003F50F0" w:rsidRPr="00A81D21" w:rsidRDefault="003F50F0" w:rsidP="003F50F0">
      <w:pPr>
        <w:pStyle w:val="Citas"/>
      </w:pPr>
      <w:r w:rsidRPr="00A81D21">
        <w:rPr>
          <w:b/>
        </w:rPr>
        <w:t>Octavo.</w:t>
      </w:r>
      <w:r w:rsidRPr="00A81D2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45E16F0" w14:textId="77777777" w:rsidR="003F50F0" w:rsidRPr="00A81D21" w:rsidRDefault="003F50F0" w:rsidP="003F50F0">
      <w:pPr>
        <w:pStyle w:val="Citas"/>
      </w:pPr>
      <w:r w:rsidRPr="00A81D21">
        <w:t>Para motivar la clasificación se deberán señalar las razones o circunstancias especiales que lo llevaron a concluir que el caso particular se ajusta al supuesto previsto por la norma legal invocada como fundamento.</w:t>
      </w:r>
    </w:p>
    <w:p w14:paraId="7D457F50" w14:textId="77777777" w:rsidR="003F50F0" w:rsidRPr="00A81D21" w:rsidRDefault="003F50F0" w:rsidP="003F50F0">
      <w:pPr>
        <w:pStyle w:val="Citas"/>
      </w:pPr>
      <w:r w:rsidRPr="00A81D21">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A81D21">
        <w:lastRenderedPageBreak/>
        <w:t>lineamientos, así como las circunstancias que justifican el establecimiento de determinado plazo de reserva.</w:t>
      </w:r>
    </w:p>
    <w:p w14:paraId="12C7D124" w14:textId="77777777" w:rsidR="003F50F0" w:rsidRPr="00A81D21" w:rsidRDefault="003F50F0" w:rsidP="003F50F0">
      <w:pPr>
        <w:pStyle w:val="Citas"/>
      </w:pPr>
      <w:r w:rsidRPr="00A81D21">
        <w:rPr>
          <w:b/>
        </w:rPr>
        <w:t>Noveno.</w:t>
      </w:r>
      <w:r w:rsidRPr="00A81D2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64949AB" w14:textId="77777777" w:rsidR="003F50F0" w:rsidRPr="00A81D21" w:rsidRDefault="003F50F0" w:rsidP="003F50F0">
      <w:pPr>
        <w:pStyle w:val="Citas"/>
      </w:pPr>
      <w:r w:rsidRPr="00A81D21">
        <w:rPr>
          <w:b/>
        </w:rPr>
        <w:t>Décimo.</w:t>
      </w:r>
      <w:r w:rsidRPr="00A81D2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F183A78" w14:textId="77777777" w:rsidR="003F50F0" w:rsidRPr="00A81D21" w:rsidRDefault="003F50F0" w:rsidP="003F50F0">
      <w:pPr>
        <w:pStyle w:val="Citas"/>
      </w:pPr>
      <w:r w:rsidRPr="00A81D21">
        <w:t>En ausencia de los titulares de las áreas, la información será clasificada o desclasificada por la persona que lo supla, en términos de la normativa que rija la actuación del sujeto obligado.</w:t>
      </w:r>
    </w:p>
    <w:p w14:paraId="7EA63DF6" w14:textId="3E8B5CD8" w:rsidR="003F50F0" w:rsidRPr="00A81D21" w:rsidRDefault="003F50F0" w:rsidP="003F50F0">
      <w:pPr>
        <w:pStyle w:val="Citas"/>
        <w:rPr>
          <w:b/>
          <w:bCs/>
        </w:rPr>
      </w:pPr>
      <w:r w:rsidRPr="00A81D21">
        <w:rPr>
          <w:b/>
        </w:rPr>
        <w:t>Décimo primero.</w:t>
      </w:r>
      <w:r w:rsidRPr="00A81D2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r w:rsidRPr="00A81D21">
        <w:rPr>
          <w:b/>
          <w:bCs/>
        </w:rPr>
        <w:t>(Sic)</w:t>
      </w:r>
    </w:p>
    <w:p w14:paraId="4AA3F9E8" w14:textId="77777777" w:rsidR="003F50F0" w:rsidRPr="00A81D21" w:rsidRDefault="003F50F0" w:rsidP="003F50F0">
      <w:pPr>
        <w:rPr>
          <w:rFonts w:cs="Arial"/>
          <w:i/>
          <w:szCs w:val="24"/>
        </w:rPr>
      </w:pPr>
    </w:p>
    <w:p w14:paraId="0FB716B8"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A81D21">
        <w:rPr>
          <w:rFonts w:ascii="Palatino Linotype" w:hAnsi="Palatino Linotype"/>
          <w:sz w:val="24"/>
          <w:szCs w:val="24"/>
        </w:rPr>
        <w:lastRenderedPageBreak/>
        <w:t>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2054DF7"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3707A597"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Al respecto, el máximo tribunal del país ha establecido jurisprudencia respecto a qué debe entenderse por fundamentación y motivación, en los siguientes términos:</w:t>
      </w:r>
    </w:p>
    <w:p w14:paraId="2E88795B" w14:textId="5CFCE85D" w:rsidR="003F50F0" w:rsidRPr="00A81D21" w:rsidRDefault="003F50F0" w:rsidP="003F50F0">
      <w:pPr>
        <w:pStyle w:val="Citas"/>
        <w:rPr>
          <w:b/>
          <w:bCs/>
        </w:rPr>
      </w:pPr>
      <w:r w:rsidRPr="00A81D21">
        <w:rPr>
          <w:b/>
          <w:bCs/>
        </w:rPr>
        <w:t xml:space="preserve">“FUNDAMENTACIÓN Y MOTIVACIÓN. </w:t>
      </w:r>
    </w:p>
    <w:p w14:paraId="44A45FD7" w14:textId="6F32DC12" w:rsidR="003F50F0" w:rsidRPr="00A81D21" w:rsidRDefault="003F50F0" w:rsidP="003F50F0">
      <w:pPr>
        <w:pStyle w:val="Citas"/>
        <w:rPr>
          <w:b/>
          <w:bCs/>
        </w:rPr>
      </w:pPr>
      <w:r w:rsidRPr="00A81D21">
        <w:t xml:space="preserve">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A81D21">
        <w:rPr>
          <w:b/>
          <w:bCs/>
        </w:rPr>
        <w:t>(Sic)</w:t>
      </w:r>
    </w:p>
    <w:p w14:paraId="70FD9564" w14:textId="77777777" w:rsidR="003F50F0" w:rsidRPr="00A81D21" w:rsidRDefault="003F50F0" w:rsidP="003F50F0">
      <w:pPr>
        <w:rPr>
          <w:szCs w:val="24"/>
        </w:rPr>
      </w:pPr>
    </w:p>
    <w:p w14:paraId="4B5918CF"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 xml:space="preserve">Así, en un acto de autoridad se surte la debida fundamentación cuando se cita el precepto legal aplicable al caso concreto y la debida motivación cuando se expresan </w:t>
      </w:r>
      <w:r w:rsidRPr="00A81D21">
        <w:rPr>
          <w:rFonts w:ascii="Palatino Linotype" w:hAnsi="Palatino Linotype"/>
          <w:sz w:val="24"/>
          <w:szCs w:val="24"/>
        </w:rPr>
        <w:lastRenderedPageBreak/>
        <w:t>las razones, motivos o circunstancias que tomó en cuenta la autoridad para adecuar el hecho a los fundamentos de derecho.</w:t>
      </w:r>
    </w:p>
    <w:p w14:paraId="56BE158B"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262227C" w14:textId="520B1E00" w:rsidR="003F50F0" w:rsidRPr="00A81D21" w:rsidRDefault="003F50F0" w:rsidP="003F50F0">
      <w:pPr>
        <w:pStyle w:val="Citas"/>
        <w:rPr>
          <w:b/>
          <w:bCs/>
        </w:rPr>
      </w:pPr>
      <w:r w:rsidRPr="00A81D21">
        <w:rPr>
          <w:b/>
          <w:bCs/>
        </w:rPr>
        <w:t xml:space="preserve">“FUNDAMENTACIÓN Y MOTIVACIÓN. EL ASPECTO FORMAL DE LA GARANTÍA Y SU FINALIDAD SE TRADUCEN EN EXPLICAR, JUSTIFICAR, POSIBILITAR LA DEFENSA Y COMUNICAR LA DECISIÓN. </w:t>
      </w:r>
    </w:p>
    <w:p w14:paraId="59D1B4CE" w14:textId="2C3D6417" w:rsidR="003F50F0" w:rsidRPr="00A81D21" w:rsidRDefault="003F50F0" w:rsidP="003F50F0">
      <w:pPr>
        <w:pStyle w:val="Citas"/>
        <w:rPr>
          <w:b/>
          <w:bCs/>
        </w:rPr>
      </w:pPr>
      <w:r w:rsidRPr="00A81D21">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w:t>
      </w:r>
      <w:r w:rsidRPr="00A81D21">
        <w:lastRenderedPageBreak/>
        <w:t>mínimo pero suficiente para acreditar el razonamiento del que se deduzca la relación de pertenencia lógica de los hechos al derecho invocado, que es la subsunción.</w:t>
      </w:r>
      <w:r w:rsidR="00533298" w:rsidRPr="00A81D21">
        <w:t xml:space="preserve">” </w:t>
      </w:r>
      <w:r w:rsidR="00533298" w:rsidRPr="00A81D21">
        <w:rPr>
          <w:b/>
          <w:bCs/>
        </w:rPr>
        <w:t>(Sic)</w:t>
      </w:r>
    </w:p>
    <w:p w14:paraId="7910FFA0" w14:textId="77777777" w:rsidR="00600B92" w:rsidRPr="00A81D21" w:rsidRDefault="00600B92" w:rsidP="003F50F0">
      <w:pPr>
        <w:spacing w:line="360" w:lineRule="auto"/>
        <w:jc w:val="both"/>
        <w:rPr>
          <w:rFonts w:ascii="Palatino Linotype" w:hAnsi="Palatino Linotype"/>
          <w:sz w:val="24"/>
          <w:szCs w:val="24"/>
        </w:rPr>
      </w:pPr>
    </w:p>
    <w:p w14:paraId="1B810369" w14:textId="7C9EF459"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1EB2E22" w14:textId="77777777" w:rsidR="003F50F0" w:rsidRPr="00A81D21" w:rsidRDefault="003F50F0" w:rsidP="003F50F0">
      <w:pPr>
        <w:spacing w:line="360" w:lineRule="auto"/>
        <w:jc w:val="both"/>
        <w:rPr>
          <w:rFonts w:ascii="Palatino Linotype" w:hAnsi="Palatino Linotype"/>
          <w:sz w:val="24"/>
          <w:szCs w:val="24"/>
        </w:rPr>
      </w:pPr>
      <w:r w:rsidRPr="00A81D21">
        <w:rPr>
          <w:rFonts w:ascii="Palatino Linotype" w:hAnsi="Palatino Linotype"/>
          <w:sz w:val="24"/>
          <w:szCs w:val="24"/>
        </w:rPr>
        <w:t>Por lo tanto, la entrega de documentos en su versión pública debe acompañarse necesariamente del Acuerdo del Comité de Transparencia del Sujeto Obligado</w:t>
      </w:r>
      <w:r w:rsidRPr="00A81D21">
        <w:rPr>
          <w:rFonts w:ascii="Palatino Linotype" w:hAnsi="Palatino Linotype"/>
          <w:b/>
          <w:sz w:val="24"/>
          <w:szCs w:val="24"/>
        </w:rPr>
        <w:t xml:space="preserve"> </w:t>
      </w:r>
      <w:r w:rsidRPr="00A81D21">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6D1B6AC4" w14:textId="77777777" w:rsidR="0070449C" w:rsidRPr="00A81D21" w:rsidRDefault="0070449C" w:rsidP="0070449C">
      <w:pPr>
        <w:spacing w:after="0" w:line="360" w:lineRule="auto"/>
        <w:jc w:val="both"/>
        <w:rPr>
          <w:rFonts w:ascii="Palatino Linotype" w:hAnsi="Palatino Linotype" w:cs="Arial"/>
          <w:sz w:val="24"/>
          <w:szCs w:val="24"/>
        </w:rPr>
      </w:pPr>
      <w:r w:rsidRPr="00A81D21">
        <w:rPr>
          <w:rFonts w:ascii="Palatino Linotype" w:hAnsi="Palatino Linotype"/>
          <w:sz w:val="24"/>
          <w:szCs w:val="24"/>
        </w:rPr>
        <w:t xml:space="preserve">Cabe señalar que también deberá considerarse lo dispuesto por </w:t>
      </w:r>
      <w:r w:rsidRPr="00A81D21">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785CBB94" w14:textId="16D0E4E7" w:rsidR="0072591D" w:rsidRPr="00A81D21" w:rsidRDefault="0072591D" w:rsidP="0072591D">
      <w:pPr>
        <w:tabs>
          <w:tab w:val="left" w:pos="709"/>
        </w:tabs>
        <w:spacing w:before="240" w:line="360" w:lineRule="auto"/>
        <w:ind w:right="51"/>
        <w:jc w:val="both"/>
        <w:rPr>
          <w:rFonts w:ascii="Palatino Linotype" w:hAnsi="Palatino Linotype"/>
          <w:sz w:val="24"/>
          <w:szCs w:val="24"/>
        </w:rPr>
      </w:pPr>
      <w:r w:rsidRPr="00A81D21">
        <w:rPr>
          <w:rFonts w:ascii="Palatino Linotype" w:hAnsi="Palatino Linotype"/>
          <w:iCs/>
          <w:sz w:val="24"/>
          <w:szCs w:val="24"/>
        </w:rPr>
        <w:lastRenderedPageBreak/>
        <w:t xml:space="preserve">En mérito de lo expuesto </w:t>
      </w:r>
      <w:r w:rsidRPr="00A81D21">
        <w:rPr>
          <w:rFonts w:ascii="Palatino Linotype" w:hAnsi="Palatino Linotype"/>
          <w:sz w:val="24"/>
          <w:szCs w:val="24"/>
        </w:rPr>
        <w:t xml:space="preserve">en líneas anteriores, resultan parcialmente fundados los motivos de inconformidad vertidos por </w:t>
      </w:r>
      <w:r w:rsidRPr="00A81D21">
        <w:rPr>
          <w:rFonts w:ascii="Palatino Linotype" w:hAnsi="Palatino Linotype"/>
          <w:b/>
          <w:sz w:val="24"/>
          <w:szCs w:val="24"/>
        </w:rPr>
        <w:t xml:space="preserve">El Recurrente, </w:t>
      </w:r>
      <w:r w:rsidRPr="00A81D21">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A81D21">
        <w:rPr>
          <w:rFonts w:ascii="Palatino Linotype" w:hAnsi="Palatino Linotype"/>
          <w:b/>
          <w:sz w:val="24"/>
          <w:szCs w:val="24"/>
        </w:rPr>
        <w:t xml:space="preserve">MODIFICA </w:t>
      </w:r>
      <w:r w:rsidRPr="00A81D21">
        <w:rPr>
          <w:rFonts w:ascii="Palatino Linotype" w:hAnsi="Palatino Linotype"/>
          <w:sz w:val="24"/>
          <w:szCs w:val="24"/>
        </w:rPr>
        <w:t xml:space="preserve">la respuesta a la solicitud de información </w:t>
      </w:r>
      <w:r w:rsidRPr="00A81D21">
        <w:rPr>
          <w:rFonts w:ascii="Palatino Linotype" w:hAnsi="Palatino Linotype"/>
          <w:b/>
          <w:bCs/>
          <w:sz w:val="24"/>
          <w:szCs w:val="24"/>
        </w:rPr>
        <w:t xml:space="preserve">00107/COCOTIT/IP/2025, </w:t>
      </w:r>
      <w:r w:rsidRPr="00A81D21">
        <w:rPr>
          <w:rFonts w:ascii="Palatino Linotype" w:hAnsi="Palatino Linotype"/>
          <w:sz w:val="24"/>
          <w:szCs w:val="24"/>
        </w:rPr>
        <w:t xml:space="preserve">que ha sido materia del presente fallo. </w:t>
      </w:r>
    </w:p>
    <w:p w14:paraId="18951255" w14:textId="77777777" w:rsidR="0072591D" w:rsidRPr="00A81D21" w:rsidRDefault="0072591D" w:rsidP="0072591D">
      <w:pPr>
        <w:pStyle w:val="Prrafodelista"/>
        <w:spacing w:before="240" w:after="240" w:line="360" w:lineRule="auto"/>
        <w:ind w:left="0"/>
        <w:jc w:val="both"/>
        <w:rPr>
          <w:rFonts w:ascii="Palatino Linotype" w:hAnsi="Palatino Linotype"/>
        </w:rPr>
      </w:pPr>
      <w:r w:rsidRPr="00A81D21">
        <w:rPr>
          <w:rFonts w:ascii="Palatino Linotype" w:hAnsi="Palatino Linotype"/>
        </w:rPr>
        <w:t xml:space="preserve">Por lo antes expuesto y fundado es de resolverse y, </w:t>
      </w:r>
    </w:p>
    <w:p w14:paraId="29ECFA35" w14:textId="77777777" w:rsidR="0072591D" w:rsidRPr="00A81D21" w:rsidRDefault="0072591D" w:rsidP="0072591D">
      <w:pPr>
        <w:spacing w:before="240" w:line="360" w:lineRule="auto"/>
        <w:jc w:val="center"/>
        <w:rPr>
          <w:rFonts w:ascii="Palatino Linotype" w:eastAsia="Times New Roman" w:hAnsi="Palatino Linotype"/>
          <w:b/>
          <w:bCs/>
          <w:spacing w:val="60"/>
          <w:sz w:val="24"/>
          <w:szCs w:val="24"/>
          <w:lang w:val="es-ES_tradnl"/>
        </w:rPr>
      </w:pPr>
    </w:p>
    <w:p w14:paraId="034786FE" w14:textId="77777777" w:rsidR="0072591D" w:rsidRPr="00A81D21" w:rsidRDefault="0072591D" w:rsidP="0072591D">
      <w:pPr>
        <w:spacing w:before="240" w:line="360" w:lineRule="auto"/>
        <w:jc w:val="center"/>
        <w:rPr>
          <w:rFonts w:ascii="Palatino Linotype" w:eastAsia="Times New Roman" w:hAnsi="Palatino Linotype"/>
          <w:b/>
          <w:bCs/>
          <w:spacing w:val="60"/>
          <w:sz w:val="24"/>
          <w:szCs w:val="24"/>
          <w:lang w:val="es-ES_tradnl"/>
        </w:rPr>
      </w:pPr>
      <w:r w:rsidRPr="00A81D21">
        <w:rPr>
          <w:rFonts w:ascii="Palatino Linotype" w:eastAsia="Times New Roman" w:hAnsi="Palatino Linotype"/>
          <w:b/>
          <w:bCs/>
          <w:spacing w:val="60"/>
          <w:sz w:val="24"/>
          <w:szCs w:val="24"/>
          <w:lang w:val="es-ES_tradnl"/>
        </w:rPr>
        <w:t>SE    RESUELVE</w:t>
      </w:r>
    </w:p>
    <w:p w14:paraId="6A12798A" w14:textId="53AE44E1" w:rsidR="0072591D" w:rsidRPr="00A81D21" w:rsidRDefault="0072591D" w:rsidP="0072591D">
      <w:pPr>
        <w:spacing w:before="240" w:line="360" w:lineRule="auto"/>
        <w:jc w:val="both"/>
        <w:rPr>
          <w:rFonts w:ascii="Palatino Linotype" w:hAnsi="Palatino Linotype" w:cs="Arial"/>
          <w:sz w:val="24"/>
        </w:rPr>
      </w:pPr>
      <w:r w:rsidRPr="00A81D21">
        <w:rPr>
          <w:rFonts w:ascii="Palatino Linotype" w:hAnsi="Palatino Linotype" w:cs="Arial"/>
          <w:b/>
          <w:sz w:val="24"/>
          <w:szCs w:val="24"/>
          <w:lang w:val="es-ES_tradnl"/>
        </w:rPr>
        <w:t>PRIMERO.</w:t>
      </w:r>
      <w:r w:rsidRPr="00A81D21">
        <w:rPr>
          <w:rFonts w:ascii="Palatino Linotype" w:hAnsi="Palatino Linotype" w:cs="Arial"/>
          <w:sz w:val="24"/>
          <w:szCs w:val="24"/>
          <w:lang w:val="es-ES_tradnl"/>
        </w:rPr>
        <w:t xml:space="preserve"> </w:t>
      </w:r>
      <w:r w:rsidRPr="00A81D21">
        <w:rPr>
          <w:rFonts w:ascii="Palatino Linotype" w:hAnsi="Palatino Linotype" w:cs="Arial"/>
          <w:sz w:val="24"/>
          <w:szCs w:val="24"/>
        </w:rPr>
        <w:t xml:space="preserve">Se </w:t>
      </w:r>
      <w:r w:rsidRPr="00A81D21">
        <w:rPr>
          <w:rFonts w:ascii="Palatino Linotype" w:hAnsi="Palatino Linotype" w:cs="Arial"/>
          <w:b/>
          <w:sz w:val="24"/>
          <w:szCs w:val="24"/>
        </w:rPr>
        <w:t xml:space="preserve">MODIFICA </w:t>
      </w:r>
      <w:r w:rsidRPr="00A81D21">
        <w:rPr>
          <w:rFonts w:ascii="Palatino Linotype" w:hAnsi="Palatino Linotype" w:cs="Arial"/>
          <w:sz w:val="24"/>
          <w:szCs w:val="24"/>
        </w:rPr>
        <w:t xml:space="preserve">la respuesta entregada por </w:t>
      </w:r>
      <w:r w:rsidRPr="00A81D21">
        <w:rPr>
          <w:rFonts w:ascii="Palatino Linotype" w:hAnsi="Palatino Linotype" w:cs="Arial"/>
          <w:b/>
          <w:sz w:val="24"/>
          <w:szCs w:val="24"/>
        </w:rPr>
        <w:t xml:space="preserve">EL SUJETO OBLIGADO, </w:t>
      </w:r>
      <w:r w:rsidRPr="00A81D21">
        <w:rPr>
          <w:rFonts w:ascii="Palatino Linotype" w:hAnsi="Palatino Linotype" w:cs="Arial"/>
          <w:sz w:val="24"/>
          <w:szCs w:val="24"/>
        </w:rPr>
        <w:t xml:space="preserve">a la solicitud de información número </w:t>
      </w:r>
      <w:r w:rsidRPr="00A81D21">
        <w:rPr>
          <w:rFonts w:ascii="Palatino Linotype" w:hAnsi="Palatino Linotype"/>
          <w:b/>
          <w:bCs/>
          <w:sz w:val="24"/>
          <w:szCs w:val="24"/>
        </w:rPr>
        <w:t>00107/COCOTIT/IP/2025</w:t>
      </w:r>
      <w:r w:rsidRPr="00A81D21">
        <w:rPr>
          <w:rFonts w:ascii="Palatino Linotype" w:hAnsi="Palatino Linotype" w:cs="Arial"/>
          <w:b/>
          <w:sz w:val="24"/>
        </w:rPr>
        <w:t xml:space="preserve">, </w:t>
      </w:r>
      <w:r w:rsidRPr="00A81D21">
        <w:rPr>
          <w:rFonts w:ascii="Palatino Linotype" w:hAnsi="Palatino Linotype" w:cs="Arial"/>
          <w:sz w:val="24"/>
        </w:rPr>
        <w:t xml:space="preserve">por resultar parcialmente fundados los motivos de inconformidad que arguye </w:t>
      </w:r>
      <w:r w:rsidRPr="00A81D21">
        <w:rPr>
          <w:rFonts w:ascii="Palatino Linotype" w:hAnsi="Palatino Linotype" w:cs="Arial"/>
          <w:b/>
          <w:sz w:val="24"/>
        </w:rPr>
        <w:t xml:space="preserve">EL RECURRENTE, </w:t>
      </w:r>
      <w:r w:rsidRPr="00A81D21">
        <w:rPr>
          <w:rFonts w:ascii="Palatino Linotype" w:hAnsi="Palatino Linotype" w:cs="Arial"/>
          <w:sz w:val="24"/>
        </w:rPr>
        <w:t xml:space="preserve">en términos del </w:t>
      </w:r>
      <w:r w:rsidRPr="00A81D21">
        <w:rPr>
          <w:rFonts w:ascii="Palatino Linotype" w:hAnsi="Palatino Linotype" w:cs="Arial"/>
          <w:b/>
          <w:sz w:val="24"/>
        </w:rPr>
        <w:t xml:space="preserve">Considerando CUARTO </w:t>
      </w:r>
      <w:r w:rsidRPr="00A81D21">
        <w:rPr>
          <w:rFonts w:ascii="Palatino Linotype" w:hAnsi="Palatino Linotype" w:cs="Arial"/>
          <w:sz w:val="24"/>
        </w:rPr>
        <w:t xml:space="preserve">de la presente resolución. </w:t>
      </w:r>
    </w:p>
    <w:p w14:paraId="2DAAFF46" w14:textId="77777777" w:rsidR="008C7637" w:rsidRPr="00A81D21" w:rsidRDefault="008C7637" w:rsidP="008C7637">
      <w:pPr>
        <w:autoSpaceDE w:val="0"/>
        <w:autoSpaceDN w:val="0"/>
        <w:adjustRightInd w:val="0"/>
        <w:spacing w:before="240" w:line="360" w:lineRule="auto"/>
        <w:ind w:right="49"/>
        <w:jc w:val="both"/>
        <w:rPr>
          <w:rFonts w:ascii="Palatino Linotype" w:hAnsi="Palatino Linotype" w:cs="Arial"/>
          <w:b/>
          <w:sz w:val="24"/>
          <w:szCs w:val="24"/>
        </w:rPr>
      </w:pPr>
    </w:p>
    <w:p w14:paraId="140FFA0C" w14:textId="7AA46268" w:rsidR="008C7637" w:rsidRPr="00A81D21" w:rsidRDefault="008C7637" w:rsidP="008C7637">
      <w:pPr>
        <w:autoSpaceDE w:val="0"/>
        <w:autoSpaceDN w:val="0"/>
        <w:adjustRightInd w:val="0"/>
        <w:spacing w:before="240" w:line="360" w:lineRule="auto"/>
        <w:ind w:right="49"/>
        <w:jc w:val="both"/>
        <w:rPr>
          <w:rFonts w:ascii="Palatino Linotype" w:hAnsi="Palatino Linotype" w:cs="Arial"/>
          <w:sz w:val="24"/>
          <w:szCs w:val="24"/>
        </w:rPr>
      </w:pPr>
      <w:r w:rsidRPr="00A81D21">
        <w:rPr>
          <w:rFonts w:ascii="Palatino Linotype" w:hAnsi="Palatino Linotype" w:cs="Arial"/>
          <w:b/>
          <w:sz w:val="24"/>
          <w:szCs w:val="24"/>
        </w:rPr>
        <w:t>SEGUNDO.</w:t>
      </w:r>
      <w:r w:rsidRPr="00A81D21">
        <w:rPr>
          <w:rFonts w:ascii="Palatino Linotype" w:hAnsi="Palatino Linotype" w:cs="Arial"/>
          <w:sz w:val="24"/>
          <w:szCs w:val="24"/>
        </w:rPr>
        <w:t xml:space="preserve"> Se </w:t>
      </w:r>
      <w:r w:rsidRPr="00A81D21">
        <w:rPr>
          <w:rFonts w:ascii="Palatino Linotype" w:hAnsi="Palatino Linotype" w:cs="Arial"/>
          <w:b/>
          <w:sz w:val="24"/>
          <w:szCs w:val="24"/>
        </w:rPr>
        <w:t>ORDENA</w:t>
      </w:r>
      <w:r w:rsidRPr="00A81D21">
        <w:rPr>
          <w:rFonts w:ascii="Palatino Linotype" w:hAnsi="Palatino Linotype" w:cs="Arial"/>
          <w:sz w:val="24"/>
          <w:szCs w:val="24"/>
        </w:rPr>
        <w:t xml:space="preserve"> al </w:t>
      </w:r>
      <w:r w:rsidRPr="00A81D21">
        <w:rPr>
          <w:rFonts w:ascii="Palatino Linotype" w:hAnsi="Palatino Linotype" w:cs="Arial"/>
          <w:b/>
          <w:sz w:val="24"/>
          <w:szCs w:val="24"/>
        </w:rPr>
        <w:t>SUJETO OBLIGADO</w:t>
      </w:r>
      <w:r w:rsidRPr="00A81D21">
        <w:rPr>
          <w:rFonts w:ascii="Palatino Linotype" w:hAnsi="Palatino Linotype" w:cs="Arial"/>
          <w:sz w:val="24"/>
          <w:szCs w:val="24"/>
        </w:rPr>
        <w:t xml:space="preserve"> hacer entrega al </w:t>
      </w:r>
      <w:r w:rsidRPr="00A81D21">
        <w:rPr>
          <w:rFonts w:ascii="Palatino Linotype" w:hAnsi="Palatino Linotype" w:cs="Arial"/>
          <w:b/>
          <w:bCs/>
          <w:sz w:val="24"/>
          <w:szCs w:val="24"/>
        </w:rPr>
        <w:t xml:space="preserve">RECURRENTE, </w:t>
      </w:r>
      <w:r w:rsidRPr="00A81D21">
        <w:rPr>
          <w:rFonts w:ascii="Palatino Linotype" w:eastAsia="Times New Roman" w:hAnsi="Palatino Linotype" w:cs="Arial"/>
          <w:b/>
          <w:sz w:val="24"/>
          <w:szCs w:val="24"/>
          <w:lang w:eastAsia="es-ES"/>
        </w:rPr>
        <w:t xml:space="preserve">vía </w:t>
      </w:r>
      <w:r w:rsidRPr="00A81D21">
        <w:rPr>
          <w:rFonts w:ascii="Palatino Linotype" w:hAnsi="Palatino Linotype" w:cs="Arial"/>
          <w:sz w:val="24"/>
          <w:szCs w:val="24"/>
        </w:rPr>
        <w:t xml:space="preserve">Sistema de Acceso a la Información Mexiquense </w:t>
      </w:r>
      <w:r w:rsidRPr="00A81D21">
        <w:rPr>
          <w:rFonts w:ascii="Palatino Linotype" w:hAnsi="Palatino Linotype" w:cs="Arial"/>
          <w:b/>
          <w:sz w:val="24"/>
          <w:szCs w:val="24"/>
        </w:rPr>
        <w:t>(SAIMEX) y copias certificadas (con costo)</w:t>
      </w:r>
      <w:r w:rsidRPr="00A81D21">
        <w:rPr>
          <w:rFonts w:ascii="Palatino Linotype" w:hAnsi="Palatino Linotype" w:cs="Arial"/>
          <w:b/>
          <w:bCs/>
          <w:sz w:val="24"/>
          <w:szCs w:val="24"/>
        </w:rPr>
        <w:t xml:space="preserve"> </w:t>
      </w:r>
      <w:r w:rsidRPr="00A81D21">
        <w:rPr>
          <w:rFonts w:ascii="Palatino Linotype" w:hAnsi="Palatino Linotype" w:cs="Arial"/>
          <w:sz w:val="24"/>
          <w:szCs w:val="24"/>
        </w:rPr>
        <w:t xml:space="preserve">en términos del Considerando </w:t>
      </w:r>
      <w:r w:rsidRPr="00A81D21">
        <w:rPr>
          <w:rFonts w:ascii="Palatino Linotype" w:hAnsi="Palatino Linotype" w:cs="Arial"/>
          <w:b/>
          <w:sz w:val="24"/>
          <w:szCs w:val="24"/>
        </w:rPr>
        <w:t xml:space="preserve">CUARTO </w:t>
      </w:r>
      <w:r w:rsidRPr="00A81D21">
        <w:rPr>
          <w:rFonts w:ascii="Palatino Linotype" w:hAnsi="Palatino Linotype" w:cs="Arial"/>
          <w:sz w:val="24"/>
          <w:szCs w:val="24"/>
        </w:rPr>
        <w:t>de esta resolución</w:t>
      </w:r>
      <w:r w:rsidRPr="00A81D21">
        <w:rPr>
          <w:rFonts w:ascii="Palatino Linotype" w:hAnsi="Palatino Linotype" w:cs="Arial"/>
          <w:b/>
          <w:sz w:val="24"/>
          <w:szCs w:val="24"/>
        </w:rPr>
        <w:t xml:space="preserve">, </w:t>
      </w:r>
      <w:r w:rsidRPr="00A81D21">
        <w:rPr>
          <w:rFonts w:ascii="Palatino Linotype" w:hAnsi="Palatino Linotype" w:cs="Arial"/>
          <w:sz w:val="24"/>
          <w:szCs w:val="24"/>
        </w:rPr>
        <w:t>de lo siguiente:</w:t>
      </w:r>
    </w:p>
    <w:p w14:paraId="07490AD2" w14:textId="20FCC4C7" w:rsidR="008C7637" w:rsidRPr="00A81D21" w:rsidRDefault="008C7637" w:rsidP="0038610C">
      <w:pPr>
        <w:pStyle w:val="Citas"/>
        <w:numPr>
          <w:ilvl w:val="0"/>
          <w:numId w:val="9"/>
        </w:numPr>
        <w:ind w:right="0"/>
        <w:rPr>
          <w:iCs/>
          <w:sz w:val="24"/>
          <w:szCs w:val="24"/>
        </w:rPr>
      </w:pPr>
      <w:r w:rsidRPr="00A81D21">
        <w:rPr>
          <w:iCs/>
          <w:sz w:val="24"/>
          <w:szCs w:val="24"/>
        </w:rPr>
        <w:t xml:space="preserve">Recibos, comprobantes de pago o CFDI expedidos a favor de los directores que conforman el organigrama 2025-2027, del periodo comprendido del uno al quince de febrero de dos mil veinticinco. </w:t>
      </w:r>
    </w:p>
    <w:p w14:paraId="45BE4042" w14:textId="77777777" w:rsidR="008C7637" w:rsidRPr="00A81D21" w:rsidRDefault="008C7637" w:rsidP="008C7637">
      <w:pPr>
        <w:pStyle w:val="Sinespaciado"/>
        <w:spacing w:line="360" w:lineRule="auto"/>
        <w:ind w:left="720"/>
        <w:jc w:val="both"/>
        <w:rPr>
          <w:rFonts w:ascii="Palatino Linotype" w:hAnsi="Palatino Linotype" w:cs="Arial"/>
          <w:i/>
        </w:rPr>
      </w:pPr>
      <w:r w:rsidRPr="00A81D21">
        <w:rPr>
          <w:rFonts w:ascii="Palatino Linotype" w:hAnsi="Palatino Linotype" w:cs="Arial"/>
          <w:i/>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89DFA32" w14:textId="518D5125" w:rsidR="0072591D" w:rsidRPr="00A81D21" w:rsidRDefault="0072591D" w:rsidP="0072591D">
      <w:pPr>
        <w:pStyle w:val="infoem0"/>
        <w:ind w:left="708" w:right="0"/>
        <w:rPr>
          <w:sz w:val="24"/>
        </w:rPr>
      </w:pPr>
      <w:r w:rsidRPr="00A81D21">
        <w:rPr>
          <w:sz w:val="24"/>
        </w:rPr>
        <w:t xml:space="preserve">Para la entrega de la información en copias certificadas, el Sujeto Obligado a través del </w:t>
      </w:r>
      <w:r w:rsidRPr="00A81D21">
        <w:rPr>
          <w:b/>
          <w:bCs/>
          <w:sz w:val="24"/>
        </w:rPr>
        <w:t>SAIMEX,</w:t>
      </w:r>
      <w:r w:rsidRPr="00A81D21">
        <w:rPr>
          <w:sz w:val="24"/>
        </w:rPr>
        <w:t xml:space="preserve"> deberá indicar el procedimiento para el pago, monto a cubrir por los derechos respectivos, los días y horarios de atención, el domicilio de la Unidad de Transparencia y el nombre del servidor público que le atenderá.</w:t>
      </w:r>
    </w:p>
    <w:p w14:paraId="157AF329" w14:textId="77777777" w:rsidR="0072591D" w:rsidRPr="00A81D21" w:rsidRDefault="0072591D" w:rsidP="008C7637">
      <w:pPr>
        <w:pStyle w:val="Sinespaciado"/>
        <w:spacing w:line="360" w:lineRule="auto"/>
        <w:ind w:left="720"/>
        <w:jc w:val="both"/>
        <w:rPr>
          <w:rFonts w:ascii="Palatino Linotype" w:hAnsi="Palatino Linotype" w:cs="Arial"/>
          <w:i/>
        </w:rPr>
      </w:pPr>
    </w:p>
    <w:p w14:paraId="3E4EDDEC" w14:textId="77777777" w:rsidR="008C7637" w:rsidRPr="00A81D21" w:rsidRDefault="008C7637" w:rsidP="008C7637">
      <w:pPr>
        <w:autoSpaceDE w:val="0"/>
        <w:autoSpaceDN w:val="0"/>
        <w:adjustRightInd w:val="0"/>
        <w:spacing w:line="360" w:lineRule="auto"/>
        <w:ind w:right="49"/>
        <w:jc w:val="both"/>
        <w:rPr>
          <w:rFonts w:ascii="Palatino Linotype" w:hAnsi="Palatino Linotype" w:cstheme="minorHAnsi"/>
          <w:sz w:val="24"/>
          <w:szCs w:val="24"/>
        </w:rPr>
      </w:pPr>
      <w:r w:rsidRPr="00A81D21">
        <w:rPr>
          <w:rFonts w:ascii="Palatino Linotype" w:hAnsi="Palatino Linotype" w:cs="Arial"/>
          <w:b/>
          <w:sz w:val="28"/>
          <w:szCs w:val="28"/>
        </w:rPr>
        <w:t>TERCERO.</w:t>
      </w:r>
      <w:r w:rsidRPr="00A81D21">
        <w:rPr>
          <w:rFonts w:ascii="Palatino Linotype" w:hAnsi="Palatino Linotype" w:cs="Arial"/>
          <w:b/>
          <w:sz w:val="24"/>
          <w:szCs w:val="24"/>
        </w:rPr>
        <w:t xml:space="preserve"> </w:t>
      </w:r>
      <w:r w:rsidRPr="00A81D21">
        <w:rPr>
          <w:rFonts w:ascii="Palatino Linotype" w:hAnsi="Palatino Linotype" w:cstheme="minorHAnsi"/>
          <w:b/>
          <w:sz w:val="24"/>
          <w:szCs w:val="24"/>
        </w:rPr>
        <w:t>NOTIFÍQUESE</w:t>
      </w:r>
      <w:r w:rsidRPr="00A81D21">
        <w:rPr>
          <w:rFonts w:ascii="Palatino Linotype" w:hAnsi="Palatino Linotype" w:cstheme="minorHAnsi"/>
          <w:i/>
          <w:sz w:val="24"/>
          <w:szCs w:val="24"/>
        </w:rPr>
        <w:t xml:space="preserve"> </w:t>
      </w:r>
      <w:r w:rsidRPr="00A81D21">
        <w:rPr>
          <w:rFonts w:ascii="Palatino Linotype" w:hAnsi="Palatino Linotype" w:cstheme="minorHAnsi"/>
          <w:sz w:val="24"/>
          <w:szCs w:val="24"/>
        </w:rPr>
        <w:t xml:space="preserve">la presente resolución al Titular de la Unidad de Transparencia del Sujeto Obligado, </w:t>
      </w:r>
      <w:r w:rsidRPr="00A81D21">
        <w:rPr>
          <w:rFonts w:ascii="Palatino Linotype" w:eastAsia="Times New Roman" w:hAnsi="Palatino Linotype" w:cs="Arial"/>
          <w:b/>
          <w:sz w:val="24"/>
          <w:szCs w:val="24"/>
          <w:lang w:eastAsia="es-ES"/>
        </w:rPr>
        <w:t xml:space="preserve">vía </w:t>
      </w:r>
      <w:r w:rsidRPr="00A81D21">
        <w:rPr>
          <w:rFonts w:ascii="Palatino Linotype" w:hAnsi="Palatino Linotype" w:cs="Arial"/>
          <w:sz w:val="24"/>
          <w:szCs w:val="24"/>
        </w:rPr>
        <w:t xml:space="preserve">Sistema de Acceso a la Información Mexiquense </w:t>
      </w:r>
      <w:r w:rsidRPr="00A81D21">
        <w:rPr>
          <w:rFonts w:ascii="Palatino Linotype" w:hAnsi="Palatino Linotype" w:cs="Arial"/>
          <w:b/>
          <w:sz w:val="24"/>
          <w:szCs w:val="24"/>
        </w:rPr>
        <w:t xml:space="preserve">(SAIMEX), </w:t>
      </w:r>
      <w:r w:rsidRPr="00A81D21">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A48A29" w14:textId="77777777" w:rsidR="008C7637" w:rsidRPr="00A81D21" w:rsidRDefault="008C7637" w:rsidP="008C7637">
      <w:pPr>
        <w:autoSpaceDE w:val="0"/>
        <w:autoSpaceDN w:val="0"/>
        <w:adjustRightInd w:val="0"/>
        <w:spacing w:line="360" w:lineRule="auto"/>
        <w:ind w:right="49"/>
        <w:jc w:val="both"/>
        <w:rPr>
          <w:rFonts w:ascii="Palatino Linotype" w:hAnsi="Palatino Linotype" w:cs="Arial"/>
          <w:sz w:val="24"/>
          <w:szCs w:val="24"/>
        </w:rPr>
      </w:pPr>
    </w:p>
    <w:p w14:paraId="2D554886" w14:textId="77777777" w:rsidR="008C7637" w:rsidRPr="00A81D21" w:rsidRDefault="008C7637" w:rsidP="008C7637">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81D21">
        <w:rPr>
          <w:rFonts w:ascii="Palatino Linotype" w:eastAsia="Times New Roman" w:hAnsi="Palatino Linotype" w:cs="Arial"/>
          <w:b/>
          <w:sz w:val="28"/>
          <w:szCs w:val="28"/>
          <w:lang w:eastAsia="es-ES"/>
        </w:rPr>
        <w:lastRenderedPageBreak/>
        <w:t>CUARTO.</w:t>
      </w:r>
      <w:r w:rsidRPr="00A81D21">
        <w:rPr>
          <w:rFonts w:ascii="Palatino Linotype" w:eastAsia="Times New Roman" w:hAnsi="Palatino Linotype" w:cs="Arial"/>
          <w:b/>
          <w:sz w:val="24"/>
          <w:szCs w:val="24"/>
          <w:lang w:eastAsia="es-ES"/>
        </w:rPr>
        <w:t xml:space="preserve"> </w:t>
      </w:r>
      <w:r w:rsidRPr="00A81D21">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A81D21">
        <w:rPr>
          <w:rFonts w:ascii="Palatino Linotype" w:eastAsia="Times New Roman" w:hAnsi="Palatino Linotype" w:cs="Arial"/>
          <w:b/>
          <w:sz w:val="24"/>
          <w:szCs w:val="24"/>
          <w:lang w:eastAsia="es-ES"/>
        </w:rPr>
        <w:t>Sujeto Obligado</w:t>
      </w:r>
      <w:r w:rsidRPr="00A81D21">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3BCBF972" w14:textId="77777777" w:rsidR="008C7637" w:rsidRPr="00A81D21" w:rsidRDefault="008C7637" w:rsidP="008C7637">
      <w:pPr>
        <w:spacing w:after="0" w:line="360" w:lineRule="auto"/>
        <w:jc w:val="both"/>
        <w:rPr>
          <w:rFonts w:ascii="Palatino Linotype" w:eastAsia="Times New Roman" w:hAnsi="Palatino Linotype" w:cs="Arial"/>
          <w:b/>
          <w:sz w:val="28"/>
          <w:szCs w:val="28"/>
          <w:lang w:eastAsia="es-ES"/>
        </w:rPr>
      </w:pPr>
    </w:p>
    <w:p w14:paraId="1B2D702B" w14:textId="77777777" w:rsidR="008C7637" w:rsidRPr="00A81D21" w:rsidRDefault="008C7637" w:rsidP="008C7637">
      <w:pPr>
        <w:spacing w:after="0" w:line="360" w:lineRule="auto"/>
        <w:jc w:val="both"/>
        <w:rPr>
          <w:rFonts w:ascii="Palatino Linotype" w:hAnsi="Palatino Linotype"/>
          <w:sz w:val="24"/>
          <w:szCs w:val="24"/>
        </w:rPr>
      </w:pPr>
      <w:r w:rsidRPr="00A81D21">
        <w:rPr>
          <w:rFonts w:ascii="Palatino Linotype" w:eastAsia="Times New Roman" w:hAnsi="Palatino Linotype" w:cs="Arial"/>
          <w:b/>
          <w:sz w:val="28"/>
          <w:szCs w:val="28"/>
          <w:lang w:eastAsia="es-ES"/>
        </w:rPr>
        <w:t>QUINTO.</w:t>
      </w:r>
      <w:r w:rsidRPr="00A81D21">
        <w:rPr>
          <w:rFonts w:ascii="Palatino Linotype" w:eastAsia="Times New Roman" w:hAnsi="Palatino Linotype" w:cs="Arial"/>
          <w:b/>
          <w:sz w:val="24"/>
          <w:szCs w:val="24"/>
          <w:lang w:eastAsia="es-ES"/>
        </w:rPr>
        <w:t xml:space="preserve"> NOTIFÍQUESE </w:t>
      </w:r>
      <w:r w:rsidRPr="00A81D21">
        <w:rPr>
          <w:rFonts w:ascii="Palatino Linotype" w:eastAsia="Times New Roman" w:hAnsi="Palatino Linotype" w:cs="Arial"/>
          <w:sz w:val="24"/>
          <w:szCs w:val="24"/>
          <w:lang w:eastAsia="es-ES"/>
        </w:rPr>
        <w:t xml:space="preserve">la presente resolución al </w:t>
      </w:r>
      <w:r w:rsidRPr="00A81D21">
        <w:rPr>
          <w:rFonts w:ascii="Palatino Linotype" w:eastAsia="Times New Roman" w:hAnsi="Palatino Linotype" w:cs="Arial"/>
          <w:b/>
          <w:sz w:val="24"/>
          <w:szCs w:val="24"/>
          <w:lang w:eastAsia="es-ES"/>
        </w:rPr>
        <w:t xml:space="preserve">RECURRENTE vía </w:t>
      </w:r>
      <w:r w:rsidRPr="00A81D21">
        <w:rPr>
          <w:rFonts w:ascii="Palatino Linotype" w:hAnsi="Palatino Linotype" w:cs="Arial"/>
          <w:sz w:val="24"/>
          <w:szCs w:val="24"/>
        </w:rPr>
        <w:t xml:space="preserve">Sistema de Acceso a la Información Mexiquense </w:t>
      </w:r>
      <w:r w:rsidRPr="00A81D21">
        <w:rPr>
          <w:rFonts w:ascii="Palatino Linotype" w:hAnsi="Palatino Linotype" w:cs="Arial"/>
          <w:b/>
          <w:sz w:val="24"/>
          <w:szCs w:val="24"/>
        </w:rPr>
        <w:t xml:space="preserve">(SAIMEX) </w:t>
      </w:r>
      <w:r w:rsidRPr="00A81D21">
        <w:rPr>
          <w:rFonts w:ascii="Palatino Linotype" w:eastAsia="Times New Roman" w:hAnsi="Palatino Linotype" w:cs="Arial"/>
          <w:sz w:val="24"/>
          <w:szCs w:val="24"/>
          <w:lang w:eastAsia="es-ES"/>
        </w:rPr>
        <w:t xml:space="preserve">y hágase de su conocimiento que, </w:t>
      </w:r>
      <w:r w:rsidRPr="00A81D21">
        <w:rPr>
          <w:rFonts w:ascii="Palatino Linotype" w:eastAsia="Times New Roman" w:hAnsi="Palatino Linotype" w:cs="Times New Roman"/>
          <w:color w:val="222222"/>
          <w:sz w:val="24"/>
          <w:szCs w:val="24"/>
          <w:shd w:val="clear" w:color="auto" w:fill="FFFFFF"/>
          <w:lang w:eastAsia="es-ES"/>
        </w:rPr>
        <w:t xml:space="preserve">de conformidad con lo </w:t>
      </w:r>
      <w:r w:rsidRPr="00A81D21">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A81D21">
        <w:rPr>
          <w:rFonts w:ascii="Palatino Linotype" w:eastAsia="Times New Roman" w:hAnsi="Palatino Linotype" w:cs="Times New Roman"/>
          <w:color w:val="222222"/>
          <w:sz w:val="24"/>
          <w:szCs w:val="24"/>
          <w:shd w:val="clear" w:color="auto" w:fill="FFFFFF"/>
          <w:lang w:eastAsia="es-ES"/>
        </w:rPr>
        <w:t xml:space="preserve">leyes </w:t>
      </w:r>
      <w:r w:rsidRPr="00A81D21">
        <w:rPr>
          <w:rFonts w:ascii="Palatino Linotype" w:eastAsia="Times New Roman" w:hAnsi="Palatino Linotype" w:cs="Times New Roman"/>
          <w:color w:val="222222"/>
          <w:sz w:val="24"/>
          <w:szCs w:val="24"/>
          <w:lang w:eastAsia="es-ES"/>
        </w:rPr>
        <w:t>aplicables.</w:t>
      </w:r>
    </w:p>
    <w:p w14:paraId="23F9AC61" w14:textId="77777777" w:rsidR="007961D1" w:rsidRPr="00A81D21" w:rsidRDefault="007961D1" w:rsidP="000D1C55">
      <w:pPr>
        <w:spacing w:line="360" w:lineRule="auto"/>
        <w:jc w:val="both"/>
        <w:rPr>
          <w:rFonts w:ascii="Palatino Linotype" w:hAnsi="Palatino Linotype" w:cs="Arial"/>
          <w:sz w:val="21"/>
          <w:szCs w:val="21"/>
        </w:rPr>
      </w:pPr>
    </w:p>
    <w:p w14:paraId="13EE8C70" w14:textId="2EB77AC7" w:rsidR="000D1C55" w:rsidRPr="00A81D21" w:rsidRDefault="000D1C55" w:rsidP="000D1C55">
      <w:pPr>
        <w:spacing w:line="360" w:lineRule="auto"/>
        <w:jc w:val="both"/>
        <w:rPr>
          <w:rFonts w:ascii="Palatino Linotype" w:hAnsi="Palatino Linotype" w:cs="Arial"/>
        </w:rPr>
      </w:pPr>
      <w:r w:rsidRPr="00A81D21">
        <w:rPr>
          <w:rFonts w:ascii="Palatino Linotype" w:hAnsi="Palatino Linotype" w:cs="Arial"/>
        </w:rPr>
        <w:t>ASÍ LO RESUELVE, POR UNANIMIDAD DE VOTOS EL PLENO DEL</w:t>
      </w:r>
      <w:r w:rsidRPr="00A81D21">
        <w:rPr>
          <w:rFonts w:ascii="Palatino Linotype" w:eastAsia="Arial Unicode MS" w:hAnsi="Palatino Linotype" w:cs="Arial"/>
        </w:rPr>
        <w:t xml:space="preserve"> INSTITUTO DE TRANSPARENCIA, ACCESO A LA INFORMACIÓN PÚBLICA Y PROTECCIÓN DE DATOS PERSONALES DEL ESTADO DE MÉXICO Y MUNICIPIOS</w:t>
      </w:r>
      <w:r w:rsidRPr="00A81D21">
        <w:rPr>
          <w:rFonts w:ascii="Palatino Linotype" w:hAnsi="Palatino Linotype" w:cs="Arial"/>
        </w:rPr>
        <w:t xml:space="preserve">, CONFORMADO POR LOS COMISIONADOS JOSÉ </w:t>
      </w:r>
      <w:r w:rsidR="0072591D" w:rsidRPr="00A81D21">
        <w:rPr>
          <w:rFonts w:ascii="Palatino Linotype" w:hAnsi="Palatino Linotype" w:cs="Arial"/>
        </w:rPr>
        <w:t>MARTÍNEZ VILCHIS, MARÍA DEL ROSARIO MEJÍA AYALA</w:t>
      </w:r>
      <w:r w:rsidR="00A6585F" w:rsidRPr="00A81D21">
        <w:rPr>
          <w:rFonts w:ascii="Palatino Linotype" w:hAnsi="Palatino Linotype" w:cs="Arial"/>
        </w:rPr>
        <w:t xml:space="preserve"> (EMITIENDO VOTO PARTICULAR CONCURRENTE), </w:t>
      </w:r>
      <w:r w:rsidR="0072591D" w:rsidRPr="00A81D21">
        <w:rPr>
          <w:rFonts w:ascii="Palatino Linotype" w:hAnsi="Palatino Linotype" w:cs="Arial"/>
        </w:rPr>
        <w:t xml:space="preserve">SHARON CRISTINA MORALES MARTÍNEZ, LUIS GUSTAVO PARRA </w:t>
      </w:r>
      <w:r w:rsidR="00A6585F" w:rsidRPr="00A81D21">
        <w:rPr>
          <w:rFonts w:ascii="Palatino Linotype" w:hAnsi="Palatino Linotype" w:cs="Arial"/>
        </w:rPr>
        <w:t xml:space="preserve">NORIEGA (EMITIENDO VOTO PARTICULAR CONCURRENTE) </w:t>
      </w:r>
      <w:r w:rsidR="0072591D" w:rsidRPr="00A81D21">
        <w:rPr>
          <w:rFonts w:ascii="Palatino Linotype" w:hAnsi="Palatino Linotype" w:cs="Arial"/>
        </w:rPr>
        <w:t xml:space="preserve"> Y GUADALUPE RAMÍREZ PEÑA, EN LA DECIMA SEGUNDA SESIÓN ORDINARIA CELEBRADA EL DOS DE ABRIL DE DOS MIL VEINTICINCO, ANTE EL SECRETARIO TÉCNICO DEL PLENO, ALEXIS TAPIA RAMÍREZ. </w:t>
      </w:r>
    </w:p>
    <w:p w14:paraId="418E5A09" w14:textId="77777777" w:rsidR="000D1C55" w:rsidRPr="000D1C55" w:rsidRDefault="000D1C55" w:rsidP="000D1C55">
      <w:pPr>
        <w:spacing w:line="360" w:lineRule="auto"/>
        <w:jc w:val="both"/>
        <w:rPr>
          <w:rFonts w:ascii="Palatino Linotype" w:hAnsi="Palatino Linotype" w:cs="Arial"/>
          <w:sz w:val="18"/>
          <w:szCs w:val="18"/>
        </w:rPr>
      </w:pPr>
      <w:r w:rsidRPr="00A81D21">
        <w:rPr>
          <w:rFonts w:ascii="Palatino Linotype" w:hAnsi="Palatino Linotype" w:cs="Arial"/>
          <w:sz w:val="18"/>
          <w:szCs w:val="18"/>
        </w:rPr>
        <w:t>CCR/JCMA</w:t>
      </w:r>
      <w:bookmarkStart w:id="1" w:name="_GoBack"/>
      <w:bookmarkEnd w:id="1"/>
    </w:p>
    <w:p w14:paraId="700F08E9" w14:textId="117E43F9"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53D3E33"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E25A979"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E7E29DC"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461A5EE"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B206977"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FB95A9"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316DADE"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0805366"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116E0E2"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3FD8005"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138A6F6"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88E620B"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3F2832B" w14:textId="77777777" w:rsidR="003F50F0" w:rsidRPr="00280B8B"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0CBDD3D" w14:textId="417AC11D" w:rsidR="009A7DBA" w:rsidRDefault="009A7DBA"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7AF086E" w14:textId="77777777" w:rsidR="008B3A59" w:rsidRDefault="008B3A59" w:rsidP="008B3A59">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56EAE9D" w14:textId="77777777" w:rsidR="006329AB" w:rsidRDefault="006329AB" w:rsidP="00787D06">
      <w:pPr>
        <w:spacing w:line="360" w:lineRule="auto"/>
        <w:contextualSpacing/>
        <w:jc w:val="both"/>
        <w:rPr>
          <w:rFonts w:ascii="Palatino Linotype" w:eastAsia="MS Mincho" w:hAnsi="Palatino Linotype"/>
        </w:rPr>
      </w:pPr>
    </w:p>
    <w:p w14:paraId="622DBD2A" w14:textId="77777777" w:rsidR="006329AB" w:rsidRDefault="006329AB" w:rsidP="00787D06">
      <w:pPr>
        <w:spacing w:line="360" w:lineRule="auto"/>
        <w:contextualSpacing/>
        <w:jc w:val="both"/>
        <w:rPr>
          <w:rFonts w:ascii="Palatino Linotype" w:eastAsia="MS Mincho" w:hAnsi="Palatino Linotype"/>
        </w:rPr>
      </w:pPr>
    </w:p>
    <w:sectPr w:rsidR="006329AB" w:rsidSect="007217F4">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88932" w14:textId="77777777" w:rsidR="003768B7" w:rsidRDefault="003768B7" w:rsidP="006168E4">
      <w:pPr>
        <w:spacing w:after="0" w:line="240" w:lineRule="auto"/>
      </w:pPr>
      <w:r>
        <w:separator/>
      </w:r>
    </w:p>
  </w:endnote>
  <w:endnote w:type="continuationSeparator" w:id="0">
    <w:p w14:paraId="7A2260F6" w14:textId="77777777" w:rsidR="003768B7" w:rsidRDefault="003768B7"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E2BC" w14:textId="0DC1EAF5"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81D21">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81D21">
      <w:rPr>
        <w:rFonts w:ascii="Palatino Linotype" w:hAnsi="Palatino Linotype"/>
        <w:bCs/>
        <w:noProof/>
        <w:sz w:val="20"/>
      </w:rPr>
      <w:t>63</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FBE9" w14:textId="6D008823"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81D2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81D21">
      <w:rPr>
        <w:rFonts w:ascii="Palatino Linotype" w:hAnsi="Palatino Linotype"/>
        <w:bCs/>
        <w:noProof/>
        <w:sz w:val="20"/>
      </w:rPr>
      <w:t>63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0CEF" w14:textId="77777777" w:rsidR="003768B7" w:rsidRDefault="003768B7" w:rsidP="006168E4">
      <w:pPr>
        <w:spacing w:after="0" w:line="240" w:lineRule="auto"/>
      </w:pPr>
      <w:r>
        <w:separator/>
      </w:r>
    </w:p>
  </w:footnote>
  <w:footnote w:type="continuationSeparator" w:id="0">
    <w:p w14:paraId="7CAC0D7D" w14:textId="77777777" w:rsidR="003768B7" w:rsidRDefault="003768B7" w:rsidP="0061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8AE9" w14:textId="2523050D" w:rsidR="00D338F0" w:rsidRDefault="00D338F0">
    <w:pPr>
      <w:pStyle w:val="Encabezado"/>
    </w:pPr>
    <w:r>
      <w:rPr>
        <w:rFonts w:ascii="Palatino Linotype" w:hAnsi="Palatino Linotype" w:cs="Arial"/>
        <w:b/>
        <w:noProof/>
        <w:szCs w:val="20"/>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2213E685"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E3214">
            <w:rPr>
              <w:rFonts w:ascii="Palatino Linotype" w:hAnsi="Palatino Linotype" w:cs="Arial"/>
              <w:bCs/>
              <w:sz w:val="24"/>
              <w:lang w:eastAsia="es-MX"/>
            </w:rPr>
            <w:t>2725</w:t>
          </w:r>
          <w:r w:rsidR="00D338F0">
            <w:rPr>
              <w:rFonts w:ascii="Palatino Linotype" w:hAnsi="Palatino Linotype" w:cs="Arial"/>
              <w:bCs/>
              <w:sz w:val="24"/>
              <w:lang w:eastAsia="es-MX"/>
            </w:rPr>
            <w:t>/INFOEM/IP/RR/202</w:t>
          </w:r>
          <w:r w:rsidR="00EE3214">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3F7D9BF9" w:rsidR="00D338F0" w:rsidRPr="00F06FED" w:rsidRDefault="00ED0EA7" w:rsidP="00F4623D">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EE3214">
            <w:rPr>
              <w:rFonts w:ascii="Palatino Linotype" w:hAnsi="Palatino Linotype" w:cs="Arial"/>
              <w:szCs w:val="20"/>
            </w:rPr>
            <w:t>Cocotitlán</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14FB88E3"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E3214">
            <w:rPr>
              <w:rFonts w:ascii="Palatino Linotype" w:hAnsi="Palatino Linotype" w:cs="Arial"/>
              <w:bCs/>
              <w:sz w:val="24"/>
              <w:lang w:eastAsia="es-MX"/>
            </w:rPr>
            <w:t>2725</w:t>
          </w:r>
          <w:r w:rsidR="00D338F0">
            <w:rPr>
              <w:rFonts w:ascii="Palatino Linotype" w:hAnsi="Palatino Linotype" w:cs="Arial"/>
              <w:bCs/>
              <w:sz w:val="24"/>
              <w:lang w:eastAsia="es-MX"/>
            </w:rPr>
            <w:t>/INFOEM/IP/RR/202</w:t>
          </w:r>
          <w:r w:rsidR="00EE3214">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692D52B1" w:rsidR="00D338F0" w:rsidRPr="00F06FED" w:rsidRDefault="00726CB4"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38610C">
            <w:rPr>
              <w:rFonts w:ascii="Palatino Linotype" w:hAnsi="Palatino Linotype" w:cs="Arial"/>
            </w:rPr>
            <w:t>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48F9A5B8" w:rsidR="00D338F0" w:rsidRDefault="00ED0EA7"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w:t>
          </w:r>
          <w:r w:rsidR="00EE3214">
            <w:rPr>
              <w:rFonts w:ascii="Palatino Linotype" w:hAnsi="Palatino Linotype" w:cs="Arial"/>
              <w:szCs w:val="20"/>
            </w:rPr>
            <w:t xml:space="preserve"> Cocotitlán</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3EA5"/>
    <w:multiLevelType w:val="hybridMultilevel"/>
    <w:tmpl w:val="142AE816"/>
    <w:lvl w:ilvl="0" w:tplc="3C5C232E">
      <w:start w:val="2"/>
      <w:numFmt w:val="bullet"/>
      <w:lvlText w:val="-"/>
      <w:lvlJc w:val="left"/>
      <w:pPr>
        <w:ind w:left="1080" w:hanging="360"/>
      </w:pPr>
      <w:rPr>
        <w:rFonts w:ascii="Palatino Linotype" w:eastAsia="Times New Roman" w:hAnsi="Palatino Linotype"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44903"/>
    <w:multiLevelType w:val="hybridMultilevel"/>
    <w:tmpl w:val="75AEFD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76665B"/>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F477CD"/>
    <w:multiLevelType w:val="hybridMultilevel"/>
    <w:tmpl w:val="7952D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D33E9"/>
    <w:multiLevelType w:val="hybridMultilevel"/>
    <w:tmpl w:val="D8360ED6"/>
    <w:lvl w:ilvl="0" w:tplc="47F880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D4201F4"/>
    <w:multiLevelType w:val="hybridMultilevel"/>
    <w:tmpl w:val="2E9453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3C2427"/>
    <w:multiLevelType w:val="hybridMultilevel"/>
    <w:tmpl w:val="6C127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C366F4F"/>
    <w:multiLevelType w:val="hybridMultilevel"/>
    <w:tmpl w:val="F9166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7"/>
  </w:num>
  <w:num w:numId="6">
    <w:abstractNumId w:val="1"/>
  </w:num>
  <w:num w:numId="7">
    <w:abstractNumId w:val="8"/>
  </w:num>
  <w:num w:numId="8">
    <w:abstractNumId w:val="5"/>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6FB9"/>
    <w:rsid w:val="000114DC"/>
    <w:rsid w:val="00012201"/>
    <w:rsid w:val="00012220"/>
    <w:rsid w:val="00014FD1"/>
    <w:rsid w:val="00015D83"/>
    <w:rsid w:val="000213BA"/>
    <w:rsid w:val="00022EAF"/>
    <w:rsid w:val="00023875"/>
    <w:rsid w:val="00026199"/>
    <w:rsid w:val="000306A7"/>
    <w:rsid w:val="00031605"/>
    <w:rsid w:val="00032CE7"/>
    <w:rsid w:val="00035D39"/>
    <w:rsid w:val="0004190A"/>
    <w:rsid w:val="00041F04"/>
    <w:rsid w:val="000426E3"/>
    <w:rsid w:val="00045379"/>
    <w:rsid w:val="00045B3C"/>
    <w:rsid w:val="0004682D"/>
    <w:rsid w:val="00046F52"/>
    <w:rsid w:val="00047EAF"/>
    <w:rsid w:val="00055224"/>
    <w:rsid w:val="00061821"/>
    <w:rsid w:val="000623F9"/>
    <w:rsid w:val="00063A10"/>
    <w:rsid w:val="00063AE3"/>
    <w:rsid w:val="000662F8"/>
    <w:rsid w:val="00066B01"/>
    <w:rsid w:val="00071571"/>
    <w:rsid w:val="00073CC6"/>
    <w:rsid w:val="00073E78"/>
    <w:rsid w:val="000833B0"/>
    <w:rsid w:val="00090745"/>
    <w:rsid w:val="00091552"/>
    <w:rsid w:val="00091C3A"/>
    <w:rsid w:val="00092586"/>
    <w:rsid w:val="00094155"/>
    <w:rsid w:val="00094C05"/>
    <w:rsid w:val="00096CA4"/>
    <w:rsid w:val="000A03E0"/>
    <w:rsid w:val="000A04D9"/>
    <w:rsid w:val="000A3486"/>
    <w:rsid w:val="000A378C"/>
    <w:rsid w:val="000A79DA"/>
    <w:rsid w:val="000B3E98"/>
    <w:rsid w:val="000B426F"/>
    <w:rsid w:val="000B4B51"/>
    <w:rsid w:val="000B6B2F"/>
    <w:rsid w:val="000B6D7D"/>
    <w:rsid w:val="000B7158"/>
    <w:rsid w:val="000B7D23"/>
    <w:rsid w:val="000C06C3"/>
    <w:rsid w:val="000C0F57"/>
    <w:rsid w:val="000C51A0"/>
    <w:rsid w:val="000C5B8B"/>
    <w:rsid w:val="000D1B34"/>
    <w:rsid w:val="000D1B55"/>
    <w:rsid w:val="000D1C55"/>
    <w:rsid w:val="000D3C75"/>
    <w:rsid w:val="000D63DF"/>
    <w:rsid w:val="000D6422"/>
    <w:rsid w:val="000E0F23"/>
    <w:rsid w:val="000E1C2A"/>
    <w:rsid w:val="000E2252"/>
    <w:rsid w:val="000E365E"/>
    <w:rsid w:val="000E5F05"/>
    <w:rsid w:val="000E686B"/>
    <w:rsid w:val="000F1FAB"/>
    <w:rsid w:val="000F2554"/>
    <w:rsid w:val="000F4793"/>
    <w:rsid w:val="00103325"/>
    <w:rsid w:val="0010372C"/>
    <w:rsid w:val="00105C41"/>
    <w:rsid w:val="00111DCD"/>
    <w:rsid w:val="00113D3E"/>
    <w:rsid w:val="00114CF9"/>
    <w:rsid w:val="00115F16"/>
    <w:rsid w:val="001164A1"/>
    <w:rsid w:val="001179DB"/>
    <w:rsid w:val="00121ED7"/>
    <w:rsid w:val="00122EC2"/>
    <w:rsid w:val="00124855"/>
    <w:rsid w:val="001249A0"/>
    <w:rsid w:val="001254F5"/>
    <w:rsid w:val="00132631"/>
    <w:rsid w:val="00136FAD"/>
    <w:rsid w:val="0014029B"/>
    <w:rsid w:val="00146C08"/>
    <w:rsid w:val="00146F0A"/>
    <w:rsid w:val="00151AE3"/>
    <w:rsid w:val="001523D1"/>
    <w:rsid w:val="00152C2B"/>
    <w:rsid w:val="0015319B"/>
    <w:rsid w:val="00156EC9"/>
    <w:rsid w:val="001611CC"/>
    <w:rsid w:val="001612E6"/>
    <w:rsid w:val="00161D54"/>
    <w:rsid w:val="00162A4D"/>
    <w:rsid w:val="001630C2"/>
    <w:rsid w:val="001649A0"/>
    <w:rsid w:val="001678DF"/>
    <w:rsid w:val="00172C77"/>
    <w:rsid w:val="00172CEE"/>
    <w:rsid w:val="00173E45"/>
    <w:rsid w:val="00175897"/>
    <w:rsid w:val="00176157"/>
    <w:rsid w:val="00180B9F"/>
    <w:rsid w:val="00181CC5"/>
    <w:rsid w:val="00182911"/>
    <w:rsid w:val="0018726A"/>
    <w:rsid w:val="00193784"/>
    <w:rsid w:val="0019396C"/>
    <w:rsid w:val="001957D7"/>
    <w:rsid w:val="001A02EC"/>
    <w:rsid w:val="001A1D9B"/>
    <w:rsid w:val="001A1FF5"/>
    <w:rsid w:val="001A2E07"/>
    <w:rsid w:val="001A318E"/>
    <w:rsid w:val="001A577E"/>
    <w:rsid w:val="001A7C9B"/>
    <w:rsid w:val="001B05B9"/>
    <w:rsid w:val="001B48E2"/>
    <w:rsid w:val="001B7B88"/>
    <w:rsid w:val="001C01B7"/>
    <w:rsid w:val="001C1363"/>
    <w:rsid w:val="001C2D1E"/>
    <w:rsid w:val="001C3E7E"/>
    <w:rsid w:val="001C51C5"/>
    <w:rsid w:val="001C5B3C"/>
    <w:rsid w:val="001C7319"/>
    <w:rsid w:val="001C7D87"/>
    <w:rsid w:val="001D3DE9"/>
    <w:rsid w:val="001D3E87"/>
    <w:rsid w:val="001D4438"/>
    <w:rsid w:val="001D4669"/>
    <w:rsid w:val="001D7575"/>
    <w:rsid w:val="001E20F2"/>
    <w:rsid w:val="001E2595"/>
    <w:rsid w:val="001E456C"/>
    <w:rsid w:val="001E524B"/>
    <w:rsid w:val="001F3F3C"/>
    <w:rsid w:val="001F4025"/>
    <w:rsid w:val="00202B9E"/>
    <w:rsid w:val="00207505"/>
    <w:rsid w:val="00211C66"/>
    <w:rsid w:val="0021296D"/>
    <w:rsid w:val="00212CB5"/>
    <w:rsid w:val="0021501E"/>
    <w:rsid w:val="00215A83"/>
    <w:rsid w:val="0021669B"/>
    <w:rsid w:val="00216ABF"/>
    <w:rsid w:val="00217852"/>
    <w:rsid w:val="00220339"/>
    <w:rsid w:val="002205C0"/>
    <w:rsid w:val="00226760"/>
    <w:rsid w:val="002303A7"/>
    <w:rsid w:val="00231D77"/>
    <w:rsid w:val="002324F1"/>
    <w:rsid w:val="0023373D"/>
    <w:rsid w:val="0023423C"/>
    <w:rsid w:val="00236C82"/>
    <w:rsid w:val="00237153"/>
    <w:rsid w:val="0024638F"/>
    <w:rsid w:val="00246807"/>
    <w:rsid w:val="00247537"/>
    <w:rsid w:val="00247D10"/>
    <w:rsid w:val="00250470"/>
    <w:rsid w:val="00252985"/>
    <w:rsid w:val="002577FE"/>
    <w:rsid w:val="002578DC"/>
    <w:rsid w:val="00266E00"/>
    <w:rsid w:val="002674C9"/>
    <w:rsid w:val="00271EED"/>
    <w:rsid w:val="002725E3"/>
    <w:rsid w:val="00273D0E"/>
    <w:rsid w:val="00275204"/>
    <w:rsid w:val="0028788A"/>
    <w:rsid w:val="002915F2"/>
    <w:rsid w:val="00292885"/>
    <w:rsid w:val="002942AD"/>
    <w:rsid w:val="00297140"/>
    <w:rsid w:val="00297368"/>
    <w:rsid w:val="002A0104"/>
    <w:rsid w:val="002A2034"/>
    <w:rsid w:val="002A24F4"/>
    <w:rsid w:val="002A38BF"/>
    <w:rsid w:val="002A597E"/>
    <w:rsid w:val="002B1410"/>
    <w:rsid w:val="002B1C1D"/>
    <w:rsid w:val="002B4228"/>
    <w:rsid w:val="002B5069"/>
    <w:rsid w:val="002B5DBD"/>
    <w:rsid w:val="002B70DD"/>
    <w:rsid w:val="002C026F"/>
    <w:rsid w:val="002C51F7"/>
    <w:rsid w:val="002C72D2"/>
    <w:rsid w:val="002D29D7"/>
    <w:rsid w:val="002D3A7C"/>
    <w:rsid w:val="002D4C5A"/>
    <w:rsid w:val="002D64A8"/>
    <w:rsid w:val="002D662C"/>
    <w:rsid w:val="002D719A"/>
    <w:rsid w:val="002E0A1A"/>
    <w:rsid w:val="002E1E52"/>
    <w:rsid w:val="002E2D7B"/>
    <w:rsid w:val="002E3488"/>
    <w:rsid w:val="002E5721"/>
    <w:rsid w:val="002E5E6A"/>
    <w:rsid w:val="002F0D76"/>
    <w:rsid w:val="002F37BE"/>
    <w:rsid w:val="002F5A7C"/>
    <w:rsid w:val="002F5BA9"/>
    <w:rsid w:val="002F700B"/>
    <w:rsid w:val="00300D0B"/>
    <w:rsid w:val="0030471E"/>
    <w:rsid w:val="00306096"/>
    <w:rsid w:val="00306848"/>
    <w:rsid w:val="00311566"/>
    <w:rsid w:val="0031645D"/>
    <w:rsid w:val="0032070D"/>
    <w:rsid w:val="00320A67"/>
    <w:rsid w:val="0032220E"/>
    <w:rsid w:val="003255B0"/>
    <w:rsid w:val="003266DA"/>
    <w:rsid w:val="003272FB"/>
    <w:rsid w:val="00330F3C"/>
    <w:rsid w:val="003349F3"/>
    <w:rsid w:val="003370DC"/>
    <w:rsid w:val="003406C5"/>
    <w:rsid w:val="003410F2"/>
    <w:rsid w:val="003507D3"/>
    <w:rsid w:val="00352642"/>
    <w:rsid w:val="00353C25"/>
    <w:rsid w:val="00356483"/>
    <w:rsid w:val="00356E3E"/>
    <w:rsid w:val="00357457"/>
    <w:rsid w:val="00361B9C"/>
    <w:rsid w:val="0036339F"/>
    <w:rsid w:val="00363BDA"/>
    <w:rsid w:val="00364209"/>
    <w:rsid w:val="00365DA0"/>
    <w:rsid w:val="00367CC7"/>
    <w:rsid w:val="003733F5"/>
    <w:rsid w:val="003749D9"/>
    <w:rsid w:val="00375BBA"/>
    <w:rsid w:val="003768B7"/>
    <w:rsid w:val="00376CEC"/>
    <w:rsid w:val="00380010"/>
    <w:rsid w:val="00380758"/>
    <w:rsid w:val="003812E0"/>
    <w:rsid w:val="0038610C"/>
    <w:rsid w:val="003869DF"/>
    <w:rsid w:val="003870F5"/>
    <w:rsid w:val="00387A7A"/>
    <w:rsid w:val="00394A1E"/>
    <w:rsid w:val="00397C0C"/>
    <w:rsid w:val="003A378D"/>
    <w:rsid w:val="003A61F9"/>
    <w:rsid w:val="003B1E88"/>
    <w:rsid w:val="003B4030"/>
    <w:rsid w:val="003B5229"/>
    <w:rsid w:val="003B5C64"/>
    <w:rsid w:val="003B5FD0"/>
    <w:rsid w:val="003C3A96"/>
    <w:rsid w:val="003C4F65"/>
    <w:rsid w:val="003C5DEB"/>
    <w:rsid w:val="003D08E9"/>
    <w:rsid w:val="003D2D99"/>
    <w:rsid w:val="003D40D9"/>
    <w:rsid w:val="003D45AB"/>
    <w:rsid w:val="003D78A3"/>
    <w:rsid w:val="003E05A5"/>
    <w:rsid w:val="003E128A"/>
    <w:rsid w:val="003E16E1"/>
    <w:rsid w:val="003E5144"/>
    <w:rsid w:val="003F3A54"/>
    <w:rsid w:val="003F50F0"/>
    <w:rsid w:val="004012CF"/>
    <w:rsid w:val="00402A46"/>
    <w:rsid w:val="00402FF3"/>
    <w:rsid w:val="00403A1E"/>
    <w:rsid w:val="004061EF"/>
    <w:rsid w:val="004069EB"/>
    <w:rsid w:val="004071A7"/>
    <w:rsid w:val="00412901"/>
    <w:rsid w:val="00417E4F"/>
    <w:rsid w:val="004209B6"/>
    <w:rsid w:val="00423213"/>
    <w:rsid w:val="00423ECD"/>
    <w:rsid w:val="0042416D"/>
    <w:rsid w:val="00424EEC"/>
    <w:rsid w:val="00426B98"/>
    <w:rsid w:val="0042798A"/>
    <w:rsid w:val="00430156"/>
    <w:rsid w:val="00433D7C"/>
    <w:rsid w:val="00433F2D"/>
    <w:rsid w:val="00442582"/>
    <w:rsid w:val="00442C1A"/>
    <w:rsid w:val="00446798"/>
    <w:rsid w:val="004469CB"/>
    <w:rsid w:val="004512DF"/>
    <w:rsid w:val="004516EB"/>
    <w:rsid w:val="004529B6"/>
    <w:rsid w:val="00453DBD"/>
    <w:rsid w:val="00454CE6"/>
    <w:rsid w:val="00455C30"/>
    <w:rsid w:val="00462881"/>
    <w:rsid w:val="004639CF"/>
    <w:rsid w:val="004668C1"/>
    <w:rsid w:val="00472678"/>
    <w:rsid w:val="00473342"/>
    <w:rsid w:val="00475F48"/>
    <w:rsid w:val="00477CC2"/>
    <w:rsid w:val="00480B6A"/>
    <w:rsid w:val="0048180A"/>
    <w:rsid w:val="00481C7A"/>
    <w:rsid w:val="004855D1"/>
    <w:rsid w:val="004857CF"/>
    <w:rsid w:val="0049054A"/>
    <w:rsid w:val="004906C8"/>
    <w:rsid w:val="004924B8"/>
    <w:rsid w:val="004967E2"/>
    <w:rsid w:val="00496BE7"/>
    <w:rsid w:val="004A290F"/>
    <w:rsid w:val="004A5FFD"/>
    <w:rsid w:val="004A6DC2"/>
    <w:rsid w:val="004A7C3E"/>
    <w:rsid w:val="004A7CE2"/>
    <w:rsid w:val="004B15D1"/>
    <w:rsid w:val="004B38AC"/>
    <w:rsid w:val="004B7109"/>
    <w:rsid w:val="004C0F85"/>
    <w:rsid w:val="004D019D"/>
    <w:rsid w:val="004D08EB"/>
    <w:rsid w:val="004D0C64"/>
    <w:rsid w:val="004D2B23"/>
    <w:rsid w:val="004D2C8F"/>
    <w:rsid w:val="004D2D18"/>
    <w:rsid w:val="004E0136"/>
    <w:rsid w:val="004E1318"/>
    <w:rsid w:val="004E2371"/>
    <w:rsid w:val="004E6BE9"/>
    <w:rsid w:val="004F17FE"/>
    <w:rsid w:val="004F1E90"/>
    <w:rsid w:val="00500F7E"/>
    <w:rsid w:val="00503655"/>
    <w:rsid w:val="005037B3"/>
    <w:rsid w:val="005039A0"/>
    <w:rsid w:val="00504FB2"/>
    <w:rsid w:val="00506846"/>
    <w:rsid w:val="00512DA7"/>
    <w:rsid w:val="00515090"/>
    <w:rsid w:val="005202C4"/>
    <w:rsid w:val="00520D7E"/>
    <w:rsid w:val="005211D9"/>
    <w:rsid w:val="00521E57"/>
    <w:rsid w:val="00522FD2"/>
    <w:rsid w:val="005245A9"/>
    <w:rsid w:val="00524E8D"/>
    <w:rsid w:val="005305C0"/>
    <w:rsid w:val="005305EA"/>
    <w:rsid w:val="00530F74"/>
    <w:rsid w:val="00531170"/>
    <w:rsid w:val="00531E18"/>
    <w:rsid w:val="00533298"/>
    <w:rsid w:val="00535F50"/>
    <w:rsid w:val="005371E7"/>
    <w:rsid w:val="005404AB"/>
    <w:rsid w:val="00540538"/>
    <w:rsid w:val="00540ACB"/>
    <w:rsid w:val="00545E93"/>
    <w:rsid w:val="005472FB"/>
    <w:rsid w:val="0054773D"/>
    <w:rsid w:val="00547D93"/>
    <w:rsid w:val="005520FE"/>
    <w:rsid w:val="005523D5"/>
    <w:rsid w:val="00556513"/>
    <w:rsid w:val="005575CB"/>
    <w:rsid w:val="0056015B"/>
    <w:rsid w:val="0056134C"/>
    <w:rsid w:val="00562653"/>
    <w:rsid w:val="00567998"/>
    <w:rsid w:val="00570059"/>
    <w:rsid w:val="00570CC9"/>
    <w:rsid w:val="00572979"/>
    <w:rsid w:val="005733EB"/>
    <w:rsid w:val="00575651"/>
    <w:rsid w:val="005759BB"/>
    <w:rsid w:val="00576BCC"/>
    <w:rsid w:val="005803A1"/>
    <w:rsid w:val="00580802"/>
    <w:rsid w:val="00581A22"/>
    <w:rsid w:val="00582A33"/>
    <w:rsid w:val="0058310B"/>
    <w:rsid w:val="0058671A"/>
    <w:rsid w:val="00587275"/>
    <w:rsid w:val="00593E91"/>
    <w:rsid w:val="00594DED"/>
    <w:rsid w:val="005A0B49"/>
    <w:rsid w:val="005A4C25"/>
    <w:rsid w:val="005A5930"/>
    <w:rsid w:val="005A6D57"/>
    <w:rsid w:val="005B36D5"/>
    <w:rsid w:val="005B5B70"/>
    <w:rsid w:val="005B5F05"/>
    <w:rsid w:val="005B60F0"/>
    <w:rsid w:val="005C04BB"/>
    <w:rsid w:val="005C123F"/>
    <w:rsid w:val="005C6230"/>
    <w:rsid w:val="005C6605"/>
    <w:rsid w:val="005C6982"/>
    <w:rsid w:val="005D09CB"/>
    <w:rsid w:val="005D15A3"/>
    <w:rsid w:val="005D1602"/>
    <w:rsid w:val="005D2B59"/>
    <w:rsid w:val="005D362F"/>
    <w:rsid w:val="005D370F"/>
    <w:rsid w:val="005E2749"/>
    <w:rsid w:val="005E46D0"/>
    <w:rsid w:val="005E48E4"/>
    <w:rsid w:val="005E4D7C"/>
    <w:rsid w:val="005E5834"/>
    <w:rsid w:val="005E74B7"/>
    <w:rsid w:val="005F048E"/>
    <w:rsid w:val="005F4734"/>
    <w:rsid w:val="005F57F0"/>
    <w:rsid w:val="005F7598"/>
    <w:rsid w:val="00600B92"/>
    <w:rsid w:val="00605861"/>
    <w:rsid w:val="00607168"/>
    <w:rsid w:val="0061042F"/>
    <w:rsid w:val="00610C37"/>
    <w:rsid w:val="006114BA"/>
    <w:rsid w:val="006168E4"/>
    <w:rsid w:val="00624EB5"/>
    <w:rsid w:val="00626A70"/>
    <w:rsid w:val="0062762F"/>
    <w:rsid w:val="006323CA"/>
    <w:rsid w:val="006329AB"/>
    <w:rsid w:val="00633DE8"/>
    <w:rsid w:val="006360F3"/>
    <w:rsid w:val="00636327"/>
    <w:rsid w:val="006369B4"/>
    <w:rsid w:val="00637512"/>
    <w:rsid w:val="00640EE4"/>
    <w:rsid w:val="006466F5"/>
    <w:rsid w:val="0064761A"/>
    <w:rsid w:val="00650C5E"/>
    <w:rsid w:val="0065263E"/>
    <w:rsid w:val="00652A6B"/>
    <w:rsid w:val="00654718"/>
    <w:rsid w:val="00657DAD"/>
    <w:rsid w:val="00660C59"/>
    <w:rsid w:val="00661753"/>
    <w:rsid w:val="006620AC"/>
    <w:rsid w:val="00667DD9"/>
    <w:rsid w:val="00677379"/>
    <w:rsid w:val="006848B7"/>
    <w:rsid w:val="00686FD5"/>
    <w:rsid w:val="00690A08"/>
    <w:rsid w:val="00697278"/>
    <w:rsid w:val="006A04CA"/>
    <w:rsid w:val="006A2BEC"/>
    <w:rsid w:val="006A4785"/>
    <w:rsid w:val="006B10D7"/>
    <w:rsid w:val="006B1953"/>
    <w:rsid w:val="006B1BF1"/>
    <w:rsid w:val="006B26E3"/>
    <w:rsid w:val="006B34A6"/>
    <w:rsid w:val="006B4B63"/>
    <w:rsid w:val="006B5DDC"/>
    <w:rsid w:val="006B68FC"/>
    <w:rsid w:val="006B7294"/>
    <w:rsid w:val="006B7444"/>
    <w:rsid w:val="006C4A25"/>
    <w:rsid w:val="006C698B"/>
    <w:rsid w:val="006D0201"/>
    <w:rsid w:val="006D1F6B"/>
    <w:rsid w:val="006D23FC"/>
    <w:rsid w:val="006D7FD9"/>
    <w:rsid w:val="006E0F12"/>
    <w:rsid w:val="006E135A"/>
    <w:rsid w:val="006E7563"/>
    <w:rsid w:val="006F373D"/>
    <w:rsid w:val="006F3C14"/>
    <w:rsid w:val="006F53CB"/>
    <w:rsid w:val="006F5F55"/>
    <w:rsid w:val="00701033"/>
    <w:rsid w:val="00701B61"/>
    <w:rsid w:val="00702C82"/>
    <w:rsid w:val="00703614"/>
    <w:rsid w:val="0070449C"/>
    <w:rsid w:val="007164CD"/>
    <w:rsid w:val="007172F5"/>
    <w:rsid w:val="00717E41"/>
    <w:rsid w:val="007217F4"/>
    <w:rsid w:val="0072591D"/>
    <w:rsid w:val="0072689F"/>
    <w:rsid w:val="00726CB4"/>
    <w:rsid w:val="007316B6"/>
    <w:rsid w:val="00732104"/>
    <w:rsid w:val="00736D41"/>
    <w:rsid w:val="00741327"/>
    <w:rsid w:val="00742EAF"/>
    <w:rsid w:val="007443CD"/>
    <w:rsid w:val="00744EEF"/>
    <w:rsid w:val="007456B7"/>
    <w:rsid w:val="00746A62"/>
    <w:rsid w:val="00754CAE"/>
    <w:rsid w:val="007568AD"/>
    <w:rsid w:val="00763C1A"/>
    <w:rsid w:val="00770CD1"/>
    <w:rsid w:val="00770FCE"/>
    <w:rsid w:val="00771AC2"/>
    <w:rsid w:val="00772E31"/>
    <w:rsid w:val="007748C4"/>
    <w:rsid w:val="00774A9C"/>
    <w:rsid w:val="00777164"/>
    <w:rsid w:val="00780B57"/>
    <w:rsid w:val="00781530"/>
    <w:rsid w:val="007830E9"/>
    <w:rsid w:val="007835B9"/>
    <w:rsid w:val="00783A07"/>
    <w:rsid w:val="007851D5"/>
    <w:rsid w:val="00787D06"/>
    <w:rsid w:val="0079206E"/>
    <w:rsid w:val="0079486A"/>
    <w:rsid w:val="00794F80"/>
    <w:rsid w:val="007961D1"/>
    <w:rsid w:val="0079735D"/>
    <w:rsid w:val="007A1C9E"/>
    <w:rsid w:val="007A3206"/>
    <w:rsid w:val="007A395F"/>
    <w:rsid w:val="007A4692"/>
    <w:rsid w:val="007B0046"/>
    <w:rsid w:val="007B2303"/>
    <w:rsid w:val="007B2C77"/>
    <w:rsid w:val="007B3414"/>
    <w:rsid w:val="007B403C"/>
    <w:rsid w:val="007B68F7"/>
    <w:rsid w:val="007C4168"/>
    <w:rsid w:val="007C45D8"/>
    <w:rsid w:val="007D1A27"/>
    <w:rsid w:val="007D1B24"/>
    <w:rsid w:val="007D1F15"/>
    <w:rsid w:val="007D25B1"/>
    <w:rsid w:val="007D2878"/>
    <w:rsid w:val="007D3203"/>
    <w:rsid w:val="007D4303"/>
    <w:rsid w:val="007D6CF8"/>
    <w:rsid w:val="007E0EE4"/>
    <w:rsid w:val="007E6161"/>
    <w:rsid w:val="007E7BAB"/>
    <w:rsid w:val="007E7DCE"/>
    <w:rsid w:val="007F1441"/>
    <w:rsid w:val="007F20AC"/>
    <w:rsid w:val="007F53A0"/>
    <w:rsid w:val="007F7A92"/>
    <w:rsid w:val="0080158F"/>
    <w:rsid w:val="008024BA"/>
    <w:rsid w:val="00802C56"/>
    <w:rsid w:val="00807A3D"/>
    <w:rsid w:val="00811205"/>
    <w:rsid w:val="00812C48"/>
    <w:rsid w:val="008146F9"/>
    <w:rsid w:val="00817A08"/>
    <w:rsid w:val="00822215"/>
    <w:rsid w:val="00824DCD"/>
    <w:rsid w:val="00833011"/>
    <w:rsid w:val="00836B8D"/>
    <w:rsid w:val="008427E4"/>
    <w:rsid w:val="00843314"/>
    <w:rsid w:val="00844569"/>
    <w:rsid w:val="008466EC"/>
    <w:rsid w:val="008474E1"/>
    <w:rsid w:val="00847D23"/>
    <w:rsid w:val="0085196B"/>
    <w:rsid w:val="0085268C"/>
    <w:rsid w:val="00853BED"/>
    <w:rsid w:val="00863327"/>
    <w:rsid w:val="0086675B"/>
    <w:rsid w:val="00866F25"/>
    <w:rsid w:val="00870F44"/>
    <w:rsid w:val="00871DC1"/>
    <w:rsid w:val="008724F6"/>
    <w:rsid w:val="00884054"/>
    <w:rsid w:val="008852C1"/>
    <w:rsid w:val="00886305"/>
    <w:rsid w:val="00887CDA"/>
    <w:rsid w:val="00891C7A"/>
    <w:rsid w:val="008936E7"/>
    <w:rsid w:val="00894792"/>
    <w:rsid w:val="00895089"/>
    <w:rsid w:val="008951ED"/>
    <w:rsid w:val="008963E2"/>
    <w:rsid w:val="008A0A23"/>
    <w:rsid w:val="008A16AD"/>
    <w:rsid w:val="008A3F42"/>
    <w:rsid w:val="008A5518"/>
    <w:rsid w:val="008A68CA"/>
    <w:rsid w:val="008A75BE"/>
    <w:rsid w:val="008B02FB"/>
    <w:rsid w:val="008B0679"/>
    <w:rsid w:val="008B3A59"/>
    <w:rsid w:val="008B42B1"/>
    <w:rsid w:val="008B5224"/>
    <w:rsid w:val="008B6135"/>
    <w:rsid w:val="008B7382"/>
    <w:rsid w:val="008B7514"/>
    <w:rsid w:val="008C0375"/>
    <w:rsid w:val="008C32A8"/>
    <w:rsid w:val="008C55A3"/>
    <w:rsid w:val="008C5A03"/>
    <w:rsid w:val="008C5E94"/>
    <w:rsid w:val="008C7637"/>
    <w:rsid w:val="008D038F"/>
    <w:rsid w:val="008D0938"/>
    <w:rsid w:val="008D1D2A"/>
    <w:rsid w:val="008D4154"/>
    <w:rsid w:val="008D4EB7"/>
    <w:rsid w:val="008D6297"/>
    <w:rsid w:val="008D6D04"/>
    <w:rsid w:val="008E3791"/>
    <w:rsid w:val="008E6375"/>
    <w:rsid w:val="008F0117"/>
    <w:rsid w:val="008F4C65"/>
    <w:rsid w:val="00905422"/>
    <w:rsid w:val="00905CDE"/>
    <w:rsid w:val="00911139"/>
    <w:rsid w:val="0091302F"/>
    <w:rsid w:val="00913133"/>
    <w:rsid w:val="00913221"/>
    <w:rsid w:val="00920128"/>
    <w:rsid w:val="00921DB9"/>
    <w:rsid w:val="0092403D"/>
    <w:rsid w:val="0092579B"/>
    <w:rsid w:val="009268BB"/>
    <w:rsid w:val="00926D4D"/>
    <w:rsid w:val="00933F50"/>
    <w:rsid w:val="00934A31"/>
    <w:rsid w:val="00935D2F"/>
    <w:rsid w:val="00936B04"/>
    <w:rsid w:val="00940116"/>
    <w:rsid w:val="009402DB"/>
    <w:rsid w:val="00942BC7"/>
    <w:rsid w:val="009449B8"/>
    <w:rsid w:val="00944DC9"/>
    <w:rsid w:val="00945479"/>
    <w:rsid w:val="00946380"/>
    <w:rsid w:val="009464B0"/>
    <w:rsid w:val="00947A9B"/>
    <w:rsid w:val="009502C8"/>
    <w:rsid w:val="009517DA"/>
    <w:rsid w:val="0095731A"/>
    <w:rsid w:val="009611E0"/>
    <w:rsid w:val="00961369"/>
    <w:rsid w:val="009648A1"/>
    <w:rsid w:val="00964DA7"/>
    <w:rsid w:val="00965B02"/>
    <w:rsid w:val="00965FEE"/>
    <w:rsid w:val="0096643B"/>
    <w:rsid w:val="009706B5"/>
    <w:rsid w:val="00970CB5"/>
    <w:rsid w:val="00972BDF"/>
    <w:rsid w:val="0098182D"/>
    <w:rsid w:val="00990C92"/>
    <w:rsid w:val="00991F20"/>
    <w:rsid w:val="009923E0"/>
    <w:rsid w:val="00994FEC"/>
    <w:rsid w:val="009950AD"/>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06C0"/>
    <w:rsid w:val="009D25FE"/>
    <w:rsid w:val="009D4624"/>
    <w:rsid w:val="009E0867"/>
    <w:rsid w:val="009E1411"/>
    <w:rsid w:val="009E45A0"/>
    <w:rsid w:val="009E49A3"/>
    <w:rsid w:val="009E52F2"/>
    <w:rsid w:val="009F0515"/>
    <w:rsid w:val="009F1A4C"/>
    <w:rsid w:val="009F3C1F"/>
    <w:rsid w:val="009F614E"/>
    <w:rsid w:val="009F6571"/>
    <w:rsid w:val="009F762B"/>
    <w:rsid w:val="00A00E96"/>
    <w:rsid w:val="00A02047"/>
    <w:rsid w:val="00A036BE"/>
    <w:rsid w:val="00A05F7D"/>
    <w:rsid w:val="00A06487"/>
    <w:rsid w:val="00A12205"/>
    <w:rsid w:val="00A155B9"/>
    <w:rsid w:val="00A214B4"/>
    <w:rsid w:val="00A21F32"/>
    <w:rsid w:val="00A32D63"/>
    <w:rsid w:val="00A345F6"/>
    <w:rsid w:val="00A348B5"/>
    <w:rsid w:val="00A34DDD"/>
    <w:rsid w:val="00A4436A"/>
    <w:rsid w:val="00A453DC"/>
    <w:rsid w:val="00A45721"/>
    <w:rsid w:val="00A457D1"/>
    <w:rsid w:val="00A47E87"/>
    <w:rsid w:val="00A516E8"/>
    <w:rsid w:val="00A520C9"/>
    <w:rsid w:val="00A525D9"/>
    <w:rsid w:val="00A52748"/>
    <w:rsid w:val="00A52AAE"/>
    <w:rsid w:val="00A565E7"/>
    <w:rsid w:val="00A6185A"/>
    <w:rsid w:val="00A625E2"/>
    <w:rsid w:val="00A6585F"/>
    <w:rsid w:val="00A67B13"/>
    <w:rsid w:val="00A71080"/>
    <w:rsid w:val="00A72465"/>
    <w:rsid w:val="00A72DCB"/>
    <w:rsid w:val="00A75001"/>
    <w:rsid w:val="00A80C92"/>
    <w:rsid w:val="00A81D21"/>
    <w:rsid w:val="00A82461"/>
    <w:rsid w:val="00A83323"/>
    <w:rsid w:val="00A84C03"/>
    <w:rsid w:val="00A85006"/>
    <w:rsid w:val="00A851D8"/>
    <w:rsid w:val="00A86352"/>
    <w:rsid w:val="00A90295"/>
    <w:rsid w:val="00A9227B"/>
    <w:rsid w:val="00A93540"/>
    <w:rsid w:val="00A947F1"/>
    <w:rsid w:val="00A953BA"/>
    <w:rsid w:val="00AA1A2C"/>
    <w:rsid w:val="00AA207C"/>
    <w:rsid w:val="00AA225A"/>
    <w:rsid w:val="00AA5D62"/>
    <w:rsid w:val="00AB3710"/>
    <w:rsid w:val="00AB37EB"/>
    <w:rsid w:val="00AB4B0F"/>
    <w:rsid w:val="00AB535D"/>
    <w:rsid w:val="00AB6C3B"/>
    <w:rsid w:val="00AC1971"/>
    <w:rsid w:val="00AD15A7"/>
    <w:rsid w:val="00AD6BEE"/>
    <w:rsid w:val="00AE008F"/>
    <w:rsid w:val="00AE1EF2"/>
    <w:rsid w:val="00AE33FE"/>
    <w:rsid w:val="00AE403B"/>
    <w:rsid w:val="00AF1248"/>
    <w:rsid w:val="00AF55AC"/>
    <w:rsid w:val="00B07D6D"/>
    <w:rsid w:val="00B1003A"/>
    <w:rsid w:val="00B11E08"/>
    <w:rsid w:val="00B12E48"/>
    <w:rsid w:val="00B13C33"/>
    <w:rsid w:val="00B26C37"/>
    <w:rsid w:val="00B32CD3"/>
    <w:rsid w:val="00B35A93"/>
    <w:rsid w:val="00B3635B"/>
    <w:rsid w:val="00B3672D"/>
    <w:rsid w:val="00B36D2B"/>
    <w:rsid w:val="00B373A2"/>
    <w:rsid w:val="00B47192"/>
    <w:rsid w:val="00B4745C"/>
    <w:rsid w:val="00B477AC"/>
    <w:rsid w:val="00B60699"/>
    <w:rsid w:val="00B61D75"/>
    <w:rsid w:val="00B62F0D"/>
    <w:rsid w:val="00B6625A"/>
    <w:rsid w:val="00B66DB3"/>
    <w:rsid w:val="00B7258D"/>
    <w:rsid w:val="00B72B0F"/>
    <w:rsid w:val="00B72D1B"/>
    <w:rsid w:val="00B741B2"/>
    <w:rsid w:val="00B75A86"/>
    <w:rsid w:val="00B7627A"/>
    <w:rsid w:val="00B80028"/>
    <w:rsid w:val="00B833EA"/>
    <w:rsid w:val="00B85271"/>
    <w:rsid w:val="00B85EF3"/>
    <w:rsid w:val="00B9223B"/>
    <w:rsid w:val="00B926B2"/>
    <w:rsid w:val="00B97604"/>
    <w:rsid w:val="00BA11EC"/>
    <w:rsid w:val="00BA4D1F"/>
    <w:rsid w:val="00BA7AD1"/>
    <w:rsid w:val="00BB04EC"/>
    <w:rsid w:val="00BB2250"/>
    <w:rsid w:val="00BB27F2"/>
    <w:rsid w:val="00BB4A68"/>
    <w:rsid w:val="00BB739A"/>
    <w:rsid w:val="00BC0613"/>
    <w:rsid w:val="00BC0FDD"/>
    <w:rsid w:val="00BC14E6"/>
    <w:rsid w:val="00BC22E0"/>
    <w:rsid w:val="00BD30FE"/>
    <w:rsid w:val="00BD65B1"/>
    <w:rsid w:val="00BE0F79"/>
    <w:rsid w:val="00BE21EF"/>
    <w:rsid w:val="00BE28ED"/>
    <w:rsid w:val="00BE3E18"/>
    <w:rsid w:val="00BE673B"/>
    <w:rsid w:val="00BE688D"/>
    <w:rsid w:val="00BE7C9B"/>
    <w:rsid w:val="00BF01A7"/>
    <w:rsid w:val="00BF0A4C"/>
    <w:rsid w:val="00BF0D34"/>
    <w:rsid w:val="00BF1ECA"/>
    <w:rsid w:val="00BF3F7C"/>
    <w:rsid w:val="00C00463"/>
    <w:rsid w:val="00C0147E"/>
    <w:rsid w:val="00C03F20"/>
    <w:rsid w:val="00C04FE4"/>
    <w:rsid w:val="00C219E6"/>
    <w:rsid w:val="00C25084"/>
    <w:rsid w:val="00C27903"/>
    <w:rsid w:val="00C30A4F"/>
    <w:rsid w:val="00C31401"/>
    <w:rsid w:val="00C41665"/>
    <w:rsid w:val="00C41758"/>
    <w:rsid w:val="00C429E1"/>
    <w:rsid w:val="00C45135"/>
    <w:rsid w:val="00C462F8"/>
    <w:rsid w:val="00C70B66"/>
    <w:rsid w:val="00C71CD1"/>
    <w:rsid w:val="00C73143"/>
    <w:rsid w:val="00C77685"/>
    <w:rsid w:val="00C77815"/>
    <w:rsid w:val="00C80100"/>
    <w:rsid w:val="00C8239D"/>
    <w:rsid w:val="00C84901"/>
    <w:rsid w:val="00C8491D"/>
    <w:rsid w:val="00C85378"/>
    <w:rsid w:val="00C928F1"/>
    <w:rsid w:val="00C9297C"/>
    <w:rsid w:val="00C940B5"/>
    <w:rsid w:val="00C9700F"/>
    <w:rsid w:val="00CA08CE"/>
    <w:rsid w:val="00CA201A"/>
    <w:rsid w:val="00CA621B"/>
    <w:rsid w:val="00CA6FDA"/>
    <w:rsid w:val="00CB0AFB"/>
    <w:rsid w:val="00CB266D"/>
    <w:rsid w:val="00CB3B6F"/>
    <w:rsid w:val="00CB4566"/>
    <w:rsid w:val="00CC0C5F"/>
    <w:rsid w:val="00CC14B6"/>
    <w:rsid w:val="00CC2F3D"/>
    <w:rsid w:val="00CC3508"/>
    <w:rsid w:val="00CC5144"/>
    <w:rsid w:val="00CC5FF3"/>
    <w:rsid w:val="00CD08E2"/>
    <w:rsid w:val="00CD422C"/>
    <w:rsid w:val="00CD783C"/>
    <w:rsid w:val="00CE2ADF"/>
    <w:rsid w:val="00CE3713"/>
    <w:rsid w:val="00CF0807"/>
    <w:rsid w:val="00CF1976"/>
    <w:rsid w:val="00CF1D7D"/>
    <w:rsid w:val="00CF45D3"/>
    <w:rsid w:val="00CF5787"/>
    <w:rsid w:val="00CF6B6C"/>
    <w:rsid w:val="00D01197"/>
    <w:rsid w:val="00D042BB"/>
    <w:rsid w:val="00D058B0"/>
    <w:rsid w:val="00D05C8E"/>
    <w:rsid w:val="00D06CA0"/>
    <w:rsid w:val="00D1151C"/>
    <w:rsid w:val="00D11F7D"/>
    <w:rsid w:val="00D11FC3"/>
    <w:rsid w:val="00D13098"/>
    <w:rsid w:val="00D17789"/>
    <w:rsid w:val="00D1789C"/>
    <w:rsid w:val="00D17B5C"/>
    <w:rsid w:val="00D17EDC"/>
    <w:rsid w:val="00D20AC2"/>
    <w:rsid w:val="00D21565"/>
    <w:rsid w:val="00D226BE"/>
    <w:rsid w:val="00D25860"/>
    <w:rsid w:val="00D2737E"/>
    <w:rsid w:val="00D274A9"/>
    <w:rsid w:val="00D27FF3"/>
    <w:rsid w:val="00D304D6"/>
    <w:rsid w:val="00D32347"/>
    <w:rsid w:val="00D32644"/>
    <w:rsid w:val="00D33229"/>
    <w:rsid w:val="00D33619"/>
    <w:rsid w:val="00D338F0"/>
    <w:rsid w:val="00D40FD4"/>
    <w:rsid w:val="00D52AC7"/>
    <w:rsid w:val="00D53772"/>
    <w:rsid w:val="00D54CA9"/>
    <w:rsid w:val="00D556EC"/>
    <w:rsid w:val="00D56D67"/>
    <w:rsid w:val="00D6340F"/>
    <w:rsid w:val="00D72D16"/>
    <w:rsid w:val="00D73E1C"/>
    <w:rsid w:val="00D74213"/>
    <w:rsid w:val="00D7792E"/>
    <w:rsid w:val="00D8049E"/>
    <w:rsid w:val="00D804D4"/>
    <w:rsid w:val="00D81032"/>
    <w:rsid w:val="00D81914"/>
    <w:rsid w:val="00D8195B"/>
    <w:rsid w:val="00D8561C"/>
    <w:rsid w:val="00D8619F"/>
    <w:rsid w:val="00D86764"/>
    <w:rsid w:val="00D86F8B"/>
    <w:rsid w:val="00D90DA7"/>
    <w:rsid w:val="00D92434"/>
    <w:rsid w:val="00D924C9"/>
    <w:rsid w:val="00D957E3"/>
    <w:rsid w:val="00D970E2"/>
    <w:rsid w:val="00DA5ABC"/>
    <w:rsid w:val="00DA76F0"/>
    <w:rsid w:val="00DB0873"/>
    <w:rsid w:val="00DB235D"/>
    <w:rsid w:val="00DB2772"/>
    <w:rsid w:val="00DB5528"/>
    <w:rsid w:val="00DB55CC"/>
    <w:rsid w:val="00DB5C0A"/>
    <w:rsid w:val="00DB5E40"/>
    <w:rsid w:val="00DC0C93"/>
    <w:rsid w:val="00DC0E09"/>
    <w:rsid w:val="00DC168A"/>
    <w:rsid w:val="00DC68EB"/>
    <w:rsid w:val="00DD13E2"/>
    <w:rsid w:val="00DD604B"/>
    <w:rsid w:val="00DE153B"/>
    <w:rsid w:val="00DE3B70"/>
    <w:rsid w:val="00DF003C"/>
    <w:rsid w:val="00DF4501"/>
    <w:rsid w:val="00DF723C"/>
    <w:rsid w:val="00DF783E"/>
    <w:rsid w:val="00DF78AE"/>
    <w:rsid w:val="00E029A8"/>
    <w:rsid w:val="00E117EC"/>
    <w:rsid w:val="00E11E2E"/>
    <w:rsid w:val="00E24CF4"/>
    <w:rsid w:val="00E26A43"/>
    <w:rsid w:val="00E27279"/>
    <w:rsid w:val="00E31699"/>
    <w:rsid w:val="00E316D8"/>
    <w:rsid w:val="00E32707"/>
    <w:rsid w:val="00E348A5"/>
    <w:rsid w:val="00E36029"/>
    <w:rsid w:val="00E371EC"/>
    <w:rsid w:val="00E422D7"/>
    <w:rsid w:val="00E42EB6"/>
    <w:rsid w:val="00E52C4A"/>
    <w:rsid w:val="00E6063A"/>
    <w:rsid w:val="00E62A59"/>
    <w:rsid w:val="00E64A3C"/>
    <w:rsid w:val="00E65AC5"/>
    <w:rsid w:val="00E679CA"/>
    <w:rsid w:val="00E703E8"/>
    <w:rsid w:val="00E71E1C"/>
    <w:rsid w:val="00E72AE3"/>
    <w:rsid w:val="00E73B0B"/>
    <w:rsid w:val="00E73B51"/>
    <w:rsid w:val="00E743B7"/>
    <w:rsid w:val="00E75CF5"/>
    <w:rsid w:val="00E76D3D"/>
    <w:rsid w:val="00E81B17"/>
    <w:rsid w:val="00E8308B"/>
    <w:rsid w:val="00E83125"/>
    <w:rsid w:val="00E83F26"/>
    <w:rsid w:val="00E86A13"/>
    <w:rsid w:val="00E86CA7"/>
    <w:rsid w:val="00E903FD"/>
    <w:rsid w:val="00EA1F89"/>
    <w:rsid w:val="00EA5BCC"/>
    <w:rsid w:val="00EB117B"/>
    <w:rsid w:val="00EB15E0"/>
    <w:rsid w:val="00EB39C0"/>
    <w:rsid w:val="00EB40D6"/>
    <w:rsid w:val="00EB5F75"/>
    <w:rsid w:val="00EB79CD"/>
    <w:rsid w:val="00EB7F18"/>
    <w:rsid w:val="00EC0C82"/>
    <w:rsid w:val="00EC305D"/>
    <w:rsid w:val="00EC3BF2"/>
    <w:rsid w:val="00EC3C36"/>
    <w:rsid w:val="00ED0EA7"/>
    <w:rsid w:val="00ED5253"/>
    <w:rsid w:val="00ED6131"/>
    <w:rsid w:val="00EE0578"/>
    <w:rsid w:val="00EE0F2E"/>
    <w:rsid w:val="00EE1454"/>
    <w:rsid w:val="00EE2A41"/>
    <w:rsid w:val="00EE2C8C"/>
    <w:rsid w:val="00EE3054"/>
    <w:rsid w:val="00EE3214"/>
    <w:rsid w:val="00EE3257"/>
    <w:rsid w:val="00EE575D"/>
    <w:rsid w:val="00EE5F8D"/>
    <w:rsid w:val="00EF09FB"/>
    <w:rsid w:val="00EF2004"/>
    <w:rsid w:val="00EF22EE"/>
    <w:rsid w:val="00EF5956"/>
    <w:rsid w:val="00F0160F"/>
    <w:rsid w:val="00F02923"/>
    <w:rsid w:val="00F02B2C"/>
    <w:rsid w:val="00F0351B"/>
    <w:rsid w:val="00F04E34"/>
    <w:rsid w:val="00F06472"/>
    <w:rsid w:val="00F06F04"/>
    <w:rsid w:val="00F0721E"/>
    <w:rsid w:val="00F0754E"/>
    <w:rsid w:val="00F110DB"/>
    <w:rsid w:val="00F13693"/>
    <w:rsid w:val="00F16026"/>
    <w:rsid w:val="00F22566"/>
    <w:rsid w:val="00F22963"/>
    <w:rsid w:val="00F23E87"/>
    <w:rsid w:val="00F25D50"/>
    <w:rsid w:val="00F2654F"/>
    <w:rsid w:val="00F34BCA"/>
    <w:rsid w:val="00F37993"/>
    <w:rsid w:val="00F403EA"/>
    <w:rsid w:val="00F42753"/>
    <w:rsid w:val="00F4623D"/>
    <w:rsid w:val="00F47DEC"/>
    <w:rsid w:val="00F510DB"/>
    <w:rsid w:val="00F542DB"/>
    <w:rsid w:val="00F54525"/>
    <w:rsid w:val="00F56B30"/>
    <w:rsid w:val="00F64643"/>
    <w:rsid w:val="00F7260C"/>
    <w:rsid w:val="00F727B0"/>
    <w:rsid w:val="00F72B5D"/>
    <w:rsid w:val="00F750BE"/>
    <w:rsid w:val="00F84FFF"/>
    <w:rsid w:val="00F90E93"/>
    <w:rsid w:val="00F91F36"/>
    <w:rsid w:val="00F946D3"/>
    <w:rsid w:val="00F94BD5"/>
    <w:rsid w:val="00F95A73"/>
    <w:rsid w:val="00F95FBD"/>
    <w:rsid w:val="00F97F52"/>
    <w:rsid w:val="00FA24CB"/>
    <w:rsid w:val="00FA2545"/>
    <w:rsid w:val="00FA5036"/>
    <w:rsid w:val="00FA5363"/>
    <w:rsid w:val="00FB072A"/>
    <w:rsid w:val="00FB1664"/>
    <w:rsid w:val="00FB242A"/>
    <w:rsid w:val="00FB2CFE"/>
    <w:rsid w:val="00FB4AAD"/>
    <w:rsid w:val="00FB4E3D"/>
    <w:rsid w:val="00FB5348"/>
    <w:rsid w:val="00FB5F2A"/>
    <w:rsid w:val="00FB6049"/>
    <w:rsid w:val="00FC02ED"/>
    <w:rsid w:val="00FC0941"/>
    <w:rsid w:val="00FC1036"/>
    <w:rsid w:val="00FC4E89"/>
    <w:rsid w:val="00FC4F9B"/>
    <w:rsid w:val="00FC59F0"/>
    <w:rsid w:val="00FC5E56"/>
    <w:rsid w:val="00FD2899"/>
    <w:rsid w:val="00FD4599"/>
    <w:rsid w:val="00FD4784"/>
    <w:rsid w:val="00FD5EBA"/>
    <w:rsid w:val="00FD65FE"/>
    <w:rsid w:val="00FD68C0"/>
    <w:rsid w:val="00FD6B1B"/>
    <w:rsid w:val="00FE18C4"/>
    <w:rsid w:val="00FE3D5E"/>
    <w:rsid w:val="00FE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apple-style-span">
    <w:name w:val="apple-style-span"/>
    <w:rsid w:val="001249A0"/>
  </w:style>
  <w:style w:type="character" w:customStyle="1" w:styleId="UnresolvedMention">
    <w:name w:val="Unresolved Mention"/>
    <w:basedOn w:val="Fuentedeprrafopredeter"/>
    <w:uiPriority w:val="99"/>
    <w:semiHidden/>
    <w:unhideWhenUsed/>
    <w:rsid w:val="00D7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18141939">
      <w:bodyDiv w:val="1"/>
      <w:marLeft w:val="0"/>
      <w:marRight w:val="0"/>
      <w:marTop w:val="0"/>
      <w:marBottom w:val="0"/>
      <w:divBdr>
        <w:top w:val="none" w:sz="0" w:space="0" w:color="auto"/>
        <w:left w:val="none" w:sz="0" w:space="0" w:color="auto"/>
        <w:bottom w:val="none" w:sz="0" w:space="0" w:color="auto"/>
        <w:right w:val="none" w:sz="0" w:space="0" w:color="auto"/>
      </w:divBdr>
      <w:divsChild>
        <w:div w:id="526794637">
          <w:marLeft w:val="0"/>
          <w:marRight w:val="0"/>
          <w:marTop w:val="150"/>
          <w:marBottom w:val="0"/>
          <w:divBdr>
            <w:top w:val="none" w:sz="0" w:space="0" w:color="auto"/>
            <w:left w:val="none" w:sz="0" w:space="0" w:color="auto"/>
            <w:bottom w:val="none" w:sz="0" w:space="0" w:color="auto"/>
            <w:right w:val="none" w:sz="0" w:space="0" w:color="auto"/>
          </w:divBdr>
        </w:div>
      </w:divsChild>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4006459">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075128659">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nografias.com/trabajos14/verific-servicios/verific-servicios.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588B-140D-42B5-B7A0-E36D6AD8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63</Pages>
  <Words>13485</Words>
  <Characters>74168</Characters>
  <Application>Microsoft Office Word</Application>
  <DocSecurity>0</DocSecurity>
  <Lines>618</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14</cp:revision>
  <cp:lastPrinted>2020-01-30T23:10:00Z</cp:lastPrinted>
  <dcterms:created xsi:type="dcterms:W3CDTF">2025-03-22T04:23:00Z</dcterms:created>
  <dcterms:modified xsi:type="dcterms:W3CDTF">2025-05-14T15:18:00Z</dcterms:modified>
</cp:coreProperties>
</file>