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E1920" w14:textId="2C26E6B0"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veinticinco de noviembre de dos mil veinticinco. </w:t>
      </w:r>
    </w:p>
    <w:p w14:paraId="4836B0B9" w14:textId="1F305D1E" w:rsidR="00AC55F7" w:rsidRPr="000A7ABC" w:rsidRDefault="006C736C">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0A7ABC">
        <w:rPr>
          <w:rFonts w:ascii="Palatino Linotype" w:eastAsia="Palatino Linotype" w:hAnsi="Palatino Linotype" w:cs="Palatino Linotype"/>
          <w:b/>
          <w:bCs/>
          <w:sz w:val="22"/>
          <w:szCs w:val="22"/>
        </w:rPr>
        <w:t>VISTO</w:t>
      </w:r>
      <w:r w:rsidRPr="000A7ABC">
        <w:rPr>
          <w:rFonts w:ascii="Palatino Linotype" w:eastAsia="Palatino Linotype" w:hAnsi="Palatino Linotype" w:cs="Palatino Linotype"/>
          <w:sz w:val="22"/>
          <w:szCs w:val="22"/>
        </w:rPr>
        <w:t xml:space="preserve"> el expediente formado con motivo del recurso de revisión </w:t>
      </w:r>
      <w:r w:rsidRPr="000A7ABC">
        <w:rPr>
          <w:rFonts w:ascii="Palatino Linotype" w:eastAsia="Palatino Linotype" w:hAnsi="Palatino Linotype" w:cs="Palatino Linotype"/>
          <w:b/>
          <w:bCs/>
          <w:sz w:val="22"/>
          <w:szCs w:val="22"/>
        </w:rPr>
        <w:t>11754/INFOEM/IP/RR/2025</w:t>
      </w:r>
      <w:r w:rsidRPr="000A7ABC">
        <w:rPr>
          <w:rFonts w:ascii="Palatino Linotype" w:eastAsia="Palatino Linotype" w:hAnsi="Palatino Linotype" w:cs="Palatino Linotype"/>
          <w:sz w:val="22"/>
          <w:szCs w:val="22"/>
        </w:rPr>
        <w:t>, interpuesto por</w:t>
      </w:r>
      <w:r w:rsidRPr="000A7ABC">
        <w:rPr>
          <w:rFonts w:ascii="Palatino Linotype" w:eastAsia="Palatino Linotype" w:hAnsi="Palatino Linotype" w:cs="Palatino Linotype"/>
          <w:b/>
          <w:bCs/>
          <w:sz w:val="22"/>
          <w:szCs w:val="22"/>
        </w:rPr>
        <w:t xml:space="preserve"> </w:t>
      </w:r>
      <w:r w:rsidR="004219FC" w:rsidRPr="004219FC">
        <w:rPr>
          <w:rFonts w:ascii="Palatino Linotype" w:eastAsia="Palatino Linotype" w:hAnsi="Palatino Linotype" w:cs="Palatino Linotype"/>
          <w:b/>
          <w:bCs/>
          <w:sz w:val="22"/>
          <w:szCs w:val="22"/>
        </w:rPr>
        <w:t>XXXXXXX XXXXXXXX XXXX</w:t>
      </w:r>
      <w:r w:rsidRPr="004219FC">
        <w:rPr>
          <w:rFonts w:ascii="Palatino Linotype" w:eastAsia="Palatino Linotype" w:hAnsi="Palatino Linotype" w:cs="Palatino Linotype"/>
          <w:b/>
          <w:bCs/>
          <w:sz w:val="22"/>
          <w:szCs w:val="22"/>
        </w:rPr>
        <w:t>,</w:t>
      </w:r>
      <w:r w:rsidRPr="000A7ABC">
        <w:rPr>
          <w:rFonts w:ascii="Palatino Linotype" w:eastAsia="Palatino Linotype" w:hAnsi="Palatino Linotype" w:cs="Palatino Linotype"/>
          <w:sz w:val="22"/>
          <w:szCs w:val="22"/>
        </w:rPr>
        <w:t xml:space="preserve"> en lo sucesivo</w:t>
      </w:r>
      <w:r w:rsidRPr="000A7ABC">
        <w:rPr>
          <w:rFonts w:ascii="Palatino Linotype" w:eastAsia="Palatino Linotype" w:hAnsi="Palatino Linotype" w:cs="Palatino Linotype"/>
          <w:b/>
          <w:bCs/>
          <w:sz w:val="22"/>
          <w:szCs w:val="22"/>
        </w:rPr>
        <w:t xml:space="preserve"> </w:t>
      </w:r>
      <w:r w:rsidRPr="000A7ABC">
        <w:rPr>
          <w:rFonts w:ascii="Palatino Linotype" w:eastAsia="Palatino Linotype" w:hAnsi="Palatino Linotype" w:cs="Palatino Linotype"/>
          <w:sz w:val="22"/>
          <w:szCs w:val="22"/>
        </w:rPr>
        <w:t xml:space="preserve">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en contra de la respuesta a la solicitud de información con número de folio</w:t>
      </w:r>
      <w:r w:rsidRPr="000A7ABC">
        <w:rPr>
          <w:rFonts w:ascii="Palatino Linotype" w:eastAsia="Palatino Linotype" w:hAnsi="Palatino Linotype" w:cs="Palatino Linotype"/>
          <w:b/>
          <w:bCs/>
          <w:sz w:val="22"/>
          <w:szCs w:val="22"/>
        </w:rPr>
        <w:t xml:space="preserve"> 04672/TOLUCA/IP/2025, </w:t>
      </w:r>
      <w:r w:rsidRPr="000A7ABC">
        <w:rPr>
          <w:rFonts w:ascii="Palatino Linotype" w:eastAsia="Palatino Linotype" w:hAnsi="Palatino Linotype" w:cs="Palatino Linotype"/>
          <w:sz w:val="22"/>
          <w:szCs w:val="22"/>
        </w:rPr>
        <w:t xml:space="preserve">por parte del </w:t>
      </w:r>
      <w:r w:rsidRPr="000A7ABC">
        <w:rPr>
          <w:rFonts w:ascii="Palatino Linotype" w:eastAsia="Palatino Linotype" w:hAnsi="Palatino Linotype" w:cs="Palatino Linotype"/>
          <w:b/>
          <w:bCs/>
          <w:sz w:val="22"/>
          <w:szCs w:val="22"/>
        </w:rPr>
        <w:t xml:space="preserve">Ayuntamiento de Toluca, </w:t>
      </w:r>
      <w:r w:rsidRPr="000A7ABC">
        <w:rPr>
          <w:rFonts w:ascii="Palatino Linotype" w:eastAsia="Palatino Linotype" w:hAnsi="Palatino Linotype" w:cs="Palatino Linotype"/>
          <w:sz w:val="22"/>
          <w:szCs w:val="22"/>
        </w:rPr>
        <w:t xml:space="preserve">en lo sucesivo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 xml:space="preserve">se procede a dictar la presente resolución con base en los siguientes: </w:t>
      </w:r>
    </w:p>
    <w:p w14:paraId="752689B6" w14:textId="77777777" w:rsidR="00AC55F7" w:rsidRPr="000A7ABC" w:rsidRDefault="006C736C">
      <w:pPr>
        <w:spacing w:before="240" w:after="240" w:line="360" w:lineRule="auto"/>
        <w:jc w:val="center"/>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I. A N T E C E D E N T E S</w:t>
      </w:r>
    </w:p>
    <w:p w14:paraId="627E0985"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1" w:name="_heading=h.gjdgxs" w:colFirst="0" w:colLast="0"/>
      <w:bookmarkEnd w:id="1"/>
      <w:r w:rsidRPr="000A7ABC">
        <w:rPr>
          <w:rFonts w:ascii="Palatino Linotype" w:eastAsia="Palatino Linotype" w:hAnsi="Palatino Linotype" w:cs="Palatino Linotype"/>
          <w:b/>
          <w:bCs/>
          <w:sz w:val="22"/>
          <w:szCs w:val="22"/>
        </w:rPr>
        <w:t>1. Solicitud de acceso a la información.</w:t>
      </w:r>
      <w:r w:rsidRPr="000A7ABC">
        <w:rPr>
          <w:rFonts w:ascii="Palatino Linotype" w:eastAsia="Palatino Linotype" w:hAnsi="Palatino Linotype" w:cs="Palatino Linotype"/>
          <w:sz w:val="22"/>
          <w:szCs w:val="22"/>
        </w:rPr>
        <w:t xml:space="preserve"> El </w:t>
      </w:r>
      <w:r w:rsidRPr="000A7ABC">
        <w:rPr>
          <w:rFonts w:ascii="Palatino Linotype" w:eastAsia="Palatino Linotype" w:hAnsi="Palatino Linotype" w:cs="Palatino Linotype"/>
          <w:b/>
          <w:bCs/>
          <w:sz w:val="22"/>
          <w:szCs w:val="22"/>
        </w:rPr>
        <w:t>diecisiete de septiembre de dos mil veinticinco,</w:t>
      </w:r>
      <w:r w:rsidRPr="000A7ABC">
        <w:rPr>
          <w:rFonts w:ascii="Palatino Linotype" w:eastAsia="Palatino Linotype" w:hAnsi="Palatino Linotype" w:cs="Palatino Linotype"/>
          <w:sz w:val="22"/>
          <w:szCs w:val="22"/>
        </w:rPr>
        <w:t xml:space="preserve">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 xml:space="preserve">presentó la solicitud de acceso a la información pública ante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a través del Sistema de Acceso a la Información Mexiquense, en lo subsecuente el </w:t>
      </w:r>
      <w:r w:rsidRPr="000A7ABC">
        <w:rPr>
          <w:rFonts w:ascii="Palatino Linotype" w:eastAsia="Palatino Linotype" w:hAnsi="Palatino Linotype" w:cs="Palatino Linotype"/>
          <w:b/>
          <w:bCs/>
          <w:sz w:val="22"/>
          <w:szCs w:val="22"/>
        </w:rPr>
        <w:t>SAIMEX,</w:t>
      </w:r>
      <w:r w:rsidRPr="000A7ABC">
        <w:rPr>
          <w:rFonts w:ascii="Palatino Linotype" w:eastAsia="Palatino Linotype" w:hAnsi="Palatino Linotype" w:cs="Palatino Linotype"/>
          <w:sz w:val="22"/>
          <w:szCs w:val="22"/>
        </w:rPr>
        <w:t xml:space="preserve"> mediante la cual requirió lo siguiente:</w:t>
      </w:r>
    </w:p>
    <w:p w14:paraId="18401DA4" w14:textId="77777777" w:rsidR="00AC55F7" w:rsidRPr="000A7ABC" w:rsidRDefault="006C736C">
      <w:pPr>
        <w:spacing w:before="120" w:after="120"/>
        <w:ind w:left="851" w:right="902"/>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i/>
          <w:iCs/>
          <w:sz w:val="22"/>
          <w:szCs w:val="22"/>
        </w:rPr>
        <w:t xml:space="preserve"> “Solicito los recibos de nómina de todas las personas servidoras públicas que laboran en la Dirección de Administración o análoga, del Ayuntamiento de Toluca.</w:t>
      </w:r>
      <w:r w:rsidRPr="000A7ABC">
        <w:rPr>
          <w:rFonts w:ascii="Palatino Linotype" w:eastAsia="Palatino Linotype" w:hAnsi="Palatino Linotype" w:cs="Palatino Linotype"/>
          <w:b/>
          <w:bCs/>
          <w:i/>
          <w:iCs/>
          <w:sz w:val="22"/>
          <w:szCs w:val="22"/>
        </w:rPr>
        <w:t>”</w:t>
      </w:r>
      <w:r w:rsidRPr="000A7ABC">
        <w:rPr>
          <w:rFonts w:ascii="Palatino Linotype" w:eastAsia="Palatino Linotype" w:hAnsi="Palatino Linotype" w:cs="Palatino Linotype"/>
          <w:i/>
          <w:iCs/>
          <w:sz w:val="22"/>
          <w:szCs w:val="22"/>
        </w:rPr>
        <w:t xml:space="preserve"> (sic) </w:t>
      </w:r>
    </w:p>
    <w:p w14:paraId="6EBDECC0"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0A7ABC">
        <w:rPr>
          <w:rFonts w:ascii="Palatino Linotype" w:eastAsia="Palatino Linotype" w:hAnsi="Palatino Linotype" w:cs="Palatino Linotype"/>
          <w:b/>
          <w:bCs/>
          <w:sz w:val="22"/>
          <w:szCs w:val="22"/>
        </w:rPr>
        <w:t>Modalidad de Entrega:</w:t>
      </w:r>
      <w:r w:rsidRPr="000A7ABC">
        <w:rPr>
          <w:rFonts w:ascii="Palatino Linotype" w:eastAsia="Palatino Linotype" w:hAnsi="Palatino Linotype" w:cs="Palatino Linotype"/>
          <w:sz w:val="22"/>
          <w:szCs w:val="22"/>
        </w:rPr>
        <w:t xml:space="preserve"> a través del</w:t>
      </w:r>
      <w:r w:rsidRPr="000A7ABC">
        <w:rPr>
          <w:rFonts w:ascii="Palatino Linotype" w:eastAsia="Palatino Linotype" w:hAnsi="Palatino Linotype" w:cs="Palatino Linotype"/>
          <w:b/>
          <w:bCs/>
          <w:sz w:val="22"/>
          <w:szCs w:val="22"/>
        </w:rPr>
        <w:t xml:space="preserve"> SAIMEX.</w:t>
      </w:r>
    </w:p>
    <w:p w14:paraId="0730693B"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2. Respuesta. </w:t>
      </w:r>
      <w:r w:rsidRPr="000A7ABC">
        <w:rPr>
          <w:rFonts w:ascii="Palatino Linotype" w:eastAsia="Palatino Linotype" w:hAnsi="Palatino Linotype" w:cs="Palatino Linotype"/>
          <w:sz w:val="22"/>
          <w:szCs w:val="22"/>
        </w:rPr>
        <w:t xml:space="preserve">El </w:t>
      </w:r>
      <w:r w:rsidRPr="000A7ABC">
        <w:rPr>
          <w:rFonts w:ascii="Palatino Linotype" w:eastAsia="Palatino Linotype" w:hAnsi="Palatino Linotype" w:cs="Palatino Linotype"/>
          <w:b/>
          <w:bCs/>
          <w:sz w:val="22"/>
          <w:szCs w:val="22"/>
        </w:rPr>
        <w:t>ocho de octubre de dos mil veinticinco,</w:t>
      </w:r>
      <w:r w:rsidRPr="000A7ABC">
        <w:rPr>
          <w:rFonts w:ascii="Palatino Linotype" w:eastAsia="Palatino Linotype" w:hAnsi="Palatino Linotype" w:cs="Palatino Linotype"/>
          <w:sz w:val="22"/>
          <w:szCs w:val="22"/>
        </w:rPr>
        <w:t xml:space="preserve">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6741AA10" w14:textId="77777777" w:rsidR="00AC55F7" w:rsidRPr="000A7ABC" w:rsidRDefault="006C736C">
      <w:pPr>
        <w:spacing w:before="240" w:after="24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“…En atención a la solicitud con folio 04672/TOLUCA/IP/2025, me permito adjuntar al presente la respuesta correspondiente, Sin más por el momento, reciba un saludo...” (sic)</w:t>
      </w:r>
    </w:p>
    <w:p w14:paraId="5D261967"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lastRenderedPageBreak/>
        <w:t xml:space="preserve">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adjuntó lo siguiente:</w:t>
      </w:r>
    </w:p>
    <w:p w14:paraId="19A96C59"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Oficio número 206010000/5837/2025, mediante el cual la Directora General de Administración refirió adjuntar la respuesta proporcionada por la Dirección de Recursos Humanos en atención a la solicitud.</w:t>
      </w:r>
    </w:p>
    <w:p w14:paraId="13AE4357"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 Nota informativa número 1035/2025, mediante el cual la Directora de Recursos Humanos refirió que la información solicitada podía ser consultada en el portal de Información Pública de Oficio Mexiquense, IPOMEX, cuya dirección electrónica proporcionó en formato cerrado, asimismo, manifestó que la obligación de proporcionar la información no comprende el procesamiento de la misma, ni el presentarla conforme al interés del solicitante; por lo que los </w:t>
      </w:r>
      <w:r w:rsidRPr="000A7ABC">
        <w:rPr>
          <w:rFonts w:ascii="Palatino Linotype" w:eastAsia="Palatino Linotype" w:hAnsi="Palatino Linotype" w:cs="Palatino Linotype"/>
          <w:b/>
          <w:bCs/>
          <w:sz w:val="22"/>
          <w:szCs w:val="22"/>
        </w:rPr>
        <w:t>Sujetos Obligados</w:t>
      </w:r>
      <w:r w:rsidRPr="000A7ABC">
        <w:rPr>
          <w:rFonts w:ascii="Palatino Linotype" w:eastAsia="Palatino Linotype" w:hAnsi="Palatino Linotype" w:cs="Palatino Linotype"/>
          <w:sz w:val="22"/>
          <w:szCs w:val="22"/>
        </w:rPr>
        <w:t xml:space="preserve"> no estarán obligados a generarla, resumirla, efectuar cálculos o practicar investigaciones.</w:t>
      </w:r>
    </w:p>
    <w:p w14:paraId="1F5A0C24"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3. Interposición del recurso de revisión. </w:t>
      </w:r>
      <w:r w:rsidRPr="000A7ABC">
        <w:rPr>
          <w:rFonts w:ascii="Palatino Linotype" w:eastAsia="Palatino Linotype" w:hAnsi="Palatino Linotype" w:cs="Palatino Linotype"/>
          <w:sz w:val="22"/>
          <w:szCs w:val="22"/>
        </w:rPr>
        <w:t xml:space="preserve">Inconforme con los términos de la respuesta emitida por parte del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el </w:t>
      </w:r>
      <w:r w:rsidRPr="000A7ABC">
        <w:rPr>
          <w:rFonts w:ascii="Palatino Linotype" w:eastAsia="Palatino Linotype" w:hAnsi="Palatino Linotype" w:cs="Palatino Linotype"/>
          <w:b/>
          <w:bCs/>
          <w:sz w:val="22"/>
          <w:szCs w:val="22"/>
        </w:rPr>
        <w:t>diez de octubre de dos mil veinticinco,</w:t>
      </w:r>
      <w:r w:rsidRPr="000A7ABC">
        <w:rPr>
          <w:rFonts w:ascii="Palatino Linotype" w:eastAsia="Palatino Linotype" w:hAnsi="Palatino Linotype" w:cs="Palatino Linotype"/>
          <w:sz w:val="22"/>
          <w:szCs w:val="22"/>
        </w:rPr>
        <w:t xml:space="preserve">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interpuso el recurso de revisión a través de </w:t>
      </w:r>
      <w:r w:rsidRPr="000A7ABC">
        <w:rPr>
          <w:rFonts w:ascii="Palatino Linotype" w:eastAsia="Palatino Linotype" w:hAnsi="Palatino Linotype" w:cs="Palatino Linotype"/>
          <w:b/>
          <w:bCs/>
          <w:sz w:val="22"/>
          <w:szCs w:val="22"/>
        </w:rPr>
        <w:t xml:space="preserve">SAIMEX, </w:t>
      </w:r>
      <w:r w:rsidRPr="000A7ABC">
        <w:rPr>
          <w:rFonts w:ascii="Palatino Linotype" w:eastAsia="Palatino Linotype" w:hAnsi="Palatino Linotype" w:cs="Palatino Linotype"/>
          <w:sz w:val="22"/>
          <w:szCs w:val="22"/>
        </w:rPr>
        <w:t xml:space="preserve">sin embargo, al corresponder con un día inhábil, se tuvo por interpuesto el </w:t>
      </w:r>
      <w:r w:rsidRPr="000A7ABC">
        <w:rPr>
          <w:rFonts w:ascii="Palatino Linotype" w:eastAsia="Palatino Linotype" w:hAnsi="Palatino Linotype" w:cs="Palatino Linotype"/>
          <w:b/>
          <w:bCs/>
          <w:sz w:val="22"/>
          <w:szCs w:val="22"/>
        </w:rPr>
        <w:t xml:space="preserve">cuatro de agosto de dos mil veinticinco, </w:t>
      </w:r>
      <w:r w:rsidRPr="000A7ABC">
        <w:rPr>
          <w:rFonts w:ascii="Palatino Linotype" w:eastAsia="Palatino Linotype" w:hAnsi="Palatino Linotype" w:cs="Palatino Linotype"/>
          <w:sz w:val="22"/>
          <w:szCs w:val="22"/>
        </w:rPr>
        <w:t>en donde se manifestó de la siguiente manera:</w:t>
      </w:r>
    </w:p>
    <w:p w14:paraId="5C908902" w14:textId="77777777" w:rsidR="00AC55F7" w:rsidRPr="000A7ABC" w:rsidRDefault="006C736C">
      <w:pPr>
        <w:spacing w:before="240" w:after="240" w:line="360" w:lineRule="auto"/>
        <w:ind w:right="49"/>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 xml:space="preserve">Acto impugnado: </w:t>
      </w:r>
    </w:p>
    <w:p w14:paraId="2FE4F9F4" w14:textId="77777777" w:rsidR="00AC55F7" w:rsidRPr="000A7ABC" w:rsidRDefault="006C736C">
      <w:pPr>
        <w:ind w:left="851" w:right="900"/>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“LA RESPUESTA OTORGADA” (sic)</w:t>
      </w:r>
    </w:p>
    <w:p w14:paraId="7E55D283" w14:textId="77777777" w:rsidR="00AC55F7" w:rsidRPr="000A7ABC" w:rsidRDefault="006C736C">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0A7ABC">
        <w:rPr>
          <w:rFonts w:ascii="Palatino Linotype" w:eastAsia="Palatino Linotype" w:hAnsi="Palatino Linotype" w:cs="Palatino Linotype"/>
          <w:b/>
          <w:bCs/>
          <w:sz w:val="22"/>
          <w:szCs w:val="22"/>
        </w:rPr>
        <w:t>Y, Razones o motivos de inconformidad</w:t>
      </w:r>
      <w:r w:rsidRPr="000A7ABC">
        <w:rPr>
          <w:rFonts w:ascii="Palatino Linotype" w:eastAsia="Palatino Linotype" w:hAnsi="Palatino Linotype" w:cs="Palatino Linotype"/>
          <w:sz w:val="22"/>
          <w:szCs w:val="22"/>
        </w:rPr>
        <w:t>:</w:t>
      </w:r>
    </w:p>
    <w:p w14:paraId="3D79F9BB" w14:textId="77777777" w:rsidR="00AC55F7" w:rsidRPr="000A7ABC" w:rsidRDefault="006C736C">
      <w:pPr>
        <w:tabs>
          <w:tab w:val="left" w:pos="2745"/>
        </w:tabs>
        <w:spacing w:before="240" w:after="24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“SOLICITÉ LOS RECIBOS DE NÓMINA, SIN EMBARGO ME MANDARON LA LIGA ELECTRÓNICA DEL IPOMEX. AUNADO A ELLO, SE PASARON DEL TIEMPO LEGAL ESTABLECIDO PARA PROPORCIONAR RESPUESTA A LA SOLICITUD.” (sic)</w:t>
      </w:r>
    </w:p>
    <w:p w14:paraId="0B6E4471" w14:textId="77777777" w:rsidR="00AC55F7" w:rsidRPr="000A7ABC" w:rsidRDefault="006C736C">
      <w:pPr>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4. Turno. </w:t>
      </w:r>
      <w:r w:rsidRPr="000A7AB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w:t>
      </w:r>
      <w:r w:rsidRPr="000A7ABC">
        <w:rPr>
          <w:rFonts w:ascii="Palatino Linotype" w:eastAsia="Palatino Linotype" w:hAnsi="Palatino Linotype" w:cs="Palatino Linotype"/>
          <w:sz w:val="22"/>
          <w:szCs w:val="22"/>
        </w:rPr>
        <w:lastRenderedPageBreak/>
        <w:t xml:space="preserve">revisión se turnó por el sistema electrónico del Instituto de Transparencia, Acceso a la Información Pública y Protección de Datos Personales del Estado de México y Municipios, a la Comisionada </w:t>
      </w:r>
      <w:r w:rsidRPr="000A7ABC">
        <w:rPr>
          <w:rFonts w:ascii="Palatino Linotype" w:eastAsia="Palatino Linotype" w:hAnsi="Palatino Linotype" w:cs="Palatino Linotype"/>
          <w:b/>
          <w:bCs/>
          <w:sz w:val="22"/>
          <w:szCs w:val="22"/>
        </w:rPr>
        <w:t xml:space="preserve">Guadalupe Ramírez Peña, </w:t>
      </w:r>
      <w:r w:rsidRPr="000A7ABC">
        <w:rPr>
          <w:rFonts w:ascii="Palatino Linotype" w:eastAsia="Palatino Linotype" w:hAnsi="Palatino Linotype" w:cs="Palatino Linotype"/>
          <w:sz w:val="22"/>
          <w:szCs w:val="22"/>
        </w:rPr>
        <w:t>a efecto de que analizara sobre su admisión o su desechamiento.</w:t>
      </w:r>
    </w:p>
    <w:p w14:paraId="20445DCC" w14:textId="77777777" w:rsidR="00AC55F7" w:rsidRPr="000A7ABC" w:rsidRDefault="006C736C">
      <w:pPr>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5. Admisión del Recurso de revisión.</w:t>
      </w:r>
      <w:r w:rsidRPr="000A7ABC">
        <w:rPr>
          <w:rFonts w:ascii="Palatino Linotype" w:eastAsia="Palatino Linotype" w:hAnsi="Palatino Linotype" w:cs="Palatino Linotype"/>
          <w:sz w:val="22"/>
          <w:szCs w:val="22"/>
        </w:rPr>
        <w:t xml:space="preserve"> El</w:t>
      </w:r>
      <w:r w:rsidRPr="000A7ABC">
        <w:rPr>
          <w:rFonts w:ascii="Palatino Linotype" w:eastAsia="Palatino Linotype" w:hAnsi="Palatino Linotype" w:cs="Palatino Linotype"/>
          <w:b/>
          <w:bCs/>
          <w:sz w:val="22"/>
          <w:szCs w:val="22"/>
        </w:rPr>
        <w:t xml:space="preserve"> quince de octubre de dos mil veinticinco, </w:t>
      </w:r>
      <w:r w:rsidRPr="000A7AB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presentara su informe justificado.</w:t>
      </w:r>
    </w:p>
    <w:p w14:paraId="79CF1E2B"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0A7ABC">
        <w:rPr>
          <w:rFonts w:ascii="Palatino Linotype" w:eastAsia="Palatino Linotype" w:hAnsi="Palatino Linotype" w:cs="Palatino Linotype"/>
          <w:b/>
          <w:bCs/>
          <w:sz w:val="22"/>
          <w:szCs w:val="22"/>
        </w:rPr>
        <w:t>6. Manifestaciones</w:t>
      </w:r>
      <w:r w:rsidRPr="000A7ABC">
        <w:rPr>
          <w:rFonts w:ascii="Palatino Linotype" w:eastAsia="Palatino Linotype" w:hAnsi="Palatino Linotype" w:cs="Palatino Linotype"/>
          <w:sz w:val="22"/>
          <w:szCs w:val="22"/>
        </w:rPr>
        <w:t xml:space="preserve">. El </w:t>
      </w:r>
      <w:r w:rsidRPr="000A7ABC">
        <w:rPr>
          <w:rFonts w:ascii="Palatino Linotype" w:eastAsia="Palatino Linotype" w:hAnsi="Palatino Linotype" w:cs="Palatino Linotype"/>
          <w:b/>
          <w:bCs/>
          <w:sz w:val="22"/>
          <w:szCs w:val="22"/>
        </w:rPr>
        <w:t>veinticuatro y veintinueve de octubre de</w:t>
      </w: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dos mil veinticinco</w:t>
      </w:r>
      <w:r w:rsidRPr="000A7ABC">
        <w:rPr>
          <w:rFonts w:ascii="Palatino Linotype" w:eastAsia="Palatino Linotype" w:hAnsi="Palatino Linotype" w:cs="Palatino Linotype"/>
          <w:sz w:val="22"/>
          <w:szCs w:val="22"/>
        </w:rPr>
        <w:t xml:space="preserve">,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remitió, a través del SAIMEX lo siguiente:</w:t>
      </w:r>
    </w:p>
    <w:p w14:paraId="19C54744"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Escrito mediante el cual el titular de la Unidad de Transparencia, por conducto de la Dirección General de Administración ratificó la respuesta proporcionada en primera instancia.</w:t>
      </w:r>
    </w:p>
    <w:p w14:paraId="404BC80E"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Oficio número 206010000/6444/2025, mediante el cual la Directora General de Administración ratificó la respuesta proporcionada en primera instancia.</w:t>
      </w:r>
    </w:p>
    <w:p w14:paraId="36469E7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4E3961B1" w14:textId="77777777" w:rsidR="00AC55F7" w:rsidRPr="000A7ABC" w:rsidRDefault="006C736C">
      <w:pPr>
        <w:widowControl w:val="0"/>
        <w:spacing w:before="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 xml:space="preserve">7. Cierre de instrucción. </w:t>
      </w:r>
      <w:r w:rsidRPr="000A7AB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A7ABC">
        <w:rPr>
          <w:rFonts w:ascii="Palatino Linotype" w:eastAsia="Palatino Linotype" w:hAnsi="Palatino Linotype" w:cs="Palatino Linotype"/>
          <w:b/>
          <w:bCs/>
          <w:sz w:val="22"/>
          <w:szCs w:val="22"/>
        </w:rPr>
        <w:t>diecinueve de noviembre de dos mil veinticinco</w:t>
      </w:r>
      <w:r w:rsidRPr="000A7AB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A659AD2"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6F123C2" w14:textId="77777777" w:rsidR="00AC55F7" w:rsidRPr="000A7ABC" w:rsidRDefault="006C736C">
      <w:pPr>
        <w:widowControl w:val="0"/>
        <w:spacing w:before="240" w:after="240" w:line="360" w:lineRule="auto"/>
        <w:jc w:val="center"/>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II. C O N S I D E R A N D O S</w:t>
      </w:r>
    </w:p>
    <w:p w14:paraId="1BF5AF88"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Primero. Competencia.</w:t>
      </w:r>
      <w:r w:rsidRPr="000A7AB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5BB72B"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0A7ABC">
        <w:rPr>
          <w:rFonts w:ascii="Palatino Linotype" w:eastAsia="Palatino Linotype" w:hAnsi="Palatino Linotype" w:cs="Palatino Linotype"/>
          <w:b/>
          <w:bCs/>
          <w:sz w:val="22"/>
          <w:szCs w:val="22"/>
        </w:rPr>
        <w:t>Segundo. Oportunidad y Procedibilidad del Recurso de Revisión</w:t>
      </w:r>
      <w:r w:rsidRPr="000A7AB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8EC064"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 xml:space="preserve">remitió la respuesta a la solicitud de información el día </w:t>
      </w:r>
      <w:r w:rsidRPr="000A7ABC">
        <w:rPr>
          <w:rFonts w:ascii="Palatino Linotype" w:eastAsia="Palatino Linotype" w:hAnsi="Palatino Linotype" w:cs="Palatino Linotype"/>
          <w:b/>
          <w:bCs/>
          <w:sz w:val="22"/>
          <w:szCs w:val="22"/>
        </w:rPr>
        <w:t xml:space="preserve">ocho de octubre de dos mil veinticinco, </w:t>
      </w:r>
      <w:r w:rsidRPr="000A7ABC">
        <w:rPr>
          <w:rFonts w:ascii="Palatino Linotype" w:eastAsia="Palatino Linotype" w:hAnsi="Palatino Linotype" w:cs="Palatino Linotype"/>
          <w:sz w:val="22"/>
          <w:szCs w:val="22"/>
        </w:rPr>
        <w:t xml:space="preserve">mientras que el recurso de revisión interpuesto por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se tuvo por presentado el día</w:t>
      </w:r>
      <w:r w:rsidRPr="000A7ABC">
        <w:rPr>
          <w:rFonts w:ascii="Palatino Linotype" w:eastAsia="Palatino Linotype" w:hAnsi="Palatino Linotype" w:cs="Palatino Linotype"/>
          <w:b/>
          <w:bCs/>
          <w:sz w:val="22"/>
          <w:szCs w:val="22"/>
        </w:rPr>
        <w:t xml:space="preserve"> diez de octubre de dos mil veinticinco, </w:t>
      </w:r>
      <w:r w:rsidRPr="000A7ABC">
        <w:rPr>
          <w:rFonts w:ascii="Palatino Linotype" w:eastAsia="Palatino Linotype" w:hAnsi="Palatino Linotype" w:cs="Palatino Linotype"/>
          <w:sz w:val="22"/>
          <w:szCs w:val="22"/>
        </w:rPr>
        <w:t>esto es, al segundo día hábil posterior a aquel en el que tuvo conocimiento de la respuesta impugnada. En este sentido, se concluye que el presente recurso de revisión se encuentra dentro de los márgenes temporales previstos en las disposiciones legales referidas.</w:t>
      </w:r>
    </w:p>
    <w:p w14:paraId="27779904" w14:textId="77777777" w:rsidR="00AC55F7" w:rsidRPr="000A7ABC" w:rsidRDefault="006C736C">
      <w:pPr>
        <w:tabs>
          <w:tab w:val="left" w:pos="7938"/>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235FC61"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en sus motivos de inconformidad, de acuerdo al artículo 179, fracción VI del ordenamiento legal citado, que a la letra dice: </w:t>
      </w:r>
    </w:p>
    <w:p w14:paraId="5C1FEB7B" w14:textId="77777777" w:rsidR="00AC55F7" w:rsidRPr="000A7ABC" w:rsidRDefault="006C736C">
      <w:pPr>
        <w:tabs>
          <w:tab w:val="left" w:pos="7938"/>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Artículo 179.</w:t>
      </w:r>
      <w:r w:rsidRPr="000A7ABC">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4F99AA25" w14:textId="77777777" w:rsidR="00AC55F7" w:rsidRPr="000A7ABC" w:rsidRDefault="006C736C">
      <w:pPr>
        <w:tabs>
          <w:tab w:val="left" w:pos="7938"/>
        </w:tabs>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55212CD3" w14:textId="77777777" w:rsidR="00AC55F7" w:rsidRPr="000A7ABC" w:rsidRDefault="006C736C">
      <w:pPr>
        <w:tabs>
          <w:tab w:val="left" w:pos="7938"/>
        </w:tabs>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VI. </w:t>
      </w:r>
      <w:r w:rsidRPr="000A7ABC">
        <w:rPr>
          <w:rFonts w:ascii="Palatino Linotype" w:eastAsia="Palatino Linotype" w:hAnsi="Palatino Linotype" w:cs="Palatino Linotype"/>
          <w:i/>
          <w:iCs/>
          <w:sz w:val="22"/>
          <w:szCs w:val="22"/>
        </w:rPr>
        <w:t>La entrega de información que no corresponda con lo solicitado”</w:t>
      </w:r>
    </w:p>
    <w:p w14:paraId="74C17D41" w14:textId="77777777" w:rsidR="00AC55F7" w:rsidRPr="000A7ABC" w:rsidRDefault="006C736C">
      <w:pPr>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 xml:space="preserve">Tercero. Materia de la revisión. </w:t>
      </w:r>
      <w:r w:rsidRPr="000A7AB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A7ABC">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0A7ABC">
        <w:rPr>
          <w:rFonts w:ascii="Palatino Linotype" w:eastAsia="Palatino Linotype" w:hAnsi="Palatino Linotype" w:cs="Palatino Linotype"/>
          <w:sz w:val="22"/>
          <w:szCs w:val="22"/>
        </w:rPr>
        <w:t xml:space="preserve">de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o en su defecto, en caso de ser procedente, ordenar la entrega de información.</w:t>
      </w:r>
    </w:p>
    <w:p w14:paraId="3DEF2851"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6" w:name="_heading=h.2et92p0" w:colFirst="0" w:colLast="0"/>
      <w:bookmarkEnd w:id="6"/>
      <w:r w:rsidRPr="000A7ABC">
        <w:rPr>
          <w:rFonts w:ascii="Palatino Linotype" w:eastAsia="Palatino Linotype" w:hAnsi="Palatino Linotype" w:cs="Palatino Linotype"/>
          <w:b/>
          <w:bCs/>
          <w:sz w:val="22"/>
          <w:szCs w:val="22"/>
        </w:rPr>
        <w:t xml:space="preserve">Cuarto. Estudio del asunto. </w:t>
      </w:r>
      <w:r w:rsidRPr="000A7ABC">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EA6F1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Artículo 4</w:t>
      </w:r>
      <w:r w:rsidRPr="000A7AB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B479A8"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A7AB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ABF3A0"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A7ABC">
        <w:rPr>
          <w:rFonts w:ascii="Palatino Linotype" w:eastAsia="Palatino Linotype" w:hAnsi="Palatino Linotype" w:cs="Palatino Linotype"/>
          <w:i/>
          <w:iCs/>
          <w:sz w:val="22"/>
          <w:szCs w:val="22"/>
        </w:rPr>
        <w:t>.”</w:t>
      </w:r>
    </w:p>
    <w:p w14:paraId="4BAE39E9"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5F071FD"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12.-</w:t>
      </w:r>
      <w:r w:rsidRPr="000A7AB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451E8A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5571E50" w14:textId="77777777" w:rsidR="00AC55F7" w:rsidRPr="000A7ABC" w:rsidRDefault="006C736C">
      <w:pPr>
        <w:spacing w:before="240" w:after="240" w:line="360" w:lineRule="auto"/>
        <w:ind w:right="-93"/>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A32E67D" w14:textId="77777777" w:rsidR="00AC55F7" w:rsidRPr="000A7ABC" w:rsidRDefault="006C736C">
      <w:pPr>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0A7ABC">
        <w:rPr>
          <w:rFonts w:ascii="Palatino Linotype" w:eastAsia="Palatino Linotype" w:hAnsi="Palatino Linotype" w:cs="Palatino Linotype"/>
          <w:b/>
          <w:bCs/>
          <w:sz w:val="22"/>
          <w:szCs w:val="22"/>
        </w:rPr>
        <w:t xml:space="preserve"> </w:t>
      </w:r>
    </w:p>
    <w:p w14:paraId="7DC113F6" w14:textId="77777777" w:rsidR="00AC55F7" w:rsidRPr="000A7ABC" w:rsidRDefault="006C736C">
      <w:pPr>
        <w:spacing w:before="120" w:after="120"/>
        <w:ind w:left="1134"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A7AB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327BA4D" w14:textId="77777777" w:rsidR="00AC55F7" w:rsidRPr="000A7ABC" w:rsidRDefault="006C736C">
      <w:pPr>
        <w:spacing w:before="120" w:after="12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231894" w14:textId="77777777" w:rsidR="00AC55F7" w:rsidRPr="000A7ABC" w:rsidRDefault="006C736C">
      <w:pPr>
        <w:spacing w:before="120" w:after="12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72C24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 xml:space="preserve">Artículo 3. </w:t>
      </w:r>
      <w:r w:rsidRPr="000A7ABC">
        <w:rPr>
          <w:rFonts w:ascii="Palatino Linotype" w:eastAsia="Palatino Linotype" w:hAnsi="Palatino Linotype" w:cs="Palatino Linotype"/>
          <w:i/>
          <w:iCs/>
          <w:sz w:val="22"/>
          <w:szCs w:val="22"/>
        </w:rPr>
        <w:t>Para los efectos de la presente Ley se entenderá por:</w:t>
      </w:r>
    </w:p>
    <w:p w14:paraId="1C94EA54"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17EE50A4"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XI. Documento:</w:t>
      </w:r>
      <w:r w:rsidRPr="000A7ABC">
        <w:rPr>
          <w:rFonts w:ascii="Palatino Linotype" w:eastAsia="Palatino Linotype" w:hAnsi="Palatino Linotype" w:cs="Palatino Linotype"/>
          <w:i/>
          <w:iCs/>
          <w:sz w:val="22"/>
          <w:szCs w:val="22"/>
        </w:rPr>
        <w:t xml:space="preserve"> Los expedientes, reportes, estudios, actas</w:t>
      </w:r>
      <w:r w:rsidRPr="000A7ABC">
        <w:rPr>
          <w:rFonts w:ascii="Palatino Linotype" w:eastAsia="Palatino Linotype" w:hAnsi="Palatino Linotype" w:cs="Palatino Linotype"/>
          <w:b/>
          <w:bCs/>
          <w:i/>
          <w:iCs/>
          <w:sz w:val="22"/>
          <w:szCs w:val="22"/>
        </w:rPr>
        <w:t>,</w:t>
      </w:r>
      <w:r w:rsidRPr="000A7AB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C9858EE"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986286"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sz w:val="22"/>
          <w:szCs w:val="22"/>
        </w:rPr>
        <w:t>“</w:t>
      </w:r>
      <w:r w:rsidRPr="000A7ABC">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0A7AB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089422"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427B41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3234CB18"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2E60318F"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3B5A0C9F" w14:textId="77777777" w:rsidR="00AC55F7" w:rsidRPr="000A7ABC" w:rsidRDefault="006C736C">
      <w:pP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8A30928"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1A2EB64" w14:textId="77777777" w:rsidR="00AC55F7" w:rsidRPr="000A7ABC" w:rsidRDefault="006C736C">
      <w:pP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requirió al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le proporcione, información consistente en lo siguiente:</w:t>
      </w:r>
    </w:p>
    <w:p w14:paraId="122D4D72" w14:textId="77777777" w:rsidR="00AC55F7" w:rsidRPr="000A7ABC" w:rsidRDefault="006C736C">
      <w:pPr>
        <w:spacing w:before="240" w:after="240" w:line="360" w:lineRule="auto"/>
        <w:ind w:left="284" w:right="51"/>
        <w:jc w:val="both"/>
        <w:rPr>
          <w:rFonts w:ascii="Palatino Linotype" w:eastAsia="Palatino Linotype" w:hAnsi="Palatino Linotype" w:cs="Palatino Linotype"/>
          <w:strike/>
          <w:sz w:val="22"/>
          <w:szCs w:val="22"/>
        </w:rPr>
      </w:pPr>
      <w:r w:rsidRPr="000A7ABC">
        <w:rPr>
          <w:rFonts w:ascii="Palatino Linotype" w:eastAsia="Palatino Linotype" w:hAnsi="Palatino Linotype" w:cs="Palatino Linotype"/>
          <w:sz w:val="22"/>
          <w:szCs w:val="22"/>
        </w:rPr>
        <w:t>1. Recibos de nómina de todas las personas servidoras públicas que laboran en la Dirección de Administración o análoga</w:t>
      </w:r>
      <w:r w:rsidR="000152B4" w:rsidRPr="000A7ABC">
        <w:rPr>
          <w:rFonts w:ascii="Palatino Linotype" w:eastAsia="Palatino Linotype" w:hAnsi="Palatino Linotype" w:cs="Palatino Linotype"/>
          <w:i/>
          <w:iCs/>
          <w:sz w:val="22"/>
          <w:szCs w:val="22"/>
        </w:rPr>
        <w:t xml:space="preserve">. </w:t>
      </w:r>
    </w:p>
    <w:p w14:paraId="6F00DA77" w14:textId="77777777" w:rsidR="00AC55F7" w:rsidRPr="000A7ABC" w:rsidRDefault="006C736C">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No pasa inadvertido que la persona servidora pública omitió señalar el periodo del cual requería la información, no obstante se estima que la información susceptible de ser proporcionada corresponde con la generada en las dos últimas quincenas pagadas con anterioridad a la fecha de la solicitud, </w:t>
      </w:r>
      <w:r w:rsidR="000152B4" w:rsidRPr="000A7ABC">
        <w:rPr>
          <w:rFonts w:ascii="Palatino Linotype" w:eastAsia="Palatino Linotype" w:hAnsi="Palatino Linotype" w:cs="Palatino Linotype"/>
          <w:sz w:val="22"/>
          <w:szCs w:val="22"/>
        </w:rPr>
        <w:t xml:space="preserve">esto es las correspondientes a la </w:t>
      </w:r>
      <w:r w:rsidR="000152B4" w:rsidRPr="000A7ABC">
        <w:rPr>
          <w:rFonts w:ascii="Palatino Linotype" w:eastAsia="Palatino Linotype" w:hAnsi="Palatino Linotype" w:cs="Palatino Linotype"/>
          <w:b/>
          <w:sz w:val="22"/>
          <w:szCs w:val="22"/>
        </w:rPr>
        <w:t>segunda quincena de agosto y la primera de septiembre de dos mil veinticinco,</w:t>
      </w:r>
      <w:r w:rsidR="000152B4"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sz w:val="22"/>
          <w:szCs w:val="22"/>
        </w:rPr>
        <w:t>de conformidad con el criterio reiterado 04/2024 emitido por el Pleno de este Instituto, que es del tenor literal siguiente:</w:t>
      </w:r>
    </w:p>
    <w:p w14:paraId="0EC9EF16" w14:textId="77777777" w:rsidR="00AC55F7" w:rsidRPr="000A7ABC" w:rsidRDefault="006C736C">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NÓMINA DE SERVIDORES PÚBLICOS. PERIODO DE BÚSQUEDA Y ENTREGA DE LA INFORMACIÓN, CUANDO NO SE PRECISA EN LA SOLICITUD DE INFORMACIÓN.</w:t>
      </w:r>
      <w:r w:rsidRPr="000A7ABC">
        <w:rPr>
          <w:rFonts w:ascii="Palatino Linotype" w:eastAsia="Palatino Linotype" w:hAnsi="Palatino Linotype" w:cs="Palatino Linotype"/>
          <w:i/>
          <w:iCs/>
          <w:sz w:val="22"/>
          <w:szCs w:val="22"/>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73E5C92D" w14:textId="77777777" w:rsidR="00AC55F7" w:rsidRPr="000A7ABC" w:rsidRDefault="006C736C">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otro lado, 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163A74D"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7161ACC" w14:textId="77777777" w:rsidR="00AC55F7" w:rsidRPr="000A7ABC" w:rsidRDefault="006C736C">
      <w:pP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260EFE8B"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847ECD8" w14:textId="77777777" w:rsidR="00AC55F7" w:rsidRPr="000A7ABC" w:rsidRDefault="006C736C">
      <w:pPr>
        <w:spacing w:before="280" w:after="28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el caso particular, es de recordar que la Unidad de Transparencia turnó la solicitud a la Dirección General de Administración, como la dependencia competente para </w:t>
      </w:r>
      <w:r w:rsidR="000152B4" w:rsidRPr="000A7ABC">
        <w:rPr>
          <w:rFonts w:ascii="Palatino Linotype" w:eastAsia="Palatino Linotype" w:hAnsi="Palatino Linotype" w:cs="Palatino Linotype"/>
          <w:sz w:val="22"/>
          <w:szCs w:val="22"/>
        </w:rPr>
        <w:t>contar</w:t>
      </w:r>
      <w:r w:rsidRPr="000A7ABC">
        <w:rPr>
          <w:rFonts w:ascii="Palatino Linotype" w:eastAsia="Palatino Linotype" w:hAnsi="Palatino Linotype" w:cs="Palatino Linotype"/>
          <w:sz w:val="22"/>
          <w:szCs w:val="22"/>
        </w:rPr>
        <w:t xml:space="preserve"> con la información que es del interés de la persona solicitante.</w:t>
      </w:r>
    </w:p>
    <w:p w14:paraId="6A55E5D8" w14:textId="77777777" w:rsidR="00AC55F7" w:rsidRPr="000A7ABC" w:rsidRDefault="006C736C">
      <w:pPr>
        <w:spacing w:before="280" w:after="28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La Dirección General de Administración, la cual, de conformidad con el artículo 3.32 del Código Reglamentario de Toluca vigente, se auxilia de diversas unidades administrativas, para el cumplimiento de sus atribuciones, entre las que se encuentra la Dirección de Recursos Humanos, cuyas responsabilidades se encuentran conferidas en el artículo 3.33 del Código Reglamentario, siendo de interés para el tema que nos ocupa las siguientes:</w:t>
      </w:r>
    </w:p>
    <w:p w14:paraId="7C5F8554" w14:textId="77777777" w:rsidR="00AC55F7" w:rsidRPr="000A7ABC" w:rsidRDefault="006C736C">
      <w:pPr>
        <w:spacing w:before="280" w:after="280" w:line="360" w:lineRule="auto"/>
        <w:ind w:left="284"/>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Aplicar las disposiciones legales laborales que rigen al personal del Ayuntamiento;</w:t>
      </w:r>
    </w:p>
    <w:p w14:paraId="778ADD00" w14:textId="77777777" w:rsidR="00AC55F7" w:rsidRPr="000A7ABC" w:rsidRDefault="006C736C">
      <w:pPr>
        <w:spacing w:before="280" w:after="280" w:line="360" w:lineRule="auto"/>
        <w:ind w:left="284"/>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Coadyuvar con la Tesorería Municipal en la elaboración y distribución oportuna de la nómina para el pago al personal que labora en el Ayuntamiento</w:t>
      </w:r>
      <w:r w:rsidRPr="000A7ABC">
        <w:rPr>
          <w:rFonts w:ascii="Palatino Linotype" w:eastAsia="Palatino Linotype" w:hAnsi="Palatino Linotype" w:cs="Palatino Linotype"/>
          <w:sz w:val="22"/>
          <w:szCs w:val="22"/>
        </w:rPr>
        <w:t xml:space="preserve">, por concepto de sueldos, prestaciones, liquidaciones y finiquitos apegándose al presupuesto autorizado aplicado a través del capítulo 1000; así como en </w:t>
      </w:r>
      <w:r w:rsidRPr="000A7ABC">
        <w:rPr>
          <w:rFonts w:ascii="Palatino Linotype" w:eastAsia="Palatino Linotype" w:hAnsi="Palatino Linotype" w:cs="Palatino Linotype"/>
          <w:b/>
          <w:bCs/>
          <w:sz w:val="22"/>
          <w:szCs w:val="22"/>
        </w:rPr>
        <w:t>lo relativo a las determinaciones de los impuestos y la emisión de los CFDI correspondientes una vez realizado el pago</w:t>
      </w:r>
      <w:r w:rsidRPr="000A7ABC">
        <w:rPr>
          <w:rFonts w:ascii="Palatino Linotype" w:eastAsia="Palatino Linotype" w:hAnsi="Palatino Linotype" w:cs="Palatino Linotype"/>
          <w:sz w:val="22"/>
          <w:szCs w:val="22"/>
        </w:rPr>
        <w:t>;</w:t>
      </w:r>
    </w:p>
    <w:p w14:paraId="254D4203"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Como logra vislumbrarse, es la Dirección de Recursos Humanos la instancia competente para dar atención a la solicitud, al ser esta la facultada para registrar, controlar y dar seguimiento a los movimientos de personal como las altas; integrar el expediente de personal; así como de elaborar y distribuir de manera oportuna de la nómina para el pago al personal que labora en el Ayuntamiento por concepto de sueldos.</w:t>
      </w:r>
    </w:p>
    <w:p w14:paraId="1FEA2E0E"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Ahora bien, en respuesta, el servidor público habilitado manifestó que la información que es del interés de la persona solicitante puede ser consultada en el portal de Información de Oficio Mexiquense, IPOMEX, para lo cual proporcionó una dirección electrónica en formato cerrado.</w:t>
      </w:r>
    </w:p>
    <w:p w14:paraId="75F59511"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Al no estar conforme con los términos de la respuesta proporcionada,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presentó el recurso de revisión que nos ocupa, donde señaló como motivo de inconformidad, que se habían solicitado los recibos de nómina, sin embargo, se hizo entrega de la liga electrónica de IPOMEX, además de haber excedido el tiempo legal establecido para proporcionar respuesta a la solicitud.</w:t>
      </w:r>
    </w:p>
    <w:p w14:paraId="6964A00A"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la etapa de manifestaciones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 xml:space="preserve">ratificó en lo sustancial la respuesta proporcionada en primera instancia, mientras que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545C8B01" w14:textId="77777777" w:rsidR="00AC55F7" w:rsidRPr="000A7ABC" w:rsidRDefault="006C736C">
      <w:pPr>
        <w:spacing w:before="280" w:after="28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 xml:space="preserve">en contraposición con el motivo de inconformidad alegado por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D4D8A5D" w14:textId="77777777" w:rsidR="00AC55F7" w:rsidRPr="000A7ABC" w:rsidRDefault="006C736C">
      <w:pPr>
        <w:tabs>
          <w:tab w:val="left" w:pos="709"/>
        </w:tabs>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este tenor, es de recordar que la Dirección General de Administración proporcionó la siguiente dirección electrónica para la consulta de la información:</w:t>
      </w:r>
    </w:p>
    <w:p w14:paraId="22C20C4C" w14:textId="77777777" w:rsidR="00AC55F7" w:rsidRPr="000A7ABC" w:rsidRDefault="006C736C">
      <w:pPr>
        <w:tabs>
          <w:tab w:val="left" w:pos="709"/>
        </w:tabs>
        <w:spacing w:line="360" w:lineRule="auto"/>
        <w:jc w:val="center"/>
        <w:rPr>
          <w:rFonts w:ascii="Palatino Linotype" w:eastAsia="Palatino Linotype" w:hAnsi="Palatino Linotype" w:cs="Palatino Linotype"/>
          <w:sz w:val="22"/>
          <w:szCs w:val="22"/>
        </w:rPr>
      </w:pPr>
      <w:r w:rsidRPr="000A7ABC">
        <w:rPr>
          <w:rFonts w:ascii="Palatino Linotype" w:eastAsia="Palatino Linotype" w:hAnsi="Palatino Linotype" w:cs="Palatino Linotype"/>
          <w:noProof/>
          <w:sz w:val="22"/>
          <w:szCs w:val="22"/>
        </w:rPr>
        <w:drawing>
          <wp:inline distT="0" distB="0" distL="0" distR="0" wp14:anchorId="12F7BCF5" wp14:editId="4518CA09">
            <wp:extent cx="4860000" cy="710463"/>
            <wp:effectExtent l="0" t="0" r="0" b="0"/>
            <wp:docPr id="1952082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60000" cy="710463"/>
                    </a:xfrm>
                    <a:prstGeom prst="rect">
                      <a:avLst/>
                    </a:prstGeom>
                    <a:ln/>
                  </pic:spPr>
                </pic:pic>
              </a:graphicData>
            </a:graphic>
          </wp:inline>
        </w:drawing>
      </w:r>
    </w:p>
    <w:p w14:paraId="095E727D"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bookmarkStart w:id="7" w:name="_heading=h.1p4lyrn7pi2" w:colFirst="0" w:colLast="0"/>
      <w:bookmarkEnd w:id="7"/>
      <w:r w:rsidRPr="000A7ABC">
        <w:rPr>
          <w:rFonts w:ascii="Palatino Linotype" w:eastAsia="Palatino Linotype" w:hAnsi="Palatino Linotype" w:cs="Palatino Linotype"/>
          <w:sz w:val="22"/>
          <w:szCs w:val="22"/>
        </w:rPr>
        <w:t xml:space="preserve">Como se logra vislumbrar, la </w:t>
      </w:r>
      <w:r w:rsidRPr="000A7ABC">
        <w:rPr>
          <w:rFonts w:ascii="Palatino Linotype" w:eastAsia="Palatino Linotype" w:hAnsi="Palatino Linotype" w:cs="Palatino Linotype"/>
          <w:sz w:val="22"/>
          <w:szCs w:val="22"/>
        </w:rPr>
        <w:tab/>
        <w:t>dirección electrónica se proporcionó a través de un documento digitalizado en formato cerrado que no permite editar, modificar o procesar su contenido, es decir, no permite la reutilización de la información o la interoperabilidad de la misma, por lo que se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razón por la cual no puede tenerse por válida la dirección electrónica proporcionada.</w:t>
      </w:r>
    </w:p>
    <w:p w14:paraId="075AE5B4"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Aunado a lo anterior, no pasa inadvertido que la dirección electrónica corresponde con la información relativa a las remuneraciones, que los Sujetos Obligados deben publicar en el portal de Información Pública de Oficio Mexiquense, IPOMEX, en cumplimiento a la obligación de transparencia establecida en el artículo 92, fracción VIII de la Ley de Transparencia y Acceso a la Información Pública del Estado de México y Municipios, que es del tenor literal siguiente:</w:t>
      </w:r>
    </w:p>
    <w:p w14:paraId="452AD806" w14:textId="77777777" w:rsidR="00AC55F7" w:rsidRPr="000A7ABC" w:rsidRDefault="006C736C">
      <w:pPr>
        <w:spacing w:before="280" w:after="28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92.</w:t>
      </w:r>
      <w:r w:rsidRPr="000A7ABC">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AE2969" w14:textId="77777777" w:rsidR="00AC55F7" w:rsidRPr="000A7ABC" w:rsidRDefault="006C736C">
      <w:pPr>
        <w:spacing w:before="280" w:after="280"/>
        <w:ind w:left="851" w:right="900"/>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b/>
          <w:bCs/>
          <w:i/>
          <w:iCs/>
          <w:sz w:val="22"/>
          <w:szCs w:val="22"/>
        </w:rPr>
        <w:t>...</w:t>
      </w:r>
    </w:p>
    <w:p w14:paraId="0F7762B6" w14:textId="77777777" w:rsidR="00AC55F7" w:rsidRPr="000A7ABC" w:rsidRDefault="006C736C">
      <w:pPr>
        <w:spacing w:before="280" w:after="28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VIII.</w:t>
      </w:r>
      <w:r w:rsidRPr="000A7ABC">
        <w:rPr>
          <w:rFonts w:ascii="Palatino Linotype" w:eastAsia="Palatino Linotype" w:hAnsi="Palatino Linotype" w:cs="Palatino Linotype"/>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212911E"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Dicha información se debe publicar atendiendo a los criterios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través del formato 8a LGT_Art_70_Fr_VIII:</w:t>
      </w:r>
    </w:p>
    <w:p w14:paraId="4D562428"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bookmarkStart w:id="8" w:name="_GoBack"/>
      <w:r w:rsidRPr="000A7ABC">
        <w:rPr>
          <w:rFonts w:ascii="Palatino Linotype" w:eastAsia="Palatino Linotype" w:hAnsi="Palatino Linotype" w:cs="Palatino Linotype"/>
          <w:noProof/>
          <w:sz w:val="22"/>
          <w:szCs w:val="22"/>
        </w:rPr>
        <w:drawing>
          <wp:inline distT="0" distB="0" distL="0" distR="0" wp14:anchorId="630B9C99" wp14:editId="4F8397E9">
            <wp:extent cx="5612130" cy="2675255"/>
            <wp:effectExtent l="0" t="0" r="0" b="0"/>
            <wp:docPr id="19520825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2675255"/>
                    </a:xfrm>
                    <a:prstGeom prst="rect">
                      <a:avLst/>
                    </a:prstGeom>
                    <a:ln/>
                  </pic:spPr>
                </pic:pic>
              </a:graphicData>
            </a:graphic>
          </wp:inline>
        </w:drawing>
      </w:r>
      <w:bookmarkEnd w:id="8"/>
    </w:p>
    <w:p w14:paraId="7CB600E6"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noProof/>
          <w:sz w:val="22"/>
          <w:szCs w:val="22"/>
        </w:rPr>
        <w:drawing>
          <wp:inline distT="0" distB="0" distL="0" distR="0" wp14:anchorId="0667A8EE" wp14:editId="51C8596C">
            <wp:extent cx="5612130" cy="6670675"/>
            <wp:effectExtent l="0" t="0" r="0" b="0"/>
            <wp:docPr id="19520825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6670675"/>
                    </a:xfrm>
                    <a:prstGeom prst="rect">
                      <a:avLst/>
                    </a:prstGeom>
                    <a:ln/>
                  </pic:spPr>
                </pic:pic>
              </a:graphicData>
            </a:graphic>
          </wp:inline>
        </w:drawing>
      </w:r>
    </w:p>
    <w:p w14:paraId="6D4D66BF"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noProof/>
          <w:sz w:val="22"/>
          <w:szCs w:val="22"/>
        </w:rPr>
        <w:drawing>
          <wp:inline distT="0" distB="0" distL="0" distR="0" wp14:anchorId="0E1B6F76" wp14:editId="4D8FB292">
            <wp:extent cx="5612130" cy="3060065"/>
            <wp:effectExtent l="0" t="0" r="0" b="0"/>
            <wp:docPr id="19520825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3060065"/>
                    </a:xfrm>
                    <a:prstGeom prst="rect">
                      <a:avLst/>
                    </a:prstGeom>
                    <a:ln/>
                  </pic:spPr>
                </pic:pic>
              </a:graphicData>
            </a:graphic>
          </wp:inline>
        </w:drawing>
      </w:r>
    </w:p>
    <w:p w14:paraId="4D6B9C81"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sz w:val="22"/>
          <w:szCs w:val="22"/>
        </w:rPr>
        <w:t xml:space="preserve">Como se logra vislumbrar, si bien el apartado al que pretendió dirigirse al portal para la consulta de la información debe contener la información relativa a la remuneración bruta y neta de todos los servidores públicos adscritos a determinado sujeto obligado, así como todas las percepciones de estos, </w:t>
      </w:r>
      <w:r w:rsidRPr="000A7ABC">
        <w:rPr>
          <w:rFonts w:ascii="Palatino Linotype" w:eastAsia="Palatino Linotype" w:hAnsi="Palatino Linotype" w:cs="Palatino Linotype"/>
          <w:b/>
          <w:bCs/>
          <w:sz w:val="22"/>
          <w:szCs w:val="22"/>
        </w:rPr>
        <w:t>NO se incluye el recibo de nómina.</w:t>
      </w:r>
    </w:p>
    <w:p w14:paraId="345FE917" w14:textId="77777777" w:rsidR="00AC55F7" w:rsidRPr="000A7ABC" w:rsidRDefault="006C736C">
      <w:pPr>
        <w:tabs>
          <w:tab w:val="left" w:pos="709"/>
        </w:tabs>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este contexto, se puntualiza que aún y cuando se hubiera proporcionado la dirección electrónica en formato abierto, y pudiera accederse a su contenido, ello no colmaría el Derecho de acceso de la persona solicitante al no incluir los recibos de nómina de los servidores públicos, siendo dichos documentos los que se solicitaron de manera específica.</w:t>
      </w:r>
    </w:p>
    <w:p w14:paraId="5E7DE43B" w14:textId="77777777" w:rsidR="00AC55F7" w:rsidRPr="000A7ABC" w:rsidRDefault="006C736C">
      <w:pPr>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tanto, a fin de restituir a la persona solicitante, es que resulta procedente ordenar, previa búsqueda exhaustiva y razonable, la entrega de los recibos de nómina de la segunda quincena de agosto y la primera quincena de septiembre de dos mil veinticinco, en versión pública de conformidad con el considerando siguiente.</w:t>
      </w:r>
    </w:p>
    <w:p w14:paraId="1EA99336" w14:textId="77777777" w:rsidR="00AC55F7" w:rsidRPr="000A7ABC" w:rsidRDefault="00AC55F7">
      <w:pPr>
        <w:spacing w:line="360" w:lineRule="auto"/>
        <w:jc w:val="both"/>
        <w:rPr>
          <w:rFonts w:ascii="Palatino Linotype" w:eastAsia="Palatino Linotype" w:hAnsi="Palatino Linotype" w:cs="Palatino Linotype"/>
          <w:sz w:val="22"/>
          <w:szCs w:val="22"/>
        </w:rPr>
      </w:pPr>
    </w:p>
    <w:p w14:paraId="6A81480B" w14:textId="77777777" w:rsidR="00AC55F7" w:rsidRPr="000A7ABC" w:rsidRDefault="006C736C">
      <w:pPr>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Además de lo anterior, no obsta mencionar que la persona solicitante requirió la información específicamente de la Dirección General de Administración, la cual, de conformidad con su Manual de Organización se integra de la siguiente forma:</w:t>
      </w:r>
    </w:p>
    <w:p w14:paraId="7CB5CE7F" w14:textId="77777777" w:rsidR="00AC55F7" w:rsidRPr="000A7ABC" w:rsidRDefault="006C736C">
      <w:pPr>
        <w:spacing w:line="360" w:lineRule="auto"/>
        <w:jc w:val="center"/>
        <w:rPr>
          <w:rFonts w:ascii="Palatino Linotype" w:eastAsia="Palatino Linotype" w:hAnsi="Palatino Linotype" w:cs="Palatino Linotype"/>
          <w:sz w:val="22"/>
          <w:szCs w:val="22"/>
        </w:rPr>
      </w:pPr>
      <w:r w:rsidRPr="000A7ABC">
        <w:rPr>
          <w:rFonts w:ascii="Palatino Linotype" w:eastAsia="Palatino Linotype" w:hAnsi="Palatino Linotype" w:cs="Palatino Linotype"/>
          <w:noProof/>
          <w:sz w:val="22"/>
          <w:szCs w:val="22"/>
        </w:rPr>
        <w:drawing>
          <wp:inline distT="0" distB="0" distL="0" distR="0" wp14:anchorId="1CC2676E" wp14:editId="69069903">
            <wp:extent cx="4680000" cy="4312628"/>
            <wp:effectExtent l="0" t="0" r="0" b="0"/>
            <wp:docPr id="19520825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80000" cy="4312628"/>
                    </a:xfrm>
                    <a:prstGeom prst="rect">
                      <a:avLst/>
                    </a:prstGeom>
                    <a:ln/>
                  </pic:spPr>
                </pic:pic>
              </a:graphicData>
            </a:graphic>
          </wp:inline>
        </w:drawing>
      </w:r>
    </w:p>
    <w:p w14:paraId="65BFCBAE" w14:textId="77777777" w:rsidR="00AC55F7" w:rsidRPr="000A7ABC" w:rsidRDefault="006C736C">
      <w:pPr>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br/>
        <w:t>En este tenor, para dar cumplimiento a la presente resolución se deberá hacer entrega de los recibos de nómina del periodo señalado de los servidores públicos de la Dirección General de Administración, en funciones al diecisiete de septiembre de dos mil veinticinco.</w:t>
      </w:r>
    </w:p>
    <w:p w14:paraId="09F5C1A2"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segundo lugar, respecto de los recibos de nómina conviene referir que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14:paraId="34121B26"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 efecto de robustecer lo anterior, es preciso hacer alusión, en primera instancia, a lo establecido en las normas de carácter general del Manual Único de Contabilidad Gubernamental para las Dependencias y Entidades Públicas del Gobierno y Municipios del Estado de México</w:t>
      </w: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sz w:val="22"/>
          <w:szCs w:val="22"/>
        </w:rPr>
        <w:t xml:space="preserve">en donde se señala que el Régimen Fiscal para las entidades públicas es el correspondiente a </w:t>
      </w:r>
      <w:r w:rsidRPr="000A7ABC">
        <w:rPr>
          <w:rFonts w:ascii="Palatino Linotype" w:eastAsia="Palatino Linotype" w:hAnsi="Palatino Linotype" w:cs="Palatino Linotype"/>
          <w:i/>
          <w:iCs/>
          <w:sz w:val="22"/>
          <w:szCs w:val="22"/>
        </w:rPr>
        <w:t xml:space="preserve">personas morales con fines no lucrativos, </w:t>
      </w:r>
      <w:r w:rsidRPr="000A7ABC">
        <w:rPr>
          <w:rFonts w:ascii="Palatino Linotype" w:eastAsia="Palatino Linotype" w:hAnsi="Palatino Linotype" w:cs="Palatino Linotype"/>
          <w:sz w:val="22"/>
          <w:szCs w:val="22"/>
        </w:rPr>
        <w:t>y en segundo lugar remitirnos al párrafo séptimo del artículo 86 del Título III del Régimen de las Personas Morales con fines no lucrativos, de la Ley del Impuesto Sobre la Renta</w:t>
      </w: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sz w:val="22"/>
          <w:szCs w:val="22"/>
        </w:rPr>
        <w:t>que a la letra señala lo siguiente:</w:t>
      </w:r>
    </w:p>
    <w:p w14:paraId="35A85C98" w14:textId="77777777" w:rsidR="00AC55F7" w:rsidRPr="000A7ABC" w:rsidRDefault="006C736C">
      <w:pPr>
        <w:spacing w:before="120" w:after="120"/>
        <w:ind w:left="851" w:right="902"/>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i/>
          <w:iCs/>
          <w:sz w:val="22"/>
          <w:szCs w:val="22"/>
        </w:rPr>
        <w:t xml:space="preserve">“Artículo.- 86 </w:t>
      </w:r>
    </w:p>
    <w:p w14:paraId="16F4FA41"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4F314A95" w14:textId="77777777" w:rsidR="00AC55F7" w:rsidRPr="000A7ABC" w:rsidRDefault="006C736C">
      <w:pPr>
        <w:spacing w:before="120" w:after="120"/>
        <w:ind w:left="851" w:right="902"/>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i/>
          <w:iCs/>
          <w:sz w:val="22"/>
          <w:szCs w:val="22"/>
        </w:rPr>
        <w:t xml:space="preserve">Los partidos y asociaciones políticas, legalmente reconocidos, la Federación, las entidades federativas, </w:t>
      </w:r>
      <w:r w:rsidRPr="000A7ABC">
        <w:rPr>
          <w:rFonts w:ascii="Palatino Linotype" w:eastAsia="Palatino Linotype" w:hAnsi="Palatino Linotype" w:cs="Palatino Linotype"/>
          <w:b/>
          <w:bCs/>
          <w:i/>
          <w:iCs/>
          <w:sz w:val="22"/>
          <w:szCs w:val="22"/>
        </w:rPr>
        <w:t>los municipios</w:t>
      </w:r>
      <w:r w:rsidRPr="000A7ABC">
        <w:rPr>
          <w:rFonts w:ascii="Palatino Linotype" w:eastAsia="Palatino Linotype" w:hAnsi="Palatino Linotype" w:cs="Palatino Linotype"/>
          <w:i/>
          <w:iCs/>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0A7ABC">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0A7ABC">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0A7ABC">
        <w:rPr>
          <w:rFonts w:ascii="Palatino Linotype" w:eastAsia="Palatino Linotype" w:hAnsi="Palatino Linotype" w:cs="Palatino Linotype"/>
          <w:sz w:val="22"/>
          <w:szCs w:val="22"/>
        </w:rPr>
        <w:t xml:space="preserve">” </w:t>
      </w:r>
    </w:p>
    <w:p w14:paraId="31070E19"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0A7ABC">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0A7ABC">
        <w:rPr>
          <w:rFonts w:ascii="Palatino Linotype" w:eastAsia="Palatino Linotype" w:hAnsi="Palatino Linotype" w:cs="Palatino Linotype"/>
          <w:sz w:val="22"/>
          <w:szCs w:val="22"/>
        </w:rPr>
        <w:t xml:space="preserve">mismos que pueden ser utilizados como </w:t>
      </w:r>
      <w:r w:rsidRPr="000A7ABC">
        <w:rPr>
          <w:rFonts w:ascii="Palatino Linotype" w:eastAsia="Palatino Linotype" w:hAnsi="Palatino Linotype" w:cs="Palatino Linotype"/>
          <w:b/>
          <w:bCs/>
          <w:sz w:val="22"/>
          <w:szCs w:val="22"/>
        </w:rPr>
        <w:t>constancia o</w:t>
      </w: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recibo de pago</w:t>
      </w:r>
      <w:r w:rsidRPr="000A7ABC">
        <w:rPr>
          <w:rFonts w:ascii="Palatino Linotype" w:eastAsia="Palatino Linotype" w:hAnsi="Palatino Linotype" w:cs="Palatino Linotype"/>
          <w:sz w:val="22"/>
          <w:szCs w:val="22"/>
        </w:rPr>
        <w:t>.</w:t>
      </w:r>
    </w:p>
    <w:p w14:paraId="76B491FF"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0851D754" w14:textId="77777777" w:rsidR="00AC55F7" w:rsidRPr="000A7ABC" w:rsidRDefault="006C736C">
      <w:pPr>
        <w:tabs>
          <w:tab w:val="left" w:pos="9072"/>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220 K.-</w:t>
      </w:r>
      <w:r w:rsidRPr="000A7ABC">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46BE7660" w14:textId="77777777" w:rsidR="00AC55F7" w:rsidRPr="000A7ABC" w:rsidRDefault="006C736C">
      <w:pPr>
        <w:tabs>
          <w:tab w:val="left" w:pos="9072"/>
        </w:tabs>
        <w:spacing w:before="120" w:after="120"/>
        <w:ind w:left="1134"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13D017F2" w14:textId="77777777" w:rsidR="00AC55F7" w:rsidRPr="000A7ABC" w:rsidRDefault="006C736C">
      <w:pPr>
        <w:tabs>
          <w:tab w:val="left" w:pos="9072"/>
        </w:tabs>
        <w:spacing w:before="120" w:after="120"/>
        <w:ind w:left="1134"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Recibos de pagos de salarios o las constancias documentales del pago de salario cuando sea por depósito o mediante información electrónica;</w:t>
      </w:r>
    </w:p>
    <w:p w14:paraId="313354F0" w14:textId="77777777" w:rsidR="00AC55F7" w:rsidRPr="000A7ABC" w:rsidRDefault="006C736C">
      <w:pPr>
        <w:tabs>
          <w:tab w:val="left" w:pos="9072"/>
        </w:tabs>
        <w:spacing w:before="120" w:after="120"/>
        <w:ind w:left="1134"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194E539B" w14:textId="77777777" w:rsidR="00AC55F7" w:rsidRPr="000A7ABC" w:rsidRDefault="006C736C">
      <w:pPr>
        <w:tabs>
          <w:tab w:val="left" w:pos="9072"/>
        </w:tabs>
        <w:spacing w:before="120" w:after="120"/>
        <w:ind w:left="1134"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IV</w:t>
      </w:r>
      <w:r w:rsidRPr="000A7ABC">
        <w:rPr>
          <w:rFonts w:ascii="Palatino Linotype" w:eastAsia="Palatino Linotype" w:hAnsi="Palatino Linotype" w:cs="Palatino Linotype"/>
          <w:i/>
          <w:iCs/>
          <w:sz w:val="22"/>
          <w:szCs w:val="22"/>
        </w:rPr>
        <w:t>. Recibos o las constancias de depósito o del medio de información magnética o electrónica que sean utilizadas para el pago de salarios, prima vacacional, aguinaldo y demás prestaciones establecidas en la presente ley; y…</w:t>
      </w:r>
    </w:p>
    <w:p w14:paraId="6CEA21AB" w14:textId="77777777" w:rsidR="00AC55F7" w:rsidRPr="000A7ABC" w:rsidRDefault="006C736C">
      <w:pPr>
        <w:tabs>
          <w:tab w:val="left" w:pos="9072"/>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D1A9E72" w14:textId="77777777" w:rsidR="00AC55F7" w:rsidRPr="000A7ABC" w:rsidRDefault="006C736C">
      <w:pPr>
        <w:tabs>
          <w:tab w:val="left" w:pos="9072"/>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13D6909"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14:paraId="1BF34E38"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Sobre la base del precepto legal citado, se advierte que </w:t>
      </w:r>
      <w:r w:rsidRPr="000A7ABC">
        <w:rPr>
          <w:rFonts w:ascii="Palatino Linotype" w:eastAsia="Palatino Linotype" w:hAnsi="Palatino Linotype" w:cs="Palatino Linotype"/>
          <w:i/>
          <w:iCs/>
          <w:sz w:val="22"/>
          <w:szCs w:val="22"/>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0A7ABC">
        <w:rPr>
          <w:rFonts w:ascii="Palatino Linotype" w:eastAsia="Palatino Linotype" w:hAnsi="Palatino Linotype" w:cs="Palatino Linotype"/>
          <w:sz w:val="22"/>
          <w:szCs w:val="22"/>
        </w:rPr>
        <w:t>.</w:t>
      </w:r>
    </w:p>
    <w:p w14:paraId="600C8CEA"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tanto, los recibos de nómina o comprobantes digitales por concepto de nómina tienen como objetivo presentar la información del pago de las remuneraciones de cada uno de los servidores públicos de la entidad fiscalizable de que se trate correspondiente a un periodo determinado.</w:t>
      </w:r>
    </w:p>
    <w:p w14:paraId="5C86CD4A"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Finalmente, por lo que respecta a la parte del </w:t>
      </w:r>
      <w:r w:rsidR="00945975" w:rsidRPr="000A7ABC">
        <w:rPr>
          <w:rFonts w:ascii="Palatino Linotype" w:eastAsia="Palatino Linotype" w:hAnsi="Palatino Linotype" w:cs="Palatino Linotype"/>
          <w:sz w:val="22"/>
          <w:szCs w:val="22"/>
        </w:rPr>
        <w:t>motivo de inconformidad relativo</w:t>
      </w:r>
      <w:r w:rsidRPr="000A7ABC">
        <w:rPr>
          <w:rFonts w:ascii="Palatino Linotype" w:eastAsia="Palatino Linotype" w:hAnsi="Palatino Linotype" w:cs="Palatino Linotype"/>
          <w:sz w:val="22"/>
          <w:szCs w:val="22"/>
        </w:rPr>
        <w:t xml:space="preserve"> al periodo para proporcionar respuesta, es de mencionar que de conformidad con el artículo 163 de la Ley de Transparencia y Acceso a la Información Pública del Estado de México y Municipios, las Unidades de Transparencia de los Sujetos Obligados, cuentan con el deber de notificar la respuesta a las solicitudes a los interesados en el menor tiempo posible, plazo que no podrá exceder de quince días hábiles, los cuales se cuentan a partir del día siguiente a la presentación de las solicitudes.</w:t>
      </w:r>
    </w:p>
    <w:p w14:paraId="3A7E7962" w14:textId="77777777" w:rsidR="00AC55F7" w:rsidRPr="000A7ABC" w:rsidRDefault="006C736C">
      <w:pPr>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sz w:val="22"/>
          <w:szCs w:val="22"/>
        </w:rPr>
        <w:t xml:space="preserve">En el presente asunto, de conformidad con las constancias que obran en el expediente electrónico, y como </w:t>
      </w:r>
      <w:r w:rsidR="00945975" w:rsidRPr="000A7ABC">
        <w:rPr>
          <w:rFonts w:ascii="Palatino Linotype" w:eastAsia="Palatino Linotype" w:hAnsi="Palatino Linotype" w:cs="Palatino Linotype"/>
          <w:sz w:val="22"/>
          <w:szCs w:val="22"/>
        </w:rPr>
        <w:t>se advierte</w:t>
      </w:r>
      <w:r w:rsidRPr="000A7ABC">
        <w:rPr>
          <w:rFonts w:ascii="Palatino Linotype" w:eastAsia="Palatino Linotype" w:hAnsi="Palatino Linotype" w:cs="Palatino Linotype"/>
          <w:sz w:val="22"/>
          <w:szCs w:val="22"/>
        </w:rPr>
        <w:t xml:space="preserve"> en los antecedentes 1 y 2 de la presente resolución, la solicitud se tuvo por presentada el diecisiete de septiembre de dos mil veinticinco, por lo que </w:t>
      </w:r>
      <w:r w:rsidRPr="000A7ABC">
        <w:rPr>
          <w:rFonts w:ascii="Palatino Linotype" w:eastAsia="Palatino Linotype" w:hAnsi="Palatino Linotype" w:cs="Palatino Linotype"/>
          <w:b/>
          <w:bCs/>
          <w:sz w:val="22"/>
          <w:szCs w:val="22"/>
        </w:rPr>
        <w:t xml:space="preserve">el plazo para dar respuesta corrió del dieciocho de septiembre al ocho de octubre de dos mil veinticinco; </w:t>
      </w:r>
      <w:r w:rsidRPr="000A7ABC">
        <w:rPr>
          <w:rFonts w:ascii="Palatino Linotype" w:eastAsia="Palatino Linotype" w:hAnsi="Palatino Linotype" w:cs="Palatino Linotype"/>
          <w:b/>
          <w:sz w:val="22"/>
          <w:szCs w:val="22"/>
          <w:u w:val="single"/>
        </w:rPr>
        <w:t xml:space="preserve">dando respuesta el </w:t>
      </w:r>
      <w:r w:rsidRPr="000A7ABC">
        <w:rPr>
          <w:rFonts w:ascii="Palatino Linotype" w:eastAsia="Palatino Linotype" w:hAnsi="Palatino Linotype" w:cs="Palatino Linotype"/>
          <w:b/>
          <w:bCs/>
          <w:sz w:val="22"/>
          <w:szCs w:val="22"/>
          <w:u w:val="single"/>
        </w:rPr>
        <w:t>Sujeto Obligado el</w:t>
      </w:r>
      <w:r w:rsidRPr="000A7ABC">
        <w:rPr>
          <w:rFonts w:ascii="Palatino Linotype" w:eastAsia="Palatino Linotype" w:hAnsi="Palatino Linotype" w:cs="Palatino Linotype"/>
          <w:b/>
          <w:sz w:val="22"/>
          <w:szCs w:val="22"/>
          <w:u w:val="single"/>
        </w:rPr>
        <w:t xml:space="preserve"> ocho de octubre,</w:t>
      </w:r>
      <w:r w:rsidRPr="000A7ABC">
        <w:rPr>
          <w:rFonts w:ascii="Palatino Linotype" w:eastAsia="Palatino Linotype" w:hAnsi="Palatino Linotype" w:cs="Palatino Linotype"/>
          <w:sz w:val="22"/>
          <w:szCs w:val="22"/>
        </w:rPr>
        <w:t xml:space="preserve"> esto es, </w:t>
      </w:r>
      <w:r w:rsidRPr="000A7ABC">
        <w:rPr>
          <w:rFonts w:ascii="Palatino Linotype" w:eastAsia="Palatino Linotype" w:hAnsi="Palatino Linotype" w:cs="Palatino Linotype"/>
          <w:b/>
          <w:sz w:val="22"/>
          <w:szCs w:val="22"/>
          <w:u w:val="single"/>
        </w:rPr>
        <w:t>al décimo quinto día hábil posterior a la presentación de la solicitud</w:t>
      </w:r>
      <w:r w:rsidRPr="000A7ABC">
        <w:rPr>
          <w:rFonts w:ascii="Palatino Linotype" w:eastAsia="Palatino Linotype" w:hAnsi="Palatino Linotype" w:cs="Palatino Linotype"/>
          <w:sz w:val="22"/>
          <w:szCs w:val="22"/>
        </w:rPr>
        <w:t xml:space="preserve">, por lo que, contrario a lo alegado por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la Unidad de Transparencia notificó la respuesta dentro del plazo legal establecido para ello.</w:t>
      </w:r>
    </w:p>
    <w:p w14:paraId="210374DA"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 lo hasta aquí expuesto, se concluye que los motivos de inconformidad de la parte </w:t>
      </w:r>
      <w:r w:rsidRPr="000A7ABC">
        <w:rPr>
          <w:rFonts w:ascii="Palatino Linotype" w:eastAsia="Palatino Linotype" w:hAnsi="Palatino Linotype" w:cs="Palatino Linotype"/>
          <w:b/>
          <w:bCs/>
          <w:sz w:val="22"/>
          <w:szCs w:val="22"/>
        </w:rPr>
        <w:t xml:space="preserve">Recurrente </w:t>
      </w:r>
      <w:r w:rsidRPr="000A7ABC">
        <w:rPr>
          <w:rFonts w:ascii="Palatino Linotype" w:eastAsia="Palatino Linotype" w:hAnsi="Palatino Linotype" w:cs="Palatino Linotype"/>
          <w:sz w:val="22"/>
          <w:szCs w:val="22"/>
        </w:rPr>
        <w:t xml:space="preserve">devienen parcialmente fundados, siendo procedente </w:t>
      </w:r>
      <w:r w:rsidRPr="000A7ABC">
        <w:rPr>
          <w:rFonts w:ascii="Palatino Linotype" w:eastAsia="Palatino Linotype" w:hAnsi="Palatino Linotype" w:cs="Palatino Linotype"/>
          <w:i/>
          <w:iCs/>
          <w:sz w:val="22"/>
          <w:szCs w:val="22"/>
        </w:rPr>
        <w:t xml:space="preserve">Revocar </w:t>
      </w:r>
      <w:r w:rsidRPr="000A7ABC">
        <w:rPr>
          <w:rFonts w:ascii="Palatino Linotype" w:eastAsia="Palatino Linotype" w:hAnsi="Palatino Linotype" w:cs="Palatino Linotype"/>
          <w:sz w:val="22"/>
          <w:szCs w:val="22"/>
        </w:rPr>
        <w:t xml:space="preserve">la respuesta proporcionada por el </w:t>
      </w:r>
      <w:r w:rsidRPr="000A7ABC">
        <w:rPr>
          <w:rFonts w:ascii="Palatino Linotype" w:eastAsia="Palatino Linotype" w:hAnsi="Palatino Linotype" w:cs="Palatino Linotype"/>
          <w:b/>
          <w:bCs/>
          <w:sz w:val="22"/>
          <w:szCs w:val="22"/>
        </w:rPr>
        <w:t xml:space="preserve">Sujeto Obligado </w:t>
      </w:r>
      <w:r w:rsidRPr="000A7ABC">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1CA69747" w14:textId="77777777" w:rsidR="00AC55F7" w:rsidRPr="000A7ABC" w:rsidRDefault="006C736C">
      <w:pP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Quinto. Versión Pública. </w:t>
      </w:r>
      <w:r w:rsidRPr="000A7ABC">
        <w:rPr>
          <w:rFonts w:ascii="Palatino Linotype" w:eastAsia="Palatino Linotype" w:hAnsi="Palatino Linotype" w:cs="Palatino Linotype"/>
          <w:sz w:val="22"/>
          <w:szCs w:val="22"/>
        </w:rPr>
        <w:t>Como fue debidamente apuntado,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E064E98"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301E1DB"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A4250B8" w14:textId="77777777" w:rsidR="00AC55F7" w:rsidRPr="000A7ABC" w:rsidRDefault="006C736C">
      <w:pPr>
        <w:spacing w:before="240" w:after="240" w:line="360" w:lineRule="auto"/>
        <w:ind w:right="49"/>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6D1F8B9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sz w:val="22"/>
          <w:szCs w:val="22"/>
        </w:rPr>
        <w:t> </w:t>
      </w: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Artículo 3.</w:t>
      </w:r>
      <w:r w:rsidRPr="000A7ABC">
        <w:rPr>
          <w:rFonts w:ascii="Palatino Linotype" w:eastAsia="Palatino Linotype" w:hAnsi="Palatino Linotype" w:cs="Palatino Linotype"/>
          <w:i/>
          <w:iCs/>
          <w:sz w:val="22"/>
          <w:szCs w:val="22"/>
        </w:rPr>
        <w:t xml:space="preserve"> Para los efectos de la presente Ley se entenderá por:</w:t>
      </w:r>
    </w:p>
    <w:p w14:paraId="6E3B1D82"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6CE7F597"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IX. Datos personales</w:t>
      </w:r>
      <w:r w:rsidRPr="000A7ABC">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19C59B51"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4CE436D6"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XX. Información clasificada</w:t>
      </w:r>
      <w:r w:rsidRPr="000A7ABC">
        <w:rPr>
          <w:rFonts w:ascii="Palatino Linotype" w:eastAsia="Palatino Linotype" w:hAnsi="Palatino Linotype" w:cs="Palatino Linotype"/>
          <w:i/>
          <w:iCs/>
          <w:sz w:val="22"/>
          <w:szCs w:val="22"/>
        </w:rPr>
        <w:t>: Aquella considerada por la presente Ley como reservada o confidencial;</w:t>
      </w:r>
    </w:p>
    <w:p w14:paraId="6A18835C"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XXI. Información confidencial</w:t>
      </w:r>
      <w:r w:rsidRPr="000A7ABC">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745589"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0F023EF1"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XXXII. Protección de Datos Personales</w:t>
      </w:r>
      <w:r w:rsidRPr="000A7ABC">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643552AE"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6CB1C0B7" w14:textId="77777777" w:rsidR="00AC55F7" w:rsidRPr="000A7ABC" w:rsidRDefault="006C736C">
      <w:pPr>
        <w:tabs>
          <w:tab w:val="left" w:pos="1276"/>
        </w:tabs>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XLV. Versión pública</w:t>
      </w:r>
      <w:r w:rsidRPr="000A7ABC">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A3B0EB5"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Artículo 6</w:t>
      </w:r>
      <w:r w:rsidRPr="000A7ABC">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6B03B0D"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71D640F4"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91.</w:t>
      </w:r>
      <w:r w:rsidRPr="000A7AB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0A7ABC">
        <w:rPr>
          <w:rFonts w:ascii="Palatino Linotype" w:eastAsia="Palatino Linotype" w:hAnsi="Palatino Linotype" w:cs="Palatino Linotype"/>
          <w:i/>
          <w:iCs/>
          <w:sz w:val="22"/>
          <w:szCs w:val="22"/>
        </w:rPr>
        <w:br/>
        <w:t>…</w:t>
      </w:r>
    </w:p>
    <w:p w14:paraId="4386CBAC"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132.</w:t>
      </w:r>
      <w:r w:rsidRPr="000A7ABC">
        <w:rPr>
          <w:rFonts w:ascii="Palatino Linotype" w:eastAsia="Palatino Linotype" w:hAnsi="Palatino Linotype" w:cs="Palatino Linotype"/>
          <w:i/>
          <w:iCs/>
          <w:sz w:val="22"/>
          <w:szCs w:val="22"/>
        </w:rPr>
        <w:t xml:space="preserve"> La clasificación de la información se llevará a cabo en el momento en que:</w:t>
      </w:r>
    </w:p>
    <w:p w14:paraId="2540693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Se reciba una solicitud de acceso a la información;</w:t>
      </w:r>
    </w:p>
    <w:p w14:paraId="331133C1"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xml:space="preserve"> Se determine mediante resolución de autoridad competente; o</w:t>
      </w:r>
    </w:p>
    <w:p w14:paraId="35FB459C"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03AA4AF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w:t>
      </w:r>
    </w:p>
    <w:p w14:paraId="370B932B"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137.</w:t>
      </w:r>
      <w:r w:rsidRPr="000A7ABC">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219A87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Artículo 143.</w:t>
      </w:r>
      <w:r w:rsidRPr="000A7ABC">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D61DBBD"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6E37C610" w14:textId="77777777" w:rsidR="00AC55F7" w:rsidRPr="000A7ABC" w:rsidRDefault="006C736C">
      <w:pPr>
        <w:spacing w:before="240" w:after="240" w:line="360" w:lineRule="auto"/>
        <w:ind w:right="50"/>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CB63CEF" w14:textId="77777777" w:rsidR="00AC55F7" w:rsidRPr="000A7ABC" w:rsidRDefault="006C736C">
      <w:pPr>
        <w:spacing w:before="240" w:after="240" w:line="360" w:lineRule="auto"/>
        <w:ind w:right="50"/>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64C9709"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A7ABC">
        <w:rPr>
          <w:rFonts w:ascii="Palatino Linotype" w:eastAsia="Palatino Linotype" w:hAnsi="Palatino Linotype" w:cs="Palatino Linotype"/>
          <w:b/>
          <w:bCs/>
          <w:sz w:val="22"/>
          <w:szCs w:val="22"/>
        </w:rPr>
        <w:t>Registro Federal de Contribuyentes</w:t>
      </w:r>
      <w:r w:rsidRPr="000A7ABC">
        <w:rPr>
          <w:rFonts w:ascii="Palatino Linotype" w:eastAsia="Palatino Linotype" w:hAnsi="Palatino Linotype" w:cs="Palatino Linotype"/>
          <w:sz w:val="22"/>
          <w:szCs w:val="22"/>
        </w:rPr>
        <w:t xml:space="preserve"> (RFC), la </w:t>
      </w:r>
      <w:r w:rsidRPr="000A7ABC">
        <w:rPr>
          <w:rFonts w:ascii="Palatino Linotype" w:eastAsia="Palatino Linotype" w:hAnsi="Palatino Linotype" w:cs="Palatino Linotype"/>
          <w:b/>
          <w:bCs/>
          <w:sz w:val="22"/>
          <w:szCs w:val="22"/>
        </w:rPr>
        <w:t>Clave Única de Registro de Población</w:t>
      </w:r>
      <w:r w:rsidRPr="000A7ABC">
        <w:rPr>
          <w:rFonts w:ascii="Palatino Linotype" w:eastAsia="Palatino Linotype" w:hAnsi="Palatino Linotype" w:cs="Palatino Linotype"/>
          <w:sz w:val="22"/>
          <w:szCs w:val="22"/>
        </w:rPr>
        <w:t xml:space="preserve"> (CURP), la </w:t>
      </w:r>
      <w:r w:rsidRPr="000A7ABC">
        <w:rPr>
          <w:rFonts w:ascii="Palatino Linotype" w:eastAsia="Palatino Linotype" w:hAnsi="Palatino Linotype" w:cs="Palatino Linotype"/>
          <w:b/>
          <w:bCs/>
          <w:sz w:val="22"/>
          <w:szCs w:val="22"/>
        </w:rPr>
        <w:t>Clave de cualquier tipo de seguridad social</w:t>
      </w:r>
      <w:r w:rsidRPr="000A7ABC">
        <w:rPr>
          <w:rFonts w:ascii="Palatino Linotype" w:eastAsia="Palatino Linotype" w:hAnsi="Palatino Linotype" w:cs="Palatino Linotype"/>
          <w:sz w:val="22"/>
          <w:szCs w:val="22"/>
        </w:rPr>
        <w:t xml:space="preserve"> (ISSEMYM, u otros), los </w:t>
      </w:r>
      <w:r w:rsidRPr="000A7ABC">
        <w:rPr>
          <w:rFonts w:ascii="Palatino Linotype" w:eastAsia="Palatino Linotype" w:hAnsi="Palatino Linotype" w:cs="Palatino Linotype"/>
          <w:b/>
          <w:bCs/>
          <w:sz w:val="22"/>
          <w:szCs w:val="22"/>
        </w:rPr>
        <w:t>números de cuentas bancarias</w:t>
      </w:r>
      <w:r w:rsidRPr="000A7ABC">
        <w:rPr>
          <w:rFonts w:ascii="Palatino Linotype" w:eastAsia="Palatino Linotype" w:hAnsi="Palatino Linotype" w:cs="Palatino Linotype"/>
          <w:sz w:val="22"/>
          <w:szCs w:val="22"/>
        </w:rPr>
        <w:t xml:space="preserve">, claves estandarizadas – interbancarias - (CLABES) y de tarjetas, los </w:t>
      </w:r>
      <w:r w:rsidRPr="000A7ABC">
        <w:rPr>
          <w:rFonts w:ascii="Palatino Linotype" w:eastAsia="Palatino Linotype" w:hAnsi="Palatino Linotype" w:cs="Palatino Linotype"/>
          <w:b/>
          <w:bCs/>
          <w:sz w:val="22"/>
          <w:szCs w:val="22"/>
        </w:rPr>
        <w:t>préstamos o descuentos</w:t>
      </w:r>
      <w:r w:rsidRPr="000A7ABC">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0A7ABC">
        <w:rPr>
          <w:rFonts w:ascii="Palatino Linotype" w:eastAsia="Palatino Linotype" w:hAnsi="Palatino Linotype" w:cs="Palatino Linotype"/>
          <w:b/>
          <w:bCs/>
          <w:sz w:val="22"/>
          <w:szCs w:val="22"/>
        </w:rPr>
        <w:t xml:space="preserve"> número de empleado, </w:t>
      </w:r>
      <w:r w:rsidRPr="000A7ABC">
        <w:rPr>
          <w:rFonts w:ascii="Palatino Linotype" w:eastAsia="Palatino Linotype" w:hAnsi="Palatino Linotype" w:cs="Palatino Linotype"/>
          <w:sz w:val="22"/>
          <w:szCs w:val="22"/>
        </w:rPr>
        <w:t xml:space="preserve">y, de ser el caso, el </w:t>
      </w:r>
      <w:r w:rsidRPr="000A7ABC">
        <w:rPr>
          <w:rFonts w:ascii="Palatino Linotype" w:eastAsia="Palatino Linotype" w:hAnsi="Palatino Linotype" w:cs="Palatino Linotype"/>
          <w:b/>
          <w:bCs/>
          <w:sz w:val="22"/>
          <w:szCs w:val="22"/>
        </w:rPr>
        <w:t>folio fiscal</w:t>
      </w:r>
      <w:r w:rsidRPr="000A7ABC">
        <w:rPr>
          <w:rFonts w:ascii="Palatino Linotype" w:eastAsia="Palatino Linotype" w:hAnsi="Palatino Linotype" w:cs="Palatino Linotype"/>
          <w:sz w:val="22"/>
          <w:szCs w:val="22"/>
        </w:rPr>
        <w:t xml:space="preserve">, la </w:t>
      </w:r>
      <w:r w:rsidRPr="000A7ABC">
        <w:rPr>
          <w:rFonts w:ascii="Palatino Linotype" w:eastAsia="Palatino Linotype" w:hAnsi="Palatino Linotype" w:cs="Palatino Linotype"/>
          <w:b/>
          <w:bCs/>
          <w:sz w:val="22"/>
          <w:szCs w:val="22"/>
        </w:rPr>
        <w:t xml:space="preserve">cadena original, </w:t>
      </w:r>
      <w:r w:rsidRPr="000A7ABC">
        <w:rPr>
          <w:rFonts w:ascii="Palatino Linotype" w:eastAsia="Palatino Linotype" w:hAnsi="Palatino Linotype" w:cs="Palatino Linotype"/>
          <w:sz w:val="22"/>
          <w:szCs w:val="22"/>
        </w:rPr>
        <w:t>los</w:t>
      </w:r>
      <w:r w:rsidRPr="000A7ABC">
        <w:rPr>
          <w:rFonts w:ascii="Palatino Linotype" w:eastAsia="Palatino Linotype" w:hAnsi="Palatino Linotype" w:cs="Palatino Linotype"/>
          <w:b/>
          <w:bCs/>
          <w:sz w:val="22"/>
          <w:szCs w:val="22"/>
        </w:rPr>
        <w:t xml:space="preserve"> códigos bidimensionales o códigos QR,</w:t>
      </w:r>
      <w:r w:rsidRPr="000A7ABC">
        <w:rPr>
          <w:rFonts w:ascii="Palatino Linotype" w:eastAsia="Palatino Linotype" w:hAnsi="Palatino Linotype" w:cs="Palatino Linotype"/>
          <w:sz w:val="22"/>
          <w:szCs w:val="22"/>
        </w:rPr>
        <w:t xml:space="preserve"> y cualquier información de carácter fiscal.</w:t>
      </w:r>
    </w:p>
    <w:p w14:paraId="634AF1A2" w14:textId="77777777" w:rsidR="00AC55F7" w:rsidRPr="000A7ABC" w:rsidRDefault="006C736C">
      <w:pPr>
        <w:spacing w:before="240" w:after="240" w:line="360" w:lineRule="auto"/>
        <w:ind w:right="50"/>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D24CAFD"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Por cuanto hace al </w:t>
      </w:r>
      <w:r w:rsidRPr="000A7ABC">
        <w:rPr>
          <w:rFonts w:ascii="Palatino Linotype" w:eastAsia="Palatino Linotype" w:hAnsi="Palatino Linotype" w:cs="Palatino Linotype"/>
          <w:b/>
          <w:bCs/>
          <w:sz w:val="22"/>
          <w:szCs w:val="22"/>
        </w:rPr>
        <w:t>Registro Federal de Contribuyentes, RFC,</w:t>
      </w:r>
      <w:r w:rsidRPr="000A7ABC">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78C1E69"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5775518" w14:textId="77777777" w:rsidR="00AC55F7" w:rsidRPr="000A7ABC" w:rsidRDefault="006C736C">
      <w:pPr>
        <w:spacing w:before="240" w:after="240" w:line="360" w:lineRule="auto"/>
        <w:jc w:val="both"/>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sz w:val="22"/>
          <w:szCs w:val="22"/>
        </w:rPr>
        <w:t>Sirve de apoyo a lo anterior, el criterio orientador con clave de control SO/019/2017, emitido por el entonces Instituto Nacional de Transparencia, Acceso a la Información y Protección de Datos Personales, que por rubro y texto, dispone lo siguiente:</w:t>
      </w:r>
      <w:r w:rsidRPr="000A7ABC">
        <w:rPr>
          <w:rFonts w:ascii="Palatino Linotype" w:eastAsia="Palatino Linotype" w:hAnsi="Palatino Linotype" w:cs="Palatino Linotype"/>
          <w:b/>
          <w:bCs/>
          <w:sz w:val="22"/>
          <w:szCs w:val="22"/>
        </w:rPr>
        <w:t xml:space="preserve"> </w:t>
      </w:r>
    </w:p>
    <w:p w14:paraId="7E086756" w14:textId="77777777" w:rsidR="00AC55F7" w:rsidRPr="000A7ABC" w:rsidRDefault="006C736C">
      <w:pPr>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“Registro Federal de Contribuyentes (RFC) de personas físicas</w:t>
      </w:r>
      <w:r w:rsidRPr="000A7ABC">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2371448E" w14:textId="77777777" w:rsidR="00AC55F7" w:rsidRPr="000A7ABC" w:rsidRDefault="006C736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B5FCE3B" w14:textId="77777777" w:rsidR="00AC55F7" w:rsidRPr="000A7ABC" w:rsidRDefault="006C736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 igual manera la </w:t>
      </w:r>
      <w:r w:rsidRPr="000A7ABC">
        <w:rPr>
          <w:rFonts w:ascii="Palatino Linotype" w:eastAsia="Palatino Linotype" w:hAnsi="Palatino Linotype" w:cs="Palatino Linotype"/>
          <w:b/>
          <w:bCs/>
          <w:sz w:val="22"/>
          <w:szCs w:val="22"/>
        </w:rPr>
        <w:t>Clave Única de Registro de Población</w:t>
      </w: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CURP,</w:t>
      </w:r>
      <w:r w:rsidRPr="000A7ABC">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57794B0" w14:textId="77777777" w:rsidR="00AC55F7" w:rsidRPr="000A7ABC" w:rsidRDefault="006C736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Argumento que se sustenta con el criterio orientador con clave de control SO/018/2017 emitido por el entonces Instituto Nacional de Transparencia, Acceso a la Información y Protección de Datos Personales, INAI, el cual refiere:</w:t>
      </w:r>
    </w:p>
    <w:p w14:paraId="478FE2F4" w14:textId="77777777" w:rsidR="00AC55F7" w:rsidRPr="000A7ABC" w:rsidRDefault="006C736C">
      <w:pPr>
        <w:ind w:left="851" w:right="851"/>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 “Clave Única de Registro de Población (CURP). </w:t>
      </w:r>
      <w:r w:rsidRPr="000A7ABC">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6027B4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Por lo que respecta a la </w:t>
      </w:r>
      <w:r w:rsidRPr="000A7ABC">
        <w:rPr>
          <w:rFonts w:ascii="Palatino Linotype" w:eastAsia="Palatino Linotype" w:hAnsi="Palatino Linotype" w:cs="Palatino Linotype"/>
          <w:b/>
          <w:bCs/>
          <w:sz w:val="22"/>
          <w:szCs w:val="22"/>
        </w:rPr>
        <w:t>clave de seguridad social</w:t>
      </w:r>
      <w:r w:rsidRPr="000A7ABC">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583FA44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Respecto de los </w:t>
      </w:r>
      <w:r w:rsidRPr="000A7ABC">
        <w:rPr>
          <w:rFonts w:ascii="Palatino Linotype" w:eastAsia="Palatino Linotype" w:hAnsi="Palatino Linotype" w:cs="Palatino Linotype"/>
          <w:b/>
          <w:bCs/>
          <w:sz w:val="22"/>
          <w:szCs w:val="22"/>
        </w:rPr>
        <w:t>números de cuentas bancari</w:t>
      </w:r>
      <w:r w:rsidRPr="000A7ABC">
        <w:rPr>
          <w:rFonts w:ascii="Palatino Linotype" w:eastAsia="Palatino Linotype" w:hAnsi="Palatino Linotype" w:cs="Palatino Linotype"/>
          <w:sz w:val="22"/>
          <w:szCs w:val="22"/>
        </w:rPr>
        <w:t xml:space="preserve">as, </w:t>
      </w:r>
      <w:r w:rsidRPr="000A7ABC">
        <w:rPr>
          <w:rFonts w:ascii="Palatino Linotype" w:eastAsia="Palatino Linotype" w:hAnsi="Palatino Linotype" w:cs="Palatino Linotype"/>
          <w:b/>
          <w:bCs/>
          <w:sz w:val="22"/>
          <w:szCs w:val="22"/>
        </w:rPr>
        <w:t>claves estandarizadas –interbancarias- (CLABES) y de tarjetas</w:t>
      </w:r>
      <w:r w:rsidRPr="000A7ABC">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1C8D7FF9"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B7340EE"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F8EE3A0" w14:textId="77777777" w:rsidR="00AC55F7" w:rsidRPr="000A7ABC" w:rsidRDefault="006C736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7BF19A8"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79484C7F"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INAI, que llevan por rubro y texto los siguientes:</w:t>
      </w:r>
    </w:p>
    <w:p w14:paraId="65AB97C0" w14:textId="77777777" w:rsidR="00AC55F7" w:rsidRPr="000A7ABC" w:rsidRDefault="006C736C">
      <w:pPr>
        <w:spacing w:before="240" w:after="24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Cuentas bancarias y/o CLABE interbancaria de personas físicas y morales privadas.</w:t>
      </w:r>
      <w:r w:rsidRPr="000A7ABC">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2E98515" w14:textId="77777777" w:rsidR="00AC55F7" w:rsidRPr="000A7ABC" w:rsidRDefault="006C736C">
      <w:pPr>
        <w:spacing w:before="240" w:after="24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0A7ABC">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3A3326C"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9" w:name="_heading=h.35nkun2" w:colFirst="0" w:colLast="0"/>
      <w:bookmarkEnd w:id="9"/>
      <w:r w:rsidRPr="000A7ABC">
        <w:rPr>
          <w:rFonts w:ascii="Palatino Linotype" w:eastAsia="Palatino Linotype" w:hAnsi="Palatino Linotype" w:cs="Palatino Linotype"/>
          <w:sz w:val="22"/>
          <w:szCs w:val="22"/>
        </w:rPr>
        <w:t xml:space="preserve">Por cuanto hace a los </w:t>
      </w:r>
      <w:r w:rsidRPr="000A7ABC">
        <w:rPr>
          <w:rFonts w:ascii="Palatino Linotype" w:eastAsia="Palatino Linotype" w:hAnsi="Palatino Linotype" w:cs="Palatino Linotype"/>
          <w:b/>
          <w:bCs/>
          <w:sz w:val="22"/>
          <w:szCs w:val="22"/>
        </w:rPr>
        <w:t>préstamos o descuentos de carácter personal</w:t>
      </w:r>
      <w:r w:rsidRPr="000A7ABC">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36D23121"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38B38BF1" w14:textId="77777777" w:rsidR="00AC55F7" w:rsidRPr="000A7ABC" w:rsidRDefault="006C736C">
      <w:pPr>
        <w:spacing w:before="120" w:after="120"/>
        <w:ind w:left="851" w:right="900"/>
        <w:jc w:val="both"/>
        <w:rPr>
          <w:rFonts w:ascii="Palatino Linotype" w:eastAsia="Palatino Linotype" w:hAnsi="Palatino Linotype" w:cs="Palatino Linotype"/>
          <w:b/>
          <w:bCs/>
          <w:i/>
          <w:iCs/>
          <w:sz w:val="22"/>
          <w:szCs w:val="22"/>
        </w:rPr>
      </w:pPr>
      <w:bookmarkStart w:id="10" w:name="_heading=h.1ksv4uv" w:colFirst="0" w:colLast="0"/>
      <w:bookmarkEnd w:id="10"/>
      <w:r w:rsidRPr="000A7ABC">
        <w:rPr>
          <w:rFonts w:ascii="Palatino Linotype" w:eastAsia="Palatino Linotype" w:hAnsi="Palatino Linotype" w:cs="Palatino Linotype"/>
          <w:b/>
          <w:bCs/>
          <w:i/>
          <w:iCs/>
          <w:sz w:val="22"/>
          <w:szCs w:val="22"/>
        </w:rPr>
        <w:t xml:space="preserve">“ARTÍCULO 84. </w:t>
      </w:r>
      <w:r w:rsidRPr="000A7ABC">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5B0C64E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Gravámenes fiscales relacionados con el sueldo;</w:t>
      </w:r>
    </w:p>
    <w:p w14:paraId="0588EA23"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708AF4DD"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b/>
          <w:bCs/>
          <w:i/>
          <w:iCs/>
          <w:sz w:val="22"/>
          <w:szCs w:val="22"/>
        </w:rPr>
        <w:t>Cuotas sindicales</w:t>
      </w:r>
      <w:r w:rsidRPr="000A7ABC">
        <w:rPr>
          <w:rFonts w:ascii="Palatino Linotype" w:eastAsia="Palatino Linotype" w:hAnsi="Palatino Linotype" w:cs="Palatino Linotype"/>
          <w:i/>
          <w:iCs/>
          <w:sz w:val="22"/>
          <w:szCs w:val="22"/>
        </w:rPr>
        <w:t>;</w:t>
      </w:r>
    </w:p>
    <w:p w14:paraId="1DE0AC50"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IV.</w:t>
      </w:r>
      <w:r w:rsidRPr="000A7ABC">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4F3F2D70"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w:t>
      </w:r>
      <w:r w:rsidRPr="000A7ABC">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45BEFA41"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VI.</w:t>
      </w:r>
      <w:r w:rsidRPr="000A7ABC">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4A935DEA"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VII.</w:t>
      </w:r>
      <w:r w:rsidRPr="000A7ABC">
        <w:rPr>
          <w:rFonts w:ascii="Palatino Linotype" w:eastAsia="Palatino Linotype" w:hAnsi="Palatino Linotype" w:cs="Palatino Linotype"/>
          <w:i/>
          <w:iCs/>
          <w:sz w:val="22"/>
          <w:szCs w:val="22"/>
        </w:rPr>
        <w:t xml:space="preserve"> Faltas de puntualidad o de asistencia injustificadas;</w:t>
      </w:r>
    </w:p>
    <w:p w14:paraId="1286ACBB"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VIII. Pensiones alimenticias ordenadas por la autoridad judicial;</w:t>
      </w:r>
      <w:r w:rsidRPr="000A7ABC">
        <w:rPr>
          <w:rFonts w:ascii="Palatino Linotype" w:eastAsia="Palatino Linotype" w:hAnsi="Palatino Linotype" w:cs="Palatino Linotype"/>
          <w:i/>
          <w:iCs/>
          <w:sz w:val="22"/>
          <w:szCs w:val="22"/>
        </w:rPr>
        <w:t xml:space="preserve"> o</w:t>
      </w:r>
    </w:p>
    <w:p w14:paraId="539D49CA" w14:textId="77777777" w:rsidR="00AC55F7" w:rsidRPr="000A7ABC" w:rsidRDefault="006C736C">
      <w:pPr>
        <w:spacing w:before="120" w:after="120"/>
        <w:ind w:left="851" w:right="902"/>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b/>
          <w:bCs/>
          <w:i/>
          <w:iCs/>
          <w:sz w:val="22"/>
          <w:szCs w:val="22"/>
        </w:rPr>
        <w:t>IX. Cualquier otro convenido con instituciones de servicios y aceptado por el servidor público.</w:t>
      </w:r>
    </w:p>
    <w:p w14:paraId="5424ABA4"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DD98394"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3C9985CE"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 este modo, los </w:t>
      </w:r>
      <w:r w:rsidRPr="000A7ABC">
        <w:rPr>
          <w:rFonts w:ascii="Palatino Linotype" w:eastAsia="Palatino Linotype" w:hAnsi="Palatino Linotype" w:cs="Palatino Linotype"/>
          <w:b/>
          <w:bCs/>
          <w:sz w:val="22"/>
          <w:szCs w:val="22"/>
        </w:rPr>
        <w:t>descuentos o deducciones por cuotas sindicales</w:t>
      </w: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pensiones alimenticias</w:t>
      </w:r>
      <w:r w:rsidRPr="000A7ABC">
        <w:rPr>
          <w:rFonts w:ascii="Palatino Linotype" w:eastAsia="Palatino Linotype" w:hAnsi="Palatino Linotype" w:cs="Palatino Linotype"/>
          <w:sz w:val="22"/>
          <w:szCs w:val="22"/>
        </w:rPr>
        <w:t xml:space="preserve"> o </w:t>
      </w:r>
      <w:r w:rsidRPr="000A7ABC">
        <w:rPr>
          <w:rFonts w:ascii="Palatino Linotype" w:eastAsia="Palatino Linotype" w:hAnsi="Palatino Linotype" w:cs="Palatino Linotype"/>
          <w:b/>
          <w:bCs/>
          <w:sz w:val="22"/>
          <w:szCs w:val="22"/>
        </w:rPr>
        <w:t>créditos adquiridos con instituciones privadas</w:t>
      </w:r>
      <w:r w:rsidRPr="000A7ABC">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0A7ABC">
        <w:rPr>
          <w:rFonts w:ascii="Palatino Linotype" w:eastAsia="Palatino Linotype" w:hAnsi="Palatino Linotype" w:cs="Palatino Linotype"/>
          <w:b/>
          <w:bCs/>
          <w:sz w:val="22"/>
          <w:szCs w:val="22"/>
        </w:rPr>
        <w:t>es información que no es de carácter público, sino que constituye información confidencial</w:t>
      </w:r>
      <w:r w:rsidRPr="000A7ABC">
        <w:rPr>
          <w:rFonts w:ascii="Palatino Linotype" w:eastAsia="Palatino Linotype" w:hAnsi="Palatino Linotype" w:cs="Palatino Linotype"/>
          <w:sz w:val="22"/>
          <w:szCs w:val="22"/>
        </w:rPr>
        <w:t xml:space="preserve"> en virtud de que corresponde con decisiones personales, y por tanto, se debe clasificar.</w:t>
      </w:r>
    </w:p>
    <w:p w14:paraId="68AEFCC9" w14:textId="77777777" w:rsidR="00AC55F7" w:rsidRPr="000A7ABC" w:rsidRDefault="006C736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C2499C4" w14:textId="77777777" w:rsidR="00AC55F7" w:rsidRPr="000A7ABC" w:rsidRDefault="006C736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432BB98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Con relación al </w:t>
      </w:r>
      <w:r w:rsidRPr="000A7ABC">
        <w:rPr>
          <w:rFonts w:ascii="Palatino Linotype" w:eastAsia="Palatino Linotype" w:hAnsi="Palatino Linotype" w:cs="Palatino Linotype"/>
          <w:b/>
          <w:bCs/>
          <w:sz w:val="22"/>
          <w:szCs w:val="22"/>
        </w:rPr>
        <w:t>número de empleado</w:t>
      </w:r>
      <w:r w:rsidRPr="000A7ABC">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0A7ABC">
        <w:rPr>
          <w:rFonts w:ascii="Palatino Linotype" w:eastAsia="Palatino Linotype" w:hAnsi="Palatino Linotype" w:cs="Palatino Linotype"/>
          <w:sz w:val="22"/>
          <w:szCs w:val="22"/>
          <w:vertAlign w:val="superscript"/>
        </w:rPr>
        <w:footnoteReference w:id="1"/>
      </w:r>
      <w:r w:rsidRPr="000A7ABC">
        <w:rPr>
          <w:rFonts w:ascii="Palatino Linotype" w:eastAsia="Palatino Linotype" w:hAnsi="Palatino Linotype" w:cs="Palatino Linotype"/>
          <w:sz w:val="22"/>
          <w:szCs w:val="22"/>
        </w:rPr>
        <w:t>.</w:t>
      </w:r>
    </w:p>
    <w:p w14:paraId="7F78B11A"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11" w:name="_heading=h.6zxraxb44q3v" w:colFirst="0" w:colLast="0"/>
      <w:bookmarkEnd w:id="11"/>
      <w:r w:rsidRPr="000A7ABC">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con clave de control SO/006/2019, que indica lo siguiente:</w:t>
      </w:r>
    </w:p>
    <w:p w14:paraId="542F1C78" w14:textId="77777777" w:rsidR="00AC55F7" w:rsidRPr="000A7ABC" w:rsidRDefault="006C736C">
      <w:pPr>
        <w:tabs>
          <w:tab w:val="left" w:pos="7655"/>
        </w:tabs>
        <w:spacing w:before="240" w:after="240"/>
        <w:ind w:left="993" w:right="99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“Número de empleado. </w:t>
      </w:r>
      <w:r w:rsidRPr="000A7ABC">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E640255"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DBA4F72"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De la información fiscal</w:t>
      </w:r>
      <w:r w:rsidRPr="000A7ABC">
        <w:rPr>
          <w:rFonts w:ascii="Palatino Linotype" w:eastAsia="Palatino Linotype" w:hAnsi="Palatino Linotype" w:cs="Palatino Linotype"/>
          <w:sz w:val="22"/>
          <w:szCs w:val="22"/>
        </w:rPr>
        <w:t xml:space="preserve">: </w:t>
      </w:r>
    </w:p>
    <w:p w14:paraId="7F8696B6"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La </w:t>
      </w:r>
      <w:r w:rsidRPr="000A7ABC">
        <w:rPr>
          <w:rFonts w:ascii="Palatino Linotype" w:eastAsia="Palatino Linotype" w:hAnsi="Palatino Linotype" w:cs="Palatino Linotype"/>
          <w:b/>
          <w:bCs/>
          <w:sz w:val="22"/>
          <w:szCs w:val="22"/>
        </w:rPr>
        <w:t>Cadena Original</w:t>
      </w:r>
      <w:r w:rsidRPr="000A7ABC">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analizar dicha circunstancia con la finalidad de proteger, de ser el caso, la información a través de su clasificación por actualizarse el supuesto de confidencialidad.</w:t>
      </w:r>
    </w:p>
    <w:p w14:paraId="6950BD3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Los </w:t>
      </w:r>
      <w:r w:rsidRPr="000A7ABC">
        <w:rPr>
          <w:rFonts w:ascii="Palatino Linotype" w:eastAsia="Palatino Linotype" w:hAnsi="Palatino Linotype" w:cs="Palatino Linotype"/>
          <w:b/>
          <w:bCs/>
          <w:sz w:val="22"/>
          <w:szCs w:val="22"/>
        </w:rPr>
        <w:t>códigos bidimensionales</w:t>
      </w:r>
      <w:r w:rsidRPr="000A7ABC">
        <w:rPr>
          <w:rFonts w:ascii="Palatino Linotype" w:eastAsia="Palatino Linotype" w:hAnsi="Palatino Linotype" w:cs="Palatino Linotype"/>
          <w:sz w:val="22"/>
          <w:szCs w:val="22"/>
        </w:rPr>
        <w:t xml:space="preserve"> o </w:t>
      </w:r>
      <w:r w:rsidRPr="000A7ABC">
        <w:rPr>
          <w:rFonts w:ascii="Palatino Linotype" w:eastAsia="Palatino Linotype" w:hAnsi="Palatino Linotype" w:cs="Palatino Linotype"/>
          <w:b/>
          <w:bCs/>
          <w:sz w:val="22"/>
          <w:szCs w:val="22"/>
        </w:rPr>
        <w:t xml:space="preserve">códigos QR, </w:t>
      </w:r>
      <w:r w:rsidRPr="000A7ABC">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59773BBF"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En tal sentido, si derivado del análisis efectuado por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4E3BEFA5" w14:textId="77777777" w:rsidR="00AC55F7" w:rsidRPr="000A7ABC" w:rsidRDefault="006C736C">
      <w:pPr>
        <w:spacing w:before="240" w:after="240" w:line="360" w:lineRule="auto"/>
        <w:ind w:right="50"/>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C655DF0"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49.</w:t>
      </w:r>
      <w:r w:rsidRPr="000A7ABC">
        <w:rPr>
          <w:rFonts w:ascii="Palatino Linotype" w:eastAsia="Palatino Linotype" w:hAnsi="Palatino Linotype" w:cs="Palatino Linotype"/>
          <w:i/>
          <w:iCs/>
          <w:sz w:val="22"/>
          <w:szCs w:val="22"/>
        </w:rPr>
        <w:t xml:space="preserve"> </w:t>
      </w:r>
      <w:r w:rsidRPr="000A7ABC">
        <w:rPr>
          <w:rFonts w:ascii="Palatino Linotype" w:eastAsia="Palatino Linotype" w:hAnsi="Palatino Linotype" w:cs="Palatino Linotype"/>
          <w:b/>
          <w:bCs/>
          <w:i/>
          <w:iCs/>
          <w:sz w:val="22"/>
          <w:szCs w:val="22"/>
        </w:rPr>
        <w:t>Los Comités de Transparencia</w:t>
      </w:r>
      <w:r w:rsidRPr="000A7ABC">
        <w:rPr>
          <w:rFonts w:ascii="Palatino Linotype" w:eastAsia="Palatino Linotype" w:hAnsi="Palatino Linotype" w:cs="Palatino Linotype"/>
          <w:i/>
          <w:iCs/>
          <w:sz w:val="22"/>
          <w:szCs w:val="22"/>
        </w:rPr>
        <w:t xml:space="preserve"> tendrán las siguientes atribuciones:</w:t>
      </w:r>
    </w:p>
    <w:p w14:paraId="07D1A798"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VIII. Aprobar, modificar o revocar la clasificación de la información</w:t>
      </w:r>
      <w:r w:rsidRPr="000A7ABC">
        <w:rPr>
          <w:rFonts w:ascii="Palatino Linotype" w:eastAsia="Palatino Linotype" w:hAnsi="Palatino Linotype" w:cs="Palatino Linotype"/>
          <w:i/>
          <w:iCs/>
          <w:sz w:val="22"/>
          <w:szCs w:val="22"/>
        </w:rPr>
        <w:t>…”</w:t>
      </w:r>
    </w:p>
    <w:p w14:paraId="111718CF"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Artículo 53.</w:t>
      </w:r>
      <w:r w:rsidRPr="000A7ABC">
        <w:rPr>
          <w:rFonts w:ascii="Palatino Linotype" w:eastAsia="Palatino Linotype" w:hAnsi="Palatino Linotype" w:cs="Palatino Linotype"/>
          <w:i/>
          <w:iCs/>
          <w:sz w:val="22"/>
          <w:szCs w:val="22"/>
        </w:rPr>
        <w:t xml:space="preserve"> Las </w:t>
      </w:r>
      <w:r w:rsidRPr="000A7ABC">
        <w:rPr>
          <w:rFonts w:ascii="Palatino Linotype" w:eastAsia="Palatino Linotype" w:hAnsi="Palatino Linotype" w:cs="Palatino Linotype"/>
          <w:b/>
          <w:bCs/>
          <w:i/>
          <w:iCs/>
          <w:sz w:val="22"/>
          <w:szCs w:val="22"/>
        </w:rPr>
        <w:t>Unidades de Transparencia</w:t>
      </w:r>
      <w:r w:rsidRPr="000A7ABC">
        <w:rPr>
          <w:rFonts w:ascii="Palatino Linotype" w:eastAsia="Palatino Linotype" w:hAnsi="Palatino Linotype" w:cs="Palatino Linotype"/>
          <w:i/>
          <w:iCs/>
          <w:sz w:val="22"/>
          <w:szCs w:val="22"/>
        </w:rPr>
        <w:t xml:space="preserve"> tendrán las siguientes </w:t>
      </w:r>
      <w:r w:rsidRPr="000A7ABC">
        <w:rPr>
          <w:rFonts w:ascii="Palatino Linotype" w:eastAsia="Palatino Linotype" w:hAnsi="Palatino Linotype" w:cs="Palatino Linotype"/>
          <w:b/>
          <w:bCs/>
          <w:i/>
          <w:iCs/>
          <w:sz w:val="22"/>
          <w:szCs w:val="22"/>
        </w:rPr>
        <w:t>funciones</w:t>
      </w:r>
      <w:r w:rsidRPr="000A7ABC">
        <w:rPr>
          <w:rFonts w:ascii="Palatino Linotype" w:eastAsia="Palatino Linotype" w:hAnsi="Palatino Linotype" w:cs="Palatino Linotype"/>
          <w:i/>
          <w:iCs/>
          <w:sz w:val="22"/>
          <w:szCs w:val="22"/>
        </w:rPr>
        <w:t>:</w:t>
      </w:r>
    </w:p>
    <w:p w14:paraId="3E1F8595"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X. Presentar ante el Comité, el proyecto de clasificación de información</w:t>
      </w:r>
      <w:r w:rsidRPr="000A7ABC">
        <w:rPr>
          <w:rFonts w:ascii="Palatino Linotype" w:eastAsia="Palatino Linotype" w:hAnsi="Palatino Linotype" w:cs="Palatino Linotype"/>
          <w:i/>
          <w:iCs/>
          <w:sz w:val="22"/>
          <w:szCs w:val="22"/>
        </w:rPr>
        <w:t xml:space="preserve">…” </w:t>
      </w:r>
    </w:p>
    <w:p w14:paraId="5A546A70"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“Artículo 59.</w:t>
      </w:r>
      <w:r w:rsidRPr="000A7ABC">
        <w:rPr>
          <w:rFonts w:ascii="Palatino Linotype" w:eastAsia="Palatino Linotype" w:hAnsi="Palatino Linotype" w:cs="Palatino Linotype"/>
          <w:i/>
          <w:iCs/>
          <w:sz w:val="22"/>
          <w:szCs w:val="22"/>
        </w:rPr>
        <w:t xml:space="preserve"> Los </w:t>
      </w:r>
      <w:r w:rsidRPr="000A7ABC">
        <w:rPr>
          <w:rFonts w:ascii="Palatino Linotype" w:eastAsia="Palatino Linotype" w:hAnsi="Palatino Linotype" w:cs="Palatino Linotype"/>
          <w:b/>
          <w:bCs/>
          <w:i/>
          <w:iCs/>
          <w:sz w:val="22"/>
          <w:szCs w:val="22"/>
        </w:rPr>
        <w:t>servidores públicos habilitados</w:t>
      </w:r>
      <w:r w:rsidRPr="000A7ABC">
        <w:rPr>
          <w:rFonts w:ascii="Palatino Linotype" w:eastAsia="Palatino Linotype" w:hAnsi="Palatino Linotype" w:cs="Palatino Linotype"/>
          <w:i/>
          <w:iCs/>
          <w:sz w:val="22"/>
          <w:szCs w:val="22"/>
        </w:rPr>
        <w:t xml:space="preserve"> tendrán las </w:t>
      </w:r>
      <w:r w:rsidRPr="000A7ABC">
        <w:rPr>
          <w:rFonts w:ascii="Palatino Linotype" w:eastAsia="Palatino Linotype" w:hAnsi="Palatino Linotype" w:cs="Palatino Linotype"/>
          <w:b/>
          <w:bCs/>
          <w:i/>
          <w:iCs/>
          <w:sz w:val="22"/>
          <w:szCs w:val="22"/>
        </w:rPr>
        <w:t>funciones</w:t>
      </w:r>
      <w:r w:rsidRPr="000A7ABC">
        <w:rPr>
          <w:rFonts w:ascii="Palatino Linotype" w:eastAsia="Palatino Linotype" w:hAnsi="Palatino Linotype" w:cs="Palatino Linotype"/>
          <w:i/>
          <w:iCs/>
          <w:sz w:val="22"/>
          <w:szCs w:val="22"/>
        </w:rPr>
        <w:t xml:space="preserve"> siguientes:</w:t>
      </w:r>
    </w:p>
    <w:p w14:paraId="73842533"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0A7ABC">
        <w:rPr>
          <w:rFonts w:ascii="Palatino Linotype" w:eastAsia="Palatino Linotype" w:hAnsi="Palatino Linotype" w:cs="Palatino Linotype"/>
          <w:i/>
          <w:iCs/>
          <w:sz w:val="22"/>
          <w:szCs w:val="22"/>
        </w:rPr>
        <w:t>, la cual tendrá los fundamentos y argumentos en que se basa dicha propuesta…”</w:t>
      </w:r>
    </w:p>
    <w:p w14:paraId="2F93FF8D"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BBF9EF6"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1421BE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Artículo 149.</w:t>
      </w:r>
      <w:r w:rsidRPr="000A7ABC">
        <w:rPr>
          <w:rFonts w:ascii="Palatino Linotype" w:eastAsia="Palatino Linotype" w:hAnsi="Palatino Linotype" w:cs="Palatino Linotype"/>
          <w:i/>
          <w:iCs/>
          <w:sz w:val="22"/>
          <w:szCs w:val="22"/>
        </w:rPr>
        <w:t xml:space="preserve"> El </w:t>
      </w:r>
      <w:r w:rsidRPr="000A7ABC">
        <w:rPr>
          <w:rFonts w:ascii="Palatino Linotype" w:eastAsia="Palatino Linotype" w:hAnsi="Palatino Linotype" w:cs="Palatino Linotype"/>
          <w:b/>
          <w:bCs/>
          <w:i/>
          <w:iCs/>
          <w:sz w:val="22"/>
          <w:szCs w:val="22"/>
        </w:rPr>
        <w:t>acuerdo que clasifique la información como confidencial</w:t>
      </w:r>
      <w:r w:rsidRPr="000A7ABC">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40366E20" w14:textId="77777777" w:rsidR="00AC55F7" w:rsidRPr="000A7ABC" w:rsidRDefault="006C736C">
      <w:pP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Es decir,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32B945A" w14:textId="77777777" w:rsidR="00AC55F7" w:rsidRPr="000A7ABC" w:rsidRDefault="006C736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9E6E230"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 “Quincuagésimo. </w:t>
      </w:r>
      <w:r w:rsidRPr="000A7ABC">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9802CB2"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Quincuagésimo primero. </w:t>
      </w:r>
      <w:r w:rsidRPr="000A7ABC">
        <w:rPr>
          <w:rFonts w:ascii="Palatino Linotype" w:eastAsia="Palatino Linotype" w:hAnsi="Palatino Linotype" w:cs="Palatino Linotype"/>
          <w:i/>
          <w:iCs/>
          <w:sz w:val="22"/>
          <w:szCs w:val="22"/>
        </w:rPr>
        <w:t xml:space="preserve">Toda acta del Comité de Transparencia deberá contener: </w:t>
      </w:r>
    </w:p>
    <w:p w14:paraId="753F90A9"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El número de sesión y fecha; </w:t>
      </w:r>
    </w:p>
    <w:p w14:paraId="229DA818"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xml:space="preserve">. El nombre del área que solicitó la clasificación de información; </w:t>
      </w:r>
    </w:p>
    <w:p w14:paraId="15466E92"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La fundamentación legal y motivación correspondiente; </w:t>
      </w:r>
    </w:p>
    <w:p w14:paraId="4A0CA650"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IV</w:t>
      </w:r>
      <w:r w:rsidRPr="000A7ABC">
        <w:rPr>
          <w:rFonts w:ascii="Palatino Linotype" w:eastAsia="Palatino Linotype" w:hAnsi="Palatino Linotype" w:cs="Palatino Linotype"/>
          <w:i/>
          <w:iCs/>
          <w:sz w:val="22"/>
          <w:szCs w:val="22"/>
        </w:rPr>
        <w:t xml:space="preserve">. La resolución o resoluciones aprobadas; y </w:t>
      </w:r>
    </w:p>
    <w:p w14:paraId="62552BA5"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V</w:t>
      </w:r>
      <w:r w:rsidRPr="000A7ABC">
        <w:rPr>
          <w:rFonts w:ascii="Palatino Linotype" w:eastAsia="Palatino Linotype" w:hAnsi="Palatino Linotype" w:cs="Palatino Linotype"/>
          <w:i/>
          <w:iCs/>
          <w:sz w:val="22"/>
          <w:szCs w:val="22"/>
        </w:rPr>
        <w:t xml:space="preserve">. La rúbrica o firma digital de cada integrante del Comité de Transparencia. </w:t>
      </w:r>
    </w:p>
    <w:p w14:paraId="787837F3"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37074B68"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2DE49E70"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Descripción de las partes o secciones reservadas, en caso de clasificación parcial</w:t>
      </w:r>
      <w:r w:rsidRPr="000A7ABC">
        <w:rPr>
          <w:rFonts w:ascii="Palatino Linotype" w:eastAsia="Palatino Linotype" w:hAnsi="Palatino Linotype" w:cs="Palatino Linotype"/>
          <w:b/>
          <w:bCs/>
          <w:i/>
          <w:iCs/>
          <w:sz w:val="22"/>
          <w:szCs w:val="22"/>
        </w:rPr>
        <w:t xml:space="preserve">; </w:t>
      </w:r>
    </w:p>
    <w:p w14:paraId="369EF75E"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El periodo por el que mantendrá su clasificación y fecha de expiración; y </w:t>
      </w:r>
    </w:p>
    <w:p w14:paraId="0B84B255"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IV.</w:t>
      </w:r>
      <w:r w:rsidRPr="000A7ABC">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CBA30E8"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DF31FCF" w14:textId="77777777" w:rsidR="00AC55F7" w:rsidRPr="000A7ABC" w:rsidRDefault="006C736C">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317EE7D"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8250449"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r w:rsidRPr="000A7ABC">
        <w:rPr>
          <w:rFonts w:ascii="Palatino Linotype" w:eastAsia="Palatino Linotype" w:hAnsi="Palatino Linotype" w:cs="Palatino Linotype"/>
          <w:b/>
          <w:bCs/>
          <w:i/>
          <w:iCs/>
          <w:sz w:val="22"/>
          <w:szCs w:val="22"/>
        </w:rPr>
        <w:t>Quincuagésimo segundo</w:t>
      </w:r>
      <w:r w:rsidRPr="000A7ABC">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2213F4"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29642A4B"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02B750FF"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DAB00A1"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Señalar las personas o instancias autorizadas a acceder a la información clasificada.</w:t>
      </w:r>
    </w:p>
    <w:p w14:paraId="344410F6" w14:textId="77777777" w:rsidR="00AC55F7" w:rsidRPr="000A7ABC" w:rsidRDefault="006C736C">
      <w:pP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324B6A23" w14:textId="77777777" w:rsidR="00AC55F7" w:rsidRPr="000A7ABC"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w:t>
      </w:r>
    </w:p>
    <w:p w14:paraId="1233801B" w14:textId="77777777" w:rsidR="00AC55F7" w:rsidRPr="000A7ABC" w:rsidRDefault="006C736C">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b/>
          <w:bCs/>
          <w:i/>
          <w:iCs/>
          <w:sz w:val="22"/>
          <w:szCs w:val="22"/>
        </w:rPr>
        <w:t xml:space="preserve">Quincuagésimo cuarto. </w:t>
      </w:r>
      <w:r w:rsidRPr="000A7ABC">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A7ABC">
        <w:rPr>
          <w:rFonts w:ascii="Palatino Linotype" w:eastAsia="Palatino Linotype" w:hAnsi="Palatino Linotype" w:cs="Palatino Linotype"/>
          <w:b/>
          <w:bCs/>
          <w:i/>
          <w:iCs/>
          <w:sz w:val="22"/>
          <w:szCs w:val="22"/>
        </w:rPr>
        <w:t xml:space="preserve"> </w:t>
      </w:r>
    </w:p>
    <w:p w14:paraId="5CC658E9"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 xml:space="preserve">Quincuagésimo quinto. </w:t>
      </w:r>
      <w:r w:rsidRPr="000A7ABC">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04DB8F6" w14:textId="77777777" w:rsidR="00AC55F7" w:rsidRPr="000A7ABC" w:rsidRDefault="006C736C">
      <w:pPr>
        <w:spacing w:before="120" w:after="120"/>
        <w:ind w:left="851" w:right="902"/>
        <w:jc w:val="both"/>
        <w:rPr>
          <w:rFonts w:ascii="Palatino Linotype" w:eastAsia="Palatino Linotype" w:hAnsi="Palatino Linotype" w:cs="Palatino Linotype"/>
          <w:b/>
          <w:bCs/>
          <w:i/>
          <w:iCs/>
          <w:sz w:val="22"/>
          <w:szCs w:val="22"/>
        </w:rPr>
      </w:pPr>
      <w:r w:rsidRPr="000A7ABC">
        <w:rPr>
          <w:rFonts w:ascii="Palatino Linotype" w:eastAsia="Palatino Linotype" w:hAnsi="Palatino Linotype" w:cs="Palatino Linotype"/>
          <w:b/>
          <w:bCs/>
          <w:i/>
          <w:iCs/>
          <w:sz w:val="22"/>
          <w:szCs w:val="22"/>
        </w:rPr>
        <w:t>...</w:t>
      </w:r>
    </w:p>
    <w:p w14:paraId="00BD98CD"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Quincuagésimo séptimo</w:t>
      </w:r>
      <w:r w:rsidRPr="000A7AB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049BA560"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w:t>
      </w:r>
      <w:r w:rsidRPr="000A7ABC">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6224107E"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w:t>
      </w:r>
      <w:r w:rsidRPr="000A7ABC">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C99951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III</w:t>
      </w:r>
      <w:r w:rsidRPr="000A7ABC">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AF94961"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5880E6A7" w14:textId="77777777" w:rsidR="00AC55F7" w:rsidRPr="000A7ABC" w:rsidRDefault="006C736C">
      <w:pPr>
        <w:spacing w:before="120" w:after="120"/>
        <w:ind w:left="851" w:right="902"/>
        <w:jc w:val="both"/>
        <w:rPr>
          <w:rFonts w:ascii="Palatino Linotype" w:eastAsia="Palatino Linotype" w:hAnsi="Palatino Linotype" w:cs="Palatino Linotype"/>
          <w:i/>
          <w:iCs/>
          <w:sz w:val="22"/>
          <w:szCs w:val="22"/>
        </w:rPr>
      </w:pPr>
      <w:r w:rsidRPr="000A7ABC">
        <w:rPr>
          <w:rFonts w:ascii="Palatino Linotype" w:eastAsia="Palatino Linotype" w:hAnsi="Palatino Linotype" w:cs="Palatino Linotype"/>
          <w:b/>
          <w:bCs/>
          <w:i/>
          <w:iCs/>
          <w:sz w:val="22"/>
          <w:szCs w:val="22"/>
        </w:rPr>
        <w:t>Quincuagésimo octavo</w:t>
      </w:r>
      <w:r w:rsidRPr="000A7ABC">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41D7B65"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5A13ACA7" w14:textId="77777777" w:rsidR="00AC55F7" w:rsidRPr="000A7ABC" w:rsidRDefault="006C736C">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0A7ABC">
        <w:rPr>
          <w:rFonts w:ascii="Palatino Linotype" w:eastAsia="Palatino Linotype" w:hAnsi="Palatino Linotype" w:cs="Palatino Linotype"/>
          <w:b/>
          <w:bCs/>
          <w:sz w:val="22"/>
          <w:szCs w:val="22"/>
        </w:rPr>
        <w:t>III. R E S U E L V E</w:t>
      </w:r>
    </w:p>
    <w:p w14:paraId="3FD37023"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12" w:name="_heading=h.26in1rg" w:colFirst="0" w:colLast="0"/>
      <w:bookmarkEnd w:id="12"/>
      <w:r w:rsidRPr="000A7ABC">
        <w:rPr>
          <w:rFonts w:ascii="Palatino Linotype" w:eastAsia="Palatino Linotype" w:hAnsi="Palatino Linotype" w:cs="Palatino Linotype"/>
          <w:b/>
          <w:bCs/>
          <w:sz w:val="22"/>
          <w:szCs w:val="22"/>
        </w:rPr>
        <w:t xml:space="preserve">Primero. </w:t>
      </w:r>
      <w:r w:rsidRPr="000A7ABC">
        <w:rPr>
          <w:rFonts w:ascii="Palatino Linotype" w:eastAsia="Palatino Linotype" w:hAnsi="Palatino Linotype" w:cs="Palatino Linotype"/>
          <w:sz w:val="22"/>
          <w:szCs w:val="22"/>
        </w:rPr>
        <w:t>Resultan</w:t>
      </w:r>
      <w:r w:rsidRPr="000A7ABC">
        <w:rPr>
          <w:rFonts w:ascii="Palatino Linotype" w:eastAsia="Palatino Linotype" w:hAnsi="Palatino Linotype" w:cs="Palatino Linotype"/>
          <w:b/>
          <w:bCs/>
          <w:sz w:val="22"/>
          <w:szCs w:val="22"/>
        </w:rPr>
        <w:t xml:space="preserve"> parcialmente fundadas</w:t>
      </w:r>
      <w:r w:rsidRPr="000A7ABC">
        <w:rPr>
          <w:rFonts w:ascii="Palatino Linotype" w:eastAsia="Palatino Linotype" w:hAnsi="Palatino Linotype" w:cs="Palatino Linotype"/>
          <w:sz w:val="22"/>
          <w:szCs w:val="22"/>
        </w:rPr>
        <w:t xml:space="preserve"> las razones o motivos de inconformidad hechos valer por la parte</w:t>
      </w:r>
      <w:r w:rsidRPr="000A7ABC">
        <w:rPr>
          <w:rFonts w:ascii="Palatino Linotype" w:eastAsia="Palatino Linotype" w:hAnsi="Palatino Linotype" w:cs="Palatino Linotype"/>
          <w:b/>
          <w:bCs/>
          <w:sz w:val="22"/>
          <w:szCs w:val="22"/>
        </w:rPr>
        <w:t xml:space="preserve"> Recurrente</w:t>
      </w:r>
      <w:r w:rsidRPr="000A7ABC">
        <w:rPr>
          <w:rFonts w:ascii="Palatino Linotype" w:eastAsia="Palatino Linotype" w:hAnsi="Palatino Linotype" w:cs="Palatino Linotype"/>
          <w:sz w:val="22"/>
          <w:szCs w:val="22"/>
        </w:rPr>
        <w:t xml:space="preserve"> en el recurso de revisión </w:t>
      </w:r>
      <w:r w:rsidRPr="000A7ABC">
        <w:rPr>
          <w:rFonts w:ascii="Palatino Linotype" w:eastAsia="Palatino Linotype" w:hAnsi="Palatino Linotype" w:cs="Palatino Linotype"/>
          <w:b/>
          <w:bCs/>
          <w:sz w:val="22"/>
          <w:szCs w:val="22"/>
        </w:rPr>
        <w:t>11754/INFOEM/IP/RR/2025</w:t>
      </w:r>
      <w:r w:rsidRPr="000A7ABC">
        <w:rPr>
          <w:rFonts w:ascii="Palatino Linotype" w:eastAsia="Palatino Linotype" w:hAnsi="Palatino Linotype" w:cs="Palatino Linotype"/>
          <w:sz w:val="22"/>
          <w:szCs w:val="22"/>
        </w:rPr>
        <w:t xml:space="preserve">; por lo que, en términos del </w:t>
      </w:r>
      <w:r w:rsidRPr="000A7ABC">
        <w:rPr>
          <w:rFonts w:ascii="Palatino Linotype" w:eastAsia="Palatino Linotype" w:hAnsi="Palatino Linotype" w:cs="Palatino Linotype"/>
          <w:b/>
          <w:bCs/>
          <w:sz w:val="22"/>
          <w:szCs w:val="22"/>
        </w:rPr>
        <w:t>Considerando</w:t>
      </w:r>
      <w:r w:rsidRPr="000A7ABC">
        <w:rPr>
          <w:rFonts w:ascii="Palatino Linotype" w:eastAsia="Palatino Linotype" w:hAnsi="Palatino Linotype" w:cs="Palatino Linotype"/>
          <w:sz w:val="22"/>
          <w:szCs w:val="22"/>
        </w:rPr>
        <w:t xml:space="preserve"> </w:t>
      </w:r>
      <w:r w:rsidRPr="000A7ABC">
        <w:rPr>
          <w:rFonts w:ascii="Palatino Linotype" w:eastAsia="Palatino Linotype" w:hAnsi="Palatino Linotype" w:cs="Palatino Linotype"/>
          <w:b/>
          <w:bCs/>
          <w:sz w:val="22"/>
          <w:szCs w:val="22"/>
        </w:rPr>
        <w:t xml:space="preserve">Cuarto </w:t>
      </w:r>
      <w:r w:rsidRPr="000A7ABC">
        <w:rPr>
          <w:rFonts w:ascii="Palatino Linotype" w:eastAsia="Palatino Linotype" w:hAnsi="Palatino Linotype" w:cs="Palatino Linotype"/>
          <w:sz w:val="22"/>
          <w:szCs w:val="22"/>
        </w:rPr>
        <w:t xml:space="preserve">de esta resolución, se </w:t>
      </w:r>
      <w:r w:rsidRPr="000A7ABC">
        <w:rPr>
          <w:rFonts w:ascii="Palatino Linotype" w:eastAsia="Palatino Linotype" w:hAnsi="Palatino Linotype" w:cs="Palatino Linotype"/>
          <w:b/>
          <w:bCs/>
          <w:sz w:val="22"/>
          <w:szCs w:val="22"/>
        </w:rPr>
        <w:t xml:space="preserve">Revoca </w:t>
      </w:r>
      <w:r w:rsidRPr="000A7ABC">
        <w:rPr>
          <w:rFonts w:ascii="Palatino Linotype" w:eastAsia="Palatino Linotype" w:hAnsi="Palatino Linotype" w:cs="Palatino Linotype"/>
          <w:sz w:val="22"/>
          <w:szCs w:val="22"/>
        </w:rPr>
        <w:t xml:space="preserve">la respuesta emitida por el </w:t>
      </w:r>
      <w:r w:rsidRPr="000A7ABC">
        <w:rPr>
          <w:rFonts w:ascii="Palatino Linotype" w:eastAsia="Palatino Linotype" w:hAnsi="Palatino Linotype" w:cs="Palatino Linotype"/>
          <w:b/>
          <w:bCs/>
          <w:sz w:val="22"/>
          <w:szCs w:val="22"/>
        </w:rPr>
        <w:t xml:space="preserve">Sujeto Obligado. </w:t>
      </w:r>
    </w:p>
    <w:p w14:paraId="2D81D704"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Segundo. </w:t>
      </w:r>
      <w:r w:rsidRPr="000A7ABC">
        <w:rPr>
          <w:rFonts w:ascii="Palatino Linotype" w:eastAsia="Palatino Linotype" w:hAnsi="Palatino Linotype" w:cs="Palatino Linotype"/>
          <w:sz w:val="22"/>
          <w:szCs w:val="22"/>
        </w:rPr>
        <w:t xml:space="preserve">Se </w:t>
      </w:r>
      <w:r w:rsidRPr="000A7ABC">
        <w:rPr>
          <w:rFonts w:ascii="Palatino Linotype" w:eastAsia="Palatino Linotype" w:hAnsi="Palatino Linotype" w:cs="Palatino Linotype"/>
          <w:b/>
          <w:bCs/>
          <w:sz w:val="22"/>
          <w:szCs w:val="22"/>
        </w:rPr>
        <w:t>Ordena</w:t>
      </w:r>
      <w:r w:rsidRPr="000A7ABC">
        <w:rPr>
          <w:rFonts w:ascii="Palatino Linotype" w:eastAsia="Palatino Linotype" w:hAnsi="Palatino Linotype" w:cs="Palatino Linotype"/>
          <w:sz w:val="22"/>
          <w:szCs w:val="22"/>
        </w:rPr>
        <w:t xml:space="preserve"> al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en términos de los Considerandos </w:t>
      </w:r>
      <w:r w:rsidRPr="000A7ABC">
        <w:rPr>
          <w:rFonts w:ascii="Palatino Linotype" w:eastAsia="Palatino Linotype" w:hAnsi="Palatino Linotype" w:cs="Palatino Linotype"/>
          <w:b/>
          <w:bCs/>
          <w:sz w:val="22"/>
          <w:szCs w:val="22"/>
        </w:rPr>
        <w:t xml:space="preserve">Cuarto </w:t>
      </w:r>
      <w:r w:rsidRPr="000A7ABC">
        <w:rPr>
          <w:rFonts w:ascii="Palatino Linotype" w:eastAsia="Palatino Linotype" w:hAnsi="Palatino Linotype" w:cs="Palatino Linotype"/>
          <w:sz w:val="22"/>
          <w:szCs w:val="22"/>
        </w:rPr>
        <w:t xml:space="preserve">y </w:t>
      </w:r>
      <w:r w:rsidRPr="000A7ABC">
        <w:rPr>
          <w:rFonts w:ascii="Palatino Linotype" w:eastAsia="Palatino Linotype" w:hAnsi="Palatino Linotype" w:cs="Palatino Linotype"/>
          <w:b/>
          <w:bCs/>
          <w:sz w:val="22"/>
          <w:szCs w:val="22"/>
        </w:rPr>
        <w:t xml:space="preserve">Quinto </w:t>
      </w:r>
      <w:r w:rsidRPr="000A7ABC">
        <w:rPr>
          <w:rFonts w:ascii="Palatino Linotype" w:eastAsia="Palatino Linotype" w:hAnsi="Palatino Linotype" w:cs="Palatino Linotype"/>
          <w:sz w:val="22"/>
          <w:szCs w:val="22"/>
        </w:rPr>
        <w:t xml:space="preserve">de esta resolución, haga entrega, vía </w:t>
      </w:r>
      <w:r w:rsidRPr="000A7ABC">
        <w:rPr>
          <w:rFonts w:ascii="Palatino Linotype" w:eastAsia="Palatino Linotype" w:hAnsi="Palatino Linotype" w:cs="Palatino Linotype"/>
          <w:b/>
          <w:bCs/>
          <w:sz w:val="22"/>
          <w:szCs w:val="22"/>
        </w:rPr>
        <w:t>SAIMEX</w:t>
      </w:r>
      <w:r w:rsidRPr="000A7ABC">
        <w:rPr>
          <w:rFonts w:ascii="Palatino Linotype" w:eastAsia="Palatino Linotype" w:hAnsi="Palatino Linotype" w:cs="Palatino Linotype"/>
          <w:sz w:val="22"/>
          <w:szCs w:val="22"/>
        </w:rPr>
        <w:t>, en versión pública, de lo siguiente:</w:t>
      </w:r>
    </w:p>
    <w:p w14:paraId="6922884C" w14:textId="77777777" w:rsidR="00AC55F7" w:rsidRPr="000A7ABC" w:rsidRDefault="006C736C">
      <w:pPr>
        <w:spacing w:before="240" w:after="240" w:line="360" w:lineRule="auto"/>
        <w:ind w:left="284"/>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De los servidores públicos de la Dirección General de Administración:</w:t>
      </w:r>
    </w:p>
    <w:p w14:paraId="6CD3AF43" w14:textId="77777777" w:rsidR="00AC55F7" w:rsidRPr="000A7ABC" w:rsidRDefault="006C736C">
      <w:pPr>
        <w:pBdr>
          <w:top w:val="nil"/>
          <w:left w:val="nil"/>
          <w:bottom w:val="nil"/>
          <w:right w:val="nil"/>
          <w:between w:val="nil"/>
        </w:pBdr>
        <w:spacing w:before="240" w:after="240" w:line="360" w:lineRule="auto"/>
        <w:ind w:left="284" w:right="-91"/>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1. Recibos de nómina de la segunda quincena de agosto y la primera quincena de septiembre de dos mil veinticinco.</w:t>
      </w:r>
    </w:p>
    <w:p w14:paraId="0FF78D83" w14:textId="77777777" w:rsidR="00AC55F7" w:rsidRPr="000A7ABC" w:rsidRDefault="006C736C">
      <w:pPr>
        <w:spacing w:before="120" w:after="120"/>
        <w:ind w:left="284"/>
        <w:jc w:val="both"/>
        <w:rPr>
          <w:rFonts w:ascii="Palatino Linotype" w:eastAsia="Palatino Linotype" w:hAnsi="Palatino Linotype" w:cs="Palatino Linotype"/>
          <w:i/>
          <w:iCs/>
          <w:sz w:val="20"/>
          <w:szCs w:val="22"/>
        </w:rPr>
      </w:pPr>
      <w:r w:rsidRPr="000A7ABC">
        <w:rPr>
          <w:rFonts w:ascii="Palatino Linotype" w:eastAsia="Palatino Linotype" w:hAnsi="Palatino Linotype" w:cs="Palatino Linotype"/>
          <w:i/>
          <w:iCs/>
          <w:sz w:val="20"/>
          <w:szCs w:val="22"/>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26FC8AEC"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b/>
          <w:bCs/>
          <w:sz w:val="22"/>
          <w:szCs w:val="22"/>
        </w:rPr>
        <w:t xml:space="preserve">Tercero. Notifíquese, </w:t>
      </w:r>
      <w:r w:rsidRPr="000A7ABC">
        <w:rPr>
          <w:rFonts w:ascii="Palatino Linotype" w:eastAsia="Palatino Linotype" w:hAnsi="Palatino Linotype" w:cs="Palatino Linotype"/>
          <w:sz w:val="22"/>
          <w:szCs w:val="22"/>
        </w:rPr>
        <w:t xml:space="preserve">vía </w:t>
      </w:r>
      <w:r w:rsidRPr="000A7ABC">
        <w:rPr>
          <w:rFonts w:ascii="Palatino Linotype" w:eastAsia="Palatino Linotype" w:hAnsi="Palatino Linotype" w:cs="Palatino Linotype"/>
          <w:b/>
          <w:bCs/>
          <w:sz w:val="22"/>
          <w:szCs w:val="22"/>
        </w:rPr>
        <w:t>SAIMEX</w:t>
      </w:r>
      <w:r w:rsidRPr="000A7ABC">
        <w:rPr>
          <w:rFonts w:ascii="Palatino Linotype" w:eastAsia="Palatino Linotype" w:hAnsi="Palatino Linotype" w:cs="Palatino Linotype"/>
          <w:sz w:val="22"/>
          <w:szCs w:val="22"/>
        </w:rPr>
        <w:t xml:space="preserve">, al Titular de la Unidad de Transparencia del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6A3948" w14:textId="77777777" w:rsidR="00AC55F7" w:rsidRPr="000A7ABC" w:rsidRDefault="006C736C">
      <w:pPr>
        <w:spacing w:before="240" w:after="240" w:line="360" w:lineRule="auto"/>
        <w:jc w:val="both"/>
        <w:rPr>
          <w:rFonts w:ascii="Palatino Linotype" w:eastAsia="Palatino Linotype" w:hAnsi="Palatino Linotype" w:cs="Palatino Linotype"/>
          <w:sz w:val="22"/>
          <w:szCs w:val="22"/>
        </w:rPr>
      </w:pPr>
      <w:r w:rsidRPr="000A7AB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0A7ABC">
        <w:rPr>
          <w:rFonts w:ascii="Palatino Linotype" w:eastAsia="Palatino Linotype" w:hAnsi="Palatino Linotype" w:cs="Palatino Linotype"/>
          <w:b/>
          <w:bCs/>
          <w:sz w:val="22"/>
          <w:szCs w:val="22"/>
        </w:rPr>
        <w:t>Sujeto Obligado</w:t>
      </w:r>
      <w:r w:rsidRPr="000A7AB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32445D1" w14:textId="308688CF" w:rsidR="00AC55F7" w:rsidRPr="000A7ABC" w:rsidRDefault="006C736C">
      <w:pPr>
        <w:spacing w:before="240" w:after="240" w:line="360" w:lineRule="auto"/>
        <w:jc w:val="both"/>
        <w:rPr>
          <w:rFonts w:ascii="Palatino Linotype" w:eastAsia="Palatino Linotype" w:hAnsi="Palatino Linotype" w:cs="Palatino Linotype"/>
          <w:sz w:val="22"/>
          <w:szCs w:val="22"/>
        </w:rPr>
      </w:pPr>
      <w:bookmarkStart w:id="13" w:name="_heading=h.17dp8vu" w:colFirst="0" w:colLast="0"/>
      <w:bookmarkEnd w:id="13"/>
      <w:r w:rsidRPr="000A7ABC">
        <w:rPr>
          <w:rFonts w:ascii="Palatino Linotype" w:eastAsia="Palatino Linotype" w:hAnsi="Palatino Linotype" w:cs="Palatino Linotype"/>
          <w:b/>
          <w:bCs/>
          <w:sz w:val="22"/>
          <w:szCs w:val="22"/>
        </w:rPr>
        <w:t xml:space="preserve">Cuarto.  Notifíquese, </w:t>
      </w:r>
      <w:r w:rsidRPr="000A7ABC">
        <w:rPr>
          <w:rFonts w:ascii="Palatino Linotype" w:eastAsia="Palatino Linotype" w:hAnsi="Palatino Linotype" w:cs="Palatino Linotype"/>
          <w:sz w:val="22"/>
          <w:szCs w:val="22"/>
        </w:rPr>
        <w:t xml:space="preserve">vía </w:t>
      </w:r>
      <w:r w:rsidRPr="000A7ABC">
        <w:rPr>
          <w:rFonts w:ascii="Palatino Linotype" w:eastAsia="Palatino Linotype" w:hAnsi="Palatino Linotype" w:cs="Palatino Linotype"/>
          <w:b/>
          <w:bCs/>
          <w:sz w:val="22"/>
          <w:szCs w:val="22"/>
        </w:rPr>
        <w:t>SAIMEX</w:t>
      </w:r>
      <w:r w:rsidRPr="000A7ABC">
        <w:rPr>
          <w:rFonts w:ascii="Palatino Linotype" w:eastAsia="Palatino Linotype" w:hAnsi="Palatino Linotype" w:cs="Palatino Linotype"/>
          <w:sz w:val="22"/>
          <w:szCs w:val="22"/>
        </w:rPr>
        <w:t xml:space="preserve">, a la parte </w:t>
      </w:r>
      <w:r w:rsidRPr="000A7ABC">
        <w:rPr>
          <w:rFonts w:ascii="Palatino Linotype" w:eastAsia="Palatino Linotype" w:hAnsi="Palatino Linotype" w:cs="Palatino Linotype"/>
          <w:b/>
          <w:bCs/>
          <w:sz w:val="22"/>
          <w:szCs w:val="22"/>
        </w:rPr>
        <w:t>Recurrente</w:t>
      </w:r>
      <w:r w:rsidRPr="000A7AB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43B440B" w14:textId="60AE217A" w:rsidR="0075019B" w:rsidRPr="000A7ABC" w:rsidRDefault="0075019B">
      <w:pPr>
        <w:spacing w:before="240" w:after="240" w:line="360" w:lineRule="auto"/>
        <w:jc w:val="both"/>
        <w:rPr>
          <w:rFonts w:ascii="Palatino Linotype" w:eastAsia="Palatino Linotype" w:hAnsi="Palatino Linotype" w:cs="Palatino Linotype"/>
          <w:sz w:val="22"/>
          <w:szCs w:val="22"/>
        </w:rPr>
      </w:pPr>
    </w:p>
    <w:p w14:paraId="4197216B" w14:textId="77777777" w:rsidR="00AC55F7" w:rsidRPr="0075019B" w:rsidRDefault="006C736C">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4" w:name="_heading=h.lnxbz9" w:colFirst="0" w:colLast="0"/>
      <w:bookmarkEnd w:id="14"/>
      <w:r w:rsidRPr="000A7AB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VEINTICINCO DE NOVIEMBRE DE DOS MIL VEINTICINCO, ANTE EL SECRETARIO TÉCNICO DEL PLENO ALEXIS TAPIA RAMÍREZ.</w:t>
      </w:r>
    </w:p>
    <w:p w14:paraId="5DE9CC14"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6D46FCAC" w14:textId="77777777" w:rsidR="00AC55F7" w:rsidRPr="0075019B" w:rsidRDefault="00AC55F7">
      <w:pPr>
        <w:spacing w:line="360" w:lineRule="auto"/>
        <w:jc w:val="center"/>
        <w:rPr>
          <w:rFonts w:ascii="Palatino Linotype" w:eastAsia="Palatino Linotype" w:hAnsi="Palatino Linotype" w:cs="Palatino Linotype"/>
          <w:sz w:val="22"/>
          <w:szCs w:val="22"/>
        </w:rPr>
      </w:pPr>
    </w:p>
    <w:p w14:paraId="5758316B"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6D6CB51A"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7E6CA179"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287BA90D"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2B112892"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4C4E4281"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715A240E"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2A261B15"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12E9C0FC"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2C9D3A8C"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26DBCCC6"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594B9F72"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4530B83F"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79192EF0"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562A9629"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3ACF8F2B"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47B42A28"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65C20996" w14:textId="77777777" w:rsidR="00AC55F7" w:rsidRPr="0075019B" w:rsidRDefault="00AC55F7">
      <w:pPr>
        <w:spacing w:line="360" w:lineRule="auto"/>
        <w:jc w:val="both"/>
        <w:rPr>
          <w:rFonts w:ascii="Palatino Linotype" w:eastAsia="Palatino Linotype" w:hAnsi="Palatino Linotype" w:cs="Palatino Linotype"/>
          <w:sz w:val="22"/>
          <w:szCs w:val="22"/>
        </w:rPr>
      </w:pPr>
    </w:p>
    <w:p w14:paraId="5FF69D27" w14:textId="77777777" w:rsidR="00AC55F7" w:rsidRPr="0075019B" w:rsidRDefault="00AC55F7">
      <w:pPr>
        <w:spacing w:line="360" w:lineRule="auto"/>
        <w:jc w:val="both"/>
        <w:rPr>
          <w:rFonts w:ascii="Palatino Linotype" w:eastAsia="Palatino Linotype" w:hAnsi="Palatino Linotype" w:cs="Palatino Linotype"/>
          <w:sz w:val="22"/>
          <w:szCs w:val="22"/>
        </w:rPr>
      </w:pPr>
    </w:p>
    <w:sectPr w:rsidR="00AC55F7" w:rsidRPr="0075019B">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856E3" w14:textId="77777777" w:rsidR="000242DB" w:rsidRDefault="000242DB">
      <w:r>
        <w:separator/>
      </w:r>
    </w:p>
  </w:endnote>
  <w:endnote w:type="continuationSeparator" w:id="0">
    <w:p w14:paraId="5BFEFCB1" w14:textId="77777777" w:rsidR="000242DB" w:rsidRDefault="0002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AE6C19-1458-45B2-ABD5-001866FCD725}"/>
    <w:embedBold r:id="rId2" w:fontKey="{B74DD043-EC1F-4A4A-9090-3F645A0ED89E}"/>
  </w:font>
  <w:font w:name="Cambria">
    <w:panose1 w:val="02040503050406030204"/>
    <w:charset w:val="00"/>
    <w:family w:val="roman"/>
    <w:pitch w:val="variable"/>
    <w:sig w:usb0="E00006FF" w:usb1="420024FF" w:usb2="02000000" w:usb3="00000000" w:csb0="0000019F" w:csb1="00000000"/>
    <w:embedRegular r:id="rId3" w:fontKey="{23C1510B-FB2C-45E0-B032-7895CAE86503}"/>
    <w:embedBold r:id="rId4" w:fontKey="{7416FEEB-AF93-4DFC-8C2F-37F14B517EDB}"/>
    <w:embedBoldItalic r:id="rId5" w:fontKey="{8D066629-382C-4733-B47A-B144D4FD163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716A14B-9BC6-4637-A2F5-74175C5CB1F6}"/>
  </w:font>
  <w:font w:name="Georgia">
    <w:panose1 w:val="02040502050405020303"/>
    <w:charset w:val="00"/>
    <w:family w:val="roman"/>
    <w:pitch w:val="variable"/>
    <w:sig w:usb0="00000287" w:usb1="00000000" w:usb2="00000000" w:usb3="00000000" w:csb0="0000009F" w:csb1="00000000"/>
    <w:embedItalic r:id="rId7" w:fontKey="{0B0DFA16-BB98-4EAA-818A-26B18193A3C5}"/>
  </w:font>
  <w:font w:name="Palatino Linotype">
    <w:panose1 w:val="02040502050505030304"/>
    <w:charset w:val="00"/>
    <w:family w:val="roman"/>
    <w:pitch w:val="variable"/>
    <w:sig w:usb0="E0000287" w:usb1="40000013" w:usb2="00000000" w:usb3="00000000" w:csb0="0000019F" w:csb1="00000000"/>
    <w:embedRegular r:id="rId8" w:fontKey="{2AFF2E4D-4098-4E2D-A10F-0CE934779EB8}"/>
    <w:embedBold r:id="rId9" w:fontKey="{9353F3C3-D395-411B-91B3-90807E4B7324}"/>
    <w:embedItalic r:id="rId10" w:fontKey="{C731A913-87C3-41E2-B8E2-8941BF51324A}"/>
    <w:embedBoldItalic r:id="rId11" w:fontKey="{DCFAD888-6C0A-499E-8EA0-F6BC60FC83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5DF4" w14:textId="2326F16B" w:rsidR="00AC55F7" w:rsidRDefault="006C73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219FC">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219FC">
      <w:rPr>
        <w:rFonts w:ascii="Palatino Linotype" w:eastAsia="Palatino Linotype" w:hAnsi="Palatino Linotype" w:cs="Palatino Linotype"/>
        <w:b/>
        <w:bCs/>
        <w:noProof/>
        <w:color w:val="000000"/>
        <w:sz w:val="20"/>
        <w:szCs w:val="20"/>
      </w:rPr>
      <w:t>39</w:t>
    </w:r>
    <w:r>
      <w:rPr>
        <w:rFonts w:ascii="Palatino Linotype" w:eastAsia="Palatino Linotype" w:hAnsi="Palatino Linotype" w:cs="Palatino Linotype"/>
        <w:b/>
        <w:bCs/>
        <w:color w:val="000000"/>
        <w:sz w:val="20"/>
        <w:szCs w:val="20"/>
      </w:rPr>
      <w:fldChar w:fldCharType="end"/>
    </w:r>
  </w:p>
  <w:p w14:paraId="468B1CED" w14:textId="77777777" w:rsidR="00AC55F7" w:rsidRDefault="00AC55F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BBEA" w14:textId="5D194428" w:rsidR="00AC55F7" w:rsidRDefault="006C73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219FC">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219FC">
      <w:rPr>
        <w:rFonts w:ascii="Palatino Linotype" w:eastAsia="Palatino Linotype" w:hAnsi="Palatino Linotype" w:cs="Palatino Linotype"/>
        <w:b/>
        <w:bCs/>
        <w:noProof/>
        <w:color w:val="000000"/>
        <w:sz w:val="20"/>
        <w:szCs w:val="20"/>
      </w:rPr>
      <w:t>39</w:t>
    </w:r>
    <w:r>
      <w:rPr>
        <w:rFonts w:ascii="Palatino Linotype" w:eastAsia="Palatino Linotype" w:hAnsi="Palatino Linotype" w:cs="Palatino Linotype"/>
        <w:b/>
        <w:bCs/>
        <w:color w:val="000000"/>
        <w:sz w:val="20"/>
        <w:szCs w:val="20"/>
      </w:rPr>
      <w:fldChar w:fldCharType="end"/>
    </w:r>
  </w:p>
  <w:p w14:paraId="681EF3B2" w14:textId="77777777" w:rsidR="00AC55F7" w:rsidRDefault="00AC55F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39D48" w14:textId="77777777" w:rsidR="000242DB" w:rsidRDefault="000242DB">
      <w:r>
        <w:separator/>
      </w:r>
    </w:p>
  </w:footnote>
  <w:footnote w:type="continuationSeparator" w:id="0">
    <w:p w14:paraId="6ED76A45" w14:textId="77777777" w:rsidR="000242DB" w:rsidRDefault="000242DB">
      <w:r>
        <w:continuationSeparator/>
      </w:r>
    </w:p>
  </w:footnote>
  <w:footnote w:id="1">
    <w:p w14:paraId="3F54ED8C" w14:textId="77777777" w:rsidR="00AC55F7" w:rsidRDefault="006C736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6E41C" w14:textId="77777777" w:rsidR="00AC55F7" w:rsidRDefault="006C736C">
    <w:pPr>
      <w:rPr>
        <w:rFonts w:ascii="Cambria" w:eastAsia="Cambria" w:hAnsi="Cambria" w:cs="Cambria"/>
        <w:color w:val="000000"/>
      </w:rPr>
    </w:pPr>
    <w:r>
      <w:rPr>
        <w:noProof/>
      </w:rPr>
      <w:drawing>
        <wp:anchor distT="0" distB="0" distL="0" distR="0" simplePos="0" relativeHeight="251658240" behindDoc="1" locked="0" layoutInCell="1" hidden="0" allowOverlap="1" wp14:anchorId="24AC1ACB" wp14:editId="798CB629">
          <wp:simplePos x="0" y="0"/>
          <wp:positionH relativeFrom="column">
            <wp:posOffset>-1080089</wp:posOffset>
          </wp:positionH>
          <wp:positionV relativeFrom="paragraph">
            <wp:posOffset>-488259</wp:posOffset>
          </wp:positionV>
          <wp:extent cx="7809865" cy="10165715"/>
          <wp:effectExtent l="0" t="0" r="0" b="0"/>
          <wp:wrapNone/>
          <wp:docPr id="1952082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953" w:type="dxa"/>
      <w:tblInd w:w="3261" w:type="dxa"/>
      <w:tblLayout w:type="fixed"/>
      <w:tblLook w:val="0400" w:firstRow="0" w:lastRow="0" w:firstColumn="0" w:lastColumn="0" w:noHBand="0" w:noVBand="1"/>
    </w:tblPr>
    <w:tblGrid>
      <w:gridCol w:w="2489"/>
      <w:gridCol w:w="3464"/>
    </w:tblGrid>
    <w:tr w:rsidR="00AC55F7" w14:paraId="2078B6E5" w14:textId="77777777">
      <w:tc>
        <w:tcPr>
          <w:tcW w:w="2489" w:type="dxa"/>
        </w:tcPr>
        <w:p w14:paraId="1539F824" w14:textId="77777777" w:rsidR="00AC55F7" w:rsidRDefault="006C736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BF13B31" w14:textId="77777777" w:rsidR="00AC55F7" w:rsidRDefault="006C736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11754/INFOEM/IP/RR/2025</w:t>
          </w:r>
        </w:p>
      </w:tc>
    </w:tr>
    <w:tr w:rsidR="00AC55F7" w14:paraId="20BD8B07" w14:textId="77777777">
      <w:trPr>
        <w:trHeight w:val="228"/>
      </w:trPr>
      <w:tc>
        <w:tcPr>
          <w:tcW w:w="2489" w:type="dxa"/>
          <w:vAlign w:val="center"/>
        </w:tcPr>
        <w:p w14:paraId="520D3ED7" w14:textId="77777777" w:rsidR="00AC55F7" w:rsidRDefault="006C736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61309B2A" w14:textId="77777777" w:rsidR="00AC55F7" w:rsidRDefault="006C736C">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AC55F7" w14:paraId="4A66E622" w14:textId="77777777">
      <w:tc>
        <w:tcPr>
          <w:tcW w:w="2489" w:type="dxa"/>
          <w:vAlign w:val="center"/>
        </w:tcPr>
        <w:p w14:paraId="228B4D2F" w14:textId="77777777" w:rsidR="00AC55F7" w:rsidRDefault="006C736C">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551CBC0B" w14:textId="77777777" w:rsidR="00AC55F7" w:rsidRDefault="006C736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8979505" w14:textId="77777777" w:rsidR="00AC55F7" w:rsidRDefault="006C736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C465C" w14:textId="77777777" w:rsidR="00AC55F7" w:rsidRDefault="006C73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63529A0" wp14:editId="608A93CC">
          <wp:simplePos x="0" y="0"/>
          <wp:positionH relativeFrom="column">
            <wp:posOffset>-1080134</wp:posOffset>
          </wp:positionH>
          <wp:positionV relativeFrom="paragraph">
            <wp:posOffset>-369890</wp:posOffset>
          </wp:positionV>
          <wp:extent cx="7809865" cy="10165715"/>
          <wp:effectExtent l="0" t="0" r="0" b="0"/>
          <wp:wrapNone/>
          <wp:docPr id="19520825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AC55F7" w14:paraId="7E664709" w14:textId="77777777">
      <w:tc>
        <w:tcPr>
          <w:tcW w:w="2489" w:type="dxa"/>
        </w:tcPr>
        <w:p w14:paraId="48C407F8" w14:textId="77777777" w:rsidR="00AC55F7" w:rsidRDefault="006C736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2372990D" w14:textId="77777777" w:rsidR="00AC55F7" w:rsidRDefault="006C736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11754/INFOEM/IP/RR/2025</w:t>
          </w:r>
        </w:p>
      </w:tc>
    </w:tr>
    <w:tr w:rsidR="00AC55F7" w14:paraId="648EBBA2" w14:textId="77777777">
      <w:tc>
        <w:tcPr>
          <w:tcW w:w="2489" w:type="dxa"/>
        </w:tcPr>
        <w:p w14:paraId="34C010C4" w14:textId="77777777" w:rsidR="00AC55F7" w:rsidRDefault="006C736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475009A4" w14:textId="1A4D369F" w:rsidR="00AC55F7" w:rsidRDefault="004219FC" w:rsidP="004219FC">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XXXXXXX XXXXXXXX XXXX </w:t>
          </w:r>
        </w:p>
      </w:tc>
    </w:tr>
    <w:tr w:rsidR="00AC55F7" w14:paraId="7035D8A1" w14:textId="77777777">
      <w:trPr>
        <w:trHeight w:val="228"/>
      </w:trPr>
      <w:tc>
        <w:tcPr>
          <w:tcW w:w="2489" w:type="dxa"/>
          <w:vAlign w:val="center"/>
        </w:tcPr>
        <w:p w14:paraId="52C114A3" w14:textId="77777777" w:rsidR="00AC55F7" w:rsidRDefault="006C736C">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54418270" w14:textId="77777777" w:rsidR="00AC55F7" w:rsidRDefault="006C736C">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AC55F7" w14:paraId="074E7770" w14:textId="77777777">
      <w:tc>
        <w:tcPr>
          <w:tcW w:w="2489" w:type="dxa"/>
          <w:vAlign w:val="center"/>
        </w:tcPr>
        <w:p w14:paraId="5CC47F70" w14:textId="77777777" w:rsidR="00AC55F7" w:rsidRDefault="006C736C">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959DBB4" w14:textId="77777777" w:rsidR="00AC55F7" w:rsidRDefault="006C736C">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848BEA7" w14:textId="77777777" w:rsidR="00AC55F7" w:rsidRDefault="00AC55F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E1369"/>
    <w:multiLevelType w:val="multilevel"/>
    <w:tmpl w:val="C5E691B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F7"/>
    <w:rsid w:val="000152B4"/>
    <w:rsid w:val="000242DB"/>
    <w:rsid w:val="000A7ABC"/>
    <w:rsid w:val="004219FC"/>
    <w:rsid w:val="006C736C"/>
    <w:rsid w:val="0075019B"/>
    <w:rsid w:val="007E5767"/>
    <w:rsid w:val="00945975"/>
    <w:rsid w:val="00AC55F7"/>
    <w:rsid w:val="00D91B79"/>
    <w:rsid w:val="00F25B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F6A54"/>
  <w15:docId w15:val="{39EC1674-FFDB-4F21-998F-BAE62223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0"/>
    <w:tblPr>
      <w:tblStyleRowBandSize w:val="1"/>
      <w:tblStyleColBandSize w:val="1"/>
      <w:tblCellMar>
        <w:left w:w="108" w:type="dxa"/>
        <w:right w:w="108" w:type="dxa"/>
      </w:tblCellMar>
    </w:tblPr>
  </w:style>
  <w:style w:type="table" w:customStyle="1" w:styleId="33">
    <w:name w:val="33"/>
    <w:basedOn w:val="TableNormal40"/>
    <w:tblPr>
      <w:tblStyleRowBandSize w:val="1"/>
      <w:tblStyleColBandSize w:val="1"/>
      <w:tblCellMar>
        <w:left w:w="115" w:type="dxa"/>
        <w:right w:w="115" w:type="dxa"/>
      </w:tblCellMar>
    </w:tblPr>
  </w:style>
  <w:style w:type="table" w:customStyle="1" w:styleId="32">
    <w:name w:val="32"/>
    <w:basedOn w:val="TableNormal40"/>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SttmQmaxTd8jlw12NjIsNev+tA==">CgMxLjAyDmguZGFqM2oyeG82cTY2MghoLmdqZGd4czIJaC4zZHk2dmttMgloLjMwajB6bGwyCWguMnM4ZXlvMTIIaC50eWpjd3QyCWguMmV0OTJwMDINaC4xcDRseXJuN3BpMjIJaC4zNW5rdW4yMgloLjFrc3Y0dXYyDmguNnp4cmF4YjQ0cTN2MgloLjI2aW4xcmcyCWguMTdkcDh2dTIIaC5sbnhiejk4AHIhMTZFdWh4SkMwU1dnT1h3RjIzZ0dvWkd2dlRTZWs3aFZN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10474</Words>
  <Characters>57607</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2025-11-27T18:44:00Z</cp:lastPrinted>
  <dcterms:created xsi:type="dcterms:W3CDTF">2025-12-15T03:04:00Z</dcterms:created>
  <dcterms:modified xsi:type="dcterms:W3CDTF">2025-12-15T03:04:00Z</dcterms:modified>
</cp:coreProperties>
</file>