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doce de noviembre de dos mil veinticinco. </w:t>
      </w:r>
    </w:p>
    <w:p w:rsidR="00D83B85" w:rsidRPr="00A44912" w:rsidRDefault="00052DD8">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A44912">
        <w:rPr>
          <w:rFonts w:ascii="Palatino Linotype" w:eastAsia="Palatino Linotype" w:hAnsi="Palatino Linotype" w:cs="Palatino Linotype"/>
          <w:b/>
          <w:sz w:val="22"/>
          <w:szCs w:val="22"/>
        </w:rPr>
        <w:t>VISTO</w:t>
      </w:r>
      <w:r w:rsidRPr="00A44912">
        <w:rPr>
          <w:rFonts w:ascii="Palatino Linotype" w:eastAsia="Palatino Linotype" w:hAnsi="Palatino Linotype" w:cs="Palatino Linotype"/>
          <w:sz w:val="22"/>
          <w:szCs w:val="22"/>
        </w:rPr>
        <w:t xml:space="preserve"> el expediente formado con motivo del recurso de revisión </w:t>
      </w:r>
      <w:r w:rsidRPr="00A44912">
        <w:rPr>
          <w:rFonts w:ascii="Palatino Linotype" w:eastAsia="Palatino Linotype" w:hAnsi="Palatino Linotype" w:cs="Palatino Linotype"/>
          <w:b/>
          <w:sz w:val="22"/>
          <w:szCs w:val="22"/>
        </w:rPr>
        <w:t>07684/INFOEM/IP/RR/2025</w:t>
      </w:r>
      <w:r w:rsidRPr="00A44912">
        <w:rPr>
          <w:rFonts w:ascii="Palatino Linotype" w:eastAsia="Palatino Linotype" w:hAnsi="Palatino Linotype" w:cs="Palatino Linotype"/>
          <w:sz w:val="22"/>
          <w:szCs w:val="22"/>
        </w:rPr>
        <w:t>, interpuesto por</w:t>
      </w:r>
      <w:r w:rsidRPr="00A44912">
        <w:rPr>
          <w:rFonts w:ascii="Palatino Linotype" w:eastAsia="Palatino Linotype" w:hAnsi="Palatino Linotype" w:cs="Palatino Linotype"/>
          <w:b/>
          <w:sz w:val="22"/>
          <w:szCs w:val="22"/>
        </w:rPr>
        <w:t xml:space="preserve"> </w:t>
      </w:r>
      <w:r w:rsidR="00E80A73" w:rsidRPr="00E80A73">
        <w:rPr>
          <w:rFonts w:ascii="Palatino Linotype" w:eastAsia="Palatino Linotype" w:hAnsi="Palatino Linotype" w:cs="Palatino Linotype"/>
          <w:b/>
          <w:sz w:val="22"/>
          <w:szCs w:val="22"/>
        </w:rPr>
        <w:t>XXXXX XXXX XXXXXX</w:t>
      </w:r>
      <w:r w:rsidRPr="00E80A73">
        <w:rPr>
          <w:rFonts w:ascii="Palatino Linotype" w:eastAsia="Palatino Linotype" w:hAnsi="Palatino Linotype" w:cs="Palatino Linotype"/>
          <w:b/>
          <w:sz w:val="22"/>
          <w:szCs w:val="22"/>
        </w:rPr>
        <w:t>,</w:t>
      </w:r>
      <w:bookmarkStart w:id="1" w:name="_GoBack"/>
      <w:bookmarkEnd w:id="1"/>
      <w:r w:rsidRPr="00A44912">
        <w:rPr>
          <w:rFonts w:ascii="Palatino Linotype" w:eastAsia="Palatino Linotype" w:hAnsi="Palatino Linotype" w:cs="Palatino Linotype"/>
          <w:sz w:val="22"/>
          <w:szCs w:val="22"/>
        </w:rPr>
        <w:t xml:space="preserve"> en lo sucesivo</w:t>
      </w:r>
      <w:r w:rsidRPr="00A44912">
        <w:rPr>
          <w:rFonts w:ascii="Palatino Linotype" w:eastAsia="Palatino Linotype" w:hAnsi="Palatino Linotype" w:cs="Palatino Linotype"/>
          <w:b/>
          <w:sz w:val="22"/>
          <w:szCs w:val="22"/>
        </w:rPr>
        <w:t xml:space="preserve"> </w:t>
      </w:r>
      <w:r w:rsidRPr="00A44912">
        <w:rPr>
          <w:rFonts w:ascii="Palatino Linotype" w:eastAsia="Palatino Linotype" w:hAnsi="Palatino Linotype" w:cs="Palatino Linotype"/>
          <w:sz w:val="22"/>
          <w:szCs w:val="22"/>
        </w:rPr>
        <w:t xml:space="preserve">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en contra de la respuesta a la solicitud de información con número de folio</w:t>
      </w:r>
      <w:r w:rsidRPr="00A44912">
        <w:rPr>
          <w:rFonts w:ascii="Palatino Linotype" w:eastAsia="Palatino Linotype" w:hAnsi="Palatino Linotype" w:cs="Palatino Linotype"/>
          <w:b/>
          <w:sz w:val="22"/>
          <w:szCs w:val="22"/>
        </w:rPr>
        <w:t xml:space="preserve"> 00340/ATIZARA/IP/2025, </w:t>
      </w:r>
      <w:r w:rsidRPr="00A44912">
        <w:rPr>
          <w:rFonts w:ascii="Palatino Linotype" w:eastAsia="Palatino Linotype" w:hAnsi="Palatino Linotype" w:cs="Palatino Linotype"/>
          <w:sz w:val="22"/>
          <w:szCs w:val="22"/>
        </w:rPr>
        <w:t xml:space="preserve">por parte del </w:t>
      </w:r>
      <w:r w:rsidRPr="00A44912">
        <w:rPr>
          <w:rFonts w:ascii="Palatino Linotype" w:eastAsia="Palatino Linotype" w:hAnsi="Palatino Linotype" w:cs="Palatino Linotype"/>
          <w:b/>
          <w:sz w:val="22"/>
          <w:szCs w:val="22"/>
        </w:rPr>
        <w:t xml:space="preserve">Ayuntamiento de Atizapán de Zaragoza, </w:t>
      </w:r>
      <w:r w:rsidRPr="00A44912">
        <w:rPr>
          <w:rFonts w:ascii="Palatino Linotype" w:eastAsia="Palatino Linotype" w:hAnsi="Palatino Linotype" w:cs="Palatino Linotype"/>
          <w:sz w:val="22"/>
          <w:szCs w:val="22"/>
        </w:rPr>
        <w:t xml:space="preserve">en lo sucesivo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se procede a dictar la presente resolución con base en los siguientes: </w:t>
      </w:r>
    </w:p>
    <w:p w:rsidR="00D83B85" w:rsidRPr="00A44912" w:rsidRDefault="00052DD8">
      <w:pPr>
        <w:spacing w:before="240" w:after="240" w:line="360" w:lineRule="auto"/>
        <w:jc w:val="center"/>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I. A N T E C E D E N T E 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A44912">
        <w:rPr>
          <w:rFonts w:ascii="Palatino Linotype" w:eastAsia="Palatino Linotype" w:hAnsi="Palatino Linotype" w:cs="Palatino Linotype"/>
          <w:b/>
          <w:sz w:val="22"/>
          <w:szCs w:val="22"/>
        </w:rPr>
        <w:t>1. Solicitud de acceso a la información.</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veintiocho de mayo de dos mil veinticinco,</w:t>
      </w:r>
      <w:r w:rsidRPr="00A44912">
        <w:rPr>
          <w:rFonts w:ascii="Palatino Linotype" w:eastAsia="Palatino Linotype" w:hAnsi="Palatino Linotype" w:cs="Palatino Linotype"/>
          <w:sz w:val="22"/>
          <w:szCs w:val="22"/>
        </w:rPr>
        <w:t xml:space="preserve">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 xml:space="preserve">presentó la solicitud de acceso a la información pública ante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a través del Sistema de Acceso a la Información Mexiquense, en lo subsecuente el </w:t>
      </w:r>
      <w:r w:rsidRPr="00A44912">
        <w:rPr>
          <w:rFonts w:ascii="Palatino Linotype" w:eastAsia="Palatino Linotype" w:hAnsi="Palatino Linotype" w:cs="Palatino Linotype"/>
          <w:b/>
          <w:sz w:val="22"/>
          <w:szCs w:val="22"/>
        </w:rPr>
        <w:t>SAIMEX,</w:t>
      </w:r>
      <w:r w:rsidRPr="00A44912">
        <w:rPr>
          <w:rFonts w:ascii="Palatino Linotype" w:eastAsia="Palatino Linotype" w:hAnsi="Palatino Linotype" w:cs="Palatino Linotype"/>
          <w:sz w:val="22"/>
          <w:szCs w:val="22"/>
        </w:rPr>
        <w:t xml:space="preserve"> mediante la cual requirió lo siguiente:</w:t>
      </w:r>
    </w:p>
    <w:p w:rsidR="00D83B85" w:rsidRPr="00A44912" w:rsidRDefault="00052DD8">
      <w:pPr>
        <w:spacing w:before="120" w:after="120"/>
        <w:ind w:left="851" w:right="902"/>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i/>
          <w:sz w:val="22"/>
          <w:szCs w:val="22"/>
        </w:rPr>
        <w:t xml:space="preserve"> “Expediente laboral completo los integrantes de estructura </w:t>
      </w:r>
      <w:proofErr w:type="spellStart"/>
      <w:r w:rsidRPr="00A44912">
        <w:rPr>
          <w:rFonts w:ascii="Palatino Linotype" w:eastAsia="Palatino Linotype" w:hAnsi="Palatino Linotype" w:cs="Palatino Linotype"/>
          <w:i/>
          <w:sz w:val="22"/>
          <w:szCs w:val="22"/>
        </w:rPr>
        <w:t>organica</w:t>
      </w:r>
      <w:proofErr w:type="spellEnd"/>
      <w:r w:rsidRPr="00A44912">
        <w:rPr>
          <w:rFonts w:ascii="Palatino Linotype" w:eastAsia="Palatino Linotype" w:hAnsi="Palatino Linotype" w:cs="Palatino Linotype"/>
          <w:i/>
          <w:sz w:val="22"/>
          <w:szCs w:val="22"/>
        </w:rPr>
        <w:t xml:space="preserve"> pertenecientes a las Direcciones de Oficina de Presidencia, Administración, Servicios Públicos, Secretaria del Ayuntamiento</w:t>
      </w:r>
      <w:r w:rsidRPr="00A44912">
        <w:rPr>
          <w:rFonts w:ascii="Palatino Linotype" w:eastAsia="Palatino Linotype" w:hAnsi="Palatino Linotype" w:cs="Palatino Linotype"/>
          <w:b/>
          <w:i/>
          <w:sz w:val="22"/>
          <w:szCs w:val="22"/>
        </w:rPr>
        <w:t>”</w:t>
      </w:r>
      <w:r w:rsidRPr="00A44912">
        <w:rPr>
          <w:rFonts w:ascii="Palatino Linotype" w:eastAsia="Palatino Linotype" w:hAnsi="Palatino Linotype" w:cs="Palatino Linotype"/>
          <w:i/>
          <w:sz w:val="22"/>
          <w:szCs w:val="22"/>
        </w:rPr>
        <w:t xml:space="preserve"> (sic)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A44912">
        <w:rPr>
          <w:rFonts w:ascii="Palatino Linotype" w:eastAsia="Palatino Linotype" w:hAnsi="Palatino Linotype" w:cs="Palatino Linotype"/>
          <w:b/>
          <w:sz w:val="22"/>
          <w:szCs w:val="22"/>
        </w:rPr>
        <w:t>Modalidad de Entrega:</w:t>
      </w:r>
      <w:r w:rsidRPr="00A44912">
        <w:rPr>
          <w:rFonts w:ascii="Palatino Linotype" w:eastAsia="Palatino Linotype" w:hAnsi="Palatino Linotype" w:cs="Palatino Linotype"/>
          <w:sz w:val="22"/>
          <w:szCs w:val="22"/>
        </w:rPr>
        <w:t xml:space="preserve"> a través del</w:t>
      </w:r>
      <w:r w:rsidRPr="00A44912">
        <w:rPr>
          <w:rFonts w:ascii="Palatino Linotype" w:eastAsia="Palatino Linotype" w:hAnsi="Palatino Linotype" w:cs="Palatino Linotype"/>
          <w:b/>
          <w:sz w:val="22"/>
          <w:szCs w:val="22"/>
        </w:rPr>
        <w:t xml:space="preserve"> SAIMEX.</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2. Respuesta. </w:t>
      </w:r>
      <w:r w:rsidRPr="00A44912">
        <w:rPr>
          <w:rFonts w:ascii="Palatino Linotype" w:eastAsia="Palatino Linotype" w:hAnsi="Palatino Linotype" w:cs="Palatino Linotype"/>
          <w:sz w:val="22"/>
          <w:szCs w:val="22"/>
        </w:rPr>
        <w:t xml:space="preserve">El </w:t>
      </w:r>
      <w:r w:rsidRPr="00A44912">
        <w:rPr>
          <w:rFonts w:ascii="Palatino Linotype" w:eastAsia="Palatino Linotype" w:hAnsi="Palatino Linotype" w:cs="Palatino Linotype"/>
          <w:b/>
          <w:sz w:val="22"/>
          <w:szCs w:val="22"/>
        </w:rPr>
        <w:t>dieciocho de junio de dos mil veinticinco,</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rsidR="00D83B85" w:rsidRPr="00A44912" w:rsidRDefault="00052DD8">
      <w:pPr>
        <w:spacing w:before="240" w:after="24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“…Se atiende mediante oficio anexo y soporte documental...” (sic)</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lastRenderedPageBreak/>
        <w:t xml:space="preserve">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adjuntó lo siguiente:</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Oficio número DA/ST/3735/2025, mediante el cual el Director de Administración en términos del artículo 158 y 164 de la Ley de Transparencia y Acceso a la Información Pública del Estado de México y Municipios, manifestó que no era posible proporcionar la información en la modalidad solicitada, por lo que propuso el cambio de modalidad en sitio, bajo los siguientes argumentos: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“1.- Los expedientes ascienden a 81 con 15 a 30 fojas cada uno aproximadamente, dando un total de 2,430 fojas dando un peso de 10,692 MB.</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Por lo anteriormente expuesto, se realizó la solicitud de cambio de modalidad para poner a disposición del solicitante en consulta directa la información correspondiente, esto ante el Instituto de Transparencia y Acceso a la Información Pública y Protección de Datos Personales del Estado de México y Municipios, quien a través de la Dirección General de Informática, dio contestación mediante oficio número INFOEM/DGI/510/2025, donde el C. Nelson Correa Peralta, confirma que tomando en consideración la recomendación de escaneo, lo cual aun así supera las capacidades técnicas del sistema SAIMEX, quedando registrada en bitácora la incidencia, (anexo al presente el documento en mención para mayor proveer).</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2.- Una vez indicado el cúmulo de información que se deriva de los expedientes en comento le informo que, al considerar que el particular desea tener acceso a información, que implica análisis, estudio o procedimiento de documentos que involucra destinar un número significativo de días, horas y personal exclusivo para atender dicho requerimiento, lo que impediría la realización de las demás actividades y atribuciones a cargo de ese Servidor Público Habilitado, dañando notoriamente el cumplimiento de las atribuciones, mencionando para ello que las capacidades técnicas, humanas y administrativas de esta Dependencia son limitadas, aunado a la excesiva carga de trabajo de las actividades propias de esta Dependencia, y a la falta del capital humano a disposición ya que solo es 1 persona la encargada de dar atención a las solicitudes de información pública SAIMEX.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Cabe hacer mención que se cuenta con un multifuncional para los trabajos de impresión y escaneo de toda la Dirección, queriendo recalcar que se está hablando de documentación que se encuentra en área restringida de donde se tendría que separar el grueso de la información para rescatar únicamente los expedientes que </w:t>
      </w:r>
      <w:r w:rsidRPr="00A44912">
        <w:rPr>
          <w:rFonts w:ascii="Palatino Linotype" w:eastAsia="Palatino Linotype" w:hAnsi="Palatino Linotype" w:cs="Palatino Linotype"/>
          <w:i/>
          <w:sz w:val="22"/>
          <w:szCs w:val="22"/>
        </w:rPr>
        <w:lastRenderedPageBreak/>
        <w:t>concuerden con lo solicitado, lo cual requiere de un trabajo verdaderamente arduo y especifico donde se tendrían que destinar tiempo de trabajo del personal únicamente para este caso en concreto, que sería humanamente imposible realizar en el tiempo establecido por la norma, y esto desatendiendo todas las demás tareas que se deben hacer de acuerdo a las atribuciones de este Servidor Público Habilitado.</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La información solicitada contiene datos personales sensibles y se encuentran en expedientes físicos que no pueden digitalizarse sin comprometer la seguridad de la documentación por lo que el envío por correo electrónico podría implicar riesgos de vulneración de datos personales.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Si bien se debe dar acceso en la modalidad de entrega elegida por el particular, también lo es que sólo en caso de que no se pueda atender la solicitud en la vía solicitada por el particular, EL SUJETO OBLIGADO debe fundar y motivar la respuesta en la que se le hará saber al solicitante las causas que impiden el envío de la información de forma electrónica; asimismo, deberá ofrecer otra modalidad de entrega.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Para que se cumpla con la modalidad de entrega solicitada, no depende únicamente de la capacidad tecnológica del SAIMEX, sino también de otras variables como lo son las capacidades administrativas y humanas, la capacidad administrativa señala los recursos humanos y organizacionales, donde además de englobar recursos humanos, engloban recursos materiales (espacio, equipos de cómputo, instalaciones, tecnología), e intangibles (tiempo), los cuales en conjunto y a la medida correcta, alcanzarían que este Servidor Público Habilitado logre la finalidad de cumplir con sus responsabilidades y funciones de manera eficaz y eficiente.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Es propicio señalar que el cambio de modalidad de entrega de la información, no resulta ser una acción que lesione el derecho de acceso a la información del particular, sino por el contrario, este Servidor Público Habilitado reconoce que la información solicitada sobrepasa las capacidades técnicas y humanas, por lo que para dar cumplimiento y salvaguardar el derecho de acceso a la información pública, sugiere el cambio de modalidad como una mejora en la atención de tal derecho siendo esta una causa legalmente establecida por la Ley de Transparencia y Acceso a la Información Pública del Estado de México y Municipios en su artículo 164 mismo que fue citado en párrafos anteriores para mayor proveer.</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Dicho lo anterior se pone a disposición de la o del solicitante en las siguientes modalidades: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1. Consulta directa de la información en el domicilio de esta Dirección de Administración ubicada en Boulevard Adolfo López Mateas No. 91, Colonia El Potrero Atizapán de Zaragoza, Estado de México, de lunes a viernes en un horario de 9:00 a 17:30 horas, donde será atendido por el servidor público con cargo de Jefe de Departamento, Lic. Liliana Gabriela Espinosa Islas, teléfono de oficina 553622 2700 extensión 3034 donde podrá agendar la cita correspondiente, precisando que los expedientes cuentan con datos personales por lo que, no podrán dejarse a la vista del solicitante (de acuerdo al acuerdo de clasificación correspondiente).}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2. En caso de requerir copias simples o certificadas, se podrán expedir previo pago de los derechos correspondientes.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3. En caso de que desee la reproducción en otros medios electrónicos, como USB o CD-ROM o memoria extraíble, le podrá ser entregada, previo pago de los derechos correspondientes o; en el caso de que el dispositivo electrónico sea proporcionado por usted, la información se le será entregada sin costo.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De igual manera, no omito reiterar que la información se encuentra disponible por esta Dirección de Administración por un plazo mínimo de sesenta (60) días hábiles, de acuerdo con lo señalado en el artículo 166 de la Ley de Transparencia y Acceso a la Información Pública del Estado de México y Municipios.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Asimismo, si y solo sí es deseo del peticionario acceder a dicha información a través de copias simples o copias certificadas o de manera digital, implicaría que del análisis de lo antes expuesto resulta evidente que el procesamiento se deberá realizar manualmente, (gastos de reproducción, o por la modalidad de entrega) lo que implica fotocopiar las 9,600 fojas para proceder a suprimir los datos personales y posteriormente escanearlos en una resolución optima que permita el procesamiento de dicha cantidad de documentos, lo anterior previo pago de los derechos correspondientes por concepto de copias simples y/o certificadas, escaneo y digitalización de los documentos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Por lo que, si y solo sí desea requerir copias simples, certificada o material electrónico deberá acudir a la Secretaría Técnica dependiente de la Dirección de Administración, sita en Boulevard Adolfo López Mateas No. 91, colonia El Potrero Atizapán de Zaragoza, Estado de México, en un horario de 09:00 a 17:00 horas de lunes a viernes, (se requiere al solicitante agenciar debidamente su cita al teléfono 5536222700 ext. 2820), a efectos de expedir la orden de pago correspondiente y una vez cubriendo el correspondiente pago de derechos se proceda a la realización de las versiones públicas de los documentos requeridos, así mismo hago de su conocimiento que para la entrega de la información una vez que esta sea generada de así solicitarlo, se pondrá a su disposición en medio electrónico, pudiendo ser a través de discos compactos o dispositivo de almacenamiento, mismos que deberán ser proporcionados por el solicitante o' en caso de requerirlos le serán proporcionados cubriendo el pago de derechos correspondiente, no omitiendo reiterar que se ponen a disposición del peticionario la información para consulta directa sin costo alguno y esto solo aplica en caso de requerir copias simples, certificadas o de manera electrónica (digital).</w:t>
      </w:r>
    </w:p>
    <w:p w:rsidR="00D83B85" w:rsidRPr="00A44912" w:rsidRDefault="00052DD8">
      <w:pPr>
        <w:spacing w:before="120" w:after="120"/>
        <w:ind w:left="851" w:right="90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sz w:val="22"/>
          <w:szCs w:val="22"/>
        </w:rPr>
        <w:t xml:space="preserve"> (sic)</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 Oficio número INFOEM/DGI/510/2025, consistente en el registro de incidencia técnica en la bitácora de incidencias, toda vez que el Sujeto Obligado trata de subir un peso de 10,692MB, lo cual sobrepasa las capacidades técnicas del sistema </w:t>
      </w:r>
      <w:proofErr w:type="spellStart"/>
      <w:r w:rsidRPr="00A44912">
        <w:rPr>
          <w:rFonts w:ascii="Palatino Linotype" w:eastAsia="Palatino Linotype" w:hAnsi="Palatino Linotype" w:cs="Palatino Linotype"/>
          <w:sz w:val="22"/>
          <w:szCs w:val="22"/>
        </w:rPr>
        <w:t>Saimex</w:t>
      </w:r>
      <w:proofErr w:type="spellEnd"/>
      <w:r w:rsidRPr="00A44912">
        <w:rPr>
          <w:rFonts w:ascii="Palatino Linotype" w:eastAsia="Palatino Linotype" w:hAnsi="Palatino Linotype" w:cs="Palatino Linotype"/>
          <w:sz w:val="22"/>
          <w:szCs w:val="22"/>
        </w:rPr>
        <w:t>.</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3. Interposición del recurso de revisión. </w:t>
      </w:r>
      <w:r w:rsidRPr="00A44912">
        <w:rPr>
          <w:rFonts w:ascii="Palatino Linotype" w:eastAsia="Palatino Linotype" w:hAnsi="Palatino Linotype" w:cs="Palatino Linotype"/>
          <w:sz w:val="22"/>
          <w:szCs w:val="22"/>
        </w:rPr>
        <w:t xml:space="preserve">Inconforme con los términos de la respuesta emitida por parte del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veinticuatro de junio de dos mil veinticinco,</w:t>
      </w:r>
      <w:r w:rsidRPr="00A44912">
        <w:rPr>
          <w:rFonts w:ascii="Palatino Linotype" w:eastAsia="Palatino Linotype" w:hAnsi="Palatino Linotype" w:cs="Palatino Linotype"/>
          <w:sz w:val="22"/>
          <w:szCs w:val="22"/>
        </w:rPr>
        <w:t xml:space="preserve">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interpuso el recurso de revisión a través de </w:t>
      </w:r>
      <w:r w:rsidRPr="00A44912">
        <w:rPr>
          <w:rFonts w:ascii="Palatino Linotype" w:eastAsia="Palatino Linotype" w:hAnsi="Palatino Linotype" w:cs="Palatino Linotype"/>
          <w:b/>
          <w:sz w:val="22"/>
          <w:szCs w:val="22"/>
        </w:rPr>
        <w:t xml:space="preserve">SAIMEX, </w:t>
      </w:r>
      <w:r w:rsidRPr="00A44912">
        <w:rPr>
          <w:rFonts w:ascii="Palatino Linotype" w:eastAsia="Palatino Linotype" w:hAnsi="Palatino Linotype" w:cs="Palatino Linotype"/>
          <w:sz w:val="22"/>
          <w:szCs w:val="22"/>
        </w:rPr>
        <w:t>en donde se manifestó de la siguiente manera:</w:t>
      </w:r>
    </w:p>
    <w:p w:rsidR="00D83B85" w:rsidRPr="00A44912" w:rsidRDefault="00052DD8">
      <w:pPr>
        <w:spacing w:before="240" w:after="240" w:line="360" w:lineRule="auto"/>
        <w:ind w:right="49"/>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 xml:space="preserve">Acto impugnado: </w:t>
      </w:r>
    </w:p>
    <w:p w:rsidR="00D83B85" w:rsidRPr="00A44912" w:rsidRDefault="00052DD8">
      <w:pPr>
        <w:ind w:left="851" w:right="900"/>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“La negativa en la entrega de la información, para cobrar un sueldo hay que devengarlo” (sic)</w:t>
      </w:r>
    </w:p>
    <w:p w:rsidR="00D83B85" w:rsidRPr="00A44912" w:rsidRDefault="00052DD8">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A44912">
        <w:rPr>
          <w:rFonts w:ascii="Palatino Linotype" w:eastAsia="Palatino Linotype" w:hAnsi="Palatino Linotype" w:cs="Palatino Linotype"/>
          <w:b/>
          <w:sz w:val="22"/>
          <w:szCs w:val="22"/>
        </w:rPr>
        <w:t>Y, Razones o motivos de inconformidad</w:t>
      </w:r>
      <w:r w:rsidRPr="00A44912">
        <w:rPr>
          <w:rFonts w:ascii="Palatino Linotype" w:eastAsia="Palatino Linotype" w:hAnsi="Palatino Linotype" w:cs="Palatino Linotype"/>
          <w:sz w:val="22"/>
          <w:szCs w:val="22"/>
        </w:rPr>
        <w:t>:</w:t>
      </w:r>
    </w:p>
    <w:p w:rsidR="00D83B85" w:rsidRPr="00A44912" w:rsidRDefault="00052DD8">
      <w:pPr>
        <w:tabs>
          <w:tab w:val="left" w:pos="2745"/>
        </w:tabs>
        <w:spacing w:before="240" w:after="24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“La falsa premisa de cambio de modalidad por cuestiones de peso, 2,430 fojas no pesan 10.6 GB, además se contradicen en su escrito al manifestar que no se digitaliza todos los expedientes físicos por contener datos personales sensibles entones como pueden saber que son 2,430 fojas y pesan 10.6 GB, (cosa que resulta falsa ya que todo documento debe digitalizarse de acuerdo a la ley de archivo y a efectos de realizar el cambio de modalidad dicha información ya debe estar debidamente testada y acompañada de su acuerdo de clasificación correspondiente el cual no se anexa), por lo que se entiende que ya cuenta con la información solicitada en versión digital, solo están incrementando el peso para justificar el cambio de modalidad, sumado a que comentan que solo tienen un multifuncional, el cual debe ser perfectamente capaz de procesar las 2,430 fojas sin problemas, sumado a todas las excusas, al momento de cuantificar el costo de reproducción hablan de 9,600 fojas para poder suprimir datos personales, dejando en evidencia que únicamente se inventan números e inflan cifras a efectos de poder sustentar un cambio de modalidad que por el acumulado de hojas no es procedente, ni escaneando a máxima calidad se llegarían a los GB mencionados, además de que se esperan hasta el día 15 para informar el cambio de modalidad el cual ni siquiera está respaldado por el comité de transparencia y no cuenta con acuerdo de clasificación, quedando evidenciado la falta de profesionalismo, e incompetencia del personal que interviene en la contestación de las solicitudes de información y la rotunda negativa al acceso a la información pública, se la van a pasar haciendo cambios de modalidad por cualquier información solicitada, se evidencia su poca ética laboral y la pocas ganas de laborar, con estas respuestas que lo único que buscan es chicanear.” (sic)</w:t>
      </w:r>
    </w:p>
    <w:p w:rsidR="00D83B85" w:rsidRPr="00A44912" w:rsidRDefault="00052DD8">
      <w:pPr>
        <w:spacing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4. Turno. </w:t>
      </w:r>
      <w:r w:rsidRPr="00A4491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44912">
        <w:rPr>
          <w:rFonts w:ascii="Palatino Linotype" w:eastAsia="Palatino Linotype" w:hAnsi="Palatino Linotype" w:cs="Palatino Linotype"/>
          <w:b/>
          <w:sz w:val="22"/>
          <w:szCs w:val="22"/>
        </w:rPr>
        <w:t xml:space="preserve">Guadalupe Ramírez Peña, </w:t>
      </w:r>
      <w:r w:rsidRPr="00A44912">
        <w:rPr>
          <w:rFonts w:ascii="Palatino Linotype" w:eastAsia="Palatino Linotype" w:hAnsi="Palatino Linotype" w:cs="Palatino Linotype"/>
          <w:sz w:val="22"/>
          <w:szCs w:val="22"/>
        </w:rPr>
        <w:t xml:space="preserve">a efecto de que analizara sobre su admisión o su </w:t>
      </w:r>
      <w:proofErr w:type="spellStart"/>
      <w:r w:rsidRPr="00A44912">
        <w:rPr>
          <w:rFonts w:ascii="Palatino Linotype" w:eastAsia="Palatino Linotype" w:hAnsi="Palatino Linotype" w:cs="Palatino Linotype"/>
          <w:sz w:val="22"/>
          <w:szCs w:val="22"/>
        </w:rPr>
        <w:t>desechamiento</w:t>
      </w:r>
      <w:proofErr w:type="spellEnd"/>
      <w:r w:rsidRPr="00A44912">
        <w:rPr>
          <w:rFonts w:ascii="Palatino Linotype" w:eastAsia="Palatino Linotype" w:hAnsi="Palatino Linotype" w:cs="Palatino Linotype"/>
          <w:sz w:val="22"/>
          <w:szCs w:val="22"/>
        </w:rPr>
        <w:t>.</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5. Admisión del Recurso de revisión.</w:t>
      </w:r>
      <w:r w:rsidRPr="00A44912">
        <w:rPr>
          <w:rFonts w:ascii="Palatino Linotype" w:eastAsia="Palatino Linotype" w:hAnsi="Palatino Linotype" w:cs="Palatino Linotype"/>
          <w:sz w:val="22"/>
          <w:szCs w:val="22"/>
        </w:rPr>
        <w:t xml:space="preserve"> El</w:t>
      </w:r>
      <w:r w:rsidRPr="00A44912">
        <w:rPr>
          <w:rFonts w:ascii="Palatino Linotype" w:eastAsia="Palatino Linotype" w:hAnsi="Palatino Linotype" w:cs="Palatino Linotype"/>
          <w:b/>
          <w:sz w:val="22"/>
          <w:szCs w:val="22"/>
        </w:rPr>
        <w:t xml:space="preserve"> veintisiete de junio de dos mil veinticinco, </w:t>
      </w:r>
      <w:r w:rsidRPr="00A4491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presentara su informe justificado.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A44912">
        <w:rPr>
          <w:rFonts w:ascii="Palatino Linotype" w:eastAsia="Palatino Linotype" w:hAnsi="Palatino Linotype" w:cs="Palatino Linotype"/>
          <w:b/>
          <w:sz w:val="22"/>
          <w:szCs w:val="22"/>
        </w:rPr>
        <w:t>6. Manifestaciones</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tres de julio de</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rPr>
        <w:t>dos mil veinticinco</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remitió, a través del SAIMEX lo siguiente:</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Oficio número PMA/UTI/3703/2025, mediante el cual la titular de la Unidad de Transparencia hizo del conocimiento del Director de Administración la interposición del recurso de revisión.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Oficio número DA/ST/4504/2025, mediante el cual el Director de Administración ratificó en lo sustancial la respuesta proporcionada en primera instancia.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ACUERDO -06 CT/12-EXT/02.07.2025, correspondiente al punto noveno del orden del día de la Décima Segunda Sesión Extraordinaria del Comité de Transparencia en el cual se confirmó la clasificación de los datos contenidos en los expedientes laborales de los integrantes de estructura orgánica pertenecientes a las direcciones de oficina de presidencia, administración, servicios públicos y secretaria del ayuntamiento, como información confidencial, para la elaboración de la versión pública.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rsidR="00D83B85" w:rsidRPr="00A44912" w:rsidRDefault="00052DD8">
      <w:pPr>
        <w:widowControl w:val="0"/>
        <w:spacing w:before="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7. Requerimiento de información adicional. </w:t>
      </w:r>
      <w:r w:rsidRPr="00A44912">
        <w:rPr>
          <w:rFonts w:ascii="Palatino Linotype" w:eastAsia="Palatino Linotype" w:hAnsi="Palatino Linotype" w:cs="Palatino Linotype"/>
          <w:sz w:val="22"/>
          <w:szCs w:val="22"/>
        </w:rPr>
        <w:t xml:space="preserve">El </w:t>
      </w:r>
      <w:r w:rsidRPr="00A44912">
        <w:rPr>
          <w:rFonts w:ascii="Palatino Linotype" w:eastAsia="Palatino Linotype" w:hAnsi="Palatino Linotype" w:cs="Palatino Linotype"/>
          <w:b/>
          <w:sz w:val="22"/>
          <w:szCs w:val="22"/>
        </w:rPr>
        <w:t>veintisiete de septiembre de dos mil veinticinco</w:t>
      </w:r>
      <w:r w:rsidRPr="00A44912">
        <w:rPr>
          <w:rFonts w:ascii="Palatino Linotype" w:eastAsia="Palatino Linotype" w:hAnsi="Palatino Linotype" w:cs="Palatino Linotype"/>
          <w:sz w:val="22"/>
          <w:szCs w:val="22"/>
        </w:rPr>
        <w:t xml:space="preserve">, este Organismo Garante hizo un requerimiento de información adicional al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mediante correo electrónico, el cual consistió en lo siguiente: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“De las constancias que integran el expediente del recurso de revisión</w:t>
      </w:r>
      <w:r w:rsidRPr="00A44912">
        <w:rPr>
          <w:rFonts w:ascii="Palatino Linotype" w:eastAsia="Palatino Linotype" w:hAnsi="Palatino Linotype" w:cs="Palatino Linotype"/>
          <w:b/>
          <w:i/>
          <w:sz w:val="22"/>
          <w:szCs w:val="22"/>
        </w:rPr>
        <w:t> 07684/INFOEM/IP/RR/2025, </w:t>
      </w:r>
      <w:r w:rsidRPr="00A44912">
        <w:rPr>
          <w:rFonts w:ascii="Palatino Linotype" w:eastAsia="Palatino Linotype" w:hAnsi="Palatino Linotype" w:cs="Palatino Linotype"/>
          <w:i/>
          <w:sz w:val="22"/>
          <w:szCs w:val="22"/>
        </w:rPr>
        <w:t>se desprende que en respuesta a la solicitud de información </w:t>
      </w:r>
      <w:r w:rsidRPr="00A44912">
        <w:rPr>
          <w:rFonts w:ascii="Palatino Linotype" w:eastAsia="Palatino Linotype" w:hAnsi="Palatino Linotype" w:cs="Palatino Linotype"/>
          <w:b/>
          <w:i/>
          <w:sz w:val="22"/>
          <w:szCs w:val="22"/>
        </w:rPr>
        <w:t xml:space="preserve">00340/ATIZARA/IP/2025, </w:t>
      </w:r>
      <w:r w:rsidRPr="00A44912">
        <w:rPr>
          <w:rFonts w:ascii="Palatino Linotype" w:eastAsia="Palatino Linotype" w:hAnsi="Palatino Linotype" w:cs="Palatino Linotype"/>
          <w:i/>
          <w:sz w:val="22"/>
          <w:szCs w:val="22"/>
        </w:rPr>
        <w:t>que le dio origen, la Dirección de Administración manifestó la imposibilidad de remitir la información materia de la solicitud a través del sistema SAIMEX, como la modalidad elegida por la persona solicitante, argumentando que esta sobrepasa las capacidades del referido sistema, toda vez que el peso de dicha información asciende a aproximadamente 10,692 MB, razón por la cual se propuso  el cambio de modalidad a consulta directa (in situ), para dar atención a la solicitud, cuyo registro de incidencia quedó registrado mediante el oficio INFOEM/DGI/510/2025, emitido por la Dirección General de Informática de este Instituto.</w:t>
      </w:r>
    </w:p>
    <w:p w:rsidR="00D83B85" w:rsidRPr="00A44912" w:rsidRDefault="00052DD8">
      <w:pPr>
        <w:widowControl w:val="0"/>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De lo anterior, se colige que </w:t>
      </w:r>
      <w:r w:rsidRPr="00A44912">
        <w:rPr>
          <w:rFonts w:ascii="Palatino Linotype" w:eastAsia="Palatino Linotype" w:hAnsi="Palatino Linotype" w:cs="Palatino Linotype"/>
          <w:b/>
          <w:i/>
          <w:sz w:val="22"/>
          <w:szCs w:val="22"/>
        </w:rPr>
        <w:t>el Sujeto Obligado propuso el cambio de la modalidad</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 xml:space="preserve">de entrega, </w:t>
      </w:r>
      <w:r w:rsidRPr="00A44912">
        <w:rPr>
          <w:rFonts w:ascii="Palatino Linotype" w:eastAsia="Palatino Linotype" w:hAnsi="Palatino Linotype" w:cs="Palatino Linotype"/>
          <w:i/>
          <w:sz w:val="22"/>
          <w:szCs w:val="22"/>
        </w:rPr>
        <w:t xml:space="preserve">sin embargo, se tiene que se dejaron de justificar, de manera clara, las razones o motivos que le llevaron a tomar dicha determinación, por lo que se carece de los elementos que permitan justificar que existe la necesidad de realizar el cambio de modalidad, lo anterior en términos de los señalado por el artículo 155, fracción V, 158 y 164 de la Ley de Transparencia y Acceso a la Información Pública del Estado de México y Municipios. </w:t>
      </w:r>
    </w:p>
    <w:p w:rsidR="00D83B85" w:rsidRPr="00A44912" w:rsidRDefault="00052DD8">
      <w:pPr>
        <w:widowControl w:val="0"/>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En este contexto, con fundamento en el artículo 14, fracciones I, II, V y XVI del Reglamento Interno del Instituto de Transparencia, Acceso a la Información Pública y Protección de Datos Personales del Estado de México y Municipios</w:t>
      </w:r>
      <w:r w:rsidRPr="00A44912">
        <w:rPr>
          <w:rFonts w:ascii="Palatino Linotype" w:eastAsia="Palatino Linotype" w:hAnsi="Palatino Linotype" w:cs="Palatino Linotype"/>
          <w:b/>
          <w:i/>
          <w:sz w:val="22"/>
          <w:szCs w:val="22"/>
        </w:rPr>
        <w:t>, con el objeto de contar con los elementos necesarios para la elaboración del proyecto de resolución correspondiente,</w:t>
      </w:r>
      <w:r w:rsidRPr="00A44912">
        <w:rPr>
          <w:rFonts w:ascii="Palatino Linotype" w:eastAsia="Palatino Linotype" w:hAnsi="Palatino Linotype" w:cs="Palatino Linotype"/>
          <w:i/>
          <w:sz w:val="22"/>
          <w:szCs w:val="22"/>
        </w:rPr>
        <w:t> se requiere al </w:t>
      </w:r>
      <w:r w:rsidRPr="00A44912">
        <w:rPr>
          <w:rFonts w:ascii="Palatino Linotype" w:eastAsia="Palatino Linotype" w:hAnsi="Palatino Linotype" w:cs="Palatino Linotype"/>
          <w:b/>
          <w:i/>
          <w:sz w:val="22"/>
          <w:szCs w:val="22"/>
        </w:rPr>
        <w:t>Sujeto Obligado,</w:t>
      </w:r>
      <w:r w:rsidRPr="00A44912">
        <w:rPr>
          <w:rFonts w:ascii="Palatino Linotype" w:eastAsia="Palatino Linotype" w:hAnsi="Palatino Linotype" w:cs="Palatino Linotype"/>
          <w:i/>
          <w:sz w:val="22"/>
          <w:szCs w:val="22"/>
        </w:rPr>
        <w:t> para que proporcione lo siguiente:</w:t>
      </w:r>
    </w:p>
    <w:p w:rsidR="00D83B85" w:rsidRPr="00A44912" w:rsidRDefault="00052DD8">
      <w:pPr>
        <w:numPr>
          <w:ilvl w:val="0"/>
          <w:numId w:val="6"/>
        </w:numPr>
        <w:pBdr>
          <w:top w:val="nil"/>
          <w:left w:val="nil"/>
          <w:bottom w:val="nil"/>
          <w:right w:val="nil"/>
          <w:between w:val="nil"/>
        </w:pBdr>
        <w:tabs>
          <w:tab w:val="left" w:pos="567"/>
          <w:tab w:val="left" w:pos="1134"/>
        </w:tabs>
        <w:spacing w:before="120" w:after="120"/>
        <w:ind w:left="851" w:right="902" w:firstLine="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i/>
          <w:sz w:val="22"/>
          <w:szCs w:val="22"/>
        </w:rPr>
        <w:t xml:space="preserve">Número de servidores públicos adscritos a la Oficina de Presidencia, la Dirección de Administración, la Dirección de Servicios Públicos y la Secretaría del Ayuntamiento, </w:t>
      </w:r>
      <w:r w:rsidRPr="00A44912">
        <w:rPr>
          <w:rFonts w:ascii="Palatino Linotype" w:eastAsia="Palatino Linotype" w:hAnsi="Palatino Linotype" w:cs="Palatino Linotype"/>
          <w:b/>
          <w:i/>
          <w:sz w:val="22"/>
          <w:szCs w:val="22"/>
        </w:rPr>
        <w:t xml:space="preserve">al veintiocho de mayo de dos mil veinticinco. </w:t>
      </w:r>
    </w:p>
    <w:p w:rsidR="00D83B85" w:rsidRPr="00A44912" w:rsidRDefault="00052DD8">
      <w:pPr>
        <w:numPr>
          <w:ilvl w:val="0"/>
          <w:numId w:val="6"/>
        </w:numPr>
        <w:pBdr>
          <w:top w:val="nil"/>
          <w:left w:val="nil"/>
          <w:bottom w:val="nil"/>
          <w:right w:val="nil"/>
          <w:between w:val="nil"/>
        </w:pBdr>
        <w:tabs>
          <w:tab w:val="left" w:pos="567"/>
          <w:tab w:val="left" w:pos="1134"/>
        </w:tabs>
        <w:spacing w:before="120" w:after="120"/>
        <w:ind w:left="851" w:right="902" w:firstLine="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i/>
          <w:sz w:val="22"/>
          <w:szCs w:val="22"/>
        </w:rPr>
        <w:t>Haga llegar a esta ponencia el documento que da cuenta del nombre de los servidores públicos referidos en el punto anterior.</w:t>
      </w:r>
    </w:p>
    <w:p w:rsidR="00D83B85" w:rsidRPr="00A44912" w:rsidRDefault="00052DD8">
      <w:pPr>
        <w:numPr>
          <w:ilvl w:val="0"/>
          <w:numId w:val="6"/>
        </w:numPr>
        <w:pBdr>
          <w:top w:val="nil"/>
          <w:left w:val="nil"/>
          <w:bottom w:val="nil"/>
          <w:right w:val="nil"/>
          <w:between w:val="nil"/>
        </w:pBdr>
        <w:tabs>
          <w:tab w:val="left" w:pos="567"/>
          <w:tab w:val="left" w:pos="1134"/>
        </w:tabs>
        <w:spacing w:before="120" w:after="120"/>
        <w:ind w:left="851" w:right="902" w:firstLine="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Señale qué documentos integran un expediente de </w:t>
      </w:r>
      <w:proofErr w:type="gramStart"/>
      <w:r w:rsidRPr="00A44912">
        <w:rPr>
          <w:rFonts w:ascii="Palatino Linotype" w:eastAsia="Palatino Linotype" w:hAnsi="Palatino Linotype" w:cs="Palatino Linotype"/>
          <w:i/>
          <w:sz w:val="22"/>
          <w:szCs w:val="22"/>
        </w:rPr>
        <w:t>personal  y</w:t>
      </w:r>
      <w:proofErr w:type="gramEnd"/>
      <w:r w:rsidRPr="00A44912">
        <w:rPr>
          <w:rFonts w:ascii="Palatino Linotype" w:eastAsia="Palatino Linotype" w:hAnsi="Palatino Linotype" w:cs="Palatino Linotype"/>
          <w:i/>
          <w:sz w:val="22"/>
          <w:szCs w:val="22"/>
        </w:rPr>
        <w:t xml:space="preserve"> bajo que lineamiento, norma o fundamento legal se integran. (</w:t>
      </w:r>
      <w:proofErr w:type="spellStart"/>
      <w:r w:rsidRPr="00A44912">
        <w:rPr>
          <w:rFonts w:ascii="Palatino Linotype" w:eastAsia="Palatino Linotype" w:hAnsi="Palatino Linotype" w:cs="Palatino Linotype"/>
          <w:i/>
          <w:sz w:val="22"/>
          <w:szCs w:val="22"/>
        </w:rPr>
        <w:t>p.e</w:t>
      </w:r>
      <w:proofErr w:type="spellEnd"/>
      <w:r w:rsidRPr="00A44912">
        <w:rPr>
          <w:rFonts w:ascii="Palatino Linotype" w:eastAsia="Palatino Linotype" w:hAnsi="Palatino Linotype" w:cs="Palatino Linotype"/>
          <w:i/>
          <w:sz w:val="22"/>
          <w:szCs w:val="22"/>
        </w:rPr>
        <w:t xml:space="preserve">. solicitud de empleo,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 o documento análogo; nombramiento, FUMP, contrato o documento </w:t>
      </w:r>
      <w:proofErr w:type="gramStart"/>
      <w:r w:rsidRPr="00A44912">
        <w:rPr>
          <w:rFonts w:ascii="Palatino Linotype" w:eastAsia="Palatino Linotype" w:hAnsi="Palatino Linotype" w:cs="Palatino Linotype"/>
          <w:i/>
          <w:sz w:val="22"/>
          <w:szCs w:val="22"/>
        </w:rPr>
        <w:t>análogo,  comprobante</w:t>
      </w:r>
      <w:proofErr w:type="gramEnd"/>
      <w:r w:rsidRPr="00A44912">
        <w:rPr>
          <w:rFonts w:ascii="Palatino Linotype" w:eastAsia="Palatino Linotype" w:hAnsi="Palatino Linotype" w:cs="Palatino Linotype"/>
          <w:i/>
          <w:sz w:val="22"/>
          <w:szCs w:val="22"/>
        </w:rPr>
        <w:t xml:space="preserve"> del grado de estudios, certificación de competencia laboral, entre otros).</w:t>
      </w:r>
    </w:p>
    <w:p w:rsidR="00D83B85" w:rsidRPr="00A44912" w:rsidRDefault="00052DD8">
      <w:pPr>
        <w:numPr>
          <w:ilvl w:val="0"/>
          <w:numId w:val="6"/>
        </w:numPr>
        <w:pBdr>
          <w:top w:val="nil"/>
          <w:left w:val="nil"/>
          <w:bottom w:val="nil"/>
          <w:right w:val="nil"/>
          <w:between w:val="nil"/>
        </w:pBdr>
        <w:tabs>
          <w:tab w:val="left" w:pos="567"/>
          <w:tab w:val="left" w:pos="1134"/>
        </w:tabs>
        <w:spacing w:before="120" w:after="120"/>
        <w:ind w:left="851" w:right="902" w:firstLine="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Señale si la dependencia cuenta con formatos establecidos por cuanto hace a la información curricular o ésta se presenta de manera libre por los servidores públicos; e indique el número de hojas promedio que comprenden o integran cada documento.</w:t>
      </w:r>
    </w:p>
    <w:p w:rsidR="00D83B85" w:rsidRPr="00A44912" w:rsidRDefault="00052DD8">
      <w:pPr>
        <w:numPr>
          <w:ilvl w:val="0"/>
          <w:numId w:val="6"/>
        </w:numPr>
        <w:pBdr>
          <w:top w:val="nil"/>
          <w:left w:val="nil"/>
          <w:bottom w:val="nil"/>
          <w:right w:val="nil"/>
          <w:between w:val="nil"/>
        </w:pBdr>
        <w:tabs>
          <w:tab w:val="left" w:pos="567"/>
          <w:tab w:val="left" w:pos="1134"/>
        </w:tabs>
        <w:spacing w:before="120" w:after="120"/>
        <w:ind w:left="851" w:right="902" w:firstLine="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Número de documentos aproximado por cada expediente de personal de los servidores públicos referidos en el punto 1, </w:t>
      </w:r>
      <w:r w:rsidRPr="00A44912">
        <w:rPr>
          <w:rFonts w:ascii="Palatino Linotype" w:eastAsia="Palatino Linotype" w:hAnsi="Palatino Linotype" w:cs="Palatino Linotype"/>
          <w:b/>
          <w:i/>
          <w:sz w:val="22"/>
          <w:szCs w:val="22"/>
          <w:u w:val="single"/>
        </w:rPr>
        <w:t>sin considerar aquellos que deben clasificarse como confidenciales en su totalidad</w:t>
      </w:r>
      <w:r w:rsidRPr="00A44912">
        <w:rPr>
          <w:rFonts w:ascii="Palatino Linotype" w:eastAsia="Palatino Linotype" w:hAnsi="Palatino Linotype" w:cs="Palatino Linotype"/>
          <w:i/>
          <w:sz w:val="22"/>
          <w:szCs w:val="22"/>
        </w:rPr>
        <w:t>; de manera enunciativa, más no limitativa: Acta de nacimiento, Clave Única de Registro de Población (CURP), cédula de identificación fiscal, comprobante de domicilio, credencial para votar, cartas de recomendación, Cartilla de Servicio Militar, contrato bancario, entre otros.</w:t>
      </w:r>
    </w:p>
    <w:p w:rsidR="00D83B85" w:rsidRPr="00A44912" w:rsidRDefault="00052DD8">
      <w:pPr>
        <w:widowControl w:val="0"/>
        <w:numPr>
          <w:ilvl w:val="0"/>
          <w:numId w:val="6"/>
        </w:numPr>
        <w:pBdr>
          <w:top w:val="nil"/>
          <w:left w:val="nil"/>
          <w:bottom w:val="nil"/>
          <w:right w:val="nil"/>
          <w:between w:val="nil"/>
        </w:pBdr>
        <w:tabs>
          <w:tab w:val="left" w:pos="993"/>
          <w:tab w:val="left" w:pos="1134"/>
        </w:tabs>
        <w:spacing w:before="120" w:after="120"/>
        <w:ind w:left="851" w:right="902" w:firstLine="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Remita por este medio, </w:t>
      </w:r>
      <w:r w:rsidRPr="00A44912">
        <w:rPr>
          <w:rFonts w:ascii="Palatino Linotype" w:eastAsia="Palatino Linotype" w:hAnsi="Palatino Linotype" w:cs="Palatino Linotype"/>
          <w:b/>
          <w:i/>
          <w:sz w:val="22"/>
          <w:szCs w:val="22"/>
          <w:u w:val="single"/>
        </w:rPr>
        <w:t>a manera de ejemplo</w:t>
      </w:r>
      <w:r w:rsidRPr="00A44912">
        <w:rPr>
          <w:rFonts w:ascii="Palatino Linotype" w:eastAsia="Palatino Linotype" w:hAnsi="Palatino Linotype" w:cs="Palatino Linotype"/>
          <w:i/>
          <w:sz w:val="22"/>
          <w:szCs w:val="22"/>
        </w:rPr>
        <w:t xml:space="preserve">, un expediente de personal de un servidor público adscrito a alguna de las áreas referidas en el punto </w:t>
      </w:r>
      <w:proofErr w:type="gramStart"/>
      <w:r w:rsidRPr="00A44912">
        <w:rPr>
          <w:rFonts w:ascii="Palatino Linotype" w:eastAsia="Palatino Linotype" w:hAnsi="Palatino Linotype" w:cs="Palatino Linotype"/>
          <w:i/>
          <w:sz w:val="22"/>
          <w:szCs w:val="22"/>
        </w:rPr>
        <w:t>1 ,</w:t>
      </w:r>
      <w:proofErr w:type="gramEnd"/>
      <w:r w:rsidRPr="00A44912">
        <w:rPr>
          <w:rFonts w:ascii="Palatino Linotype" w:eastAsia="Palatino Linotype" w:hAnsi="Palatino Linotype" w:cs="Palatino Linotype"/>
          <w:i/>
          <w:sz w:val="22"/>
          <w:szCs w:val="22"/>
        </w:rPr>
        <w:t xml:space="preserve"> mismo que </w:t>
      </w:r>
      <w:r w:rsidRPr="00A44912">
        <w:rPr>
          <w:rFonts w:ascii="Palatino Linotype" w:eastAsia="Palatino Linotype" w:hAnsi="Palatino Linotype" w:cs="Palatino Linotype"/>
          <w:b/>
          <w:i/>
          <w:sz w:val="22"/>
          <w:szCs w:val="22"/>
        </w:rPr>
        <w:t xml:space="preserve">deberá estar integrado por los documentos </w:t>
      </w:r>
      <w:r w:rsidRPr="00A44912">
        <w:rPr>
          <w:rFonts w:ascii="Palatino Linotype" w:eastAsia="Palatino Linotype" w:hAnsi="Palatino Linotype" w:cs="Palatino Linotype"/>
          <w:b/>
          <w:i/>
          <w:sz w:val="22"/>
          <w:szCs w:val="22"/>
          <w:u w:val="single"/>
        </w:rPr>
        <w:t>susceptibles de entregarse en versión pública</w:t>
      </w:r>
      <w:r w:rsidRPr="00A44912">
        <w:rPr>
          <w:rFonts w:ascii="Palatino Linotype" w:eastAsia="Palatino Linotype" w:hAnsi="Palatino Linotype" w:cs="Palatino Linotype"/>
          <w:b/>
          <w:i/>
          <w:sz w:val="22"/>
          <w:szCs w:val="22"/>
        </w:rPr>
        <w:t>,</w:t>
      </w:r>
      <w:r w:rsidRPr="00A44912">
        <w:rPr>
          <w:rFonts w:ascii="Palatino Linotype" w:eastAsia="Palatino Linotype" w:hAnsi="Palatino Linotype" w:cs="Palatino Linotype"/>
          <w:i/>
          <w:sz w:val="22"/>
          <w:szCs w:val="22"/>
        </w:rPr>
        <w:t xml:space="preserve"> los cuales </w:t>
      </w:r>
      <w:r w:rsidRPr="00A44912">
        <w:rPr>
          <w:rFonts w:ascii="Palatino Linotype" w:eastAsia="Palatino Linotype" w:hAnsi="Palatino Linotype" w:cs="Palatino Linotype"/>
          <w:b/>
          <w:i/>
          <w:sz w:val="22"/>
          <w:szCs w:val="22"/>
          <w:u w:val="single"/>
        </w:rPr>
        <w:t>deberán digitalizarse en resolución máxima de 150Dpi's, escala de grises y formato "PDF", extraído directamente del escáner</w:t>
      </w:r>
      <w:r w:rsidRPr="00A44912">
        <w:rPr>
          <w:rFonts w:ascii="Palatino Linotype" w:eastAsia="Palatino Linotype" w:hAnsi="Palatino Linotype" w:cs="Palatino Linotype"/>
          <w:i/>
          <w:sz w:val="22"/>
          <w:szCs w:val="22"/>
        </w:rPr>
        <w:t>.</w:t>
      </w:r>
    </w:p>
    <w:p w:rsidR="00D83B85" w:rsidRPr="00A44912" w:rsidRDefault="00052DD8">
      <w:pPr>
        <w:numPr>
          <w:ilvl w:val="0"/>
          <w:numId w:val="6"/>
        </w:numPr>
        <w:pBdr>
          <w:top w:val="nil"/>
          <w:left w:val="nil"/>
          <w:bottom w:val="nil"/>
          <w:right w:val="nil"/>
          <w:between w:val="nil"/>
        </w:pBdr>
        <w:tabs>
          <w:tab w:val="left" w:pos="993"/>
          <w:tab w:val="left" w:pos="1134"/>
        </w:tabs>
        <w:spacing w:before="120" w:after="120"/>
        <w:ind w:left="851" w:right="902" w:firstLine="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i/>
          <w:sz w:val="22"/>
          <w:szCs w:val="22"/>
        </w:rPr>
        <w:t xml:space="preserve">Proporcione cualquier dato que permita esclarecer que los documentos que integran </w:t>
      </w:r>
      <w:proofErr w:type="gramStart"/>
      <w:r w:rsidRPr="00A44912">
        <w:rPr>
          <w:rFonts w:ascii="Palatino Linotype" w:eastAsia="Palatino Linotype" w:hAnsi="Palatino Linotype" w:cs="Palatino Linotype"/>
          <w:i/>
          <w:sz w:val="22"/>
          <w:szCs w:val="22"/>
        </w:rPr>
        <w:t>los  expedientes</w:t>
      </w:r>
      <w:proofErr w:type="gramEnd"/>
      <w:r w:rsidRPr="00A44912">
        <w:rPr>
          <w:rFonts w:ascii="Palatino Linotype" w:eastAsia="Palatino Linotype" w:hAnsi="Palatino Linotype" w:cs="Palatino Linotype"/>
          <w:i/>
          <w:sz w:val="22"/>
          <w:szCs w:val="22"/>
        </w:rPr>
        <w:t xml:space="preserve"> de personal de los servidores públicos referidos en el punto 1, </w:t>
      </w:r>
      <w:r w:rsidRPr="00A44912">
        <w:rPr>
          <w:rFonts w:ascii="Palatino Linotype" w:eastAsia="Palatino Linotype" w:hAnsi="Palatino Linotype" w:cs="Palatino Linotype"/>
          <w:b/>
          <w:i/>
          <w:sz w:val="22"/>
          <w:szCs w:val="22"/>
          <w:u w:val="single"/>
        </w:rPr>
        <w:t>susceptibles de ser entregados en versión pública a través del SAIMEX</w:t>
      </w:r>
      <w:r w:rsidRPr="00A44912">
        <w:rPr>
          <w:rFonts w:ascii="Palatino Linotype" w:eastAsia="Palatino Linotype" w:hAnsi="Palatino Linotype" w:cs="Palatino Linotype"/>
          <w:b/>
          <w:i/>
          <w:sz w:val="22"/>
          <w:szCs w:val="22"/>
        </w:rPr>
        <w:t>, corresponden a 81 expedientes, conformados por 15 a 30 fojas cada uno, con un volumen aproximado de 2,430 fojas con un peso aproximado de 10,692 MB.</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La información que se solicita deberá ser entregada a este Instituto en un lapso no mayor a tres días, a través del sistema SAIMEX, en el apartado de manifestaciones, y/o a través de correo electrónico…”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8. Desahogo del requerimiento de información adicional</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fue omiso en emitir pronunciamiento alguno con relación al requerimiento de información en el plazo establecido para tal efecto.</w:t>
      </w:r>
    </w:p>
    <w:p w:rsidR="00D83B85" w:rsidRPr="00A44912" w:rsidRDefault="00052DD8">
      <w:pPr>
        <w:widowControl w:val="0"/>
        <w:spacing w:before="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9. Ampliación del término para resolver</w:t>
      </w:r>
      <w:r w:rsidRPr="00A44912">
        <w:rPr>
          <w:rFonts w:ascii="Palatino Linotype" w:eastAsia="Palatino Linotype" w:hAnsi="Palatino Linotype" w:cs="Palatino Linotype"/>
          <w:sz w:val="22"/>
          <w:szCs w:val="22"/>
        </w:rPr>
        <w:t xml:space="preserve">. El </w:t>
      </w:r>
      <w:r w:rsidRPr="00A44912">
        <w:rPr>
          <w:rFonts w:ascii="Palatino Linotype" w:eastAsia="Palatino Linotype" w:hAnsi="Palatino Linotype" w:cs="Palatino Linotype"/>
          <w:b/>
          <w:sz w:val="22"/>
          <w:szCs w:val="22"/>
        </w:rPr>
        <w:t>seis de noviembre de dos mil veinticinco</w:t>
      </w:r>
      <w:r w:rsidRPr="00A4491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83B85" w:rsidRPr="00A44912" w:rsidRDefault="00052DD8">
      <w:pPr>
        <w:spacing w:before="240" w:after="240" w:line="360" w:lineRule="auto"/>
        <w:jc w:val="both"/>
        <w:rPr>
          <w:rFonts w:ascii="Palatino Linotype" w:eastAsia="Palatino Linotype" w:hAnsi="Palatino Linotype" w:cs="Palatino Linotype"/>
          <w:strike/>
          <w:sz w:val="22"/>
          <w:szCs w:val="22"/>
        </w:rPr>
      </w:pPr>
      <w:r w:rsidRPr="00A4491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D83B85" w:rsidRPr="00A44912" w:rsidRDefault="00052DD8">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rsidR="00D83B85" w:rsidRPr="00A44912" w:rsidRDefault="00052DD8">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Actividad Procesal del interesado. Acciones u omisiones del interesado.</w:t>
      </w:r>
    </w:p>
    <w:p w:rsidR="00D83B85" w:rsidRPr="00A44912" w:rsidRDefault="00052DD8">
      <w:pPr>
        <w:numPr>
          <w:ilvl w:val="0"/>
          <w:numId w:val="4"/>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rsidR="00D83B85" w:rsidRPr="00A44912" w:rsidRDefault="00052DD8">
      <w:pPr>
        <w:tabs>
          <w:tab w:val="left" w:pos="567"/>
        </w:tabs>
        <w:spacing w:before="240" w:after="240" w:line="360" w:lineRule="auto"/>
        <w:ind w:left="284"/>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4491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44912">
        <w:rPr>
          <w:rFonts w:ascii="Palatino Linotype" w:eastAsia="Palatino Linotype" w:hAnsi="Palatino Linotype" w:cs="Palatino Linotype"/>
          <w:sz w:val="22"/>
          <w:szCs w:val="22"/>
        </w:rPr>
        <w:t>, visible en la Gaceta del Seminario Judicial de la Federación con el registro digital 205635.</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D83B85" w:rsidRPr="00A44912" w:rsidRDefault="00052DD8">
      <w:pP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PLAZO RAZONABLE PARA RESOLVER. DIMENSIÓN Y EFECTOS DE ESTE CONCEPTO CUANDO SE ADUCE EXCESIVA CARGA DE TRABAJO</w:t>
      </w: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sz w:val="22"/>
          <w:szCs w:val="22"/>
        </w:rPr>
        <w:t xml:space="preserve"> consultable en el Seminario Judicial de la Federación y su gaceta, con el registro digital 2002351.</w:t>
      </w:r>
    </w:p>
    <w:p w:rsidR="00D83B85" w:rsidRPr="00A44912" w:rsidRDefault="00052DD8">
      <w:pP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sz w:val="22"/>
          <w:szCs w:val="22"/>
        </w:rPr>
        <w:t>, visible en el Seminario Judicial de la Federación y su gaceta, con el registro digital 2002350.</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D83B85" w:rsidRPr="00A44912" w:rsidRDefault="00052DD8">
      <w:pPr>
        <w:widowControl w:val="0"/>
        <w:spacing w:before="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 xml:space="preserve">10. Cierre de instrucción. </w:t>
      </w:r>
      <w:r w:rsidRPr="00A4491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A44912">
        <w:rPr>
          <w:rFonts w:ascii="Palatino Linotype" w:eastAsia="Palatino Linotype" w:hAnsi="Palatino Linotype" w:cs="Palatino Linotype"/>
          <w:b/>
          <w:sz w:val="22"/>
          <w:szCs w:val="22"/>
        </w:rPr>
        <w:t>diez de noviembre de dos mil veinticinco</w:t>
      </w:r>
      <w:r w:rsidRPr="00A4491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D83B85" w:rsidRPr="00A44912" w:rsidRDefault="00052DD8">
      <w:pPr>
        <w:widowControl w:val="0"/>
        <w:spacing w:before="240" w:after="240" w:line="360" w:lineRule="auto"/>
        <w:jc w:val="center"/>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II. C O N S I D E R A N D O 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Primero. Competencia.</w:t>
      </w:r>
      <w:r w:rsidRPr="00A4491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A44912">
        <w:rPr>
          <w:rFonts w:ascii="Palatino Linotype" w:eastAsia="Palatino Linotype" w:hAnsi="Palatino Linotype" w:cs="Palatino Linotype"/>
          <w:b/>
          <w:sz w:val="22"/>
          <w:szCs w:val="22"/>
        </w:rPr>
        <w:t xml:space="preserve">Segundo. Oportunidad y </w:t>
      </w:r>
      <w:proofErr w:type="spellStart"/>
      <w:r w:rsidRPr="00A44912">
        <w:rPr>
          <w:rFonts w:ascii="Palatino Linotype" w:eastAsia="Palatino Linotype" w:hAnsi="Palatino Linotype" w:cs="Palatino Linotype"/>
          <w:b/>
          <w:sz w:val="22"/>
          <w:szCs w:val="22"/>
        </w:rPr>
        <w:t>Procedibilidad</w:t>
      </w:r>
      <w:proofErr w:type="spellEnd"/>
      <w:r w:rsidRPr="00A44912">
        <w:rPr>
          <w:rFonts w:ascii="Palatino Linotype" w:eastAsia="Palatino Linotype" w:hAnsi="Palatino Linotype" w:cs="Palatino Linotype"/>
          <w:b/>
          <w:sz w:val="22"/>
          <w:szCs w:val="22"/>
        </w:rPr>
        <w:t xml:space="preserve"> del Recurso de Revisión</w:t>
      </w:r>
      <w:r w:rsidRPr="00A4491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44912">
        <w:rPr>
          <w:rFonts w:ascii="Palatino Linotype" w:eastAsia="Palatino Linotype" w:hAnsi="Palatino Linotype" w:cs="Palatino Linotype"/>
          <w:sz w:val="22"/>
          <w:szCs w:val="22"/>
        </w:rPr>
        <w:t>procedibilidad</w:t>
      </w:r>
      <w:proofErr w:type="spellEnd"/>
      <w:r w:rsidRPr="00A4491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remitió la respuesta a la solicitud de información el día </w:t>
      </w:r>
      <w:r w:rsidRPr="00A44912">
        <w:rPr>
          <w:rFonts w:ascii="Palatino Linotype" w:eastAsia="Palatino Linotype" w:hAnsi="Palatino Linotype" w:cs="Palatino Linotype"/>
          <w:b/>
          <w:sz w:val="22"/>
          <w:szCs w:val="22"/>
        </w:rPr>
        <w:t xml:space="preserve">dieciocho de junio de dos mil veinticinco, </w:t>
      </w:r>
      <w:r w:rsidRPr="00A44912">
        <w:rPr>
          <w:rFonts w:ascii="Palatino Linotype" w:eastAsia="Palatino Linotype" w:hAnsi="Palatino Linotype" w:cs="Palatino Linotype"/>
          <w:sz w:val="22"/>
          <w:szCs w:val="22"/>
        </w:rPr>
        <w:t xml:space="preserve">mientras que el recurso de revisión interpuesto por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se tuvo por presentado el día</w:t>
      </w:r>
      <w:r w:rsidRPr="00A44912">
        <w:rPr>
          <w:rFonts w:ascii="Palatino Linotype" w:eastAsia="Palatino Linotype" w:hAnsi="Palatino Linotype" w:cs="Palatino Linotype"/>
          <w:b/>
          <w:sz w:val="22"/>
          <w:szCs w:val="22"/>
        </w:rPr>
        <w:t xml:space="preserve"> veinticuatro de junio de dos mil veinticinco, </w:t>
      </w:r>
      <w:r w:rsidRPr="00A44912">
        <w:rPr>
          <w:rFonts w:ascii="Palatino Linotype" w:eastAsia="Palatino Linotype" w:hAnsi="Palatino Linotype" w:cs="Palatino Linotype"/>
          <w:sz w:val="22"/>
          <w:szCs w:val="22"/>
        </w:rPr>
        <w:t>esto es, cuarto día hábil posterior a aquel en el que tuvo conocimiento de la respuesta impugnada. En este sentido, se concluye que el presente recurso de revisión se encuentra dentro de los márgenes temporales previstos en las disposiciones legales referidas.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Al mismo tiempo, por cuanto hace a la </w:t>
      </w:r>
      <w:proofErr w:type="spellStart"/>
      <w:r w:rsidRPr="00A44912">
        <w:rPr>
          <w:rFonts w:ascii="Palatino Linotype" w:eastAsia="Palatino Linotype" w:hAnsi="Palatino Linotype" w:cs="Palatino Linotype"/>
          <w:sz w:val="22"/>
          <w:szCs w:val="22"/>
        </w:rPr>
        <w:t>procedibilidad</w:t>
      </w:r>
      <w:proofErr w:type="spellEnd"/>
      <w:r w:rsidRPr="00A44912">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en sus motivos de inconformidad, de acuerdo al artículo 179, fracción VIII del ordenamiento legal citado, que a la letra dice: </w:t>
      </w:r>
    </w:p>
    <w:p w:rsidR="00D83B85" w:rsidRPr="00A44912" w:rsidRDefault="00052DD8">
      <w:pPr>
        <w:tabs>
          <w:tab w:val="left" w:pos="7938"/>
        </w:tabs>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179.</w:t>
      </w:r>
      <w:r w:rsidRPr="00A4491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83B85" w:rsidRPr="00A44912" w:rsidRDefault="00052DD8">
      <w:pPr>
        <w:tabs>
          <w:tab w:val="left" w:pos="7938"/>
        </w:tabs>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7938"/>
        </w:tabs>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xml:space="preserve">VIII. </w:t>
      </w:r>
      <w:r w:rsidRPr="00A44912">
        <w:rPr>
          <w:rFonts w:ascii="Palatino Linotype" w:eastAsia="Palatino Linotype" w:hAnsi="Palatino Linotype" w:cs="Palatino Linotype"/>
          <w:i/>
          <w:sz w:val="22"/>
          <w:szCs w:val="22"/>
        </w:rPr>
        <w:t>La notificación, entrega o puesta a disposición de información en una modalidad o formato distinto al solicitado;”</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 xml:space="preserve">Tercero. Materia de la revisión. </w:t>
      </w:r>
      <w:r w:rsidRPr="00A4491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44912">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A44912">
        <w:rPr>
          <w:rFonts w:ascii="Palatino Linotype" w:eastAsia="Palatino Linotype" w:hAnsi="Palatino Linotype" w:cs="Palatino Linotype"/>
          <w:sz w:val="22"/>
          <w:szCs w:val="22"/>
        </w:rPr>
        <w:t xml:space="preserve">de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o en su defecto, en caso de ser procedente, ordenar la entrega de información.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A44912">
        <w:rPr>
          <w:rFonts w:ascii="Palatino Linotype" w:eastAsia="Palatino Linotype" w:hAnsi="Palatino Linotype" w:cs="Palatino Linotype"/>
          <w:b/>
          <w:sz w:val="22"/>
          <w:szCs w:val="22"/>
        </w:rPr>
        <w:t xml:space="preserve">Cuarto. Estudio del asunto. </w:t>
      </w:r>
      <w:r w:rsidRPr="00A44912">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4</w:t>
      </w:r>
      <w:r w:rsidRPr="00A4491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4491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44912">
        <w:rPr>
          <w:rFonts w:ascii="Palatino Linotype" w:eastAsia="Palatino Linotype" w:hAnsi="Palatino Linotype" w:cs="Palatino Linotype"/>
          <w:i/>
          <w:sz w:val="22"/>
          <w:szCs w:val="22"/>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12.-</w:t>
      </w:r>
      <w:r w:rsidRPr="00A4491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D83B85" w:rsidRPr="00A44912" w:rsidRDefault="00052DD8">
      <w:pPr>
        <w:spacing w:before="240" w:after="240" w:line="360" w:lineRule="auto"/>
        <w:ind w:right="-93"/>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w:t>
      </w:r>
      <w:proofErr w:type="gramStart"/>
      <w:r w:rsidRPr="00A44912">
        <w:rPr>
          <w:rFonts w:ascii="Palatino Linotype" w:eastAsia="Palatino Linotype" w:hAnsi="Palatino Linotype" w:cs="Palatino Linotype"/>
          <w:sz w:val="22"/>
          <w:szCs w:val="22"/>
        </w:rPr>
        <w:t>que</w:t>
      </w:r>
      <w:proofErr w:type="gramEnd"/>
      <w:r w:rsidRPr="00A44912">
        <w:rPr>
          <w:rFonts w:ascii="Palatino Linotype" w:eastAsia="Palatino Linotype" w:hAnsi="Palatino Linotype" w:cs="Palatino Linotype"/>
          <w:sz w:val="22"/>
          <w:szCs w:val="22"/>
        </w:rPr>
        <w:t xml:space="preserve"> por rubro y texto, dispone lo siguiente:</w:t>
      </w:r>
      <w:r w:rsidRPr="00A44912">
        <w:rPr>
          <w:rFonts w:ascii="Palatino Linotype" w:eastAsia="Palatino Linotype" w:hAnsi="Palatino Linotype" w:cs="Palatino Linotype"/>
          <w:b/>
          <w:sz w:val="22"/>
          <w:szCs w:val="22"/>
        </w:rPr>
        <w:t xml:space="preserve"> </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No existe obligación de elaborar documentos ad hoc para atender las solicitudes de acceso a la información.</w:t>
      </w:r>
      <w:r w:rsidRPr="00A4491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83B85" w:rsidRPr="00A44912" w:rsidRDefault="00052DD8">
      <w:pPr>
        <w:spacing w:before="120" w:after="12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83B85" w:rsidRPr="00A44912" w:rsidRDefault="00052DD8">
      <w:pPr>
        <w:spacing w:before="120" w:after="12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 xml:space="preserve">Artículo 3. </w:t>
      </w:r>
      <w:r w:rsidRPr="00A44912">
        <w:rPr>
          <w:rFonts w:ascii="Palatino Linotype" w:eastAsia="Palatino Linotype" w:hAnsi="Palatino Linotype" w:cs="Palatino Linotype"/>
          <w:i/>
          <w:sz w:val="22"/>
          <w:szCs w:val="22"/>
        </w:rPr>
        <w:t>Para los efectos de la presente Ley se entenderá por:</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XI. Documento:</w:t>
      </w:r>
      <w:r w:rsidRPr="00A44912">
        <w:rPr>
          <w:rFonts w:ascii="Palatino Linotype" w:eastAsia="Palatino Linotype" w:hAnsi="Palatino Linotype" w:cs="Palatino Linotype"/>
          <w:i/>
          <w:sz w:val="22"/>
          <w:szCs w:val="22"/>
        </w:rPr>
        <w:t xml:space="preserve"> Los expedientes, reportes, estudios, actas</w:t>
      </w:r>
      <w:r w:rsidRPr="00A44912">
        <w:rPr>
          <w:rFonts w:ascii="Palatino Linotype" w:eastAsia="Palatino Linotype" w:hAnsi="Palatino Linotype" w:cs="Palatino Linotype"/>
          <w:b/>
          <w:i/>
          <w:sz w:val="22"/>
          <w:szCs w:val="22"/>
        </w:rPr>
        <w:t>,</w:t>
      </w:r>
      <w:r w:rsidRPr="00A4491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sz w:val="22"/>
          <w:szCs w:val="22"/>
        </w:rPr>
        <w:t>“</w:t>
      </w:r>
      <w:r w:rsidRPr="00A4491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4491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En </w:t>
      </w:r>
      <w:proofErr w:type="gramStart"/>
      <w:r w:rsidRPr="00A44912">
        <w:rPr>
          <w:rFonts w:ascii="Palatino Linotype" w:eastAsia="Palatino Linotype" w:hAnsi="Palatino Linotype" w:cs="Palatino Linotype"/>
          <w:i/>
          <w:sz w:val="22"/>
          <w:szCs w:val="22"/>
        </w:rPr>
        <w:t>consecuencia</w:t>
      </w:r>
      <w:proofErr w:type="gramEnd"/>
      <w:r w:rsidRPr="00A44912">
        <w:rPr>
          <w:rFonts w:ascii="Palatino Linotype" w:eastAsia="Palatino Linotype" w:hAnsi="Palatino Linotype" w:cs="Palatino Linotype"/>
          <w:i/>
          <w:sz w:val="22"/>
          <w:szCs w:val="22"/>
        </w:rPr>
        <w:t xml:space="preserve"> el acceso a la información se refiere a que se cumplan cualquiera de los siguientes tres supuestos:</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44912">
        <w:rPr>
          <w:rFonts w:ascii="Palatino Linotype" w:eastAsia="Palatino Linotype" w:hAnsi="Palatino Linotype" w:cs="Palatino Linotype"/>
          <w:i/>
          <w:sz w:val="22"/>
          <w:szCs w:val="22"/>
        </w:rPr>
        <w:t>que</w:t>
      </w:r>
      <w:proofErr w:type="gramEnd"/>
      <w:r w:rsidRPr="00A44912">
        <w:rPr>
          <w:rFonts w:ascii="Palatino Linotype" w:eastAsia="Palatino Linotype" w:hAnsi="Palatino Linotype" w:cs="Palatino Linotype"/>
          <w:i/>
          <w:sz w:val="22"/>
          <w:szCs w:val="22"/>
        </w:rPr>
        <w:t xml:space="preserve"> en ejercicio de las atribuciones conferidas, sea generada por los Sujetos Obligados;</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44912">
        <w:rPr>
          <w:rFonts w:ascii="Palatino Linotype" w:eastAsia="Palatino Linotype" w:hAnsi="Palatino Linotype" w:cs="Palatino Linotype"/>
          <w:i/>
          <w:sz w:val="22"/>
          <w:szCs w:val="22"/>
        </w:rPr>
        <w:t>que</w:t>
      </w:r>
      <w:proofErr w:type="gramEnd"/>
      <w:r w:rsidRPr="00A44912">
        <w:rPr>
          <w:rFonts w:ascii="Palatino Linotype" w:eastAsia="Palatino Linotype" w:hAnsi="Palatino Linotype" w:cs="Palatino Linotype"/>
          <w:i/>
          <w:sz w:val="22"/>
          <w:szCs w:val="22"/>
        </w:rPr>
        <w:t xml:space="preserve"> en ejercicio de las atribuciones conferidas, sea administrada por los Sujetos Obligados, y</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44912">
        <w:rPr>
          <w:rFonts w:ascii="Palatino Linotype" w:eastAsia="Palatino Linotype" w:hAnsi="Palatino Linotype" w:cs="Palatino Linotype"/>
          <w:i/>
          <w:sz w:val="22"/>
          <w:szCs w:val="22"/>
        </w:rPr>
        <w:t>que</w:t>
      </w:r>
      <w:proofErr w:type="gramEnd"/>
      <w:r w:rsidRPr="00A44912">
        <w:rPr>
          <w:rFonts w:ascii="Palatino Linotype" w:eastAsia="Palatino Linotype" w:hAnsi="Palatino Linotype" w:cs="Palatino Linotype"/>
          <w:i/>
          <w:sz w:val="22"/>
          <w:szCs w:val="22"/>
        </w:rPr>
        <w:t xml:space="preserve"> en ejercicio de las atribuciones conferidas, se encuentre en posesión de los Sujetos Obligados.”</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el mismo tenor, los artículos 6, apartado A, fracción I, de la Constitución Política de los Estados Unidos Mexicanos y 5,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requirió al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le proporcione, información consistente en lo siguiente:</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1. Expediente laboral completo de los integrantes de estructura orgánica pertenecientes a las Direcciones de Oficina de Presidencia, Administración, Servicios Públicos, y Secretaria del Ayuntamiento.</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Cabe mencionar que de conformidad con el artículo 40 del Bando Municipal de Atizapán de Zaragoza vigente, las dependencias municipales centralizadas que integran la estructura orgánica del ayuntamiento, son las siguientes:</w:t>
      </w:r>
    </w:p>
    <w:p w:rsidR="00D83B85" w:rsidRPr="00A44912" w:rsidRDefault="00052DD8">
      <w:pPr>
        <w:spacing w:before="240" w:after="240" w:line="360" w:lineRule="auto"/>
        <w:ind w:right="49"/>
        <w:jc w:val="center"/>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3762375" cy="1581150"/>
            <wp:effectExtent l="0" t="0" r="0" b="0"/>
            <wp:docPr id="21431082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62375" cy="1581150"/>
                    </a:xfrm>
                    <a:prstGeom prst="rect">
                      <a:avLst/>
                    </a:prstGeom>
                    <a:ln/>
                  </pic:spPr>
                </pic:pic>
              </a:graphicData>
            </a:graphic>
          </wp:inline>
        </w:drawing>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consecuencia, debe entenderse que la pretensión de la persona solicitante consiste en obtener el expediente laboral de los servidores públicos adscritos a la Oficina de Presidencia, la Secretaria del Ayuntamiento, y las Direcciones de Administración, y de Servicios Públicos, las </w:t>
      </w:r>
      <w:proofErr w:type="gramStart"/>
      <w:r w:rsidRPr="00A44912">
        <w:rPr>
          <w:rFonts w:ascii="Palatino Linotype" w:eastAsia="Palatino Linotype" w:hAnsi="Palatino Linotype" w:cs="Palatino Linotype"/>
          <w:sz w:val="22"/>
          <w:szCs w:val="22"/>
        </w:rPr>
        <w:t>cuales</w:t>
      </w:r>
      <w:proofErr w:type="gramEnd"/>
      <w:r w:rsidRPr="00A44912">
        <w:rPr>
          <w:rFonts w:ascii="Palatino Linotype" w:eastAsia="Palatino Linotype" w:hAnsi="Palatino Linotype" w:cs="Palatino Linotype"/>
          <w:sz w:val="22"/>
          <w:szCs w:val="22"/>
        </w:rPr>
        <w:t xml:space="preserve"> a su vez, de conformidad con los artículos 24, 41, 49 y 74 del Reglamento Orgánico de la Administración Pública Municipal de Zaragoza vigente, se integran de la siguiente forma: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24</w:t>
      </w:r>
      <w:r w:rsidRPr="00A44912">
        <w:rPr>
          <w:rFonts w:ascii="Palatino Linotype" w:eastAsia="Palatino Linotype" w:hAnsi="Palatino Linotype" w:cs="Palatino Linotype"/>
          <w:i/>
          <w:sz w:val="22"/>
          <w:szCs w:val="22"/>
        </w:rPr>
        <w:t xml:space="preserve">.- La </w:t>
      </w:r>
      <w:r w:rsidRPr="00A44912">
        <w:rPr>
          <w:rFonts w:ascii="Palatino Linotype" w:eastAsia="Palatino Linotype" w:hAnsi="Palatino Linotype" w:cs="Palatino Linotype"/>
          <w:b/>
          <w:i/>
          <w:sz w:val="22"/>
          <w:szCs w:val="22"/>
        </w:rPr>
        <w:t>Oficina de la Presidencia Municipal</w:t>
      </w:r>
      <w:r w:rsidRPr="00A44912">
        <w:rPr>
          <w:rFonts w:ascii="Palatino Linotype" w:eastAsia="Palatino Linotype" w:hAnsi="Palatino Linotype" w:cs="Palatino Linotype"/>
          <w:i/>
          <w:sz w:val="22"/>
          <w:szCs w:val="22"/>
        </w:rPr>
        <w:t xml:space="preserve"> estará integrada por las unidades administrativas que se enuncia a continuación, las cuales se encuentran conformadas por un titular y el personal que requieran de acuerdo a las necesidades del servicio: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 Jefe de la Oficina de la Presidencia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Secretaría Particular del Jefe de la Oficina de la Presidencia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 Departamento de Enlace Institucional</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 Jefe de Oficina Adjunta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Coordinación de Agenda.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 Enlace Administrativo</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 Coordinación de Relaciones Públicas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 Secretaría Particular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Coordinación de Atención Ciudadana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V.II. Oficina de la Presidencia para la Gestión y Atención del Interés Superior de Niñas, Niños y Adolescentes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Departamento 072</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V.IV Coordinación General Municipal de Mejora Regulatoria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Secretaría Técnica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VI.I Unidad de Información, Planeación, Programación y Evaluación.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Unidad de Transparencia y Acceso a la Información Pública.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Secretaría Técnica del Consejo Municipal de Seguridad Pública.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41</w:t>
      </w:r>
      <w:r w:rsidRPr="00A44912">
        <w:rPr>
          <w:rFonts w:ascii="Palatino Linotype" w:eastAsia="Palatino Linotype" w:hAnsi="Palatino Linotype" w:cs="Palatino Linotype"/>
          <w:i/>
          <w:sz w:val="22"/>
          <w:szCs w:val="22"/>
        </w:rPr>
        <w:t xml:space="preserve">.- Para el estudio, planeación y despacho de los asuntos de su competencia la </w:t>
      </w:r>
      <w:r w:rsidRPr="00A44912">
        <w:rPr>
          <w:rFonts w:ascii="Palatino Linotype" w:eastAsia="Palatino Linotype" w:hAnsi="Palatino Linotype" w:cs="Palatino Linotype"/>
          <w:b/>
          <w:i/>
          <w:sz w:val="22"/>
          <w:szCs w:val="22"/>
        </w:rPr>
        <w:t>Secretaría del Ayuntamiento</w:t>
      </w:r>
      <w:r w:rsidRPr="00A44912">
        <w:rPr>
          <w:rFonts w:ascii="Palatino Linotype" w:eastAsia="Palatino Linotype" w:hAnsi="Palatino Linotype" w:cs="Palatino Linotype"/>
          <w:i/>
          <w:sz w:val="22"/>
          <w:szCs w:val="22"/>
        </w:rPr>
        <w:t xml:space="preserve">, se integrará de la siguiente manera: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Secretaría del Ayuntamiento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Enlace Jurídico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Enlace Administrativo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Subsecretaría de Apoyo Institucional</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Departamento de Elaboración de Actas, Acuerdos y Certificaciones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 Departamento de Oficialías Calificadoras y Oficialías Mediadoras Conciliadoras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II.III Departamento de Apoyo Normativo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II.IV Departamento de Oficialías del Registro Civil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II.V Junta Municipal de Reclutamiento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II.VI Oficialía Común de Partes III. Coordinación de Patrimonio Municipal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 Departamento de Bienes Inmuebles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III.II Departamento de Bienes Muebles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III.III Departamento de Archivo Municipal</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 Subsecretaría de Gobierno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IV.I Departamento de COPACIS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IV.II Departamento de Mediación y Conciliación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IV.III Unidad de Atención a la Ciudadanía Zona Esmeralda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IV.IV Unidad de Asuntos Religiosos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IV.V Coordinación Gubernamental Instituciones Públicas y Privadas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IV.VI Departamento de Movilidad</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49</w:t>
      </w:r>
      <w:r w:rsidRPr="00A44912">
        <w:rPr>
          <w:rFonts w:ascii="Palatino Linotype" w:eastAsia="Palatino Linotype" w:hAnsi="Palatino Linotype" w:cs="Palatino Linotype"/>
          <w:i/>
          <w:sz w:val="22"/>
          <w:szCs w:val="22"/>
        </w:rPr>
        <w:t xml:space="preserve">.- Para el estudio, planeación y despacho de los asuntos de su competencia la </w:t>
      </w:r>
      <w:r w:rsidRPr="00A44912">
        <w:rPr>
          <w:rFonts w:ascii="Palatino Linotype" w:eastAsia="Palatino Linotype" w:hAnsi="Palatino Linotype" w:cs="Palatino Linotype"/>
          <w:b/>
          <w:i/>
          <w:sz w:val="22"/>
          <w:szCs w:val="22"/>
        </w:rPr>
        <w:t>Dirección de Administración</w:t>
      </w:r>
      <w:r w:rsidRPr="00A44912">
        <w:rPr>
          <w:rFonts w:ascii="Palatino Linotype" w:eastAsia="Palatino Linotype" w:hAnsi="Palatino Linotype" w:cs="Palatino Linotype"/>
          <w:i/>
          <w:sz w:val="22"/>
          <w:szCs w:val="22"/>
        </w:rPr>
        <w:t>, se integrará de la siguiente manera: I. Dirección de Administración</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Secretaría Técnica.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Coordinador de Enlaces Administrativos.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 Enlace Jurídico</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Subdirección de Informática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Departamento de Informática </w:t>
      </w:r>
    </w:p>
    <w:p w:rsidR="00D83B85" w:rsidRPr="00A44912" w:rsidRDefault="00052DD8">
      <w:pPr>
        <w:spacing w:before="120" w:after="120"/>
        <w:ind w:left="851" w:right="90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III. Subdirección de Recursos Humanos</w:t>
      </w:r>
    </w:p>
    <w:p w:rsidR="00D83B85" w:rsidRPr="00A44912" w:rsidRDefault="00052DD8">
      <w:pPr>
        <w:spacing w:before="120" w:after="120"/>
        <w:ind w:left="851" w:right="90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 xml:space="preserve">III.I Departamento de Nóminas y Pagos </w:t>
      </w:r>
    </w:p>
    <w:p w:rsidR="00D83B85" w:rsidRPr="00A44912" w:rsidRDefault="00052DD8">
      <w:pPr>
        <w:spacing w:before="120" w:after="120"/>
        <w:ind w:left="851" w:right="90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 xml:space="preserve">III.II Departamento de Relaciones Laborales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 Subdirección de Recursos Materiales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IV.I Departamento de Licitaciones e Invitaciones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IV.II Departamento de Adjudicaciones Directas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IV.III Departamento de Almacén</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 Subdirección de Servicios Generales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Departamento de Mantenimiento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 Departamento de Intendencia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V.III Departamento de Logística y Eventos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Subdirección de Control Vehicular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 Departamento Operativo</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Departamento de Administración Vehicular</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74</w:t>
      </w:r>
      <w:r w:rsidRPr="00A44912">
        <w:rPr>
          <w:rFonts w:ascii="Palatino Linotype" w:eastAsia="Palatino Linotype" w:hAnsi="Palatino Linotype" w:cs="Palatino Linotype"/>
          <w:i/>
          <w:sz w:val="22"/>
          <w:szCs w:val="22"/>
        </w:rPr>
        <w:t xml:space="preserve">.- Para el estudio, planeación y despacho de los asuntos de su competencia la </w:t>
      </w:r>
      <w:r w:rsidRPr="00A44912">
        <w:rPr>
          <w:rFonts w:ascii="Palatino Linotype" w:eastAsia="Palatino Linotype" w:hAnsi="Palatino Linotype" w:cs="Palatino Linotype"/>
          <w:b/>
          <w:i/>
          <w:sz w:val="22"/>
          <w:szCs w:val="22"/>
        </w:rPr>
        <w:t>Dirección de Servicios Públicos</w:t>
      </w:r>
      <w:r w:rsidRPr="00A44912">
        <w:rPr>
          <w:rFonts w:ascii="Palatino Linotype" w:eastAsia="Palatino Linotype" w:hAnsi="Palatino Linotype" w:cs="Palatino Linotype"/>
          <w:i/>
          <w:sz w:val="22"/>
          <w:szCs w:val="22"/>
        </w:rPr>
        <w:t>, se integrará de la siguiente manera: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Dirección de Servicios Públicos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Enlace Administrativo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Enlace Jurídico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Subdirección General de Servicios Públicos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 Subdirección de Limpia y Transporte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 Departamento de Disposición de Residuos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II.I.II Departamento de Recolección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II.I.III Departamento de Transferencia y Reciclaje de Residuos</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II.I.IV Departamento de Barrido Zona Norte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II.I.V Departamento de Barrido Zona Sur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 Subdirección de Alumbrado Público;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II.II.I Departamento Zona Norte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II.II.II Departamento Zona Sur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II.III. Subdirección de Parques, Jardines, Panteones y Mobiliario Urbano;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proofErr w:type="gramStart"/>
      <w:r w:rsidRPr="00A44912">
        <w:rPr>
          <w:rFonts w:ascii="Palatino Linotype" w:eastAsia="Palatino Linotype" w:hAnsi="Palatino Linotype" w:cs="Palatino Linotype"/>
          <w:i/>
          <w:sz w:val="22"/>
          <w:szCs w:val="22"/>
        </w:rPr>
        <w:t>II.III.I.</w:t>
      </w:r>
      <w:proofErr w:type="gramEnd"/>
      <w:r w:rsidRPr="00A44912">
        <w:rPr>
          <w:rFonts w:ascii="Palatino Linotype" w:eastAsia="Palatino Linotype" w:hAnsi="Palatino Linotype" w:cs="Palatino Linotype"/>
          <w:i/>
          <w:sz w:val="22"/>
          <w:szCs w:val="22"/>
        </w:rPr>
        <w:t xml:space="preserve"> Departamento de Parques, Jardines y Encalado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proofErr w:type="gramStart"/>
      <w:r w:rsidRPr="00A44912">
        <w:rPr>
          <w:rFonts w:ascii="Palatino Linotype" w:eastAsia="Palatino Linotype" w:hAnsi="Palatino Linotype" w:cs="Palatino Linotype"/>
          <w:i/>
          <w:sz w:val="22"/>
          <w:szCs w:val="22"/>
        </w:rPr>
        <w:t>II.III.II.</w:t>
      </w:r>
      <w:proofErr w:type="gramEnd"/>
      <w:r w:rsidRPr="00A44912">
        <w:rPr>
          <w:rFonts w:ascii="Palatino Linotype" w:eastAsia="Palatino Linotype" w:hAnsi="Palatino Linotype" w:cs="Palatino Linotype"/>
          <w:i/>
          <w:sz w:val="22"/>
          <w:szCs w:val="22"/>
        </w:rPr>
        <w:t xml:space="preserve"> Departamento de Mobiliario Urbano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II.III.III Departamento de Panteones”</w:t>
      </w:r>
    </w:p>
    <w:p w:rsidR="00D83B85" w:rsidRPr="00A44912" w:rsidRDefault="00052DD8">
      <w:pPr>
        <w:spacing w:before="240" w:after="240" w:line="360" w:lineRule="auto"/>
        <w:ind w:right="49"/>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sz w:val="22"/>
          <w:szCs w:val="22"/>
        </w:rPr>
        <w:t xml:space="preserve">Ahora bien, en respuesta,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por conducto de la Dirección de Administración, como la dependencia responsable de integrar y mantener actualizados los expedientes de personal de los servidores públicos municipales, con el auxilio de la  Subdirección de Recursos Humanos, de conformidad con lo establecido en el artículo 48 del Reglamento Orgánico, propuso el cambio de modalidad en la entrega de la información, bajo el argumento de que los expedientes laborales solicitados ascendían a 81, cada uno entre 15 y 30 hojas, dando un total de 2,430 hojas, con un peso de 10,692 MB que sobrepasa las capacidades del SAIMEX, además de las capacidades administrativas y humanas del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por implicar el análisis, estudio o procesamiento de documentos para la elaboración de la versión publica que involucra destinar un número significativo de días, horas y personal exclusivo para atender el requerimiento, lo cual impediría la realización de las demás actividades y atribuciones a cargo del análisis, estudio o procedimiento de documentos que involucra destinar un número significativo de días, horas para atender dicho requerimiento, lo que impediría la realización de las demás actividades y atribuciones a cargo del único Servidor Público Habilitado encargado de dar atención a las solicitudes de información pública, por consiguiente, puso la información a disposición de la persona solicitante en consulta directa,  para lo cual proporcionó los horarios de atención, el número de contacto y el domicilio de la Dirección de Administración; en copias simples o certificadas previo pago de derechos, en medios electrónicos como USB o CD-ROM o memoria extraíble, previo pago de derechos o de manera gratuita si la persona solicitante proporciona dichos medios, asimismo, hizo del conocimiento que la información estaría disponible por un plazo de 60 días en la Dirección de Administración.</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Sin embargo, al no estar conforme con los términos de la respuesta proporcionada,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presentó el recurso de revisión que nos ocupa, donde señaló como motivo de inconformidad, en lo medular, el cambio de modalidad en la entrega de la información.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la etapa de manifestaciones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ratificó en lo sustancial la respuesta proporcionada en primera instancia, asimismo, hizo entrega del Acuerdo de clasificación del Comité de Transparencia, de los datos personales contenidos en los expedientes de personal solicitados, como información confidencial, para la elaboración de la versión publica correspondiente,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Mientras que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A44912">
        <w:rPr>
          <w:rFonts w:ascii="Palatino Linotype" w:eastAsia="Palatino Linotype" w:hAnsi="Palatino Linotype" w:cs="Palatino Linotype"/>
          <w:sz w:val="22"/>
          <w:szCs w:val="22"/>
        </w:rPr>
        <w:t>precluido</w:t>
      </w:r>
      <w:proofErr w:type="spellEnd"/>
      <w:r w:rsidRPr="00A44912">
        <w:rPr>
          <w:rFonts w:ascii="Palatino Linotype" w:eastAsia="Palatino Linotype" w:hAnsi="Palatino Linotype" w:cs="Palatino Linotype"/>
          <w:sz w:val="22"/>
          <w:szCs w:val="22"/>
        </w:rPr>
        <w:t xml:space="preserve"> su derecho.</w:t>
      </w:r>
    </w:p>
    <w:p w:rsidR="00D83B85" w:rsidRPr="00A44912" w:rsidRDefault="00052DD8">
      <w:pPr>
        <w:spacing w:before="280" w:after="28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en contraposición con el motivo de inconformidad alegado por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D83B85" w:rsidRPr="00A44912" w:rsidRDefault="00052DD8">
      <w:pPr>
        <w:tabs>
          <w:tab w:val="left" w:pos="709"/>
        </w:tabs>
        <w:spacing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este tenor, como ha sido mencionado, la Dirección de Administración, como el área competente para conocer de la información que es del interés de la persona solicitante propuso el cambio de modalidad, sin embargo, se requirió que la información fuera remitida mediante el SAIMEX, sistema que tiene como propósito facilitar en la entidad el ejercicio del derecho humano de acceso a la información pública, de forma sencilla y gratuita, como se ilustra a continuación: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2130" cy="1896745"/>
            <wp:effectExtent l="0" t="0" r="0" b="0"/>
            <wp:docPr id="21431082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612130" cy="1896745"/>
                    </a:xfrm>
                    <a:prstGeom prst="rect">
                      <a:avLst/>
                    </a:prstGeom>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lo que respecta al </w:t>
      </w:r>
      <w:r w:rsidRPr="00A44912">
        <w:rPr>
          <w:rFonts w:ascii="Palatino Linotype" w:eastAsia="Palatino Linotype" w:hAnsi="Palatino Linotype" w:cs="Palatino Linotype"/>
          <w:b/>
          <w:sz w:val="22"/>
          <w:szCs w:val="22"/>
          <w:u w:val="single"/>
        </w:rPr>
        <w:t>cambio de modalidad en la entrega de información</w:t>
      </w:r>
      <w:r w:rsidRPr="00A44912">
        <w:rPr>
          <w:rFonts w:ascii="Palatino Linotype" w:eastAsia="Palatino Linotype" w:hAnsi="Palatino Linotype" w:cs="Palatino Linotype"/>
          <w:sz w:val="22"/>
          <w:szCs w:val="22"/>
        </w:rPr>
        <w:t xml:space="preserve">, conviene mencionar que el artículo 155, fracción V, de la Ley de Transparencia y Acceso a la Información Pública del Estado de México y Municipios, precisa que, para presentar una solicitud, la persona solicitante podrá señalar </w:t>
      </w:r>
      <w:r w:rsidRPr="00A44912">
        <w:rPr>
          <w:rFonts w:ascii="Palatino Linotype" w:eastAsia="Palatino Linotype" w:hAnsi="Palatino Linotype" w:cs="Palatino Linotype"/>
          <w:b/>
          <w:sz w:val="22"/>
          <w:szCs w:val="22"/>
        </w:rPr>
        <w:t>la modalidad en la que prefiere se otorgue el acceso a la información</w:t>
      </w:r>
      <w:r w:rsidRPr="00A44912">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A44912">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“FUNDAMENTACIÓN Y MOTIVACIÓN DE LOS ACTOS ADMINISTRATIVOS</w:t>
      </w:r>
      <w:r w:rsidRPr="00A44912">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A44912">
        <w:rPr>
          <w:rFonts w:ascii="Palatino Linotype" w:eastAsia="Palatino Linotype" w:hAnsi="Palatino Linotype" w:cs="Palatino Linotype"/>
          <w:i/>
          <w:sz w:val="22"/>
          <w:szCs w:val="22"/>
        </w:rPr>
        <w:t>subincisos</w:t>
      </w:r>
      <w:proofErr w:type="spellEnd"/>
      <w:r w:rsidRPr="00A44912">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D83B85" w:rsidRPr="00A44912" w:rsidRDefault="00052DD8">
      <w:pPr>
        <w:spacing w:before="120" w:after="12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sz w:val="22"/>
          <w:szCs w:val="22"/>
        </w:rPr>
        <w:t>“</w:t>
      </w:r>
      <w:r w:rsidRPr="00A44912">
        <w:rPr>
          <w:rFonts w:ascii="Palatino Linotype" w:eastAsia="Palatino Linotype" w:hAnsi="Palatino Linotype" w:cs="Palatino Linotype"/>
          <w:b/>
          <w:i/>
          <w:sz w:val="22"/>
          <w:szCs w:val="22"/>
        </w:rPr>
        <w:t>Artículo 160.</w:t>
      </w:r>
      <w:r w:rsidRPr="00A4491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83B85" w:rsidRPr="00A44912" w:rsidRDefault="00052DD8">
      <w:pPr>
        <w:spacing w:before="120" w:after="12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164.</w:t>
      </w:r>
      <w:r w:rsidRPr="00A4491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A44912">
        <w:rPr>
          <w:rFonts w:ascii="Palatino Linotype" w:eastAsia="Palatino Linotype" w:hAnsi="Palatino Linotype" w:cs="Palatino Linotype"/>
          <w:b/>
          <w:i/>
          <w:sz w:val="22"/>
          <w:szCs w:val="22"/>
          <w:u w:val="single"/>
        </w:rPr>
        <w:t>el sujeto obligado deberá ofrecer otra u otras modalidades de entrega.</w:t>
      </w:r>
      <w:r w:rsidRPr="00A44912">
        <w:rPr>
          <w:rFonts w:ascii="Palatino Linotype" w:eastAsia="Palatino Linotype" w:hAnsi="Palatino Linotype" w:cs="Palatino Linotype"/>
          <w:i/>
          <w:sz w:val="22"/>
          <w:szCs w:val="22"/>
        </w:rPr>
        <w:t xml:space="preserve"> En cualquier caso, se deberá fundar y motivar la necesidad de ofrecer otras modalidades.”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tales consideraciones, la entrega deberá hacerse, </w:t>
      </w:r>
      <w:r w:rsidRPr="00A44912">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A44912">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A44912">
        <w:rPr>
          <w:rFonts w:ascii="Palatino Linotype" w:eastAsia="Palatino Linotype" w:hAnsi="Palatino Linotype" w:cs="Palatino Linotype"/>
          <w:b/>
          <w:sz w:val="22"/>
          <w:szCs w:val="22"/>
        </w:rPr>
        <w:t>sólo procede, en caso de que se acredite la imposibilidad de atenderla.</w:t>
      </w:r>
      <w:r w:rsidRPr="00A44912">
        <w:rPr>
          <w:rFonts w:ascii="Palatino Linotype" w:eastAsia="Palatino Linotype" w:hAnsi="Palatino Linotype" w:cs="Palatino Linotype"/>
          <w:sz w:val="22"/>
          <w:szCs w:val="22"/>
        </w:rPr>
        <w:t xml:space="preserve">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Así, cuando se justifique el impedimento, </w:t>
      </w:r>
      <w:r w:rsidRPr="00A44912">
        <w:rPr>
          <w:rFonts w:ascii="Palatino Linotype" w:eastAsia="Palatino Linotype" w:hAnsi="Palatino Linotype" w:cs="Palatino Linotype"/>
          <w:b/>
          <w:sz w:val="22"/>
          <w:szCs w:val="22"/>
        </w:rPr>
        <w:t>los Sujetos Obligados deberán ofrecer al particular otras modalidades de entrega que permita la información</w:t>
      </w:r>
      <w:r w:rsidRPr="00A44912">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D83B85" w:rsidRPr="00A44912" w:rsidRDefault="00052DD8">
      <w:pPr>
        <w:spacing w:before="120" w:after="120"/>
        <w:ind w:left="851" w:right="851"/>
        <w:jc w:val="both"/>
        <w:rPr>
          <w:rFonts w:ascii="Palatino Linotype" w:eastAsia="Palatino Linotype" w:hAnsi="Palatino Linotype" w:cs="Palatino Linotype"/>
          <w:b/>
          <w:i/>
          <w:sz w:val="22"/>
          <w:szCs w:val="22"/>
          <w:u w:val="single"/>
        </w:rPr>
      </w:pPr>
      <w:r w:rsidRPr="00A44912">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A4491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A44912">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A44912">
        <w:rPr>
          <w:rFonts w:ascii="Palatino Linotype" w:eastAsia="Palatino Linotype" w:hAnsi="Palatino Linotype" w:cs="Palatino Linotype"/>
          <w:b/>
          <w:i/>
          <w:sz w:val="22"/>
          <w:szCs w:val="22"/>
        </w:rPr>
        <w:t>.”</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Del citado criterio, se desprende que cuando</w:t>
      </w:r>
      <w:r w:rsidRPr="00A44912">
        <w:rPr>
          <w:rFonts w:ascii="Palatino Linotype" w:eastAsia="Palatino Linotype" w:hAnsi="Palatino Linotype" w:cs="Palatino Linotype"/>
          <w:b/>
          <w:sz w:val="22"/>
          <w:szCs w:val="22"/>
        </w:rPr>
        <w:t xml:space="preserve"> la información no pueda entregarse o enviarse en la modalidad elegida, </w:t>
      </w:r>
      <w:r w:rsidRPr="00A44912">
        <w:rPr>
          <w:rFonts w:ascii="Palatino Linotype" w:eastAsia="Palatino Linotype" w:hAnsi="Palatino Linotype" w:cs="Palatino Linotype"/>
          <w:sz w:val="22"/>
          <w:szCs w:val="22"/>
        </w:rPr>
        <w:t xml:space="preserve">para que la obligación de acceso a la información se tenga por cumplida, </w:t>
      </w:r>
      <w:r w:rsidRPr="00A44912">
        <w:rPr>
          <w:rFonts w:ascii="Palatino Linotype" w:eastAsia="Palatino Linotype" w:hAnsi="Palatino Linotype" w:cs="Palatino Linotype"/>
          <w:b/>
          <w:sz w:val="22"/>
          <w:szCs w:val="22"/>
        </w:rPr>
        <w:t>el Sujeto Obligado deberá ofrecer otra u otras modalidades de entrega.</w:t>
      </w:r>
      <w:r w:rsidRPr="00A44912">
        <w:rPr>
          <w:rFonts w:ascii="Palatino Linotype" w:eastAsia="Palatino Linotype" w:hAnsi="Palatino Linotype" w:cs="Palatino Linotype"/>
          <w:sz w:val="22"/>
          <w:szCs w:val="22"/>
        </w:rPr>
        <w:t xml:space="preserve"> En cualquier caso, </w:t>
      </w:r>
      <w:r w:rsidRPr="00A44912">
        <w:rPr>
          <w:rFonts w:ascii="Palatino Linotype" w:eastAsia="Palatino Linotype" w:hAnsi="Palatino Linotype" w:cs="Palatino Linotype"/>
          <w:b/>
          <w:sz w:val="22"/>
          <w:szCs w:val="22"/>
        </w:rPr>
        <w:t>se deberá fundar y motivar la necesidad de ofrecer otras modalidades</w:t>
      </w:r>
      <w:r w:rsidRPr="00A44912">
        <w:rPr>
          <w:rFonts w:ascii="Palatino Linotype" w:eastAsia="Palatino Linotype" w:hAnsi="Palatino Linotype" w:cs="Palatino Linotype"/>
          <w:sz w:val="22"/>
          <w:szCs w:val="22"/>
        </w:rPr>
        <w:t xml:space="preserve"> que lo permitan, </w:t>
      </w:r>
      <w:r w:rsidRPr="00A44912">
        <w:rPr>
          <w:rFonts w:ascii="Palatino Linotype" w:eastAsia="Palatino Linotype" w:hAnsi="Palatino Linotype" w:cs="Palatino Linotype"/>
          <w:b/>
          <w:sz w:val="22"/>
          <w:szCs w:val="22"/>
        </w:rPr>
        <w:t>procurando reducir los costos de entrega.</w:t>
      </w:r>
    </w:p>
    <w:p w:rsidR="00D83B85" w:rsidRPr="00A44912" w:rsidRDefault="00052DD8">
      <w:pPr>
        <w:spacing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D83B85" w:rsidRPr="00A44912" w:rsidRDefault="00052DD8">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Las razones por las cuales la información implicaba un análisis, estudio o procesamiento de datos;</w:t>
      </w:r>
    </w:p>
    <w:p w:rsidR="00D83B85" w:rsidRPr="00A44912" w:rsidRDefault="00052DD8">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El tiempo no es suficiente para atender la solicitud en la modalidad elegida, y</w:t>
      </w:r>
    </w:p>
    <w:p w:rsidR="00D83B85" w:rsidRPr="00A44912" w:rsidRDefault="00052DD8">
      <w:pPr>
        <w:numPr>
          <w:ilvl w:val="0"/>
          <w:numId w:val="5"/>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La cantidad de recursos humanos y materiales con los que cuenta el Sujeto Obligado son insuficientes.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Aunado a lo descrito,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el caso particular, en la respuesta a la solicitud el servidor público habilitado competente refirió que </w:t>
      </w:r>
      <w:r w:rsidRPr="00A44912">
        <w:rPr>
          <w:rFonts w:ascii="Palatino Linotype" w:eastAsia="Palatino Linotype" w:hAnsi="Palatino Linotype" w:cs="Palatino Linotype"/>
          <w:b/>
          <w:sz w:val="22"/>
          <w:szCs w:val="22"/>
        </w:rPr>
        <w:t>la información para atender la solicitud consistía en 81 expedientes de entre 15 y 30 hojas cada uno aproximadamente, dando un total de 2,430 hojas, con un peso de 10, 692 MB, lo cual sobrepasa las capacidades técnicas del SAIMEX</w:t>
      </w:r>
      <w:r w:rsidRPr="00A44912">
        <w:rPr>
          <w:rFonts w:ascii="Palatino Linotype" w:eastAsia="Palatino Linotype" w:hAnsi="Palatino Linotype" w:cs="Palatino Linotype"/>
          <w:sz w:val="22"/>
          <w:szCs w:val="22"/>
        </w:rPr>
        <w:t>, como se desprende del registro de incidencia emitido por la Dirección General de Informática de este Instituto, mediante oficio número INFOEM/DGI/510/2025, misma que se adjuntó a la respuesta, y que se agrega a continuación para un mejor entendimiento:</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2130" cy="4269105"/>
            <wp:effectExtent l="0" t="0" r="0" b="0"/>
            <wp:docPr id="21431082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612130" cy="4269105"/>
                    </a:xfrm>
                    <a:prstGeom prst="rect">
                      <a:avLst/>
                    </a:prstGeom>
                    <a:ln/>
                  </pic:spPr>
                </pic:pic>
              </a:graphicData>
            </a:graphic>
          </wp:inline>
        </w:drawing>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Asimismo, informo que la entrega de la información a través de la modalidad elegida por la persona solicitante en el plazo que la normativa establece, sobrepasaba las capacidades técnicas, administrativas y humanas del Sujeto Obligado, al implicar el análisis, estudio y procesamiento de documentos para la elaboración de las versiones públicas y posterior digitalización, toda vez que por su naturaleza la información se encuentra en formato físico, además de contener datos personales susceptibles de clasificación, lo cual implica destinar un número significativo de días y horas del único servidor público encargado de dar atención a las solicitudes, pues se cuenta solo con un multifuncional para los trabajos de impresión y escaneo de toda la Dirección, situación que impediría la realización de las demás actividades y atribuciones conferidas a dicha dependencia, dañando con ello notoriamente el cumplimiento de sus funciones.</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Y, si bien, no se soslayan los argumentos hechos valer por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justificar el cambio de modalidad, no debe perderse de vista que en diversas solicitudes de reportes de incidencia, derivado de la sustanciación de diversos recursos de revisión, la Dirección General Informática de este Instituto ha hecho saber que el referido sistema, tiene un soporte tecnológico para que se puedan adjuntar archivos con un </w:t>
      </w:r>
      <w:r w:rsidRPr="00A44912">
        <w:rPr>
          <w:rFonts w:ascii="Palatino Linotype" w:eastAsia="Palatino Linotype" w:hAnsi="Palatino Linotype" w:cs="Palatino Linotype"/>
          <w:b/>
          <w:sz w:val="22"/>
          <w:szCs w:val="22"/>
        </w:rPr>
        <w:t>peso aproximado de 500Mb</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u w:val="single"/>
        </w:rPr>
        <w:t>o su equivalente de hasta 8,000</w:t>
      </w:r>
      <w:r w:rsidRPr="00A44912">
        <w:rPr>
          <w:rFonts w:ascii="Palatino Linotype" w:eastAsia="Palatino Linotype" w:hAnsi="Palatino Linotype" w:cs="Palatino Linotype"/>
          <w:sz w:val="22"/>
          <w:szCs w:val="22"/>
        </w:rPr>
        <w:t xml:space="preserve"> hojas </w:t>
      </w:r>
      <w:r w:rsidRPr="00A44912">
        <w:rPr>
          <w:rFonts w:ascii="Palatino Linotype" w:eastAsia="Palatino Linotype" w:hAnsi="Palatino Linotype" w:cs="Palatino Linotype"/>
          <w:b/>
          <w:sz w:val="22"/>
          <w:szCs w:val="22"/>
          <w:u w:val="single"/>
        </w:rPr>
        <w:t>bajo parámetros escaneo en resolución máxima de 150Dpi’s, escala de grises y formato PDF, extraído directamente del escáner,</w:t>
      </w:r>
      <w:r w:rsidRPr="00A44912">
        <w:rPr>
          <w:rFonts w:ascii="Palatino Linotype" w:eastAsia="Palatino Linotype" w:hAnsi="Palatino Linotype" w:cs="Palatino Linotype"/>
          <w:sz w:val="22"/>
          <w:szCs w:val="22"/>
        </w:rPr>
        <w:t xml:space="preserve"> como se ejemplifica a continuación: </w:t>
      </w:r>
    </w:p>
    <w:p w:rsidR="00D83B85" w:rsidRPr="00A44912" w:rsidRDefault="00052DD8">
      <w:pPr>
        <w:spacing w:before="240" w:after="360" w:line="360" w:lineRule="auto"/>
        <w:jc w:val="center"/>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4500000" cy="1818228"/>
            <wp:effectExtent l="0" t="0" r="0" b="0"/>
            <wp:docPr id="2143108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00000" cy="1818228"/>
                    </a:xfrm>
                    <a:prstGeom prst="rect">
                      <a:avLst/>
                    </a:prstGeom>
                    <a:ln/>
                  </pic:spPr>
                </pic:pic>
              </a:graphicData>
            </a:graphic>
          </wp:inline>
        </w:drawing>
      </w:r>
      <w:r w:rsidRPr="00A44912">
        <w:rPr>
          <w:noProof/>
        </w:rPr>
        <mc:AlternateContent>
          <mc:Choice Requires="wps">
            <w:drawing>
              <wp:anchor distT="0" distB="0" distL="114300" distR="114300" simplePos="0" relativeHeight="251658240" behindDoc="0" locked="0" layoutInCell="1" hidden="0" allowOverlap="1">
                <wp:simplePos x="0" y="0"/>
                <wp:positionH relativeFrom="column">
                  <wp:posOffset>424815</wp:posOffset>
                </wp:positionH>
                <wp:positionV relativeFrom="paragraph">
                  <wp:posOffset>575310</wp:posOffset>
                </wp:positionV>
                <wp:extent cx="4619625" cy="1066800"/>
                <wp:effectExtent l="0" t="0" r="0" b="0"/>
                <wp:wrapNone/>
                <wp:docPr id="2143108270" name="Rectángulo 2143108270"/>
                <wp:cNvGraphicFramePr/>
                <a:graphic xmlns:a="http://schemas.openxmlformats.org/drawingml/2006/main">
                  <a:graphicData uri="http://schemas.microsoft.com/office/word/2010/wordprocessingShape">
                    <wps:wsp>
                      <wps:cNvSpPr/>
                      <wps:spPr>
                        <a:xfrm>
                          <a:off x="3055238" y="3265650"/>
                          <a:ext cx="4581525" cy="1028700"/>
                        </a:xfrm>
                        <a:prstGeom prst="rect">
                          <a:avLst/>
                        </a:prstGeom>
                        <a:noFill/>
                        <a:ln w="38100" cap="flat" cmpd="sng">
                          <a:solidFill>
                            <a:srgbClr val="C00000"/>
                          </a:solidFill>
                          <a:prstDash val="solid"/>
                          <a:round/>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0" o:spid="_x0000_s1026" style="position:absolute;left:0;text-align:left;margin-left:33.45pt;margin-top:45.3pt;width:363.75pt;height: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" filled="f" strokecolor="#c00000" strokeweight="3pt">
                <v:stroke startarrowwidth="narrow" startarrowlength="short" endarrowwidth="narrow" endarrowlength="short" joinstyle="round"/>
                <v:textbox inset="2.53958mm,2.53958mm,2.53958mm,2.53958mm">
                  <w:txbxContent>
                    <w:p w:rsidR="00563B1C" w:rsidRDefault="00563B1C">
                      <w:pPr>
                        <w:textDirection w:val="btLr"/>
                      </w:pPr>
                    </w:p>
                  </w:txbxContent>
                </v:textbox>
              </v:rect>
            </w:pict>
          </mc:Fallback>
        </mc:AlternateConten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lo que con la finalidad de allegarse de elementos que permitieran a este Organismo Garante verificar que en el presente asunto efectivamente se justificaba la necesidad del cambio de modalidad en la entrega de la información, ya que por un lado el servidor público habilitado indicó que la información mediante la cual se atendería la solicitud ascendía a 2,340 hojas aproximadamente, mientras que el SAIMEX soporta el equivalente a 8,000 hojas,  se hizo un requerimiento de información adicional al Sujeto Obligado, con la finalidad de que precisara, entre otros datos, los siguientes:</w:t>
      </w:r>
    </w:p>
    <w:p w:rsidR="00D83B85" w:rsidRPr="00A44912" w:rsidRDefault="00052DD8">
      <w:pPr>
        <w:spacing w:before="240" w:after="240" w:line="360" w:lineRule="auto"/>
        <w:ind w:left="284" w:right="51"/>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 El número de servidores públicos adscritos a las dependencias señaladas en la solicitud, </w:t>
      </w:r>
      <w:r w:rsidRPr="00A44912">
        <w:rPr>
          <w:rFonts w:ascii="Palatino Linotype" w:eastAsia="Palatino Linotype" w:hAnsi="Palatino Linotype" w:cs="Palatino Linotype"/>
          <w:b/>
          <w:sz w:val="22"/>
          <w:szCs w:val="22"/>
          <w:u w:val="single"/>
        </w:rPr>
        <w:t>a la fecha de presentación de la solicitud,</w:t>
      </w:r>
      <w:r w:rsidRPr="00A44912">
        <w:rPr>
          <w:rFonts w:ascii="Palatino Linotype" w:eastAsia="Palatino Linotype" w:hAnsi="Palatino Linotype" w:cs="Palatino Linotype"/>
          <w:b/>
          <w:sz w:val="22"/>
          <w:szCs w:val="22"/>
        </w:rPr>
        <w:t xml:space="preserve"> </w:t>
      </w:r>
      <w:r w:rsidRPr="00A44912">
        <w:rPr>
          <w:rFonts w:ascii="Palatino Linotype" w:eastAsia="Palatino Linotype" w:hAnsi="Palatino Linotype" w:cs="Palatino Linotype"/>
          <w:sz w:val="22"/>
          <w:szCs w:val="22"/>
        </w:rPr>
        <w:t>es decir,</w:t>
      </w:r>
      <w:r w:rsidRPr="00A44912">
        <w:rPr>
          <w:rFonts w:ascii="Palatino Linotype" w:eastAsia="Palatino Linotype" w:hAnsi="Palatino Linotype" w:cs="Palatino Linotype"/>
          <w:b/>
          <w:sz w:val="22"/>
          <w:szCs w:val="22"/>
        </w:rPr>
        <w:t xml:space="preserve"> al veintiocho de mayo de dos mil veinticinco. </w:t>
      </w:r>
    </w:p>
    <w:p w:rsidR="00D83B85" w:rsidRPr="00A44912" w:rsidRDefault="00052DD8">
      <w:pPr>
        <w:spacing w:before="240" w:after="240" w:line="360" w:lineRule="auto"/>
        <w:ind w:left="284"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 Los documentos que integran un expediente de personal y bajo que lineamiento, norma o fundamento legal se integran. Por ejemplo, solicitud de empleo, </w:t>
      </w:r>
      <w:proofErr w:type="spellStart"/>
      <w:r w:rsidRPr="00A44912">
        <w:rPr>
          <w:rFonts w:ascii="Palatino Linotype" w:eastAsia="Palatino Linotype" w:hAnsi="Palatino Linotype" w:cs="Palatino Linotype"/>
          <w:sz w:val="22"/>
          <w:szCs w:val="22"/>
        </w:rPr>
        <w:t>curriculum</w:t>
      </w:r>
      <w:proofErr w:type="spellEnd"/>
      <w:r w:rsidRPr="00A44912">
        <w:rPr>
          <w:rFonts w:ascii="Palatino Linotype" w:eastAsia="Palatino Linotype" w:hAnsi="Palatino Linotype" w:cs="Palatino Linotype"/>
          <w:sz w:val="22"/>
          <w:szCs w:val="22"/>
        </w:rPr>
        <w:t xml:space="preserve"> vitae o documento análogo; nombramiento, FUMP, contrato o documento </w:t>
      </w:r>
      <w:proofErr w:type="gramStart"/>
      <w:r w:rsidRPr="00A44912">
        <w:rPr>
          <w:rFonts w:ascii="Palatino Linotype" w:eastAsia="Palatino Linotype" w:hAnsi="Palatino Linotype" w:cs="Palatino Linotype"/>
          <w:sz w:val="22"/>
          <w:szCs w:val="22"/>
        </w:rPr>
        <w:t>análogo,  comprobante</w:t>
      </w:r>
      <w:proofErr w:type="gramEnd"/>
      <w:r w:rsidRPr="00A44912">
        <w:rPr>
          <w:rFonts w:ascii="Palatino Linotype" w:eastAsia="Palatino Linotype" w:hAnsi="Palatino Linotype" w:cs="Palatino Linotype"/>
          <w:sz w:val="22"/>
          <w:szCs w:val="22"/>
        </w:rPr>
        <w:t xml:space="preserve"> del grado de estudios, certificación de competencia laboral, entre otros.</w:t>
      </w:r>
    </w:p>
    <w:p w:rsidR="00D83B85" w:rsidRPr="00A44912" w:rsidRDefault="00052DD8">
      <w:pPr>
        <w:spacing w:before="240" w:after="240" w:line="360" w:lineRule="auto"/>
        <w:ind w:left="284"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El número de hojas promedio que comprenden o integran cada documento, y si la dependencia cuenta con formatos establecidos, por ejemplo, por cuanto hace a la información curricular o ésta se presenta de manera libre por los servidores públicos.</w:t>
      </w:r>
    </w:p>
    <w:p w:rsidR="00D83B85" w:rsidRPr="00A44912" w:rsidRDefault="00052DD8">
      <w:pPr>
        <w:spacing w:before="240" w:after="240" w:line="360" w:lineRule="auto"/>
        <w:ind w:left="284"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 El número de documentos aproximado por cada expediente de personal de los servidores públicos adscritos a las dependencias referidas en la solicitud, </w:t>
      </w:r>
      <w:r w:rsidRPr="00A44912">
        <w:rPr>
          <w:rFonts w:ascii="Palatino Linotype" w:eastAsia="Palatino Linotype" w:hAnsi="Palatino Linotype" w:cs="Palatino Linotype"/>
          <w:b/>
          <w:sz w:val="22"/>
          <w:szCs w:val="22"/>
          <w:u w:val="single"/>
        </w:rPr>
        <w:t>sin considerar aquellos que deben clasificarse como confidenciales en su totalidad</w:t>
      </w:r>
      <w:r w:rsidRPr="00A44912">
        <w:rPr>
          <w:rFonts w:ascii="Palatino Linotype" w:eastAsia="Palatino Linotype" w:hAnsi="Palatino Linotype" w:cs="Palatino Linotype"/>
          <w:sz w:val="22"/>
          <w:szCs w:val="22"/>
        </w:rPr>
        <w:t>; de manera enunciativa, más no limitativa: Acta de nacimiento, Clave Única de Registro de Población (CURP), Cédula de Identificación Fiscal, comprobante de domicilio, credencial para votar, cartas de recomendación, Cartilla de Servicio Militar, contrato bancario, entre otros.</w:t>
      </w:r>
    </w:p>
    <w:p w:rsidR="00D83B85" w:rsidRPr="00A44912" w:rsidRDefault="00052DD8">
      <w:pPr>
        <w:spacing w:before="240" w:after="240" w:line="360" w:lineRule="auto"/>
        <w:ind w:left="284" w:right="51"/>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 Proporcionara cualquier dato que permita esclarecer que los documentos que integran los expedientes de personal solicitados, </w:t>
      </w:r>
      <w:r w:rsidRPr="00A44912">
        <w:rPr>
          <w:rFonts w:ascii="Palatino Linotype" w:eastAsia="Palatino Linotype" w:hAnsi="Palatino Linotype" w:cs="Palatino Linotype"/>
          <w:b/>
          <w:sz w:val="22"/>
          <w:szCs w:val="22"/>
          <w:u w:val="single"/>
        </w:rPr>
        <w:t>susceptibles de ser entregados en versión pública a través del SAIMEX</w:t>
      </w:r>
      <w:r w:rsidRPr="00A44912">
        <w:rPr>
          <w:rFonts w:ascii="Palatino Linotype" w:eastAsia="Palatino Linotype" w:hAnsi="Palatino Linotype" w:cs="Palatino Linotype"/>
          <w:b/>
          <w:sz w:val="22"/>
          <w:szCs w:val="22"/>
        </w:rPr>
        <w:t>, corresponden a 81 expedientes, conformados por 15 a 30 fojas cada uno, con un volumen total de 2,430 fojas y un peso 10,692 MB, aproximadamente.</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igual forma, se requirió que </w:t>
      </w:r>
      <w:r w:rsidRPr="00A44912">
        <w:rPr>
          <w:rFonts w:ascii="Palatino Linotype" w:eastAsia="Palatino Linotype" w:hAnsi="Palatino Linotype" w:cs="Palatino Linotype"/>
          <w:b/>
          <w:sz w:val="22"/>
          <w:szCs w:val="22"/>
        </w:rPr>
        <w:t>se remitiera a manera de ejemplo,</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rPr>
        <w:t>un expediente de personal</w:t>
      </w:r>
      <w:r w:rsidRPr="00A44912">
        <w:rPr>
          <w:rFonts w:ascii="Palatino Linotype" w:eastAsia="Palatino Linotype" w:hAnsi="Palatino Linotype" w:cs="Palatino Linotype"/>
          <w:sz w:val="22"/>
          <w:szCs w:val="22"/>
        </w:rPr>
        <w:t xml:space="preserve">, que formara parte de la información solicitada, el cual </w:t>
      </w:r>
      <w:r w:rsidRPr="00A44912">
        <w:rPr>
          <w:rFonts w:ascii="Palatino Linotype" w:eastAsia="Palatino Linotype" w:hAnsi="Palatino Linotype" w:cs="Palatino Linotype"/>
          <w:b/>
          <w:sz w:val="22"/>
          <w:szCs w:val="22"/>
        </w:rPr>
        <w:t xml:space="preserve">debía estar integrado por los documentos </w:t>
      </w:r>
      <w:r w:rsidRPr="00A44912">
        <w:rPr>
          <w:rFonts w:ascii="Palatino Linotype" w:eastAsia="Palatino Linotype" w:hAnsi="Palatino Linotype" w:cs="Palatino Linotype"/>
          <w:b/>
          <w:sz w:val="22"/>
          <w:szCs w:val="22"/>
          <w:u w:val="single"/>
        </w:rPr>
        <w:t>susceptibles de entregarse en versión pública</w:t>
      </w:r>
      <w:r w:rsidRPr="00A44912">
        <w:rPr>
          <w:rFonts w:ascii="Palatino Linotype" w:eastAsia="Palatino Linotype" w:hAnsi="Palatino Linotype" w:cs="Palatino Linotype"/>
          <w:b/>
          <w:sz w:val="22"/>
          <w:szCs w:val="22"/>
        </w:rPr>
        <w:t>,</w:t>
      </w:r>
      <w:r w:rsidRPr="00A44912">
        <w:rPr>
          <w:rFonts w:ascii="Palatino Linotype" w:eastAsia="Palatino Linotype" w:hAnsi="Palatino Linotype" w:cs="Palatino Linotype"/>
          <w:sz w:val="22"/>
          <w:szCs w:val="22"/>
        </w:rPr>
        <w:t xml:space="preserve"> los cuales </w:t>
      </w:r>
      <w:r w:rsidRPr="00A44912">
        <w:rPr>
          <w:rFonts w:ascii="Palatino Linotype" w:eastAsia="Palatino Linotype" w:hAnsi="Palatino Linotype" w:cs="Palatino Linotype"/>
          <w:b/>
          <w:sz w:val="22"/>
          <w:szCs w:val="22"/>
          <w:u w:val="single"/>
        </w:rPr>
        <w:t>deberán digitalizarse en resolución máxima de 150Dpi's, escala de grises y formato "PDF", extraído directamente del escáner</w:t>
      </w:r>
      <w:r w:rsidRPr="00A44912">
        <w:rPr>
          <w:rFonts w:ascii="Palatino Linotype" w:eastAsia="Palatino Linotype" w:hAnsi="Palatino Linotype" w:cs="Palatino Linotype"/>
          <w:sz w:val="22"/>
          <w:szCs w:val="22"/>
        </w:rPr>
        <w:t>.</w:t>
      </w:r>
    </w:p>
    <w:p w:rsidR="00D83B85" w:rsidRPr="00A44912" w:rsidRDefault="00052DD8">
      <w:pPr>
        <w:spacing w:before="240" w:after="240" w:line="360" w:lineRule="auto"/>
        <w:jc w:val="both"/>
        <w:rPr>
          <w:rFonts w:ascii="Palatino Linotype" w:eastAsia="Palatino Linotype" w:hAnsi="Palatino Linotype" w:cs="Palatino Linotype"/>
        </w:rPr>
      </w:pPr>
      <w:r w:rsidRPr="00A44912">
        <w:rPr>
          <w:rFonts w:ascii="Palatino Linotype" w:eastAsia="Palatino Linotype" w:hAnsi="Palatino Linotype" w:cs="Palatino Linotype"/>
          <w:sz w:val="22"/>
          <w:szCs w:val="22"/>
        </w:rPr>
        <w:t xml:space="preserve">Sin embargo, ante la omisión del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de atender el requerimiento de información adicional en los términos planteados, </w:t>
      </w:r>
      <w:r w:rsidRPr="00A44912">
        <w:rPr>
          <w:rFonts w:ascii="Palatino Linotype" w:eastAsia="Palatino Linotype" w:hAnsi="Palatino Linotype" w:cs="Palatino Linotype"/>
          <w:b/>
          <w:sz w:val="22"/>
          <w:szCs w:val="22"/>
        </w:rPr>
        <w:t xml:space="preserve">este Organismo Garante no cuenta con los elementos suficientes para determinar la procedencia del cambio de modalidad, al no tener certeza de los documentos con los cuales se pretende dar atención a la solicitud, </w:t>
      </w:r>
      <w:r w:rsidRPr="00A44912">
        <w:rPr>
          <w:rFonts w:ascii="Palatino Linotype" w:eastAsia="Palatino Linotype" w:hAnsi="Palatino Linotype" w:cs="Palatino Linotype"/>
          <w:sz w:val="22"/>
          <w:szCs w:val="22"/>
        </w:rPr>
        <w:t>y si dicha información efectivamente sobrepasa las capacidades técnicas del SAIMEX</w:t>
      </w:r>
      <w:r w:rsidRPr="00A44912">
        <w:rPr>
          <w:rFonts w:ascii="Palatino Linotype" w:eastAsia="Palatino Linotype" w:hAnsi="Palatino Linotype" w:cs="Palatino Linotype"/>
        </w:rPr>
        <w:t>.</w:t>
      </w:r>
    </w:p>
    <w:p w:rsidR="00D83B85" w:rsidRPr="00A44912" w:rsidRDefault="00052DD8">
      <w:pPr>
        <w:spacing w:before="240" w:after="240" w:line="360" w:lineRule="auto"/>
        <w:jc w:val="both"/>
        <w:rPr>
          <w:rFonts w:ascii="Palatino Linotype" w:eastAsia="Palatino Linotype" w:hAnsi="Palatino Linotype" w:cs="Palatino Linotype"/>
        </w:rPr>
      </w:pPr>
      <w:r w:rsidRPr="00A44912">
        <w:rPr>
          <w:rFonts w:ascii="Palatino Linotype" w:eastAsia="Palatino Linotype" w:hAnsi="Palatino Linotype" w:cs="Palatino Linotype"/>
          <w:sz w:val="22"/>
          <w:szCs w:val="22"/>
        </w:rPr>
        <w:t xml:space="preserve">Para sustentar dicha determinación, debe tomarse en consideración en primer lugar, la naturaleza de la información solicitada, esto es, de los expedientes de personal, para lo cual es imprescindible mencionar que si bien es cierto, para formar parte del servicio público los interesados deben cumplir con aquellos requisitos que se establezcan en la normativa para los diferentes puestos, siendo obligación de las instituciones públicas integrar los expedientes de personal o laborales correspondientes de conformidad con lo establecido en el artículo 98 de Ley del Trabajo de los Servidores Públicos del Estado de México y Municipios, no debe perderse de vista que estos </w:t>
      </w:r>
      <w:r w:rsidRPr="00A44912">
        <w:rPr>
          <w:rFonts w:ascii="Palatino Linotype" w:eastAsia="Palatino Linotype" w:hAnsi="Palatino Linotype" w:cs="Palatino Linotype"/>
          <w:b/>
          <w:sz w:val="22"/>
          <w:szCs w:val="22"/>
        </w:rPr>
        <w:t>constituyen acervos documentales en los cuales converge tanto información pública como aquella con el carácter de privada de los servidores públicos</w:t>
      </w:r>
      <w:r w:rsidRPr="00A44912">
        <w:rPr>
          <w:rFonts w:ascii="Palatino Linotype" w:eastAsia="Palatino Linotype" w:hAnsi="Palatino Linotype" w:cs="Palatino Linotype"/>
          <w:sz w:val="22"/>
          <w:szCs w:val="22"/>
        </w:rPr>
        <w:t>; siendo susceptible del conocimiento de cualquier persona, solo la primera de ellas, mientras que la segunda es susceptible de ser clasificada como confidencial, ya sea en su totalidad o bien parcialmente a través de la elaboración de versiones públicas, siempre y cuando el documento en cuestión lo permita.</w:t>
      </w:r>
    </w:p>
    <w:p w:rsidR="00D83B85" w:rsidRPr="00A44912" w:rsidRDefault="00052DD8">
      <w:pPr>
        <w:tabs>
          <w:tab w:val="left" w:pos="709"/>
        </w:tabs>
        <w:spacing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Para mayor claridad, es preciso a señalar los requisitos generales que deben presentar los servidores públicos para ingresar a una institución pública, los cuales se encuentran contenidos en los artículos 47, 48 y 49, de la Ley del Trabajo de los Servidores Públicos del Estado de México y Municipios, así como el documento idóneo con el que se pudieran acreditar, son los siguientes:</w:t>
      </w:r>
    </w:p>
    <w:p w:rsidR="00D83B85" w:rsidRPr="00A44912" w:rsidRDefault="00D83B85">
      <w:pPr>
        <w:rPr>
          <w:rFonts w:ascii="Palatino Linotype" w:eastAsia="Palatino Linotype" w:hAnsi="Palatino Linotype" w:cs="Palatino Linotype"/>
          <w:sz w:val="22"/>
          <w:szCs w:val="22"/>
        </w:rPr>
      </w:pPr>
    </w:p>
    <w:tbl>
      <w:tblPr>
        <w:tblStyle w:val="affe"/>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7"/>
        <w:gridCol w:w="2607"/>
        <w:gridCol w:w="2410"/>
      </w:tblGrid>
      <w:tr w:rsidR="00730F53" w:rsidRPr="00A44912">
        <w:trPr>
          <w:tblHeader/>
        </w:trPr>
        <w:tc>
          <w:tcPr>
            <w:tcW w:w="3767" w:type="dxa"/>
            <w:shd w:val="clear" w:color="auto" w:fill="DDD9C4"/>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b/>
                <w:sz w:val="20"/>
                <w:szCs w:val="20"/>
              </w:rPr>
            </w:pPr>
            <w:r w:rsidRPr="00A44912">
              <w:rPr>
                <w:rFonts w:ascii="Palatino Linotype" w:eastAsia="Palatino Linotype" w:hAnsi="Palatino Linotype" w:cs="Palatino Linotype"/>
                <w:b/>
                <w:sz w:val="20"/>
                <w:szCs w:val="20"/>
              </w:rPr>
              <w:t>Requisito establecido en la Ley del Trabajo de los Servidores Públicos del Estado y Municipios</w:t>
            </w:r>
          </w:p>
        </w:tc>
        <w:tc>
          <w:tcPr>
            <w:tcW w:w="2607" w:type="dxa"/>
            <w:shd w:val="clear" w:color="auto" w:fill="DDD9C4"/>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b/>
                <w:sz w:val="20"/>
                <w:szCs w:val="20"/>
              </w:rPr>
            </w:pPr>
            <w:r w:rsidRPr="00A44912">
              <w:rPr>
                <w:rFonts w:ascii="Palatino Linotype" w:eastAsia="Palatino Linotype" w:hAnsi="Palatino Linotype" w:cs="Palatino Linotype"/>
                <w:b/>
                <w:sz w:val="20"/>
                <w:szCs w:val="20"/>
              </w:rPr>
              <w:t>Documento que lo acredita</w:t>
            </w:r>
          </w:p>
        </w:tc>
        <w:tc>
          <w:tcPr>
            <w:tcW w:w="2410" w:type="dxa"/>
            <w:shd w:val="clear" w:color="auto" w:fill="DDD9C4"/>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b/>
                <w:sz w:val="20"/>
                <w:szCs w:val="20"/>
              </w:rPr>
            </w:pPr>
            <w:r w:rsidRPr="00A44912">
              <w:rPr>
                <w:rFonts w:ascii="Palatino Linotype" w:eastAsia="Palatino Linotype" w:hAnsi="Palatino Linotype" w:cs="Palatino Linotype"/>
                <w:b/>
                <w:sz w:val="20"/>
                <w:szCs w:val="20"/>
              </w:rPr>
              <w:t>Clasificación de la Información</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Presentar una solicitud utilizando la forma oficial que se autorice por la institución pública o dependencia correspondiente, a la cual se le prohíbe incluir la fotografía de quien solicita el</w:t>
            </w:r>
          </w:p>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empleo.</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 xml:space="preserve">Solicitud de empleo, ficha curricular, </w:t>
            </w:r>
            <w:proofErr w:type="spellStart"/>
            <w:r w:rsidRPr="00A44912">
              <w:rPr>
                <w:rFonts w:ascii="Palatino Linotype" w:eastAsia="Palatino Linotype" w:hAnsi="Palatino Linotype" w:cs="Palatino Linotype"/>
                <w:sz w:val="20"/>
                <w:szCs w:val="20"/>
              </w:rPr>
              <w:t>curriculum</w:t>
            </w:r>
            <w:proofErr w:type="spellEnd"/>
            <w:r w:rsidRPr="00A44912">
              <w:rPr>
                <w:rFonts w:ascii="Palatino Linotype" w:eastAsia="Palatino Linotype" w:hAnsi="Palatino Linotype" w:cs="Palatino Linotype"/>
                <w:sz w:val="20"/>
                <w:szCs w:val="20"/>
              </w:rPr>
              <w:t xml:space="preserve"> vitae o documento análogo</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r w:rsidR="00730F53" w:rsidRPr="00A44912">
        <w:trPr>
          <w:trHeight w:val="517"/>
        </w:trPr>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Ser de nacionalidad mexicana.</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Acta de nacimiento</w:t>
            </w:r>
          </w:p>
        </w:tc>
        <w:tc>
          <w:tcPr>
            <w:tcW w:w="2410" w:type="dxa"/>
            <w:shd w:val="clear" w:color="auto" w:fill="F2F2F2"/>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Confidencial</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Estar en pleno ejercicio de sus derechos civiles y políticos.</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Credencial de elector e Informe o certificado de no antecedentes penales.</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Acreditar, cuando proceda, el cumplimiento de la Ley del Servicio Militar Nacional.</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Cartilla del Servicio Militar</w:t>
            </w:r>
          </w:p>
        </w:tc>
        <w:tc>
          <w:tcPr>
            <w:tcW w:w="2410" w:type="dxa"/>
            <w:shd w:val="clear" w:color="auto" w:fill="F2F2F2"/>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Confidencial</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No haber sido separado anteriormente del servicio por las causas previstas en el artículo 93 de la presente ley.</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Constancia de no inhabilitación.</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Tener buena salud, lo que se comprobará con los certificados médicos.</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Certificado Médico</w:t>
            </w:r>
          </w:p>
        </w:tc>
        <w:tc>
          <w:tcPr>
            <w:tcW w:w="2410" w:type="dxa"/>
            <w:shd w:val="clear" w:color="auto" w:fill="F2F2F2"/>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Confidencial</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Cumplir con los requisitos que se establezcan para los diferentes puestos.</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 xml:space="preserve">De la consulta al </w:t>
            </w:r>
            <w:proofErr w:type="spellStart"/>
            <w:r w:rsidRPr="00A44912">
              <w:rPr>
                <w:rFonts w:ascii="Palatino Linotype" w:eastAsia="Palatino Linotype" w:hAnsi="Palatino Linotype" w:cs="Palatino Linotype"/>
                <w:sz w:val="20"/>
                <w:szCs w:val="20"/>
              </w:rPr>
              <w:t>Ipomex</w:t>
            </w:r>
            <w:proofErr w:type="spellEnd"/>
            <w:r w:rsidRPr="00A44912">
              <w:rPr>
                <w:rFonts w:ascii="Palatino Linotype" w:eastAsia="Palatino Linotype" w:hAnsi="Palatino Linotype" w:cs="Palatino Linotype"/>
                <w:sz w:val="20"/>
                <w:szCs w:val="20"/>
              </w:rPr>
              <w:t xml:space="preserve"> del Sujeto Obligado no se advierte que este tenga publicado un perfil de puestos de los servidores públicos; no obstante, no se descarta que cuente con uno.</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p w:rsidR="00D83B85" w:rsidRPr="00A44912" w:rsidRDefault="00D83B85">
            <w:pPr>
              <w:tabs>
                <w:tab w:val="left" w:pos="284"/>
                <w:tab w:val="left" w:pos="426"/>
              </w:tabs>
              <w:ind w:right="49"/>
              <w:jc w:val="center"/>
              <w:rPr>
                <w:rFonts w:ascii="Palatino Linotype" w:eastAsia="Palatino Linotype" w:hAnsi="Palatino Linotype" w:cs="Palatino Linotype"/>
                <w:sz w:val="20"/>
                <w:szCs w:val="20"/>
              </w:rPr>
            </w:pP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Acreditar por medio de los exámenes correspondientes los conocimientos y aptitudes necesarios para el desempeño del puesto.</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 xml:space="preserve">No se localizó que los servidores públicos adscritos al Sujeto Obligado se encuentren constreñidos a presentar examen de conocimientos y aptitudes para ostentar algún cargo; no obstante, no se descarta la posibilidad de que si cuente con ellos, por lo que, de ser así se deberá entregar el documento que demuestre el </w:t>
            </w:r>
            <w:r w:rsidRPr="00A44912">
              <w:rPr>
                <w:rFonts w:ascii="Palatino Linotype" w:eastAsia="Palatino Linotype" w:hAnsi="Palatino Linotype" w:cs="Palatino Linotype"/>
                <w:b/>
                <w:sz w:val="20"/>
                <w:szCs w:val="20"/>
              </w:rPr>
              <w:t>resultado global,</w:t>
            </w:r>
            <w:r w:rsidRPr="00A44912">
              <w:rPr>
                <w:rFonts w:ascii="Palatino Linotype" w:eastAsia="Palatino Linotype" w:hAnsi="Palatino Linotype" w:cs="Palatino Linotype"/>
                <w:sz w:val="20"/>
                <w:szCs w:val="20"/>
              </w:rPr>
              <w:t xml:space="preserve"> como aprobado/no aprobado.</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 el resultado.</w:t>
            </w:r>
          </w:p>
          <w:p w:rsidR="00D83B85" w:rsidRPr="00A44912" w:rsidRDefault="00D83B85">
            <w:pPr>
              <w:tabs>
                <w:tab w:val="left" w:pos="284"/>
                <w:tab w:val="left" w:pos="426"/>
              </w:tabs>
              <w:ind w:right="49"/>
              <w:jc w:val="center"/>
              <w:rPr>
                <w:rFonts w:ascii="Palatino Linotype" w:eastAsia="Palatino Linotype" w:hAnsi="Palatino Linotype" w:cs="Palatino Linotype"/>
                <w:sz w:val="20"/>
                <w:szCs w:val="20"/>
              </w:rPr>
            </w:pP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No estar inhabilitado para el ejercicio del servicio público.</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Constancia de no inhabilitación.</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Certificado de No Deudor Alimentario Moroso.</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r w:rsidR="00730F53" w:rsidRPr="00A44912">
        <w:tc>
          <w:tcPr>
            <w:tcW w:w="376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Para iniciar la prestación de los servicios</w:t>
            </w:r>
          </w:p>
        </w:tc>
        <w:tc>
          <w:tcPr>
            <w:tcW w:w="2607" w:type="dxa"/>
            <w:vAlign w:val="center"/>
          </w:tcPr>
          <w:p w:rsidR="00D83B85" w:rsidRPr="00A44912" w:rsidRDefault="00052DD8">
            <w:pPr>
              <w:tabs>
                <w:tab w:val="left" w:pos="284"/>
                <w:tab w:val="left" w:pos="426"/>
              </w:tabs>
              <w:ind w:right="49"/>
              <w:jc w:val="both"/>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Nombramiento, contrato o formato único de Movimientos de Personal.</w:t>
            </w:r>
          </w:p>
        </w:tc>
        <w:tc>
          <w:tcPr>
            <w:tcW w:w="2410" w:type="dxa"/>
            <w:vAlign w:val="center"/>
          </w:tcPr>
          <w:p w:rsidR="00D83B85" w:rsidRPr="00A44912" w:rsidRDefault="00052DD8">
            <w:pPr>
              <w:tabs>
                <w:tab w:val="left" w:pos="284"/>
                <w:tab w:val="left" w:pos="426"/>
              </w:tabs>
              <w:ind w:right="49"/>
              <w:jc w:val="center"/>
              <w:rPr>
                <w:rFonts w:ascii="Palatino Linotype" w:eastAsia="Palatino Linotype" w:hAnsi="Palatino Linotype" w:cs="Palatino Linotype"/>
                <w:sz w:val="20"/>
                <w:szCs w:val="20"/>
              </w:rPr>
            </w:pPr>
            <w:r w:rsidRPr="00A44912">
              <w:rPr>
                <w:rFonts w:ascii="Palatino Linotype" w:eastAsia="Palatino Linotype" w:hAnsi="Palatino Linotype" w:cs="Palatino Linotype"/>
                <w:sz w:val="20"/>
                <w:szCs w:val="20"/>
              </w:rPr>
              <w:t>En versión Pública.</w:t>
            </w:r>
          </w:p>
        </w:tc>
      </w:tr>
    </w:tbl>
    <w:p w:rsidR="00D83B85" w:rsidRPr="00A44912" w:rsidRDefault="00D83B85">
      <w:pPr>
        <w:tabs>
          <w:tab w:val="left" w:pos="8222"/>
        </w:tabs>
        <w:spacing w:line="360" w:lineRule="auto"/>
        <w:ind w:right="49"/>
        <w:jc w:val="both"/>
        <w:rPr>
          <w:rFonts w:ascii="Palatino Linotype" w:eastAsia="Palatino Linotype" w:hAnsi="Palatino Linotype" w:cs="Palatino Linotype"/>
          <w:sz w:val="22"/>
          <w:szCs w:val="22"/>
        </w:rPr>
      </w:pPr>
    </w:p>
    <w:p w:rsidR="00D83B85" w:rsidRPr="00A44912" w:rsidRDefault="00052DD8">
      <w:pPr>
        <w:tabs>
          <w:tab w:val="left" w:pos="8222"/>
        </w:tabs>
        <w:spacing w:line="360" w:lineRule="auto"/>
        <w:ind w:right="49"/>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De este modo, es de referir que es de interés público de la ciudadanía, conocer que los trabajadores gubernamentales cumplen con todos los requisitos establecidos en la  normatividad respectiva, pues solo así, se puede saber, si los empleados, son aptos para ocupar determinados puestos; 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 </w:t>
      </w:r>
      <w:r w:rsidRPr="00A44912">
        <w:rPr>
          <w:rFonts w:ascii="Palatino Linotype" w:eastAsia="Palatino Linotype" w:hAnsi="Palatino Linotype" w:cs="Palatino Linotype"/>
          <w:b/>
          <w:sz w:val="22"/>
          <w:szCs w:val="22"/>
        </w:rPr>
        <w:t>sin embargo, como se adelantó, y como logra advertirse en la tabla anterior, no todos los documentos que forman parte del expediente de personal o laboral de los servidores públicos son susceptibles de entrega, derivado del contenido de estos, y su injerencia en la vida privada de los servidores públicos.</w:t>
      </w:r>
    </w:p>
    <w:p w:rsidR="00D83B85" w:rsidRPr="00A44912" w:rsidRDefault="00D83B85">
      <w:pPr>
        <w:tabs>
          <w:tab w:val="left" w:pos="8222"/>
        </w:tabs>
        <w:spacing w:line="360" w:lineRule="auto"/>
        <w:ind w:right="49"/>
        <w:jc w:val="both"/>
        <w:rPr>
          <w:rFonts w:ascii="Palatino Linotype" w:eastAsia="Palatino Linotype" w:hAnsi="Palatino Linotype" w:cs="Palatino Linotype"/>
          <w:sz w:val="22"/>
          <w:szCs w:val="22"/>
        </w:rPr>
      </w:pPr>
    </w:p>
    <w:p w:rsidR="00D83B85" w:rsidRPr="00A44912" w:rsidRDefault="00052DD8">
      <w:pPr>
        <w:tabs>
          <w:tab w:val="left" w:pos="8222"/>
        </w:tabs>
        <w:spacing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atención a lo anterior, se procede al análisis pormenorizado de las documentales que conforman los expedientes laborales del personal, para efecto de determinar la procedencia de su entrega:</w:t>
      </w:r>
    </w:p>
    <w:p w:rsidR="00D83B85" w:rsidRPr="00A44912" w:rsidRDefault="00052DD8">
      <w:pPr>
        <w:numPr>
          <w:ilvl w:val="0"/>
          <w:numId w:val="7"/>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Solicitud de empleo.</w:t>
      </w:r>
    </w:p>
    <w:p w:rsidR="00D83B85" w:rsidRPr="00A44912" w:rsidRDefault="00052DD8">
      <w:pPr>
        <w:tabs>
          <w:tab w:val="left" w:pos="8222"/>
        </w:tabs>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rsidR="00D83B85" w:rsidRPr="00A44912" w:rsidRDefault="00052DD8">
      <w:pPr>
        <w:tabs>
          <w:tab w:val="left" w:pos="8222"/>
        </w:tabs>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otro lado, es necesario referir que de acuerdo con el artículo 47 de la Ley de Trabajo de los Servidores Públicos del Estado de México, establece que para ingresar al servicio público se requiere presentar una solicitud de empleo, es decir, la entrega de este documento resulta ser un requisito indispensable para poder prestar servicios dentro de la Administración Pública del Estado de México.</w:t>
      </w:r>
    </w:p>
    <w:p w:rsidR="00D83B85" w:rsidRPr="00A44912" w:rsidRDefault="00052DD8">
      <w:pPr>
        <w:tabs>
          <w:tab w:val="left" w:pos="8222"/>
        </w:tabs>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D83B85" w:rsidRPr="00A44912" w:rsidRDefault="00052DD8">
      <w:pPr>
        <w:tabs>
          <w:tab w:val="left" w:pos="8222"/>
        </w:tabs>
        <w:spacing w:before="240" w:after="240" w:line="360" w:lineRule="auto"/>
        <w:ind w:right="49"/>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De esta manera, se trata de un documento de interés público, que contiene datos que actualizan la causal de clasificación parcial de información confidencial establecida en el artículo 143, fracción I, de la Ley de Transparencia y Acceso a la Información Pública del Estado de México y Municipios, </w:t>
      </w:r>
      <w:r w:rsidRPr="00A44912">
        <w:rPr>
          <w:rFonts w:ascii="Palatino Linotype" w:eastAsia="Palatino Linotype" w:hAnsi="Palatino Linotype" w:cs="Palatino Linotype"/>
          <w:b/>
          <w:sz w:val="22"/>
          <w:szCs w:val="22"/>
        </w:rPr>
        <w:t>por lo tanto, procede su entrega en versión pública.</w:t>
      </w:r>
    </w:p>
    <w:p w:rsidR="00D83B85" w:rsidRPr="00A44912" w:rsidRDefault="00052DD8">
      <w:pPr>
        <w:numPr>
          <w:ilvl w:val="0"/>
          <w:numId w:val="7"/>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proofErr w:type="spellStart"/>
      <w:r w:rsidRPr="00A44912">
        <w:rPr>
          <w:rFonts w:ascii="Palatino Linotype" w:eastAsia="Palatino Linotype" w:hAnsi="Palatino Linotype" w:cs="Palatino Linotype"/>
          <w:b/>
          <w:sz w:val="22"/>
          <w:szCs w:val="22"/>
          <w:u w:val="single"/>
        </w:rPr>
        <w:t>Curriculum</w:t>
      </w:r>
      <w:proofErr w:type="spellEnd"/>
      <w:r w:rsidRPr="00A44912">
        <w:rPr>
          <w:rFonts w:ascii="Palatino Linotype" w:eastAsia="Palatino Linotype" w:hAnsi="Palatino Linotype" w:cs="Palatino Linotype"/>
          <w:b/>
          <w:sz w:val="22"/>
          <w:szCs w:val="22"/>
          <w:u w:val="single"/>
        </w:rPr>
        <w:t xml:space="preserve"> vitae.</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El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w:t>
      </w:r>
      <w:r w:rsidRPr="00A44912">
        <w:rPr>
          <w:rFonts w:ascii="Palatino Linotype" w:eastAsia="Palatino Linotype" w:hAnsi="Palatino Linotype" w:cs="Palatino Linotype"/>
          <w:sz w:val="22"/>
          <w:szCs w:val="22"/>
        </w:rPr>
        <w:t xml:space="preserve">, es el documento que las personas elaboran con los datos de identificación y contacto, </w:t>
      </w:r>
      <w:r w:rsidRPr="00A44912">
        <w:rPr>
          <w:rFonts w:ascii="Palatino Linotype" w:eastAsia="Palatino Linotype" w:hAnsi="Palatino Linotype" w:cs="Palatino Linotype"/>
          <w:b/>
          <w:sz w:val="22"/>
          <w:szCs w:val="22"/>
          <w:u w:val="single"/>
        </w:rPr>
        <w:t>preparación académica y experiencia profesion</w:t>
      </w:r>
      <w:r w:rsidRPr="00A44912">
        <w:rPr>
          <w:rFonts w:ascii="Palatino Linotype" w:eastAsia="Palatino Linotype" w:hAnsi="Palatino Linotype" w:cs="Palatino Linotype"/>
          <w:b/>
          <w:sz w:val="22"/>
          <w:szCs w:val="22"/>
        </w:rPr>
        <w:t>al,</w:t>
      </w:r>
      <w:r w:rsidRPr="00A44912">
        <w:rPr>
          <w:rFonts w:ascii="Palatino Linotype" w:eastAsia="Palatino Linotype" w:hAnsi="Palatino Linotype" w:cs="Palatino Linotype"/>
          <w:sz w:val="22"/>
          <w:szCs w:val="22"/>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w:t>
      </w:r>
      <w:r w:rsidRPr="00A44912">
        <w:rPr>
          <w:rFonts w:ascii="Palatino Linotype" w:eastAsia="Palatino Linotype" w:hAnsi="Palatino Linotype" w:cs="Palatino Linotype"/>
          <w:b/>
          <w:sz w:val="22"/>
          <w:szCs w:val="22"/>
        </w:rPr>
        <w:t xml:space="preserve">, </w:t>
      </w:r>
      <w:r w:rsidRPr="00A44912">
        <w:rPr>
          <w:rFonts w:ascii="Palatino Linotype" w:eastAsia="Palatino Linotype" w:hAnsi="Palatino Linotype" w:cs="Palatino Linotype"/>
          <w:b/>
          <w:sz w:val="22"/>
          <w:szCs w:val="22"/>
          <w:u w:val="single"/>
        </w:rPr>
        <w:t>se le suma la experiencia laboral</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u w:val="single"/>
        </w:rPr>
        <w:t>pues permiten identificar el nivel y tipo de preparación de su titular y en su caso su perfil profesional o laboral.</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Desde esta perspectiva, a través del currículum vite la persona solicitante puede advertir los estudios realizados o bien el nivel académico, así como la experiencia laboral de los servidores públicos que se encuentran adscritos al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A44912">
        <w:rPr>
          <w:rFonts w:ascii="Palatino Linotype" w:eastAsia="Palatino Linotype" w:hAnsi="Palatino Linotype" w:cs="Palatino Linotype"/>
          <w:b/>
          <w:sz w:val="22"/>
          <w:szCs w:val="22"/>
          <w:u w:val="single"/>
        </w:rPr>
        <w:t>es mediante la publicidad de ciertos datos contenidos en los currículos, o bien en las solicitudes de empleo,</w:t>
      </w:r>
      <w:r w:rsidRPr="00A44912">
        <w:rPr>
          <w:rFonts w:ascii="Palatino Linotype" w:eastAsia="Palatino Linotype" w:hAnsi="Palatino Linotype" w:cs="Palatino Linotype"/>
          <w:sz w:val="22"/>
          <w:szCs w:val="22"/>
        </w:rPr>
        <w:t xml:space="preserve"> el cual, para mayor ilustración se transcribe a continuación:</w:t>
      </w:r>
    </w:p>
    <w:p w:rsidR="00D83B85" w:rsidRPr="00A44912" w:rsidRDefault="00052DD8">
      <w:pPr>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 “</w:t>
      </w:r>
      <w:proofErr w:type="spellStart"/>
      <w:r w:rsidRPr="00A44912">
        <w:rPr>
          <w:rFonts w:ascii="Palatino Linotype" w:eastAsia="Palatino Linotype" w:hAnsi="Palatino Linotype" w:cs="Palatino Linotype"/>
          <w:b/>
          <w:i/>
          <w:sz w:val="22"/>
          <w:szCs w:val="22"/>
        </w:rPr>
        <w:t>Curriculum</w:t>
      </w:r>
      <w:proofErr w:type="spellEnd"/>
      <w:r w:rsidRPr="00A44912">
        <w:rPr>
          <w:rFonts w:ascii="Palatino Linotype" w:eastAsia="Palatino Linotype" w:hAnsi="Palatino Linotype" w:cs="Palatino Linotype"/>
          <w:b/>
          <w:i/>
          <w:sz w:val="22"/>
          <w:szCs w:val="22"/>
        </w:rPr>
        <w:t xml:space="preserve"> Vitae de servidores públicos.</w:t>
      </w:r>
      <w:r w:rsidRPr="00A44912">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44912">
        <w:rPr>
          <w:rFonts w:ascii="Palatino Linotype" w:eastAsia="Palatino Linotype" w:hAnsi="Palatino Linotype" w:cs="Palatino Linotype"/>
          <w:i/>
          <w:sz w:val="22"/>
          <w:szCs w:val="22"/>
        </w:rPr>
        <w:t>curriculum</w:t>
      </w:r>
      <w:proofErr w:type="spellEnd"/>
      <w:r w:rsidRPr="00A44912">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D83B85" w:rsidRPr="00A44912" w:rsidRDefault="00D83B85">
      <w:pPr>
        <w:spacing w:line="276" w:lineRule="auto"/>
        <w:jc w:val="both"/>
        <w:rPr>
          <w:rFonts w:ascii="Palatino Linotype" w:eastAsia="Palatino Linotype" w:hAnsi="Palatino Linotype" w:cs="Palatino Linotype"/>
          <w:i/>
          <w:sz w:val="22"/>
          <w:szCs w:val="22"/>
        </w:rPr>
      </w:pP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w:t>
      </w:r>
      <w:r w:rsidRPr="00A44912">
        <w:rPr>
          <w:rFonts w:ascii="Palatino Linotype" w:eastAsia="Palatino Linotype" w:hAnsi="Palatino Linotype" w:cs="Palatino Linotype"/>
          <w:b/>
          <w:sz w:val="22"/>
          <w:szCs w:val="22"/>
        </w:rPr>
        <w:t>de acuerdo a su nivel profesional y laboral</w:t>
      </w:r>
      <w:r w:rsidRPr="00A44912">
        <w:rPr>
          <w:rFonts w:ascii="Palatino Linotype" w:eastAsia="Palatino Linotype" w:hAnsi="Palatino Linotype" w:cs="Palatino Linotype"/>
          <w:sz w:val="22"/>
          <w:szCs w:val="22"/>
        </w:rPr>
        <w:t xml:space="preserve">, para el desempeño de sus funciones en el cargo que ostenten, razón que resulta suficiente para que sean de conocimiento público </w:t>
      </w:r>
      <w:r w:rsidRPr="00A44912">
        <w:rPr>
          <w:rFonts w:ascii="Palatino Linotype" w:eastAsia="Palatino Linotype" w:hAnsi="Palatino Linotype" w:cs="Palatino Linotype"/>
          <w:sz w:val="22"/>
          <w:szCs w:val="22"/>
          <w:u w:val="single"/>
        </w:rPr>
        <w:t>y si bien es cierto que no existe disposición legal que ordene de manera expresa que el sujeto obligado, deba contar en sus archivos con un documento denominado “currículum vitae”</w:t>
      </w:r>
      <w:r w:rsidRPr="00A44912">
        <w:rPr>
          <w:rFonts w:ascii="Palatino Linotype" w:eastAsia="Palatino Linotype" w:hAnsi="Palatino Linotype" w:cs="Palatino Linotype"/>
          <w:sz w:val="22"/>
          <w:szCs w:val="22"/>
        </w:rPr>
        <w:t xml:space="preserve"> de sus servidores públicos, </w:t>
      </w:r>
      <w:r w:rsidRPr="00A44912">
        <w:rPr>
          <w:rFonts w:ascii="Palatino Linotype" w:eastAsia="Palatino Linotype" w:hAnsi="Palatino Linotype" w:cs="Palatino Linotype"/>
          <w:b/>
          <w:sz w:val="22"/>
          <w:szCs w:val="22"/>
        </w:rPr>
        <w:t>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a saber:</w:t>
      </w:r>
    </w:p>
    <w:p w:rsidR="00D83B85" w:rsidRPr="00A44912" w:rsidRDefault="00052DD8">
      <w:pPr>
        <w:tabs>
          <w:tab w:val="left" w:pos="7938"/>
        </w:tabs>
        <w:spacing w:line="276" w:lineRule="auto"/>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“ARTÍCULO 47. Para ingresar al servicio público se requiere: </w:t>
      </w:r>
    </w:p>
    <w:p w:rsidR="00D83B85" w:rsidRPr="00A44912" w:rsidRDefault="00052DD8">
      <w:pPr>
        <w:tabs>
          <w:tab w:val="left" w:pos="7938"/>
        </w:tabs>
        <w:spacing w:line="276" w:lineRule="auto"/>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Presentar una solicitud utilizando la forma oficial que se autorice por la institución pública o dependencia correspondiente, a la cual se le prohíbe incluir la fotografía de quien solicita el </w:t>
      </w:r>
      <w:proofErr w:type="gramStart"/>
      <w:r w:rsidRPr="00A44912">
        <w:rPr>
          <w:rFonts w:ascii="Palatino Linotype" w:eastAsia="Palatino Linotype" w:hAnsi="Palatino Linotype" w:cs="Palatino Linotype"/>
          <w:i/>
          <w:sz w:val="22"/>
          <w:szCs w:val="22"/>
        </w:rPr>
        <w:t>empleo;[</w:t>
      </w:r>
      <w:proofErr w:type="gramEnd"/>
      <w:r w:rsidRPr="00A44912">
        <w:rPr>
          <w:rFonts w:ascii="Palatino Linotype" w:eastAsia="Palatino Linotype" w:hAnsi="Palatino Linotype" w:cs="Palatino Linotype"/>
          <w:i/>
          <w:sz w:val="22"/>
          <w:szCs w:val="22"/>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Por lo que es posible determinar que, el currículum vítae, ficha curricular, solicitud de empleo o documento análogo, contienen información relacionada con la trayectoria académica, profesional y laboral,</w:t>
      </w:r>
      <w:r w:rsidRPr="00A44912">
        <w:rPr>
          <w:rFonts w:ascii="Palatino Linotype" w:eastAsia="Palatino Linotype" w:hAnsi="Palatino Linotype" w:cs="Palatino Linotype"/>
          <w:sz w:val="22"/>
          <w:szCs w:val="22"/>
        </w:rPr>
        <w:t xml:space="preserve">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A44912">
        <w:rPr>
          <w:rFonts w:ascii="Palatino Linotype" w:eastAsia="Palatino Linotype" w:hAnsi="Palatino Linotype" w:cs="Palatino Linotype"/>
          <w:b/>
          <w:sz w:val="22"/>
          <w:szCs w:val="22"/>
        </w:rPr>
        <w:t>el Sujeto Obligado</w:t>
      </w:r>
      <w:r w:rsidRPr="00A44912">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D83B85" w:rsidRPr="00A44912" w:rsidRDefault="00052DD8">
      <w:pPr>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3B85" w:rsidRPr="00A44912" w:rsidRDefault="00052DD8">
      <w:pPr>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XXI. La información curricular, desde el nivel de jefe de departamento o equivalente, hasta el titular del sujeto obligado, así como, en su caso, las sanciones administrativas de que haya sido objeto;”</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En ese contexto, según Islas, Jorge (2016), en la “Ley General de Transparencia y Acceso a la Información Pública Comentada” (p. 244), refirió que el </w:t>
      </w:r>
      <w:proofErr w:type="spellStart"/>
      <w:r w:rsidRPr="00A44912">
        <w:rPr>
          <w:rFonts w:ascii="Palatino Linotype" w:eastAsia="Palatino Linotype" w:hAnsi="Palatino Linotype" w:cs="Palatino Linotype"/>
          <w:b/>
          <w:i/>
          <w:sz w:val="22"/>
          <w:szCs w:val="22"/>
        </w:rPr>
        <w:t>curriculum</w:t>
      </w:r>
      <w:proofErr w:type="spellEnd"/>
      <w:r w:rsidRPr="00A44912">
        <w:rPr>
          <w:rFonts w:ascii="Palatino Linotype" w:eastAsia="Palatino Linotype" w:hAnsi="Palatino Linotype" w:cs="Palatino Linotype"/>
          <w:b/>
          <w:i/>
          <w:sz w:val="22"/>
          <w:szCs w:val="22"/>
        </w:rPr>
        <w:t xml:space="preserve"> vitae</w:t>
      </w:r>
      <w:r w:rsidRPr="00A44912">
        <w:rPr>
          <w:rFonts w:ascii="Palatino Linotype" w:eastAsia="Palatino Linotype" w:hAnsi="Palatino Linotype" w:cs="Palatino Linotype"/>
          <w:b/>
          <w:sz w:val="22"/>
          <w:szCs w:val="22"/>
        </w:rPr>
        <w:t xml:space="preserve"> </w:t>
      </w:r>
      <w:r w:rsidRPr="00A44912">
        <w:rPr>
          <w:rFonts w:ascii="Palatino Linotype" w:eastAsia="Palatino Linotype" w:hAnsi="Palatino Linotype" w:cs="Palatino Linotype"/>
          <w:sz w:val="22"/>
          <w:szCs w:val="22"/>
        </w:rPr>
        <w:t>d</w:t>
      </w:r>
      <w:r w:rsidRPr="00A44912">
        <w:rPr>
          <w:rFonts w:ascii="Palatino Linotype" w:eastAsia="Palatino Linotype" w:hAnsi="Palatino Linotype" w:cs="Palatino Linotype"/>
          <w:b/>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rsidR="00D83B85" w:rsidRPr="00A44912" w:rsidRDefault="00052DD8">
      <w:pPr>
        <w:spacing w:before="240" w:after="240" w:line="360" w:lineRule="auto"/>
        <w:jc w:val="both"/>
        <w:rPr>
          <w:rFonts w:ascii="Palatino Linotype" w:eastAsia="Palatino Linotype" w:hAnsi="Palatino Linotype" w:cs="Palatino Linotype"/>
          <w:sz w:val="22"/>
          <w:szCs w:val="22"/>
          <w:u w:val="single"/>
        </w:rPr>
      </w:pPr>
      <w:r w:rsidRPr="00A44912">
        <w:rPr>
          <w:rFonts w:ascii="Palatino Linotype" w:eastAsia="Palatino Linotype" w:hAnsi="Palatino Linotype" w:cs="Palatino Linotype"/>
          <w:sz w:val="22"/>
          <w:szCs w:val="22"/>
        </w:rPr>
        <w:t xml:space="preserve">De esta manera, con la entrega que se realice del </w:t>
      </w:r>
      <w:proofErr w:type="spellStart"/>
      <w:r w:rsidRPr="00A44912">
        <w:rPr>
          <w:rFonts w:ascii="Palatino Linotype" w:eastAsia="Palatino Linotype" w:hAnsi="Palatino Linotype" w:cs="Palatino Linotype"/>
          <w:sz w:val="22"/>
          <w:szCs w:val="22"/>
        </w:rPr>
        <w:t>curriculum</w:t>
      </w:r>
      <w:proofErr w:type="spellEnd"/>
      <w:r w:rsidRPr="00A44912">
        <w:rPr>
          <w:rFonts w:ascii="Palatino Linotype" w:eastAsia="Palatino Linotype" w:hAnsi="Palatino Linotype" w:cs="Palatino Linotype"/>
          <w:sz w:val="22"/>
          <w:szCs w:val="22"/>
        </w:rPr>
        <w:t xml:space="preserve"> vitae, ficha curricular, solicitud de empleo o documento análogo, se colmaría el requisito previsto en la fracción I del artículo 47 de la Ley del Trabajo de la Entidad, y </w:t>
      </w:r>
      <w:r w:rsidRPr="00A44912">
        <w:rPr>
          <w:rFonts w:ascii="Palatino Linotype" w:eastAsia="Palatino Linotype" w:hAnsi="Palatino Linotype" w:cs="Palatino Linotype"/>
          <w:sz w:val="22"/>
          <w:szCs w:val="22"/>
          <w:u w:val="single"/>
        </w:rPr>
        <w:t>proceden su entrega en versión pública de advertirse datos de índole confidencial.</w:t>
      </w:r>
    </w:p>
    <w:p w:rsidR="00D83B85" w:rsidRPr="00A44912" w:rsidRDefault="00052DD8">
      <w:pPr>
        <w:numPr>
          <w:ilvl w:val="0"/>
          <w:numId w:val="7"/>
        </w:numPr>
        <w:pBdr>
          <w:top w:val="nil"/>
          <w:left w:val="nil"/>
          <w:bottom w:val="nil"/>
          <w:right w:val="nil"/>
          <w:between w:val="nil"/>
        </w:pBdr>
        <w:tabs>
          <w:tab w:val="left" w:pos="8222"/>
        </w:tabs>
        <w:spacing w:before="240" w:after="240" w:line="360" w:lineRule="auto"/>
        <w:ind w:right="49"/>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Documento que acredite la nacionalidad (acta de nacimiento)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w:t>
      </w:r>
      <w:r w:rsidRPr="00A44912">
        <w:rPr>
          <w:rFonts w:ascii="Palatino Linotype" w:eastAsia="Palatino Linotype" w:hAnsi="Palatino Linotype" w:cs="Palatino Linotype"/>
          <w:b/>
          <w:sz w:val="22"/>
          <w:szCs w:val="22"/>
          <w:u w:val="single"/>
        </w:rPr>
        <w:t>el acta de nacimiento</w:t>
      </w:r>
      <w:r w:rsidRPr="00A44912">
        <w:rPr>
          <w:rFonts w:ascii="Palatino Linotype" w:eastAsia="Palatino Linotype" w:hAnsi="Palatino Linotype" w:cs="Palatino Linotype"/>
          <w:sz w:val="22"/>
          <w:szCs w:val="22"/>
        </w:rPr>
        <w:t xml:space="preserve">, es por ello que conviene precisar que 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Ahora bien, de acuerdo con el Formato Único del Acta de Nacimiento publicado por la Secretaría de Gobernación en el enlace </w:t>
      </w:r>
      <w:hyperlink r:id="rId12">
        <w:r w:rsidRPr="00A44912">
          <w:rPr>
            <w:rFonts w:ascii="Palatino Linotype" w:eastAsia="Palatino Linotype" w:hAnsi="Palatino Linotype" w:cs="Palatino Linotype"/>
            <w:sz w:val="22"/>
            <w:szCs w:val="22"/>
            <w:u w:val="single"/>
          </w:rPr>
          <w:t>http://www.diputados.gob.mx/documentos/N_Acta_Nacimiento.pdf</w:t>
        </w:r>
      </w:hyperlink>
      <w:r w:rsidRPr="00A44912">
        <w:rPr>
          <w:rFonts w:ascii="Palatino Linotype" w:eastAsia="Palatino Linotype" w:hAnsi="Palatino Linotype" w:cs="Palatino Linotype"/>
          <w:sz w:val="22"/>
          <w:szCs w:val="22"/>
        </w:rPr>
        <w:t xml:space="preserve"> , se advierte que el Acta de Nacimiento se componte de quince elementos siendo los siguientes: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 Folio de Impresión.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b) Denominación del Documento.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c) Identificador Electrónico.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 Elementos del Registro.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 Datos de la Persona Registrada.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f) Datos de Filiación de la Persona Registrada.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g) Anotaciones Marginales.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h) Certificación.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i) Código Bidimensional QR que contiene información encriptada del acta.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j) Leyenda “Soy México”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k) Firma Electrónica Avanzada.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l) Firma y datos de la autoridad emisora.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m) Código QR.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n) Código de Verificación.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o) Leyenda de instrucciones para la verificación del documento.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Es de suma importancia mencionar que la información relativa a los incisos </w:t>
      </w:r>
      <w:r w:rsidRPr="00A44912">
        <w:rPr>
          <w:rFonts w:ascii="Palatino Linotype" w:eastAsia="Palatino Linotype" w:hAnsi="Palatino Linotype" w:cs="Palatino Linotype"/>
          <w:b/>
          <w:sz w:val="22"/>
          <w:szCs w:val="22"/>
        </w:rPr>
        <w:t>d) elementos de registro, e) datos de la persona registrada, f) datos de filiación de la persona registrada</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rPr>
        <w:t xml:space="preserve">g), anotaciones marginales </w:t>
      </w:r>
      <w:r w:rsidRPr="00A44912">
        <w:rPr>
          <w:rFonts w:ascii="Palatino Linotype" w:eastAsia="Palatino Linotype" w:hAnsi="Palatino Linotype" w:cs="Palatino Linotype"/>
          <w:sz w:val="22"/>
          <w:szCs w:val="22"/>
        </w:rPr>
        <w:t>y</w:t>
      </w:r>
      <w:r w:rsidRPr="00A44912">
        <w:rPr>
          <w:rFonts w:ascii="Palatino Linotype" w:eastAsia="Palatino Linotype" w:hAnsi="Palatino Linotype" w:cs="Palatino Linotype"/>
          <w:b/>
          <w:sz w:val="22"/>
          <w:szCs w:val="22"/>
        </w:rPr>
        <w:t xml:space="preserve"> m) Código QR, </w:t>
      </w:r>
      <w:r w:rsidRPr="00A44912">
        <w:rPr>
          <w:rFonts w:ascii="Palatino Linotype" w:eastAsia="Palatino Linotype" w:hAnsi="Palatino Linotype" w:cs="Palatino Linotype"/>
          <w:sz w:val="22"/>
          <w:szCs w:val="22"/>
        </w:rPr>
        <w:t>se encuentra intrínsecamente relacionada con la esfera privada de una persona haciéndole identificada o identificable, como al contener los siguientes datos: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0225" cy="1476375"/>
            <wp:effectExtent l="0" t="0" r="0" b="0"/>
            <wp:docPr id="21431082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10225" cy="1476375"/>
                    </a:xfrm>
                    <a:prstGeom prst="rect">
                      <a:avLst/>
                    </a:prstGeom>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0225" cy="1695450"/>
            <wp:effectExtent l="0" t="0" r="0" b="0"/>
            <wp:docPr id="21431082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60179"/>
                    <a:stretch>
                      <a:fillRect/>
                    </a:stretch>
                  </pic:blipFill>
                  <pic:spPr>
                    <a:xfrm>
                      <a:off x="0" y="0"/>
                      <a:ext cx="5610225" cy="1695450"/>
                    </a:xfrm>
                    <a:prstGeom prst="rect">
                      <a:avLst/>
                    </a:prstGeom>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0225" cy="1543050"/>
            <wp:effectExtent l="0" t="0" r="0" b="0"/>
            <wp:docPr id="21431082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42281" b="-222"/>
                    <a:stretch>
                      <a:fillRect/>
                    </a:stretch>
                  </pic:blipFill>
                  <pic:spPr>
                    <a:xfrm>
                      <a:off x="0" y="0"/>
                      <a:ext cx="5610225" cy="1543050"/>
                    </a:xfrm>
                    <a:prstGeom prst="rect">
                      <a:avLst/>
                    </a:prstGeom>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577840" cy="914400"/>
            <wp:effectExtent l="0" t="0" r="0" b="0"/>
            <wp:docPr id="21431082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577840" cy="914400"/>
                    </a:xfrm>
                    <a:prstGeom prst="rect">
                      <a:avLst/>
                    </a:prstGeom>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w:t>
      </w:r>
      <w:r w:rsidRPr="00A44912">
        <w:rPr>
          <w:rFonts w:ascii="Palatino Linotype" w:eastAsia="Palatino Linotype" w:hAnsi="Palatino Linotype" w:cs="Palatino Linotype"/>
          <w:b/>
          <w:sz w:val="22"/>
          <w:szCs w:val="22"/>
        </w:rPr>
        <w:t>se estima que dicho documento debe ser clasificado como información confidencial en su totalidad,</w:t>
      </w:r>
      <w:r w:rsidRPr="00A44912">
        <w:rPr>
          <w:rFonts w:ascii="Palatino Linotype" w:eastAsia="Palatino Linotype" w:hAnsi="Palatino Linotype" w:cs="Palatino Linotype"/>
          <w:sz w:val="22"/>
          <w:szCs w:val="22"/>
        </w:rPr>
        <w:t xml:space="preserve"> al considerar que actualiza la causal de clasificación establecida en el artículo 143, fracción I, de la Ley de Transparencia y Acceso a la Información Pública del Estado de México y Municipios.</w:t>
      </w:r>
    </w:p>
    <w:p w:rsidR="00D83B85" w:rsidRPr="00A44912" w:rsidRDefault="00052DD8">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La credencial para votar:</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lo que corresponde a dicha documental, se considera que la misma puede colmar el requisito previsto en el artículo 47 fracción III de la Ley del Trabajo de los Servidores Públicos del Estado y Municipios, relativo a “</w:t>
      </w:r>
      <w:r w:rsidRPr="00A44912">
        <w:rPr>
          <w:rFonts w:ascii="Palatino Linotype" w:eastAsia="Palatino Linotype" w:hAnsi="Palatino Linotype" w:cs="Palatino Linotype"/>
          <w:b/>
          <w:i/>
          <w:sz w:val="22"/>
          <w:szCs w:val="22"/>
        </w:rPr>
        <w:t>Estar en pleno ejercicio de sus derechos civiles y políticos, en su caso</w:t>
      </w:r>
      <w:r w:rsidRPr="00A44912">
        <w:rPr>
          <w:rFonts w:ascii="Palatino Linotype" w:eastAsia="Palatino Linotype" w:hAnsi="Palatino Linotype" w:cs="Palatino Linotype"/>
          <w:sz w:val="22"/>
          <w:szCs w:val="22"/>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Se afirma lo anterior, pues los derechos civiles y políticos son aquellos que garantizan las libertades individuales y la participación de las personas en la vida política y social, en igualdad y sin discriminación.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Para efectos de garantizar el ejercicio de dichos derechos, la credencial de elector cumple un papel importante, pues </w:t>
      </w:r>
      <w:proofErr w:type="gramStart"/>
      <w:r w:rsidRPr="00A44912">
        <w:rPr>
          <w:rFonts w:ascii="Palatino Linotype" w:eastAsia="Palatino Linotype" w:hAnsi="Palatino Linotype" w:cs="Palatino Linotype"/>
          <w:sz w:val="22"/>
          <w:szCs w:val="22"/>
        </w:rPr>
        <w:t>dicha documental</w:t>
      </w:r>
      <w:proofErr w:type="gramEnd"/>
      <w:r w:rsidRPr="00A44912">
        <w:rPr>
          <w:rFonts w:ascii="Palatino Linotype" w:eastAsia="Palatino Linotype" w:hAnsi="Palatino Linotype" w:cs="Palatino Linotype"/>
          <w:sz w:val="22"/>
          <w:szCs w:val="22"/>
        </w:rPr>
        <w:t xml:space="preserve"> al obtenerse a partir de que los ciudadanos mexicanos cumplen la mayoría de edad que es a los 18 años, por tanto, estos últimos adquieren derechos establecidos en nuestra Constitución Política de los Estados Unidos Mexicanos, entre ellos el </w:t>
      </w:r>
      <w:r w:rsidRPr="00A44912">
        <w:rPr>
          <w:rFonts w:ascii="Palatino Linotype" w:eastAsia="Palatino Linotype" w:hAnsi="Palatino Linotype" w:cs="Palatino Linotype"/>
          <w:b/>
          <w:sz w:val="22"/>
          <w:szCs w:val="22"/>
        </w:rPr>
        <w:t>derecho al voto.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ahí que la credencial de elector es una documental que puede colmar el requisito antes señalado.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“Artículo 156.</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1. </w:t>
      </w:r>
      <w:r w:rsidRPr="00A44912">
        <w:rPr>
          <w:rFonts w:ascii="Palatino Linotype" w:eastAsia="Palatino Linotype" w:hAnsi="Palatino Linotype" w:cs="Palatino Linotype"/>
          <w:i/>
          <w:sz w:val="22"/>
          <w:szCs w:val="22"/>
          <w:u w:val="single"/>
        </w:rPr>
        <w:t>La credencial para votar deberá contener, cuando menos, los siguientes datos del elector</w:t>
      </w: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d) </w:t>
      </w:r>
      <w:r w:rsidRPr="00A44912">
        <w:rPr>
          <w:rFonts w:ascii="Palatino Linotype" w:eastAsia="Palatino Linotype" w:hAnsi="Palatino Linotype" w:cs="Palatino Linotype"/>
          <w:i/>
          <w:sz w:val="22"/>
          <w:szCs w:val="22"/>
          <w:u w:val="single"/>
        </w:rPr>
        <w:t>Domicilio</w:t>
      </w: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g) Firma, </w:t>
      </w:r>
      <w:r w:rsidRPr="00A44912">
        <w:rPr>
          <w:rFonts w:ascii="Palatino Linotype" w:eastAsia="Palatino Linotype" w:hAnsi="Palatino Linotype" w:cs="Palatino Linotype"/>
          <w:i/>
          <w:sz w:val="22"/>
          <w:szCs w:val="22"/>
          <w:u w:val="single"/>
        </w:rPr>
        <w:t>huella digital</w:t>
      </w:r>
      <w:r w:rsidRPr="00A44912">
        <w:rPr>
          <w:rFonts w:ascii="Palatino Linotype" w:eastAsia="Palatino Linotype" w:hAnsi="Palatino Linotype" w:cs="Palatino Linotype"/>
          <w:i/>
          <w:sz w:val="22"/>
          <w:szCs w:val="22"/>
        </w:rPr>
        <w:t xml:space="preserve"> y </w:t>
      </w:r>
      <w:r w:rsidRPr="00A44912">
        <w:rPr>
          <w:rFonts w:ascii="Palatino Linotype" w:eastAsia="Palatino Linotype" w:hAnsi="Palatino Linotype" w:cs="Palatino Linotype"/>
          <w:i/>
          <w:sz w:val="22"/>
          <w:szCs w:val="22"/>
          <w:u w:val="single"/>
        </w:rPr>
        <w:t>fotografía del elector</w:t>
      </w: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8222"/>
        </w:tabs>
        <w:spacing w:before="240" w:after="240"/>
        <w:ind w:left="851"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w:t>
      </w:r>
      <w:r w:rsidRPr="00A44912">
        <w:rPr>
          <w:rFonts w:ascii="Palatino Linotype" w:eastAsia="Palatino Linotype" w:hAnsi="Palatino Linotype" w:cs="Palatino Linotype"/>
          <w:i/>
          <w:sz w:val="22"/>
          <w:szCs w:val="22"/>
          <w:u w:val="single"/>
        </w:rPr>
        <w:t>Clave Única del Registro de Población</w:t>
      </w:r>
      <w:proofErr w:type="gramStart"/>
      <w:r w:rsidRPr="00A44912">
        <w:rPr>
          <w:rFonts w:ascii="Palatino Linotype" w:eastAsia="Palatino Linotype" w:hAnsi="Palatino Linotype" w:cs="Palatino Linotype"/>
          <w:i/>
          <w:sz w:val="22"/>
          <w:szCs w:val="22"/>
        </w:rPr>
        <w:t>. ”</w:t>
      </w:r>
      <w:proofErr w:type="gramEnd"/>
      <w:r w:rsidRPr="00A44912">
        <w:rPr>
          <w:rFonts w:ascii="Palatino Linotype" w:eastAsia="Palatino Linotype" w:hAnsi="Palatino Linotype" w:cs="Palatino Linotype"/>
          <w:i/>
          <w:sz w:val="22"/>
          <w:szCs w:val="22"/>
        </w:rPr>
        <w:t xml:space="preserve"> (Sic)</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Por tanto, el conocimiento de dichos datos afecta la esfera más íntima de su Titular, en razón de que su utilización indebida pueda dar origen a un riesgo grave para éste.</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6">
        <w:r w:rsidRPr="00A44912">
          <w:rPr>
            <w:rFonts w:ascii="Palatino Linotype" w:eastAsia="Palatino Linotype" w:hAnsi="Palatino Linotype" w:cs="Palatino Linotype"/>
            <w:sz w:val="22"/>
            <w:szCs w:val="22"/>
            <w:u w:val="single"/>
          </w:rPr>
          <w:t>https://www.ine.mx/wp-content/uploads/2022/10/DERFEABCCREDENCIAL2022.pdf</w:t>
        </w:r>
      </w:hyperlink>
      <w:r w:rsidRPr="00A44912">
        <w:rPr>
          <w:rFonts w:ascii="Palatino Linotype" w:eastAsia="Palatino Linotype" w:hAnsi="Palatino Linotype" w:cs="Palatino Linotype"/>
          <w:sz w:val="22"/>
          <w:szCs w:val="22"/>
        </w:rPr>
        <w:t xml:space="preserve">, como se muestra a continuación, en su parte medular: </w: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0225" cy="2333625"/>
            <wp:effectExtent l="0" t="0" r="0" b="0"/>
            <wp:docPr id="21431082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10225" cy="2333625"/>
                    </a:xfrm>
                    <a:prstGeom prst="rect">
                      <a:avLst/>
                    </a:prstGeom>
                    <a:ln/>
                  </pic:spPr>
                </pic:pic>
              </a:graphicData>
            </a:graphic>
          </wp:inline>
        </w:drawing>
      </w:r>
      <w:r w:rsidRPr="00A44912">
        <w:rPr>
          <w:noProof/>
        </w:rPr>
        <mc:AlternateContent>
          <mc:Choice Requires="wps">
            <w:drawing>
              <wp:anchor distT="0" distB="0" distL="114300" distR="114300" simplePos="0" relativeHeight="251659264" behindDoc="0" locked="0" layoutInCell="1" hidden="0" allowOverlap="1">
                <wp:simplePos x="0" y="0"/>
                <wp:positionH relativeFrom="column">
                  <wp:posOffset>986790</wp:posOffset>
                </wp:positionH>
                <wp:positionV relativeFrom="paragraph">
                  <wp:posOffset>572135</wp:posOffset>
                </wp:positionV>
                <wp:extent cx="2495550" cy="317500"/>
                <wp:effectExtent l="0" t="0" r="0" b="0"/>
                <wp:wrapNone/>
                <wp:docPr id="2143108273" name="Rectángulo 2143108273"/>
                <wp:cNvGraphicFramePr/>
                <a:graphic xmlns:a="http://schemas.openxmlformats.org/drawingml/2006/main">
                  <a:graphicData uri="http://schemas.microsoft.com/office/word/2010/wordprocessingShape">
                    <wps:wsp>
                      <wps:cNvSpPr/>
                      <wps:spPr>
                        <a:xfrm>
                          <a:off x="4107750" y="3630775"/>
                          <a:ext cx="2476500" cy="298450"/>
                        </a:xfrm>
                        <a:prstGeom prst="rect">
                          <a:avLst/>
                        </a:prstGeom>
                        <a:noFill/>
                        <a:ln w="19050" cap="flat" cmpd="sng">
                          <a:solidFill>
                            <a:srgbClr val="FF0000"/>
                          </a:solidFill>
                          <a:prstDash val="solid"/>
                          <a:miter lim="800000"/>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3" o:spid="_x0000_s1027" style="position:absolute;left:0;text-align:left;margin-left:77.7pt;margin-top:45.05pt;width:196.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" filled="f" strokecolor="red" strokeweight="1.5pt">
                <v:stroke startarrowwidth="narrow" startarrowlength="short" endarrowwidth="narrow" endarrowlength="short"/>
                <v:textbox inset="2.53958mm,2.53958mm,2.53958mm,2.53958mm">
                  <w:txbxContent>
                    <w:p w:rsidR="00563B1C" w:rsidRDefault="00563B1C">
                      <w:pPr>
                        <w:textDirection w:val="btLr"/>
                      </w:pPr>
                    </w:p>
                  </w:txbxContent>
                </v:textbox>
              </v:rect>
            </w:pict>
          </mc:Fallback>
        </mc:AlternateContent>
      </w:r>
      <w:r w:rsidRPr="00A44912">
        <w:rPr>
          <w:noProof/>
        </w:rPr>
        <mc:AlternateContent>
          <mc:Choice Requires="wps">
            <w:drawing>
              <wp:anchor distT="0" distB="0" distL="114300" distR="114300" simplePos="0" relativeHeight="251660288" behindDoc="0" locked="0" layoutInCell="1" hidden="0" allowOverlap="1">
                <wp:simplePos x="0" y="0"/>
                <wp:positionH relativeFrom="column">
                  <wp:posOffset>131444</wp:posOffset>
                </wp:positionH>
                <wp:positionV relativeFrom="paragraph">
                  <wp:posOffset>993775</wp:posOffset>
                </wp:positionV>
                <wp:extent cx="783590" cy="544195"/>
                <wp:effectExtent l="0" t="0" r="0" b="0"/>
                <wp:wrapNone/>
                <wp:docPr id="2143108271" name="Rectángulo 2143108271"/>
                <wp:cNvGraphicFramePr/>
                <a:graphic xmlns:a="http://schemas.openxmlformats.org/drawingml/2006/main">
                  <a:graphicData uri="http://schemas.microsoft.com/office/word/2010/wordprocessingShape">
                    <wps:wsp>
                      <wps:cNvSpPr/>
                      <wps:spPr>
                        <a:xfrm>
                          <a:off x="4964048" y="3517428"/>
                          <a:ext cx="763905" cy="525145"/>
                        </a:xfrm>
                        <a:prstGeom prst="rect">
                          <a:avLst/>
                        </a:prstGeom>
                        <a:noFill/>
                        <a:ln w="19050" cap="flat" cmpd="sng">
                          <a:solidFill>
                            <a:srgbClr val="FF0000"/>
                          </a:solidFill>
                          <a:prstDash val="solid"/>
                          <a:miter lim="800000"/>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1" o:spid="_x0000_s1028" style="position:absolute;left:0;text-align:left;margin-left:10.35pt;margin-top:78.25pt;width:61.7pt;height:4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" filled="f" strokecolor="red" strokeweight="1.5pt">
                <v:stroke startarrowwidth="narrow" startarrowlength="short" endarrowwidth="narrow" endarrowlength="short"/>
                <v:textbox inset="2.53958mm,2.53958mm,2.53958mm,2.53958mm">
                  <w:txbxContent>
                    <w:p w:rsidR="00563B1C" w:rsidRDefault="00563B1C">
                      <w:pPr>
                        <w:textDirection w:val="btLr"/>
                      </w:pPr>
                    </w:p>
                  </w:txbxContent>
                </v:textbox>
              </v:rect>
            </w:pict>
          </mc:Fallback>
        </mc:AlternateConten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610225" cy="4086225"/>
            <wp:effectExtent l="0" t="0" r="0" b="0"/>
            <wp:docPr id="21431082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0225" cy="4086225"/>
                    </a:xfrm>
                    <a:prstGeom prst="rect">
                      <a:avLst/>
                    </a:prstGeom>
                    <a:ln/>
                  </pic:spPr>
                </pic:pic>
              </a:graphicData>
            </a:graphic>
          </wp:inline>
        </w:drawing>
      </w:r>
      <w:r w:rsidRPr="00A44912">
        <w:rPr>
          <w:noProof/>
        </w:rPr>
        <mc:AlternateContent>
          <mc:Choice Requires="wps">
            <w:drawing>
              <wp:anchor distT="0" distB="0" distL="114300" distR="114300" simplePos="0" relativeHeight="251661312" behindDoc="0" locked="0" layoutInCell="1" hidden="0" allowOverlap="1">
                <wp:simplePos x="0" y="0"/>
                <wp:positionH relativeFrom="column">
                  <wp:posOffset>902335</wp:posOffset>
                </wp:positionH>
                <wp:positionV relativeFrom="paragraph">
                  <wp:posOffset>265430</wp:posOffset>
                </wp:positionV>
                <wp:extent cx="2523490" cy="469265"/>
                <wp:effectExtent l="0" t="0" r="0" b="0"/>
                <wp:wrapNone/>
                <wp:docPr id="2143108274" name="Rectángulo 2143108274"/>
                <wp:cNvGraphicFramePr/>
                <a:graphic xmlns:a="http://schemas.openxmlformats.org/drawingml/2006/main">
                  <a:graphicData uri="http://schemas.microsoft.com/office/word/2010/wordprocessingShape">
                    <wps:wsp>
                      <wps:cNvSpPr/>
                      <wps:spPr>
                        <a:xfrm>
                          <a:off x="4094098" y="3554893"/>
                          <a:ext cx="2503805" cy="450215"/>
                        </a:xfrm>
                        <a:prstGeom prst="rect">
                          <a:avLst/>
                        </a:prstGeom>
                        <a:noFill/>
                        <a:ln w="19050" cap="flat" cmpd="sng">
                          <a:solidFill>
                            <a:srgbClr val="FF0000"/>
                          </a:solidFill>
                          <a:prstDash val="solid"/>
                          <a:miter lim="800000"/>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4" o:spid="_x0000_s1029" style="position:absolute;left:0;text-align:left;margin-left:71.05pt;margin-top:20.9pt;width:198.7pt;height:3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" filled="f" strokecolor="red" strokeweight="1.5pt">
                <v:stroke startarrowwidth="narrow" startarrowlength="short" endarrowwidth="narrow" endarrowlength="short"/>
                <v:textbox inset="2.53958mm,2.53958mm,2.53958mm,2.53958mm">
                  <w:txbxContent>
                    <w:p w:rsidR="00563B1C" w:rsidRDefault="00563B1C">
                      <w:pPr>
                        <w:textDirection w:val="btLr"/>
                      </w:pPr>
                    </w:p>
                  </w:txbxContent>
                </v:textbox>
              </v:rect>
            </w:pict>
          </mc:Fallback>
        </mc:AlternateContent>
      </w:r>
      <w:r w:rsidRPr="00A44912">
        <w:rPr>
          <w:noProof/>
        </w:rPr>
        <mc:AlternateContent>
          <mc:Choice Requires="wps">
            <w:drawing>
              <wp:anchor distT="0" distB="0" distL="114300" distR="114300" simplePos="0" relativeHeight="251662336" behindDoc="0" locked="0" layoutInCell="1" hidden="0" allowOverlap="1">
                <wp:simplePos x="0" y="0"/>
                <wp:positionH relativeFrom="column">
                  <wp:posOffset>872490</wp:posOffset>
                </wp:positionH>
                <wp:positionV relativeFrom="paragraph">
                  <wp:posOffset>1967230</wp:posOffset>
                </wp:positionV>
                <wp:extent cx="2523490" cy="628650"/>
                <wp:effectExtent l="0" t="0" r="0" b="0"/>
                <wp:wrapNone/>
                <wp:docPr id="2143108272" name="Rectángulo 2143108272"/>
                <wp:cNvGraphicFramePr/>
                <a:graphic xmlns:a="http://schemas.openxmlformats.org/drawingml/2006/main">
                  <a:graphicData uri="http://schemas.microsoft.com/office/word/2010/wordprocessingShape">
                    <wps:wsp>
                      <wps:cNvSpPr/>
                      <wps:spPr>
                        <a:xfrm>
                          <a:off x="4094098" y="3475200"/>
                          <a:ext cx="2503805" cy="609600"/>
                        </a:xfrm>
                        <a:prstGeom prst="rect">
                          <a:avLst/>
                        </a:prstGeom>
                        <a:noFill/>
                        <a:ln w="19050" cap="flat" cmpd="sng">
                          <a:solidFill>
                            <a:srgbClr val="FF0000"/>
                          </a:solidFill>
                          <a:prstDash val="solid"/>
                          <a:miter lim="800000"/>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2" o:spid="_x0000_s1030" style="position:absolute;left:0;text-align:left;margin-left:68.7pt;margin-top:154.9pt;width:198.7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" filled="f" strokecolor="red" strokeweight="1.5pt">
                <v:stroke startarrowwidth="narrow" startarrowlength="short" endarrowwidth="narrow" endarrowlength="short"/>
                <v:textbox inset="2.53958mm,2.53958mm,2.53958mm,2.53958mm">
                  <w:txbxContent>
                    <w:p w:rsidR="00563B1C" w:rsidRDefault="00563B1C">
                      <w:pPr>
                        <w:textDirection w:val="btLr"/>
                      </w:pPr>
                    </w:p>
                  </w:txbxContent>
                </v:textbox>
              </v:rect>
            </w:pict>
          </mc:Fallback>
        </mc:AlternateContent>
      </w:r>
      <w:r w:rsidRPr="00A44912">
        <w:rPr>
          <w:noProof/>
        </w:rPr>
        <mc:AlternateContent>
          <mc:Choice Requires="wps">
            <w:drawing>
              <wp:anchor distT="0" distB="0" distL="114300" distR="114300" simplePos="0" relativeHeight="251663360" behindDoc="0" locked="0" layoutInCell="1" hidden="0" allowOverlap="1">
                <wp:simplePos x="0" y="0"/>
                <wp:positionH relativeFrom="column">
                  <wp:posOffset>310515</wp:posOffset>
                </wp:positionH>
                <wp:positionV relativeFrom="paragraph">
                  <wp:posOffset>1271905</wp:posOffset>
                </wp:positionV>
                <wp:extent cx="394335" cy="1800225"/>
                <wp:effectExtent l="0" t="0" r="0" b="0"/>
                <wp:wrapNone/>
                <wp:docPr id="2143108276" name="Rectángulo 2143108276"/>
                <wp:cNvGraphicFramePr/>
                <a:graphic xmlns:a="http://schemas.openxmlformats.org/drawingml/2006/main">
                  <a:graphicData uri="http://schemas.microsoft.com/office/word/2010/wordprocessingShape">
                    <wps:wsp>
                      <wps:cNvSpPr/>
                      <wps:spPr>
                        <a:xfrm>
                          <a:off x="5158358" y="2889413"/>
                          <a:ext cx="375285" cy="1781175"/>
                        </a:xfrm>
                        <a:prstGeom prst="rect">
                          <a:avLst/>
                        </a:prstGeom>
                        <a:noFill/>
                        <a:ln w="19050" cap="flat" cmpd="sng">
                          <a:solidFill>
                            <a:srgbClr val="FF0000"/>
                          </a:solidFill>
                          <a:prstDash val="solid"/>
                          <a:miter lim="800000"/>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6" o:spid="_x0000_s1031" style="position:absolute;left:0;text-align:left;margin-left:24.45pt;margin-top:100.15pt;width:31.05pt;height:14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" filled="f" strokecolor="red" strokeweight="1.5pt">
                <v:stroke startarrowwidth="narrow" startarrowlength="short" endarrowwidth="narrow" endarrowlength="short"/>
                <v:textbox inset="2.53958mm,2.53958mm,2.53958mm,2.53958mm">
                  <w:txbxContent>
                    <w:p w:rsidR="00563B1C" w:rsidRDefault="00563B1C">
                      <w:pPr>
                        <w:textDirection w:val="btLr"/>
                      </w:pPr>
                    </w:p>
                  </w:txbxContent>
                </v:textbox>
              </v:rect>
            </w:pict>
          </mc:Fallback>
        </mc:AlternateConten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el caso de la edad, se trata de un dato personal sensible que concierne únicamente a su titular, al corresponder a su esfera más íntima. </w:t>
      </w:r>
    </w:p>
    <w:p w:rsidR="00D83B85" w:rsidRPr="00A44912" w:rsidRDefault="00052DD8">
      <w:pPr>
        <w:widowControl w:val="0"/>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Finalmente, por lo que hace al código de barras bidimensional y cifrado, como fue anteriormente mencionado, se trata de un medio de almacenamiento de información, </w:t>
      </w:r>
      <w:proofErr w:type="gramStart"/>
      <w:r w:rsidRPr="00A44912">
        <w:rPr>
          <w:rFonts w:ascii="Palatino Linotype" w:eastAsia="Palatino Linotype" w:hAnsi="Palatino Linotype" w:cs="Palatino Linotype"/>
          <w:sz w:val="22"/>
          <w:szCs w:val="22"/>
        </w:rPr>
        <w:t>que</w:t>
      </w:r>
      <w:proofErr w:type="gramEnd"/>
      <w:r w:rsidRPr="00A44912">
        <w:rPr>
          <w:rFonts w:ascii="Palatino Linotype" w:eastAsia="Palatino Linotype" w:hAnsi="Palatino Linotype" w:cs="Palatino Linotype"/>
          <w:sz w:val="22"/>
          <w:szCs w:val="22"/>
        </w:rPr>
        <w:t xml:space="preserve"> en el caso de las credenciales para votar, contiene datos e información, utilizada para efectos electorales, misma, que únicamente concierne a las autoridades competentes en la materia y a su propio titular.</w:t>
      </w:r>
    </w:p>
    <w:p w:rsidR="00D83B85" w:rsidRPr="00A44912" w:rsidRDefault="00052DD8">
      <w:pPr>
        <w:widowControl w:val="0"/>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sz w:val="22"/>
          <w:szCs w:val="22"/>
        </w:rPr>
        <w:t xml:space="preserve">Por lo tanto, aún y cuando la credencial de elector puede dar cuenta del requisito previsto en la fracción III del artículo 47 de la Ley del Trabajo de la Entidad, atendiendo los datos personales que la conforman, </w:t>
      </w:r>
      <w:r w:rsidRPr="00A44912">
        <w:rPr>
          <w:rFonts w:ascii="Palatino Linotype" w:eastAsia="Palatino Linotype" w:hAnsi="Palatino Linotype" w:cs="Palatino Linotype"/>
          <w:b/>
          <w:sz w:val="22"/>
          <w:szCs w:val="22"/>
          <w:u w:val="single"/>
        </w:rPr>
        <w:t>procede su clasificación en su totalidad.</w:t>
      </w:r>
    </w:p>
    <w:p w:rsidR="00D83B85" w:rsidRPr="00A44912" w:rsidRDefault="00052DD8">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Informe o Certificado de no antecedentes penales.</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Al respecto,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rsidR="00D83B85" w:rsidRPr="00A44912" w:rsidRDefault="00052DD8">
      <w:pPr>
        <w:spacing w:before="240" w:after="240"/>
        <w:ind w:left="1134"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A44912">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rsidR="00D83B85" w:rsidRPr="00A44912" w:rsidRDefault="00052DD8">
      <w:pPr>
        <w:spacing w:before="240" w:after="240"/>
        <w:ind w:left="1134" w:right="851"/>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A44912">
        <w:rPr>
          <w:rFonts w:ascii="Palatino Linotype" w:eastAsia="Palatino Linotype" w:hAnsi="Palatino Linotype" w:cs="Palatino Linotype"/>
          <w:i/>
          <w:sz w:val="22"/>
          <w:szCs w:val="22"/>
        </w:rPr>
        <w:t>” (Énfasis añadido)</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tal caso, es a partir de la publicación de la derogación de este precepto legal en el periódico oficial “Gaceta de Gobierno”, que la obligación de requerir a los servidores públicos el documento referido como condicionante para ingresar al servicio público es inexistente.</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No obstante, debe tenerse en cuenta que el artículo 47 de la Ley del Trabajo de los Servidores Públicos del Estado y Municipios, refiere en la fracción III </w:t>
      </w:r>
      <w:proofErr w:type="gramStart"/>
      <w:r w:rsidRPr="00A44912">
        <w:rPr>
          <w:rFonts w:ascii="Palatino Linotype" w:eastAsia="Palatino Linotype" w:hAnsi="Palatino Linotype" w:cs="Palatino Linotype"/>
          <w:sz w:val="22"/>
          <w:szCs w:val="22"/>
        </w:rPr>
        <w:t>que</w:t>
      </w:r>
      <w:proofErr w:type="gramEnd"/>
      <w:r w:rsidRPr="00A44912">
        <w:rPr>
          <w:rFonts w:ascii="Palatino Linotype" w:eastAsia="Palatino Linotype" w:hAnsi="Palatino Linotype" w:cs="Palatino Linotype"/>
          <w:sz w:val="22"/>
          <w:szCs w:val="22"/>
        </w:rPr>
        <w:t xml:space="preserve"> para ingresar al servicio público, se requiere, estar en pleno ejercicio de sus derechos civiles y políticos, en su caso. </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u w:val="single"/>
        </w:rPr>
      </w:pPr>
      <w:proofErr w:type="gramStart"/>
      <w:r w:rsidRPr="00A44912">
        <w:rPr>
          <w:rFonts w:ascii="Palatino Linotype" w:eastAsia="Palatino Linotype" w:hAnsi="Palatino Linotype" w:cs="Palatino Linotype"/>
          <w:sz w:val="22"/>
          <w:szCs w:val="22"/>
          <w:u w:val="single"/>
        </w:rPr>
        <w:t>Dichas documentales</w:t>
      </w:r>
      <w:proofErr w:type="gramEnd"/>
      <w:r w:rsidRPr="00A44912">
        <w:rPr>
          <w:rFonts w:ascii="Palatino Linotype" w:eastAsia="Palatino Linotype" w:hAnsi="Palatino Linotype" w:cs="Palatino Linotype"/>
          <w:sz w:val="22"/>
          <w:szCs w:val="22"/>
          <w:u w:val="single"/>
        </w:rPr>
        <w:t xml:space="preserve"> también dan cuenta del cumplimiento del requisito en cuestión, pues en materia de derecho penal, una persona que tiene la imputación de un delito del cual ha resultado responsable mediante sentencia ejecutoriada y cuya pena haya sido la prisión, por tanto, sus derechos civiles y políticos pueden verse suspendidos.</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Sin embargo, en el caso de que los </w:t>
      </w:r>
      <w:r w:rsidRPr="00A44912">
        <w:rPr>
          <w:rFonts w:ascii="Palatino Linotype" w:eastAsia="Palatino Linotype" w:hAnsi="Palatino Linotype" w:cs="Palatino Linotype"/>
          <w:b/>
          <w:sz w:val="22"/>
          <w:szCs w:val="22"/>
        </w:rPr>
        <w:t>informes o certificados de no antecedentes penales</w:t>
      </w:r>
      <w:r w:rsidRPr="00A44912">
        <w:rPr>
          <w:rFonts w:ascii="Palatino Linotype" w:eastAsia="Palatino Linotype" w:hAnsi="Palatino Linotype" w:cs="Palatino Linotype"/>
          <w:sz w:val="22"/>
          <w:szCs w:val="22"/>
        </w:rPr>
        <w:t xml:space="preserve">, no obre en los archivos del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toda vez que</w:t>
      </w:r>
      <w:r w:rsidRPr="00A44912">
        <w:rPr>
          <w:rFonts w:ascii="Palatino Linotype" w:eastAsia="Palatino Linotype" w:hAnsi="Palatino Linotype" w:cs="Palatino Linotype"/>
          <w:b/>
          <w:sz w:val="22"/>
          <w:szCs w:val="22"/>
          <w:u w:val="single"/>
        </w:rPr>
        <w:t xml:space="preserve"> este documento no fue exigido por el Sujeto Obligado al momento del ingreso de los servidores públicos requeridos,</w:t>
      </w:r>
      <w:r w:rsidRPr="00A44912">
        <w:rPr>
          <w:rFonts w:ascii="Palatino Linotype" w:eastAsia="Palatino Linotype" w:hAnsi="Palatino Linotype" w:cs="Palatino Linotype"/>
          <w:sz w:val="22"/>
          <w:szCs w:val="22"/>
        </w:rPr>
        <w:t xml:space="preserve"> deberá hacerlo del conocimiento de </w:t>
      </w:r>
      <w:r w:rsidRPr="00A44912">
        <w:rPr>
          <w:rFonts w:ascii="Palatino Linotype" w:eastAsia="Palatino Linotype" w:hAnsi="Palatino Linotype" w:cs="Palatino Linotype"/>
          <w:b/>
          <w:sz w:val="22"/>
          <w:szCs w:val="22"/>
        </w:rPr>
        <w:t>la parte</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en términos del artículo 19, párrafo segundo, de la Ley de Transparencia y Acceso a la Información Pública del Estado de México y Municipios, para tenerse por colmado dicho requerimiento.</w:t>
      </w:r>
    </w:p>
    <w:p w:rsidR="00D83B85" w:rsidRPr="00A44912" w:rsidRDefault="00052DD8">
      <w:pPr>
        <w:numPr>
          <w:ilvl w:val="0"/>
          <w:numId w:val="7"/>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u w:val="single"/>
        </w:rPr>
        <w:t xml:space="preserve">Constancia o certificado médico: </w:t>
      </w:r>
    </w:p>
    <w:p w:rsidR="00D83B85" w:rsidRPr="00A44912" w:rsidRDefault="00052DD8">
      <w:pPr>
        <w:spacing w:before="240" w:after="240" w:line="360" w:lineRule="auto"/>
        <w:ind w:left="720" w:right="51" w:hanging="72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tales circunstancias, se considera que la información contenida en el certificado médico únicamente identifica el estado de salud físico y mental del servidor público, lo cual </w:t>
      </w:r>
      <w:r w:rsidRPr="00A44912">
        <w:rPr>
          <w:rFonts w:ascii="Palatino Linotype" w:eastAsia="Palatino Linotype" w:hAnsi="Palatino Linotype" w:cs="Palatino Linotype"/>
          <w:b/>
          <w:sz w:val="22"/>
          <w:szCs w:val="22"/>
        </w:rPr>
        <w:t>guarda el carácter confidencial</w:t>
      </w:r>
      <w:r w:rsidRPr="00A44912">
        <w:rPr>
          <w:rFonts w:ascii="Palatino Linotype" w:eastAsia="Palatino Linotype" w:hAnsi="Palatino Linotype" w:cs="Palatino Linotype"/>
          <w:sz w:val="22"/>
          <w:szCs w:val="22"/>
        </w:rPr>
        <w:t>, en términos del artículo 143, fracción I, de la Ley de Transparencia y Acceso a la Información Pública del Estado de México y Municipios, por lo que si bien es requisito tener buena salud, no se prevé como requisito obligatorio para ingresar al servicio público la entrega de certificado o constancia médica, sino sólo su comprobación mediante dichos documentos.</w:t>
      </w:r>
    </w:p>
    <w:p w:rsidR="00D83B85" w:rsidRPr="00A44912" w:rsidRDefault="00052DD8">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Constancia de no inhabilitación.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Es el documento que expide la Secretaría de la Contraloría del Estado de México por medio del sistema electrónico extranet </w:t>
      </w:r>
      <w:hyperlink r:id="rId19">
        <w:r w:rsidRPr="00A44912">
          <w:rPr>
            <w:rFonts w:ascii="Palatino Linotype" w:eastAsia="Palatino Linotype" w:hAnsi="Palatino Linotype" w:cs="Palatino Linotype"/>
            <w:sz w:val="22"/>
            <w:szCs w:val="22"/>
            <w:u w:val="single"/>
          </w:rPr>
          <w:t>www.secogem.gob.mx/constancias/</w:t>
        </w:r>
      </w:hyperlink>
      <w:r w:rsidRPr="00A44912">
        <w:rPr>
          <w:rFonts w:ascii="Palatino Linotype" w:eastAsia="Palatino Linotype" w:hAnsi="Palatino Linotype" w:cs="Palatino Linotype"/>
          <w:sz w:val="22"/>
          <w:szCs w:val="22"/>
        </w:rPr>
        <w:t xml:space="preserve"> en el cual se informa si las personas físicas cuentan con alguna sanción o inhabilitación para ocupar un empleo, cargo o comisión de carácter público. </w:t>
      </w:r>
    </w:p>
    <w:p w:rsidR="00D83B85" w:rsidRPr="00A44912" w:rsidRDefault="00052DD8">
      <w:pPr>
        <w:spacing w:before="240" w:after="240" w:line="360" w:lineRule="auto"/>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sz w:val="22"/>
          <w:szCs w:val="22"/>
        </w:rPr>
        <w:t xml:space="preserve">Por lo anterior, este documento es de naturaleza pública, sin embargo, no pasa desapercibido mencionar que puede contener datos que actualizan la causal prevista en la fracción I del artículo 143 de la Ley de Transparencia del Estado de México y Municipios, ya que puede contener datos como la CURP y RFC; y, por tanto, </w:t>
      </w:r>
      <w:r w:rsidRPr="00A44912">
        <w:rPr>
          <w:rFonts w:ascii="Palatino Linotype" w:eastAsia="Palatino Linotype" w:hAnsi="Palatino Linotype" w:cs="Palatino Linotype"/>
          <w:b/>
          <w:sz w:val="22"/>
          <w:szCs w:val="22"/>
        </w:rPr>
        <w:t>procede su entrega en versión pública.</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Además, es de precisar que con la entrega de </w:t>
      </w:r>
      <w:proofErr w:type="gramStart"/>
      <w:r w:rsidRPr="00A44912">
        <w:rPr>
          <w:rFonts w:ascii="Palatino Linotype" w:eastAsia="Palatino Linotype" w:hAnsi="Palatino Linotype" w:cs="Palatino Linotype"/>
          <w:sz w:val="22"/>
          <w:szCs w:val="22"/>
        </w:rPr>
        <w:t>dicha constancias</w:t>
      </w:r>
      <w:proofErr w:type="gramEnd"/>
      <w:r w:rsidRPr="00A44912">
        <w:rPr>
          <w:rFonts w:ascii="Palatino Linotype" w:eastAsia="Palatino Linotype" w:hAnsi="Palatino Linotype" w:cs="Palatino Linotype"/>
          <w:sz w:val="22"/>
          <w:szCs w:val="22"/>
        </w:rPr>
        <w:t xml:space="preserve"> de no inhabilitación se colma el requisito relativo a “</w:t>
      </w:r>
      <w:r w:rsidRPr="00A44912">
        <w:rPr>
          <w:rFonts w:ascii="Palatino Linotype" w:eastAsia="Palatino Linotype" w:hAnsi="Palatino Linotype" w:cs="Palatino Linotype"/>
          <w:b/>
          <w:i/>
          <w:sz w:val="22"/>
          <w:szCs w:val="22"/>
        </w:rPr>
        <w:t>No haber sido separado anteriormente del servicio por las causas previstas en el artículo 93 de la Ley de Trabajo de los Servidores Públicos de la Entidad</w:t>
      </w:r>
      <w:r w:rsidRPr="00A44912">
        <w:rPr>
          <w:rFonts w:ascii="Palatino Linotype" w:eastAsia="Palatino Linotype" w:hAnsi="Palatino Linotype" w:cs="Palatino Linotype"/>
          <w:sz w:val="22"/>
          <w:szCs w:val="22"/>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Conviene citar el contenido del artículo 93 de la Ley del Trabajo de la Entidad, en la parte de nuestro interés:</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93. Son causas de rescisión de la relación laboral, sin responsabilidad para las instituciones públicas:</w:t>
      </w:r>
      <w:r w:rsidRPr="00A44912">
        <w:rPr>
          <w:rFonts w:ascii="Palatino Linotype" w:eastAsia="Palatino Linotype" w:hAnsi="Palatino Linotype" w:cs="Palatino Linotype"/>
          <w:i/>
          <w:sz w:val="22"/>
          <w:szCs w:val="22"/>
        </w:rPr>
        <w:t xml:space="preserv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Tener asignada más de una plaza en la misma o en diferentes instituciones públicas o dependencias, con las excepciones que esta ley señala, o bien cobrar un sueldo sin desempeñar funciones;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 Incurrir en cuatro o más faltas de asistencia a sus labores sin causa justificada, dentro de un lapso de treinta días; V. Abandonar las labores sin autorización previa o razón plenamente justificada, en contravención a lo establecido en las condiciones generales de trabajo;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Causar daños intencionalmente a edificios, obras, equipo, maquinaria, instrumentos, materias primas y demás objetos relacionados con el trabajo, o por sustraerlos en beneficio propio;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VII. Cometer actos inmorales durante el trabajo;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Revelar los asuntos confidenciales o reservados así calificados por la institución pública o dependencia donde labore, de los cuales tuviese conocimiento con motivo de su trabajo; […]”</w:t>
      </w:r>
    </w:p>
    <w:p w:rsidR="00D83B85" w:rsidRPr="00A44912" w:rsidRDefault="00D83B85">
      <w:pPr>
        <w:spacing w:before="120" w:after="120" w:line="360" w:lineRule="auto"/>
        <w:ind w:left="851" w:right="902"/>
        <w:jc w:val="both"/>
        <w:rPr>
          <w:rFonts w:ascii="Palatino Linotype" w:eastAsia="Palatino Linotype" w:hAnsi="Palatino Linotype" w:cs="Palatino Linotype"/>
          <w:i/>
          <w:sz w:val="22"/>
          <w:szCs w:val="22"/>
        </w:rPr>
      </w:pPr>
    </w:p>
    <w:p w:rsidR="00D83B85" w:rsidRPr="00A44912" w:rsidRDefault="00052DD8">
      <w:pPr>
        <w:spacing w:before="120" w:after="120" w:line="360" w:lineRule="auto"/>
        <w:ind w:left="851" w:right="902"/>
        <w:jc w:val="right"/>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(Énfasis añadido)</w:t>
      </w:r>
    </w:p>
    <w:p w:rsidR="00D83B85" w:rsidRPr="00A44912" w:rsidRDefault="00052DD8">
      <w:pPr>
        <w:numPr>
          <w:ilvl w:val="0"/>
          <w:numId w:val="2"/>
        </w:numP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Cartilla militar.</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151.-</w:t>
      </w:r>
      <w:r w:rsidRPr="00A44912">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 Un retrato de frente;</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Sus generales (nombre y apellidos paterno y materno, edad, ocupación, estado civil y domicilio);</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 Matrícula;</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IV.- Clase a que pertenece;</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 Corporación a que se le destine;</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 Unidad a la que deba incorporarse en caso de movilización;</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 Firma de la autoridad que la expida;</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VIII.- Firma del interesado, si sabe hacerlo;</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IX.- Sello de la Junta Municipal de Reclutamiento o Consulado;</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X.- Huella digital.</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Mientras que el artículo 17 y 18 del Reglamento de la Ley del Servicio Militar, rezan así:</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17.</w:t>
      </w:r>
      <w:r w:rsidRPr="00A44912">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w:t>
      </w:r>
      <w:r w:rsidRPr="00A44912">
        <w:rPr>
          <w:rFonts w:ascii="Palatino Linotype" w:eastAsia="Palatino Linotype" w:hAnsi="Palatino Linotype" w:cs="Palatino Linotype"/>
          <w:b/>
          <w:i/>
          <w:sz w:val="22"/>
          <w:szCs w:val="22"/>
        </w:rPr>
        <w:t>ARTÍCULO 18.-</w:t>
      </w:r>
      <w:r w:rsidRPr="00A44912">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Cartilla de identificación que se entregará al interesado...” </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los preceptos legales trascritos, se obtiene que el documento que permite acreditar la inscripción de cada mexicano, en cumplimiento a la Ley del Servicio Militar, lo es la cartilla de identificación que se entrega al interesado.</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w:t>
      </w:r>
      <w:r w:rsidRPr="00A44912">
        <w:rPr>
          <w:rFonts w:ascii="Palatino Linotype" w:eastAsia="Palatino Linotype" w:hAnsi="Palatino Linotype" w:cs="Palatino Linotype"/>
          <w:b/>
          <w:sz w:val="22"/>
          <w:szCs w:val="22"/>
        </w:rPr>
        <w:t>se deberá llevar a cabo el mismo tratamiento que el acta de nacimiento referida en la fracción II, es decir procede su clasificación de manera total.</w:t>
      </w:r>
    </w:p>
    <w:p w:rsidR="00D83B85" w:rsidRPr="00A44912" w:rsidRDefault="00052DD8">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rPr>
        <w:t>Certificado de no deudor alimentario moroso: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lo que hace los certificados de no deudor alimentario moroso, es de indicar que la Ley General de los Derechos de las Niñas, Niños y Adolescentes </w:t>
      </w:r>
      <w:hyperlink r:id="rId20">
        <w:r w:rsidRPr="00A44912">
          <w:rPr>
            <w:rFonts w:ascii="Palatino Linotype" w:eastAsia="Palatino Linotype" w:hAnsi="Palatino Linotype" w:cs="Palatino Linotype"/>
            <w:sz w:val="22"/>
            <w:szCs w:val="22"/>
          </w:rPr>
          <w:t>https://www.diputados.gob.mx/LeyesBiblio/pdf/LGDNNA.pdf</w:t>
        </w:r>
      </w:hyperlink>
      <w:r w:rsidRPr="00A44912">
        <w:rPr>
          <w:rFonts w:ascii="Palatino Linotype" w:eastAsia="Palatino Linotype" w:hAnsi="Palatino Linotype" w:cs="Palatino Linotype"/>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A44912">
        <w:rPr>
          <w:rFonts w:ascii="Palatino Linotype" w:eastAsia="Palatino Linotype" w:hAnsi="Palatino Linotype" w:cs="Palatino Linotype"/>
          <w:sz w:val="22"/>
          <w:szCs w:val="22"/>
        </w:rPr>
        <w:t>bio</w:t>
      </w:r>
      <w:proofErr w:type="spellEnd"/>
      <w:r w:rsidRPr="00A44912">
        <w:rPr>
          <w:rFonts w:ascii="Palatino Linotype" w:eastAsia="Palatino Linotype" w:hAnsi="Palatino Linotype" w:cs="Palatino Linotype"/>
          <w:sz w:val="22"/>
          <w:szCs w:val="22"/>
        </w:rPr>
        <w:t>-</w:t>
      </w:r>
      <w:proofErr w:type="spellStart"/>
      <w:r w:rsidRPr="00A44912">
        <w:rPr>
          <w:rFonts w:ascii="Palatino Linotype" w:eastAsia="Palatino Linotype" w:hAnsi="Palatino Linotype" w:cs="Palatino Linotype"/>
          <w:sz w:val="22"/>
          <w:szCs w:val="22"/>
        </w:rPr>
        <w:t>psico</w:t>
      </w:r>
      <w:proofErr w:type="spellEnd"/>
      <w:r w:rsidRPr="00A44912">
        <w:rPr>
          <w:rFonts w:ascii="Palatino Linotype" w:eastAsia="Palatino Linotype" w:hAnsi="Palatino Linotype" w:cs="Palatino Linotype"/>
          <w:sz w:val="22"/>
          <w:szCs w:val="22"/>
        </w:rPr>
        <w:t>-social, y establece como obligación de los progenitores para con sus hijos, el proporcionarles, apoyo, cuidados, educación y protección a su salud.</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A44912">
        <w:rPr>
          <w:rFonts w:ascii="Palatino Linotype" w:eastAsia="Palatino Linotype" w:hAnsi="Palatino Linotype" w:cs="Palatino Linotype"/>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Al respecto, en el Proyecto de Decreto por el que se Reforman y Adicionan Diversas Disposiciones para crear el Registro de Deudores Alimentarios del Estado de México, disponible en la dirección electrónica </w:t>
      </w:r>
      <w:hyperlink r:id="rId21">
        <w:r w:rsidRPr="00A44912">
          <w:rPr>
            <w:rFonts w:ascii="Palatino Linotype" w:eastAsia="Palatino Linotype" w:hAnsi="Palatino Linotype" w:cs="Palatino Linotype"/>
            <w:sz w:val="22"/>
            <w:szCs w:val="22"/>
          </w:rPr>
          <w:t>https://legislacion.edomex.gob.mx/sites/legislacion.edomex.gob.mx/files/files/pdf/gct/2014/nov144.PDF</w:t>
        </w:r>
      </w:hyperlink>
      <w:r w:rsidRPr="00A44912">
        <w:rPr>
          <w:rFonts w:ascii="Palatino Linotype" w:eastAsia="Palatino Linotype" w:hAnsi="Palatino Linotype" w:cs="Palatino Linotype"/>
          <w:sz w:val="22"/>
          <w:szCs w:val="22"/>
        </w:rPr>
        <w:t xml:space="preserve">, advierte lo siguiente: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w:t>
      </w:r>
      <w:r w:rsidRPr="00A44912">
        <w:rPr>
          <w:rFonts w:ascii="Palatino Linotype" w:eastAsia="Palatino Linotype" w:hAnsi="Palatino Linotype" w:cs="Palatino Linotype"/>
          <w:i/>
          <w:sz w:val="22"/>
          <w:szCs w:val="22"/>
        </w:rPr>
        <w:t xml:space="preserve">4.146 </w:t>
      </w:r>
      <w:proofErr w:type="gramStart"/>
      <w:r w:rsidRPr="00A44912">
        <w:rPr>
          <w:rFonts w:ascii="Palatino Linotype" w:eastAsia="Palatino Linotype" w:hAnsi="Palatino Linotype" w:cs="Palatino Linotype"/>
          <w:i/>
          <w:sz w:val="22"/>
          <w:szCs w:val="22"/>
        </w:rPr>
        <w:t>Bis.-</w:t>
      </w:r>
      <w:proofErr w:type="gramEnd"/>
      <w:r w:rsidRPr="00A44912">
        <w:rPr>
          <w:rFonts w:ascii="Palatino Linotype" w:eastAsia="Palatino Linotype" w:hAnsi="Palatino Linotype" w:cs="Palatino Linotype"/>
          <w:i/>
          <w:sz w:val="22"/>
          <w:szCs w:val="22"/>
        </w:rPr>
        <w:t xml:space="preserve"> El área del Registro de Deudores Alimentarios Morosos, es una unidad administrativa del Registro Civil. Actos inscribibles en el Registro de Deudores Alimentarios Morosos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4.146 </w:t>
      </w:r>
      <w:proofErr w:type="gramStart"/>
      <w:r w:rsidRPr="00A44912">
        <w:rPr>
          <w:rFonts w:ascii="Palatino Linotype" w:eastAsia="Palatino Linotype" w:hAnsi="Palatino Linotype" w:cs="Palatino Linotype"/>
          <w:i/>
          <w:sz w:val="22"/>
          <w:szCs w:val="22"/>
        </w:rPr>
        <w:t>Ter.-</w:t>
      </w:r>
      <w:proofErr w:type="gramEnd"/>
      <w:r w:rsidRPr="00A44912">
        <w:rPr>
          <w:rFonts w:ascii="Palatino Linotype" w:eastAsia="Palatino Linotype" w:hAnsi="Palatino Linotype" w:cs="Palatino Linotype"/>
          <w:i/>
          <w:sz w:val="22"/>
          <w:szCs w:val="22"/>
        </w:rPr>
        <w:t xml:space="preserve"> En el Registro de Deudores Alimentarios Morosos se inscriben a las personas que el Juez de lo Familiar determina en términos del artículo 4.136 del presente Código.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Serán objeto de registro los empleadores que incumplan una orden de descuento para alimentos ordenada por el órgano jurisdiccional.</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De los datos que contendrá el Registro de Deudores Alimentarios Morosos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Artículo. 4.146 </w:t>
      </w:r>
      <w:proofErr w:type="spellStart"/>
      <w:proofErr w:type="gramStart"/>
      <w:r w:rsidRPr="00A44912">
        <w:rPr>
          <w:rFonts w:ascii="Palatino Linotype" w:eastAsia="Palatino Linotype" w:hAnsi="Palatino Linotype" w:cs="Palatino Linotype"/>
          <w:i/>
          <w:sz w:val="22"/>
          <w:szCs w:val="22"/>
        </w:rPr>
        <w:t>Quáter</w:t>
      </w:r>
      <w:proofErr w:type="spellEnd"/>
      <w:r w:rsidRPr="00A44912">
        <w:rPr>
          <w:rFonts w:ascii="Palatino Linotype" w:eastAsia="Palatino Linotype" w:hAnsi="Palatino Linotype" w:cs="Palatino Linotype"/>
          <w:i/>
          <w:sz w:val="22"/>
          <w:szCs w:val="22"/>
        </w:rPr>
        <w:t>.-</w:t>
      </w:r>
      <w:proofErr w:type="gramEnd"/>
      <w:r w:rsidRPr="00A44912">
        <w:rPr>
          <w:rFonts w:ascii="Palatino Linotype" w:eastAsia="Palatino Linotype" w:hAnsi="Palatino Linotype" w:cs="Palatino Linotype"/>
          <w:i/>
          <w:sz w:val="22"/>
          <w:szCs w:val="22"/>
        </w:rPr>
        <w:t xml:space="preserve"> El Registro de Deudores Alimentarios Morosos contendrá: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Nombre y Clave Única del Registro de Población del deudor alimentario;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 Nombre del acreedor o acreedores alimentarios;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III. Datos del acta que acredite el vínculo entre deudor y acreedor alimentario, en su caso;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IV. Monto de la pensión decretada o convenida, en su caso, número de pagos incumplidos y monto del adeudo alimentario;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 Órgano jurisdiccional que ordenó el registro;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VI. Datos del expediente jurisdiccional de la que deriva su inscripción.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rsidR="00D83B85" w:rsidRPr="00A44912" w:rsidRDefault="00052DD8">
      <w:pPr>
        <w:spacing w:before="120" w:after="120"/>
        <w:ind w:left="851" w:right="902"/>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 xml:space="preserve">Datos del Certificado expedido por la Unidad del Registro de Deudores Alimentarios Morosos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Artículo 4.146 </w:t>
      </w:r>
      <w:proofErr w:type="spellStart"/>
      <w:proofErr w:type="gramStart"/>
      <w:r w:rsidRPr="00A44912">
        <w:rPr>
          <w:rFonts w:ascii="Palatino Linotype" w:eastAsia="Palatino Linotype" w:hAnsi="Palatino Linotype" w:cs="Palatino Linotype"/>
          <w:i/>
          <w:sz w:val="22"/>
          <w:szCs w:val="22"/>
        </w:rPr>
        <w:t>Quinquies</w:t>
      </w:r>
      <w:proofErr w:type="spellEnd"/>
      <w:r w:rsidRPr="00A44912">
        <w:rPr>
          <w:rFonts w:ascii="Palatino Linotype" w:eastAsia="Palatino Linotype" w:hAnsi="Palatino Linotype" w:cs="Palatino Linotype"/>
          <w:i/>
          <w:sz w:val="22"/>
          <w:szCs w:val="22"/>
        </w:rPr>
        <w:t>.-</w:t>
      </w:r>
      <w:proofErr w:type="gramEnd"/>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El Certificado expedido por la Unidad del Registro de Deudores Alimentarios Morosos contendrá lo siguiente:</w:t>
      </w:r>
      <w:r w:rsidRPr="00A44912">
        <w:rPr>
          <w:rFonts w:ascii="Palatino Linotype" w:eastAsia="Palatino Linotype" w:hAnsi="Palatino Linotype" w:cs="Palatino Linotype"/>
          <w:i/>
          <w:sz w:val="22"/>
          <w:szCs w:val="22"/>
        </w:rPr>
        <w:t xml:space="preserv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I. Nombre y Clave Única de Registro de Población del solicitante;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La información sobre su inscripción o no en el registro de deudores alimentarios morosos.</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De ser el caso que el solicitante se encuentre inscrito en el registro, la constancia incluirá además lo siguiente:</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 Número de acreedores alimentarios;</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 Monto de la pensión alimenticia decretada o convenida;</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III. Órgano jurisdiccional que ordenó el registro;</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IV. Datos del expediente jurisdiccional de la que deriva su inscripción.</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El Certificado a que se refiere el presente artículo será expedido el mismo día hábil de su solicitud.</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Ahora bien, respecto a aquellos servidores públicos que se encuentren o no inscritos en dicho registro, procede su entrega en versión pública, ya que al ser un requisito </w:t>
      </w:r>
      <w:r w:rsidRPr="00A44912">
        <w:rPr>
          <w:rFonts w:ascii="Palatino Linotype" w:eastAsia="Palatino Linotype" w:hAnsi="Palatino Linotype" w:cs="Palatino Linotype"/>
          <w:b/>
          <w:i/>
          <w:sz w:val="22"/>
          <w:szCs w:val="22"/>
        </w:rPr>
        <w:t xml:space="preserve">sine qua non </w:t>
      </w:r>
      <w:r w:rsidRPr="00A44912">
        <w:rPr>
          <w:rFonts w:ascii="Palatino Linotype" w:eastAsia="Palatino Linotype" w:hAnsi="Palatino Linotype" w:cs="Palatino Linotype"/>
          <w:sz w:val="22"/>
          <w:szCs w:val="22"/>
        </w:rPr>
        <w:t xml:space="preserve">para ingresar al servicio público, se convierte en información que da certeza a la ciudadanía de que el Servidor Público que ostenta un cargo de Titular cumplió con los requisitos señalados en la Ley del Trabajo de los Servidores Públicos del Estado y Municipios, tan es así, que se trae a colación lo señalado en la nota periodística </w:t>
      </w:r>
      <w:hyperlink r:id="rId22">
        <w:r w:rsidRPr="00A44912">
          <w:rPr>
            <w:rFonts w:ascii="Palatino Linotype" w:eastAsia="Palatino Linotype" w:hAnsi="Palatino Linotype" w:cs="Palatino Linotype"/>
            <w:sz w:val="22"/>
            <w:szCs w:val="22"/>
          </w:rPr>
          <w:t>https://www.unionedomex.mx/2023/03/24/busqueda-de-deudores-alimentarios-morosos-estado-de-mexico-2023/</w:t>
        </w:r>
      </w:hyperlink>
      <w:r w:rsidRPr="00A44912">
        <w:rPr>
          <w:rFonts w:ascii="Palatino Linotype" w:eastAsia="Palatino Linotype" w:hAnsi="Palatino Linotype" w:cs="Palatino Linotype"/>
          <w:sz w:val="22"/>
          <w:szCs w:val="22"/>
        </w:rPr>
        <w:t>, que a manera de referencia, se inserta: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sz w:val="22"/>
          <w:szCs w:val="22"/>
        </w:rPr>
        <w:drawing>
          <wp:inline distT="0" distB="0" distL="0" distR="0">
            <wp:extent cx="5708780" cy="2172645"/>
            <wp:effectExtent l="3175" t="3175" r="3175" b="3175"/>
            <wp:docPr id="2143108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t="19894"/>
                    <a:stretch>
                      <a:fillRect/>
                    </a:stretch>
                  </pic:blipFill>
                  <pic:spPr>
                    <a:xfrm>
                      <a:off x="0" y="0"/>
                      <a:ext cx="5708780" cy="2172645"/>
                    </a:xfrm>
                    <a:prstGeom prst="rect">
                      <a:avLst/>
                    </a:prstGeom>
                    <a:ln w="3175">
                      <a:solidFill>
                        <a:srgbClr val="000000"/>
                      </a:solidFill>
                      <a:prstDash val="solid"/>
                    </a:ln>
                  </pic:spPr>
                </pic:pic>
              </a:graphicData>
            </a:graphic>
          </wp:inline>
        </w:drawing>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Ahora, no pasa desapercibido, que el Certificado de No Deudor Alimentario pudiera contener información confidencial, como lo es de manera enunciativa más no limitativa el CURP; por lo tanto, </w:t>
      </w:r>
      <w:r w:rsidRPr="00A44912">
        <w:rPr>
          <w:rFonts w:ascii="Palatino Linotype" w:eastAsia="Palatino Linotype" w:hAnsi="Palatino Linotype" w:cs="Palatino Linotype"/>
          <w:b/>
          <w:sz w:val="22"/>
          <w:szCs w:val="22"/>
        </w:rPr>
        <w:t>procede su entrega en versión pública</w:t>
      </w:r>
      <w:r w:rsidRPr="00A44912">
        <w:rPr>
          <w:rFonts w:ascii="Palatino Linotype" w:eastAsia="Palatino Linotype" w:hAnsi="Palatino Linotype" w:cs="Palatino Linotype"/>
          <w:sz w:val="22"/>
          <w:szCs w:val="22"/>
        </w:rPr>
        <w:t>.</w:t>
      </w:r>
    </w:p>
    <w:p w:rsidR="00D83B85" w:rsidRPr="00A44912" w:rsidRDefault="00052DD8">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b/>
          <w:sz w:val="22"/>
          <w:szCs w:val="22"/>
          <w:u w:val="single"/>
        </w:rPr>
        <w:t>Nombramiento, contrato o formato único de movimientos de personal:</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Conforme los artículos 48 fracción I y 49 de la Ley del Trabajo de los Servidores Públicos del Estado de México y Municipios, se indica que las Instituciones Públicas entre ellas la Secretaría de Movilidad, para acreditar su relación laboral con sus Servidores Públicos, se establecerá mediante </w:t>
      </w:r>
      <w:r w:rsidRPr="00A44912">
        <w:rPr>
          <w:rFonts w:ascii="Palatino Linotype" w:eastAsia="Palatino Linotype" w:hAnsi="Palatino Linotype" w:cs="Palatino Linotype"/>
          <w:b/>
          <w:sz w:val="22"/>
          <w:szCs w:val="22"/>
        </w:rPr>
        <w:t>nombramiento, formato único de movimiento de personal, contrato</w:t>
      </w:r>
      <w:r w:rsidRPr="00A44912">
        <w:rPr>
          <w:rFonts w:ascii="Palatino Linotype" w:eastAsia="Palatino Linotype" w:hAnsi="Palatino Linotype" w:cs="Palatino Linotype"/>
          <w:sz w:val="22"/>
          <w:szCs w:val="22"/>
        </w:rPr>
        <w:t xml:space="preserve"> o por cualquier otro acto que tenga como consecuencia la prestación personal subordinada del servicio y la percepción de un sueldo.</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 mayor abundamiento, con relación al Formato Único de Personal, se indica que el servidor público al iniciar la prestación de los servicios se le confiere un formato único de personal (de alta), el cual contiene, entre otra información, el cargo para el que es designado, la fecha de inicio de sus servicios y el lugar de adscripción; asimismo, dicho formato se emite con relación a las bajas en el servicio público, como en cambios de adscripción.</w:t>
      </w:r>
    </w:p>
    <w:p w:rsidR="00D83B85" w:rsidRPr="00A44912" w:rsidRDefault="00052DD8">
      <w:pPr>
        <w:numPr>
          <w:ilvl w:val="0"/>
          <w:numId w:val="1"/>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Cumplir con los requisitos que se establezcan para los diferentes puestos y acreditar por medio de los exámenes correspondientes los conocimientos y aptitudes necesarios para el desempeño del puesto.</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sz w:val="22"/>
          <w:szCs w:val="22"/>
        </w:rPr>
        <w:t xml:space="preserve">Sobre el tema conviene referir que de conformidad con el artículo 92, fracción XII de la Ley de Transparencia y Acceso a la Información Pública del Estado de México y Municipios, los Sujetos Obligados cuentan con el deber de poner a disposición del público de manera permanente y actualizada de forma sencilla, precisa y entendible, en los respectivos medios electrónicos, de acuerdo con sus facultades, atribuciones, funciones u objeto social, según corresponda, entre otros temas, </w:t>
      </w:r>
      <w:r w:rsidRPr="00A44912">
        <w:rPr>
          <w:rFonts w:ascii="Palatino Linotype" w:eastAsia="Palatino Linotype" w:hAnsi="Palatino Linotype" w:cs="Palatino Linotype"/>
          <w:b/>
          <w:sz w:val="22"/>
          <w:szCs w:val="22"/>
          <w:u w:val="single"/>
        </w:rPr>
        <w:t>el perfil de los puestos de los servidores públicos a su servicio.</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Dicha obligación de transparencia atiende a la necesidad de que las instituciones públicas establezcan un sistema de profesionalización que permita el ingreso al servicio a los aspirantes más calificados, y garantice la estabilidad y movilidad laborales de los servidores públicos conforme a su desarrollo profesional y a sus méritos en el servicio, de conformidad con los artículos 99 y 100 de la Ley de del Trabajo de los Servidores Públicos del Estado y Municipios.</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publicados en el Periódico Oficial “Gaceta del Gobierno” del Estado de México, en fecha catorce de junio de dos mil veintitrés, establecen lo siguiente en su parte conducente:</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“Los sistemas de profesionalización que establezcan las instituciones públicas deberán conformarse</w:t>
      </w:r>
      <w:r w:rsidRPr="00A44912">
        <w:rPr>
          <w:rFonts w:ascii="Palatino Linotype" w:eastAsia="Palatino Linotype" w:hAnsi="Palatino Linotype" w:cs="Palatino Linotype"/>
          <w:i/>
          <w:sz w:val="22"/>
          <w:szCs w:val="22"/>
        </w:rPr>
        <w:t xml:space="preserve">, entre otros instrumentos, </w:t>
      </w:r>
      <w:r w:rsidRPr="00A44912">
        <w:rPr>
          <w:rFonts w:ascii="Palatino Linotype" w:eastAsia="Palatino Linotype" w:hAnsi="Palatino Linotype" w:cs="Palatino Linotype"/>
          <w:b/>
          <w:i/>
          <w:sz w:val="22"/>
          <w:szCs w:val="22"/>
        </w:rPr>
        <w:t>por un catálogo de puestos por institución pública o dependencia</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que deberá contener el perfil de cada uno de los existentes</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 xml:space="preserve">los requisitos necesarios para desempeñarlos y el nivel salarial y </w:t>
      </w:r>
      <w:proofErr w:type="spellStart"/>
      <w:r w:rsidRPr="00A44912">
        <w:rPr>
          <w:rFonts w:ascii="Palatino Linotype" w:eastAsia="Palatino Linotype" w:hAnsi="Palatino Linotype" w:cs="Palatino Linotype"/>
          <w:b/>
          <w:i/>
          <w:sz w:val="22"/>
          <w:szCs w:val="22"/>
        </w:rPr>
        <w:t>escalafonario</w:t>
      </w:r>
      <w:proofErr w:type="spellEnd"/>
      <w:r w:rsidRPr="00A44912">
        <w:rPr>
          <w:rFonts w:ascii="Palatino Linotype" w:eastAsia="Palatino Linotype" w:hAnsi="Palatino Linotype" w:cs="Palatino Linotype"/>
          <w:b/>
          <w:i/>
          <w:sz w:val="22"/>
          <w:szCs w:val="22"/>
        </w:rPr>
        <w:t xml:space="preserve"> que les corresponde</w:t>
      </w: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En términos del artículo 41 del Reglamento de Escalafón de los Servidores Públicos Generales del Poder Ejecutivo del Estado de México; para ingresar a prestar servicios en las dependencias del Poder Ejecutivo o en la Fiscalía General de Justicia del Estado de México,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 </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xml:space="preserve">Los sujetos obligados que no estén regulados por los ordenamientos anteriores, </w:t>
      </w:r>
      <w:r w:rsidRPr="00A44912">
        <w:rPr>
          <w:rFonts w:ascii="Palatino Linotype" w:eastAsia="Palatino Linotype" w:hAnsi="Palatino Linotype" w:cs="Palatino Linotype"/>
          <w:b/>
          <w:i/>
          <w:sz w:val="22"/>
          <w:szCs w:val="22"/>
          <w:u w:val="single"/>
        </w:rPr>
        <w:t>publicarán los perfiles de los puestos con que cuenten en su estructura</w:t>
      </w:r>
      <w:r w:rsidRPr="00A44912">
        <w:rPr>
          <w:rFonts w:ascii="Palatino Linotype" w:eastAsia="Palatino Linotype" w:hAnsi="Palatino Linotype" w:cs="Palatino Linotype"/>
          <w:b/>
          <w:i/>
          <w:sz w:val="22"/>
          <w:szCs w:val="22"/>
        </w:rPr>
        <w:t>, de acuerdo con la normatividad aplicable</w:t>
      </w:r>
      <w:r w:rsidRPr="00A44912">
        <w:rPr>
          <w:rFonts w:ascii="Palatino Linotype" w:eastAsia="Palatino Linotype" w:hAnsi="Palatino Linotype" w:cs="Palatino Linotype"/>
          <w:i/>
          <w:sz w:val="22"/>
          <w:szCs w:val="22"/>
        </w:rPr>
        <w:t xml:space="preserve">. </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El artículo 44 del Reglamento de Escalafón de los Servidores Públicos Generales del Poder Ejecutivo del Estado de México, prevé los requisitos para ocupar puestos </w:t>
      </w:r>
      <w:proofErr w:type="spellStart"/>
      <w:r w:rsidRPr="00A44912">
        <w:rPr>
          <w:rFonts w:ascii="Palatino Linotype" w:eastAsia="Palatino Linotype" w:hAnsi="Palatino Linotype" w:cs="Palatino Linotype"/>
          <w:i/>
          <w:sz w:val="22"/>
          <w:szCs w:val="22"/>
        </w:rPr>
        <w:t>escalafonarios</w:t>
      </w:r>
      <w:proofErr w:type="spellEnd"/>
      <w:r w:rsidRPr="00A44912">
        <w:rPr>
          <w:rFonts w:ascii="Palatino Linotype" w:eastAsia="Palatino Linotype" w:hAnsi="Palatino Linotype" w:cs="Palatino Linotype"/>
          <w:i/>
          <w:sz w:val="22"/>
          <w:szCs w:val="22"/>
        </w:rPr>
        <w:t xml:space="preserve"> son los establecidos en las cédulas de identificación de puestos que forman parte del Catálogo General de Puestos, en el que se especifica el título de cada puesto, el grupo y rama al que pertenece, el nivel salarial que le corresponde, así como su clasificación. Asimismo, el artículo 48 consigna que los requisitos establecidos para ocupar los puestos </w:t>
      </w:r>
      <w:proofErr w:type="spellStart"/>
      <w:r w:rsidRPr="00A44912">
        <w:rPr>
          <w:rFonts w:ascii="Palatino Linotype" w:eastAsia="Palatino Linotype" w:hAnsi="Palatino Linotype" w:cs="Palatino Linotype"/>
          <w:i/>
          <w:sz w:val="22"/>
          <w:szCs w:val="22"/>
        </w:rPr>
        <w:t>escalafonarios</w:t>
      </w:r>
      <w:proofErr w:type="spellEnd"/>
      <w:r w:rsidRPr="00A44912">
        <w:rPr>
          <w:rFonts w:ascii="Palatino Linotype" w:eastAsia="Palatino Linotype" w:hAnsi="Palatino Linotype" w:cs="Palatino Linotype"/>
          <w:i/>
          <w:sz w:val="22"/>
          <w:szCs w:val="22"/>
        </w:rPr>
        <w:t xml:space="preserve"> constituyen el perfil del puesto, el cual predetermina las condiciones mínimas que debe acreditar el servidor público para el desempeño del puesto.”</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este sentido, dicha obligación de transparencia es aplicable a todos los Sujetos Obligados, debe actualizarse de manera trimestral, conservando en su sitio de internet la información vigente, asimismo, debe publicarse conforme a los Criterios sustantivos de contenido, adjetivos de actualización, adjetivos de confiabilidad y adjetivos de formato, estos últimos incluyen todos los campos especificados en los criterios sustantivos de contenido; como se ilustra a continuación:</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rPr>
        <w:drawing>
          <wp:inline distT="0" distB="0" distL="0" distR="0">
            <wp:extent cx="5612130" cy="1790700"/>
            <wp:effectExtent l="0" t="0" r="0" b="0"/>
            <wp:docPr id="21431082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b="47593"/>
                    <a:stretch>
                      <a:fillRect/>
                    </a:stretch>
                  </pic:blipFill>
                  <pic:spPr>
                    <a:xfrm>
                      <a:off x="0" y="0"/>
                      <a:ext cx="5612130" cy="1790700"/>
                    </a:xfrm>
                    <a:prstGeom prst="rect">
                      <a:avLst/>
                    </a:prstGeom>
                    <a:ln/>
                  </pic:spPr>
                </pic:pic>
              </a:graphicData>
            </a:graphic>
          </wp:inline>
        </w:drawing>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rPr>
        <w:drawing>
          <wp:inline distT="0" distB="0" distL="0" distR="0">
            <wp:extent cx="5612130" cy="1628775"/>
            <wp:effectExtent l="0" t="0" r="0" b="0"/>
            <wp:docPr id="21431082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t="52128" b="203"/>
                    <a:stretch>
                      <a:fillRect/>
                    </a:stretch>
                  </pic:blipFill>
                  <pic:spPr>
                    <a:xfrm>
                      <a:off x="0" y="0"/>
                      <a:ext cx="5612130" cy="1628775"/>
                    </a:xfrm>
                    <a:prstGeom prst="rect">
                      <a:avLst/>
                    </a:prstGeom>
                    <a:ln/>
                  </pic:spPr>
                </pic:pic>
              </a:graphicData>
            </a:graphic>
          </wp:inline>
        </w:drawing>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rPr>
        <w:drawing>
          <wp:inline distT="0" distB="0" distL="0" distR="0">
            <wp:extent cx="5612130" cy="1515110"/>
            <wp:effectExtent l="0" t="0" r="0" b="0"/>
            <wp:docPr id="21431082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12130" cy="1515110"/>
                    </a:xfrm>
                    <a:prstGeom prst="rect">
                      <a:avLst/>
                    </a:prstGeom>
                    <a:ln/>
                  </pic:spPr>
                </pic:pic>
              </a:graphicData>
            </a:graphic>
          </wp:inline>
        </w:drawing>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A44912">
        <w:rPr>
          <w:rFonts w:ascii="Palatino Linotype" w:eastAsia="Palatino Linotype" w:hAnsi="Palatino Linotype" w:cs="Palatino Linotype"/>
          <w:sz w:val="22"/>
          <w:szCs w:val="22"/>
        </w:rPr>
        <w:t xml:space="preserve">Como se desprende del Criterio sustantivo de contenido número 3, para dar cumplimiento a la obligación de transparencia prevista en el artículo 92, fracción XII de la Ley de la Materia, los Sujetos Obligados deben publicar el hipervínculo al Catálogo General o Específico de Puestos, </w:t>
      </w:r>
      <w:r w:rsidRPr="00A44912">
        <w:rPr>
          <w:rFonts w:ascii="Palatino Linotype" w:eastAsia="Palatino Linotype" w:hAnsi="Palatino Linotype" w:cs="Palatino Linotype"/>
          <w:b/>
          <w:sz w:val="22"/>
          <w:szCs w:val="22"/>
          <w:u w:val="single"/>
        </w:rPr>
        <w:t>o documento que establezca los perfiles, el cual incluya los requisitos mínimos que deberán cubrir quienes ocupen los puestos, tales como edad, escolaridad (nivel máximo de estudios), área o especialidad, experiencia profesional o laboral, etc.</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No obstante, el análisis al </w:t>
      </w:r>
      <w:proofErr w:type="spellStart"/>
      <w:r w:rsidRPr="00A44912">
        <w:rPr>
          <w:rFonts w:ascii="Palatino Linotype" w:eastAsia="Palatino Linotype" w:hAnsi="Palatino Linotype" w:cs="Palatino Linotype"/>
          <w:sz w:val="22"/>
          <w:szCs w:val="22"/>
        </w:rPr>
        <w:t>Ipomex</w:t>
      </w:r>
      <w:proofErr w:type="spellEnd"/>
      <w:r w:rsidRPr="00A44912">
        <w:rPr>
          <w:rFonts w:ascii="Palatino Linotype" w:eastAsia="Palatino Linotype" w:hAnsi="Palatino Linotype" w:cs="Palatino Linotype"/>
          <w:sz w:val="22"/>
          <w:szCs w:val="22"/>
        </w:rPr>
        <w:t xml:space="preserve"> del </w:t>
      </w:r>
      <w:r w:rsidRPr="00A44912">
        <w:rPr>
          <w:rFonts w:ascii="Palatino Linotype" w:eastAsia="Palatino Linotype" w:hAnsi="Palatino Linotype" w:cs="Palatino Linotype"/>
          <w:b/>
          <w:sz w:val="22"/>
          <w:szCs w:val="22"/>
        </w:rPr>
        <w:t xml:space="preserve">Sujeto Obligado, NO </w:t>
      </w:r>
      <w:r w:rsidRPr="00A44912">
        <w:rPr>
          <w:rFonts w:ascii="Palatino Linotype" w:eastAsia="Palatino Linotype" w:hAnsi="Palatino Linotype" w:cs="Palatino Linotype"/>
          <w:sz w:val="22"/>
          <w:szCs w:val="22"/>
        </w:rPr>
        <w:t>se localizó un perfil de puestos para los servidores públicos; sin embargo ello no impide que de manera interna el ente público establezca un perfil con el que deben cumplir los servidores públicos de las áreas referidas, así como la aplicación de exámenes para ostentar el cargo, en cuyo caso, dicha información es susceptible de entregarse en versión pública, especificando que en caso de contemplar exámenes para acreditar los conocimientos y aptitudes para el desempeño del puesto, es resultado debe entregarse si se establece de forma  global, esto es, como aprobado de los exámenes aplicados.</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Sin embargo, en el caso de no contar con un perfil con el que deban cumplir los servidores públicos, de manera enunciativa más no limitativa, escolaridad (nivel máximo de estudios), área o especialidad, experiencia profesional o laboral, así como de no llevarse a cabo la aplicación de exámenes para ostentar el cargo de dichos servidores públicos, bastará con que así se haga del conocimiento de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en términos del segundo párrafo del artículo 19 de la Ley de Transparencia Local.</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Respecto del Secretario del Ayuntamiento, además debe decirse que conforme el artículo 92 de la Ley Orgánica Municipal del Estado de México, el servidor público que ostente dicho cargo debe cumplir con los siguientes requisitos:</w:t>
      </w:r>
    </w:p>
    <w:p w:rsidR="00D83B85" w:rsidRPr="00A44912" w:rsidRDefault="00052DD8">
      <w:pPr>
        <w:numPr>
          <w:ilvl w:val="0"/>
          <w:numId w:val="3"/>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municipios que tengan una población de hasta 150 mil habitantes, podrán tener título profesional de educación superior; en los municipios que tengan más de 150 mil o que sean cabecera distrital, tener título profesional de educación superior; </w:t>
      </w:r>
    </w:p>
    <w:p w:rsidR="00D83B85" w:rsidRPr="00A44912" w:rsidRDefault="00052DD8">
      <w:pPr>
        <w:numPr>
          <w:ilvl w:val="0"/>
          <w:numId w:val="3"/>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tanto, en caso de estar obligado a contar con </w:t>
      </w:r>
      <w:proofErr w:type="gramStart"/>
      <w:r w:rsidRPr="00A44912">
        <w:rPr>
          <w:rFonts w:ascii="Palatino Linotype" w:eastAsia="Palatino Linotype" w:hAnsi="Palatino Linotype" w:cs="Palatino Linotype"/>
          <w:sz w:val="22"/>
          <w:szCs w:val="22"/>
        </w:rPr>
        <w:t>dicha documental</w:t>
      </w:r>
      <w:proofErr w:type="gramEnd"/>
      <w:r w:rsidRPr="00A44912">
        <w:rPr>
          <w:rFonts w:ascii="Palatino Linotype" w:eastAsia="Palatino Linotype" w:hAnsi="Palatino Linotype" w:cs="Palatino Linotype"/>
          <w:sz w:val="22"/>
          <w:szCs w:val="22"/>
        </w:rPr>
        <w:t>, debe ser entregada en versión pública de ser procedente.</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este orden de ideas, el </w:t>
      </w:r>
      <w:r w:rsidRPr="00A44912">
        <w:rPr>
          <w:rFonts w:ascii="Palatino Linotype" w:eastAsia="Palatino Linotype" w:hAnsi="Palatino Linotype" w:cs="Palatino Linotype"/>
          <w:b/>
          <w:sz w:val="22"/>
          <w:szCs w:val="22"/>
        </w:rPr>
        <w:t xml:space="preserve">Sujeto Obligado, NO </w:t>
      </w:r>
      <w:r w:rsidRPr="00A44912">
        <w:rPr>
          <w:rFonts w:ascii="Palatino Linotype" w:eastAsia="Palatino Linotype" w:hAnsi="Palatino Linotype" w:cs="Palatino Linotype"/>
          <w:sz w:val="22"/>
          <w:szCs w:val="22"/>
        </w:rPr>
        <w:t xml:space="preserve">detalló la forma en la que se integraban los expedientes de personal, y de manera específica, </w:t>
      </w:r>
      <w:r w:rsidRPr="00A44912">
        <w:rPr>
          <w:rFonts w:ascii="Palatino Linotype" w:eastAsia="Palatino Linotype" w:hAnsi="Palatino Linotype" w:cs="Palatino Linotype"/>
          <w:b/>
          <w:sz w:val="22"/>
          <w:szCs w:val="22"/>
        </w:rPr>
        <w:t xml:space="preserve">NO </w:t>
      </w:r>
      <w:r w:rsidRPr="00A44912">
        <w:rPr>
          <w:rFonts w:ascii="Palatino Linotype" w:eastAsia="Palatino Linotype" w:hAnsi="Palatino Linotype" w:cs="Palatino Linotype"/>
          <w:sz w:val="22"/>
          <w:szCs w:val="22"/>
        </w:rPr>
        <w:t>preciso si las 15 a 30 hojas que integran cada expediente de personal, corresponden a la totalidad de los documentos que integran los 81 expedientes referidos, o corresponden únicamente con aquellos documentos susceptibles de ser entregados en versión pública, esto es, sin considerar aquellos que por su naturaleza deben ser clasificados en su totalidad.</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Asimismo, no preciso los parámetros de escaneo empleados en la digitalización de los documentos, susceptibles de ser entregados en versión publica, siendo importante mencionar que el peso reportado, así como los argumentos expuestos para el cambio de modalidad, </w:t>
      </w:r>
      <w:r w:rsidRPr="00A44912">
        <w:rPr>
          <w:rFonts w:ascii="Palatino Linotype" w:eastAsia="Palatino Linotype" w:hAnsi="Palatino Linotype" w:cs="Palatino Linotype"/>
          <w:b/>
          <w:sz w:val="22"/>
          <w:szCs w:val="22"/>
          <w:u w:val="single"/>
        </w:rPr>
        <w:t>es responsabilidad de los Sujetos Obligados</w:t>
      </w:r>
      <w:r w:rsidRPr="00A44912">
        <w:rPr>
          <w:rFonts w:ascii="Palatino Linotype" w:eastAsia="Palatino Linotype" w:hAnsi="Palatino Linotype" w:cs="Palatino Linotype"/>
          <w:b/>
          <w:sz w:val="22"/>
          <w:szCs w:val="22"/>
        </w:rPr>
        <w:t xml:space="preserve">, </w:t>
      </w:r>
      <w:r w:rsidRPr="00A44912">
        <w:rPr>
          <w:rFonts w:ascii="Palatino Linotype" w:eastAsia="Palatino Linotype" w:hAnsi="Palatino Linotype" w:cs="Palatino Linotype"/>
          <w:sz w:val="22"/>
          <w:szCs w:val="22"/>
        </w:rPr>
        <w:t xml:space="preserve"> como tuvo a bien puntualizar el Director General de Informática de este Instituto, mediante en el oficio INFOEM/DGI/510/2025 mediante el cual se registró la incidencia respecto de las capacidad del SAIMEX para atender la solicitud que dio origen al recurso de revisión que nos ocupa.</w:t>
      </w:r>
    </w:p>
    <w:p w:rsidR="00D83B85" w:rsidRPr="00A44912" w:rsidRDefault="00052DD8">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noProof/>
        </w:rPr>
        <w:drawing>
          <wp:inline distT="0" distB="0" distL="0" distR="0">
            <wp:extent cx="5612130" cy="1738630"/>
            <wp:effectExtent l="0" t="0" r="0" b="0"/>
            <wp:docPr id="21431082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12130" cy="1738630"/>
                    </a:xfrm>
                    <a:prstGeom prst="rect">
                      <a:avLst/>
                    </a:prstGeom>
                    <a:ln/>
                  </pic:spPr>
                </pic:pic>
              </a:graphicData>
            </a:graphic>
          </wp:inline>
        </w:drawing>
      </w:r>
      <w:r w:rsidRPr="00A44912">
        <w:rPr>
          <w:noProof/>
        </w:rPr>
        <mc:AlternateContent>
          <mc:Choice Requires="wps">
            <w:drawing>
              <wp:anchor distT="0" distB="0" distL="114300" distR="114300" simplePos="0" relativeHeight="251664384" behindDoc="0" locked="0" layoutInCell="1" hidden="0" allowOverlap="1">
                <wp:simplePos x="0" y="0"/>
                <wp:positionH relativeFrom="column">
                  <wp:posOffset>-21896</wp:posOffset>
                </wp:positionH>
                <wp:positionV relativeFrom="paragraph">
                  <wp:posOffset>905524</wp:posOffset>
                </wp:positionV>
                <wp:extent cx="5650230" cy="853554"/>
                <wp:effectExtent l="0" t="0" r="0" b="0"/>
                <wp:wrapNone/>
                <wp:docPr id="2143108275" name="Rectángulo 2143108275"/>
                <wp:cNvGraphicFramePr/>
                <a:graphic xmlns:a="http://schemas.openxmlformats.org/drawingml/2006/main">
                  <a:graphicData uri="http://schemas.microsoft.com/office/word/2010/wordprocessingShape">
                    <wps:wsp>
                      <wps:cNvSpPr/>
                      <wps:spPr>
                        <a:xfrm>
                          <a:off x="2539935" y="3372273"/>
                          <a:ext cx="5612130" cy="815454"/>
                        </a:xfrm>
                        <a:prstGeom prst="rect">
                          <a:avLst/>
                        </a:prstGeom>
                        <a:noFill/>
                        <a:ln w="38100" cap="flat" cmpd="sng">
                          <a:solidFill>
                            <a:srgbClr val="C00000"/>
                          </a:solidFill>
                          <a:prstDash val="solid"/>
                          <a:round/>
                          <a:headEnd type="none" w="sm" len="sm"/>
                          <a:tailEnd type="none" w="sm" len="sm"/>
                        </a:ln>
                      </wps:spPr>
                      <wps:txbx>
                        <w:txbxContent>
                          <w:p w:rsidR="00563B1C" w:rsidRDefault="00563B1C">
                            <w:pPr>
                              <w:textDirection w:val="btLr"/>
                            </w:pPr>
                          </w:p>
                        </w:txbxContent>
                      </wps:txbx>
                      <wps:bodyPr spcFirstLastPara="1" wrap="square" lIns="91425" tIns="91425" rIns="91425" bIns="91425" anchor="ctr" anchorCtr="0">
                        <a:noAutofit/>
                      </wps:bodyPr>
                    </wps:wsp>
                  </a:graphicData>
                </a:graphic>
              </wp:anchor>
            </w:drawing>
          </mc:Choice>
          <mc:Fallback>
            <w:pict>
              <v:rect id="Rectángulo 2143108275" o:spid="_x0000_s1032" style="position:absolute;left:0;text-align:left;margin-left:-1.7pt;margin-top:71.3pt;width:444.9pt;height:6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" filled="f" strokecolor="#c00000" strokeweight="3pt">
                <v:stroke startarrowwidth="narrow" startarrowlength="short" endarrowwidth="narrow" endarrowlength="short" joinstyle="round"/>
                <v:textbox inset="2.53958mm,2.53958mm,2.53958mm,2.53958mm">
                  <w:txbxContent>
                    <w:p w:rsidR="00563B1C" w:rsidRDefault="00563B1C">
                      <w:pPr>
                        <w:textDirection w:val="btLr"/>
                      </w:pPr>
                    </w:p>
                  </w:txbxContent>
                </v:textbox>
              </v:rect>
            </w:pict>
          </mc:Fallback>
        </mc:AlternateContent>
      </w:r>
    </w:p>
    <w:p w:rsidR="00D83B85" w:rsidRPr="00A44912" w:rsidRDefault="00052DD8">
      <w:pPr>
        <w:spacing w:before="240" w:after="360" w:line="360" w:lineRule="auto"/>
        <w:jc w:val="both"/>
        <w:rPr>
          <w:rFonts w:ascii="Palatino Linotype" w:eastAsia="Palatino Linotype" w:hAnsi="Palatino Linotype" w:cs="Palatino Linotype"/>
          <w:b/>
        </w:rPr>
      </w:pPr>
      <w:r w:rsidRPr="00A44912">
        <w:rPr>
          <w:rFonts w:ascii="Palatino Linotype" w:eastAsia="Palatino Linotype" w:hAnsi="Palatino Linotype" w:cs="Palatino Linotype"/>
        </w:rPr>
        <w:t xml:space="preserve">De manera que, en el presente asunto si bien se reportó un peso de 10,692Mb, </w:t>
      </w:r>
      <w:r w:rsidRPr="00A44912">
        <w:rPr>
          <w:rFonts w:ascii="Palatino Linotype" w:eastAsia="Palatino Linotype" w:hAnsi="Palatino Linotype" w:cs="Palatino Linotype"/>
          <w:b/>
        </w:rPr>
        <w:t xml:space="preserve">dicha manifestación no guarda congruencia con el número de hojas reportado en respuesta, </w:t>
      </w:r>
      <w:r w:rsidRPr="00A44912">
        <w:rPr>
          <w:rFonts w:ascii="Palatino Linotype" w:eastAsia="Palatino Linotype" w:hAnsi="Palatino Linotype" w:cs="Palatino Linotype"/>
        </w:rPr>
        <w:t xml:space="preserve">el cual, suponiendo sin conceder que corresponda con los documentos susceptibles de ser entregados íntegros o en versión publica, corresponde con 2,340 hojas, reiterando que </w:t>
      </w:r>
      <w:r w:rsidRPr="00A44912">
        <w:rPr>
          <w:rFonts w:ascii="Palatino Linotype" w:eastAsia="Palatino Linotype" w:hAnsi="Palatino Linotype" w:cs="Palatino Linotype"/>
          <w:b/>
        </w:rPr>
        <w:t xml:space="preserve">el sistema SAIMEX soporta el equivalente a </w:t>
      </w:r>
      <w:r w:rsidRPr="00A44912">
        <w:rPr>
          <w:rFonts w:ascii="Palatino Linotype" w:eastAsia="Palatino Linotype" w:hAnsi="Palatino Linotype" w:cs="Palatino Linotype"/>
          <w:b/>
          <w:u w:val="single"/>
        </w:rPr>
        <w:t>8,000 hojas</w:t>
      </w:r>
      <w:r w:rsidRPr="00A44912">
        <w:rPr>
          <w:rFonts w:ascii="Palatino Linotype" w:eastAsia="Palatino Linotype" w:hAnsi="Palatino Linotype" w:cs="Palatino Linotype"/>
          <w:b/>
        </w:rPr>
        <w:t>.</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Ahora bien, </w:t>
      </w:r>
      <w:r w:rsidRPr="00A44912">
        <w:rPr>
          <w:rFonts w:ascii="Palatino Linotype" w:eastAsia="Palatino Linotype" w:hAnsi="Palatino Linotype" w:cs="Palatino Linotype"/>
          <w:b/>
          <w:sz w:val="22"/>
          <w:szCs w:val="22"/>
          <w:u w:val="single"/>
        </w:rPr>
        <w:t>respecto del escaneo y digitalización de la información</w:t>
      </w:r>
      <w:r w:rsidRPr="00A44912">
        <w:rPr>
          <w:rFonts w:ascii="Palatino Linotype" w:eastAsia="Palatino Linotype" w:hAnsi="Palatino Linotype" w:cs="Palatino Linotype"/>
          <w:sz w:val="22"/>
          <w:szCs w:val="22"/>
        </w:rPr>
        <w:t xml:space="preserve">, es de suma importancia mencionar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A44912">
        <w:rPr>
          <w:rFonts w:ascii="Palatino Linotype" w:eastAsia="Palatino Linotype" w:hAnsi="Palatino Linotype" w:cs="Palatino Linotype"/>
          <w:b/>
          <w:sz w:val="22"/>
          <w:szCs w:val="22"/>
        </w:rPr>
        <w:t>gratuidad</w:t>
      </w:r>
      <w:r w:rsidRPr="00A44912">
        <w:rPr>
          <w:rFonts w:ascii="Palatino Linotype" w:eastAsia="Palatino Linotype" w:hAnsi="Palatino Linotype" w:cs="Palatino Linotype"/>
          <w:sz w:val="22"/>
          <w:szCs w:val="22"/>
        </w:rPr>
        <w:t>, de certeza, de celeridad, de objetividad, entre otros.</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A44912">
        <w:rPr>
          <w:rFonts w:ascii="Palatino Linotype" w:eastAsia="Palatino Linotype" w:hAnsi="Palatino Linotype" w:cs="Palatino Linotype"/>
          <w:b/>
          <w:sz w:val="22"/>
          <w:szCs w:val="22"/>
        </w:rPr>
        <w:t>reproducción</w:t>
      </w:r>
      <w:r w:rsidRPr="00A44912">
        <w:rPr>
          <w:rFonts w:ascii="Palatino Linotype" w:eastAsia="Palatino Linotype" w:hAnsi="Palatino Linotype" w:cs="Palatino Linotype"/>
          <w:sz w:val="22"/>
          <w:szCs w:val="22"/>
        </w:rPr>
        <w:t xml:space="preserve"> de la información, y en su caso del costo de </w:t>
      </w:r>
      <w:r w:rsidRPr="00A44912">
        <w:rPr>
          <w:rFonts w:ascii="Palatino Linotype" w:eastAsia="Palatino Linotype" w:hAnsi="Palatino Linotype" w:cs="Palatino Linotype"/>
          <w:b/>
          <w:sz w:val="22"/>
          <w:szCs w:val="22"/>
        </w:rPr>
        <w:t>envío</w:t>
      </w:r>
      <w:r w:rsidRPr="00A44912">
        <w:rPr>
          <w:rFonts w:ascii="Palatino Linotype" w:eastAsia="Palatino Linotype" w:hAnsi="Palatino Linotype" w:cs="Palatino Linotype"/>
          <w:sz w:val="22"/>
          <w:szCs w:val="22"/>
        </w:rPr>
        <w:t>, finalmente, conlleva implícitamente un esfuerzo por parte de los Sujetos Obligados para reducir los costos de entrega de la información.</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A44912">
        <w:rPr>
          <w:rFonts w:ascii="Palatino Linotype" w:eastAsia="Palatino Linotype" w:hAnsi="Palatino Linotype" w:cs="Palatino Linotype"/>
          <w:b/>
          <w:i/>
          <w:sz w:val="22"/>
          <w:szCs w:val="22"/>
        </w:rPr>
        <w:t>gratuitos</w:t>
      </w:r>
      <w:r w:rsidRPr="00A44912">
        <w:rPr>
          <w:rFonts w:ascii="Palatino Linotype" w:eastAsia="Palatino Linotype" w:hAnsi="Palatino Linotype" w:cs="Palatino Linotype"/>
          <w:sz w:val="22"/>
          <w:szCs w:val="22"/>
        </w:rPr>
        <w:t xml:space="preserve">, refiere en los artículos 17 y 150, que la búsqueda y acceso a la información es gratuita y </w:t>
      </w:r>
      <w:r w:rsidRPr="00A44912">
        <w:rPr>
          <w:rFonts w:ascii="Palatino Linotype" w:eastAsia="Palatino Linotype" w:hAnsi="Palatino Linotype" w:cs="Palatino Linotype"/>
          <w:b/>
          <w:i/>
          <w:sz w:val="22"/>
          <w:szCs w:val="22"/>
        </w:rPr>
        <w:t xml:space="preserve">sólo se cubrirá en su caso, los gastos de reproducción, </w:t>
      </w:r>
      <w:r w:rsidRPr="00A44912">
        <w:rPr>
          <w:rFonts w:ascii="Palatino Linotype" w:eastAsia="Palatino Linotype" w:hAnsi="Palatino Linotype" w:cs="Palatino Linotype"/>
          <w:b/>
          <w:i/>
          <w:sz w:val="22"/>
          <w:szCs w:val="22"/>
          <w:u w:val="single"/>
        </w:rPr>
        <w:t>por la modalidad de entrega solicitada, o por el envío</w:t>
      </w:r>
      <w:r w:rsidRPr="00A44912">
        <w:rPr>
          <w:rFonts w:ascii="Palatino Linotype" w:eastAsia="Palatino Linotype" w:hAnsi="Palatino Linotype" w:cs="Palatino Linotype"/>
          <w:sz w:val="22"/>
          <w:szCs w:val="22"/>
          <w:u w:val="single"/>
        </w:rPr>
        <w:t xml:space="preserve"> </w:t>
      </w:r>
      <w:r w:rsidRPr="00A44912">
        <w:rPr>
          <w:rFonts w:ascii="Palatino Linotype" w:eastAsia="Palatino Linotype" w:hAnsi="Palatino Linotype" w:cs="Palatino Linotype"/>
          <w:sz w:val="22"/>
          <w:szCs w:val="22"/>
        </w:rPr>
        <w:t xml:space="preserve">de conformidad con los derechos, productos y aprovechamientos establecidos en la legislación aplicable, en razón de que el procedimiento de acceso a la información es la garantía primaria del derecho en cuestión y </w:t>
      </w:r>
      <w:r w:rsidRPr="00A44912">
        <w:rPr>
          <w:rFonts w:ascii="Palatino Linotype" w:eastAsia="Palatino Linotype" w:hAnsi="Palatino Linotype" w:cs="Palatino Linotype"/>
          <w:i/>
          <w:sz w:val="22"/>
          <w:szCs w:val="22"/>
        </w:rPr>
        <w:t>se rige por los principios de simplicidad, rapidez</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i/>
          <w:sz w:val="22"/>
          <w:szCs w:val="22"/>
        </w:rPr>
        <w:t>gratuidad</w:t>
      </w:r>
      <w:r w:rsidRPr="00A44912">
        <w:rPr>
          <w:rFonts w:ascii="Palatino Linotype" w:eastAsia="Palatino Linotype" w:hAnsi="Palatino Linotype" w:cs="Palatino Linotype"/>
          <w:sz w:val="22"/>
          <w:szCs w:val="22"/>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A44912">
        <w:rPr>
          <w:rFonts w:ascii="Palatino Linotype" w:eastAsia="Palatino Linotype" w:hAnsi="Palatino Linotype" w:cs="Palatino Linotype"/>
          <w:b/>
          <w:i/>
          <w:sz w:val="22"/>
          <w:szCs w:val="22"/>
        </w:rPr>
        <w:t>en caso de que se tenga que generar un gasto por la reproducción, por el envío, o por la modalidad de entrega solicitada</w:t>
      </w:r>
      <w:r w:rsidRPr="00A44912">
        <w:rPr>
          <w:rFonts w:ascii="Palatino Linotype" w:eastAsia="Palatino Linotype" w:hAnsi="Palatino Linotype" w:cs="Palatino Linotype"/>
          <w:sz w:val="22"/>
          <w:szCs w:val="22"/>
        </w:rPr>
        <w:t>, supuestos que encuadran con lo establecido en los artículos 9 fracción III, 17, 165, 174, 175 de la Ley de Acceso a la Información Pública del Estado de México y Municipios, así como el artículo 4.22 de su Reglamento.</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w:t>
      </w:r>
      <w:r w:rsidRPr="00A44912">
        <w:rPr>
          <w:rFonts w:ascii="Palatino Linotype" w:eastAsia="Palatino Linotype" w:hAnsi="Palatino Linotype" w:cs="Palatino Linotype"/>
          <w:b/>
          <w:i/>
          <w:sz w:val="22"/>
          <w:szCs w:val="22"/>
        </w:rPr>
        <w:t xml:space="preserve">Artículo 9. </w:t>
      </w:r>
      <w:r w:rsidRPr="00A44912">
        <w:rPr>
          <w:rFonts w:ascii="Palatino Linotype" w:eastAsia="Palatino Linotype" w:hAnsi="Palatino Linotype" w:cs="Palatino Linotype"/>
          <w:i/>
          <w:sz w:val="22"/>
          <w:szCs w:val="22"/>
        </w:rPr>
        <w:t>El Instituto deberá regir su funcionamiento de acuerdo a los siguientes principios:</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III. Gratuidad:</w:t>
      </w:r>
      <w:r w:rsidRPr="00A44912">
        <w:rPr>
          <w:rFonts w:ascii="Palatino Linotype" w:eastAsia="Palatino Linotype" w:hAnsi="Palatino Linotype" w:cs="Palatino Linotype"/>
          <w:i/>
          <w:sz w:val="22"/>
          <w:szCs w:val="22"/>
        </w:rPr>
        <w:t xml:space="preserve"> Consiste en que el acceso a la información pública no genera costo alguno para los solicitantes, </w:t>
      </w:r>
      <w:r w:rsidRPr="00A44912">
        <w:rPr>
          <w:rFonts w:ascii="Palatino Linotype" w:eastAsia="Palatino Linotype" w:hAnsi="Palatino Linotype" w:cs="Palatino Linotype"/>
          <w:b/>
          <w:i/>
          <w:sz w:val="22"/>
          <w:szCs w:val="22"/>
        </w:rPr>
        <w:t>sólo podrá requerirse el cobro correspondiente a la modalidad de reproducción y</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entrega solicitada</w:t>
      </w:r>
      <w:r w:rsidRPr="00A44912">
        <w:rPr>
          <w:rFonts w:ascii="Palatino Linotype" w:eastAsia="Palatino Linotype" w:hAnsi="Palatino Linotype" w:cs="Palatino Linotype"/>
          <w:i/>
          <w:sz w:val="22"/>
          <w:szCs w:val="22"/>
        </w:rPr>
        <w:t xml:space="preserve"> conforme a lo establecido en la presente Ley y demás disposiciones jurídicas aplicables;</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Artículo 17.</w:t>
      </w:r>
      <w:r w:rsidRPr="00A44912">
        <w:rPr>
          <w:rFonts w:ascii="Palatino Linotype" w:eastAsia="Palatino Linotype" w:hAnsi="Palatino Linotype" w:cs="Palatino Linotype"/>
          <w:i/>
          <w:sz w:val="22"/>
          <w:szCs w:val="22"/>
        </w:rPr>
        <w:t xml:space="preserve"> La búsqueda y acceso a la información es gratuita y </w:t>
      </w:r>
      <w:r w:rsidRPr="00A44912">
        <w:rPr>
          <w:rFonts w:ascii="Palatino Linotype" w:eastAsia="Palatino Linotype" w:hAnsi="Palatino Linotype" w:cs="Palatino Linotype"/>
          <w:b/>
          <w:i/>
          <w:sz w:val="22"/>
          <w:szCs w:val="22"/>
        </w:rPr>
        <w:t>solo se cubrirán los gastos de reproducción, o por la modalidad de entrega solicitada, así como por el envío,</w:t>
      </w:r>
      <w:r w:rsidRPr="00A44912">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Artículo 165.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 xml:space="preserve">La información que se entregue en versión pública, </w:t>
      </w:r>
      <w:r w:rsidRPr="00A44912">
        <w:rPr>
          <w:rFonts w:ascii="Palatino Linotype" w:eastAsia="Palatino Linotype" w:hAnsi="Palatino Linotype" w:cs="Palatino Linotype"/>
          <w:b/>
          <w:i/>
          <w:sz w:val="22"/>
          <w:szCs w:val="22"/>
        </w:rPr>
        <w:t>cuya modalidad de reproducción o envío tenga un costo,</w:t>
      </w:r>
      <w:r w:rsidRPr="00A44912">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 xml:space="preserve">Artículo 174. En caso de existir costos para obtener la información </w:t>
      </w:r>
      <w:r w:rsidRPr="00A44912">
        <w:rPr>
          <w:rFonts w:ascii="Palatino Linotype" w:eastAsia="Palatino Linotype" w:hAnsi="Palatino Linotype" w:cs="Palatino Linotype"/>
          <w:i/>
          <w:sz w:val="22"/>
          <w:szCs w:val="22"/>
        </w:rPr>
        <w:t xml:space="preserve">deberán cubrirse de manera previa a la entrega y </w:t>
      </w:r>
      <w:r w:rsidRPr="00A44912">
        <w:rPr>
          <w:rFonts w:ascii="Palatino Linotype" w:eastAsia="Palatino Linotype" w:hAnsi="Palatino Linotype" w:cs="Palatino Linotype"/>
          <w:b/>
          <w:i/>
          <w:sz w:val="22"/>
          <w:szCs w:val="22"/>
        </w:rPr>
        <w:t>no podrán ser superiores a la suma de: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I. El costo de los materiales utilizados en la reproducción</w:t>
      </w:r>
      <w:r w:rsidRPr="00A44912">
        <w:rPr>
          <w:rFonts w:ascii="Palatino Linotype" w:eastAsia="Palatino Linotype" w:hAnsi="Palatino Linotype" w:cs="Palatino Linotype"/>
          <w:i/>
          <w:sz w:val="22"/>
          <w:szCs w:val="22"/>
        </w:rPr>
        <w:t xml:space="preserve"> de la información;</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II. El costo de envío,</w:t>
      </w:r>
      <w:r w:rsidRPr="00A44912">
        <w:rPr>
          <w:rFonts w:ascii="Palatino Linotype" w:eastAsia="Palatino Linotype" w:hAnsi="Palatino Linotype" w:cs="Palatino Linotype"/>
          <w:i/>
          <w:sz w:val="22"/>
          <w:szCs w:val="22"/>
        </w:rPr>
        <w:t xml:space="preserve"> en su caso; y</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III. El pago de la certificación de los documentos,</w:t>
      </w:r>
      <w:r w:rsidRPr="00A44912">
        <w:rPr>
          <w:rFonts w:ascii="Palatino Linotype" w:eastAsia="Palatino Linotype" w:hAnsi="Palatino Linotype" w:cs="Palatino Linotype"/>
          <w:i/>
          <w:sz w:val="22"/>
          <w:szCs w:val="22"/>
        </w:rPr>
        <w:t xml:space="preserve"> cuando proceda.</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 xml:space="preserve">Las cuotas de los derechos aplicables deberán establecerse, en su caso, en el </w:t>
      </w:r>
      <w:r w:rsidRPr="00A44912">
        <w:rPr>
          <w:rFonts w:ascii="Palatino Linotype" w:eastAsia="Palatino Linotype" w:hAnsi="Palatino Linotype" w:cs="Palatino Linotype"/>
          <w:b/>
          <w:i/>
          <w:sz w:val="22"/>
          <w:szCs w:val="22"/>
        </w:rPr>
        <w:t xml:space="preserve">Código Financiero del Estado de México y Municipios </w:t>
      </w:r>
      <w:r w:rsidRPr="00A44912">
        <w:rPr>
          <w:rFonts w:ascii="Palatino Linotype" w:eastAsia="Palatino Linotype" w:hAnsi="Palatino Linotype" w:cs="Palatino Linotype"/>
          <w:i/>
          <w:sz w:val="22"/>
          <w:szCs w:val="22"/>
        </w:rPr>
        <w:t>y demás disposiciones jurídicas aplicables, las cuales se publicarán en los sitios de internet de los sujetos obligados…”</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i/>
          <w:sz w:val="22"/>
          <w:szCs w:val="22"/>
        </w:rPr>
        <w:t>Artículo 175.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i/>
          <w:sz w:val="22"/>
          <w:szCs w:val="22"/>
        </w:rPr>
        <w:t xml:space="preserve">En ningún caso, el pago de derechos deberá exceder el </w:t>
      </w:r>
      <w:r w:rsidRPr="00A44912">
        <w:rPr>
          <w:rFonts w:ascii="Palatino Linotype" w:eastAsia="Palatino Linotype" w:hAnsi="Palatino Linotype" w:cs="Palatino Linotype"/>
          <w:b/>
          <w:i/>
          <w:sz w:val="22"/>
          <w:szCs w:val="22"/>
        </w:rPr>
        <w:t>costo de reproducción de la información en el material solicitado.”</w:t>
      </w:r>
    </w:p>
    <w:p w:rsidR="00D83B85" w:rsidRPr="00A44912" w:rsidRDefault="00D83B85">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 xml:space="preserve">Artículo 4.22.- </w:t>
      </w:r>
      <w:r w:rsidRPr="00A44912">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w:t>
      </w:r>
      <w:r w:rsidRPr="00A44912">
        <w:rPr>
          <w:rFonts w:ascii="Palatino Linotype" w:eastAsia="Palatino Linotype" w:hAnsi="Palatino Linotype" w:cs="Palatino Linotype"/>
          <w:b/>
          <w:sz w:val="22"/>
          <w:szCs w:val="22"/>
          <w:u w:val="single"/>
        </w:rPr>
        <w:t>la digitalización o escaneo de la información, no conlleva la utilización de materiales que generen un costo</w:t>
      </w:r>
      <w:r w:rsidRPr="00A44912">
        <w:rPr>
          <w:rFonts w:ascii="Palatino Linotype" w:eastAsia="Palatino Linotype" w:hAnsi="Palatino Linotype" w:cs="Palatino Linotype"/>
          <w:sz w:val="22"/>
          <w:szCs w:val="22"/>
        </w:rPr>
        <w:t>, por ello, en materia de transparencia no es procedente el pago de derechos por concepto de escaneo o digitalización, pues se asume que los Sujetos Obligados cuentan con los medios para realizar dichas acciones sin costo alguno.</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lo hasta aquí expuesto, se concluye que en el presente caso </w:t>
      </w:r>
      <w:r w:rsidRPr="00A44912">
        <w:rPr>
          <w:rFonts w:ascii="Palatino Linotype" w:eastAsia="Palatino Linotype" w:hAnsi="Palatino Linotype" w:cs="Palatino Linotype"/>
          <w:b/>
          <w:sz w:val="22"/>
          <w:szCs w:val="22"/>
          <w:u w:val="single"/>
        </w:rPr>
        <w:t>NO se acredito de manera fehaciente la necesidad del cambio de modalidad en la entrega de la información</w:t>
      </w:r>
      <w:r w:rsidRPr="00A44912">
        <w:rPr>
          <w:rFonts w:ascii="Palatino Linotype" w:eastAsia="Palatino Linotype" w:hAnsi="Palatino Linotype" w:cs="Palatino Linotype"/>
          <w:sz w:val="22"/>
          <w:szCs w:val="22"/>
        </w:rPr>
        <w:t xml:space="preserve"> pretendido por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 xml:space="preserve">dado que no precisó los documentos que integran los expedientes de personal, no identificó cuáles de ellos son susceptibles de ser entregados ya sea en versión íntegra o en versión pública, y cuáles deben ser clasificados en su totalidad como confidenciales, así como los parámetros de escaneo utilizado respecto del soporte documental a entregarse a través del SAIMEX, que comprobaran que su peso sobrepasa las capacidades del referido sistema. </w:t>
      </w:r>
    </w:p>
    <w:p w:rsidR="00D83B85" w:rsidRPr="00A44912" w:rsidRDefault="00052DD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lo tanto, se estima que para tener por satisfecho el Derecho de acceso de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se deberá hacer entrega de la información solicitada a través de la modalidad elegida por la persona solicitante, esto es, el sistema SAIMEX, en versión pública de conformidad con los argumentos señalados a lo largo del presente </w:t>
      </w:r>
      <w:proofErr w:type="gramStart"/>
      <w:r w:rsidRPr="00A44912">
        <w:rPr>
          <w:rFonts w:ascii="Palatino Linotype" w:eastAsia="Palatino Linotype" w:hAnsi="Palatino Linotype" w:cs="Palatino Linotype"/>
          <w:sz w:val="22"/>
          <w:szCs w:val="22"/>
        </w:rPr>
        <w:t>estudio</w:t>
      </w:r>
      <w:proofErr w:type="gramEnd"/>
      <w:r w:rsidRPr="00A44912">
        <w:rPr>
          <w:rFonts w:ascii="Palatino Linotype" w:eastAsia="Palatino Linotype" w:hAnsi="Palatino Linotype" w:cs="Palatino Linotype"/>
          <w:sz w:val="22"/>
          <w:szCs w:val="22"/>
        </w:rPr>
        <w:t xml:space="preserve"> así como del considerando siguiente.</w:t>
      </w:r>
    </w:p>
    <w:p w:rsidR="00D83B85" w:rsidRPr="00A44912" w:rsidRDefault="00052DD8">
      <w:pPr>
        <w:tabs>
          <w:tab w:val="left" w:pos="975"/>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lo hasta aquí expuesto, se concluye que los motivos de inconformidad de la parte </w:t>
      </w:r>
      <w:r w:rsidRPr="00A44912">
        <w:rPr>
          <w:rFonts w:ascii="Palatino Linotype" w:eastAsia="Palatino Linotype" w:hAnsi="Palatino Linotype" w:cs="Palatino Linotype"/>
          <w:b/>
          <w:sz w:val="22"/>
          <w:szCs w:val="22"/>
        </w:rPr>
        <w:t xml:space="preserve">Recurrente </w:t>
      </w:r>
      <w:r w:rsidRPr="00A44912">
        <w:rPr>
          <w:rFonts w:ascii="Palatino Linotype" w:eastAsia="Palatino Linotype" w:hAnsi="Palatino Linotype" w:cs="Palatino Linotype"/>
          <w:sz w:val="22"/>
          <w:szCs w:val="22"/>
        </w:rPr>
        <w:t xml:space="preserve">devienen fundados, siendo procedente </w:t>
      </w:r>
      <w:r w:rsidRPr="00A44912">
        <w:rPr>
          <w:rFonts w:ascii="Palatino Linotype" w:eastAsia="Palatino Linotype" w:hAnsi="Palatino Linotype" w:cs="Palatino Linotype"/>
          <w:i/>
          <w:sz w:val="22"/>
          <w:szCs w:val="22"/>
        </w:rPr>
        <w:t xml:space="preserve">Revocar </w:t>
      </w:r>
      <w:r w:rsidRPr="00A44912">
        <w:rPr>
          <w:rFonts w:ascii="Palatino Linotype" w:eastAsia="Palatino Linotype" w:hAnsi="Palatino Linotype" w:cs="Palatino Linotype"/>
          <w:sz w:val="22"/>
          <w:szCs w:val="22"/>
        </w:rPr>
        <w:t xml:space="preserve">a respuesta proporcionada por el </w:t>
      </w:r>
      <w:r w:rsidRPr="00A44912">
        <w:rPr>
          <w:rFonts w:ascii="Palatino Linotype" w:eastAsia="Palatino Linotype" w:hAnsi="Palatino Linotype" w:cs="Palatino Linotype"/>
          <w:b/>
          <w:sz w:val="22"/>
          <w:szCs w:val="22"/>
        </w:rPr>
        <w:t xml:space="preserve">Sujeto Obligado </w:t>
      </w:r>
      <w:r w:rsidRPr="00A44912">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Quinto. Versión Pública. </w:t>
      </w:r>
      <w:r w:rsidRPr="00A44912">
        <w:rPr>
          <w:rFonts w:ascii="Palatino Linotype" w:eastAsia="Palatino Linotype" w:hAnsi="Palatino Linotype" w:cs="Palatino Linotype"/>
          <w:sz w:val="22"/>
          <w:szCs w:val="22"/>
        </w:rPr>
        <w:t>Como fue debidamente apuntado,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sz w:val="22"/>
          <w:szCs w:val="22"/>
        </w:rPr>
        <w:t> </w:t>
      </w: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3.</w:t>
      </w:r>
      <w:r w:rsidRPr="00A44912">
        <w:rPr>
          <w:rFonts w:ascii="Palatino Linotype" w:eastAsia="Palatino Linotype" w:hAnsi="Palatino Linotype" w:cs="Palatino Linotype"/>
          <w:i/>
          <w:sz w:val="22"/>
          <w:szCs w:val="22"/>
        </w:rPr>
        <w:t xml:space="preserve"> Para los efectos de la presente Ley se entenderá por:</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IX. Datos personales</w:t>
      </w:r>
      <w:r w:rsidRPr="00A4491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XX. Información clasificada</w:t>
      </w:r>
      <w:r w:rsidRPr="00A44912">
        <w:rPr>
          <w:rFonts w:ascii="Palatino Linotype" w:eastAsia="Palatino Linotype" w:hAnsi="Palatino Linotype" w:cs="Palatino Linotype"/>
          <w:i/>
          <w:sz w:val="22"/>
          <w:szCs w:val="22"/>
        </w:rPr>
        <w:t>: Aquella considerada por la presente Ley como reservada o confidencial;</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XXI. Información confidencial</w:t>
      </w:r>
      <w:r w:rsidRPr="00A4491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XXXII. Protección de Datos Personales</w:t>
      </w:r>
      <w:r w:rsidRPr="00A44912">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tabs>
          <w:tab w:val="left" w:pos="1276"/>
        </w:tabs>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XLV. Versión pública</w:t>
      </w:r>
      <w:r w:rsidRPr="00A4491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Artículo 6</w:t>
      </w:r>
      <w:r w:rsidRPr="00A4491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91.</w:t>
      </w:r>
      <w:r w:rsidRPr="00A4491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44912">
        <w:rPr>
          <w:rFonts w:ascii="Palatino Linotype" w:eastAsia="Palatino Linotype" w:hAnsi="Palatino Linotype" w:cs="Palatino Linotype"/>
          <w:i/>
          <w:sz w:val="22"/>
          <w:szCs w:val="22"/>
        </w:rPr>
        <w:br/>
        <w:t>…</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132.</w:t>
      </w:r>
      <w:r w:rsidRPr="00A44912">
        <w:rPr>
          <w:rFonts w:ascii="Palatino Linotype" w:eastAsia="Palatino Linotype" w:hAnsi="Palatino Linotype" w:cs="Palatino Linotype"/>
          <w:i/>
          <w:sz w:val="22"/>
          <w:szCs w:val="22"/>
        </w:rPr>
        <w:t xml:space="preserve"> La clasificación de la información se llevará a cabo en el momento en que:</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Se reciba una solicitud de acceso a la información;</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xml:space="preserve"> Se determine mediante resolución de autoridad competente; o</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137.</w:t>
      </w:r>
      <w:r w:rsidRPr="00A4491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Artículo 143.</w:t>
      </w:r>
      <w:r w:rsidRPr="00A4491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D83B85" w:rsidRPr="00A44912" w:rsidRDefault="00052DD8">
      <w:pPr>
        <w:spacing w:before="240" w:after="240" w:line="360" w:lineRule="auto"/>
        <w:ind w:right="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D83B85" w:rsidRPr="00A44912" w:rsidRDefault="00052DD8">
      <w:pPr>
        <w:spacing w:before="240" w:after="240" w:line="360" w:lineRule="auto"/>
        <w:ind w:right="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Por cuanto hace a la </w:t>
      </w:r>
      <w:r w:rsidRPr="00A44912">
        <w:rPr>
          <w:rFonts w:ascii="Palatino Linotype" w:eastAsia="Palatino Linotype" w:hAnsi="Palatino Linotype" w:cs="Palatino Linotype"/>
          <w:b/>
          <w:sz w:val="22"/>
          <w:szCs w:val="22"/>
        </w:rPr>
        <w:t xml:space="preserve">fotografía </w:t>
      </w:r>
      <w:r w:rsidRPr="00A44912">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Sobre la </w:t>
      </w:r>
      <w:r w:rsidRPr="00A44912">
        <w:rPr>
          <w:rFonts w:ascii="Palatino Linotype" w:eastAsia="Palatino Linotype" w:hAnsi="Palatino Linotype" w:cs="Palatino Linotype"/>
          <w:b/>
          <w:sz w:val="22"/>
          <w:szCs w:val="22"/>
        </w:rPr>
        <w:t xml:space="preserve">firma </w:t>
      </w:r>
      <w:r w:rsidRPr="00A44912">
        <w:rPr>
          <w:rFonts w:ascii="Palatino Linotype" w:eastAsia="Palatino Linotype" w:hAnsi="Palatino Linotype" w:cs="Palatino Linotype"/>
          <w:sz w:val="22"/>
          <w:szCs w:val="22"/>
        </w:rPr>
        <w:t xml:space="preserve">en documentos que acrediten el grado o nivel de estudios, cabe precisar </w:t>
      </w:r>
      <w:proofErr w:type="gramStart"/>
      <w:r w:rsidRPr="00A44912">
        <w:rPr>
          <w:rFonts w:ascii="Palatino Linotype" w:eastAsia="Palatino Linotype" w:hAnsi="Palatino Linotype" w:cs="Palatino Linotype"/>
          <w:sz w:val="22"/>
          <w:szCs w:val="22"/>
        </w:rPr>
        <w:t>que</w:t>
      </w:r>
      <w:proofErr w:type="gramEnd"/>
      <w:r w:rsidRPr="00A44912">
        <w:rPr>
          <w:rFonts w:ascii="Palatino Linotype" w:eastAsia="Palatino Linotype" w:hAnsi="Palatino Linotype" w:cs="Palatino Linotype"/>
          <w:sz w:val="22"/>
          <w:szCs w:val="22"/>
        </w:rPr>
        <w:t xml:space="preserve"> al tratarse de un dato de los servidores públicos en su calidad de particulares, se considera como un dato personal confidencial, que será público únicamente cuando sirva para la emisión de un acto de autoridad, en ejercicio de sus funciones.</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Lo anterior, es así, toda vez que la firma de servidores públicos, vinculada al ejercicio de la función pública es información de naturaleza pública, pues documenta y rinde cuentas sobre el debido ejercicio de sus atribuciones, lo cual no acontece en el presente caso.</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Lo anterior se robustece, con el criterio 02/19, emitido por el Instituto Nacional de Transparencia, Acceso a la Información y Protección de Datos Personales, que establece lo siguiente:</w:t>
      </w:r>
    </w:p>
    <w:p w:rsidR="00D83B85" w:rsidRPr="00A44912" w:rsidRDefault="00052DD8">
      <w:pPr>
        <w:tabs>
          <w:tab w:val="left" w:pos="4962"/>
        </w:tabs>
        <w:spacing w:before="120" w:after="120"/>
        <w:ind w:left="860"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“Firma y rúbrica de servidores públicos.</w:t>
      </w:r>
      <w:r w:rsidRPr="00A44912">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D83B85" w:rsidRPr="00A44912" w:rsidRDefault="00052DD8">
      <w:pPr>
        <w:tabs>
          <w:tab w:val="left" w:pos="4962"/>
        </w:tabs>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Conforme a lo expuesto, en el presente caso, procede la clasificación, en términos del artículo 143, fracción I de la Ley de Transparencia y Acceso a la Información Pública del Estado de México y Municipios, de la firma localizada en la documentación comprobatoria de nivel de estudios, pues da cuenta de la aceptación de un grado ante la Secretaría de Educación Pública.</w:t>
      </w:r>
    </w:p>
    <w:p w:rsidR="00D83B85" w:rsidRPr="00A44912" w:rsidRDefault="00052DD8">
      <w:pPr>
        <w:spacing w:before="240" w:after="240" w:line="360" w:lineRule="auto"/>
        <w:ind w:right="50"/>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Cabe señalar</w:t>
      </w:r>
      <w:r w:rsidRPr="00A44912">
        <w:rPr>
          <w:rFonts w:ascii="Palatino Linotype" w:eastAsia="Palatino Linotype" w:hAnsi="Palatino Linotype" w:cs="Palatino Linotype"/>
        </w:rPr>
        <w:t xml:space="preserve"> </w:t>
      </w:r>
      <w:r w:rsidRPr="00A44912">
        <w:rPr>
          <w:rFonts w:ascii="Palatino Linotype" w:eastAsia="Palatino Linotype" w:hAnsi="Palatino Linotype" w:cs="Palatino Linotype"/>
          <w:sz w:val="22"/>
          <w:szCs w:val="22"/>
        </w:rPr>
        <w:t>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49.</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Los Comités de Transparencia</w:t>
      </w:r>
      <w:r w:rsidRPr="00A44912">
        <w:rPr>
          <w:rFonts w:ascii="Palatino Linotype" w:eastAsia="Palatino Linotype" w:hAnsi="Palatino Linotype" w:cs="Palatino Linotype"/>
          <w:i/>
          <w:sz w:val="22"/>
          <w:szCs w:val="22"/>
        </w:rPr>
        <w:t xml:space="preserve"> tendrán las siguientes atribuciones:</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VIII. Aprobar, modificar o revocar la clasificación de la información</w:t>
      </w:r>
      <w:r w:rsidRPr="00A44912">
        <w:rPr>
          <w:rFonts w:ascii="Palatino Linotype" w:eastAsia="Palatino Linotype" w:hAnsi="Palatino Linotype" w:cs="Palatino Linotype"/>
          <w:i/>
          <w:sz w:val="22"/>
          <w:szCs w:val="22"/>
        </w:rPr>
        <w:t>…”</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53.</w:t>
      </w:r>
      <w:r w:rsidRPr="00A44912">
        <w:rPr>
          <w:rFonts w:ascii="Palatino Linotype" w:eastAsia="Palatino Linotype" w:hAnsi="Palatino Linotype" w:cs="Palatino Linotype"/>
          <w:i/>
          <w:sz w:val="22"/>
          <w:szCs w:val="22"/>
        </w:rPr>
        <w:t xml:space="preserve"> Las </w:t>
      </w:r>
      <w:r w:rsidRPr="00A44912">
        <w:rPr>
          <w:rFonts w:ascii="Palatino Linotype" w:eastAsia="Palatino Linotype" w:hAnsi="Palatino Linotype" w:cs="Palatino Linotype"/>
          <w:b/>
          <w:i/>
          <w:sz w:val="22"/>
          <w:szCs w:val="22"/>
        </w:rPr>
        <w:t>Unidades de Transparencia</w:t>
      </w:r>
      <w:r w:rsidRPr="00A44912">
        <w:rPr>
          <w:rFonts w:ascii="Palatino Linotype" w:eastAsia="Palatino Linotype" w:hAnsi="Palatino Linotype" w:cs="Palatino Linotype"/>
          <w:i/>
          <w:sz w:val="22"/>
          <w:szCs w:val="22"/>
        </w:rPr>
        <w:t xml:space="preserve"> tendrán las siguientes </w:t>
      </w:r>
      <w:r w:rsidRPr="00A44912">
        <w:rPr>
          <w:rFonts w:ascii="Palatino Linotype" w:eastAsia="Palatino Linotype" w:hAnsi="Palatino Linotype" w:cs="Palatino Linotype"/>
          <w:b/>
          <w:i/>
          <w:sz w:val="22"/>
          <w:szCs w:val="22"/>
        </w:rPr>
        <w:t>funciones</w:t>
      </w:r>
      <w:r w:rsidRPr="00A44912">
        <w:rPr>
          <w:rFonts w:ascii="Palatino Linotype" w:eastAsia="Palatino Linotype" w:hAnsi="Palatino Linotype" w:cs="Palatino Linotype"/>
          <w:i/>
          <w:sz w:val="22"/>
          <w:szCs w:val="22"/>
        </w:rPr>
        <w:t>:</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 Presentar ante el Comité, el proyecto de clasificación de información</w:t>
      </w:r>
      <w:r w:rsidRPr="00A44912">
        <w:rPr>
          <w:rFonts w:ascii="Palatino Linotype" w:eastAsia="Palatino Linotype" w:hAnsi="Palatino Linotype" w:cs="Palatino Linotype"/>
          <w:i/>
          <w:sz w:val="22"/>
          <w:szCs w:val="22"/>
        </w:rPr>
        <w:t xml:space="preserve">…” </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“Artículo 59.</w:t>
      </w:r>
      <w:r w:rsidRPr="00A44912">
        <w:rPr>
          <w:rFonts w:ascii="Palatino Linotype" w:eastAsia="Palatino Linotype" w:hAnsi="Palatino Linotype" w:cs="Palatino Linotype"/>
          <w:i/>
          <w:sz w:val="22"/>
          <w:szCs w:val="22"/>
        </w:rPr>
        <w:t xml:space="preserve"> Los </w:t>
      </w:r>
      <w:r w:rsidRPr="00A44912">
        <w:rPr>
          <w:rFonts w:ascii="Palatino Linotype" w:eastAsia="Palatino Linotype" w:hAnsi="Palatino Linotype" w:cs="Palatino Linotype"/>
          <w:b/>
          <w:i/>
          <w:sz w:val="22"/>
          <w:szCs w:val="22"/>
        </w:rPr>
        <w:t>servidores públicos habilitados</w:t>
      </w:r>
      <w:r w:rsidRPr="00A44912">
        <w:rPr>
          <w:rFonts w:ascii="Palatino Linotype" w:eastAsia="Palatino Linotype" w:hAnsi="Palatino Linotype" w:cs="Palatino Linotype"/>
          <w:i/>
          <w:sz w:val="22"/>
          <w:szCs w:val="22"/>
        </w:rPr>
        <w:t xml:space="preserve"> tendrán las </w:t>
      </w:r>
      <w:r w:rsidRPr="00A44912">
        <w:rPr>
          <w:rFonts w:ascii="Palatino Linotype" w:eastAsia="Palatino Linotype" w:hAnsi="Palatino Linotype" w:cs="Palatino Linotype"/>
          <w:b/>
          <w:i/>
          <w:sz w:val="22"/>
          <w:szCs w:val="22"/>
        </w:rPr>
        <w:t>funciones</w:t>
      </w:r>
      <w:r w:rsidRPr="00A44912">
        <w:rPr>
          <w:rFonts w:ascii="Palatino Linotype" w:eastAsia="Palatino Linotype" w:hAnsi="Palatino Linotype" w:cs="Palatino Linotype"/>
          <w:i/>
          <w:sz w:val="22"/>
          <w:szCs w:val="22"/>
        </w:rPr>
        <w:t xml:space="preserve"> siguientes:</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44912">
        <w:rPr>
          <w:rFonts w:ascii="Palatino Linotype" w:eastAsia="Palatino Linotype" w:hAnsi="Palatino Linotype" w:cs="Palatino Linotype"/>
          <w:i/>
          <w:sz w:val="22"/>
          <w:szCs w:val="22"/>
        </w:rPr>
        <w:t>, la cual tendrá los fundamentos y argumentos en que se basa dicha propuesta…”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Artículo 149.</w:t>
      </w:r>
      <w:r w:rsidRPr="00A44912">
        <w:rPr>
          <w:rFonts w:ascii="Palatino Linotype" w:eastAsia="Palatino Linotype" w:hAnsi="Palatino Linotype" w:cs="Palatino Linotype"/>
          <w:i/>
          <w:sz w:val="22"/>
          <w:szCs w:val="22"/>
        </w:rPr>
        <w:t xml:space="preserve"> El </w:t>
      </w:r>
      <w:r w:rsidRPr="00A44912">
        <w:rPr>
          <w:rFonts w:ascii="Palatino Linotype" w:eastAsia="Palatino Linotype" w:hAnsi="Palatino Linotype" w:cs="Palatino Linotype"/>
          <w:b/>
          <w:i/>
          <w:sz w:val="22"/>
          <w:szCs w:val="22"/>
        </w:rPr>
        <w:t>acuerdo que clasifique la información como confidencial</w:t>
      </w:r>
      <w:r w:rsidRPr="00A4491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rsidR="00D83B85" w:rsidRPr="00A44912" w:rsidRDefault="00052DD8">
      <w:pP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Es decir,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D83B85" w:rsidRPr="00A44912" w:rsidRDefault="00052DD8">
      <w:pPr>
        <w:spacing w:before="240" w:after="240" w:line="360" w:lineRule="auto"/>
        <w:ind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Atento a lo anterior, cabe señalar que el Comité de Transparencia del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 “</w:t>
      </w:r>
      <w:proofErr w:type="gramStart"/>
      <w:r w:rsidRPr="00A44912">
        <w:rPr>
          <w:rFonts w:ascii="Palatino Linotype" w:eastAsia="Palatino Linotype" w:hAnsi="Palatino Linotype" w:cs="Palatino Linotype"/>
          <w:b/>
          <w:i/>
          <w:sz w:val="22"/>
          <w:szCs w:val="22"/>
        </w:rPr>
        <w:t>Segundo.-</w:t>
      </w:r>
      <w:proofErr w:type="gramEnd"/>
      <w:r w:rsidRPr="00A44912">
        <w:rPr>
          <w:rFonts w:ascii="Palatino Linotype" w:eastAsia="Palatino Linotype" w:hAnsi="Palatino Linotype" w:cs="Palatino Linotype"/>
          <w:i/>
          <w:sz w:val="22"/>
          <w:szCs w:val="22"/>
        </w:rPr>
        <w:t xml:space="preserve"> Para efectos de los presentes Lineamientos Generales, se entenderá por:</w:t>
      </w:r>
    </w:p>
    <w:p w:rsidR="00D83B85" w:rsidRPr="00A44912" w:rsidRDefault="00052DD8">
      <w:pPr>
        <w:tabs>
          <w:tab w:val="left" w:pos="8222"/>
        </w:tabs>
        <w:spacing w:before="120" w:after="120"/>
        <w:ind w:left="1134"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XVIII.</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Versión pública:</w:t>
      </w:r>
      <w:r w:rsidRPr="00A4491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44912">
        <w:rPr>
          <w:rFonts w:ascii="Palatino Linotype" w:eastAsia="Palatino Linotype" w:hAnsi="Palatino Linotype" w:cs="Palatino Linotype"/>
          <w:b/>
          <w:i/>
          <w:sz w:val="22"/>
          <w:szCs w:val="22"/>
        </w:rPr>
        <w:t>fundando y motivando la</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reserva o confidencialidad</w:t>
      </w:r>
      <w:r w:rsidRPr="00A44912">
        <w:rPr>
          <w:rFonts w:ascii="Palatino Linotype" w:eastAsia="Palatino Linotype" w:hAnsi="Palatino Linotype" w:cs="Palatino Linotype"/>
          <w:i/>
          <w:sz w:val="22"/>
          <w:szCs w:val="22"/>
        </w:rPr>
        <w:t>, a través de la resolución que para tal efecto emita el Comité de Transparencia.</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Cuarto.</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Para clasificar la información como</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reservada o</w:t>
      </w:r>
      <w:r w:rsidRPr="00A44912">
        <w:rPr>
          <w:rFonts w:ascii="Palatino Linotype" w:eastAsia="Palatino Linotype" w:hAnsi="Palatino Linotype" w:cs="Palatino Linotype"/>
          <w:i/>
          <w:sz w:val="22"/>
          <w:szCs w:val="22"/>
        </w:rPr>
        <w:t xml:space="preserve"> </w:t>
      </w:r>
      <w:r w:rsidRPr="00A4491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4491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Quinto.</w:t>
      </w:r>
      <w:r w:rsidRPr="00A4491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Sexto.</w:t>
      </w:r>
      <w:r w:rsidRPr="00A44912">
        <w:rPr>
          <w:rFonts w:ascii="Palatino Linotype" w:eastAsia="Palatino Linotype" w:hAnsi="Palatino Linotype" w:cs="Palatino Linotype"/>
          <w:i/>
          <w:sz w:val="22"/>
          <w:szCs w:val="22"/>
        </w:rPr>
        <w:t xml:space="preserve"> Se deroga.</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Séptimo.</w:t>
      </w:r>
      <w:r w:rsidRPr="00A44912">
        <w:rPr>
          <w:rFonts w:ascii="Palatino Linotype" w:eastAsia="Palatino Linotype" w:hAnsi="Palatino Linotype" w:cs="Palatino Linotype"/>
          <w:i/>
          <w:sz w:val="22"/>
          <w:szCs w:val="22"/>
        </w:rPr>
        <w:t xml:space="preserve"> La clasificación de la información se llevará a cabo en el momento en que:</w:t>
      </w:r>
    </w:p>
    <w:p w:rsidR="00D83B85" w:rsidRPr="00A44912" w:rsidRDefault="00052DD8">
      <w:pPr>
        <w:tabs>
          <w:tab w:val="left" w:pos="8222"/>
        </w:tabs>
        <w:spacing w:before="120" w:after="120"/>
        <w:ind w:left="1134"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Se reciba una solicitud de acceso a la información;</w:t>
      </w:r>
    </w:p>
    <w:p w:rsidR="00D83B85" w:rsidRPr="00A44912" w:rsidRDefault="00052DD8">
      <w:pPr>
        <w:tabs>
          <w:tab w:val="left" w:pos="8222"/>
        </w:tabs>
        <w:spacing w:before="120" w:after="120"/>
        <w:ind w:left="1134"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rsidR="00D83B85" w:rsidRPr="00A44912" w:rsidRDefault="00052DD8">
      <w:pPr>
        <w:tabs>
          <w:tab w:val="left" w:pos="8222"/>
        </w:tabs>
        <w:spacing w:before="120" w:after="120"/>
        <w:ind w:left="1134"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i/>
          <w:sz w:val="22"/>
          <w:szCs w:val="22"/>
        </w:rPr>
        <w:t>conforme a su naturaleza, si encuadra en una causal de reserva o de confidencialidad.</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Octavo.</w:t>
      </w:r>
      <w:r w:rsidRPr="00A4491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Noveno.</w:t>
      </w:r>
      <w:r w:rsidRPr="00A4491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Décimo.</w:t>
      </w:r>
      <w:r w:rsidRPr="00A4491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D83B85" w:rsidRPr="00A44912" w:rsidRDefault="00052DD8">
      <w:pPr>
        <w:tabs>
          <w:tab w:val="left" w:pos="8222"/>
        </w:tabs>
        <w:spacing w:before="120" w:after="120"/>
        <w:ind w:left="851" w:right="1134"/>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Décimo primero.</w:t>
      </w:r>
      <w:r w:rsidRPr="00A4491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D83B85" w:rsidRPr="00A44912" w:rsidRDefault="00052DD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xml:space="preserve"> “Quincuagésimo. </w:t>
      </w:r>
      <w:r w:rsidRPr="00A4491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xml:space="preserve">Quincuagésimo primero. </w:t>
      </w:r>
      <w:r w:rsidRPr="00A44912">
        <w:rPr>
          <w:rFonts w:ascii="Palatino Linotype" w:eastAsia="Palatino Linotype" w:hAnsi="Palatino Linotype" w:cs="Palatino Linotype"/>
          <w:i/>
          <w:sz w:val="22"/>
          <w:szCs w:val="22"/>
        </w:rPr>
        <w:t xml:space="preserve">Toda acta del Comité de Transparencia deberá contener: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El número de sesión y fecha;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xml:space="preserve">. El nombre del área que solicitó la clasificación de información;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La fundamentación legal y motivación correspondiente;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IV</w:t>
      </w:r>
      <w:r w:rsidRPr="00A44912">
        <w:rPr>
          <w:rFonts w:ascii="Palatino Linotype" w:eastAsia="Palatino Linotype" w:hAnsi="Palatino Linotype" w:cs="Palatino Linotype"/>
          <w:i/>
          <w:sz w:val="22"/>
          <w:szCs w:val="22"/>
        </w:rPr>
        <w:t xml:space="preserve">. La resolución o resoluciones aprobadas; y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V</w:t>
      </w:r>
      <w:r w:rsidRPr="00A44912">
        <w:rPr>
          <w:rFonts w:ascii="Palatino Linotype" w:eastAsia="Palatino Linotype" w:hAnsi="Palatino Linotype" w:cs="Palatino Linotype"/>
          <w:i/>
          <w:sz w:val="22"/>
          <w:szCs w:val="22"/>
        </w:rPr>
        <w:t xml:space="preserve">. La rúbrica o firma digital de cada integrante del Comité de Transparencia.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Los motivos y razonamientos que sustenten la confirmación o modificación de la prueba de daño;</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Descripción de las partes o secciones reservadas, en caso de clasificación parcial</w:t>
      </w:r>
      <w:r w:rsidRPr="00A44912">
        <w:rPr>
          <w:rFonts w:ascii="Palatino Linotype" w:eastAsia="Palatino Linotype" w:hAnsi="Palatino Linotype" w:cs="Palatino Linotype"/>
          <w:b/>
          <w:i/>
          <w:sz w:val="22"/>
          <w:szCs w:val="22"/>
        </w:rPr>
        <w:t xml:space="preserve">;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El periodo por el que mantendrá su clasificación y fecha de expiración; y </w:t>
      </w:r>
    </w:p>
    <w:p w:rsidR="00D83B85" w:rsidRPr="00A44912" w:rsidRDefault="00052DD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IV.</w:t>
      </w:r>
      <w:r w:rsidRPr="00A44912">
        <w:rPr>
          <w:rFonts w:ascii="Palatino Linotype" w:eastAsia="Palatino Linotype" w:hAnsi="Palatino Linotype" w:cs="Palatino Linotype"/>
          <w:i/>
          <w:sz w:val="22"/>
          <w:szCs w:val="22"/>
        </w:rPr>
        <w:t xml:space="preserve"> El nombre del titular y área encargada de realizar la versión pública del documento, en su caso.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D83B85" w:rsidRPr="00A44912" w:rsidRDefault="00052DD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r w:rsidRPr="00A44912">
        <w:rPr>
          <w:rFonts w:ascii="Palatino Linotype" w:eastAsia="Palatino Linotype" w:hAnsi="Palatino Linotype" w:cs="Palatino Linotype"/>
          <w:b/>
          <w:i/>
          <w:sz w:val="22"/>
          <w:szCs w:val="22"/>
        </w:rPr>
        <w:t>Quincuagésimo segundo</w:t>
      </w:r>
      <w:r w:rsidRPr="00A4491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44912">
        <w:rPr>
          <w:rFonts w:ascii="Palatino Linotype" w:eastAsia="Palatino Linotype" w:hAnsi="Palatino Linotype" w:cs="Palatino Linotype"/>
          <w:i/>
          <w:sz w:val="22"/>
          <w:szCs w:val="22"/>
        </w:rPr>
        <w:t>sobreposición</w:t>
      </w:r>
      <w:proofErr w:type="spellEnd"/>
      <w:r w:rsidRPr="00A44912">
        <w:rPr>
          <w:rFonts w:ascii="Palatino Linotype" w:eastAsia="Palatino Linotype" w:hAnsi="Palatino Linotype" w:cs="Palatino Linotype"/>
          <w:i/>
          <w:sz w:val="22"/>
          <w:szCs w:val="22"/>
        </w:rPr>
        <w:t xml:space="preserve"> de contenido distinto al autorizado por el Comité.</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D83B85" w:rsidRPr="00A44912" w:rsidRDefault="00052DD8">
      <w:pPr>
        <w:spacing w:before="120" w:after="120"/>
        <w:ind w:left="1134"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Señalar las personas o instancias autorizadas a acceder a la información clasificada.</w:t>
      </w:r>
    </w:p>
    <w:p w:rsidR="00D83B85" w:rsidRPr="00A44912" w:rsidRDefault="00052DD8">
      <w:pP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w:t>
      </w:r>
    </w:p>
    <w:p w:rsidR="00D83B85" w:rsidRPr="00A44912" w:rsidRDefault="00052DD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 xml:space="preserve">Quincuagésimo cuarto. </w:t>
      </w:r>
      <w:r w:rsidRPr="00A4491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44912">
        <w:rPr>
          <w:rFonts w:ascii="Palatino Linotype" w:eastAsia="Palatino Linotype" w:hAnsi="Palatino Linotype" w:cs="Palatino Linotype"/>
          <w:b/>
          <w:i/>
          <w:sz w:val="22"/>
          <w:szCs w:val="22"/>
        </w:rPr>
        <w:t xml:space="preserve">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 xml:space="preserve">Quincuagésimo quinto. </w:t>
      </w:r>
      <w:r w:rsidRPr="00A4491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44912">
        <w:rPr>
          <w:rFonts w:ascii="Palatino Linotype" w:eastAsia="Palatino Linotype" w:hAnsi="Palatino Linotype" w:cs="Palatino Linotype"/>
          <w:i/>
          <w:sz w:val="22"/>
          <w:szCs w:val="22"/>
        </w:rPr>
        <w:t>testado</w:t>
      </w:r>
      <w:proofErr w:type="spellEnd"/>
      <w:r w:rsidRPr="00A4491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D83B85" w:rsidRPr="00A44912" w:rsidRDefault="00052DD8">
      <w:pPr>
        <w:spacing w:before="120" w:after="120"/>
        <w:ind w:left="851" w:right="902"/>
        <w:jc w:val="both"/>
        <w:rPr>
          <w:rFonts w:ascii="Palatino Linotype" w:eastAsia="Palatino Linotype" w:hAnsi="Palatino Linotype" w:cs="Palatino Linotype"/>
          <w:b/>
          <w:i/>
          <w:sz w:val="22"/>
          <w:szCs w:val="22"/>
        </w:rPr>
      </w:pPr>
      <w:r w:rsidRPr="00A44912">
        <w:rPr>
          <w:rFonts w:ascii="Palatino Linotype" w:eastAsia="Palatino Linotype" w:hAnsi="Palatino Linotype" w:cs="Palatino Linotype"/>
          <w:b/>
          <w:i/>
          <w:sz w:val="22"/>
          <w:szCs w:val="22"/>
        </w:rPr>
        <w:t>...</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Quincuagésimo séptimo</w:t>
      </w:r>
      <w:r w:rsidRPr="00A4491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w:t>
      </w:r>
      <w:r w:rsidRPr="00A4491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w:t>
      </w:r>
      <w:r w:rsidRPr="00A4491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D83B85" w:rsidRPr="00A44912" w:rsidRDefault="00052DD8">
      <w:pPr>
        <w:spacing w:before="120" w:after="120"/>
        <w:ind w:left="1134"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III</w:t>
      </w:r>
      <w:r w:rsidRPr="00A4491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D83B85" w:rsidRPr="00A44912" w:rsidRDefault="00052DD8">
      <w:pPr>
        <w:spacing w:before="120" w:after="120"/>
        <w:ind w:left="851" w:right="902"/>
        <w:jc w:val="both"/>
        <w:rPr>
          <w:rFonts w:ascii="Palatino Linotype" w:eastAsia="Palatino Linotype" w:hAnsi="Palatino Linotype" w:cs="Palatino Linotype"/>
          <w:i/>
          <w:sz w:val="22"/>
          <w:szCs w:val="22"/>
        </w:rPr>
      </w:pPr>
      <w:r w:rsidRPr="00A44912">
        <w:rPr>
          <w:rFonts w:ascii="Palatino Linotype" w:eastAsia="Palatino Linotype" w:hAnsi="Palatino Linotype" w:cs="Palatino Linotype"/>
          <w:b/>
          <w:i/>
          <w:sz w:val="22"/>
          <w:szCs w:val="22"/>
        </w:rPr>
        <w:t>Quincuagésimo octavo</w:t>
      </w:r>
      <w:r w:rsidRPr="00A4491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rsidR="00D83B85" w:rsidRPr="00A44912" w:rsidRDefault="00052DD8">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44912">
        <w:rPr>
          <w:rFonts w:ascii="Palatino Linotype" w:eastAsia="Palatino Linotype" w:hAnsi="Palatino Linotype" w:cs="Palatino Linotype"/>
          <w:b/>
          <w:sz w:val="22"/>
          <w:szCs w:val="22"/>
        </w:rPr>
        <w:t>III. R E S U E L V E</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A44912">
        <w:rPr>
          <w:rFonts w:ascii="Palatino Linotype" w:eastAsia="Palatino Linotype" w:hAnsi="Palatino Linotype" w:cs="Palatino Linotype"/>
          <w:b/>
          <w:sz w:val="22"/>
          <w:szCs w:val="22"/>
        </w:rPr>
        <w:t xml:space="preserve">Primero. </w:t>
      </w:r>
      <w:r w:rsidRPr="00A44912">
        <w:rPr>
          <w:rFonts w:ascii="Palatino Linotype" w:eastAsia="Palatino Linotype" w:hAnsi="Palatino Linotype" w:cs="Palatino Linotype"/>
          <w:sz w:val="22"/>
          <w:szCs w:val="22"/>
        </w:rPr>
        <w:t>Resultan</w:t>
      </w:r>
      <w:r w:rsidRPr="00A44912">
        <w:rPr>
          <w:rFonts w:ascii="Palatino Linotype" w:eastAsia="Palatino Linotype" w:hAnsi="Palatino Linotype" w:cs="Palatino Linotype"/>
          <w:b/>
          <w:sz w:val="22"/>
          <w:szCs w:val="22"/>
        </w:rPr>
        <w:t xml:space="preserve"> fundadas</w:t>
      </w:r>
      <w:r w:rsidRPr="00A44912">
        <w:rPr>
          <w:rFonts w:ascii="Palatino Linotype" w:eastAsia="Palatino Linotype" w:hAnsi="Palatino Linotype" w:cs="Palatino Linotype"/>
          <w:sz w:val="22"/>
          <w:szCs w:val="22"/>
        </w:rPr>
        <w:t xml:space="preserve"> las razones o motivos de inconformidad hechos valer por la parte</w:t>
      </w:r>
      <w:r w:rsidRPr="00A44912">
        <w:rPr>
          <w:rFonts w:ascii="Palatino Linotype" w:eastAsia="Palatino Linotype" w:hAnsi="Palatino Linotype" w:cs="Palatino Linotype"/>
          <w:b/>
          <w:sz w:val="22"/>
          <w:szCs w:val="22"/>
        </w:rPr>
        <w:t xml:space="preserve"> Recurrente</w:t>
      </w:r>
      <w:r w:rsidRPr="00A44912">
        <w:rPr>
          <w:rFonts w:ascii="Palatino Linotype" w:eastAsia="Palatino Linotype" w:hAnsi="Palatino Linotype" w:cs="Palatino Linotype"/>
          <w:sz w:val="22"/>
          <w:szCs w:val="22"/>
        </w:rPr>
        <w:t xml:space="preserve"> en el recurso de revisión </w:t>
      </w:r>
      <w:r w:rsidRPr="00A44912">
        <w:rPr>
          <w:rFonts w:ascii="Palatino Linotype" w:eastAsia="Palatino Linotype" w:hAnsi="Palatino Linotype" w:cs="Palatino Linotype"/>
          <w:b/>
          <w:sz w:val="22"/>
          <w:szCs w:val="22"/>
        </w:rPr>
        <w:t>07684/INFOEM/IP/RR/2025</w:t>
      </w:r>
      <w:r w:rsidRPr="00A44912">
        <w:rPr>
          <w:rFonts w:ascii="Palatino Linotype" w:eastAsia="Palatino Linotype" w:hAnsi="Palatino Linotype" w:cs="Palatino Linotype"/>
          <w:sz w:val="22"/>
          <w:szCs w:val="22"/>
        </w:rPr>
        <w:t xml:space="preserve">; por lo que, en términos del </w:t>
      </w:r>
      <w:r w:rsidRPr="00A44912">
        <w:rPr>
          <w:rFonts w:ascii="Palatino Linotype" w:eastAsia="Palatino Linotype" w:hAnsi="Palatino Linotype" w:cs="Palatino Linotype"/>
          <w:b/>
          <w:sz w:val="22"/>
          <w:szCs w:val="22"/>
        </w:rPr>
        <w:t>Considerando</w:t>
      </w:r>
      <w:r w:rsidRPr="00A44912">
        <w:rPr>
          <w:rFonts w:ascii="Palatino Linotype" w:eastAsia="Palatino Linotype" w:hAnsi="Palatino Linotype" w:cs="Palatino Linotype"/>
          <w:sz w:val="22"/>
          <w:szCs w:val="22"/>
        </w:rPr>
        <w:t xml:space="preserve"> </w:t>
      </w:r>
      <w:r w:rsidRPr="00A44912">
        <w:rPr>
          <w:rFonts w:ascii="Palatino Linotype" w:eastAsia="Palatino Linotype" w:hAnsi="Palatino Linotype" w:cs="Palatino Linotype"/>
          <w:b/>
          <w:sz w:val="22"/>
          <w:szCs w:val="22"/>
        </w:rPr>
        <w:t xml:space="preserve">Cuarto </w:t>
      </w:r>
      <w:r w:rsidRPr="00A44912">
        <w:rPr>
          <w:rFonts w:ascii="Palatino Linotype" w:eastAsia="Palatino Linotype" w:hAnsi="Palatino Linotype" w:cs="Palatino Linotype"/>
          <w:sz w:val="22"/>
          <w:szCs w:val="22"/>
        </w:rPr>
        <w:t xml:space="preserve">de esta resolución, se </w:t>
      </w:r>
      <w:r w:rsidRPr="00A44912">
        <w:rPr>
          <w:rFonts w:ascii="Palatino Linotype" w:eastAsia="Palatino Linotype" w:hAnsi="Palatino Linotype" w:cs="Palatino Linotype"/>
          <w:b/>
          <w:sz w:val="22"/>
          <w:szCs w:val="22"/>
        </w:rPr>
        <w:t xml:space="preserve">Revoca </w:t>
      </w:r>
      <w:r w:rsidRPr="00A44912">
        <w:rPr>
          <w:rFonts w:ascii="Palatino Linotype" w:eastAsia="Palatino Linotype" w:hAnsi="Palatino Linotype" w:cs="Palatino Linotype"/>
          <w:sz w:val="22"/>
          <w:szCs w:val="22"/>
        </w:rPr>
        <w:t xml:space="preserve">la respuesta emitida por el </w:t>
      </w:r>
      <w:r w:rsidRPr="00A44912">
        <w:rPr>
          <w:rFonts w:ascii="Palatino Linotype" w:eastAsia="Palatino Linotype" w:hAnsi="Palatino Linotype" w:cs="Palatino Linotype"/>
          <w:b/>
          <w:sz w:val="22"/>
          <w:szCs w:val="22"/>
        </w:rPr>
        <w:t xml:space="preserve">Sujeto Obligado. </w:t>
      </w:r>
    </w:p>
    <w:p w:rsidR="00D83B85" w:rsidRPr="00A44912" w:rsidRDefault="00052DD8">
      <w:pPr>
        <w:spacing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Segundo. </w:t>
      </w:r>
      <w:r w:rsidRPr="00A44912">
        <w:rPr>
          <w:rFonts w:ascii="Palatino Linotype" w:eastAsia="Palatino Linotype" w:hAnsi="Palatino Linotype" w:cs="Palatino Linotype"/>
          <w:sz w:val="22"/>
          <w:szCs w:val="22"/>
        </w:rPr>
        <w:t xml:space="preserve">Se </w:t>
      </w:r>
      <w:r w:rsidRPr="00A44912">
        <w:rPr>
          <w:rFonts w:ascii="Palatino Linotype" w:eastAsia="Palatino Linotype" w:hAnsi="Palatino Linotype" w:cs="Palatino Linotype"/>
          <w:b/>
          <w:sz w:val="22"/>
          <w:szCs w:val="22"/>
        </w:rPr>
        <w:t>Ordena</w:t>
      </w:r>
      <w:r w:rsidRPr="00A44912">
        <w:rPr>
          <w:rFonts w:ascii="Palatino Linotype" w:eastAsia="Palatino Linotype" w:hAnsi="Palatino Linotype" w:cs="Palatino Linotype"/>
          <w:sz w:val="22"/>
          <w:szCs w:val="22"/>
        </w:rPr>
        <w:t xml:space="preserve"> al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en términos de los Considerandos </w:t>
      </w:r>
      <w:r w:rsidRPr="00A44912">
        <w:rPr>
          <w:rFonts w:ascii="Palatino Linotype" w:eastAsia="Palatino Linotype" w:hAnsi="Palatino Linotype" w:cs="Palatino Linotype"/>
          <w:b/>
          <w:sz w:val="22"/>
          <w:szCs w:val="22"/>
        </w:rPr>
        <w:t xml:space="preserve">Cuarto </w:t>
      </w:r>
      <w:r w:rsidRPr="00A44912">
        <w:rPr>
          <w:rFonts w:ascii="Palatino Linotype" w:eastAsia="Palatino Linotype" w:hAnsi="Palatino Linotype" w:cs="Palatino Linotype"/>
          <w:sz w:val="22"/>
          <w:szCs w:val="22"/>
        </w:rPr>
        <w:t xml:space="preserve">y </w:t>
      </w:r>
      <w:r w:rsidRPr="00A44912">
        <w:rPr>
          <w:rFonts w:ascii="Palatino Linotype" w:eastAsia="Palatino Linotype" w:hAnsi="Palatino Linotype" w:cs="Palatino Linotype"/>
          <w:b/>
          <w:sz w:val="22"/>
          <w:szCs w:val="22"/>
        </w:rPr>
        <w:t xml:space="preserve">Quinto </w:t>
      </w:r>
      <w:r w:rsidRPr="00A44912">
        <w:rPr>
          <w:rFonts w:ascii="Palatino Linotype" w:eastAsia="Palatino Linotype" w:hAnsi="Palatino Linotype" w:cs="Palatino Linotype"/>
          <w:sz w:val="22"/>
          <w:szCs w:val="22"/>
        </w:rPr>
        <w:t xml:space="preserve">de esta resolución, haga entrega, </w:t>
      </w:r>
      <w:r w:rsidRPr="00A44912">
        <w:rPr>
          <w:rFonts w:ascii="Palatino Linotype" w:eastAsia="Palatino Linotype" w:hAnsi="Palatino Linotype" w:cs="Palatino Linotype"/>
        </w:rPr>
        <w:t xml:space="preserve">vía </w:t>
      </w:r>
      <w:r w:rsidRPr="00A44912">
        <w:rPr>
          <w:rFonts w:ascii="Palatino Linotype" w:eastAsia="Palatino Linotype" w:hAnsi="Palatino Linotype" w:cs="Palatino Linotype"/>
          <w:b/>
        </w:rPr>
        <w:t>SAIMEX</w:t>
      </w:r>
      <w:r w:rsidRPr="00A44912">
        <w:rPr>
          <w:rFonts w:ascii="Palatino Linotype" w:eastAsia="Palatino Linotype" w:hAnsi="Palatino Linotype" w:cs="Palatino Linotype"/>
        </w:rPr>
        <w:t>, en versión pública de ser procedente, de lo siguiente:</w:t>
      </w:r>
    </w:p>
    <w:p w:rsidR="00D83B85" w:rsidRPr="00A44912" w:rsidRDefault="00052DD8">
      <w:pPr>
        <w:tabs>
          <w:tab w:val="left" w:pos="5040"/>
        </w:tabs>
        <w:spacing w:before="240" w:after="240" w:line="360" w:lineRule="auto"/>
        <w:ind w:left="284" w:right="49"/>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1. Expediente de personal de todos de servidores públicos de la Oficina de Presidencia, la Secretaria del Ayuntamiento, las Dirección de Administración y la Dirección de Servicios Públicos, en funciones al veintiocho de mayo de dos mil veinticinco.</w:t>
      </w:r>
    </w:p>
    <w:p w:rsidR="00D83B85" w:rsidRPr="00A44912" w:rsidRDefault="00052DD8">
      <w:pPr>
        <w:spacing w:before="240" w:after="240" w:line="276" w:lineRule="auto"/>
        <w:jc w:val="both"/>
        <w:rPr>
          <w:rFonts w:ascii="Palatino Linotype" w:eastAsia="Palatino Linotype" w:hAnsi="Palatino Linotype" w:cs="Palatino Linotype"/>
          <w:i/>
          <w:sz w:val="20"/>
          <w:szCs w:val="20"/>
        </w:rPr>
      </w:pPr>
      <w:r w:rsidRPr="00A44912">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A44912">
        <w:rPr>
          <w:rFonts w:ascii="Palatino Linotype" w:eastAsia="Palatino Linotype" w:hAnsi="Palatino Linotype" w:cs="Palatino Linotype"/>
          <w:b/>
          <w:i/>
          <w:sz w:val="20"/>
          <w:szCs w:val="20"/>
        </w:rPr>
        <w:t>Recurrente</w:t>
      </w:r>
      <w:r w:rsidRPr="00A44912">
        <w:rPr>
          <w:rFonts w:ascii="Palatino Linotype" w:eastAsia="Palatino Linotype" w:hAnsi="Palatino Linotype" w:cs="Palatino Linotype"/>
          <w:i/>
          <w:sz w:val="20"/>
          <w:szCs w:val="20"/>
        </w:rPr>
        <w:t>, mismo que igualmente deberá incluir los fundamentos y motivos de la clasificación de las documentales correspondientes como información confidencial en su totalidad.</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b/>
          <w:sz w:val="22"/>
          <w:szCs w:val="22"/>
        </w:rPr>
        <w:t xml:space="preserve">Tercero. Notifíquese, </w:t>
      </w:r>
      <w:r w:rsidRPr="00A44912">
        <w:rPr>
          <w:rFonts w:ascii="Palatino Linotype" w:eastAsia="Palatino Linotype" w:hAnsi="Palatino Linotype" w:cs="Palatino Linotype"/>
          <w:sz w:val="22"/>
          <w:szCs w:val="22"/>
        </w:rPr>
        <w:t xml:space="preserve">vía </w:t>
      </w:r>
      <w:r w:rsidRPr="00A44912">
        <w:rPr>
          <w:rFonts w:ascii="Palatino Linotype" w:eastAsia="Palatino Linotype" w:hAnsi="Palatino Linotype" w:cs="Palatino Linotype"/>
          <w:b/>
          <w:sz w:val="22"/>
          <w:szCs w:val="22"/>
        </w:rPr>
        <w:t>SAIMEX</w:t>
      </w:r>
      <w:r w:rsidRPr="00A44912">
        <w:rPr>
          <w:rFonts w:ascii="Palatino Linotype" w:eastAsia="Palatino Linotype" w:hAnsi="Palatino Linotype" w:cs="Palatino Linotype"/>
          <w:sz w:val="22"/>
          <w:szCs w:val="22"/>
        </w:rPr>
        <w:t xml:space="preserve">, al Titular de la Unidad de Transparencia del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r w:rsidRPr="00A4491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A44912">
        <w:rPr>
          <w:rFonts w:ascii="Palatino Linotype" w:eastAsia="Palatino Linotype" w:hAnsi="Palatino Linotype" w:cs="Palatino Linotype"/>
          <w:b/>
          <w:sz w:val="22"/>
          <w:szCs w:val="22"/>
        </w:rPr>
        <w:t>Sujeto Obligado</w:t>
      </w:r>
      <w:r w:rsidRPr="00A4491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D83B85" w:rsidRPr="00A44912" w:rsidRDefault="00052DD8">
      <w:pPr>
        <w:spacing w:before="240" w:after="240" w:line="360" w:lineRule="auto"/>
        <w:jc w:val="both"/>
        <w:rPr>
          <w:rFonts w:ascii="Palatino Linotype" w:eastAsia="Palatino Linotype" w:hAnsi="Palatino Linotype" w:cs="Palatino Linotype"/>
          <w:sz w:val="22"/>
          <w:szCs w:val="22"/>
        </w:rPr>
      </w:pPr>
      <w:bookmarkStart w:id="9" w:name="_heading=h.17dp8vu" w:colFirst="0" w:colLast="0"/>
      <w:bookmarkEnd w:id="9"/>
      <w:r w:rsidRPr="00A44912">
        <w:rPr>
          <w:rFonts w:ascii="Palatino Linotype" w:eastAsia="Palatino Linotype" w:hAnsi="Palatino Linotype" w:cs="Palatino Linotype"/>
          <w:b/>
          <w:sz w:val="22"/>
          <w:szCs w:val="22"/>
        </w:rPr>
        <w:t xml:space="preserve">Cuarto.  Notifíquese, </w:t>
      </w:r>
      <w:r w:rsidRPr="00A44912">
        <w:rPr>
          <w:rFonts w:ascii="Palatino Linotype" w:eastAsia="Palatino Linotype" w:hAnsi="Palatino Linotype" w:cs="Palatino Linotype"/>
          <w:sz w:val="22"/>
          <w:szCs w:val="22"/>
        </w:rPr>
        <w:t xml:space="preserve">vía </w:t>
      </w:r>
      <w:r w:rsidRPr="00A44912">
        <w:rPr>
          <w:rFonts w:ascii="Palatino Linotype" w:eastAsia="Palatino Linotype" w:hAnsi="Palatino Linotype" w:cs="Palatino Linotype"/>
          <w:b/>
          <w:sz w:val="22"/>
          <w:szCs w:val="22"/>
        </w:rPr>
        <w:t>SAIMEX</w:t>
      </w:r>
      <w:r w:rsidRPr="00A44912">
        <w:rPr>
          <w:rFonts w:ascii="Palatino Linotype" w:eastAsia="Palatino Linotype" w:hAnsi="Palatino Linotype" w:cs="Palatino Linotype"/>
          <w:sz w:val="22"/>
          <w:szCs w:val="22"/>
        </w:rPr>
        <w:t xml:space="preserve">, a la parte </w:t>
      </w:r>
      <w:r w:rsidRPr="00A44912">
        <w:rPr>
          <w:rFonts w:ascii="Palatino Linotype" w:eastAsia="Palatino Linotype" w:hAnsi="Palatino Linotype" w:cs="Palatino Linotype"/>
          <w:b/>
          <w:sz w:val="22"/>
          <w:szCs w:val="22"/>
        </w:rPr>
        <w:t>Recurrente</w:t>
      </w:r>
      <w:r w:rsidRPr="00A44912">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83B85" w:rsidRPr="00730F53" w:rsidRDefault="00052DD8">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0" w:name="_heading=h.lnxbz9" w:colFirst="0" w:colLast="0"/>
      <w:bookmarkEnd w:id="10"/>
      <w:r w:rsidRPr="00A4491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30F53" w:rsidRPr="00A44912">
        <w:rPr>
          <w:rFonts w:ascii="Palatino Linotype" w:eastAsia="Palatino Linotype" w:hAnsi="Palatino Linotype" w:cs="Palatino Linotype"/>
          <w:sz w:val="22"/>
          <w:szCs w:val="22"/>
        </w:rPr>
        <w:t>, EMITIENDO VOTO PARTICULAR CONCURRENTE</w:t>
      </w:r>
      <w:r w:rsidRPr="00A44912">
        <w:rPr>
          <w:rFonts w:ascii="Palatino Linotype" w:eastAsia="Palatino Linotype" w:hAnsi="Palatino Linotype" w:cs="Palatino Linotype"/>
          <w:sz w:val="22"/>
          <w:szCs w:val="22"/>
        </w:rPr>
        <w:t>, SHARON CRISTINA MORALES MARTÍNEZ</w:t>
      </w:r>
      <w:r w:rsidR="00730F53" w:rsidRPr="00A44912">
        <w:rPr>
          <w:rFonts w:ascii="Palatino Linotype" w:eastAsia="Palatino Linotype" w:hAnsi="Palatino Linotype" w:cs="Palatino Linotype"/>
          <w:sz w:val="22"/>
          <w:szCs w:val="22"/>
        </w:rPr>
        <w:t>, EMITIENDO VOTO PARTICULAR</w:t>
      </w:r>
      <w:r w:rsidRPr="00A44912">
        <w:rPr>
          <w:rFonts w:ascii="Palatino Linotype" w:eastAsia="Palatino Linotype" w:hAnsi="Palatino Linotype" w:cs="Palatino Linotype"/>
          <w:sz w:val="22"/>
          <w:szCs w:val="22"/>
        </w:rPr>
        <w:t>, LUIS GUSTAVO PARRA NORIEGA</w:t>
      </w:r>
      <w:r w:rsidR="00730F53" w:rsidRPr="00A44912">
        <w:rPr>
          <w:rFonts w:ascii="Palatino Linotype" w:eastAsia="Palatino Linotype" w:hAnsi="Palatino Linotype" w:cs="Palatino Linotype"/>
          <w:sz w:val="22"/>
          <w:szCs w:val="22"/>
        </w:rPr>
        <w:t>, EMITIENDO VOTO PARTICULAR CONCURRENTE</w:t>
      </w:r>
      <w:r w:rsidRPr="00A44912">
        <w:rPr>
          <w:rFonts w:ascii="Palatino Linotype" w:eastAsia="Palatino Linotype" w:hAnsi="Palatino Linotype" w:cs="Palatino Linotype"/>
          <w:sz w:val="22"/>
          <w:szCs w:val="22"/>
        </w:rPr>
        <w:t>, Y GUADALUPE RAMÍREZ PEÑA</w:t>
      </w:r>
      <w:r w:rsidR="00730F53" w:rsidRPr="00A44912">
        <w:rPr>
          <w:rFonts w:ascii="Palatino Linotype" w:eastAsia="Palatino Linotype" w:hAnsi="Palatino Linotype" w:cs="Palatino Linotype"/>
          <w:sz w:val="22"/>
          <w:szCs w:val="22"/>
        </w:rPr>
        <w:t>, EMITIENDO VOTO PARTICULAR</w:t>
      </w:r>
      <w:r w:rsidRPr="00A44912">
        <w:rPr>
          <w:rFonts w:ascii="Palatino Linotype" w:eastAsia="Palatino Linotype" w:hAnsi="Palatino Linotype" w:cs="Palatino Linotype"/>
          <w:sz w:val="22"/>
          <w:szCs w:val="22"/>
        </w:rPr>
        <w:t>, EN LA CUADRAGÉSIMA SESIÓN ORDINARIA CELEBRADA EL DOCE DE NOVIEMBRE DE DOS MIL VEINTICINCO, ANTE EL SECRETARIO TÉCNICO DEL PLENO ALEXIS TAPIA RAMÍREZ.</w:t>
      </w: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center"/>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p w:rsidR="00D83B85" w:rsidRPr="00730F53" w:rsidRDefault="00D83B85">
      <w:pPr>
        <w:spacing w:line="360" w:lineRule="auto"/>
        <w:jc w:val="both"/>
        <w:rPr>
          <w:rFonts w:ascii="Palatino Linotype" w:eastAsia="Palatino Linotype" w:hAnsi="Palatino Linotype" w:cs="Palatino Linotype"/>
          <w:sz w:val="22"/>
          <w:szCs w:val="22"/>
        </w:rPr>
      </w:pPr>
    </w:p>
    <w:sectPr w:rsidR="00D83B85" w:rsidRPr="00730F53">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449" w:rsidRDefault="00C02449">
      <w:r>
        <w:separator/>
      </w:r>
    </w:p>
  </w:endnote>
  <w:endnote w:type="continuationSeparator" w:id="0">
    <w:p w:rsidR="00C02449" w:rsidRDefault="00C0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9B02AEA-7DAE-41EB-A889-5060A819F323}"/>
    <w:embedBold r:id="rId2" w:fontKey="{5DEF459D-277B-4D86-9521-BA8C0A0F6A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93E0B8D-E46B-478D-923A-7E83C9FB383E}"/>
    <w:embedBold r:id="rId4" w:fontKey="{8F606102-1E63-40A9-BF77-EB47AAD51446}"/>
  </w:font>
  <w:font w:name="Cambria">
    <w:panose1 w:val="02040503050406030204"/>
    <w:charset w:val="00"/>
    <w:family w:val="roman"/>
    <w:pitch w:val="variable"/>
    <w:sig w:usb0="E00006FF" w:usb1="420024FF" w:usb2="02000000" w:usb3="00000000" w:csb0="0000019F" w:csb1="00000000"/>
    <w:embedRegular r:id="rId5" w:fontKey="{37C0774F-932F-44FA-BE2E-82D61C48F9AA}"/>
    <w:embedBold r:id="rId6" w:fontKey="{C3C347AC-8347-4D26-8260-DDBDF9306D25}"/>
    <w:embedBoldItalic r:id="rId7" w:fontKey="{F0B97C59-88A3-40A8-88EF-3545C71FAB9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6A943B13-990E-4BF4-92B7-A836EDB04001}"/>
  </w:font>
  <w:font w:name="Georgia">
    <w:panose1 w:val="02040502050405020303"/>
    <w:charset w:val="00"/>
    <w:family w:val="roman"/>
    <w:pitch w:val="variable"/>
    <w:sig w:usb0="00000287" w:usb1="00000000" w:usb2="00000000" w:usb3="00000000" w:csb0="0000009F" w:csb1="00000000"/>
    <w:embedRegular r:id="rId9" w:fontKey="{62EE451A-E429-444B-9069-3D261E7E0603}"/>
    <w:embedItalic r:id="rId10" w:fontKey="{24742D24-59DC-4268-86B1-DE6549468863}"/>
  </w:font>
  <w:font w:name="Palatino Linotype">
    <w:panose1 w:val="02040502050505030304"/>
    <w:charset w:val="00"/>
    <w:family w:val="roman"/>
    <w:pitch w:val="variable"/>
    <w:sig w:usb0="E0000287" w:usb1="40000013" w:usb2="00000000" w:usb3="00000000" w:csb0="0000019F" w:csb1="00000000"/>
    <w:embedRegular r:id="rId11" w:fontKey="{CC12A28E-79C4-47BC-8410-E954C3B6DFB9}"/>
    <w:embedBold r:id="rId12" w:fontKey="{12C0AB15-4B75-48C0-A544-4BEE1AFECE64}"/>
    <w:embedItalic r:id="rId13" w:fontKey="{71731DEF-1CDF-4228-96E3-217D0C273A58}"/>
    <w:embedBoldItalic r:id="rId14" w:fontKey="{D18EED33-25FD-4231-876F-2D2C4890F8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B1C" w:rsidRDefault="00563B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0A7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0A73">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563B1C" w:rsidRDefault="00563B1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B1C" w:rsidRDefault="00563B1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0A7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0A73">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563B1C" w:rsidRDefault="00563B1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449" w:rsidRDefault="00C02449">
      <w:r>
        <w:separator/>
      </w:r>
    </w:p>
  </w:footnote>
  <w:footnote w:type="continuationSeparator" w:id="0">
    <w:p w:rsidR="00C02449" w:rsidRDefault="00C024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B1C" w:rsidRDefault="00563B1C">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-1080089</wp:posOffset>
          </wp:positionH>
          <wp:positionV relativeFrom="paragraph">
            <wp:posOffset>-488259</wp:posOffset>
          </wp:positionV>
          <wp:extent cx="7809865" cy="10165715"/>
          <wp:effectExtent l="0" t="0" r="0" b="0"/>
          <wp:wrapNone/>
          <wp:docPr id="2143108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563B1C">
      <w:tc>
        <w:tcPr>
          <w:tcW w:w="2489" w:type="dxa"/>
        </w:tcPr>
        <w:p w:rsidR="00563B1C" w:rsidRDefault="00563B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rsidR="00563B1C" w:rsidRDefault="00563B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07684/INFOEM/IP/RR/2025</w:t>
          </w:r>
        </w:p>
      </w:tc>
    </w:tr>
    <w:tr w:rsidR="00563B1C">
      <w:trPr>
        <w:trHeight w:val="228"/>
      </w:trPr>
      <w:tc>
        <w:tcPr>
          <w:tcW w:w="2489" w:type="dxa"/>
          <w:vAlign w:val="center"/>
        </w:tcPr>
        <w:p w:rsidR="00563B1C" w:rsidRDefault="00563B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rsidR="00563B1C" w:rsidRDefault="00563B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563B1C">
      <w:tc>
        <w:tcPr>
          <w:tcW w:w="2489" w:type="dxa"/>
          <w:vAlign w:val="center"/>
        </w:tcPr>
        <w:p w:rsidR="00563B1C" w:rsidRDefault="00563B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rsidR="00563B1C" w:rsidRDefault="00563B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3B1C" w:rsidRDefault="00563B1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B1C" w:rsidRDefault="00563B1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-1080131</wp:posOffset>
          </wp:positionH>
          <wp:positionV relativeFrom="paragraph">
            <wp:posOffset>-369890</wp:posOffset>
          </wp:positionV>
          <wp:extent cx="7809865" cy="10165715"/>
          <wp:effectExtent l="0" t="0" r="0" b="0"/>
          <wp:wrapNone/>
          <wp:docPr id="21431082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0"/>
      <w:tblW w:w="5953" w:type="dxa"/>
      <w:tblInd w:w="3261" w:type="dxa"/>
      <w:tblLayout w:type="fixed"/>
      <w:tblLook w:val="0400" w:firstRow="0" w:lastRow="0" w:firstColumn="0" w:lastColumn="0" w:noHBand="0" w:noVBand="1"/>
    </w:tblPr>
    <w:tblGrid>
      <w:gridCol w:w="2489"/>
      <w:gridCol w:w="3464"/>
    </w:tblGrid>
    <w:tr w:rsidR="00563B1C">
      <w:tc>
        <w:tcPr>
          <w:tcW w:w="2489" w:type="dxa"/>
        </w:tcPr>
        <w:p w:rsidR="00563B1C" w:rsidRDefault="00563B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rsidR="00563B1C" w:rsidRDefault="00563B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07684/INFOEM/IP/RR/2025</w:t>
          </w:r>
        </w:p>
      </w:tc>
    </w:tr>
    <w:tr w:rsidR="00563B1C">
      <w:tc>
        <w:tcPr>
          <w:tcW w:w="2489" w:type="dxa"/>
        </w:tcPr>
        <w:p w:rsidR="00563B1C" w:rsidRDefault="00563B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rsidR="00563B1C" w:rsidRDefault="00E80A73" w:rsidP="00E80A73">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XXXXX XXXX XXXXXX </w:t>
          </w:r>
        </w:p>
      </w:tc>
    </w:tr>
    <w:tr w:rsidR="00563B1C">
      <w:trPr>
        <w:trHeight w:val="228"/>
      </w:trPr>
      <w:tc>
        <w:tcPr>
          <w:tcW w:w="2489" w:type="dxa"/>
          <w:vAlign w:val="center"/>
        </w:tcPr>
        <w:p w:rsidR="00563B1C" w:rsidRDefault="00563B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rsidR="00563B1C" w:rsidRDefault="00563B1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563B1C">
      <w:tc>
        <w:tcPr>
          <w:tcW w:w="2489" w:type="dxa"/>
          <w:vAlign w:val="center"/>
        </w:tcPr>
        <w:p w:rsidR="00563B1C" w:rsidRDefault="00563B1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rsidR="00563B1C" w:rsidRDefault="00563B1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63B1C" w:rsidRDefault="00563B1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F2248"/>
    <w:multiLevelType w:val="multilevel"/>
    <w:tmpl w:val="D5F23DB8"/>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2F60C9"/>
    <w:multiLevelType w:val="multilevel"/>
    <w:tmpl w:val="84F076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3205F4F"/>
    <w:multiLevelType w:val="multilevel"/>
    <w:tmpl w:val="6C80E184"/>
    <w:lvl w:ilvl="0">
      <w:start w:val="1"/>
      <w:numFmt w:val="bullet"/>
      <w:pStyle w:val="Listaconvietas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5710E40"/>
    <w:multiLevelType w:val="multilevel"/>
    <w:tmpl w:val="DF404A26"/>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56E7E73"/>
    <w:multiLevelType w:val="multilevel"/>
    <w:tmpl w:val="8CFE66D6"/>
    <w:lvl w:ilvl="0">
      <w:start w:val="1"/>
      <w:numFmt w:val="decimal"/>
      <w:pStyle w:val="Listaconvietas"/>
      <w:lvlText w:val="%1."/>
      <w:lvlJc w:val="left"/>
      <w:pPr>
        <w:ind w:left="644" w:hanging="359"/>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6DCA2A17"/>
    <w:multiLevelType w:val="multilevel"/>
    <w:tmpl w:val="F702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52004A"/>
    <w:multiLevelType w:val="multilevel"/>
    <w:tmpl w:val="A6D0F0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7C0F2385"/>
    <w:multiLevelType w:val="multilevel"/>
    <w:tmpl w:val="B6DCB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5"/>
  </w:num>
  <w:num w:numId="4">
    <w:abstractNumId w:val="6"/>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85"/>
    <w:rsid w:val="00052DD8"/>
    <w:rsid w:val="00563B1C"/>
    <w:rsid w:val="00730F53"/>
    <w:rsid w:val="00A44912"/>
    <w:rsid w:val="00C02449"/>
    <w:rsid w:val="00D83B85"/>
    <w:rsid w:val="00E80A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E1AA0"/>
  <w15:docId w15:val="{67BE3A01-E80D-4C24-9CF5-F46F884D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6"/>
      </w:numPr>
      <w:contextualSpacing/>
    </w:pPr>
  </w:style>
  <w:style w:type="paragraph" w:styleId="Listaconvietas2">
    <w:name w:val="List Bullet 2"/>
    <w:basedOn w:val="Normal"/>
    <w:uiPriority w:val="99"/>
    <w:unhideWhenUsed/>
    <w:rsid w:val="0076259D"/>
    <w:pPr>
      <w:numPr>
        <w:numId w:val="7"/>
      </w:numPr>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legislacion.edomex.gob.mx/sites/legislacion.edomex.gob.mx/files/files/pdf/gct/2014/nov144.PDF" TargetMode="External"/><Relationship Id="rId7" Type="http://schemas.openxmlformats.org/officeDocument/2006/relationships/endnotes" Target="endnotes.xml"/><Relationship Id="rId12" Type="http://schemas.openxmlformats.org/officeDocument/2006/relationships/hyperlink" Target="http://www.diputados.gob.mx/documentos/N_Acta_Nacimiento.pdf" TargetMode="Externa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ine.mx/wp-content/uploads/2022/10/DERFEABCCREDENCIAL2022.pdf" TargetMode="External"/><Relationship Id="rId20" Type="http://schemas.openxmlformats.org/officeDocument/2006/relationships/hyperlink" Target="https://www.diputados.gob.mx/LeyesBiblio/pdf/LGDNNA.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secogem.gob.mx/constancia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unionedomex.mx/2023/03/24/busqueda-de-deudores-alimentarios-morosos-estado-de-mexico-2023/"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WLp3BAd3P+MI4ZScg0F7kwwEQ==">CgMxLjAyDmguZGFqM2oyeG82cTY2MghoLmdqZGd4czIJaC4zZHk2dmttMgloLjMwajB6bGwyCWguMnM4ZXlvMTIIaC50eWpjd3QyCWguMmV0OTJwMDIJaC4yNmluMXJnMgloLjE3ZHA4dnUyCGgubG54Yno5OAByITEtTjF6dEhHR21neWZmUlp1cDJjclEybWFvUkctQUZzSg==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21959</Words>
  <Characters>120780</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2025-11-14T19:03:00Z</cp:lastPrinted>
  <dcterms:created xsi:type="dcterms:W3CDTF">2025-12-10T22:03:00Z</dcterms:created>
  <dcterms:modified xsi:type="dcterms:W3CDTF">2025-12-10T22:03:00Z</dcterms:modified>
</cp:coreProperties>
</file>