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6D6A"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83694D">
        <w:rPr>
          <w:rFonts w:ascii="Palatino Linotype" w:eastAsia="Palatino Linotype" w:hAnsi="Palatino Linotype" w:cs="Palatino Linotype"/>
          <w:b/>
          <w:sz w:val="22"/>
          <w:szCs w:val="22"/>
        </w:rPr>
        <w:t>veintinueve de enero de dos mil veinticinco</w:t>
      </w:r>
      <w:r w:rsidRPr="0083694D">
        <w:rPr>
          <w:rFonts w:ascii="Palatino Linotype" w:eastAsia="Palatino Linotype" w:hAnsi="Palatino Linotype" w:cs="Palatino Linotype"/>
          <w:sz w:val="22"/>
          <w:szCs w:val="22"/>
        </w:rPr>
        <w:t xml:space="preserve">. </w:t>
      </w:r>
    </w:p>
    <w:p w14:paraId="68533281" w14:textId="77777777" w:rsidR="00021793" w:rsidRPr="0083694D" w:rsidRDefault="00122CAC">
      <w:pPr>
        <w:tabs>
          <w:tab w:val="left" w:pos="5812"/>
        </w:tabs>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t>Visto</w:t>
      </w:r>
      <w:r w:rsidRPr="0083694D">
        <w:rPr>
          <w:rFonts w:ascii="Palatino Linotype" w:eastAsia="Palatino Linotype" w:hAnsi="Palatino Linotype" w:cs="Palatino Linotype"/>
          <w:sz w:val="22"/>
          <w:szCs w:val="22"/>
        </w:rPr>
        <w:t xml:space="preserve"> el expediente formado con motivo del recurso de revisión </w:t>
      </w:r>
      <w:r w:rsidRPr="0083694D">
        <w:rPr>
          <w:rFonts w:ascii="Palatino Linotype" w:eastAsia="Palatino Linotype" w:hAnsi="Palatino Linotype" w:cs="Palatino Linotype"/>
          <w:b/>
          <w:sz w:val="22"/>
          <w:szCs w:val="22"/>
        </w:rPr>
        <w:t>07679/INFOEM/IP/RR/2024</w:t>
      </w:r>
      <w:r w:rsidRPr="0083694D">
        <w:rPr>
          <w:rFonts w:ascii="Palatino Linotype" w:eastAsia="Palatino Linotype" w:hAnsi="Palatino Linotype" w:cs="Palatino Linotype"/>
          <w:sz w:val="22"/>
          <w:szCs w:val="22"/>
        </w:rPr>
        <w:t>, interpuesto por</w:t>
      </w:r>
      <w:r w:rsidRPr="0083694D">
        <w:rPr>
          <w:rFonts w:ascii="Palatino Linotype" w:eastAsia="Palatino Linotype" w:hAnsi="Palatino Linotype" w:cs="Palatino Linotype"/>
          <w:b/>
          <w:sz w:val="22"/>
          <w:szCs w:val="22"/>
        </w:rPr>
        <w:t xml:space="preserve"> un particular de manera anónima</w:t>
      </w:r>
      <w:r w:rsidRPr="0083694D">
        <w:rPr>
          <w:rFonts w:ascii="Palatino Linotype" w:eastAsia="Palatino Linotype" w:hAnsi="Palatino Linotype" w:cs="Palatino Linotype"/>
          <w:sz w:val="22"/>
          <w:szCs w:val="22"/>
        </w:rPr>
        <w:t xml:space="preserve"> en lo sucesivo,</w:t>
      </w:r>
      <w:r w:rsidRPr="0083694D">
        <w:rPr>
          <w:rFonts w:ascii="Palatino Linotype" w:eastAsia="Palatino Linotype" w:hAnsi="Palatino Linotype" w:cs="Palatino Linotype"/>
          <w:b/>
          <w:sz w:val="22"/>
          <w:szCs w:val="22"/>
        </w:rPr>
        <w:t xml:space="preserve"> la parte</w:t>
      </w:r>
      <w:r w:rsidRPr="0083694D">
        <w:rPr>
          <w:rFonts w:ascii="Palatino Linotype" w:eastAsia="Palatino Linotype" w:hAnsi="Palatino Linotype" w:cs="Palatino Linotype"/>
          <w:sz w:val="22"/>
          <w:szCs w:val="22"/>
        </w:rPr>
        <w:t xml:space="preserve"> </w:t>
      </w:r>
      <w:r w:rsidRPr="0083694D">
        <w:rPr>
          <w:rFonts w:ascii="Palatino Linotype" w:eastAsia="Palatino Linotype" w:hAnsi="Palatino Linotype" w:cs="Palatino Linotype"/>
          <w:b/>
          <w:sz w:val="22"/>
          <w:szCs w:val="22"/>
        </w:rPr>
        <w:t>Recurrente,</w:t>
      </w:r>
      <w:r w:rsidRPr="0083694D">
        <w:rPr>
          <w:rFonts w:ascii="Palatino Linotype" w:eastAsia="Palatino Linotype" w:hAnsi="Palatino Linotype" w:cs="Palatino Linotype"/>
          <w:sz w:val="22"/>
          <w:szCs w:val="22"/>
        </w:rPr>
        <w:t xml:space="preserve"> en contra de la respuesta a la solicitud de información con número de folio</w:t>
      </w:r>
      <w:r w:rsidRPr="0083694D">
        <w:rPr>
          <w:rFonts w:ascii="Palatino Linotype" w:eastAsia="Palatino Linotype" w:hAnsi="Palatino Linotype" w:cs="Palatino Linotype"/>
          <w:b/>
          <w:sz w:val="22"/>
          <w:szCs w:val="22"/>
        </w:rPr>
        <w:t xml:space="preserve"> 00013/DIFJILO/IP/2024, </w:t>
      </w:r>
      <w:r w:rsidRPr="0083694D">
        <w:rPr>
          <w:rFonts w:ascii="Palatino Linotype" w:eastAsia="Palatino Linotype" w:hAnsi="Palatino Linotype" w:cs="Palatino Linotype"/>
          <w:sz w:val="22"/>
          <w:szCs w:val="22"/>
        </w:rPr>
        <w:t xml:space="preserve">por parte del </w:t>
      </w:r>
      <w:r w:rsidRPr="0083694D">
        <w:rPr>
          <w:rFonts w:ascii="Palatino Linotype" w:eastAsia="Palatino Linotype" w:hAnsi="Palatino Linotype" w:cs="Palatino Linotype"/>
          <w:b/>
          <w:sz w:val="22"/>
          <w:szCs w:val="22"/>
        </w:rPr>
        <w:t xml:space="preserve">Sistema Municipal Para el Desarrollo Integral de la Familia de Jilotepec, </w:t>
      </w:r>
      <w:r w:rsidRPr="0083694D">
        <w:rPr>
          <w:rFonts w:ascii="Palatino Linotype" w:eastAsia="Palatino Linotype" w:hAnsi="Palatino Linotype" w:cs="Palatino Linotype"/>
          <w:sz w:val="22"/>
          <w:szCs w:val="22"/>
        </w:rPr>
        <w:t xml:space="preserve">en lo sucesivo el </w:t>
      </w:r>
      <w:r w:rsidRPr="0083694D">
        <w:rPr>
          <w:rFonts w:ascii="Palatino Linotype" w:eastAsia="Palatino Linotype" w:hAnsi="Palatino Linotype" w:cs="Palatino Linotype"/>
          <w:b/>
          <w:sz w:val="22"/>
          <w:szCs w:val="22"/>
        </w:rPr>
        <w:t xml:space="preserve">Sujeto Obligado, </w:t>
      </w:r>
      <w:r w:rsidRPr="0083694D">
        <w:rPr>
          <w:rFonts w:ascii="Palatino Linotype" w:eastAsia="Palatino Linotype" w:hAnsi="Palatino Linotype" w:cs="Palatino Linotype"/>
          <w:sz w:val="22"/>
          <w:szCs w:val="22"/>
        </w:rPr>
        <w:t xml:space="preserve">se procede a dictar la presente resolución con base en los siguientes: </w:t>
      </w:r>
    </w:p>
    <w:p w14:paraId="5AC56524" w14:textId="77777777" w:rsidR="00021793" w:rsidRPr="0083694D" w:rsidRDefault="00122CAC">
      <w:pPr>
        <w:spacing w:before="240" w:after="240" w:line="360" w:lineRule="auto"/>
        <w:jc w:val="center"/>
        <w:rPr>
          <w:rFonts w:ascii="Palatino Linotype" w:eastAsia="Palatino Linotype" w:hAnsi="Palatino Linotype" w:cs="Palatino Linotype"/>
          <w:b/>
          <w:sz w:val="22"/>
          <w:szCs w:val="22"/>
        </w:rPr>
      </w:pPr>
      <w:r w:rsidRPr="0083694D">
        <w:rPr>
          <w:rFonts w:ascii="Palatino Linotype" w:eastAsia="Palatino Linotype" w:hAnsi="Palatino Linotype" w:cs="Palatino Linotype"/>
          <w:b/>
          <w:sz w:val="22"/>
          <w:szCs w:val="22"/>
        </w:rPr>
        <w:t>I. A N T E C E D E N T E S</w:t>
      </w:r>
    </w:p>
    <w:p w14:paraId="61C5FBFB"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bookmarkStart w:id="0" w:name="_heading=h.4d34og8" w:colFirst="0" w:colLast="0"/>
      <w:bookmarkEnd w:id="0"/>
      <w:r w:rsidRPr="0083694D">
        <w:rPr>
          <w:rFonts w:ascii="Palatino Linotype" w:eastAsia="Palatino Linotype" w:hAnsi="Palatino Linotype" w:cs="Palatino Linotype"/>
          <w:b/>
          <w:sz w:val="22"/>
          <w:szCs w:val="22"/>
        </w:rPr>
        <w:t>1. Solicitud de acceso a la información.</w:t>
      </w:r>
      <w:r w:rsidRPr="0083694D">
        <w:rPr>
          <w:rFonts w:ascii="Palatino Linotype" w:eastAsia="Palatino Linotype" w:hAnsi="Palatino Linotype" w:cs="Palatino Linotype"/>
          <w:sz w:val="22"/>
          <w:szCs w:val="22"/>
        </w:rPr>
        <w:t xml:space="preserve"> El </w:t>
      </w:r>
      <w:r w:rsidRPr="0083694D">
        <w:rPr>
          <w:rFonts w:ascii="Palatino Linotype" w:eastAsia="Palatino Linotype" w:hAnsi="Palatino Linotype" w:cs="Palatino Linotype"/>
          <w:b/>
          <w:sz w:val="22"/>
          <w:szCs w:val="22"/>
        </w:rPr>
        <w:t>veinticinco de noviembre de dos mil veinticuatro,</w:t>
      </w:r>
      <w:r w:rsidRPr="0083694D">
        <w:rPr>
          <w:rFonts w:ascii="Palatino Linotype" w:eastAsia="Palatino Linotype" w:hAnsi="Palatino Linotype" w:cs="Palatino Linotype"/>
          <w:sz w:val="22"/>
          <w:szCs w:val="22"/>
        </w:rPr>
        <w:t xml:space="preserve"> la parte </w:t>
      </w:r>
      <w:r w:rsidRPr="0083694D">
        <w:rPr>
          <w:rFonts w:ascii="Palatino Linotype" w:eastAsia="Palatino Linotype" w:hAnsi="Palatino Linotype" w:cs="Palatino Linotype"/>
          <w:b/>
          <w:sz w:val="22"/>
          <w:szCs w:val="22"/>
        </w:rPr>
        <w:t xml:space="preserve">Recurrente </w:t>
      </w:r>
      <w:r w:rsidRPr="0083694D">
        <w:rPr>
          <w:rFonts w:ascii="Palatino Linotype" w:eastAsia="Palatino Linotype" w:hAnsi="Palatino Linotype" w:cs="Palatino Linotype"/>
          <w:sz w:val="22"/>
          <w:szCs w:val="22"/>
        </w:rPr>
        <w:t xml:space="preserve">presentó, a través del Sistema de Acceso a la Información Mexiquense, en lo subsecuente el </w:t>
      </w:r>
      <w:r w:rsidRPr="0083694D">
        <w:rPr>
          <w:rFonts w:ascii="Palatino Linotype" w:eastAsia="Palatino Linotype" w:hAnsi="Palatino Linotype" w:cs="Palatino Linotype"/>
          <w:b/>
          <w:sz w:val="22"/>
          <w:szCs w:val="22"/>
        </w:rPr>
        <w:t>SAIMEX,</w:t>
      </w:r>
      <w:r w:rsidRPr="0083694D">
        <w:rPr>
          <w:rFonts w:ascii="Palatino Linotype" w:eastAsia="Palatino Linotype" w:hAnsi="Palatino Linotype" w:cs="Palatino Linotype"/>
          <w:sz w:val="22"/>
          <w:szCs w:val="22"/>
        </w:rPr>
        <w:t xml:space="preserve"> ante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0360A73A" w14:textId="77777777" w:rsidR="00021793" w:rsidRPr="0083694D" w:rsidRDefault="00122CAC">
      <w:pPr>
        <w:spacing w:before="120" w:after="12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83694D">
        <w:rPr>
          <w:rFonts w:ascii="Palatino Linotype" w:eastAsia="Palatino Linotype" w:hAnsi="Palatino Linotype" w:cs="Palatino Linotype"/>
          <w:i/>
          <w:sz w:val="22"/>
          <w:szCs w:val="22"/>
        </w:rPr>
        <w:t xml:space="preserve"> “Quiero conocer </w:t>
      </w:r>
      <w:r w:rsidRPr="0083694D">
        <w:rPr>
          <w:rFonts w:ascii="Palatino Linotype" w:eastAsia="Palatino Linotype" w:hAnsi="Palatino Linotype" w:cs="Palatino Linotype"/>
          <w:b/>
          <w:i/>
          <w:sz w:val="22"/>
          <w:szCs w:val="22"/>
          <w:u w:val="single"/>
        </w:rPr>
        <w:t xml:space="preserve">las personas que fueron despedidas, dadas de baja o renuncia voluntaria </w:t>
      </w:r>
      <w:proofErr w:type="spellStart"/>
      <w:r w:rsidRPr="0083694D">
        <w:rPr>
          <w:rFonts w:ascii="Palatino Linotype" w:eastAsia="Palatino Linotype" w:hAnsi="Palatino Linotype" w:cs="Palatino Linotype"/>
          <w:b/>
          <w:i/>
          <w:sz w:val="22"/>
          <w:szCs w:val="22"/>
          <w:u w:val="single"/>
        </w:rPr>
        <w:t>el</w:t>
      </w:r>
      <w:proofErr w:type="spellEnd"/>
      <w:r w:rsidRPr="0083694D">
        <w:rPr>
          <w:rFonts w:ascii="Palatino Linotype" w:eastAsia="Palatino Linotype" w:hAnsi="Palatino Linotype" w:cs="Palatino Linotype"/>
          <w:b/>
          <w:i/>
          <w:sz w:val="22"/>
          <w:szCs w:val="22"/>
          <w:u w:val="single"/>
        </w:rPr>
        <w:t xml:space="preserve"> </w:t>
      </w:r>
      <w:proofErr w:type="spellStart"/>
      <w:r w:rsidRPr="0083694D">
        <w:rPr>
          <w:rFonts w:ascii="Palatino Linotype" w:eastAsia="Palatino Linotype" w:hAnsi="Palatino Linotype" w:cs="Palatino Linotype"/>
          <w:b/>
          <w:i/>
          <w:sz w:val="22"/>
          <w:szCs w:val="22"/>
          <w:u w:val="single"/>
        </w:rPr>
        <w:t>el</w:t>
      </w:r>
      <w:proofErr w:type="spellEnd"/>
      <w:r w:rsidRPr="0083694D">
        <w:rPr>
          <w:rFonts w:ascii="Palatino Linotype" w:eastAsia="Palatino Linotype" w:hAnsi="Palatino Linotype" w:cs="Palatino Linotype"/>
          <w:b/>
          <w:i/>
          <w:sz w:val="22"/>
          <w:szCs w:val="22"/>
          <w:u w:val="single"/>
        </w:rPr>
        <w:t xml:space="preserve"> </w:t>
      </w:r>
      <w:proofErr w:type="spellStart"/>
      <w:r w:rsidRPr="0083694D">
        <w:rPr>
          <w:rFonts w:ascii="Palatino Linotype" w:eastAsia="Palatino Linotype" w:hAnsi="Palatino Linotype" w:cs="Palatino Linotype"/>
          <w:b/>
          <w:i/>
          <w:sz w:val="22"/>
          <w:szCs w:val="22"/>
          <w:u w:val="single"/>
        </w:rPr>
        <w:t>periso</w:t>
      </w:r>
      <w:proofErr w:type="spellEnd"/>
      <w:r w:rsidRPr="0083694D">
        <w:rPr>
          <w:rFonts w:ascii="Palatino Linotype" w:eastAsia="Palatino Linotype" w:hAnsi="Palatino Linotype" w:cs="Palatino Linotype"/>
          <w:b/>
          <w:i/>
          <w:sz w:val="22"/>
          <w:szCs w:val="22"/>
          <w:u w:val="single"/>
        </w:rPr>
        <w:t xml:space="preserve"> de 2022 a 2024 a la fecha del presente </w:t>
      </w:r>
      <w:r w:rsidRPr="0083694D">
        <w:rPr>
          <w:rFonts w:ascii="Palatino Linotype" w:eastAsia="Palatino Linotype" w:hAnsi="Palatino Linotype" w:cs="Palatino Linotype"/>
          <w:i/>
          <w:sz w:val="22"/>
          <w:szCs w:val="22"/>
        </w:rPr>
        <w:t xml:space="preserve">así como conocer el </w:t>
      </w:r>
      <w:r w:rsidRPr="0083694D">
        <w:rPr>
          <w:rFonts w:ascii="Palatino Linotype" w:eastAsia="Palatino Linotype" w:hAnsi="Palatino Linotype" w:cs="Palatino Linotype"/>
          <w:b/>
          <w:i/>
          <w:sz w:val="22"/>
          <w:szCs w:val="22"/>
          <w:u w:val="single"/>
        </w:rPr>
        <w:t>finiquito de cada una de ellas y las causas de su baja. Requiero copia del documento firmado de si finiquito</w:t>
      </w:r>
      <w:r w:rsidRPr="0083694D">
        <w:rPr>
          <w:rFonts w:ascii="Palatino Linotype" w:eastAsia="Palatino Linotype" w:hAnsi="Palatino Linotype" w:cs="Palatino Linotype"/>
          <w:i/>
          <w:sz w:val="22"/>
          <w:szCs w:val="22"/>
        </w:rPr>
        <w:t xml:space="preserve">” (sic) </w:t>
      </w:r>
    </w:p>
    <w:p w14:paraId="2DFC03C9"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83694D">
        <w:rPr>
          <w:rFonts w:ascii="Palatino Linotype" w:eastAsia="Palatino Linotype" w:hAnsi="Palatino Linotype" w:cs="Palatino Linotype"/>
          <w:b/>
          <w:sz w:val="22"/>
          <w:szCs w:val="22"/>
        </w:rPr>
        <w:t xml:space="preserve">Modalidad de Entrega: </w:t>
      </w:r>
      <w:r w:rsidRPr="0083694D">
        <w:rPr>
          <w:rFonts w:ascii="Palatino Linotype" w:eastAsia="Palatino Linotype" w:hAnsi="Palatino Linotype" w:cs="Palatino Linotype"/>
          <w:sz w:val="22"/>
          <w:szCs w:val="22"/>
        </w:rPr>
        <w:t xml:space="preserve">A través del </w:t>
      </w:r>
      <w:r w:rsidRPr="0083694D">
        <w:rPr>
          <w:rFonts w:ascii="Palatino Linotype" w:eastAsia="Palatino Linotype" w:hAnsi="Palatino Linotype" w:cs="Palatino Linotype"/>
          <w:b/>
          <w:sz w:val="22"/>
          <w:szCs w:val="22"/>
        </w:rPr>
        <w:t>SAIMEX</w:t>
      </w:r>
      <w:r w:rsidRPr="0083694D">
        <w:rPr>
          <w:rFonts w:ascii="Palatino Linotype" w:eastAsia="Palatino Linotype" w:hAnsi="Palatino Linotype" w:cs="Palatino Linotype"/>
          <w:sz w:val="22"/>
          <w:szCs w:val="22"/>
        </w:rPr>
        <w:t>.</w:t>
      </w:r>
    </w:p>
    <w:p w14:paraId="3829F3D6" w14:textId="77777777" w:rsidR="00021793" w:rsidRPr="0083694D" w:rsidRDefault="00122CAC">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t xml:space="preserve">2. Respuesta. </w:t>
      </w:r>
      <w:r w:rsidRPr="0083694D">
        <w:rPr>
          <w:rFonts w:ascii="Palatino Linotype" w:eastAsia="Palatino Linotype" w:hAnsi="Palatino Linotype" w:cs="Palatino Linotype"/>
          <w:sz w:val="22"/>
          <w:szCs w:val="22"/>
        </w:rPr>
        <w:t xml:space="preserve">El </w:t>
      </w:r>
      <w:r w:rsidRPr="0083694D">
        <w:rPr>
          <w:rFonts w:ascii="Palatino Linotype" w:eastAsia="Palatino Linotype" w:hAnsi="Palatino Linotype" w:cs="Palatino Linotype"/>
          <w:b/>
          <w:sz w:val="22"/>
          <w:szCs w:val="22"/>
        </w:rPr>
        <w:t>dieciséis de diciembre de dos mil veinticuatro,</w:t>
      </w:r>
      <w:r w:rsidRPr="0083694D">
        <w:rPr>
          <w:rFonts w:ascii="Palatino Linotype" w:eastAsia="Palatino Linotype" w:hAnsi="Palatino Linotype" w:cs="Palatino Linotype"/>
          <w:sz w:val="22"/>
          <w:szCs w:val="22"/>
        </w:rPr>
        <w:t xml:space="preserve"> el </w:t>
      </w:r>
      <w:r w:rsidRPr="0083694D">
        <w:rPr>
          <w:rFonts w:ascii="Palatino Linotype" w:eastAsia="Palatino Linotype" w:hAnsi="Palatino Linotype" w:cs="Palatino Linotype"/>
          <w:b/>
          <w:sz w:val="22"/>
          <w:szCs w:val="22"/>
        </w:rPr>
        <w:t xml:space="preserve">Sujeto Obligado </w:t>
      </w:r>
      <w:r w:rsidRPr="0083694D">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3C7C2CF6" w14:textId="77777777" w:rsidR="00021793" w:rsidRPr="0083694D" w:rsidRDefault="00122CAC">
      <w:pPr>
        <w:spacing w:before="240" w:after="240"/>
        <w:ind w:left="567" w:right="902"/>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lastRenderedPageBreak/>
        <w:t>“SE ENVIA RESPUESTA A TRAVES DE LOS ARCHIVOS DENOMIADOS "FINIQUITOS" Y "RESPUESTA"</w:t>
      </w:r>
    </w:p>
    <w:p w14:paraId="02D5B981" w14:textId="77777777" w:rsidR="00021793" w:rsidRPr="0083694D" w:rsidRDefault="00122CAC">
      <w:pPr>
        <w:spacing w:before="240" w:after="240"/>
        <w:ind w:left="567" w:right="902"/>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ATENTAMENTE</w:t>
      </w:r>
    </w:p>
    <w:p w14:paraId="5C3A3F10" w14:textId="77777777" w:rsidR="00021793" w:rsidRPr="0083694D" w:rsidRDefault="00122CAC">
      <w:pPr>
        <w:spacing w:before="240" w:after="240"/>
        <w:ind w:left="567" w:right="902"/>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Lic. en C.P y A.P. FARADIA MAYA GARCIA” (sic)</w:t>
      </w:r>
    </w:p>
    <w:p w14:paraId="4192214E" w14:textId="77777777" w:rsidR="00021793" w:rsidRPr="0083694D" w:rsidRDefault="00122CAC">
      <w:pPr>
        <w:spacing w:before="240" w:after="240" w:line="360" w:lineRule="auto"/>
        <w:ind w:left="567" w:right="49"/>
        <w:jc w:val="both"/>
        <w:rPr>
          <w:rFonts w:ascii="Palatino Linotype" w:eastAsia="Palatino Linotype" w:hAnsi="Palatino Linotype" w:cs="Palatino Linotype"/>
          <w:b/>
          <w:sz w:val="22"/>
          <w:szCs w:val="22"/>
        </w:rPr>
      </w:pPr>
      <w:r w:rsidRPr="0083694D">
        <w:rPr>
          <w:rFonts w:ascii="Palatino Linotype" w:eastAsia="Palatino Linotype" w:hAnsi="Palatino Linotype" w:cs="Palatino Linotype"/>
          <w:b/>
          <w:sz w:val="22"/>
          <w:szCs w:val="22"/>
        </w:rPr>
        <w:t>Archivos adjuntos:</w:t>
      </w:r>
    </w:p>
    <w:p w14:paraId="1E148BAC" w14:textId="77777777" w:rsidR="00021793" w:rsidRPr="0083694D" w:rsidRDefault="00122CAC">
      <w:pPr>
        <w:spacing w:before="240" w:after="240" w:line="360" w:lineRule="auto"/>
        <w:ind w:left="567" w:right="900"/>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i/>
          <w:sz w:val="22"/>
          <w:szCs w:val="22"/>
        </w:rPr>
        <w:t xml:space="preserve">“RESPUESTA.pdf”: </w:t>
      </w:r>
      <w:r w:rsidRPr="0083694D">
        <w:rPr>
          <w:rFonts w:ascii="Palatino Linotype" w:eastAsia="Palatino Linotype" w:hAnsi="Palatino Linotype" w:cs="Palatino Linotype"/>
          <w:sz w:val="22"/>
          <w:szCs w:val="22"/>
        </w:rPr>
        <w:t>Archivo que al intentar abrirse, señala que se encuentra dañado, sirve de mayor referencia la siguiente impresión de pantalla:</w:t>
      </w:r>
    </w:p>
    <w:p w14:paraId="153F1343" w14:textId="77777777" w:rsidR="00021793" w:rsidRPr="0083694D" w:rsidRDefault="00122CAC">
      <w:pPr>
        <w:spacing w:before="240" w:after="240" w:line="360" w:lineRule="auto"/>
        <w:ind w:left="567" w:right="900"/>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noProof/>
          <w:sz w:val="22"/>
          <w:szCs w:val="22"/>
        </w:rPr>
        <w:drawing>
          <wp:inline distT="0" distB="0" distL="0" distR="0" wp14:anchorId="265E8C60" wp14:editId="143C0D7A">
            <wp:extent cx="4848902" cy="1276528"/>
            <wp:effectExtent l="0" t="0" r="0" b="0"/>
            <wp:docPr id="20832964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2262" t="14371" r="1697" b="5389"/>
                    <a:stretch>
                      <a:fillRect/>
                    </a:stretch>
                  </pic:blipFill>
                  <pic:spPr>
                    <a:xfrm>
                      <a:off x="0" y="0"/>
                      <a:ext cx="4848902" cy="1276528"/>
                    </a:xfrm>
                    <a:prstGeom prst="rect">
                      <a:avLst/>
                    </a:prstGeom>
                    <a:ln/>
                  </pic:spPr>
                </pic:pic>
              </a:graphicData>
            </a:graphic>
          </wp:inline>
        </w:drawing>
      </w:r>
    </w:p>
    <w:p w14:paraId="2FD2B9A6" w14:textId="77777777" w:rsidR="00021793" w:rsidRPr="0083694D" w:rsidRDefault="00122CAC">
      <w:pPr>
        <w:spacing w:before="240" w:after="240" w:line="360" w:lineRule="auto"/>
        <w:ind w:left="567" w:right="900"/>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i/>
          <w:sz w:val="22"/>
          <w:szCs w:val="22"/>
        </w:rPr>
        <w:t xml:space="preserve">“FINIQUITOS.pdf”: </w:t>
      </w:r>
      <w:r w:rsidRPr="0083694D">
        <w:rPr>
          <w:rFonts w:ascii="Palatino Linotype" w:eastAsia="Palatino Linotype" w:hAnsi="Palatino Linotype" w:cs="Palatino Linotype"/>
          <w:sz w:val="22"/>
          <w:szCs w:val="22"/>
        </w:rPr>
        <w:t>Documento que se compone de veintisiete fojas, en el cual se aprecian pólizas de cheque, generadas del periodo del 24 de enero del 2022 al 04 de septiembre del 2024, las cuales dan cuenta de gastos de funcionamiento, liquidaciones por indemnizaciones, por sueldos y salarios caídos a diversos servidores públicos.</w:t>
      </w:r>
    </w:p>
    <w:p w14:paraId="4228D3A5" w14:textId="77777777" w:rsidR="00021793" w:rsidRPr="0083694D" w:rsidRDefault="00122CAC">
      <w:pPr>
        <w:spacing w:before="240" w:after="240" w:line="360" w:lineRule="auto"/>
        <w:ind w:right="49"/>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t xml:space="preserve">3. Interposición del recurso de revisión. </w:t>
      </w:r>
      <w:r w:rsidRPr="0083694D">
        <w:rPr>
          <w:rFonts w:ascii="Palatino Linotype" w:eastAsia="Palatino Linotype" w:hAnsi="Palatino Linotype" w:cs="Palatino Linotype"/>
          <w:sz w:val="22"/>
          <w:szCs w:val="22"/>
        </w:rPr>
        <w:t xml:space="preserve">Inconforme con los términos de la respuesta emitida por parte del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el </w:t>
      </w:r>
      <w:r w:rsidRPr="0083694D">
        <w:rPr>
          <w:rFonts w:ascii="Palatino Linotype" w:eastAsia="Palatino Linotype" w:hAnsi="Palatino Linotype" w:cs="Palatino Linotype"/>
          <w:b/>
          <w:sz w:val="22"/>
          <w:szCs w:val="22"/>
        </w:rPr>
        <w:t xml:space="preserve">diecisiete de diciembre de dos mil veinticuatro, </w:t>
      </w:r>
      <w:r w:rsidRPr="0083694D">
        <w:rPr>
          <w:rFonts w:ascii="Palatino Linotype" w:eastAsia="Palatino Linotype" w:hAnsi="Palatino Linotype" w:cs="Palatino Linotype"/>
          <w:sz w:val="22"/>
          <w:szCs w:val="22"/>
        </w:rPr>
        <w:t xml:space="preserve">la parte </w:t>
      </w:r>
      <w:r w:rsidRPr="0083694D">
        <w:rPr>
          <w:rFonts w:ascii="Palatino Linotype" w:eastAsia="Palatino Linotype" w:hAnsi="Palatino Linotype" w:cs="Palatino Linotype"/>
          <w:b/>
          <w:sz w:val="22"/>
          <w:szCs w:val="22"/>
        </w:rPr>
        <w:t>Recurrente</w:t>
      </w:r>
      <w:r w:rsidRPr="0083694D">
        <w:rPr>
          <w:rFonts w:ascii="Palatino Linotype" w:eastAsia="Palatino Linotype" w:hAnsi="Palatino Linotype" w:cs="Palatino Linotype"/>
          <w:sz w:val="22"/>
          <w:szCs w:val="22"/>
        </w:rPr>
        <w:t xml:space="preserve"> interpuso el recurso de revisión a través de </w:t>
      </w:r>
      <w:r w:rsidRPr="0083694D">
        <w:rPr>
          <w:rFonts w:ascii="Palatino Linotype" w:eastAsia="Palatino Linotype" w:hAnsi="Palatino Linotype" w:cs="Palatino Linotype"/>
          <w:b/>
          <w:sz w:val="22"/>
          <w:szCs w:val="22"/>
        </w:rPr>
        <w:t xml:space="preserve">SAIMEX, </w:t>
      </w:r>
      <w:r w:rsidRPr="0083694D">
        <w:rPr>
          <w:rFonts w:ascii="Palatino Linotype" w:eastAsia="Palatino Linotype" w:hAnsi="Palatino Linotype" w:cs="Palatino Linotype"/>
          <w:sz w:val="22"/>
          <w:szCs w:val="22"/>
        </w:rPr>
        <w:t>en donde se manifestó de la siguiente manera:</w:t>
      </w:r>
    </w:p>
    <w:p w14:paraId="334C3F94" w14:textId="77777777" w:rsidR="00021793" w:rsidRPr="0083694D" w:rsidRDefault="00122CAC">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83694D">
        <w:rPr>
          <w:rFonts w:ascii="Palatino Linotype" w:eastAsia="Palatino Linotype" w:hAnsi="Palatino Linotype" w:cs="Palatino Linotype"/>
          <w:b/>
          <w:sz w:val="22"/>
          <w:szCs w:val="22"/>
        </w:rPr>
        <w:t xml:space="preserve">a) Acto impugnado: </w:t>
      </w:r>
      <w:r w:rsidRPr="0083694D">
        <w:rPr>
          <w:rFonts w:ascii="Palatino Linotype" w:eastAsia="Palatino Linotype" w:hAnsi="Palatino Linotype" w:cs="Palatino Linotype"/>
          <w:i/>
          <w:sz w:val="22"/>
          <w:szCs w:val="22"/>
        </w:rPr>
        <w:t>“</w:t>
      </w:r>
      <w:r w:rsidRPr="0083694D">
        <w:rPr>
          <w:rFonts w:ascii="Palatino Linotype" w:eastAsia="Palatino Linotype" w:hAnsi="Palatino Linotype" w:cs="Palatino Linotype"/>
          <w:b/>
          <w:i/>
          <w:sz w:val="22"/>
          <w:szCs w:val="22"/>
          <w:u w:val="single"/>
        </w:rPr>
        <w:t>El documento denominado respuesta no permite abrirlo, muestra que esta dañado el archivo</w:t>
      </w:r>
      <w:r w:rsidRPr="0083694D">
        <w:rPr>
          <w:rFonts w:ascii="Palatino Linotype" w:eastAsia="Palatino Linotype" w:hAnsi="Palatino Linotype" w:cs="Palatino Linotype"/>
          <w:i/>
          <w:sz w:val="22"/>
          <w:szCs w:val="22"/>
        </w:rPr>
        <w:t xml:space="preserve">, segundo, </w:t>
      </w:r>
      <w:r w:rsidRPr="0083694D">
        <w:rPr>
          <w:rFonts w:ascii="Palatino Linotype" w:eastAsia="Palatino Linotype" w:hAnsi="Palatino Linotype" w:cs="Palatino Linotype"/>
          <w:b/>
          <w:i/>
          <w:sz w:val="22"/>
          <w:szCs w:val="22"/>
          <w:u w:val="single"/>
        </w:rPr>
        <w:t xml:space="preserve">las bajas arrojadas en </w:t>
      </w:r>
      <w:r w:rsidRPr="0083694D">
        <w:rPr>
          <w:rFonts w:ascii="Palatino Linotype" w:eastAsia="Palatino Linotype" w:hAnsi="Palatino Linotype" w:cs="Palatino Linotype"/>
          <w:b/>
          <w:i/>
          <w:sz w:val="22"/>
          <w:szCs w:val="22"/>
          <w:u w:val="single"/>
        </w:rPr>
        <w:lastRenderedPageBreak/>
        <w:t>el apartado de fracciones son mayor la cantidad de bajas que lo que me presenta como finiquitos entregados por lo que exijo me sea entregada la información completa</w:t>
      </w:r>
      <w:r w:rsidRPr="0083694D">
        <w:rPr>
          <w:rFonts w:ascii="Palatino Linotype" w:eastAsia="Palatino Linotype" w:hAnsi="Palatino Linotype" w:cs="Palatino Linotype"/>
          <w:i/>
          <w:sz w:val="22"/>
          <w:szCs w:val="22"/>
        </w:rPr>
        <w:t>.” (Sic)</w:t>
      </w:r>
    </w:p>
    <w:p w14:paraId="0F2FD40E" w14:textId="77777777" w:rsidR="00021793" w:rsidRPr="0083694D" w:rsidRDefault="00122CAC">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83694D">
        <w:rPr>
          <w:rFonts w:ascii="Palatino Linotype" w:eastAsia="Palatino Linotype" w:hAnsi="Palatino Linotype" w:cs="Palatino Linotype"/>
          <w:b/>
          <w:sz w:val="22"/>
          <w:szCs w:val="22"/>
        </w:rPr>
        <w:t>b) Razones o motivos de inconformidad</w:t>
      </w:r>
      <w:r w:rsidRPr="0083694D">
        <w:rPr>
          <w:rFonts w:ascii="Palatino Linotype" w:eastAsia="Palatino Linotype" w:hAnsi="Palatino Linotype" w:cs="Palatino Linotype"/>
          <w:sz w:val="22"/>
          <w:szCs w:val="22"/>
        </w:rPr>
        <w:t xml:space="preserve">: </w:t>
      </w:r>
      <w:r w:rsidRPr="0083694D">
        <w:rPr>
          <w:rFonts w:ascii="Palatino Linotype" w:eastAsia="Palatino Linotype" w:hAnsi="Palatino Linotype" w:cs="Palatino Linotype"/>
          <w:i/>
          <w:sz w:val="22"/>
          <w:szCs w:val="22"/>
        </w:rPr>
        <w:t xml:space="preserve">“No concuerda las bajas establecidas en fracciones con la presentada, muestran más bajas y solo entregaron una parte. De </w:t>
      </w:r>
      <w:proofErr w:type="spellStart"/>
      <w:r w:rsidRPr="0083694D">
        <w:rPr>
          <w:rFonts w:ascii="Palatino Linotype" w:eastAsia="Palatino Linotype" w:hAnsi="Palatino Linotype" w:cs="Palatino Linotype"/>
          <w:i/>
          <w:sz w:val="22"/>
          <w:szCs w:val="22"/>
        </w:rPr>
        <w:t>ellosñ</w:t>
      </w:r>
      <w:proofErr w:type="spellEnd"/>
      <w:r w:rsidRPr="0083694D">
        <w:rPr>
          <w:rFonts w:ascii="Palatino Linotype" w:eastAsia="Palatino Linotype" w:hAnsi="Palatino Linotype" w:cs="Palatino Linotype"/>
          <w:i/>
          <w:sz w:val="22"/>
          <w:szCs w:val="22"/>
        </w:rPr>
        <w:t>” (Sic)</w:t>
      </w:r>
    </w:p>
    <w:p w14:paraId="38E6D4E9" w14:textId="77777777" w:rsidR="00021793" w:rsidRPr="0083694D" w:rsidRDefault="00021793">
      <w:pPr>
        <w:spacing w:line="360" w:lineRule="auto"/>
        <w:jc w:val="both"/>
        <w:rPr>
          <w:rFonts w:ascii="Palatino Linotype" w:eastAsia="Palatino Linotype" w:hAnsi="Palatino Linotype" w:cs="Palatino Linotype"/>
          <w:b/>
        </w:rPr>
      </w:pPr>
    </w:p>
    <w:p w14:paraId="0A82AE7D"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t xml:space="preserve">4. Turno. </w:t>
      </w:r>
      <w:r w:rsidRPr="0083694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3694D">
        <w:rPr>
          <w:rFonts w:ascii="Palatino Linotype" w:eastAsia="Palatino Linotype" w:hAnsi="Palatino Linotype" w:cs="Palatino Linotype"/>
          <w:b/>
          <w:sz w:val="22"/>
          <w:szCs w:val="22"/>
        </w:rPr>
        <w:t xml:space="preserve">Guadalupe Ramírez Peña, </w:t>
      </w:r>
      <w:r w:rsidRPr="0083694D">
        <w:rPr>
          <w:rFonts w:ascii="Palatino Linotype" w:eastAsia="Palatino Linotype" w:hAnsi="Palatino Linotype" w:cs="Palatino Linotype"/>
          <w:sz w:val="22"/>
          <w:szCs w:val="22"/>
        </w:rPr>
        <w:t>a efecto de que analizara sobre su admisión o su desechamiento.</w:t>
      </w:r>
    </w:p>
    <w:p w14:paraId="526C9B98"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bookmarkStart w:id="4" w:name="_heading=h.2s8eyo1" w:colFirst="0" w:colLast="0"/>
      <w:bookmarkEnd w:id="4"/>
      <w:r w:rsidRPr="0083694D">
        <w:rPr>
          <w:rFonts w:ascii="Palatino Linotype" w:eastAsia="Palatino Linotype" w:hAnsi="Palatino Linotype" w:cs="Palatino Linotype"/>
          <w:b/>
          <w:sz w:val="22"/>
          <w:szCs w:val="22"/>
        </w:rPr>
        <w:t>5. Admisión del Recurso de revisión.</w:t>
      </w:r>
      <w:r w:rsidRPr="0083694D">
        <w:rPr>
          <w:rFonts w:ascii="Palatino Linotype" w:eastAsia="Palatino Linotype" w:hAnsi="Palatino Linotype" w:cs="Palatino Linotype"/>
          <w:sz w:val="22"/>
          <w:szCs w:val="22"/>
        </w:rPr>
        <w:t xml:space="preserve"> El</w:t>
      </w:r>
      <w:r w:rsidRPr="0083694D">
        <w:rPr>
          <w:rFonts w:ascii="Palatino Linotype" w:eastAsia="Palatino Linotype" w:hAnsi="Palatino Linotype" w:cs="Palatino Linotype"/>
          <w:b/>
          <w:sz w:val="22"/>
          <w:szCs w:val="22"/>
        </w:rPr>
        <w:t xml:space="preserve"> veinte de diciembre de dos mil veinticuatro, </w:t>
      </w:r>
      <w:r w:rsidRPr="0083694D">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3694D">
        <w:rPr>
          <w:rFonts w:ascii="Palatino Linotype" w:eastAsia="Palatino Linotype" w:hAnsi="Palatino Linotype" w:cs="Palatino Linotype"/>
          <w:b/>
          <w:sz w:val="22"/>
          <w:szCs w:val="22"/>
        </w:rPr>
        <w:t xml:space="preserve">Sujeto Obligado </w:t>
      </w:r>
      <w:r w:rsidRPr="0083694D">
        <w:rPr>
          <w:rFonts w:ascii="Palatino Linotype" w:eastAsia="Palatino Linotype" w:hAnsi="Palatino Linotype" w:cs="Palatino Linotype"/>
          <w:sz w:val="22"/>
          <w:szCs w:val="22"/>
        </w:rPr>
        <w:t>presentara su informe justificado.</w:t>
      </w:r>
    </w:p>
    <w:p w14:paraId="2B99FA2D" w14:textId="77777777" w:rsidR="00021793" w:rsidRPr="0083694D" w:rsidRDefault="00122CAC">
      <w:pPr>
        <w:widowControl w:val="0"/>
        <w:spacing w:line="360" w:lineRule="auto"/>
        <w:ind w:right="49"/>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t xml:space="preserve">6. Manifestaciones e Informe Justificado. </w:t>
      </w:r>
      <w:r w:rsidRPr="0083694D">
        <w:rPr>
          <w:rFonts w:ascii="Palatino Linotype" w:eastAsia="Palatino Linotype" w:hAnsi="Palatino Linotype" w:cs="Palatino Linotype"/>
          <w:sz w:val="22"/>
          <w:szCs w:val="22"/>
        </w:rPr>
        <w:t xml:space="preserve">De constancias del expediente electrónico del SAIMEX, se observa que las partes fueron omisas en rendir sus manifestaciones e informe justificado, por lo que se tiene por precluido su derecho para tal efecto. </w:t>
      </w:r>
    </w:p>
    <w:p w14:paraId="4D1F4FA9" w14:textId="77777777" w:rsidR="00021793" w:rsidRPr="0083694D" w:rsidRDefault="00021793">
      <w:pPr>
        <w:widowControl w:val="0"/>
        <w:spacing w:line="360" w:lineRule="auto"/>
        <w:ind w:right="49"/>
        <w:jc w:val="both"/>
        <w:rPr>
          <w:rFonts w:ascii="Palatino Linotype" w:eastAsia="Palatino Linotype" w:hAnsi="Palatino Linotype" w:cs="Palatino Linotype"/>
          <w:sz w:val="22"/>
          <w:szCs w:val="22"/>
        </w:rPr>
      </w:pPr>
    </w:p>
    <w:p w14:paraId="453FF2E4" w14:textId="77777777" w:rsidR="00021793" w:rsidRPr="0083694D" w:rsidRDefault="00122CAC">
      <w:pPr>
        <w:spacing w:after="240" w:line="360" w:lineRule="auto"/>
        <w:jc w:val="both"/>
        <w:rPr>
          <w:rFonts w:ascii="Palatino Linotype" w:eastAsia="Palatino Linotype" w:hAnsi="Palatino Linotype" w:cs="Palatino Linotype"/>
          <w:b/>
          <w:sz w:val="22"/>
          <w:szCs w:val="22"/>
        </w:rPr>
      </w:pPr>
      <w:r w:rsidRPr="0083694D">
        <w:rPr>
          <w:rFonts w:ascii="Palatino Linotype" w:eastAsia="Palatino Linotype" w:hAnsi="Palatino Linotype" w:cs="Palatino Linotype"/>
          <w:b/>
          <w:sz w:val="22"/>
          <w:szCs w:val="22"/>
        </w:rPr>
        <w:t xml:space="preserve">7. Cierre de instrucción. </w:t>
      </w:r>
      <w:r w:rsidRPr="0083694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83694D">
        <w:rPr>
          <w:rFonts w:ascii="Palatino Linotype" w:eastAsia="Palatino Linotype" w:hAnsi="Palatino Linotype" w:cs="Palatino Linotype"/>
          <w:b/>
          <w:sz w:val="22"/>
          <w:szCs w:val="22"/>
        </w:rPr>
        <w:t xml:space="preserve">veintidós de </w:t>
      </w:r>
      <w:r w:rsidRPr="0083694D">
        <w:rPr>
          <w:rFonts w:ascii="Palatino Linotype" w:eastAsia="Palatino Linotype" w:hAnsi="Palatino Linotype" w:cs="Palatino Linotype"/>
          <w:b/>
          <w:sz w:val="22"/>
          <w:szCs w:val="22"/>
        </w:rPr>
        <w:lastRenderedPageBreak/>
        <w:t>enero de dos mil veinticinco,</w:t>
      </w:r>
      <w:r w:rsidRPr="0083694D">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4155EF44"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8C8E6C3" w14:textId="77777777" w:rsidR="00021793" w:rsidRPr="0083694D" w:rsidRDefault="00122CAC">
      <w:pPr>
        <w:widowControl w:val="0"/>
        <w:spacing w:before="240" w:after="240" w:line="360" w:lineRule="auto"/>
        <w:jc w:val="center"/>
        <w:rPr>
          <w:rFonts w:ascii="Palatino Linotype" w:eastAsia="Palatino Linotype" w:hAnsi="Palatino Linotype" w:cs="Palatino Linotype"/>
          <w:b/>
        </w:rPr>
      </w:pPr>
      <w:r w:rsidRPr="0083694D">
        <w:rPr>
          <w:rFonts w:ascii="Palatino Linotype" w:eastAsia="Palatino Linotype" w:hAnsi="Palatino Linotype" w:cs="Palatino Linotype"/>
          <w:b/>
        </w:rPr>
        <w:t>II. C O N S I D E R A N D O S</w:t>
      </w:r>
    </w:p>
    <w:p w14:paraId="6E497F42"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t>Primero. Competencia.</w:t>
      </w:r>
      <w:r w:rsidRPr="0083694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4A3FE91"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83694D">
        <w:rPr>
          <w:rFonts w:ascii="Palatino Linotype" w:eastAsia="Palatino Linotype" w:hAnsi="Palatino Linotype" w:cs="Palatino Linotype"/>
          <w:b/>
          <w:sz w:val="22"/>
          <w:szCs w:val="22"/>
        </w:rPr>
        <w:t>Segundo. Oportunidad y Procedibilidad del Recurso de Revisión</w:t>
      </w:r>
      <w:r w:rsidRPr="0083694D">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269B041"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83694D">
        <w:rPr>
          <w:rFonts w:ascii="Palatino Linotype" w:eastAsia="Palatino Linotype" w:hAnsi="Palatino Linotype" w:cs="Palatino Linotype"/>
          <w:b/>
          <w:sz w:val="22"/>
          <w:szCs w:val="22"/>
        </w:rPr>
        <w:t xml:space="preserve">Sujeto Obligado </w:t>
      </w:r>
      <w:r w:rsidRPr="0083694D">
        <w:rPr>
          <w:rFonts w:ascii="Palatino Linotype" w:eastAsia="Palatino Linotype" w:hAnsi="Palatino Linotype" w:cs="Palatino Linotype"/>
          <w:sz w:val="22"/>
          <w:szCs w:val="22"/>
        </w:rPr>
        <w:t xml:space="preserve">remitió la respuesta a la solicitud de </w:t>
      </w:r>
      <w:r w:rsidRPr="0083694D">
        <w:rPr>
          <w:rFonts w:ascii="Palatino Linotype" w:eastAsia="Palatino Linotype" w:hAnsi="Palatino Linotype" w:cs="Palatino Linotype"/>
          <w:sz w:val="22"/>
          <w:szCs w:val="22"/>
        </w:rPr>
        <w:lastRenderedPageBreak/>
        <w:t xml:space="preserve">información el </w:t>
      </w:r>
      <w:r w:rsidRPr="0083694D">
        <w:rPr>
          <w:rFonts w:ascii="Palatino Linotype" w:eastAsia="Palatino Linotype" w:hAnsi="Palatino Linotype" w:cs="Palatino Linotype"/>
          <w:b/>
          <w:sz w:val="22"/>
          <w:szCs w:val="22"/>
        </w:rPr>
        <w:t>dieciséis de diciembre</w:t>
      </w:r>
      <w:r w:rsidRPr="0083694D">
        <w:rPr>
          <w:rFonts w:ascii="Palatino Linotype" w:eastAsia="Palatino Linotype" w:hAnsi="Palatino Linotype" w:cs="Palatino Linotype"/>
          <w:sz w:val="22"/>
          <w:szCs w:val="22"/>
        </w:rPr>
        <w:t xml:space="preserve"> </w:t>
      </w:r>
      <w:r w:rsidRPr="0083694D">
        <w:rPr>
          <w:rFonts w:ascii="Palatino Linotype" w:eastAsia="Palatino Linotype" w:hAnsi="Palatino Linotype" w:cs="Palatino Linotype"/>
          <w:b/>
          <w:sz w:val="22"/>
          <w:szCs w:val="22"/>
        </w:rPr>
        <w:t xml:space="preserve">de dos mil veinticuatro, </w:t>
      </w:r>
      <w:r w:rsidRPr="0083694D">
        <w:rPr>
          <w:rFonts w:ascii="Palatino Linotype" w:eastAsia="Palatino Linotype" w:hAnsi="Palatino Linotype" w:cs="Palatino Linotype"/>
          <w:sz w:val="22"/>
          <w:szCs w:val="22"/>
        </w:rPr>
        <w:t xml:space="preserve">mientras que el recurso de revisión interpuesto por </w:t>
      </w:r>
      <w:r w:rsidRPr="0083694D">
        <w:rPr>
          <w:rFonts w:ascii="Palatino Linotype" w:eastAsia="Palatino Linotype" w:hAnsi="Palatino Linotype" w:cs="Palatino Linotype"/>
          <w:b/>
          <w:sz w:val="22"/>
          <w:szCs w:val="22"/>
        </w:rPr>
        <w:t>la parte</w:t>
      </w:r>
      <w:r w:rsidRPr="0083694D">
        <w:rPr>
          <w:rFonts w:ascii="Palatino Linotype" w:eastAsia="Palatino Linotype" w:hAnsi="Palatino Linotype" w:cs="Palatino Linotype"/>
          <w:sz w:val="22"/>
          <w:szCs w:val="22"/>
        </w:rPr>
        <w:t xml:space="preserve"> </w:t>
      </w:r>
      <w:r w:rsidRPr="0083694D">
        <w:rPr>
          <w:rFonts w:ascii="Palatino Linotype" w:eastAsia="Palatino Linotype" w:hAnsi="Palatino Linotype" w:cs="Palatino Linotype"/>
          <w:b/>
          <w:sz w:val="22"/>
          <w:szCs w:val="22"/>
        </w:rPr>
        <w:t>Recurrente</w:t>
      </w:r>
      <w:r w:rsidRPr="0083694D">
        <w:rPr>
          <w:rFonts w:ascii="Palatino Linotype" w:eastAsia="Palatino Linotype" w:hAnsi="Palatino Linotype" w:cs="Palatino Linotype"/>
          <w:sz w:val="22"/>
          <w:szCs w:val="22"/>
        </w:rPr>
        <w:t xml:space="preserve">, se tuvo por presentado el día </w:t>
      </w:r>
      <w:r w:rsidRPr="0083694D">
        <w:rPr>
          <w:rFonts w:ascii="Palatino Linotype" w:eastAsia="Palatino Linotype" w:hAnsi="Palatino Linotype" w:cs="Palatino Linotype"/>
          <w:b/>
          <w:sz w:val="22"/>
          <w:szCs w:val="22"/>
        </w:rPr>
        <w:t xml:space="preserve">diecisiete de diciembre de dos mil veinticuatro, </w:t>
      </w:r>
      <w:r w:rsidRPr="0083694D">
        <w:rPr>
          <w:rFonts w:ascii="Palatino Linotype" w:eastAsia="Palatino Linotype" w:hAnsi="Palatino Linotype" w:cs="Palatino Linotype"/>
          <w:sz w:val="22"/>
          <w:szCs w:val="22"/>
        </w:rPr>
        <w:t xml:space="preserve">esto es, el </w:t>
      </w:r>
      <w:r w:rsidRPr="0083694D">
        <w:rPr>
          <w:rFonts w:ascii="Palatino Linotype" w:eastAsia="Palatino Linotype" w:hAnsi="Palatino Linotype" w:cs="Palatino Linotype"/>
          <w:b/>
          <w:sz w:val="22"/>
          <w:szCs w:val="22"/>
        </w:rPr>
        <w:t>primer día hábil en el que tuvo conocimiento de la respuesta impugnada.</w:t>
      </w:r>
      <w:r w:rsidRPr="0083694D">
        <w:rPr>
          <w:rFonts w:ascii="Palatino Linotype" w:eastAsia="Palatino Linotype" w:hAnsi="Palatino Linotype" w:cs="Palatino Linotype"/>
          <w:sz w:val="22"/>
          <w:szCs w:val="22"/>
        </w:rPr>
        <w:t xml:space="preserve"> </w:t>
      </w:r>
    </w:p>
    <w:p w14:paraId="5B9B9490"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7A9F4854" w14:textId="77777777" w:rsidR="00021793" w:rsidRPr="0083694D" w:rsidRDefault="00122CAC">
      <w:pPr>
        <w:spacing w:before="240" w:after="240" w:line="360" w:lineRule="auto"/>
        <w:ind w:right="49"/>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Por otro lado, por cuanto hace a la procedibilidad del recurso de revisión, es de suma importancia señalar que </w:t>
      </w:r>
      <w:r w:rsidRPr="0083694D">
        <w:rPr>
          <w:rFonts w:ascii="Palatino Linotype" w:eastAsia="Palatino Linotype" w:hAnsi="Palatino Linotype" w:cs="Palatino Linotype"/>
          <w:b/>
          <w:sz w:val="22"/>
          <w:szCs w:val="22"/>
        </w:rPr>
        <w:t>la parte</w:t>
      </w:r>
      <w:r w:rsidRPr="0083694D">
        <w:rPr>
          <w:rFonts w:ascii="Palatino Linotype" w:eastAsia="Palatino Linotype" w:hAnsi="Palatino Linotype" w:cs="Palatino Linotype"/>
          <w:sz w:val="22"/>
          <w:szCs w:val="22"/>
        </w:rPr>
        <w:t xml:space="preserve"> </w:t>
      </w:r>
      <w:r w:rsidRPr="0083694D">
        <w:rPr>
          <w:rFonts w:ascii="Palatino Linotype" w:eastAsia="Palatino Linotype" w:hAnsi="Palatino Linotype" w:cs="Palatino Linotype"/>
          <w:b/>
          <w:sz w:val="22"/>
          <w:szCs w:val="22"/>
        </w:rPr>
        <w:t>Recurrente</w:t>
      </w:r>
      <w:r w:rsidRPr="0083694D">
        <w:rPr>
          <w:rFonts w:ascii="Palatino Linotype" w:eastAsia="Palatino Linotype" w:hAnsi="Palatino Linotype" w:cs="Palatino Linotype"/>
          <w:sz w:val="22"/>
          <w:szCs w:val="22"/>
        </w:rPr>
        <w:t>,</w:t>
      </w:r>
      <w:r w:rsidRPr="0083694D">
        <w:rPr>
          <w:rFonts w:ascii="Palatino Linotype" w:eastAsia="Palatino Linotype" w:hAnsi="Palatino Linotype" w:cs="Palatino Linotype"/>
          <w:b/>
          <w:sz w:val="22"/>
          <w:szCs w:val="22"/>
        </w:rPr>
        <w:t xml:space="preserve"> fue omisa en proporcionar nombre o seudónimo </w:t>
      </w:r>
      <w:r w:rsidRPr="0083694D">
        <w:rPr>
          <w:rFonts w:ascii="Palatino Linotype" w:eastAsia="Palatino Linotype" w:hAnsi="Palatino Linotype" w:cs="Palatino Linotype"/>
          <w:sz w:val="22"/>
          <w:szCs w:val="22"/>
        </w:rPr>
        <w:t>con el que desea que se le identifique</w:t>
      </w:r>
      <w:r w:rsidRPr="0083694D">
        <w:rPr>
          <w:rFonts w:ascii="Palatino Linotype" w:eastAsia="Palatino Linotype" w:hAnsi="Palatino Linotype" w:cs="Palatino Linotype"/>
          <w:b/>
          <w:sz w:val="22"/>
          <w:szCs w:val="22"/>
        </w:rPr>
        <w:t>,</w:t>
      </w:r>
      <w:r w:rsidRPr="0083694D">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BA6AD8F" w14:textId="77777777" w:rsidR="00021793" w:rsidRPr="0083694D" w:rsidRDefault="00122CAC">
      <w:pPr>
        <w:spacing w:before="240" w:after="240" w:line="276" w:lineRule="auto"/>
        <w:ind w:left="851" w:right="902"/>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w:t>
      </w:r>
      <w:r w:rsidRPr="0083694D">
        <w:rPr>
          <w:rFonts w:ascii="Palatino Linotype" w:eastAsia="Palatino Linotype" w:hAnsi="Palatino Linotype" w:cs="Palatino Linotype"/>
          <w:b/>
          <w:i/>
          <w:sz w:val="22"/>
          <w:szCs w:val="22"/>
        </w:rPr>
        <w:t xml:space="preserve">Las solicitudes </w:t>
      </w:r>
      <w:r w:rsidRPr="0083694D">
        <w:rPr>
          <w:rFonts w:ascii="Palatino Linotype" w:eastAsia="Palatino Linotype" w:hAnsi="Palatino Linotype" w:cs="Palatino Linotype"/>
          <w:i/>
          <w:sz w:val="22"/>
          <w:szCs w:val="22"/>
        </w:rPr>
        <w:t xml:space="preserve">anónimas, con </w:t>
      </w:r>
      <w:r w:rsidRPr="0083694D">
        <w:rPr>
          <w:rFonts w:ascii="Palatino Linotype" w:eastAsia="Palatino Linotype" w:hAnsi="Palatino Linotype" w:cs="Palatino Linotype"/>
          <w:b/>
          <w:i/>
          <w:sz w:val="22"/>
          <w:szCs w:val="22"/>
        </w:rPr>
        <w:t>nombre incompleto o seudónimo</w:t>
      </w:r>
      <w:r w:rsidRPr="0083694D">
        <w:rPr>
          <w:rFonts w:ascii="Palatino Linotype" w:eastAsia="Palatino Linotype" w:hAnsi="Palatino Linotype" w:cs="Palatino Linotype"/>
          <w:i/>
          <w:sz w:val="22"/>
          <w:szCs w:val="22"/>
        </w:rPr>
        <w:t xml:space="preserve"> </w:t>
      </w:r>
      <w:r w:rsidRPr="0083694D">
        <w:rPr>
          <w:rFonts w:ascii="Palatino Linotype" w:eastAsia="Palatino Linotype" w:hAnsi="Palatino Linotype" w:cs="Palatino Linotype"/>
          <w:b/>
          <w:i/>
          <w:sz w:val="22"/>
          <w:szCs w:val="22"/>
        </w:rPr>
        <w:t>serán procedentes para su trámite por parte del sujeto obligado ante quien se presente</w:t>
      </w:r>
      <w:r w:rsidRPr="0083694D">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545D2848" w14:textId="77777777" w:rsidR="00021793" w:rsidRPr="0083694D" w:rsidRDefault="00122CAC">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83694D">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4DF2A20"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lastRenderedPageBreak/>
        <w:t xml:space="preserve">Finalmente, se advierte que resulta procedente la interposición del recurso, según lo manifestado por </w:t>
      </w:r>
      <w:r w:rsidRPr="0083694D">
        <w:rPr>
          <w:rFonts w:ascii="Palatino Linotype" w:eastAsia="Palatino Linotype" w:hAnsi="Palatino Linotype" w:cs="Palatino Linotype"/>
          <w:b/>
          <w:sz w:val="22"/>
          <w:szCs w:val="22"/>
        </w:rPr>
        <w:t>la parte</w:t>
      </w:r>
      <w:r w:rsidRPr="0083694D">
        <w:rPr>
          <w:rFonts w:ascii="Palatino Linotype" w:eastAsia="Palatino Linotype" w:hAnsi="Palatino Linotype" w:cs="Palatino Linotype"/>
          <w:sz w:val="22"/>
          <w:szCs w:val="22"/>
        </w:rPr>
        <w:t xml:space="preserve"> </w:t>
      </w:r>
      <w:r w:rsidRPr="0083694D">
        <w:rPr>
          <w:rFonts w:ascii="Palatino Linotype" w:eastAsia="Palatino Linotype" w:hAnsi="Palatino Linotype" w:cs="Palatino Linotype"/>
          <w:b/>
          <w:sz w:val="22"/>
          <w:szCs w:val="22"/>
        </w:rPr>
        <w:t>Recurrente</w:t>
      </w:r>
      <w:r w:rsidRPr="0083694D">
        <w:rPr>
          <w:rFonts w:ascii="Palatino Linotype" w:eastAsia="Palatino Linotype" w:hAnsi="Palatino Linotype" w:cs="Palatino Linotype"/>
          <w:sz w:val="22"/>
          <w:szCs w:val="22"/>
        </w:rPr>
        <w:t xml:space="preserve"> en sus motivos de inconformidad, de acuerdo al artículo 179, fracciones V y IX del ordenamiento legal citado, que a la letra dice: </w:t>
      </w:r>
    </w:p>
    <w:p w14:paraId="505FCA8B" w14:textId="77777777" w:rsidR="00021793" w:rsidRPr="0083694D" w:rsidRDefault="00122CAC">
      <w:pPr>
        <w:spacing w:before="120" w:after="120"/>
        <w:ind w:left="567" w:right="902"/>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w:t>
      </w:r>
      <w:r w:rsidRPr="0083694D">
        <w:rPr>
          <w:rFonts w:ascii="Palatino Linotype" w:eastAsia="Palatino Linotype" w:hAnsi="Palatino Linotype" w:cs="Palatino Linotype"/>
          <w:b/>
          <w:i/>
          <w:sz w:val="22"/>
          <w:szCs w:val="22"/>
        </w:rPr>
        <w:t>Artículo 179.</w:t>
      </w:r>
      <w:r w:rsidRPr="0083694D">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5EA03D3" w14:textId="77777777" w:rsidR="00021793" w:rsidRPr="0083694D" w:rsidRDefault="00122CAC">
      <w:pPr>
        <w:spacing w:before="120" w:after="120"/>
        <w:ind w:left="567" w:right="902"/>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w:t>
      </w:r>
    </w:p>
    <w:p w14:paraId="7DA17A82" w14:textId="77777777" w:rsidR="00021793" w:rsidRPr="0083694D" w:rsidRDefault="00122CAC">
      <w:pPr>
        <w:spacing w:before="120" w:after="120"/>
        <w:ind w:left="567" w:right="902"/>
        <w:jc w:val="both"/>
        <w:rPr>
          <w:rFonts w:ascii="Palatino Linotype" w:eastAsia="Palatino Linotype" w:hAnsi="Palatino Linotype" w:cs="Palatino Linotype"/>
          <w:b/>
          <w:i/>
          <w:sz w:val="22"/>
          <w:szCs w:val="22"/>
          <w:u w:val="single"/>
        </w:rPr>
      </w:pPr>
      <w:r w:rsidRPr="0083694D">
        <w:rPr>
          <w:rFonts w:ascii="Palatino Linotype" w:eastAsia="Palatino Linotype" w:hAnsi="Palatino Linotype" w:cs="Palatino Linotype"/>
          <w:b/>
          <w:i/>
          <w:sz w:val="22"/>
          <w:szCs w:val="22"/>
          <w:u w:val="single"/>
        </w:rPr>
        <w:t>V. La entrega de información incompleta;</w:t>
      </w:r>
    </w:p>
    <w:p w14:paraId="36E5CAA8" w14:textId="77777777" w:rsidR="00021793" w:rsidRPr="0083694D" w:rsidRDefault="00122CAC">
      <w:pPr>
        <w:spacing w:before="120" w:after="120"/>
        <w:ind w:left="567" w:right="902"/>
        <w:jc w:val="both"/>
        <w:rPr>
          <w:rFonts w:ascii="Palatino Linotype" w:eastAsia="Palatino Linotype" w:hAnsi="Palatino Linotype" w:cs="Palatino Linotype"/>
          <w:b/>
          <w:i/>
          <w:sz w:val="22"/>
          <w:szCs w:val="22"/>
        </w:rPr>
      </w:pPr>
      <w:r w:rsidRPr="0083694D">
        <w:rPr>
          <w:rFonts w:ascii="Palatino Linotype" w:eastAsia="Palatino Linotype" w:hAnsi="Palatino Linotype" w:cs="Palatino Linotype"/>
          <w:b/>
          <w:i/>
          <w:sz w:val="22"/>
          <w:szCs w:val="22"/>
        </w:rPr>
        <w:t>…</w:t>
      </w:r>
    </w:p>
    <w:p w14:paraId="289C6B92" w14:textId="77777777" w:rsidR="00021793" w:rsidRPr="0083694D" w:rsidRDefault="00122CAC">
      <w:pPr>
        <w:spacing w:before="120" w:after="120"/>
        <w:ind w:left="567" w:right="902"/>
        <w:jc w:val="both"/>
        <w:rPr>
          <w:rFonts w:ascii="Palatino Linotype" w:eastAsia="Palatino Linotype" w:hAnsi="Palatino Linotype" w:cs="Palatino Linotype"/>
          <w:b/>
          <w:i/>
          <w:sz w:val="22"/>
          <w:szCs w:val="22"/>
        </w:rPr>
      </w:pPr>
      <w:r w:rsidRPr="0083694D">
        <w:rPr>
          <w:rFonts w:ascii="Palatino Linotype" w:eastAsia="Palatino Linotype" w:hAnsi="Palatino Linotype" w:cs="Palatino Linotype"/>
          <w:b/>
          <w:i/>
          <w:sz w:val="22"/>
          <w:szCs w:val="22"/>
          <w:u w:val="single"/>
        </w:rPr>
        <w:t>IX. La entrega o puesta a disposición de información en un formato incomprensible y/o no accesible para el solicitante</w:t>
      </w:r>
      <w:r w:rsidRPr="0083694D">
        <w:rPr>
          <w:rFonts w:ascii="Palatino Linotype" w:eastAsia="Palatino Linotype" w:hAnsi="Palatino Linotype" w:cs="Palatino Linotype"/>
          <w:b/>
          <w:i/>
          <w:sz w:val="22"/>
          <w:szCs w:val="22"/>
        </w:rPr>
        <w:t xml:space="preserve">;” </w:t>
      </w:r>
      <w:r w:rsidRPr="0083694D">
        <w:rPr>
          <w:rFonts w:ascii="Palatino Linotype" w:eastAsia="Palatino Linotype" w:hAnsi="Palatino Linotype" w:cs="Palatino Linotype"/>
          <w:i/>
          <w:sz w:val="22"/>
          <w:szCs w:val="22"/>
        </w:rPr>
        <w:t>(Énfasis añadido)</w:t>
      </w:r>
    </w:p>
    <w:p w14:paraId="13D78008" w14:textId="77777777" w:rsidR="00021793" w:rsidRPr="0083694D" w:rsidRDefault="00122CAC">
      <w:pPr>
        <w:spacing w:before="240" w:after="240" w:line="360" w:lineRule="auto"/>
        <w:jc w:val="both"/>
        <w:rPr>
          <w:rFonts w:ascii="Palatino Linotype" w:eastAsia="Palatino Linotype" w:hAnsi="Palatino Linotype" w:cs="Palatino Linotype"/>
          <w:b/>
          <w:sz w:val="22"/>
          <w:szCs w:val="22"/>
        </w:rPr>
      </w:pPr>
      <w:r w:rsidRPr="0083694D">
        <w:rPr>
          <w:rFonts w:ascii="Palatino Linotype" w:eastAsia="Palatino Linotype" w:hAnsi="Palatino Linotype" w:cs="Palatino Linotype"/>
          <w:b/>
          <w:sz w:val="22"/>
          <w:szCs w:val="22"/>
        </w:rPr>
        <w:t xml:space="preserve">Tercero. Materia de la revisión. </w:t>
      </w:r>
      <w:r w:rsidRPr="0083694D">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83694D">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83694D">
        <w:rPr>
          <w:rFonts w:ascii="Palatino Linotype" w:eastAsia="Palatino Linotype" w:hAnsi="Palatino Linotype" w:cs="Palatino Linotype"/>
          <w:sz w:val="22"/>
          <w:szCs w:val="22"/>
        </w:rPr>
        <w:t xml:space="preserve">de </w:t>
      </w:r>
      <w:r w:rsidRPr="0083694D">
        <w:rPr>
          <w:rFonts w:ascii="Palatino Linotype" w:eastAsia="Palatino Linotype" w:hAnsi="Palatino Linotype" w:cs="Palatino Linotype"/>
          <w:b/>
          <w:sz w:val="22"/>
          <w:szCs w:val="22"/>
        </w:rPr>
        <w:t>la parte</w:t>
      </w:r>
      <w:r w:rsidRPr="0083694D">
        <w:rPr>
          <w:rFonts w:ascii="Palatino Linotype" w:eastAsia="Palatino Linotype" w:hAnsi="Palatino Linotype" w:cs="Palatino Linotype"/>
          <w:sz w:val="22"/>
          <w:szCs w:val="22"/>
        </w:rPr>
        <w:t xml:space="preserve"> </w:t>
      </w:r>
      <w:r w:rsidRPr="0083694D">
        <w:rPr>
          <w:rFonts w:ascii="Palatino Linotype" w:eastAsia="Palatino Linotype" w:hAnsi="Palatino Linotype" w:cs="Palatino Linotype"/>
          <w:b/>
          <w:sz w:val="22"/>
          <w:szCs w:val="22"/>
        </w:rPr>
        <w:t>Recurrente</w:t>
      </w:r>
      <w:r w:rsidRPr="0083694D">
        <w:rPr>
          <w:rFonts w:ascii="Palatino Linotype" w:eastAsia="Palatino Linotype" w:hAnsi="Palatino Linotype" w:cs="Palatino Linotype"/>
          <w:sz w:val="22"/>
          <w:szCs w:val="22"/>
        </w:rPr>
        <w:t>, o en su defecto, en caso de ser procedente, ordenar la entrega de información.</w:t>
      </w:r>
    </w:p>
    <w:p w14:paraId="4D576B07" w14:textId="77777777" w:rsidR="00021793" w:rsidRPr="0083694D" w:rsidRDefault="00122CAC">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83694D">
        <w:rPr>
          <w:rFonts w:ascii="Palatino Linotype" w:eastAsia="Palatino Linotype" w:hAnsi="Palatino Linotype" w:cs="Palatino Linotype"/>
          <w:b/>
          <w:sz w:val="22"/>
          <w:szCs w:val="22"/>
        </w:rPr>
        <w:t xml:space="preserve">Cuarto. Estudio del asunto </w:t>
      </w:r>
      <w:r w:rsidRPr="0083694D">
        <w:rPr>
          <w:rFonts w:ascii="Palatino Linotype" w:eastAsia="Palatino Linotype" w:hAnsi="Palatino Linotype" w:cs="Palatino Linotype"/>
          <w:sz w:val="22"/>
          <w:szCs w:val="22"/>
        </w:rPr>
        <w:t xml:space="preserve">Antes de entrar al análisis de los pronunciamientos del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DB1C742" w14:textId="77777777" w:rsidR="00021793" w:rsidRPr="0083694D" w:rsidRDefault="00122CAC">
      <w:pPr>
        <w:pBdr>
          <w:top w:val="nil"/>
          <w:left w:val="nil"/>
          <w:bottom w:val="nil"/>
          <w:right w:val="nil"/>
          <w:between w:val="nil"/>
        </w:pBdr>
        <w:spacing w:before="240" w:after="240"/>
        <w:ind w:left="851" w:right="850"/>
        <w:jc w:val="both"/>
      </w:pPr>
      <w:r w:rsidRPr="0083694D">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83694D">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835EF0B" w14:textId="77777777" w:rsidR="00021793" w:rsidRPr="0083694D" w:rsidRDefault="00122CAC">
      <w:pPr>
        <w:pBdr>
          <w:top w:val="nil"/>
          <w:left w:val="nil"/>
          <w:bottom w:val="nil"/>
          <w:right w:val="nil"/>
          <w:between w:val="nil"/>
        </w:pBdr>
        <w:spacing w:before="240" w:after="240"/>
        <w:ind w:left="851" w:right="850"/>
        <w:jc w:val="both"/>
      </w:pPr>
      <w:r w:rsidRPr="0083694D">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68203815" w14:textId="77777777" w:rsidR="00021793" w:rsidRPr="0083694D" w:rsidRDefault="00122CAC">
      <w:pPr>
        <w:pBdr>
          <w:top w:val="nil"/>
          <w:left w:val="nil"/>
          <w:bottom w:val="nil"/>
          <w:right w:val="nil"/>
          <w:between w:val="nil"/>
        </w:pBdr>
        <w:spacing w:before="240" w:after="240"/>
        <w:ind w:left="851" w:right="850"/>
        <w:jc w:val="both"/>
      </w:pPr>
      <w:r w:rsidRPr="0083694D">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3694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7147B96" w14:textId="77777777" w:rsidR="00021793" w:rsidRPr="0083694D" w:rsidRDefault="00122CAC">
      <w:pPr>
        <w:pBdr>
          <w:top w:val="nil"/>
          <w:left w:val="nil"/>
          <w:bottom w:val="nil"/>
          <w:right w:val="nil"/>
          <w:between w:val="nil"/>
        </w:pBdr>
        <w:spacing w:before="240" w:after="240"/>
        <w:ind w:left="851" w:right="850"/>
        <w:jc w:val="both"/>
      </w:pPr>
      <w:r w:rsidRPr="0083694D">
        <w:rPr>
          <w:rFonts w:ascii="Palatino Linotype" w:eastAsia="Palatino Linotype" w:hAnsi="Palatino Linotype" w:cs="Palatino Linotype"/>
          <w:i/>
          <w:sz w:val="22"/>
          <w:szCs w:val="22"/>
        </w:rPr>
        <w:t>[…]</w:t>
      </w:r>
    </w:p>
    <w:p w14:paraId="27D5E9EF" w14:textId="77777777" w:rsidR="00021793" w:rsidRPr="0083694D" w:rsidRDefault="00122CAC">
      <w:pPr>
        <w:pBdr>
          <w:top w:val="nil"/>
          <w:left w:val="nil"/>
          <w:bottom w:val="nil"/>
          <w:right w:val="nil"/>
          <w:between w:val="nil"/>
        </w:pBdr>
        <w:spacing w:before="240" w:after="240"/>
        <w:ind w:left="851" w:right="901"/>
        <w:jc w:val="both"/>
      </w:pPr>
      <w:r w:rsidRPr="0083694D">
        <w:rPr>
          <w:rFonts w:ascii="Palatino Linotype" w:eastAsia="Palatino Linotype" w:hAnsi="Palatino Linotype" w:cs="Palatino Linotype"/>
          <w:b/>
          <w:i/>
          <w:sz w:val="22"/>
          <w:szCs w:val="22"/>
        </w:rPr>
        <w:t>“Artículo 6o.</w:t>
      </w:r>
    </w:p>
    <w:p w14:paraId="547C3164" w14:textId="77777777" w:rsidR="00021793" w:rsidRPr="0083694D" w:rsidRDefault="00122CAC">
      <w:pPr>
        <w:pBdr>
          <w:top w:val="nil"/>
          <w:left w:val="nil"/>
          <w:bottom w:val="nil"/>
          <w:right w:val="nil"/>
          <w:between w:val="nil"/>
        </w:pBdr>
        <w:spacing w:before="240" w:after="240"/>
        <w:ind w:left="851" w:right="901"/>
        <w:jc w:val="both"/>
      </w:pPr>
      <w:r w:rsidRPr="0083694D">
        <w:rPr>
          <w:rFonts w:ascii="Palatino Linotype" w:eastAsia="Palatino Linotype" w:hAnsi="Palatino Linotype" w:cs="Palatino Linotype"/>
          <w:i/>
          <w:sz w:val="22"/>
          <w:szCs w:val="22"/>
        </w:rPr>
        <w:t>[...]</w:t>
      </w:r>
    </w:p>
    <w:p w14:paraId="3B7FB2AE" w14:textId="77777777" w:rsidR="00021793" w:rsidRPr="0083694D"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 xml:space="preserve">A. Para el ejercicio del derecho de acceso a la información, la Federación y </w:t>
      </w:r>
      <w:r w:rsidRPr="0083694D">
        <w:rPr>
          <w:rFonts w:ascii="Palatino Linotype" w:eastAsia="Palatino Linotype" w:hAnsi="Palatino Linotype" w:cs="Palatino Linotype"/>
          <w:b/>
          <w:i/>
          <w:sz w:val="22"/>
          <w:szCs w:val="22"/>
          <w:u w:val="single"/>
        </w:rPr>
        <w:t>las entidades federativas</w:t>
      </w:r>
      <w:r w:rsidRPr="0083694D">
        <w:rPr>
          <w:rFonts w:ascii="Palatino Linotype" w:eastAsia="Palatino Linotype" w:hAnsi="Palatino Linotype" w:cs="Palatino Linotype"/>
          <w:b/>
          <w:i/>
          <w:sz w:val="22"/>
          <w:szCs w:val="22"/>
        </w:rPr>
        <w:t>,</w:t>
      </w:r>
      <w:r w:rsidRPr="0083694D">
        <w:rPr>
          <w:rFonts w:ascii="Palatino Linotype" w:eastAsia="Palatino Linotype" w:hAnsi="Palatino Linotype" w:cs="Palatino Linotype"/>
          <w:i/>
          <w:sz w:val="22"/>
          <w:szCs w:val="22"/>
        </w:rPr>
        <w:t xml:space="preserve"> en el ámbito de sus respectivas competencias, se regirán por los siguientes principios y bases:</w:t>
      </w:r>
    </w:p>
    <w:p w14:paraId="2CF67F86" w14:textId="77777777" w:rsidR="00021793" w:rsidRPr="0083694D"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 </w:t>
      </w:r>
      <w:r w:rsidRPr="0083694D">
        <w:rPr>
          <w:rFonts w:ascii="Palatino Linotype" w:eastAsia="Palatino Linotype" w:hAnsi="Palatino Linotype" w:cs="Palatino Linotype"/>
          <w:b/>
          <w:i/>
          <w:sz w:val="22"/>
          <w:szCs w:val="22"/>
        </w:rPr>
        <w:t xml:space="preserve">I. </w:t>
      </w:r>
      <w:r w:rsidRPr="0083694D">
        <w:rPr>
          <w:rFonts w:ascii="Palatino Linotype" w:eastAsia="Palatino Linotype" w:hAnsi="Palatino Linotype" w:cs="Palatino Linotype"/>
          <w:b/>
          <w:i/>
          <w:sz w:val="22"/>
          <w:szCs w:val="22"/>
          <w:u w:val="single"/>
        </w:rPr>
        <w:t>Toda la información en posesión de cualquier autoridad, entidad, órgano y organismo de los Poderes</w:t>
      </w:r>
      <w:r w:rsidRPr="0083694D">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83694D">
        <w:rPr>
          <w:rFonts w:ascii="Palatino Linotype" w:eastAsia="Palatino Linotype" w:hAnsi="Palatino Linotype" w:cs="Palatino Linotype"/>
          <w:b/>
          <w:i/>
          <w:sz w:val="22"/>
          <w:szCs w:val="22"/>
        </w:rPr>
        <w:t>es pública y sólo podrá ser reservada temporalmente por razones de interés público y seguridad nacional,</w:t>
      </w:r>
      <w:r w:rsidRPr="0083694D">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w:t>
      </w:r>
      <w:r w:rsidRPr="0083694D">
        <w:rPr>
          <w:rFonts w:ascii="Palatino Linotype" w:eastAsia="Palatino Linotype" w:hAnsi="Palatino Linotype" w:cs="Palatino Linotype"/>
          <w:i/>
          <w:sz w:val="22"/>
          <w:szCs w:val="22"/>
        </w:rPr>
        <w:lastRenderedPageBreak/>
        <w:t>competencias o funciones, la ley determinará los supuestos específicos bajo los cuales procederá la declaración de inexistencia de la información.</w:t>
      </w:r>
    </w:p>
    <w:p w14:paraId="07870802" w14:textId="77777777" w:rsidR="00021793" w:rsidRPr="0083694D"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83694D">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624ADD69" w14:textId="77777777" w:rsidR="00021793" w:rsidRPr="0083694D"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 </w:t>
      </w:r>
      <w:r w:rsidRPr="0083694D">
        <w:rPr>
          <w:rFonts w:ascii="Palatino Linotype" w:eastAsia="Palatino Linotype" w:hAnsi="Palatino Linotype" w:cs="Palatino Linotype"/>
          <w:b/>
          <w:i/>
          <w:sz w:val="22"/>
          <w:szCs w:val="22"/>
        </w:rPr>
        <w:t xml:space="preserve">III. </w:t>
      </w:r>
      <w:r w:rsidRPr="0083694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83694D">
        <w:rPr>
          <w:rFonts w:ascii="Palatino Linotype" w:eastAsia="Palatino Linotype" w:hAnsi="Palatino Linotype" w:cs="Palatino Linotype"/>
          <w:i/>
          <w:sz w:val="22"/>
          <w:szCs w:val="22"/>
        </w:rPr>
        <w:t xml:space="preserve"> a sus datos personales o a la rectificación de éstos.</w:t>
      </w:r>
    </w:p>
    <w:p w14:paraId="6D1CF72F" w14:textId="77777777" w:rsidR="00021793" w:rsidRPr="0083694D" w:rsidRDefault="00122CAC">
      <w:pPr>
        <w:pBdr>
          <w:top w:val="nil"/>
          <w:left w:val="nil"/>
          <w:bottom w:val="nil"/>
          <w:right w:val="nil"/>
          <w:between w:val="nil"/>
        </w:pBdr>
        <w:spacing w:before="240" w:after="240"/>
        <w:ind w:left="851" w:right="851"/>
        <w:jc w:val="both"/>
      </w:pPr>
      <w:r w:rsidRPr="0083694D">
        <w:rPr>
          <w:rFonts w:ascii="Palatino Linotype" w:eastAsia="Palatino Linotype" w:hAnsi="Palatino Linotype" w:cs="Palatino Linotype"/>
          <w:b/>
          <w:i/>
          <w:sz w:val="22"/>
          <w:szCs w:val="22"/>
        </w:rPr>
        <w:t>…</w:t>
      </w:r>
    </w:p>
    <w:p w14:paraId="0B43B173" w14:textId="77777777" w:rsidR="00021793" w:rsidRPr="0083694D"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IV.</w:t>
      </w:r>
      <w:r w:rsidRPr="0083694D">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3EFB477E" w14:textId="77777777" w:rsidR="00021793" w:rsidRPr="0083694D" w:rsidRDefault="00122CAC">
      <w:pPr>
        <w:pBdr>
          <w:top w:val="nil"/>
          <w:left w:val="nil"/>
          <w:bottom w:val="nil"/>
          <w:right w:val="nil"/>
          <w:between w:val="nil"/>
        </w:pBdr>
        <w:spacing w:before="240" w:after="240"/>
        <w:ind w:left="851" w:right="851"/>
        <w:jc w:val="both"/>
      </w:pPr>
      <w:r w:rsidRPr="0083694D">
        <w:rPr>
          <w:rFonts w:ascii="Palatino Linotype" w:eastAsia="Palatino Linotype" w:hAnsi="Palatino Linotype" w:cs="Palatino Linotype"/>
          <w:b/>
          <w:i/>
          <w:sz w:val="22"/>
          <w:szCs w:val="22"/>
        </w:rPr>
        <w:t xml:space="preserve">V. </w:t>
      </w:r>
      <w:r w:rsidRPr="0083694D">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8F287E3" w14:textId="77777777" w:rsidR="00021793" w:rsidRPr="0083694D" w:rsidRDefault="00122CAC">
      <w:pPr>
        <w:pBdr>
          <w:top w:val="nil"/>
          <w:left w:val="nil"/>
          <w:bottom w:val="nil"/>
          <w:right w:val="nil"/>
          <w:between w:val="nil"/>
        </w:pBdr>
        <w:spacing w:before="240" w:after="240"/>
        <w:ind w:left="851" w:right="851"/>
        <w:jc w:val="both"/>
      </w:pPr>
      <w:r w:rsidRPr="0083694D">
        <w:rPr>
          <w:rFonts w:ascii="Palatino Linotype" w:eastAsia="Palatino Linotype" w:hAnsi="Palatino Linotype" w:cs="Palatino Linotype"/>
          <w:i/>
          <w:sz w:val="22"/>
          <w:szCs w:val="22"/>
        </w:rPr>
        <w:t> </w:t>
      </w:r>
      <w:r w:rsidRPr="0083694D">
        <w:rPr>
          <w:rFonts w:ascii="Palatino Linotype" w:eastAsia="Palatino Linotype" w:hAnsi="Palatino Linotype" w:cs="Palatino Linotype"/>
          <w:b/>
          <w:i/>
          <w:sz w:val="22"/>
          <w:szCs w:val="22"/>
        </w:rPr>
        <w:t xml:space="preserve">VI. </w:t>
      </w:r>
      <w:r w:rsidRPr="0083694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B53E483" w14:textId="77777777" w:rsidR="00021793" w:rsidRPr="0083694D" w:rsidRDefault="00122CAC">
      <w:pPr>
        <w:pBdr>
          <w:top w:val="nil"/>
          <w:left w:val="nil"/>
          <w:bottom w:val="nil"/>
          <w:right w:val="nil"/>
          <w:between w:val="nil"/>
        </w:pBdr>
        <w:spacing w:before="240" w:after="240"/>
        <w:ind w:left="851" w:right="851"/>
        <w:jc w:val="both"/>
      </w:pPr>
      <w:r w:rsidRPr="0083694D">
        <w:rPr>
          <w:rFonts w:ascii="Palatino Linotype" w:eastAsia="Palatino Linotype" w:hAnsi="Palatino Linotype" w:cs="Palatino Linotype"/>
          <w:i/>
          <w:sz w:val="22"/>
          <w:szCs w:val="22"/>
        </w:rPr>
        <w:t> </w:t>
      </w:r>
      <w:r w:rsidRPr="0083694D">
        <w:rPr>
          <w:rFonts w:ascii="Palatino Linotype" w:eastAsia="Palatino Linotype" w:hAnsi="Palatino Linotype" w:cs="Palatino Linotype"/>
          <w:b/>
          <w:i/>
          <w:sz w:val="22"/>
          <w:szCs w:val="22"/>
        </w:rPr>
        <w:t xml:space="preserve">VII. </w:t>
      </w:r>
      <w:r w:rsidRPr="0083694D">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7C722F48" w14:textId="77777777" w:rsidR="00021793" w:rsidRPr="0083694D" w:rsidRDefault="00122CAC">
      <w:pPr>
        <w:pBdr>
          <w:top w:val="nil"/>
          <w:left w:val="nil"/>
          <w:bottom w:val="nil"/>
          <w:right w:val="nil"/>
          <w:between w:val="nil"/>
        </w:pBdr>
        <w:spacing w:before="240" w:after="240" w:line="360" w:lineRule="auto"/>
        <w:jc w:val="both"/>
        <w:rPr>
          <w:sz w:val="22"/>
          <w:szCs w:val="22"/>
        </w:rPr>
      </w:pPr>
      <w:r w:rsidRPr="0083694D">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w:t>
      </w:r>
      <w:r w:rsidRPr="0083694D">
        <w:rPr>
          <w:rFonts w:ascii="Palatino Linotype" w:eastAsia="Palatino Linotype" w:hAnsi="Palatino Linotype" w:cs="Palatino Linotype"/>
          <w:sz w:val="22"/>
          <w:szCs w:val="22"/>
        </w:rPr>
        <w:lastRenderedPageBreak/>
        <w:t>permanente a cualquier persona, privilegiando el principio de máxima publicidad, como así lo establece dicha determinación, que a continuación se transcribe para un mejor entendimiento:</w:t>
      </w:r>
    </w:p>
    <w:p w14:paraId="438CD81D" w14:textId="77777777" w:rsidR="00021793" w:rsidRPr="0083694D" w:rsidRDefault="00122CAC">
      <w:pPr>
        <w:pBdr>
          <w:top w:val="nil"/>
          <w:left w:val="nil"/>
          <w:bottom w:val="nil"/>
          <w:right w:val="nil"/>
          <w:between w:val="nil"/>
        </w:pBdr>
        <w:spacing w:before="240" w:after="240"/>
        <w:ind w:left="709" w:right="760"/>
        <w:jc w:val="both"/>
      </w:pPr>
      <w:r w:rsidRPr="0083694D">
        <w:rPr>
          <w:rFonts w:ascii="Palatino Linotype" w:eastAsia="Palatino Linotype" w:hAnsi="Palatino Linotype" w:cs="Palatino Linotype"/>
          <w:i/>
          <w:sz w:val="22"/>
          <w:szCs w:val="22"/>
        </w:rPr>
        <w:t>“</w:t>
      </w:r>
      <w:r w:rsidRPr="0083694D">
        <w:rPr>
          <w:rFonts w:ascii="Palatino Linotype" w:eastAsia="Palatino Linotype" w:hAnsi="Palatino Linotype" w:cs="Palatino Linotype"/>
          <w:b/>
          <w:i/>
          <w:sz w:val="22"/>
          <w:szCs w:val="22"/>
        </w:rPr>
        <w:t>Artículo 4</w:t>
      </w:r>
      <w:r w:rsidRPr="0083694D">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0D4BAD3A" w14:textId="77777777" w:rsidR="00021793" w:rsidRPr="0083694D" w:rsidRDefault="00122CAC">
      <w:pPr>
        <w:pBdr>
          <w:top w:val="nil"/>
          <w:left w:val="nil"/>
          <w:bottom w:val="nil"/>
          <w:right w:val="nil"/>
          <w:between w:val="nil"/>
        </w:pBdr>
        <w:spacing w:before="240" w:after="240"/>
        <w:ind w:left="709" w:right="760"/>
        <w:jc w:val="both"/>
      </w:pPr>
      <w:r w:rsidRPr="0083694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B4131A2" w14:textId="77777777" w:rsidR="00021793" w:rsidRPr="0083694D" w:rsidRDefault="00122CAC">
      <w:pPr>
        <w:pBdr>
          <w:top w:val="nil"/>
          <w:left w:val="nil"/>
          <w:bottom w:val="nil"/>
          <w:right w:val="nil"/>
          <w:between w:val="nil"/>
        </w:pBdr>
        <w:spacing w:before="240" w:after="240"/>
        <w:ind w:left="709" w:right="760"/>
        <w:jc w:val="both"/>
      </w:pPr>
      <w:r w:rsidRPr="0083694D">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7F19EA17" w14:textId="77777777" w:rsidR="00021793" w:rsidRPr="0083694D" w:rsidRDefault="00122CAC">
      <w:pPr>
        <w:pBdr>
          <w:top w:val="nil"/>
          <w:left w:val="nil"/>
          <w:bottom w:val="nil"/>
          <w:right w:val="nil"/>
          <w:between w:val="nil"/>
        </w:pBdr>
        <w:spacing w:before="240" w:after="240" w:line="360" w:lineRule="auto"/>
        <w:jc w:val="both"/>
        <w:rPr>
          <w:sz w:val="22"/>
          <w:szCs w:val="22"/>
        </w:rPr>
      </w:pPr>
      <w:r w:rsidRPr="0083694D">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2036772F" w14:textId="77777777" w:rsidR="00021793" w:rsidRPr="0083694D" w:rsidRDefault="00122CAC">
      <w:pPr>
        <w:pBdr>
          <w:top w:val="nil"/>
          <w:left w:val="nil"/>
          <w:bottom w:val="nil"/>
          <w:right w:val="nil"/>
          <w:between w:val="nil"/>
        </w:pBdr>
        <w:spacing w:before="240" w:after="240"/>
        <w:ind w:left="567" w:right="758"/>
        <w:jc w:val="both"/>
        <w:rPr>
          <w:sz w:val="22"/>
          <w:szCs w:val="22"/>
        </w:rPr>
      </w:pPr>
      <w:r w:rsidRPr="0083694D">
        <w:rPr>
          <w:rFonts w:ascii="Palatino Linotype" w:eastAsia="Palatino Linotype" w:hAnsi="Palatino Linotype" w:cs="Palatino Linotype"/>
          <w:i/>
          <w:sz w:val="22"/>
          <w:szCs w:val="22"/>
        </w:rPr>
        <w:t>“</w:t>
      </w:r>
      <w:r w:rsidRPr="0083694D">
        <w:rPr>
          <w:rFonts w:ascii="Palatino Linotype" w:eastAsia="Palatino Linotype" w:hAnsi="Palatino Linotype" w:cs="Palatino Linotype"/>
          <w:b/>
          <w:i/>
          <w:sz w:val="22"/>
          <w:szCs w:val="22"/>
        </w:rPr>
        <w:t>Artículo 12</w:t>
      </w:r>
      <w:r w:rsidRPr="0083694D">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6486FF3E" w14:textId="77777777" w:rsidR="00021793" w:rsidRPr="0083694D" w:rsidRDefault="00122CAC">
      <w:pPr>
        <w:pBdr>
          <w:top w:val="nil"/>
          <w:left w:val="nil"/>
          <w:bottom w:val="nil"/>
          <w:right w:val="nil"/>
          <w:between w:val="nil"/>
        </w:pBdr>
        <w:spacing w:before="240" w:after="240"/>
        <w:ind w:left="567" w:right="758"/>
        <w:jc w:val="both"/>
        <w:rPr>
          <w:sz w:val="22"/>
          <w:szCs w:val="22"/>
        </w:rPr>
      </w:pPr>
      <w:r w:rsidRPr="0083694D">
        <w:rPr>
          <w:rFonts w:ascii="Palatino Linotype" w:eastAsia="Palatino Linotype" w:hAnsi="Palatino Linotype" w:cs="Palatino Linotype"/>
          <w:i/>
          <w:sz w:val="22"/>
          <w:szCs w:val="22"/>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9FADE11" w14:textId="77777777" w:rsidR="00021793" w:rsidRPr="0083694D" w:rsidRDefault="00122CAC">
      <w:pPr>
        <w:pBdr>
          <w:top w:val="nil"/>
          <w:left w:val="nil"/>
          <w:bottom w:val="nil"/>
          <w:right w:val="nil"/>
          <w:between w:val="nil"/>
        </w:pBdr>
        <w:spacing w:before="240" w:after="240" w:line="360" w:lineRule="auto"/>
        <w:jc w:val="both"/>
        <w:rPr>
          <w:sz w:val="22"/>
          <w:szCs w:val="22"/>
        </w:rPr>
      </w:pPr>
      <w:r w:rsidRPr="0083694D">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83694D">
        <w:rPr>
          <w:rFonts w:ascii="Palatino Linotype" w:eastAsia="Palatino Linotype" w:hAnsi="Palatino Linotype" w:cs="Palatino Linotype"/>
          <w:b/>
          <w:sz w:val="22"/>
          <w:szCs w:val="22"/>
        </w:rPr>
        <w:t xml:space="preserve"> </w:t>
      </w:r>
      <w:r w:rsidRPr="0083694D">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83694D">
        <w:rPr>
          <w:rFonts w:ascii="Palatino Linotype" w:eastAsia="Palatino Linotype" w:hAnsi="Palatino Linotype" w:cs="Palatino Linotype"/>
          <w:i/>
          <w:sz w:val="22"/>
          <w:szCs w:val="22"/>
        </w:rPr>
        <w:t>ad hoc</w:t>
      </w:r>
      <w:r w:rsidRPr="0083694D">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18260546" w14:textId="77777777" w:rsidR="00021793" w:rsidRPr="0083694D" w:rsidRDefault="00122CAC">
      <w:pPr>
        <w:pBdr>
          <w:top w:val="nil"/>
          <w:left w:val="nil"/>
          <w:bottom w:val="nil"/>
          <w:right w:val="nil"/>
          <w:between w:val="nil"/>
        </w:pBdr>
        <w:spacing w:before="240" w:after="240"/>
        <w:ind w:left="567" w:right="900"/>
        <w:jc w:val="both"/>
        <w:rPr>
          <w:sz w:val="22"/>
          <w:szCs w:val="22"/>
        </w:rPr>
      </w:pPr>
      <w:r w:rsidRPr="0083694D">
        <w:rPr>
          <w:rFonts w:ascii="Palatino Linotype" w:eastAsia="Palatino Linotype" w:hAnsi="Palatino Linotype" w:cs="Palatino Linotype"/>
          <w:b/>
          <w:i/>
          <w:sz w:val="22"/>
          <w:szCs w:val="22"/>
        </w:rPr>
        <w:t>03/17</w:t>
      </w:r>
    </w:p>
    <w:p w14:paraId="05A512C5" w14:textId="77777777" w:rsidR="00021793" w:rsidRPr="0083694D" w:rsidRDefault="00122CAC">
      <w:pPr>
        <w:pBdr>
          <w:top w:val="nil"/>
          <w:left w:val="nil"/>
          <w:bottom w:val="nil"/>
          <w:right w:val="nil"/>
          <w:between w:val="nil"/>
        </w:pBdr>
        <w:spacing w:before="240" w:after="240"/>
        <w:ind w:left="567" w:right="900"/>
        <w:jc w:val="both"/>
        <w:rPr>
          <w:sz w:val="22"/>
          <w:szCs w:val="22"/>
        </w:rPr>
      </w:pPr>
      <w:r w:rsidRPr="0083694D">
        <w:rPr>
          <w:rFonts w:ascii="Palatino Linotype" w:eastAsia="Palatino Linotype" w:hAnsi="Palatino Linotype" w:cs="Palatino Linotype"/>
          <w:b/>
          <w:i/>
          <w:sz w:val="22"/>
          <w:szCs w:val="22"/>
        </w:rPr>
        <w:t>“NO EXISTE OBLIGACIÓN DE ELABORAR DOCUMENTOS AD HOC PARA ATENDER LAS SOLICITUDES DE ACCESO A LA INFORMACIÓN.</w:t>
      </w:r>
    </w:p>
    <w:p w14:paraId="28CDB5DB" w14:textId="77777777" w:rsidR="00021793" w:rsidRPr="0083694D" w:rsidRDefault="00122CAC">
      <w:pPr>
        <w:pBdr>
          <w:top w:val="nil"/>
          <w:left w:val="nil"/>
          <w:bottom w:val="nil"/>
          <w:right w:val="nil"/>
          <w:between w:val="nil"/>
        </w:pBdr>
        <w:spacing w:before="240" w:after="240"/>
        <w:ind w:left="567" w:right="900"/>
        <w:jc w:val="both"/>
        <w:rPr>
          <w:sz w:val="22"/>
          <w:szCs w:val="22"/>
        </w:rPr>
      </w:pPr>
      <w:r w:rsidRPr="0083694D">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6C6656D" w14:textId="77777777" w:rsidR="00021793" w:rsidRPr="0083694D" w:rsidRDefault="00122CAC">
      <w:pPr>
        <w:pBdr>
          <w:top w:val="nil"/>
          <w:left w:val="nil"/>
          <w:bottom w:val="nil"/>
          <w:right w:val="nil"/>
          <w:between w:val="nil"/>
        </w:pBdr>
        <w:spacing w:before="240" w:after="240" w:line="360" w:lineRule="auto"/>
        <w:jc w:val="both"/>
        <w:rPr>
          <w:sz w:val="22"/>
          <w:szCs w:val="22"/>
        </w:rPr>
      </w:pPr>
      <w:r w:rsidRPr="0083694D">
        <w:rPr>
          <w:rFonts w:ascii="Palatino Linotype" w:eastAsia="Palatino Linotype" w:hAnsi="Palatino Linotype" w:cs="Palatino Linotype"/>
          <w:sz w:val="22"/>
          <w:szCs w:val="22"/>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consiguiente, la </w:t>
      </w:r>
      <w:r w:rsidRPr="0083694D">
        <w:rPr>
          <w:rFonts w:ascii="Palatino Linotype" w:eastAsia="Palatino Linotype" w:hAnsi="Palatino Linotype" w:cs="Palatino Linotype"/>
          <w:sz w:val="22"/>
          <w:szCs w:val="22"/>
        </w:rPr>
        <w:lastRenderedPageBreak/>
        <w:t>información pública se encuentra a disposición de cualquier persona, lo que implica que es deber de los Sujetos Obligados, garantizar el Derecho de Acceso a la Información Pública.</w:t>
      </w:r>
    </w:p>
    <w:p w14:paraId="342E02C1" w14:textId="77777777" w:rsidR="00021793" w:rsidRPr="0083694D" w:rsidRDefault="00122CAC">
      <w:pPr>
        <w:pBdr>
          <w:top w:val="nil"/>
          <w:left w:val="nil"/>
          <w:bottom w:val="nil"/>
          <w:right w:val="nil"/>
          <w:between w:val="nil"/>
        </w:pBdr>
        <w:spacing w:before="240" w:after="240" w:line="360" w:lineRule="auto"/>
        <w:ind w:right="49"/>
        <w:jc w:val="both"/>
        <w:rPr>
          <w:sz w:val="22"/>
          <w:szCs w:val="22"/>
        </w:rPr>
      </w:pPr>
      <w:r w:rsidRPr="0083694D">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42C7F33" w14:textId="77777777" w:rsidR="00021793" w:rsidRPr="0083694D" w:rsidRDefault="00122CAC">
      <w:pPr>
        <w:pBdr>
          <w:top w:val="nil"/>
          <w:left w:val="nil"/>
          <w:bottom w:val="nil"/>
          <w:right w:val="nil"/>
          <w:between w:val="nil"/>
        </w:pBdr>
        <w:spacing w:before="240" w:after="240" w:line="360" w:lineRule="auto"/>
        <w:jc w:val="both"/>
        <w:rPr>
          <w:sz w:val="22"/>
          <w:szCs w:val="22"/>
        </w:rPr>
      </w:pPr>
      <w:r w:rsidRPr="0083694D">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A18C69C" w14:textId="77777777" w:rsidR="00021793" w:rsidRPr="0083694D" w:rsidRDefault="00122CAC">
      <w:pPr>
        <w:pBdr>
          <w:top w:val="nil"/>
          <w:left w:val="nil"/>
          <w:bottom w:val="nil"/>
          <w:right w:val="nil"/>
          <w:between w:val="nil"/>
        </w:pBdr>
        <w:spacing w:before="240" w:after="240"/>
        <w:ind w:left="567" w:right="567"/>
        <w:jc w:val="both"/>
        <w:rPr>
          <w:sz w:val="22"/>
          <w:szCs w:val="22"/>
        </w:rPr>
      </w:pPr>
      <w:r w:rsidRPr="0083694D">
        <w:rPr>
          <w:rFonts w:ascii="Palatino Linotype" w:eastAsia="Palatino Linotype" w:hAnsi="Palatino Linotype" w:cs="Palatino Linotype"/>
          <w:i/>
          <w:sz w:val="22"/>
          <w:szCs w:val="22"/>
        </w:rPr>
        <w:t>“</w:t>
      </w:r>
      <w:r w:rsidRPr="0083694D">
        <w:rPr>
          <w:rFonts w:ascii="Palatino Linotype" w:eastAsia="Palatino Linotype" w:hAnsi="Palatino Linotype" w:cs="Palatino Linotype"/>
          <w:b/>
          <w:i/>
          <w:sz w:val="22"/>
          <w:szCs w:val="22"/>
        </w:rPr>
        <w:t xml:space="preserve">Artículo 3. </w:t>
      </w:r>
      <w:r w:rsidRPr="0083694D">
        <w:rPr>
          <w:rFonts w:ascii="Palatino Linotype" w:eastAsia="Palatino Linotype" w:hAnsi="Palatino Linotype" w:cs="Palatino Linotype"/>
          <w:i/>
          <w:sz w:val="22"/>
          <w:szCs w:val="22"/>
        </w:rPr>
        <w:t>Para los efectos de la presente Ley se entenderá por:</w:t>
      </w:r>
    </w:p>
    <w:p w14:paraId="4388048C" w14:textId="77777777" w:rsidR="00021793" w:rsidRPr="0083694D" w:rsidRDefault="00122CAC">
      <w:pPr>
        <w:pBdr>
          <w:top w:val="nil"/>
          <w:left w:val="nil"/>
          <w:bottom w:val="nil"/>
          <w:right w:val="nil"/>
          <w:between w:val="nil"/>
        </w:pBdr>
        <w:spacing w:before="240" w:after="240"/>
        <w:ind w:left="567" w:right="567"/>
        <w:jc w:val="both"/>
        <w:rPr>
          <w:sz w:val="22"/>
          <w:szCs w:val="22"/>
        </w:rPr>
      </w:pPr>
      <w:r w:rsidRPr="0083694D">
        <w:rPr>
          <w:rFonts w:ascii="Palatino Linotype" w:eastAsia="Palatino Linotype" w:hAnsi="Palatino Linotype" w:cs="Palatino Linotype"/>
          <w:i/>
          <w:sz w:val="22"/>
          <w:szCs w:val="22"/>
        </w:rPr>
        <w:t>…</w:t>
      </w:r>
    </w:p>
    <w:p w14:paraId="54233956" w14:textId="77777777" w:rsidR="00021793" w:rsidRPr="0083694D" w:rsidRDefault="00122CAC">
      <w:pPr>
        <w:pBdr>
          <w:top w:val="nil"/>
          <w:left w:val="nil"/>
          <w:bottom w:val="nil"/>
          <w:right w:val="nil"/>
          <w:between w:val="nil"/>
        </w:pBdr>
        <w:spacing w:before="240" w:after="240"/>
        <w:ind w:left="567" w:right="567"/>
        <w:jc w:val="both"/>
        <w:rPr>
          <w:sz w:val="22"/>
          <w:szCs w:val="22"/>
        </w:rPr>
      </w:pPr>
      <w:r w:rsidRPr="0083694D">
        <w:rPr>
          <w:rFonts w:ascii="Palatino Linotype" w:eastAsia="Palatino Linotype" w:hAnsi="Palatino Linotype" w:cs="Palatino Linotype"/>
          <w:b/>
          <w:i/>
          <w:sz w:val="22"/>
          <w:szCs w:val="22"/>
        </w:rPr>
        <w:t>XI. Documento:</w:t>
      </w:r>
      <w:r w:rsidRPr="0083694D">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83694D">
        <w:rPr>
          <w:rFonts w:ascii="Palatino Linotype" w:eastAsia="Palatino Linotype" w:hAnsi="Palatino Linotype" w:cs="Palatino Linotype"/>
          <w:b/>
          <w:i/>
          <w:sz w:val="22"/>
          <w:szCs w:val="22"/>
        </w:rPr>
        <w:t>…</w:t>
      </w:r>
      <w:r w:rsidRPr="0083694D">
        <w:rPr>
          <w:rFonts w:ascii="Palatino Linotype" w:eastAsia="Palatino Linotype" w:hAnsi="Palatino Linotype" w:cs="Palatino Linotype"/>
          <w:i/>
          <w:sz w:val="22"/>
          <w:szCs w:val="22"/>
        </w:rPr>
        <w:t>”</w:t>
      </w:r>
    </w:p>
    <w:p w14:paraId="665B8735" w14:textId="77777777" w:rsidR="00021793" w:rsidRPr="0083694D" w:rsidRDefault="00122CAC">
      <w:pPr>
        <w:pBdr>
          <w:top w:val="nil"/>
          <w:left w:val="nil"/>
          <w:bottom w:val="nil"/>
          <w:right w:val="nil"/>
          <w:between w:val="nil"/>
        </w:pBdr>
        <w:spacing w:before="240" w:after="240" w:line="360" w:lineRule="auto"/>
        <w:jc w:val="both"/>
        <w:rPr>
          <w:sz w:val="22"/>
          <w:szCs w:val="22"/>
        </w:rPr>
      </w:pPr>
      <w:r w:rsidRPr="0083694D">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05EFCD4" w14:textId="77777777" w:rsidR="00021793" w:rsidRPr="0083694D" w:rsidRDefault="00122CAC">
      <w:pPr>
        <w:pBdr>
          <w:top w:val="nil"/>
          <w:left w:val="nil"/>
          <w:bottom w:val="nil"/>
          <w:right w:val="nil"/>
          <w:between w:val="nil"/>
        </w:pBdr>
        <w:spacing w:before="240" w:after="240"/>
        <w:ind w:left="567" w:right="567"/>
        <w:jc w:val="both"/>
        <w:rPr>
          <w:sz w:val="22"/>
          <w:szCs w:val="22"/>
        </w:rPr>
      </w:pPr>
      <w:r w:rsidRPr="0083694D">
        <w:rPr>
          <w:rFonts w:ascii="Palatino Linotype" w:eastAsia="Palatino Linotype" w:hAnsi="Palatino Linotype" w:cs="Palatino Linotype"/>
          <w:b/>
          <w:sz w:val="22"/>
          <w:szCs w:val="22"/>
        </w:rPr>
        <w:t>“</w:t>
      </w:r>
      <w:r w:rsidRPr="0083694D">
        <w:rPr>
          <w:rFonts w:ascii="Palatino Linotype" w:eastAsia="Palatino Linotype" w:hAnsi="Palatino Linotype" w:cs="Palatino Linotype"/>
          <w:b/>
          <w:i/>
          <w:sz w:val="22"/>
          <w:szCs w:val="22"/>
        </w:rPr>
        <w:t>CRITERIO 0002-11</w:t>
      </w:r>
    </w:p>
    <w:p w14:paraId="37164588" w14:textId="77777777" w:rsidR="00021793" w:rsidRPr="0083694D" w:rsidRDefault="00122CAC">
      <w:pPr>
        <w:pBdr>
          <w:top w:val="nil"/>
          <w:left w:val="nil"/>
          <w:bottom w:val="nil"/>
          <w:right w:val="nil"/>
          <w:between w:val="nil"/>
        </w:pBdr>
        <w:spacing w:before="240" w:after="240"/>
        <w:ind w:left="567" w:right="567"/>
        <w:jc w:val="both"/>
        <w:rPr>
          <w:sz w:val="22"/>
          <w:szCs w:val="22"/>
        </w:rPr>
      </w:pPr>
      <w:r w:rsidRPr="0083694D">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3694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C763730" w14:textId="77777777" w:rsidR="00021793" w:rsidRPr="0083694D" w:rsidRDefault="00122CAC">
      <w:pPr>
        <w:pBdr>
          <w:top w:val="nil"/>
          <w:left w:val="nil"/>
          <w:bottom w:val="nil"/>
          <w:right w:val="nil"/>
          <w:between w:val="nil"/>
        </w:pBdr>
        <w:spacing w:before="240" w:after="240"/>
        <w:ind w:left="567" w:right="567"/>
        <w:jc w:val="both"/>
        <w:rPr>
          <w:sz w:val="22"/>
          <w:szCs w:val="22"/>
        </w:rPr>
      </w:pPr>
      <w:r w:rsidRPr="0083694D">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E3022E7" w14:textId="77777777" w:rsidR="00021793" w:rsidRPr="0083694D" w:rsidRDefault="00122CAC">
      <w:pPr>
        <w:numPr>
          <w:ilvl w:val="0"/>
          <w:numId w:val="6"/>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67B7B223" w14:textId="77777777" w:rsidR="00021793" w:rsidRPr="0083694D" w:rsidRDefault="00122CAC">
      <w:pPr>
        <w:numPr>
          <w:ilvl w:val="0"/>
          <w:numId w:val="6"/>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0D39C7BA" w14:textId="77777777" w:rsidR="00021793" w:rsidRPr="0083694D" w:rsidRDefault="00122CAC">
      <w:pPr>
        <w:pBdr>
          <w:top w:val="nil"/>
          <w:left w:val="nil"/>
          <w:bottom w:val="nil"/>
          <w:right w:val="nil"/>
          <w:between w:val="nil"/>
        </w:pBdr>
        <w:spacing w:before="240" w:after="240"/>
        <w:ind w:left="567" w:right="567" w:hanging="284"/>
        <w:jc w:val="both"/>
        <w:rPr>
          <w:sz w:val="22"/>
          <w:szCs w:val="22"/>
        </w:rPr>
      </w:pPr>
      <w:r w:rsidRPr="0083694D">
        <w:rPr>
          <w:rFonts w:ascii="Palatino Linotype" w:eastAsia="Palatino Linotype" w:hAnsi="Palatino Linotype" w:cs="Palatino Linotype"/>
          <w:i/>
          <w:sz w:val="22"/>
          <w:szCs w:val="22"/>
        </w:rPr>
        <w:t xml:space="preserve">3. </w:t>
      </w:r>
      <w:r w:rsidRPr="0083694D">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83694D">
        <w:rPr>
          <w:rFonts w:ascii="Palatino Linotype" w:eastAsia="Palatino Linotype" w:hAnsi="Palatino Linotype" w:cs="Palatino Linotype"/>
          <w:i/>
          <w:sz w:val="22"/>
          <w:szCs w:val="22"/>
        </w:rPr>
        <w:t>(Énfasis añadido)</w:t>
      </w:r>
    </w:p>
    <w:p w14:paraId="7CAFEA55" w14:textId="77777777" w:rsidR="00021793" w:rsidRPr="0083694D" w:rsidRDefault="00122CA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De ahí que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w:t>
      </w:r>
      <w:r w:rsidRPr="0083694D">
        <w:rPr>
          <w:rFonts w:ascii="Palatino Linotype" w:eastAsia="Palatino Linotype" w:hAnsi="Palatino Linotype" w:cs="Palatino Linotype"/>
          <w:sz w:val="22"/>
          <w:szCs w:val="22"/>
        </w:rPr>
        <w:lastRenderedPageBreak/>
        <w:t>beneficiosa para la sociedad y no simplemente de interés individual, y cuya divulgación resulta útil para que el público comprenda las actividades que llevan a cabo los Sujetos Obligados.</w:t>
      </w:r>
    </w:p>
    <w:p w14:paraId="03BDAED3" w14:textId="77777777" w:rsidR="00021793" w:rsidRPr="0083694D" w:rsidRDefault="00122CA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Ahora bien, para profundizar en el estudio del presente asunto, es conveniente recordar que de un análisis a la solicitud de información, se advierte que la parte solicitante requirió al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le proporcionara lo siguiente:</w:t>
      </w:r>
    </w:p>
    <w:p w14:paraId="1EE89684" w14:textId="77777777" w:rsidR="00021793" w:rsidRPr="0083694D" w:rsidRDefault="00122CAC">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rPr>
      </w:pPr>
      <w:r w:rsidRPr="0083694D">
        <w:rPr>
          <w:rFonts w:ascii="Palatino Linotype" w:eastAsia="Palatino Linotype" w:hAnsi="Palatino Linotype" w:cs="Palatino Linotype"/>
          <w:b/>
          <w:sz w:val="22"/>
          <w:szCs w:val="22"/>
        </w:rPr>
        <w:t>Del periodo comprendido del 01 de enero del 2022 al 25 de noviembre de 2024:</w:t>
      </w:r>
    </w:p>
    <w:p w14:paraId="5BE312D4" w14:textId="77777777" w:rsidR="00021793" w:rsidRPr="0083694D" w:rsidRDefault="00122CAC">
      <w:pPr>
        <w:numPr>
          <w:ilvl w:val="0"/>
          <w:numId w:val="1"/>
        </w:numPr>
        <w:pBdr>
          <w:top w:val="nil"/>
          <w:left w:val="nil"/>
          <w:bottom w:val="nil"/>
          <w:right w:val="nil"/>
          <w:between w:val="nil"/>
        </w:pBdr>
        <w:spacing w:before="240" w:line="360" w:lineRule="auto"/>
        <w:ind w:left="567" w:right="758" w:hanging="141"/>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Personas que fueron despedidas, dadas de baja o renuncia voluntaria. </w:t>
      </w:r>
    </w:p>
    <w:p w14:paraId="315636CB" w14:textId="77777777" w:rsidR="00021793" w:rsidRPr="0083694D" w:rsidRDefault="00122CAC">
      <w:pPr>
        <w:numPr>
          <w:ilvl w:val="0"/>
          <w:numId w:val="1"/>
        </w:numPr>
        <w:pBdr>
          <w:top w:val="nil"/>
          <w:left w:val="nil"/>
          <w:bottom w:val="nil"/>
          <w:right w:val="nil"/>
          <w:between w:val="nil"/>
        </w:pBdr>
        <w:spacing w:line="360" w:lineRule="auto"/>
        <w:ind w:left="567" w:right="758" w:hanging="141"/>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El finiquito de cada una de ellas y las causas de su baja. </w:t>
      </w:r>
    </w:p>
    <w:p w14:paraId="5380D32D" w14:textId="77777777" w:rsidR="00021793" w:rsidRPr="0083694D" w:rsidRDefault="00122CAC">
      <w:pPr>
        <w:numPr>
          <w:ilvl w:val="0"/>
          <w:numId w:val="1"/>
        </w:numPr>
        <w:pBdr>
          <w:top w:val="nil"/>
          <w:left w:val="nil"/>
          <w:bottom w:val="nil"/>
          <w:right w:val="nil"/>
          <w:between w:val="nil"/>
        </w:pBdr>
        <w:spacing w:after="240" w:line="360" w:lineRule="auto"/>
        <w:ind w:left="567" w:right="758" w:hanging="141"/>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Copia del documento firmado de su finiquito.</w:t>
      </w:r>
    </w:p>
    <w:p w14:paraId="10323F7D"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En respuesta,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adjuntó dos archivos electrónicos, el primero de ellos se encuentra dañado, por lo que no es visible su contenido, mientras que el segundo archivo se compone de veintisiete fojas y en él, se aprecian pólizas de cheque, generadas del periodo del 24 de enero del 2022 al 04 de septiembre del 2024, las cuales dan cuenta de gastos de funcionamiento, liquidaciones por indemnizaciones, por sueldos y salarios caídos a diversos servidores públicos.</w:t>
      </w:r>
    </w:p>
    <w:p w14:paraId="72BA6597" w14:textId="77777777" w:rsidR="00021793" w:rsidRPr="0083694D" w:rsidRDefault="00122CAC">
      <w:pPr>
        <w:spacing w:before="240" w:after="240" w:line="360" w:lineRule="auto"/>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sz w:val="22"/>
          <w:szCs w:val="22"/>
        </w:rPr>
        <w:t xml:space="preserve">En esta tesitura, una vez conocida la respuesta emitida por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w:t>
      </w:r>
      <w:r w:rsidRPr="0083694D">
        <w:rPr>
          <w:rFonts w:ascii="Palatino Linotype" w:eastAsia="Palatino Linotype" w:hAnsi="Palatino Linotype" w:cs="Palatino Linotype"/>
          <w:b/>
          <w:sz w:val="22"/>
          <w:szCs w:val="22"/>
        </w:rPr>
        <w:t>la parte Recurrente</w:t>
      </w:r>
      <w:r w:rsidRPr="0083694D">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respecto de la entrega de información incompleta y la entrega o puesta a disposición de información en un formato incomprensible y/o no accesible para el solicitante, toda vez que el particular expresó las siguientes consideraciones en su escrito de recurso de revisión: </w:t>
      </w:r>
      <w:r w:rsidRPr="0083694D">
        <w:rPr>
          <w:rFonts w:ascii="Palatino Linotype" w:eastAsia="Palatino Linotype" w:hAnsi="Palatino Linotype" w:cs="Palatino Linotype"/>
          <w:i/>
          <w:sz w:val="22"/>
          <w:szCs w:val="22"/>
        </w:rPr>
        <w:t xml:space="preserve">“El documento denominado </w:t>
      </w:r>
      <w:r w:rsidRPr="0083694D">
        <w:rPr>
          <w:rFonts w:ascii="Palatino Linotype" w:eastAsia="Palatino Linotype" w:hAnsi="Palatino Linotype" w:cs="Palatino Linotype"/>
          <w:i/>
          <w:sz w:val="22"/>
          <w:szCs w:val="22"/>
        </w:rPr>
        <w:lastRenderedPageBreak/>
        <w:t>respuesta no permite abrirlo, muestra que esta dañado el archivo, segundo, las bajas arrojadas en el apartado de fracciones son mayor la cantidad de bajas que lo que me presenta como finiquitos entregados por lo que exijo me sea entregada la información completa.” (Sic)</w:t>
      </w:r>
    </w:p>
    <w:p w14:paraId="73D8411F"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Así las cosas, durante la etapa de manifestaciones e informe justificado, se tiene que las partes fueron omisas en pronunciarse en esta etapa, por lo que se tuvo por precluido el plazo para tal efecto y se procede a emitir la resolución que conforme a derecho corresponda. </w:t>
      </w:r>
    </w:p>
    <w:p w14:paraId="4A47386C"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Una vez expuestas las posturas de las partes, resulta necesario iniciar el presente análisis, recordando que de la revisión a las constancias que obran en el expediente electrónico, no se aprecia que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hubiese turnado la solicitud al área competente, sirve de refuerzo la siguiente captura de pantalla:</w:t>
      </w:r>
    </w:p>
    <w:p w14:paraId="294C724F"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noProof/>
          <w:sz w:val="22"/>
          <w:szCs w:val="22"/>
        </w:rPr>
        <w:drawing>
          <wp:inline distT="0" distB="0" distL="0" distR="0" wp14:anchorId="5EDDC98D" wp14:editId="7D8A03F4">
            <wp:extent cx="5612130" cy="742950"/>
            <wp:effectExtent l="0" t="0" r="0" b="0"/>
            <wp:docPr id="20832964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742950"/>
                    </a:xfrm>
                    <a:prstGeom prst="rect">
                      <a:avLst/>
                    </a:prstGeom>
                    <a:ln/>
                  </pic:spPr>
                </pic:pic>
              </a:graphicData>
            </a:graphic>
          </wp:inline>
        </w:drawing>
      </w:r>
    </w:p>
    <w:p w14:paraId="74CA09D4"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Asimismo, dado que no es posible acceder a uno de los archivos entregados en respuesta,  como ya se ha manifestado, no existe certeza de que en el presente asunto se hubiera realizado el turno correcto de la solicitud de información.</w:t>
      </w:r>
    </w:p>
    <w:p w14:paraId="05E7EEA6"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2DBB07AF"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Al respecto, se insiste en que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7B2292F2"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786C4DF7" w14:textId="77777777" w:rsidR="00021793" w:rsidRPr="0083694D" w:rsidRDefault="00122CAC">
      <w:pPr>
        <w:spacing w:after="240" w:line="360" w:lineRule="auto"/>
        <w:jc w:val="both"/>
        <w:rPr>
          <w:sz w:val="22"/>
          <w:szCs w:val="22"/>
        </w:rPr>
      </w:pPr>
      <w:r w:rsidRPr="0083694D">
        <w:rPr>
          <w:rFonts w:ascii="Palatino Linotype" w:eastAsia="Palatino Linotype" w:hAnsi="Palatino Linotype" w:cs="Palatino Linotype"/>
          <w:sz w:val="22"/>
          <w:szCs w:val="22"/>
        </w:rPr>
        <w:lastRenderedPageBreak/>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6DF7E6E7" w14:textId="77777777" w:rsidR="00021793" w:rsidRPr="0083694D" w:rsidRDefault="00122CAC">
      <w:pPr>
        <w:spacing w:after="240" w:line="360" w:lineRule="auto"/>
        <w:jc w:val="both"/>
        <w:rPr>
          <w:sz w:val="22"/>
          <w:szCs w:val="22"/>
        </w:rPr>
      </w:pPr>
      <w:r w:rsidRPr="0083694D">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5A621497" w14:textId="77777777" w:rsidR="00021793" w:rsidRPr="0083694D" w:rsidRDefault="00122CAC">
      <w:pPr>
        <w:spacing w:after="240" w:line="360" w:lineRule="auto"/>
        <w:jc w:val="both"/>
        <w:rPr>
          <w:sz w:val="22"/>
          <w:szCs w:val="22"/>
        </w:rPr>
      </w:pPr>
      <w:r w:rsidRPr="0083694D">
        <w:rPr>
          <w:rFonts w:ascii="Palatino Linotype" w:eastAsia="Palatino Linotype" w:hAnsi="Palatino Linotype" w:cs="Palatino Linotype"/>
          <w:sz w:val="22"/>
          <w:szCs w:val="22"/>
        </w:rPr>
        <w:t>Excepcionalmente, el plazo referido podrá ampliarse por siete días hábiles más, cuando existan razones fundadas y motivadas, a través del Comité de Transparencia; </w:t>
      </w:r>
    </w:p>
    <w:p w14:paraId="7FBCDB9D" w14:textId="77777777" w:rsidR="00021793" w:rsidRPr="0083694D" w:rsidRDefault="00122CAC">
      <w:pPr>
        <w:spacing w:after="240" w:line="360" w:lineRule="auto"/>
        <w:jc w:val="both"/>
        <w:rPr>
          <w:sz w:val="22"/>
          <w:szCs w:val="22"/>
        </w:rPr>
      </w:pPr>
      <w:r w:rsidRPr="0083694D">
        <w:rPr>
          <w:rFonts w:ascii="Palatino Linotype" w:eastAsia="Palatino Linotype" w:hAnsi="Palatino Linotype" w:cs="Palatino Linotype"/>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0B42126B" w14:textId="77777777" w:rsidR="00021793" w:rsidRPr="0083694D" w:rsidRDefault="00122CAC">
      <w:pPr>
        <w:spacing w:after="240" w:line="360" w:lineRule="auto"/>
        <w:jc w:val="both"/>
        <w:rPr>
          <w:sz w:val="22"/>
          <w:szCs w:val="22"/>
        </w:rPr>
      </w:pPr>
      <w:r w:rsidRPr="0083694D">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deberá ofrecer otras; por lo cual, deberá fundar y motivar la necesidad de modificar el medio de entrega, y </w:t>
      </w:r>
    </w:p>
    <w:p w14:paraId="00C95A6F" w14:textId="77777777" w:rsidR="00021793" w:rsidRPr="0083694D" w:rsidRDefault="00122CAC">
      <w:pPr>
        <w:spacing w:after="240" w:line="360" w:lineRule="auto"/>
        <w:jc w:val="both"/>
        <w:rPr>
          <w:sz w:val="22"/>
          <w:szCs w:val="22"/>
        </w:rPr>
      </w:pPr>
      <w:r w:rsidRPr="0083694D">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w:t>
      </w:r>
      <w:r w:rsidRPr="0083694D">
        <w:rPr>
          <w:rFonts w:ascii="Palatino Linotype" w:eastAsia="Palatino Linotype" w:hAnsi="Palatino Linotype" w:cs="Palatino Linotype"/>
          <w:sz w:val="22"/>
          <w:szCs w:val="22"/>
        </w:rPr>
        <w:lastRenderedPageBreak/>
        <w:t>Obligados darán por concluida la solicitud y procederán de ser el caso, a la destrucción del material;</w:t>
      </w:r>
    </w:p>
    <w:p w14:paraId="479EF358" w14:textId="77777777" w:rsidR="00021793" w:rsidRPr="0083694D" w:rsidRDefault="00122CAC">
      <w:pPr>
        <w:spacing w:after="240" w:line="360" w:lineRule="auto"/>
        <w:ind w:right="49"/>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Por lo insertado con anterioridad, se determina que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37EA5874"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34502525"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Atento a lo anterior, se estima que para dar cumplimiento a la presente resolución, y garantizar el Derecho de acceso de la parte Recurrente,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deberá turnar el requerimiento de información a las áreas que resulten competentes para conocer del mismo, de manera enunciativa, a  la </w:t>
      </w:r>
      <w:r w:rsidRPr="0083694D">
        <w:rPr>
          <w:rFonts w:ascii="Palatino Linotype" w:eastAsia="Palatino Linotype" w:hAnsi="Palatino Linotype" w:cs="Palatino Linotype"/>
          <w:b/>
          <w:sz w:val="22"/>
          <w:szCs w:val="22"/>
        </w:rPr>
        <w:t>Coordinación de Administración</w:t>
      </w:r>
      <w:r w:rsidRPr="0083694D">
        <w:rPr>
          <w:rFonts w:ascii="Palatino Linotype" w:eastAsia="Palatino Linotype" w:hAnsi="Palatino Linotype" w:cs="Palatino Linotype"/>
          <w:sz w:val="22"/>
          <w:szCs w:val="22"/>
        </w:rPr>
        <w:t xml:space="preserve">, la cual de conformidad con el Reglamento Interno del Sistema DIF de Jilotepec, Estado de México; administración 2022-2024, cuenta con las siguientes atribuciones:   </w:t>
      </w:r>
    </w:p>
    <w:p w14:paraId="01ADCF77" w14:textId="77777777" w:rsidR="00021793" w:rsidRPr="0083694D" w:rsidRDefault="00122CAC">
      <w:pPr>
        <w:spacing w:before="240" w:after="240" w:line="276" w:lineRule="auto"/>
        <w:ind w:left="567" w:right="900"/>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w:t>
      </w:r>
      <w:r w:rsidRPr="0083694D">
        <w:rPr>
          <w:rFonts w:ascii="Palatino Linotype" w:eastAsia="Palatino Linotype" w:hAnsi="Palatino Linotype" w:cs="Palatino Linotype"/>
          <w:b/>
          <w:i/>
          <w:sz w:val="22"/>
          <w:szCs w:val="22"/>
        </w:rPr>
        <w:t>Artículo 25</w:t>
      </w:r>
      <w:r w:rsidRPr="0083694D">
        <w:rPr>
          <w:rFonts w:ascii="Palatino Linotype" w:eastAsia="Palatino Linotype" w:hAnsi="Palatino Linotype" w:cs="Palatino Linotype"/>
          <w:i/>
          <w:sz w:val="22"/>
          <w:szCs w:val="22"/>
        </w:rPr>
        <w:t>.- AI frente de la Coordinación de Administración, habrá un Coordinador, quien tendrá las atribuciones siguientes:</w:t>
      </w:r>
    </w:p>
    <w:p w14:paraId="03FCC59A" w14:textId="77777777" w:rsidR="00021793" w:rsidRPr="0083694D" w:rsidRDefault="00122CAC">
      <w:pPr>
        <w:spacing w:before="240" w:after="240" w:line="276" w:lineRule="auto"/>
        <w:ind w:left="567" w:right="900"/>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w:t>
      </w:r>
    </w:p>
    <w:p w14:paraId="13354F5C" w14:textId="77777777" w:rsidR="00021793" w:rsidRPr="0083694D" w:rsidRDefault="00122CAC">
      <w:pPr>
        <w:spacing w:before="240" w:after="240" w:line="276" w:lineRule="auto"/>
        <w:ind w:left="567" w:right="900"/>
        <w:jc w:val="both"/>
        <w:rPr>
          <w:rFonts w:ascii="Palatino Linotype" w:eastAsia="Palatino Linotype" w:hAnsi="Palatino Linotype" w:cs="Palatino Linotype"/>
          <w:b/>
          <w:i/>
          <w:sz w:val="22"/>
          <w:szCs w:val="22"/>
        </w:rPr>
      </w:pPr>
      <w:r w:rsidRPr="0083694D">
        <w:rPr>
          <w:b/>
          <w:i/>
        </w:rPr>
        <w:t xml:space="preserve"> </w:t>
      </w:r>
      <w:r w:rsidRPr="0083694D">
        <w:rPr>
          <w:rFonts w:ascii="Palatino Linotype" w:eastAsia="Palatino Linotype" w:hAnsi="Palatino Linotype" w:cs="Palatino Linotype"/>
          <w:b/>
          <w:i/>
          <w:sz w:val="22"/>
          <w:szCs w:val="22"/>
        </w:rPr>
        <w:t>IX. Tramitar los movimientos de</w:t>
      </w:r>
      <w:r w:rsidRPr="0083694D">
        <w:rPr>
          <w:rFonts w:ascii="Palatino Linotype" w:eastAsia="Palatino Linotype" w:hAnsi="Palatino Linotype" w:cs="Palatino Linotype"/>
          <w:i/>
          <w:sz w:val="22"/>
          <w:szCs w:val="22"/>
        </w:rPr>
        <w:t xml:space="preserve"> altas, </w:t>
      </w:r>
      <w:r w:rsidRPr="0083694D">
        <w:rPr>
          <w:rFonts w:ascii="Palatino Linotype" w:eastAsia="Palatino Linotype" w:hAnsi="Palatino Linotype" w:cs="Palatino Linotype"/>
          <w:b/>
          <w:i/>
          <w:sz w:val="22"/>
          <w:szCs w:val="22"/>
        </w:rPr>
        <w:t>bajas</w:t>
      </w:r>
      <w:r w:rsidRPr="0083694D">
        <w:rPr>
          <w:rFonts w:ascii="Palatino Linotype" w:eastAsia="Palatino Linotype" w:hAnsi="Palatino Linotype" w:cs="Palatino Linotype"/>
          <w:i/>
          <w:sz w:val="22"/>
          <w:szCs w:val="22"/>
        </w:rPr>
        <w:t xml:space="preserve">, cambios, permisos y licencias </w:t>
      </w:r>
      <w:r w:rsidRPr="0083694D">
        <w:rPr>
          <w:rFonts w:ascii="Palatino Linotype" w:eastAsia="Palatino Linotype" w:hAnsi="Palatino Linotype" w:cs="Palatino Linotype"/>
          <w:b/>
          <w:i/>
          <w:sz w:val="22"/>
          <w:szCs w:val="22"/>
        </w:rPr>
        <w:t>de los servidores públicos del Sistema Municipal para el Desarrollo Integral de la Familia de Jilotepec.</w:t>
      </w:r>
    </w:p>
    <w:p w14:paraId="7F323F8B" w14:textId="77777777" w:rsidR="00021793" w:rsidRPr="0083694D" w:rsidRDefault="00122CAC">
      <w:pPr>
        <w:spacing w:before="240" w:after="240" w:line="276" w:lineRule="auto"/>
        <w:ind w:left="567" w:right="900"/>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lastRenderedPageBreak/>
        <w:t>Artículo 26.- Para el estudio, planeación y despacho de los asuntos de su competencia, así como para atender las funciones de control y evaluación que le corresponden, la Coordinación de Administración contará con un Coordinador, quien se auxiliará de las unidades administrativas siguientes:</w:t>
      </w:r>
    </w:p>
    <w:p w14:paraId="45BCC539" w14:textId="77777777" w:rsidR="00021793" w:rsidRPr="0083694D" w:rsidRDefault="00122CAC">
      <w:pPr>
        <w:spacing w:before="240" w:after="240" w:line="276" w:lineRule="auto"/>
        <w:ind w:left="567" w:right="900"/>
        <w:jc w:val="both"/>
        <w:rPr>
          <w:rFonts w:ascii="Palatino Linotype" w:eastAsia="Palatino Linotype" w:hAnsi="Palatino Linotype" w:cs="Palatino Linotype"/>
          <w:b/>
          <w:i/>
          <w:sz w:val="22"/>
          <w:szCs w:val="22"/>
        </w:rPr>
      </w:pPr>
      <w:r w:rsidRPr="0083694D">
        <w:rPr>
          <w:rFonts w:ascii="Palatino Linotype" w:eastAsia="Palatino Linotype" w:hAnsi="Palatino Linotype" w:cs="Palatino Linotype"/>
          <w:b/>
          <w:i/>
          <w:sz w:val="22"/>
          <w:szCs w:val="22"/>
        </w:rPr>
        <w:t>I. Área de Finanzas;</w:t>
      </w:r>
    </w:p>
    <w:p w14:paraId="75E6F864" w14:textId="77777777" w:rsidR="00021793" w:rsidRPr="0083694D" w:rsidRDefault="00122CAC">
      <w:pPr>
        <w:spacing w:before="240" w:after="240" w:line="276" w:lineRule="auto"/>
        <w:ind w:left="567" w:right="900"/>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II. Área de Recursos Humanos</w:t>
      </w:r>
      <w:r w:rsidRPr="0083694D">
        <w:rPr>
          <w:rFonts w:ascii="Palatino Linotype" w:eastAsia="Palatino Linotype" w:hAnsi="Palatino Linotype" w:cs="Palatino Linotype"/>
          <w:i/>
          <w:sz w:val="22"/>
          <w:szCs w:val="22"/>
        </w:rPr>
        <w:t>; y</w:t>
      </w:r>
    </w:p>
    <w:p w14:paraId="38D4089E" w14:textId="77777777" w:rsidR="00021793" w:rsidRPr="0083694D" w:rsidRDefault="00122CAC">
      <w:pPr>
        <w:spacing w:before="240" w:after="240" w:line="276" w:lineRule="auto"/>
        <w:ind w:left="567" w:right="900"/>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III. Unidad de Servicios Generales.</w:t>
      </w:r>
    </w:p>
    <w:p w14:paraId="395B6BA4" w14:textId="77777777" w:rsidR="00021793" w:rsidRPr="0083694D" w:rsidRDefault="00122CAC">
      <w:pPr>
        <w:spacing w:before="240" w:after="240" w:line="276" w:lineRule="auto"/>
        <w:ind w:left="567" w:right="900"/>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w:t>
      </w:r>
    </w:p>
    <w:p w14:paraId="033D4F0B" w14:textId="77777777" w:rsidR="00021793" w:rsidRPr="0083694D" w:rsidRDefault="00122CAC">
      <w:pPr>
        <w:spacing w:before="240" w:after="240" w:line="276" w:lineRule="auto"/>
        <w:ind w:left="567" w:right="900"/>
        <w:jc w:val="both"/>
        <w:rPr>
          <w:rFonts w:ascii="Palatino Linotype" w:eastAsia="Palatino Linotype" w:hAnsi="Palatino Linotype" w:cs="Palatino Linotype"/>
          <w:b/>
          <w:i/>
          <w:sz w:val="22"/>
          <w:szCs w:val="22"/>
        </w:rPr>
      </w:pPr>
      <w:r w:rsidRPr="0083694D">
        <w:rPr>
          <w:rFonts w:ascii="Palatino Linotype" w:eastAsia="Palatino Linotype" w:hAnsi="Palatino Linotype" w:cs="Palatino Linotype"/>
          <w:i/>
          <w:sz w:val="22"/>
          <w:szCs w:val="22"/>
        </w:rPr>
        <w:t xml:space="preserve">Artículo 27.- Corresponde al </w:t>
      </w:r>
      <w:r w:rsidRPr="0083694D">
        <w:rPr>
          <w:rFonts w:ascii="Palatino Linotype" w:eastAsia="Palatino Linotype" w:hAnsi="Palatino Linotype" w:cs="Palatino Linotype"/>
          <w:b/>
          <w:i/>
          <w:sz w:val="22"/>
          <w:szCs w:val="22"/>
        </w:rPr>
        <w:t>Área de Finanzas</w:t>
      </w:r>
      <w:r w:rsidRPr="0083694D">
        <w:rPr>
          <w:rFonts w:ascii="Palatino Linotype" w:eastAsia="Palatino Linotype" w:hAnsi="Palatino Linotype" w:cs="Palatino Linotype"/>
          <w:i/>
          <w:sz w:val="22"/>
          <w:szCs w:val="22"/>
        </w:rPr>
        <w:t>:</w:t>
      </w:r>
      <w:r w:rsidRPr="0083694D">
        <w:rPr>
          <w:rFonts w:ascii="Palatino Linotype" w:eastAsia="Palatino Linotype" w:hAnsi="Palatino Linotype" w:cs="Palatino Linotype"/>
          <w:i/>
          <w:sz w:val="22"/>
          <w:szCs w:val="22"/>
        </w:rPr>
        <w:br/>
      </w:r>
      <w:r w:rsidRPr="0083694D">
        <w:rPr>
          <w:rFonts w:ascii="Palatino Linotype" w:eastAsia="Palatino Linotype" w:hAnsi="Palatino Linotype" w:cs="Palatino Linotype"/>
          <w:b/>
          <w:i/>
          <w:sz w:val="22"/>
          <w:szCs w:val="22"/>
        </w:rPr>
        <w:t>I. Es responsabilidad del Área de Finanzas, administrar los recursos que conforman el patrimonio del organismo;</w:t>
      </w:r>
    </w:p>
    <w:p w14:paraId="620E1204" w14:textId="77777777" w:rsidR="00021793" w:rsidRPr="0083694D" w:rsidRDefault="00122CAC">
      <w:pPr>
        <w:spacing w:before="240" w:after="240" w:line="276" w:lineRule="auto"/>
        <w:ind w:left="567" w:right="900"/>
        <w:jc w:val="both"/>
        <w:rPr>
          <w:rFonts w:ascii="Palatino Linotype" w:eastAsia="Palatino Linotype" w:hAnsi="Palatino Linotype" w:cs="Palatino Linotype"/>
          <w:b/>
          <w:i/>
          <w:sz w:val="22"/>
          <w:szCs w:val="22"/>
        </w:rPr>
      </w:pPr>
      <w:r w:rsidRPr="0083694D">
        <w:rPr>
          <w:rFonts w:ascii="Palatino Linotype" w:eastAsia="Palatino Linotype" w:hAnsi="Palatino Linotype" w:cs="Palatino Linotype"/>
          <w:b/>
          <w:i/>
          <w:sz w:val="22"/>
          <w:szCs w:val="22"/>
        </w:rPr>
        <w:t>II. Elaboración y ejecución del presupuesto de ingresos y egresos, así como una adecuada ejecución de acuerdo al Manual para la Planeación, Programación y Presupuesto de Egresos Municipal;</w:t>
      </w:r>
    </w:p>
    <w:p w14:paraId="50D6060F" w14:textId="77777777" w:rsidR="00021793" w:rsidRPr="0083694D" w:rsidRDefault="00122CAC">
      <w:pPr>
        <w:spacing w:before="240" w:after="240" w:line="276" w:lineRule="auto"/>
        <w:ind w:left="567" w:right="900"/>
        <w:jc w:val="both"/>
        <w:rPr>
          <w:rFonts w:ascii="Palatino Linotype" w:eastAsia="Palatino Linotype" w:hAnsi="Palatino Linotype" w:cs="Palatino Linotype"/>
          <w:b/>
          <w:i/>
          <w:sz w:val="22"/>
          <w:szCs w:val="22"/>
        </w:rPr>
      </w:pPr>
      <w:r w:rsidRPr="0083694D">
        <w:rPr>
          <w:rFonts w:ascii="Palatino Linotype" w:eastAsia="Palatino Linotype" w:hAnsi="Palatino Linotype" w:cs="Palatino Linotype"/>
          <w:b/>
          <w:i/>
          <w:sz w:val="22"/>
          <w:szCs w:val="22"/>
        </w:rPr>
        <w:t>III. Llevar los libros de registro contable, financieros y administrativos de los ingresos, egresos e inventario, de acuerdo a las normas aplicables del Manual Único de Contabilidad Gubernamental;</w:t>
      </w:r>
    </w:p>
    <w:p w14:paraId="3DB35FCA" w14:textId="77777777" w:rsidR="00021793" w:rsidRPr="0083694D" w:rsidRDefault="00122CAC">
      <w:pPr>
        <w:spacing w:before="240" w:after="240" w:line="276" w:lineRule="auto"/>
        <w:ind w:left="567" w:right="900"/>
        <w:jc w:val="both"/>
        <w:rPr>
          <w:rFonts w:ascii="Palatino Linotype" w:eastAsia="Palatino Linotype" w:hAnsi="Palatino Linotype" w:cs="Palatino Linotype"/>
          <w:b/>
          <w:i/>
          <w:sz w:val="22"/>
          <w:szCs w:val="22"/>
        </w:rPr>
      </w:pPr>
      <w:r w:rsidRPr="0083694D">
        <w:rPr>
          <w:rFonts w:ascii="Palatino Linotype" w:eastAsia="Palatino Linotype" w:hAnsi="Palatino Linotype" w:cs="Palatino Linotype"/>
          <w:b/>
          <w:i/>
          <w:sz w:val="22"/>
          <w:szCs w:val="22"/>
        </w:rPr>
        <w:t>Artículo 28.- Corresponde a la Área de recursos humanos:</w:t>
      </w:r>
    </w:p>
    <w:p w14:paraId="256EA944" w14:textId="77777777" w:rsidR="00021793" w:rsidRPr="0083694D" w:rsidRDefault="00122CAC">
      <w:pPr>
        <w:spacing w:before="240" w:after="240" w:line="276" w:lineRule="auto"/>
        <w:ind w:left="567" w:right="900"/>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w:t>
      </w:r>
    </w:p>
    <w:p w14:paraId="21606A39" w14:textId="77777777" w:rsidR="00021793" w:rsidRPr="0083694D" w:rsidRDefault="00122CAC">
      <w:pPr>
        <w:spacing w:before="240" w:after="240" w:line="276" w:lineRule="auto"/>
        <w:ind w:left="567" w:right="900"/>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u w:val="single"/>
        </w:rPr>
        <w:t>IV. Registrar las altas, bajas, cambios de categoría y adscripción, permisos y licencias por incapacidad, entre otras, del personal, y su correcta aplicación en el archivo de expedientes</w:t>
      </w:r>
      <w:r w:rsidRPr="0083694D">
        <w:rPr>
          <w:rFonts w:ascii="Palatino Linotype" w:eastAsia="Palatino Linotype" w:hAnsi="Palatino Linotype" w:cs="Palatino Linotype"/>
          <w:i/>
          <w:sz w:val="22"/>
          <w:szCs w:val="22"/>
        </w:rPr>
        <w:t>;” (Énfasis añadido)</w:t>
      </w:r>
    </w:p>
    <w:p w14:paraId="0AD7E25B" w14:textId="77777777" w:rsidR="00021793" w:rsidRPr="0083694D" w:rsidRDefault="00122CAC">
      <w:pPr>
        <w:spacing w:before="240" w:after="240" w:line="360" w:lineRule="auto"/>
        <w:ind w:right="49"/>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Continuando en estudio, procedemos al análisis de la respuesta, teniendo así que en primera instancia,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tuvo a bien, proporcionar el archivo denominado </w:t>
      </w:r>
      <w:r w:rsidRPr="0083694D">
        <w:rPr>
          <w:rFonts w:ascii="Palatino Linotype" w:eastAsia="Palatino Linotype" w:hAnsi="Palatino Linotype" w:cs="Palatino Linotype"/>
          <w:b/>
          <w:i/>
          <w:sz w:val="22"/>
          <w:szCs w:val="22"/>
        </w:rPr>
        <w:t xml:space="preserve">“RESPUESTA.pdf”, </w:t>
      </w:r>
      <w:r w:rsidRPr="0083694D">
        <w:rPr>
          <w:rFonts w:ascii="Palatino Linotype" w:eastAsia="Palatino Linotype" w:hAnsi="Palatino Linotype" w:cs="Palatino Linotype"/>
          <w:sz w:val="22"/>
          <w:szCs w:val="22"/>
        </w:rPr>
        <w:t xml:space="preserve">el cual al pretender observar su contenido no nos permite acceder al </w:t>
      </w:r>
      <w:r w:rsidRPr="0083694D">
        <w:rPr>
          <w:rFonts w:ascii="Palatino Linotype" w:eastAsia="Palatino Linotype" w:hAnsi="Palatino Linotype" w:cs="Palatino Linotype"/>
          <w:sz w:val="22"/>
          <w:szCs w:val="22"/>
        </w:rPr>
        <w:lastRenderedPageBreak/>
        <w:t>soporte documental, en virtud de que se encuentra dañado, sirve de mayor referencia la siguiente captura de pantalla:</w:t>
      </w:r>
    </w:p>
    <w:p w14:paraId="171361C7" w14:textId="77777777" w:rsidR="00021793" w:rsidRPr="0083694D" w:rsidRDefault="00122CAC">
      <w:pPr>
        <w:spacing w:before="240" w:after="240" w:line="360" w:lineRule="auto"/>
        <w:jc w:val="center"/>
        <w:rPr>
          <w:rFonts w:ascii="Palatino Linotype" w:eastAsia="Palatino Linotype" w:hAnsi="Palatino Linotype" w:cs="Palatino Linotype"/>
          <w:sz w:val="22"/>
          <w:szCs w:val="22"/>
        </w:rPr>
      </w:pPr>
      <w:r w:rsidRPr="0083694D">
        <w:rPr>
          <w:rFonts w:ascii="Palatino Linotype" w:eastAsia="Palatino Linotype" w:hAnsi="Palatino Linotype" w:cs="Palatino Linotype"/>
          <w:noProof/>
          <w:sz w:val="22"/>
          <w:szCs w:val="22"/>
        </w:rPr>
        <w:drawing>
          <wp:inline distT="0" distB="0" distL="0" distR="0" wp14:anchorId="32C6B0C3" wp14:editId="0B77EBE7">
            <wp:extent cx="4848902" cy="1276528"/>
            <wp:effectExtent l="0" t="0" r="0" b="0"/>
            <wp:docPr id="20832964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2262" t="14371" r="1697" b="5389"/>
                    <a:stretch>
                      <a:fillRect/>
                    </a:stretch>
                  </pic:blipFill>
                  <pic:spPr>
                    <a:xfrm>
                      <a:off x="0" y="0"/>
                      <a:ext cx="4848902" cy="1276528"/>
                    </a:xfrm>
                    <a:prstGeom prst="rect">
                      <a:avLst/>
                    </a:prstGeom>
                    <a:ln/>
                  </pic:spPr>
                </pic:pic>
              </a:graphicData>
            </a:graphic>
          </wp:inline>
        </w:drawing>
      </w:r>
    </w:p>
    <w:p w14:paraId="5D9AC2EB"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Bajo ese tenor no se pasa por alto que el hacer entrega de un documento cuya información no es accesible para los solicitantes, deja en total incertidumbre a los particulares, violentando con su respuesta el Derecho de Acceso a la Información. </w:t>
      </w:r>
    </w:p>
    <w:p w14:paraId="153490FC"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1CAABE55"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Es decir, la información que entregue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debe ser accesible, clara, entendible y legible, esto con la finalidad de que pueda ser verificada la información contenida en los documentos proporcionados, ya que de lo contrario se incumple con lo establecido en el artículo 11 de la Ley de Transparencia Local, precepto legal que consagra el principio de accesibilidad, lo que constituye una restricción indirecta al Derecho de Acceso a la Información Pública.</w:t>
      </w:r>
    </w:p>
    <w:p w14:paraId="5D5491DA" w14:textId="77777777" w:rsidR="00021793" w:rsidRPr="0083694D" w:rsidRDefault="00021793">
      <w:pPr>
        <w:spacing w:line="360" w:lineRule="auto"/>
        <w:jc w:val="both"/>
        <w:rPr>
          <w:sz w:val="22"/>
          <w:szCs w:val="22"/>
        </w:rPr>
      </w:pPr>
    </w:p>
    <w:p w14:paraId="106C4345"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En conclusión,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al momento en que dé respuesta a cualquier solicitud de acceso a la información deberá revisar y verificar que los archivos que remita en sus respuestas, resulte accesible, clara y legible, para que este Instituto se encuentre en posibilidades de analizar el contenido de dichos soportes documentales y de ser el caso, tener por satisfecho el derecho de acceso a la información ejercido por </w:t>
      </w:r>
      <w:r w:rsidRPr="0083694D">
        <w:rPr>
          <w:rFonts w:ascii="Palatino Linotype" w:eastAsia="Palatino Linotype" w:hAnsi="Palatino Linotype" w:cs="Palatino Linotype"/>
          <w:b/>
          <w:sz w:val="22"/>
          <w:szCs w:val="22"/>
        </w:rPr>
        <w:t>la parte</w:t>
      </w:r>
      <w:r w:rsidRPr="0083694D">
        <w:rPr>
          <w:rFonts w:ascii="Palatino Linotype" w:eastAsia="Palatino Linotype" w:hAnsi="Palatino Linotype" w:cs="Palatino Linotype"/>
          <w:sz w:val="22"/>
          <w:szCs w:val="22"/>
        </w:rPr>
        <w:t xml:space="preserve"> </w:t>
      </w:r>
      <w:r w:rsidRPr="0083694D">
        <w:rPr>
          <w:rFonts w:ascii="Palatino Linotype" w:eastAsia="Palatino Linotype" w:hAnsi="Palatino Linotype" w:cs="Palatino Linotype"/>
          <w:b/>
          <w:sz w:val="22"/>
          <w:szCs w:val="22"/>
        </w:rPr>
        <w:t>Recurrente</w:t>
      </w:r>
      <w:r w:rsidRPr="0083694D">
        <w:rPr>
          <w:rFonts w:ascii="Palatino Linotype" w:eastAsia="Palatino Linotype" w:hAnsi="Palatino Linotype" w:cs="Palatino Linotype"/>
          <w:sz w:val="22"/>
          <w:szCs w:val="22"/>
        </w:rPr>
        <w:t>.</w:t>
      </w:r>
    </w:p>
    <w:p w14:paraId="245D7733"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30B29DCB" w14:textId="77777777" w:rsidR="00021793" w:rsidRPr="0083694D" w:rsidRDefault="00122CAC">
      <w:pPr>
        <w:spacing w:line="360" w:lineRule="auto"/>
        <w:jc w:val="both"/>
        <w:rPr>
          <w:rFonts w:ascii="Palatino Linotype" w:eastAsia="Palatino Linotype" w:hAnsi="Palatino Linotype" w:cs="Palatino Linotype"/>
          <w:b/>
          <w:i/>
          <w:sz w:val="22"/>
          <w:szCs w:val="22"/>
          <w:u w:val="single"/>
        </w:rPr>
      </w:pPr>
      <w:r w:rsidRPr="0083694D">
        <w:rPr>
          <w:rFonts w:ascii="Palatino Linotype" w:eastAsia="Palatino Linotype" w:hAnsi="Palatino Linotype" w:cs="Palatino Linotype"/>
          <w:sz w:val="22"/>
          <w:szCs w:val="22"/>
        </w:rPr>
        <w:lastRenderedPageBreak/>
        <w:t xml:space="preserve">En otro orden de ideas, tenemos que en el segundo archivo electrónico proporcionado por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se aprecia que adjuntó un soporte documental que se compone de veintisiete fojas, en el cual se aprecian pólizas de cheque, generadas del periodo del 24 de enero del 2022 al 04 de septiembre del 2024, las cuales dan cuenta de gastos de funcionamiento, liquidaciones por indemnizaciones, por sueldos y salarios caídos a diversos servidores públicos, sin embargo, en el acto impugnado expresado por </w:t>
      </w:r>
      <w:r w:rsidRPr="0083694D">
        <w:rPr>
          <w:rFonts w:ascii="Palatino Linotype" w:eastAsia="Palatino Linotype" w:hAnsi="Palatino Linotype" w:cs="Palatino Linotype"/>
          <w:b/>
          <w:sz w:val="22"/>
          <w:szCs w:val="22"/>
        </w:rPr>
        <w:t>la parte Recurrente</w:t>
      </w:r>
      <w:r w:rsidRPr="0083694D">
        <w:rPr>
          <w:rFonts w:ascii="Palatino Linotype" w:eastAsia="Palatino Linotype" w:hAnsi="Palatino Linotype" w:cs="Palatino Linotype"/>
          <w:sz w:val="22"/>
          <w:szCs w:val="22"/>
        </w:rPr>
        <w:t xml:space="preserve">, se advierte que se inconforma porque </w:t>
      </w:r>
      <w:r w:rsidRPr="0083694D">
        <w:rPr>
          <w:rFonts w:ascii="Palatino Linotype" w:eastAsia="Palatino Linotype" w:hAnsi="Palatino Linotype" w:cs="Palatino Linotype"/>
          <w:b/>
          <w:sz w:val="22"/>
          <w:szCs w:val="22"/>
        </w:rPr>
        <w:t>visualiza una incongruencia entre lo reportado en las fracciones y la cantidad de bajas que manifiesta a través de los finiquitos entregados</w:t>
      </w:r>
      <w:r w:rsidRPr="0083694D">
        <w:rPr>
          <w:rFonts w:ascii="Palatino Linotype" w:eastAsia="Palatino Linotype" w:hAnsi="Palatino Linotype" w:cs="Palatino Linotype"/>
          <w:sz w:val="22"/>
          <w:szCs w:val="22"/>
        </w:rPr>
        <w:t>.</w:t>
      </w:r>
    </w:p>
    <w:p w14:paraId="4F5C4C69"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22EC45EB"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Así las cosas, es de señalar que dentro de las obligaciones de transparencia que establece la Ley de Transparencia y Acceso a la Información Pública del Estado de México y Municipios, las cuales deben ponerse a disposición del público a través del portal de Información Pública de Oficio Mexiquense (IPOMEX) y la Plataforma Nacional de Transparencia (PNT), no se advirtió una fracción correspondiente a las bajas de servidores públicos, sin embargo, para el caso en el que la fracción que refiere el particular, se trate de las plazas vacantes, es de señalar que de una revisión a este apartado no se advirtió que se reportara la información a la que hace referencia el particular. Sirve de referencia la siguiente impresión de pantalla a manera de ejemplo:</w:t>
      </w:r>
    </w:p>
    <w:p w14:paraId="5D42FFD1" w14:textId="77777777" w:rsidR="00021793" w:rsidRPr="0083694D" w:rsidRDefault="00122CAC">
      <w:pPr>
        <w:spacing w:line="360" w:lineRule="auto"/>
        <w:jc w:val="center"/>
        <w:rPr>
          <w:rFonts w:ascii="Palatino Linotype" w:eastAsia="Palatino Linotype" w:hAnsi="Palatino Linotype" w:cs="Palatino Linotype"/>
          <w:sz w:val="22"/>
          <w:szCs w:val="22"/>
        </w:rPr>
      </w:pPr>
      <w:r w:rsidRPr="0083694D">
        <w:rPr>
          <w:rFonts w:ascii="Palatino Linotype" w:eastAsia="Palatino Linotype" w:hAnsi="Palatino Linotype" w:cs="Palatino Linotype"/>
          <w:noProof/>
          <w:sz w:val="22"/>
          <w:szCs w:val="22"/>
        </w:rPr>
        <w:lastRenderedPageBreak/>
        <w:drawing>
          <wp:inline distT="0" distB="0" distL="0" distR="0" wp14:anchorId="12A1C633" wp14:editId="633D5EBA">
            <wp:extent cx="3456863" cy="2708985"/>
            <wp:effectExtent l="0" t="0" r="0" b="0"/>
            <wp:docPr id="20832964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456863" cy="2708985"/>
                    </a:xfrm>
                    <a:prstGeom prst="rect">
                      <a:avLst/>
                    </a:prstGeom>
                    <a:ln/>
                  </pic:spPr>
                </pic:pic>
              </a:graphicData>
            </a:graphic>
          </wp:inline>
        </w:drawing>
      </w:r>
    </w:p>
    <w:p w14:paraId="6E5CDEA6"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Asimismo, es de señalar que la información referente a las vacantes, en caso de existir, no necesariamente debe corresponder con el número de bajas de un ente público, puesto que dicha información pudiera referirse incluso a puestos de nueva creación, por ejemplo.</w:t>
      </w:r>
    </w:p>
    <w:p w14:paraId="7BD66B74"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6BE549BC"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Por otra parte, respecto al análisis de la documentación proporcionada en respuesta por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consistente en las pólizas de cheque, se tiene que </w:t>
      </w:r>
      <w:r w:rsidRPr="0083694D">
        <w:rPr>
          <w:rFonts w:ascii="Palatino Linotype" w:eastAsia="Palatino Linotype" w:hAnsi="Palatino Linotype" w:cs="Palatino Linotype"/>
          <w:b/>
          <w:sz w:val="22"/>
          <w:szCs w:val="22"/>
        </w:rPr>
        <w:t>estas dan cuenta del nombre de algunos servidores públicos dados de baja y montos por concepto de gastos de funcionamiento, liquidaciones por indemnizaciones, por sueldos y salarios caídos</w:t>
      </w:r>
      <w:r w:rsidRPr="0083694D">
        <w:rPr>
          <w:rFonts w:ascii="Palatino Linotype" w:eastAsia="Palatino Linotype" w:hAnsi="Palatino Linotype" w:cs="Palatino Linotype"/>
          <w:sz w:val="22"/>
          <w:szCs w:val="22"/>
        </w:rPr>
        <w:t>, tal como se aprecia en la siguiente ilustración:</w:t>
      </w:r>
    </w:p>
    <w:p w14:paraId="564A903B"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058C06AC"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noProof/>
          <w:sz w:val="22"/>
          <w:szCs w:val="22"/>
        </w:rPr>
        <w:drawing>
          <wp:inline distT="0" distB="0" distL="0" distR="0" wp14:anchorId="4467FB5C" wp14:editId="6422C093">
            <wp:extent cx="5487166" cy="962159"/>
            <wp:effectExtent l="0" t="0" r="0" b="0"/>
            <wp:docPr id="20832964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487166" cy="962159"/>
                    </a:xfrm>
                    <a:prstGeom prst="rect">
                      <a:avLst/>
                    </a:prstGeom>
                    <a:ln/>
                  </pic:spPr>
                </pic:pic>
              </a:graphicData>
            </a:graphic>
          </wp:inline>
        </w:drawing>
      </w:r>
    </w:p>
    <w:p w14:paraId="67E8A2CA"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Sin embargo, no debe perderse de vista que </w:t>
      </w:r>
      <w:r w:rsidRPr="0083694D">
        <w:rPr>
          <w:rFonts w:ascii="Palatino Linotype" w:eastAsia="Palatino Linotype" w:hAnsi="Palatino Linotype" w:cs="Palatino Linotype"/>
          <w:b/>
          <w:sz w:val="22"/>
          <w:szCs w:val="22"/>
        </w:rPr>
        <w:t>la información se reporta del veinticuatro de enero de dos mil veintidós al día cuatro de septiembre de dos mil veinticuatro</w:t>
      </w:r>
      <w:r w:rsidRPr="0083694D">
        <w:rPr>
          <w:rFonts w:ascii="Palatino Linotype" w:eastAsia="Palatino Linotype" w:hAnsi="Palatino Linotype" w:cs="Palatino Linotype"/>
          <w:sz w:val="22"/>
          <w:szCs w:val="22"/>
        </w:rPr>
        <w:t xml:space="preserve">, sin que </w:t>
      </w:r>
      <w:r w:rsidRPr="0083694D">
        <w:rPr>
          <w:rFonts w:ascii="Palatino Linotype" w:eastAsia="Palatino Linotype" w:hAnsi="Palatino Linotype" w:cs="Palatino Linotype"/>
          <w:sz w:val="22"/>
          <w:szCs w:val="22"/>
        </w:rPr>
        <w:lastRenderedPageBreak/>
        <w:t>obre manifestación de un servidor público habilitado competente respecto a que es la totalidad de la información.</w:t>
      </w:r>
    </w:p>
    <w:p w14:paraId="62BA02F6"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15108092"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Asimismo, es de señalar que las pólizas no brindan certeza respecto al monto total que se determinó como finiquito a los servidores públicos, como ejemplo de ello se menciona que de la revisión a esta documentación, este Organismo Garante visualizó que en dos pólizas de cheque se contempla a la servidora pública Mireya Cruz Huitrón, concretamente en las páginas 18 y 21, las cuales corresponden a períodos distintos, pues se observa que una data del 24/01/2022 y la segunda del 28/02/2022, sin que se pueda advertir o conocer de manera concreta el monto total que se destinó para cubrir el finiquito correspondiente.</w:t>
      </w:r>
    </w:p>
    <w:p w14:paraId="3521156A"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513F5C13"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Aunado a lo anterior, no se hizo entrega de las causas o motivos de baja, así como del acuse de recepción de los mismos.</w:t>
      </w:r>
    </w:p>
    <w:p w14:paraId="06BC1335"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Sobre lo anterior, el artículo 1.8, fracción IX, del Código Administrativo del Estado de México, establece que para que un acto administrativo tenga validez, deberá guardar congruencia con lo solicitado; asimismo, resulta necesario traer a colación, el Criterio de Interpretación, con clave de control SO/002/2017, de la Segunda Época, emitido por el Instituto Nacional de Transparencia, Acceso a la Información y Protección de Datos Personales, que señala lo siguiente:</w:t>
      </w:r>
    </w:p>
    <w:p w14:paraId="7839849C" w14:textId="77777777" w:rsidR="00021793" w:rsidRPr="0083694D" w:rsidRDefault="00122CAC">
      <w:pPr>
        <w:spacing w:before="120" w:after="120"/>
        <w:ind w:left="860" w:right="900"/>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w:t>
      </w:r>
      <w:r w:rsidRPr="0083694D">
        <w:rPr>
          <w:rFonts w:ascii="Palatino Linotype" w:eastAsia="Palatino Linotype" w:hAnsi="Palatino Linotype" w:cs="Palatino Linotype"/>
          <w:b/>
          <w:i/>
          <w:sz w:val="22"/>
          <w:szCs w:val="22"/>
        </w:rPr>
        <w:t xml:space="preserve">Congruencia y exhaustividad. Sus alcances para garantizar el derecho de acceso a la información. </w:t>
      </w:r>
      <w:r w:rsidRPr="0083694D">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83694D">
        <w:rPr>
          <w:rFonts w:ascii="Palatino Linotype" w:eastAsia="Palatino Linotype" w:hAnsi="Palatino Linotype" w:cs="Palatino Linotype"/>
          <w:i/>
          <w:sz w:val="22"/>
          <w:szCs w:val="22"/>
        </w:rPr>
        <w:lastRenderedPageBreak/>
        <w:t>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1A142E4"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Del citado criterio, se desprende que todo acto administrativo debe apegarse al Principio de Congruencia, el cual implica que exista concordancia entre el requerimiento formulado y la respuesta entregada; por lo que, se considera que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incumplió con dicho principio.</w:t>
      </w:r>
    </w:p>
    <w:p w14:paraId="32900629"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5A492ADC"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Aunado a lo anterior, como se determinó en líneas argumentativas anteriores,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no efectuó un turno correcto de la solicitud de información, por lo que a consideración de este Organismo Garante, la información proporcionada atiende la solicitud de manera parcial, por lo que se refiere al nombre de algunos servidores públicos dados de baja, ya que no existe certeza de que efectivamente las pólizas cheques entregadas en respuesta correspondan con la totalidad de la información generada en el periodo requerido, dado que no hubo un pronunciamiento concreto en tal sentido por parte del servidor público habilitado competente, sin olvidar que no se hizo entrega del monto total por concepto de finiquito, los acuses de recepción correspondientes, y las causas o motivos de baja.</w:t>
      </w:r>
    </w:p>
    <w:p w14:paraId="43FE1D34"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06B32138"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Bajo esta línea de pensamiento, se estima que para satisfacer los requerimientos del particular,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deberá efectuar una búsqueda exhaustiva y razonable en los archivos del área competente, con la finalidad de proporcionar el soporte documental generado del uno de enero de dos mil veintidós al veinticinco de noviembre de dos mil veinticuatro, en versión pública de ser procedente, que dé cuenta de:</w:t>
      </w:r>
    </w:p>
    <w:p w14:paraId="210E2634"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36DC6FF5" w14:textId="77777777" w:rsidR="00021793" w:rsidRPr="0083694D" w:rsidRDefault="00122CAC">
      <w:pPr>
        <w:numPr>
          <w:ilvl w:val="0"/>
          <w:numId w:val="5"/>
        </w:numPr>
        <w:pBdr>
          <w:top w:val="nil"/>
          <w:left w:val="nil"/>
          <w:bottom w:val="nil"/>
          <w:right w:val="nil"/>
          <w:between w:val="nil"/>
        </w:pBdr>
        <w:tabs>
          <w:tab w:val="left" w:pos="1134"/>
        </w:tabs>
        <w:spacing w:line="276" w:lineRule="auto"/>
        <w:ind w:left="567" w:right="900" w:hanging="283"/>
        <w:jc w:val="both"/>
        <w:rPr>
          <w:rFonts w:ascii="Palatino Linotype" w:eastAsia="Palatino Linotype" w:hAnsi="Palatino Linotype" w:cs="Palatino Linotype"/>
          <w:b/>
          <w:i/>
          <w:sz w:val="22"/>
          <w:szCs w:val="22"/>
        </w:rPr>
      </w:pPr>
      <w:r w:rsidRPr="0083694D">
        <w:rPr>
          <w:rFonts w:ascii="Palatino Linotype" w:eastAsia="Palatino Linotype" w:hAnsi="Palatino Linotype" w:cs="Palatino Linotype"/>
          <w:b/>
          <w:i/>
          <w:sz w:val="22"/>
          <w:szCs w:val="22"/>
        </w:rPr>
        <w:lastRenderedPageBreak/>
        <w:t>El nombre de los servidores públicos que fueron dados de baja, faltantes,</w:t>
      </w:r>
    </w:p>
    <w:p w14:paraId="41BFE664" w14:textId="77777777" w:rsidR="00021793" w:rsidRPr="0083694D" w:rsidRDefault="00122CAC">
      <w:pPr>
        <w:numPr>
          <w:ilvl w:val="0"/>
          <w:numId w:val="5"/>
        </w:numPr>
        <w:pBdr>
          <w:top w:val="nil"/>
          <w:left w:val="nil"/>
          <w:bottom w:val="nil"/>
          <w:right w:val="nil"/>
          <w:between w:val="nil"/>
        </w:pBdr>
        <w:tabs>
          <w:tab w:val="left" w:pos="1134"/>
        </w:tabs>
        <w:spacing w:line="276" w:lineRule="auto"/>
        <w:ind w:left="567" w:right="900" w:hanging="283"/>
        <w:jc w:val="both"/>
        <w:rPr>
          <w:rFonts w:ascii="Palatino Linotype" w:eastAsia="Palatino Linotype" w:hAnsi="Palatino Linotype" w:cs="Palatino Linotype"/>
          <w:b/>
          <w:i/>
          <w:sz w:val="22"/>
          <w:szCs w:val="22"/>
        </w:rPr>
      </w:pPr>
      <w:r w:rsidRPr="0083694D">
        <w:rPr>
          <w:rFonts w:ascii="Palatino Linotype" w:eastAsia="Palatino Linotype" w:hAnsi="Palatino Linotype" w:cs="Palatino Linotype"/>
          <w:b/>
          <w:i/>
          <w:sz w:val="22"/>
          <w:szCs w:val="22"/>
        </w:rPr>
        <w:t>El monto total por concepto de finiquito de cada servidor público dado de baja en el periodo señalado, y el acuse de recepción del mismo.</w:t>
      </w:r>
    </w:p>
    <w:p w14:paraId="79F662BE" w14:textId="77777777" w:rsidR="00021793" w:rsidRPr="0083694D" w:rsidRDefault="00122CAC">
      <w:pPr>
        <w:numPr>
          <w:ilvl w:val="0"/>
          <w:numId w:val="5"/>
        </w:numPr>
        <w:pBdr>
          <w:top w:val="nil"/>
          <w:left w:val="nil"/>
          <w:bottom w:val="nil"/>
          <w:right w:val="nil"/>
          <w:between w:val="nil"/>
        </w:pBdr>
        <w:tabs>
          <w:tab w:val="left" w:pos="1134"/>
        </w:tabs>
        <w:spacing w:line="276" w:lineRule="auto"/>
        <w:ind w:left="567" w:right="900" w:hanging="283"/>
        <w:jc w:val="both"/>
        <w:rPr>
          <w:rFonts w:ascii="Palatino Linotype" w:eastAsia="Palatino Linotype" w:hAnsi="Palatino Linotype" w:cs="Palatino Linotype"/>
          <w:b/>
          <w:i/>
          <w:sz w:val="22"/>
          <w:szCs w:val="22"/>
        </w:rPr>
      </w:pPr>
      <w:r w:rsidRPr="0083694D">
        <w:rPr>
          <w:rFonts w:ascii="Palatino Linotype" w:eastAsia="Palatino Linotype" w:hAnsi="Palatino Linotype" w:cs="Palatino Linotype"/>
          <w:b/>
          <w:i/>
          <w:sz w:val="22"/>
          <w:szCs w:val="22"/>
        </w:rPr>
        <w:t>Las causas o motivos de la baja de cada servidor público.</w:t>
      </w:r>
    </w:p>
    <w:p w14:paraId="7C36F9BF"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Es de suma importancia mencionar que en el presente caso, se está solicitando la entrega de los motivos o las causas de baja, siendo estas, por ejemplo, el despido, la renuncia, entre otras, información que es considerada pública, no así los motivos de la renuncia, los cuales., por su naturaleza revisten el carácter de información confidencial, al vincularse con una decisión personal que solo atañe a su titular, misma que incide en su esfera más íntima de privacidad.</w:t>
      </w:r>
    </w:p>
    <w:p w14:paraId="641815C9"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Asimismo, se menciona que, para el caso de que derivado de la búsqueda que se ordena no se llegara a localizar información adicional a la proporcionada respecto de los servidores públicos de baja, así como en aquellos casos en los cuales no se hubiera determinado un monto de finiquito o liquidación, o bien, no se hubiera hecho la entrega del mismo tomando como referencia que la persona solicitante requirió la entrega de información a la fecha de presentación de la solicitud, bastará con que así se haga del conocimiento de la persona solicitante para tener por satisfecho del derecho de acceso, de conformidad con lo previsto en el artículo 19, párrafo segundo de la Ley de Transparencia y Acceso a la Información Pública del Estado de México y Municipios, a saber:</w:t>
      </w:r>
    </w:p>
    <w:p w14:paraId="0B08B489" w14:textId="77777777" w:rsidR="00021793" w:rsidRPr="0083694D" w:rsidRDefault="00122CAC">
      <w:pPr>
        <w:spacing w:before="120" w:after="120" w:line="276" w:lineRule="auto"/>
        <w:ind w:left="851" w:right="902"/>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w:t>
      </w:r>
      <w:r w:rsidRPr="0083694D">
        <w:rPr>
          <w:rFonts w:ascii="Palatino Linotype" w:eastAsia="Palatino Linotype" w:hAnsi="Palatino Linotype" w:cs="Palatino Linotype"/>
          <w:b/>
          <w:i/>
          <w:sz w:val="22"/>
          <w:szCs w:val="22"/>
        </w:rPr>
        <w:t>Artículo 19</w:t>
      </w:r>
      <w:r w:rsidRPr="0083694D">
        <w:rPr>
          <w:rFonts w:ascii="Palatino Linotype" w:eastAsia="Palatino Linotype" w:hAnsi="Palatino Linotype" w:cs="Palatino Linotype"/>
          <w:i/>
          <w:sz w:val="22"/>
          <w:szCs w:val="22"/>
        </w:rPr>
        <w:t>…</w:t>
      </w:r>
    </w:p>
    <w:p w14:paraId="6802B08D" w14:textId="77777777" w:rsidR="00021793" w:rsidRPr="0083694D" w:rsidRDefault="00122CAC">
      <w:pPr>
        <w:spacing w:before="120" w:after="120" w:line="276" w:lineRule="auto"/>
        <w:ind w:left="851" w:right="902"/>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4A3C07AF"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Finalmente, toda vez que la persona solicitante requirió copia de documento firmado del finiquito, es decir el acuse del mismo, lo idóneo es ordenar la entrega de la información, a </w:t>
      </w:r>
      <w:r w:rsidRPr="0083694D">
        <w:rPr>
          <w:rFonts w:ascii="Palatino Linotype" w:eastAsia="Palatino Linotype" w:hAnsi="Palatino Linotype" w:cs="Palatino Linotype"/>
          <w:sz w:val="22"/>
          <w:szCs w:val="22"/>
        </w:rPr>
        <w:lastRenderedPageBreak/>
        <w:t xml:space="preserve">través del </w:t>
      </w:r>
      <w:r w:rsidRPr="0083694D">
        <w:rPr>
          <w:rFonts w:ascii="Palatino Linotype" w:eastAsia="Palatino Linotype" w:hAnsi="Palatino Linotype" w:cs="Palatino Linotype"/>
          <w:b/>
          <w:sz w:val="22"/>
          <w:szCs w:val="22"/>
        </w:rPr>
        <w:t>SAIMEX</w:t>
      </w:r>
      <w:r w:rsidRPr="0083694D">
        <w:rPr>
          <w:rFonts w:ascii="Palatino Linotype" w:eastAsia="Palatino Linotype" w:hAnsi="Palatino Linotype" w:cs="Palatino Linotype"/>
          <w:sz w:val="22"/>
          <w:szCs w:val="22"/>
        </w:rPr>
        <w:t xml:space="preserve">, puesto que, al ser un documento electrónico o digitalizado, cuentan con la característica de ser descargable a cualquier equipo de cómputo para la libre manipulación de los Particulares, es decir, si la información se encuentra en documentos electrónicos, estos se pueden descargar de manera fácil y sencilla a un equipo de cómputo para que, posteriormente por cuenta de la persona solicitante, sea transferido a los dispositivos de almacenamiento que desee, o en su caso, </w:t>
      </w:r>
      <w:r w:rsidRPr="0083694D">
        <w:rPr>
          <w:rFonts w:ascii="Palatino Linotype" w:eastAsia="Palatino Linotype" w:hAnsi="Palatino Linotype" w:cs="Palatino Linotype"/>
          <w:b/>
          <w:sz w:val="22"/>
          <w:szCs w:val="22"/>
        </w:rPr>
        <w:t>sea impreso, lo que se configura como copia simple</w:t>
      </w:r>
      <w:r w:rsidRPr="0083694D">
        <w:rPr>
          <w:rFonts w:ascii="Palatino Linotype" w:eastAsia="Palatino Linotype" w:hAnsi="Palatino Linotype" w:cs="Palatino Linotype"/>
          <w:sz w:val="22"/>
          <w:szCs w:val="22"/>
        </w:rPr>
        <w:t xml:space="preserve">; de lo anterior, tenemos que, al ser entregado de forma digital o electrónica a través del </w:t>
      </w:r>
      <w:r w:rsidRPr="0083694D">
        <w:rPr>
          <w:rFonts w:ascii="Palatino Linotype" w:eastAsia="Palatino Linotype" w:hAnsi="Palatino Linotype" w:cs="Palatino Linotype"/>
          <w:b/>
          <w:sz w:val="22"/>
          <w:szCs w:val="22"/>
        </w:rPr>
        <w:t>SAIMEX</w:t>
      </w:r>
      <w:r w:rsidRPr="0083694D">
        <w:rPr>
          <w:rFonts w:ascii="Palatino Linotype" w:eastAsia="Palatino Linotype" w:hAnsi="Palatino Linotype" w:cs="Palatino Linotype"/>
          <w:sz w:val="22"/>
          <w:szCs w:val="22"/>
        </w:rPr>
        <w:t xml:space="preserve">, como es el caso, la hoy parte </w:t>
      </w:r>
      <w:r w:rsidRPr="0083694D">
        <w:rPr>
          <w:rFonts w:ascii="Palatino Linotype" w:eastAsia="Palatino Linotype" w:hAnsi="Palatino Linotype" w:cs="Palatino Linotype"/>
          <w:b/>
          <w:sz w:val="22"/>
          <w:szCs w:val="22"/>
        </w:rPr>
        <w:t>Recurrente</w:t>
      </w:r>
      <w:r w:rsidRPr="0083694D">
        <w:rPr>
          <w:rFonts w:ascii="Palatino Linotype" w:eastAsia="Palatino Linotype" w:hAnsi="Palatino Linotype" w:cs="Palatino Linotype"/>
          <w:sz w:val="22"/>
          <w:szCs w:val="22"/>
        </w:rPr>
        <w:t xml:space="preserve"> puede hacer uso de la información a su libre elección.</w:t>
      </w:r>
    </w:p>
    <w:p w14:paraId="7BFFA514" w14:textId="77777777" w:rsidR="00021793" w:rsidRPr="0083694D" w:rsidRDefault="00122CA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De lo hasta aquí expuesto, se concluye que los motivos de inconformidad de la parte </w:t>
      </w:r>
      <w:r w:rsidRPr="0083694D">
        <w:rPr>
          <w:rFonts w:ascii="Palatino Linotype" w:eastAsia="Palatino Linotype" w:hAnsi="Palatino Linotype" w:cs="Palatino Linotype"/>
          <w:b/>
          <w:sz w:val="22"/>
          <w:szCs w:val="22"/>
        </w:rPr>
        <w:t xml:space="preserve">Recurrente </w:t>
      </w:r>
      <w:r w:rsidRPr="0083694D">
        <w:rPr>
          <w:rFonts w:ascii="Palatino Linotype" w:eastAsia="Palatino Linotype" w:hAnsi="Palatino Linotype" w:cs="Palatino Linotype"/>
          <w:sz w:val="22"/>
          <w:szCs w:val="22"/>
        </w:rPr>
        <w:t xml:space="preserve">devienen parcialmente fundados, siendo procedente </w:t>
      </w:r>
      <w:r w:rsidRPr="0083694D">
        <w:rPr>
          <w:rFonts w:ascii="Palatino Linotype" w:eastAsia="Palatino Linotype" w:hAnsi="Palatino Linotype" w:cs="Palatino Linotype"/>
          <w:b/>
          <w:sz w:val="22"/>
          <w:szCs w:val="22"/>
        </w:rPr>
        <w:t>MODIFICAR</w:t>
      </w:r>
      <w:r w:rsidRPr="0083694D">
        <w:rPr>
          <w:rFonts w:ascii="Palatino Linotype" w:eastAsia="Palatino Linotype" w:hAnsi="Palatino Linotype" w:cs="Palatino Linotype"/>
          <w:i/>
          <w:sz w:val="22"/>
          <w:szCs w:val="22"/>
        </w:rPr>
        <w:t xml:space="preserve"> </w:t>
      </w:r>
      <w:r w:rsidRPr="0083694D">
        <w:rPr>
          <w:rFonts w:ascii="Palatino Linotype" w:eastAsia="Palatino Linotype" w:hAnsi="Palatino Linotype" w:cs="Palatino Linotype"/>
          <w:sz w:val="22"/>
          <w:szCs w:val="22"/>
        </w:rPr>
        <w:t xml:space="preserve">la respuesta proporcionada por el </w:t>
      </w:r>
      <w:r w:rsidRPr="0083694D">
        <w:rPr>
          <w:rFonts w:ascii="Palatino Linotype" w:eastAsia="Palatino Linotype" w:hAnsi="Palatino Linotype" w:cs="Palatino Linotype"/>
          <w:b/>
          <w:sz w:val="22"/>
          <w:szCs w:val="22"/>
        </w:rPr>
        <w:t xml:space="preserve">Sujeto Obligado </w:t>
      </w:r>
      <w:r w:rsidRPr="0083694D">
        <w:rPr>
          <w:rFonts w:ascii="Palatino Linotype" w:eastAsia="Palatino Linotype" w:hAnsi="Palatino Linotype" w:cs="Palatino Linotype"/>
          <w:sz w:val="22"/>
          <w:szCs w:val="22"/>
        </w:rPr>
        <w:t>en términos del artículo 186 fracción III de la Ley de Transparencia y Acceso a la Información Pública del Estado de México y Municipios.</w:t>
      </w:r>
    </w:p>
    <w:p w14:paraId="196CEEAC" w14:textId="77777777" w:rsidR="00021793" w:rsidRPr="0083694D" w:rsidRDefault="00122CAC">
      <w:pPr>
        <w:spacing w:before="240" w:after="240" w:line="360" w:lineRule="auto"/>
        <w:ind w:right="49"/>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t xml:space="preserve">Quinto. Versión Pública. </w:t>
      </w:r>
      <w:r w:rsidRPr="0083694D">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83694D">
        <w:rPr>
          <w:rFonts w:ascii="Palatino Linotype" w:eastAsia="Palatino Linotype" w:hAnsi="Palatino Linotype" w:cs="Palatino Linotype"/>
          <w:b/>
          <w:sz w:val="22"/>
          <w:szCs w:val="22"/>
        </w:rPr>
        <w:t>la parte</w:t>
      </w:r>
      <w:r w:rsidRPr="0083694D">
        <w:rPr>
          <w:rFonts w:ascii="Palatino Linotype" w:eastAsia="Palatino Linotype" w:hAnsi="Palatino Linotype" w:cs="Palatino Linotype"/>
          <w:sz w:val="22"/>
          <w:szCs w:val="22"/>
        </w:rPr>
        <w:t xml:space="preserve"> </w:t>
      </w:r>
      <w:r w:rsidRPr="0083694D">
        <w:rPr>
          <w:rFonts w:ascii="Palatino Linotype" w:eastAsia="Palatino Linotype" w:hAnsi="Palatino Linotype" w:cs="Palatino Linotype"/>
          <w:b/>
          <w:sz w:val="22"/>
          <w:szCs w:val="22"/>
        </w:rPr>
        <w:t>Recurrente</w:t>
      </w:r>
      <w:r w:rsidRPr="0083694D">
        <w:rPr>
          <w:rFonts w:ascii="Palatino Linotype" w:eastAsia="Palatino Linotype" w:hAnsi="Palatino Linotype" w:cs="Palatino Linotype"/>
          <w:sz w:val="22"/>
          <w:szCs w:val="22"/>
        </w:rPr>
        <w:t xml:space="preserve"> sin menoscabar el derecho a la protección de los datos personales de terceros.</w:t>
      </w:r>
    </w:p>
    <w:p w14:paraId="030D0073" w14:textId="77777777" w:rsidR="00021793" w:rsidRPr="0083694D" w:rsidRDefault="00122CAC">
      <w:pPr>
        <w:spacing w:before="240" w:after="240" w:line="360" w:lineRule="auto"/>
        <w:ind w:right="49"/>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24D6E597" w14:textId="77777777" w:rsidR="00021793" w:rsidRPr="0083694D" w:rsidRDefault="00122CAC">
      <w:pPr>
        <w:ind w:left="993" w:right="1041"/>
        <w:jc w:val="both"/>
        <w:rPr>
          <w:rFonts w:ascii="Palatino Linotype" w:eastAsia="Palatino Linotype" w:hAnsi="Palatino Linotype" w:cs="Palatino Linotype"/>
          <w:b/>
          <w:i/>
          <w:sz w:val="22"/>
          <w:szCs w:val="22"/>
        </w:rPr>
      </w:pPr>
      <w:r w:rsidRPr="0083694D">
        <w:rPr>
          <w:rFonts w:ascii="Palatino Linotype" w:eastAsia="Palatino Linotype" w:hAnsi="Palatino Linotype" w:cs="Palatino Linotype"/>
          <w:b/>
          <w:i/>
          <w:sz w:val="22"/>
          <w:szCs w:val="22"/>
        </w:rPr>
        <w:lastRenderedPageBreak/>
        <w:t xml:space="preserve"> “Artículo 3. Para los efectos de la presente Ley se entenderá por:</w:t>
      </w:r>
    </w:p>
    <w:p w14:paraId="633292F8" w14:textId="77777777" w:rsidR="00021793" w:rsidRPr="0083694D" w:rsidRDefault="00122CAC">
      <w:pPr>
        <w:ind w:left="993" w:right="1041"/>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IX. Datos personales:</w:t>
      </w:r>
      <w:r w:rsidRPr="0083694D">
        <w:rPr>
          <w:rFonts w:ascii="Palatino Linotype" w:eastAsia="Palatino Linotype" w:hAnsi="Palatino Linotype" w:cs="Palatino Linotype"/>
          <w:i/>
          <w:sz w:val="22"/>
          <w:szCs w:val="22"/>
        </w:rPr>
        <w:t xml:space="preserve"> </w:t>
      </w:r>
      <w:r w:rsidRPr="0083694D">
        <w:rPr>
          <w:rFonts w:ascii="Palatino Linotype" w:eastAsia="Palatino Linotype" w:hAnsi="Palatino Linotype" w:cs="Palatino Linotype"/>
          <w:b/>
          <w:i/>
          <w:sz w:val="22"/>
          <w:szCs w:val="22"/>
        </w:rPr>
        <w:t>La información concerniente a una persona, identificada o identificable</w:t>
      </w:r>
      <w:r w:rsidRPr="0083694D">
        <w:rPr>
          <w:rFonts w:ascii="Palatino Linotype" w:eastAsia="Palatino Linotype" w:hAnsi="Palatino Linotype" w:cs="Palatino Linotype"/>
          <w:i/>
          <w:sz w:val="22"/>
          <w:szCs w:val="22"/>
        </w:rPr>
        <w:t xml:space="preserve"> según lo dispuesto por la Ley de Protección de Datos Personales del Estado de México;</w:t>
      </w:r>
    </w:p>
    <w:p w14:paraId="263D1F05" w14:textId="77777777" w:rsidR="00021793" w:rsidRPr="0083694D" w:rsidRDefault="00122CAC">
      <w:pPr>
        <w:ind w:left="993" w:right="1041"/>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XX. Información clasificada:</w:t>
      </w:r>
      <w:r w:rsidRPr="0083694D">
        <w:rPr>
          <w:rFonts w:ascii="Palatino Linotype" w:eastAsia="Palatino Linotype" w:hAnsi="Palatino Linotype" w:cs="Palatino Linotype"/>
          <w:i/>
          <w:sz w:val="22"/>
          <w:szCs w:val="22"/>
        </w:rPr>
        <w:t xml:space="preserve"> Aquella considerada por la presente Ley como reservada o confidencial;</w:t>
      </w:r>
    </w:p>
    <w:p w14:paraId="11DBBE03" w14:textId="77777777" w:rsidR="00021793" w:rsidRPr="0083694D" w:rsidRDefault="00122CAC">
      <w:pPr>
        <w:ind w:left="993" w:right="1041"/>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XXXII. Protección de Datos Personales:</w:t>
      </w:r>
      <w:r w:rsidRPr="0083694D">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36153F99" w14:textId="77777777" w:rsidR="00021793" w:rsidRPr="0083694D" w:rsidRDefault="00122CAC">
      <w:pPr>
        <w:ind w:left="993" w:right="1041"/>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XLV. Versión pública</w:t>
      </w:r>
      <w:r w:rsidRPr="0083694D">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835A77F" w14:textId="77777777" w:rsidR="00021793" w:rsidRPr="0083694D" w:rsidRDefault="00021793">
      <w:pPr>
        <w:ind w:left="993" w:right="1041"/>
        <w:jc w:val="both"/>
        <w:rPr>
          <w:rFonts w:ascii="Palatino Linotype" w:eastAsia="Palatino Linotype" w:hAnsi="Palatino Linotype" w:cs="Palatino Linotype"/>
          <w:i/>
          <w:sz w:val="22"/>
          <w:szCs w:val="22"/>
        </w:rPr>
      </w:pPr>
    </w:p>
    <w:p w14:paraId="6D67A7F3" w14:textId="77777777" w:rsidR="00021793" w:rsidRPr="0083694D" w:rsidRDefault="00122CAC">
      <w:pPr>
        <w:ind w:left="993" w:right="1041"/>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“Artículo 6.</w:t>
      </w:r>
      <w:r w:rsidRPr="0083694D">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CA2F5EF" w14:textId="77777777" w:rsidR="00021793" w:rsidRPr="0083694D" w:rsidRDefault="00021793">
      <w:pPr>
        <w:ind w:left="993" w:right="1041"/>
        <w:jc w:val="both"/>
        <w:rPr>
          <w:rFonts w:ascii="Palatino Linotype" w:eastAsia="Palatino Linotype" w:hAnsi="Palatino Linotype" w:cs="Palatino Linotype"/>
          <w:i/>
          <w:sz w:val="22"/>
          <w:szCs w:val="22"/>
        </w:rPr>
      </w:pPr>
    </w:p>
    <w:p w14:paraId="52C1B7F3" w14:textId="77777777" w:rsidR="00021793" w:rsidRPr="0083694D" w:rsidRDefault="00122CAC">
      <w:pPr>
        <w:ind w:left="993" w:right="1041"/>
        <w:jc w:val="both"/>
        <w:rPr>
          <w:rFonts w:ascii="Palatino Linotype" w:eastAsia="Palatino Linotype" w:hAnsi="Palatino Linotype" w:cs="Palatino Linotype"/>
          <w:b/>
          <w:i/>
          <w:sz w:val="22"/>
          <w:szCs w:val="22"/>
        </w:rPr>
      </w:pPr>
      <w:r w:rsidRPr="0083694D">
        <w:rPr>
          <w:rFonts w:ascii="Palatino Linotype" w:eastAsia="Palatino Linotype" w:hAnsi="Palatino Linotype" w:cs="Palatino Linotype"/>
          <w:b/>
          <w:i/>
          <w:sz w:val="22"/>
          <w:szCs w:val="22"/>
        </w:rPr>
        <w:t>“Artículo 137.</w:t>
      </w:r>
      <w:r w:rsidRPr="0083694D">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CBAD538" w14:textId="77777777" w:rsidR="00021793" w:rsidRPr="0083694D" w:rsidRDefault="00021793">
      <w:pPr>
        <w:ind w:left="993" w:right="1041"/>
        <w:jc w:val="both"/>
        <w:rPr>
          <w:rFonts w:ascii="Palatino Linotype" w:eastAsia="Palatino Linotype" w:hAnsi="Palatino Linotype" w:cs="Palatino Linotype"/>
          <w:b/>
          <w:i/>
          <w:sz w:val="22"/>
          <w:szCs w:val="22"/>
        </w:rPr>
      </w:pPr>
    </w:p>
    <w:p w14:paraId="5692AD6B" w14:textId="77777777" w:rsidR="00021793" w:rsidRPr="0083694D" w:rsidRDefault="00122CAC">
      <w:pPr>
        <w:ind w:left="993" w:right="1041"/>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“Artículo 143</w:t>
      </w:r>
      <w:r w:rsidRPr="0083694D">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413C740" w14:textId="77777777" w:rsidR="00021793" w:rsidRPr="0083694D" w:rsidRDefault="00122CAC">
      <w:pPr>
        <w:ind w:left="993" w:right="1041"/>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I.</w:t>
      </w:r>
      <w:r w:rsidRPr="0083694D">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5CFB2E0" w14:textId="77777777" w:rsidR="00021793" w:rsidRPr="0083694D" w:rsidRDefault="00122CAC">
      <w:pPr>
        <w:ind w:left="993" w:right="1041"/>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C0DFFEF" w14:textId="77777777" w:rsidR="00021793" w:rsidRPr="0083694D" w:rsidRDefault="00122CAC">
      <w:pPr>
        <w:ind w:left="993" w:right="1041"/>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lastRenderedPageBreak/>
        <w:t xml:space="preserve">III. La que presenten los particulares a los sujetos obligados, de conformidad con lo dispuesto por las leyes o los tratados internacionales.” </w:t>
      </w:r>
    </w:p>
    <w:p w14:paraId="20205562" w14:textId="77777777" w:rsidR="00021793" w:rsidRPr="0083694D" w:rsidRDefault="00021793">
      <w:pPr>
        <w:ind w:left="993" w:right="1041"/>
        <w:jc w:val="both"/>
        <w:rPr>
          <w:rFonts w:ascii="Palatino Linotype" w:eastAsia="Palatino Linotype" w:hAnsi="Palatino Linotype" w:cs="Palatino Linotype"/>
          <w:i/>
          <w:sz w:val="22"/>
          <w:szCs w:val="22"/>
        </w:rPr>
      </w:pPr>
    </w:p>
    <w:p w14:paraId="1378571D" w14:textId="77777777" w:rsidR="00021793" w:rsidRPr="0083694D" w:rsidRDefault="00122CAC">
      <w:pPr>
        <w:spacing w:line="360" w:lineRule="auto"/>
        <w:ind w:right="51"/>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83694D">
        <w:rPr>
          <w:rFonts w:ascii="Palatino Linotype" w:eastAsia="Palatino Linotype" w:hAnsi="Palatino Linotype" w:cs="Palatino Linotype"/>
          <w:b/>
          <w:sz w:val="22"/>
          <w:szCs w:val="22"/>
        </w:rPr>
        <w:t>la parte</w:t>
      </w:r>
      <w:r w:rsidRPr="0083694D">
        <w:rPr>
          <w:rFonts w:ascii="Palatino Linotype" w:eastAsia="Palatino Linotype" w:hAnsi="Palatino Linotype" w:cs="Palatino Linotype"/>
          <w:sz w:val="22"/>
          <w:szCs w:val="22"/>
        </w:rPr>
        <w:t xml:space="preserve"> </w:t>
      </w:r>
      <w:r w:rsidRPr="0083694D">
        <w:rPr>
          <w:rFonts w:ascii="Palatino Linotype" w:eastAsia="Palatino Linotype" w:hAnsi="Palatino Linotype" w:cs="Palatino Linotype"/>
          <w:b/>
          <w:sz w:val="22"/>
          <w:szCs w:val="22"/>
        </w:rPr>
        <w:t>Recurrente</w:t>
      </w:r>
      <w:r w:rsidRPr="0083694D">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AB2A418" w14:textId="77777777" w:rsidR="00021793" w:rsidRPr="0083694D" w:rsidRDefault="00021793">
      <w:pPr>
        <w:spacing w:line="360" w:lineRule="auto"/>
        <w:ind w:right="51"/>
        <w:jc w:val="both"/>
        <w:rPr>
          <w:rFonts w:ascii="Palatino Linotype" w:eastAsia="Palatino Linotype" w:hAnsi="Palatino Linotype" w:cs="Palatino Linotype"/>
          <w:sz w:val="22"/>
          <w:szCs w:val="22"/>
        </w:rPr>
      </w:pPr>
    </w:p>
    <w:p w14:paraId="024DD4CF" w14:textId="77777777" w:rsidR="00021793" w:rsidRPr="0083694D" w:rsidRDefault="00122CAC">
      <w:pPr>
        <w:spacing w:line="360" w:lineRule="auto"/>
        <w:ind w:right="50"/>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EE9C37D" w14:textId="77777777" w:rsidR="00021793" w:rsidRPr="0083694D" w:rsidRDefault="00021793">
      <w:pPr>
        <w:spacing w:line="360" w:lineRule="auto"/>
        <w:ind w:right="51"/>
        <w:jc w:val="both"/>
        <w:rPr>
          <w:rFonts w:ascii="Palatino Linotype" w:eastAsia="Palatino Linotype" w:hAnsi="Palatino Linotype" w:cs="Palatino Linotype"/>
          <w:sz w:val="22"/>
          <w:szCs w:val="22"/>
        </w:rPr>
      </w:pPr>
    </w:p>
    <w:p w14:paraId="68FD9EC0" w14:textId="77777777" w:rsidR="00021793" w:rsidRPr="0083694D" w:rsidRDefault="00122CAC">
      <w:pPr>
        <w:spacing w:line="360" w:lineRule="auto"/>
        <w:ind w:right="51"/>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64C024C2" w14:textId="77777777" w:rsidR="00021793" w:rsidRPr="0083694D" w:rsidRDefault="00021793">
      <w:pPr>
        <w:spacing w:line="360" w:lineRule="auto"/>
        <w:ind w:right="51"/>
        <w:jc w:val="both"/>
        <w:rPr>
          <w:rFonts w:ascii="Palatino Linotype" w:eastAsia="Palatino Linotype" w:hAnsi="Palatino Linotype" w:cs="Palatino Linotype"/>
          <w:sz w:val="22"/>
          <w:szCs w:val="22"/>
        </w:rPr>
      </w:pPr>
    </w:p>
    <w:p w14:paraId="3A4F0DBA" w14:textId="77777777" w:rsidR="00021793" w:rsidRPr="0083694D" w:rsidRDefault="00122CAC">
      <w:pPr>
        <w:ind w:left="992" w:right="1043"/>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“Artículo 49.</w:t>
      </w:r>
      <w:r w:rsidRPr="0083694D">
        <w:rPr>
          <w:rFonts w:ascii="Palatino Linotype" w:eastAsia="Palatino Linotype" w:hAnsi="Palatino Linotype" w:cs="Palatino Linotype"/>
          <w:i/>
          <w:sz w:val="22"/>
          <w:szCs w:val="22"/>
        </w:rPr>
        <w:t xml:space="preserve"> </w:t>
      </w:r>
      <w:r w:rsidRPr="0083694D">
        <w:rPr>
          <w:rFonts w:ascii="Palatino Linotype" w:eastAsia="Palatino Linotype" w:hAnsi="Palatino Linotype" w:cs="Palatino Linotype"/>
          <w:b/>
          <w:i/>
          <w:sz w:val="22"/>
          <w:szCs w:val="22"/>
        </w:rPr>
        <w:t>Los Comités de Transparencia</w:t>
      </w:r>
      <w:r w:rsidRPr="0083694D">
        <w:rPr>
          <w:rFonts w:ascii="Palatino Linotype" w:eastAsia="Palatino Linotype" w:hAnsi="Palatino Linotype" w:cs="Palatino Linotype"/>
          <w:i/>
          <w:sz w:val="22"/>
          <w:szCs w:val="22"/>
        </w:rPr>
        <w:t xml:space="preserve"> tendrán las siguientes atribuciones:</w:t>
      </w:r>
    </w:p>
    <w:p w14:paraId="05CE7DF4" w14:textId="77777777" w:rsidR="00021793" w:rsidRPr="0083694D" w:rsidRDefault="00122CAC">
      <w:pPr>
        <w:ind w:left="992" w:right="1043"/>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VIII. Aprobar, modificar o revocar la clasificación de la información</w:t>
      </w:r>
      <w:r w:rsidRPr="0083694D">
        <w:rPr>
          <w:rFonts w:ascii="Palatino Linotype" w:eastAsia="Palatino Linotype" w:hAnsi="Palatino Linotype" w:cs="Palatino Linotype"/>
          <w:i/>
          <w:sz w:val="22"/>
          <w:szCs w:val="22"/>
        </w:rPr>
        <w:t>…”</w:t>
      </w:r>
    </w:p>
    <w:p w14:paraId="5DC2A3E6" w14:textId="77777777" w:rsidR="00021793" w:rsidRPr="0083694D" w:rsidRDefault="00122CAC">
      <w:pPr>
        <w:ind w:left="992" w:right="1043"/>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w:t>
      </w:r>
      <w:r w:rsidRPr="0083694D">
        <w:rPr>
          <w:rFonts w:ascii="Palatino Linotype" w:eastAsia="Palatino Linotype" w:hAnsi="Palatino Linotype" w:cs="Palatino Linotype"/>
          <w:b/>
          <w:i/>
          <w:sz w:val="22"/>
          <w:szCs w:val="22"/>
        </w:rPr>
        <w:t>Artículo 53.</w:t>
      </w:r>
      <w:r w:rsidRPr="0083694D">
        <w:rPr>
          <w:rFonts w:ascii="Palatino Linotype" w:eastAsia="Palatino Linotype" w:hAnsi="Palatino Linotype" w:cs="Palatino Linotype"/>
          <w:i/>
          <w:sz w:val="22"/>
          <w:szCs w:val="22"/>
        </w:rPr>
        <w:t xml:space="preserve"> Las </w:t>
      </w:r>
      <w:r w:rsidRPr="0083694D">
        <w:rPr>
          <w:rFonts w:ascii="Palatino Linotype" w:eastAsia="Palatino Linotype" w:hAnsi="Palatino Linotype" w:cs="Palatino Linotype"/>
          <w:b/>
          <w:i/>
          <w:sz w:val="22"/>
          <w:szCs w:val="22"/>
        </w:rPr>
        <w:t>Unidades de Transparencia</w:t>
      </w:r>
      <w:r w:rsidRPr="0083694D">
        <w:rPr>
          <w:rFonts w:ascii="Palatino Linotype" w:eastAsia="Palatino Linotype" w:hAnsi="Palatino Linotype" w:cs="Palatino Linotype"/>
          <w:i/>
          <w:sz w:val="22"/>
          <w:szCs w:val="22"/>
        </w:rPr>
        <w:t xml:space="preserve"> tendrán las siguientes </w:t>
      </w:r>
      <w:r w:rsidRPr="0083694D">
        <w:rPr>
          <w:rFonts w:ascii="Palatino Linotype" w:eastAsia="Palatino Linotype" w:hAnsi="Palatino Linotype" w:cs="Palatino Linotype"/>
          <w:b/>
          <w:i/>
          <w:sz w:val="22"/>
          <w:szCs w:val="22"/>
        </w:rPr>
        <w:t>funciones</w:t>
      </w:r>
      <w:r w:rsidRPr="0083694D">
        <w:rPr>
          <w:rFonts w:ascii="Palatino Linotype" w:eastAsia="Palatino Linotype" w:hAnsi="Palatino Linotype" w:cs="Palatino Linotype"/>
          <w:i/>
          <w:sz w:val="22"/>
          <w:szCs w:val="22"/>
        </w:rPr>
        <w:t>:</w:t>
      </w:r>
    </w:p>
    <w:p w14:paraId="0F16997B" w14:textId="77777777" w:rsidR="00021793" w:rsidRPr="0083694D" w:rsidRDefault="00122CAC">
      <w:pPr>
        <w:ind w:left="992" w:right="1043"/>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X. Presentar ante el Comité, el proyecto de clasificación de información</w:t>
      </w:r>
      <w:r w:rsidRPr="0083694D">
        <w:rPr>
          <w:rFonts w:ascii="Palatino Linotype" w:eastAsia="Palatino Linotype" w:hAnsi="Palatino Linotype" w:cs="Palatino Linotype"/>
          <w:i/>
          <w:sz w:val="22"/>
          <w:szCs w:val="22"/>
        </w:rPr>
        <w:t xml:space="preserve">…” </w:t>
      </w:r>
    </w:p>
    <w:p w14:paraId="710ABEE0" w14:textId="77777777" w:rsidR="00021793" w:rsidRPr="0083694D" w:rsidRDefault="00122CAC">
      <w:pPr>
        <w:ind w:left="992" w:right="1043"/>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“Artículo 59.</w:t>
      </w:r>
      <w:r w:rsidRPr="0083694D">
        <w:rPr>
          <w:rFonts w:ascii="Palatino Linotype" w:eastAsia="Palatino Linotype" w:hAnsi="Palatino Linotype" w:cs="Palatino Linotype"/>
          <w:i/>
          <w:sz w:val="22"/>
          <w:szCs w:val="22"/>
        </w:rPr>
        <w:t xml:space="preserve"> Los </w:t>
      </w:r>
      <w:r w:rsidRPr="0083694D">
        <w:rPr>
          <w:rFonts w:ascii="Palatino Linotype" w:eastAsia="Palatino Linotype" w:hAnsi="Palatino Linotype" w:cs="Palatino Linotype"/>
          <w:b/>
          <w:i/>
          <w:sz w:val="22"/>
          <w:szCs w:val="22"/>
        </w:rPr>
        <w:t>servidores públicos habilitados</w:t>
      </w:r>
      <w:r w:rsidRPr="0083694D">
        <w:rPr>
          <w:rFonts w:ascii="Palatino Linotype" w:eastAsia="Palatino Linotype" w:hAnsi="Palatino Linotype" w:cs="Palatino Linotype"/>
          <w:i/>
          <w:sz w:val="22"/>
          <w:szCs w:val="22"/>
        </w:rPr>
        <w:t xml:space="preserve"> tendrán las </w:t>
      </w:r>
      <w:r w:rsidRPr="0083694D">
        <w:rPr>
          <w:rFonts w:ascii="Palatino Linotype" w:eastAsia="Palatino Linotype" w:hAnsi="Palatino Linotype" w:cs="Palatino Linotype"/>
          <w:b/>
          <w:i/>
          <w:sz w:val="22"/>
          <w:szCs w:val="22"/>
        </w:rPr>
        <w:t>funciones</w:t>
      </w:r>
      <w:r w:rsidRPr="0083694D">
        <w:rPr>
          <w:rFonts w:ascii="Palatino Linotype" w:eastAsia="Palatino Linotype" w:hAnsi="Palatino Linotype" w:cs="Palatino Linotype"/>
          <w:i/>
          <w:sz w:val="22"/>
          <w:szCs w:val="22"/>
        </w:rPr>
        <w:t xml:space="preserve"> siguientes:</w:t>
      </w:r>
    </w:p>
    <w:p w14:paraId="4449843F" w14:textId="77777777" w:rsidR="00021793" w:rsidRPr="0083694D" w:rsidRDefault="00122CAC">
      <w:pPr>
        <w:ind w:left="992" w:right="1043"/>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83694D">
        <w:rPr>
          <w:rFonts w:ascii="Palatino Linotype" w:eastAsia="Palatino Linotype" w:hAnsi="Palatino Linotype" w:cs="Palatino Linotype"/>
          <w:i/>
          <w:sz w:val="22"/>
          <w:szCs w:val="22"/>
        </w:rPr>
        <w:t xml:space="preserve">, la cual tendrá los fundamentos y argumentos en que se basa dicha propuesta…” </w:t>
      </w:r>
    </w:p>
    <w:p w14:paraId="53633BE1" w14:textId="77777777" w:rsidR="00021793" w:rsidRPr="0083694D" w:rsidRDefault="00021793">
      <w:pPr>
        <w:ind w:left="992" w:right="1043"/>
        <w:jc w:val="both"/>
        <w:rPr>
          <w:rFonts w:ascii="Palatino Linotype" w:eastAsia="Palatino Linotype" w:hAnsi="Palatino Linotype" w:cs="Palatino Linotype"/>
          <w:i/>
          <w:sz w:val="22"/>
          <w:szCs w:val="22"/>
        </w:rPr>
      </w:pPr>
    </w:p>
    <w:p w14:paraId="20FCFC29"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4626712"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6E18DD86"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4AF76287" w14:textId="77777777" w:rsidR="00021793" w:rsidRPr="0083694D" w:rsidRDefault="00122CAC">
      <w:pPr>
        <w:spacing w:after="240"/>
        <w:ind w:left="993" w:right="1041"/>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w:t>
      </w:r>
      <w:r w:rsidRPr="0083694D">
        <w:rPr>
          <w:rFonts w:ascii="Palatino Linotype" w:eastAsia="Palatino Linotype" w:hAnsi="Palatino Linotype" w:cs="Palatino Linotype"/>
          <w:b/>
          <w:i/>
          <w:sz w:val="22"/>
          <w:szCs w:val="22"/>
        </w:rPr>
        <w:t>Artículo 149.</w:t>
      </w:r>
      <w:r w:rsidRPr="0083694D">
        <w:rPr>
          <w:rFonts w:ascii="Palatino Linotype" w:eastAsia="Palatino Linotype" w:hAnsi="Palatino Linotype" w:cs="Palatino Linotype"/>
          <w:i/>
          <w:sz w:val="22"/>
          <w:szCs w:val="22"/>
        </w:rPr>
        <w:t xml:space="preserve"> El </w:t>
      </w:r>
      <w:r w:rsidRPr="0083694D">
        <w:rPr>
          <w:rFonts w:ascii="Palatino Linotype" w:eastAsia="Palatino Linotype" w:hAnsi="Palatino Linotype" w:cs="Palatino Linotype"/>
          <w:b/>
          <w:i/>
          <w:sz w:val="22"/>
          <w:szCs w:val="22"/>
        </w:rPr>
        <w:t>acuerdo que clasifique la información como confidencial</w:t>
      </w:r>
      <w:r w:rsidRPr="0083694D">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0F8BB0D5" w14:textId="77777777" w:rsidR="00021793" w:rsidRPr="0083694D" w:rsidRDefault="00122CAC">
      <w:pPr>
        <w:spacing w:line="360" w:lineRule="auto"/>
        <w:ind w:right="51"/>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lastRenderedPageBreak/>
        <w:t xml:space="preserve">Es decir,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7D0BA268"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4262777A"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Al respecto, se destaca que la versión pública que elabore el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83694D">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83694D">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68E5B5C" w14:textId="77777777" w:rsidR="00021793" w:rsidRPr="0083694D" w:rsidRDefault="00021793">
      <w:pPr>
        <w:ind w:left="709" w:right="709"/>
        <w:jc w:val="both"/>
        <w:rPr>
          <w:rFonts w:ascii="Palatino Linotype" w:eastAsia="Palatino Linotype" w:hAnsi="Palatino Linotype" w:cs="Palatino Linotype"/>
          <w:b/>
          <w:i/>
          <w:sz w:val="22"/>
          <w:szCs w:val="22"/>
        </w:rPr>
      </w:pPr>
    </w:p>
    <w:p w14:paraId="2E53C2AC"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5E6009B0"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i/>
          <w:sz w:val="22"/>
          <w:szCs w:val="22"/>
        </w:rPr>
        <w:t>“</w:t>
      </w:r>
      <w:r w:rsidRPr="0083694D">
        <w:rPr>
          <w:rFonts w:ascii="Palatino Linotype" w:eastAsia="Palatino Linotype" w:hAnsi="Palatino Linotype" w:cs="Palatino Linotype"/>
          <w:b/>
          <w:i/>
          <w:sz w:val="22"/>
          <w:szCs w:val="22"/>
        </w:rPr>
        <w:t>Segundo.-</w:t>
      </w:r>
      <w:r w:rsidRPr="0083694D">
        <w:rPr>
          <w:rFonts w:ascii="Palatino Linotype" w:eastAsia="Palatino Linotype" w:hAnsi="Palatino Linotype" w:cs="Palatino Linotype"/>
          <w:i/>
          <w:sz w:val="22"/>
          <w:szCs w:val="22"/>
        </w:rPr>
        <w:t xml:space="preserve"> Para efectos de los presentes Lineamientos Generales, se entenderá por:</w:t>
      </w:r>
    </w:p>
    <w:p w14:paraId="25609089"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b/>
          <w:i/>
          <w:sz w:val="22"/>
          <w:szCs w:val="22"/>
        </w:rPr>
        <w:t>XVIII.</w:t>
      </w:r>
      <w:r w:rsidRPr="0083694D">
        <w:rPr>
          <w:rFonts w:ascii="Palatino Linotype" w:eastAsia="Palatino Linotype" w:hAnsi="Palatino Linotype" w:cs="Palatino Linotype"/>
          <w:i/>
          <w:sz w:val="22"/>
          <w:szCs w:val="22"/>
        </w:rPr>
        <w:t xml:space="preserve"> </w:t>
      </w:r>
      <w:r w:rsidRPr="0083694D">
        <w:rPr>
          <w:rFonts w:ascii="Palatino Linotype" w:eastAsia="Palatino Linotype" w:hAnsi="Palatino Linotype" w:cs="Palatino Linotype"/>
          <w:b/>
          <w:i/>
          <w:sz w:val="22"/>
          <w:szCs w:val="22"/>
        </w:rPr>
        <w:t>Versión pública:</w:t>
      </w:r>
      <w:r w:rsidRPr="0083694D">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w:t>
      </w:r>
      <w:r w:rsidRPr="0083694D">
        <w:rPr>
          <w:rFonts w:ascii="Palatino Linotype" w:eastAsia="Palatino Linotype" w:hAnsi="Palatino Linotype" w:cs="Palatino Linotype"/>
          <w:i/>
          <w:sz w:val="22"/>
          <w:szCs w:val="22"/>
        </w:rPr>
        <w:lastRenderedPageBreak/>
        <w:t xml:space="preserve">de éstas de manera genérica, </w:t>
      </w:r>
      <w:r w:rsidRPr="0083694D">
        <w:rPr>
          <w:rFonts w:ascii="Palatino Linotype" w:eastAsia="Palatino Linotype" w:hAnsi="Palatino Linotype" w:cs="Palatino Linotype"/>
          <w:b/>
          <w:i/>
          <w:sz w:val="22"/>
          <w:szCs w:val="22"/>
          <w:u w:val="single"/>
        </w:rPr>
        <w:t>fundando y motivando la</w:t>
      </w:r>
      <w:r w:rsidRPr="0083694D">
        <w:rPr>
          <w:rFonts w:ascii="Palatino Linotype" w:eastAsia="Palatino Linotype" w:hAnsi="Palatino Linotype" w:cs="Palatino Linotype"/>
          <w:i/>
          <w:sz w:val="22"/>
          <w:szCs w:val="22"/>
        </w:rPr>
        <w:t xml:space="preserve"> reserva o </w:t>
      </w:r>
      <w:r w:rsidRPr="0083694D">
        <w:rPr>
          <w:rFonts w:ascii="Palatino Linotype" w:eastAsia="Palatino Linotype" w:hAnsi="Palatino Linotype" w:cs="Palatino Linotype"/>
          <w:b/>
          <w:i/>
          <w:sz w:val="22"/>
          <w:szCs w:val="22"/>
          <w:u w:val="single"/>
        </w:rPr>
        <w:t>confidencialidad</w:t>
      </w:r>
      <w:r w:rsidRPr="0083694D">
        <w:rPr>
          <w:rFonts w:ascii="Palatino Linotype" w:eastAsia="Palatino Linotype" w:hAnsi="Palatino Linotype" w:cs="Palatino Linotype"/>
          <w:i/>
          <w:sz w:val="22"/>
          <w:szCs w:val="22"/>
        </w:rPr>
        <w:t>, a través de la resolución que para tal efecto emita el Comité de Transparencia.</w:t>
      </w:r>
    </w:p>
    <w:p w14:paraId="0495AB52"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b/>
          <w:i/>
          <w:sz w:val="22"/>
          <w:szCs w:val="22"/>
        </w:rPr>
        <w:t>Cuarto.</w:t>
      </w:r>
      <w:r w:rsidRPr="0083694D">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CDA0A34"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3C66D8B"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b/>
          <w:i/>
          <w:sz w:val="22"/>
          <w:szCs w:val="22"/>
        </w:rPr>
        <w:t>Quinto.</w:t>
      </w:r>
      <w:r w:rsidRPr="0083694D">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E6542B0"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b/>
          <w:i/>
          <w:sz w:val="22"/>
          <w:szCs w:val="22"/>
        </w:rPr>
        <w:t>…</w:t>
      </w:r>
    </w:p>
    <w:p w14:paraId="0DBC47F0"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b/>
          <w:i/>
          <w:sz w:val="22"/>
          <w:szCs w:val="22"/>
        </w:rPr>
        <w:t>Séptimo.</w:t>
      </w:r>
      <w:r w:rsidRPr="0083694D">
        <w:rPr>
          <w:rFonts w:ascii="Palatino Linotype" w:eastAsia="Palatino Linotype" w:hAnsi="Palatino Linotype" w:cs="Palatino Linotype"/>
          <w:i/>
          <w:sz w:val="22"/>
          <w:szCs w:val="22"/>
        </w:rPr>
        <w:t xml:space="preserve"> La clasificación de la información se llevará a cabo en el momento en que:</w:t>
      </w:r>
    </w:p>
    <w:p w14:paraId="0B20682E"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b/>
          <w:i/>
          <w:sz w:val="22"/>
          <w:szCs w:val="22"/>
        </w:rPr>
        <w:t>I.</w:t>
      </w:r>
      <w:r w:rsidRPr="0083694D">
        <w:rPr>
          <w:rFonts w:ascii="Palatino Linotype" w:eastAsia="Palatino Linotype" w:hAnsi="Palatino Linotype" w:cs="Palatino Linotype"/>
          <w:i/>
          <w:sz w:val="22"/>
          <w:szCs w:val="22"/>
        </w:rPr>
        <w:t xml:space="preserve"> Se reciba una solicitud de acceso a la información;</w:t>
      </w:r>
    </w:p>
    <w:p w14:paraId="754963B5" w14:textId="77777777" w:rsidR="00021793" w:rsidRPr="0083694D" w:rsidRDefault="00122CAC">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II.</w:t>
      </w:r>
      <w:r w:rsidRPr="0083694D">
        <w:rPr>
          <w:rFonts w:ascii="Palatino Linotype" w:eastAsia="Palatino Linotype" w:hAnsi="Palatino Linotype" w:cs="Palatino Linotype"/>
          <w:i/>
          <w:sz w:val="22"/>
          <w:szCs w:val="22"/>
        </w:rPr>
        <w:t xml:space="preserve"> Se  determine mediante resolución del Comité de Transparencia, el órgano garante </w:t>
      </w:r>
    </w:p>
    <w:p w14:paraId="1B82FD09"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i/>
          <w:sz w:val="22"/>
          <w:szCs w:val="22"/>
        </w:rPr>
        <w:t>competente, o en cumplimiento a una sentencia del Poder Judicial; o</w:t>
      </w:r>
    </w:p>
    <w:p w14:paraId="0B31F380"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b/>
          <w:i/>
          <w:sz w:val="22"/>
          <w:szCs w:val="22"/>
        </w:rPr>
        <w:t>III.</w:t>
      </w:r>
      <w:r w:rsidRPr="0083694D">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165735F1"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2ABD1A1F"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b/>
          <w:i/>
          <w:sz w:val="22"/>
          <w:szCs w:val="22"/>
        </w:rPr>
        <w:t>Octavo.</w:t>
      </w:r>
      <w:r w:rsidRPr="0083694D">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39FDA40"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6848B90" w14:textId="77777777" w:rsidR="00021793" w:rsidRPr="0083694D" w:rsidRDefault="00122CAC">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w:t>
      </w:r>
      <w:r w:rsidRPr="0083694D">
        <w:rPr>
          <w:rFonts w:ascii="Palatino Linotype" w:eastAsia="Palatino Linotype" w:hAnsi="Palatino Linotype" w:cs="Palatino Linotype"/>
          <w:i/>
          <w:sz w:val="22"/>
          <w:szCs w:val="22"/>
        </w:rPr>
        <w:lastRenderedPageBreak/>
        <w:t xml:space="preserve">lineamientos, así como las circunstancias que justifican el establecimiento de determinado plazo de reserva. </w:t>
      </w:r>
    </w:p>
    <w:p w14:paraId="75EAE3A2"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b/>
          <w:i/>
          <w:sz w:val="22"/>
          <w:szCs w:val="22"/>
        </w:rPr>
        <w:t>Noveno.</w:t>
      </w:r>
      <w:r w:rsidRPr="0083694D">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F2BB343"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b/>
          <w:i/>
          <w:sz w:val="22"/>
          <w:szCs w:val="22"/>
        </w:rPr>
        <w:t>Décimo.</w:t>
      </w:r>
      <w:r w:rsidRPr="0083694D">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A890374"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5566B7B" w14:textId="77777777" w:rsidR="00021793" w:rsidRPr="0083694D" w:rsidRDefault="00122CAC">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Décimo primero.</w:t>
      </w:r>
      <w:r w:rsidRPr="0083694D">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F662E90" w14:textId="77777777" w:rsidR="00021793" w:rsidRPr="0083694D" w:rsidRDefault="00021793">
      <w:pPr>
        <w:pBdr>
          <w:top w:val="nil"/>
          <w:left w:val="nil"/>
          <w:bottom w:val="nil"/>
          <w:right w:val="nil"/>
          <w:between w:val="nil"/>
        </w:pBdr>
        <w:ind w:right="709"/>
        <w:jc w:val="both"/>
        <w:rPr>
          <w:sz w:val="22"/>
          <w:szCs w:val="22"/>
        </w:rPr>
      </w:pPr>
    </w:p>
    <w:p w14:paraId="3E154532" w14:textId="77777777" w:rsidR="00021793" w:rsidRPr="0083694D" w:rsidRDefault="00122CAC">
      <w:pPr>
        <w:pBdr>
          <w:top w:val="nil"/>
          <w:left w:val="nil"/>
          <w:bottom w:val="nil"/>
          <w:right w:val="nil"/>
          <w:between w:val="nil"/>
        </w:pBdr>
        <w:ind w:left="709" w:right="709"/>
        <w:jc w:val="both"/>
        <w:rPr>
          <w:sz w:val="22"/>
          <w:szCs w:val="22"/>
        </w:rPr>
      </w:pPr>
      <w:r w:rsidRPr="0083694D">
        <w:rPr>
          <w:rFonts w:ascii="Palatino Linotype" w:eastAsia="Palatino Linotype" w:hAnsi="Palatino Linotype" w:cs="Palatino Linotype"/>
          <w:i/>
          <w:sz w:val="22"/>
          <w:szCs w:val="22"/>
        </w:rPr>
        <w:t>[…]</w:t>
      </w:r>
    </w:p>
    <w:p w14:paraId="510C64CE" w14:textId="77777777" w:rsidR="00021793" w:rsidRPr="0083694D" w:rsidRDefault="00122CAC">
      <w:pPr>
        <w:pBdr>
          <w:top w:val="nil"/>
          <w:left w:val="nil"/>
          <w:bottom w:val="nil"/>
          <w:right w:val="nil"/>
          <w:between w:val="nil"/>
        </w:pBdr>
        <w:ind w:left="709" w:right="709"/>
        <w:jc w:val="center"/>
        <w:rPr>
          <w:sz w:val="22"/>
          <w:szCs w:val="22"/>
        </w:rPr>
      </w:pPr>
      <w:r w:rsidRPr="0083694D">
        <w:rPr>
          <w:rFonts w:ascii="Palatino Linotype" w:eastAsia="Palatino Linotype" w:hAnsi="Palatino Linotype" w:cs="Palatino Linotype"/>
          <w:b/>
          <w:i/>
          <w:sz w:val="22"/>
          <w:szCs w:val="22"/>
        </w:rPr>
        <w:t>CAPÍTULO VIII</w:t>
      </w:r>
    </w:p>
    <w:p w14:paraId="63842447" w14:textId="77777777" w:rsidR="00021793" w:rsidRPr="0083694D" w:rsidRDefault="00122CAC">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83694D">
        <w:rPr>
          <w:rFonts w:ascii="Palatino Linotype" w:eastAsia="Palatino Linotype" w:hAnsi="Palatino Linotype" w:cs="Palatino Linotype"/>
          <w:b/>
          <w:i/>
          <w:sz w:val="22"/>
          <w:szCs w:val="22"/>
        </w:rPr>
        <w:t>DE LOS ELEMENTOS PARA LA CLASIFICACIÓN</w:t>
      </w:r>
    </w:p>
    <w:p w14:paraId="5F7091C8"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Quincuagésimo</w:t>
      </w:r>
      <w:r w:rsidRPr="0083694D">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C958543"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Quincuagésimo primero</w:t>
      </w:r>
      <w:r w:rsidRPr="0083694D">
        <w:rPr>
          <w:rFonts w:ascii="Palatino Linotype" w:eastAsia="Palatino Linotype" w:hAnsi="Palatino Linotype" w:cs="Palatino Linotype"/>
          <w:i/>
          <w:sz w:val="22"/>
          <w:szCs w:val="22"/>
        </w:rPr>
        <w:t>. Toda acta del Comité de Transparencia deberá contener:</w:t>
      </w:r>
    </w:p>
    <w:p w14:paraId="0F2652DB"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 xml:space="preserve">I. El número de sesión y fecha; </w:t>
      </w:r>
    </w:p>
    <w:p w14:paraId="4C45443F"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II. El nombre del área que solicitó la clasificación de información;</w:t>
      </w:r>
    </w:p>
    <w:p w14:paraId="1857F091"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III. La fundamentación legal y motivación correspondiente;</w:t>
      </w:r>
    </w:p>
    <w:p w14:paraId="00B4AFB0"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IV. La resolución o resoluciones aprobadas; y</w:t>
      </w:r>
    </w:p>
    <w:p w14:paraId="2EC4B194"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 xml:space="preserve">V. La rúbrica o firma digital de cada integrante del Comité de Transparencia. </w:t>
      </w:r>
    </w:p>
    <w:p w14:paraId="4ADD4EE9"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lastRenderedPageBreak/>
        <w:t>Las resoluciones del Comité en las que se haya determinado confirmar o modificar la clasificación de información pública como reservada, deberán incluir, cuando menos:</w:t>
      </w:r>
    </w:p>
    <w:p w14:paraId="27292550"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I. Los motivos y razonamientos que sustenten la confirmación o modificación de la prueba de daño;</w:t>
      </w:r>
    </w:p>
    <w:p w14:paraId="708935FE"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II. Descripción de las partes o secciones reservadas, en caso de clasificación parcial;</w:t>
      </w:r>
    </w:p>
    <w:p w14:paraId="5AE9397F"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III. El periodo por el que mantendrá su clasificación y fecha de expiración; y</w:t>
      </w:r>
    </w:p>
    <w:p w14:paraId="404FB074"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IV. El nombre del titular y área encargada de realizar la versión pública del documento, en su caso.</w:t>
      </w:r>
    </w:p>
    <w:p w14:paraId="4C311A85"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2D34BFE"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F17036C"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b/>
          <w:i/>
          <w:sz w:val="22"/>
          <w:szCs w:val="22"/>
        </w:rPr>
        <w:t>Quincuagésimo segundo</w:t>
      </w:r>
      <w:r w:rsidRPr="0083694D">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0EB3042"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19A72EA4"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3DB51B2D"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7E05FC4"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III. Señalar las personas o instancias autorizadas a acceder a la información clasificada.</w:t>
      </w:r>
    </w:p>
    <w:p w14:paraId="25C6DAEA" w14:textId="77777777" w:rsidR="00021793" w:rsidRPr="0083694D" w:rsidRDefault="00122CA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8C90E62" w14:textId="77777777" w:rsidR="00021793" w:rsidRPr="0083694D" w:rsidRDefault="00122CAC">
      <w:pPr>
        <w:pBdr>
          <w:top w:val="nil"/>
          <w:left w:val="nil"/>
          <w:bottom w:val="nil"/>
          <w:right w:val="nil"/>
          <w:between w:val="nil"/>
        </w:pBdr>
        <w:spacing w:after="160"/>
        <w:ind w:left="709" w:right="709"/>
        <w:jc w:val="both"/>
        <w:rPr>
          <w:sz w:val="22"/>
          <w:szCs w:val="22"/>
        </w:rPr>
      </w:pPr>
      <w:r w:rsidRPr="0083694D">
        <w:rPr>
          <w:rFonts w:ascii="Palatino Linotype" w:eastAsia="Palatino Linotype" w:hAnsi="Palatino Linotype" w:cs="Palatino Linotype"/>
          <w:i/>
          <w:sz w:val="22"/>
          <w:szCs w:val="22"/>
        </w:rPr>
        <w:lastRenderedPageBreak/>
        <w:t xml:space="preserve">Quincuagésimo quinto. Cada área del sujeto obligado podrá designar formalmente a una o más personas como responsables del </w:t>
      </w:r>
      <w:proofErr w:type="spellStart"/>
      <w:r w:rsidRPr="0083694D">
        <w:rPr>
          <w:rFonts w:ascii="Palatino Linotype" w:eastAsia="Palatino Linotype" w:hAnsi="Palatino Linotype" w:cs="Palatino Linotype"/>
          <w:i/>
          <w:sz w:val="22"/>
          <w:szCs w:val="22"/>
        </w:rPr>
        <w:t>testado</w:t>
      </w:r>
      <w:proofErr w:type="spellEnd"/>
      <w:r w:rsidRPr="0083694D">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3439BB77" w14:textId="77777777" w:rsidR="00021793" w:rsidRPr="0083694D" w:rsidRDefault="00021793">
      <w:pPr>
        <w:rPr>
          <w:sz w:val="22"/>
          <w:szCs w:val="22"/>
        </w:rPr>
      </w:pPr>
    </w:p>
    <w:p w14:paraId="25D9935B" w14:textId="77777777" w:rsidR="00021793" w:rsidRPr="0083694D" w:rsidRDefault="00122CAC">
      <w:pPr>
        <w:spacing w:line="360" w:lineRule="auto"/>
        <w:jc w:val="both"/>
        <w:rPr>
          <w:rFonts w:ascii="Palatino Linotype" w:eastAsia="Palatino Linotype" w:hAnsi="Palatino Linotype" w:cs="Palatino Linotype"/>
          <w:sz w:val="22"/>
          <w:szCs w:val="22"/>
        </w:rPr>
      </w:pPr>
      <w:bookmarkStart w:id="8" w:name="_heading=h.lnxbz9" w:colFirst="0" w:colLast="0"/>
      <w:bookmarkEnd w:id="8"/>
      <w:r w:rsidRPr="0083694D">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26F6DCB5" w14:textId="77777777" w:rsidR="00021793" w:rsidRPr="0083694D" w:rsidRDefault="00021793">
      <w:pPr>
        <w:spacing w:line="360" w:lineRule="auto"/>
        <w:jc w:val="both"/>
        <w:rPr>
          <w:rFonts w:ascii="Palatino Linotype" w:eastAsia="Palatino Linotype" w:hAnsi="Palatino Linotype" w:cs="Palatino Linotype"/>
          <w:sz w:val="22"/>
          <w:szCs w:val="22"/>
        </w:rPr>
      </w:pPr>
    </w:p>
    <w:p w14:paraId="677DCCA4"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Por otro lado, debemos tener en cuenta que derivado de la naturaleza de la información que se entregará, es necesario realizar las siguientes precisiones respecto a datos que pudieran obrar en la documentación y son susceptibles de clasificación:</w:t>
      </w:r>
    </w:p>
    <w:p w14:paraId="602094F4" w14:textId="77777777" w:rsidR="00021793" w:rsidRPr="0083694D" w:rsidRDefault="00122CAC">
      <w:pPr>
        <w:pBdr>
          <w:top w:val="nil"/>
          <w:left w:val="nil"/>
          <w:bottom w:val="nil"/>
          <w:right w:val="nil"/>
          <w:between w:val="nil"/>
        </w:pBdr>
        <w:spacing w:before="240" w:after="240" w:line="360" w:lineRule="auto"/>
        <w:ind w:right="49"/>
        <w:jc w:val="both"/>
      </w:pPr>
      <w:r w:rsidRPr="0083694D">
        <w:rPr>
          <w:rFonts w:ascii="Palatino Linotype" w:eastAsia="Palatino Linotype" w:hAnsi="Palatino Linotype" w:cs="Palatino Linotype"/>
          <w:sz w:val="22"/>
          <w:szCs w:val="22"/>
        </w:rPr>
        <w:t xml:space="preserve">Por cuanto hace al </w:t>
      </w:r>
      <w:r w:rsidRPr="0083694D">
        <w:rPr>
          <w:rFonts w:ascii="Palatino Linotype" w:eastAsia="Palatino Linotype" w:hAnsi="Palatino Linotype" w:cs="Palatino Linotype"/>
          <w:b/>
          <w:sz w:val="22"/>
          <w:szCs w:val="22"/>
          <w:u w:val="single"/>
        </w:rPr>
        <w:t>Registro Federal de Contribuyentes, RFC</w:t>
      </w:r>
      <w:r w:rsidRPr="0083694D">
        <w:rPr>
          <w:rFonts w:ascii="Palatino Linotype" w:eastAsia="Palatino Linotype" w:hAnsi="Palatino Linotype" w:cs="Palatino Linotype"/>
          <w:sz w:val="22"/>
          <w:szCs w:val="22"/>
        </w:rPr>
        <w:t xml:space="preserve"> de las personas físicas, constituye un dato personal, pues se genera con caracteres alfanuméricos a partir del nombre y la fecha de nacimiento de cada persona, y finalmente la </w:t>
      </w:r>
      <w:proofErr w:type="spellStart"/>
      <w:r w:rsidRPr="0083694D">
        <w:rPr>
          <w:rFonts w:ascii="Palatino Linotype" w:eastAsia="Palatino Linotype" w:hAnsi="Palatino Linotype" w:cs="Palatino Linotype"/>
          <w:sz w:val="22"/>
          <w:szCs w:val="22"/>
        </w:rPr>
        <w:t>homoclave</w:t>
      </w:r>
      <w:proofErr w:type="spellEnd"/>
      <w:r w:rsidRPr="0083694D">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5CFF4BA0" w14:textId="77777777" w:rsidR="00021793" w:rsidRPr="0083694D" w:rsidRDefault="00122CAC">
      <w:pPr>
        <w:pBdr>
          <w:top w:val="nil"/>
          <w:left w:val="nil"/>
          <w:bottom w:val="nil"/>
          <w:right w:val="nil"/>
          <w:between w:val="nil"/>
        </w:pBdr>
        <w:spacing w:before="240" w:after="240" w:line="360" w:lineRule="auto"/>
        <w:ind w:right="49"/>
        <w:jc w:val="both"/>
      </w:pPr>
      <w:r w:rsidRPr="0083694D">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905240C" w14:textId="77777777" w:rsidR="00021793" w:rsidRPr="0083694D" w:rsidRDefault="00122CAC">
      <w:pPr>
        <w:pBdr>
          <w:top w:val="nil"/>
          <w:left w:val="nil"/>
          <w:bottom w:val="nil"/>
          <w:right w:val="nil"/>
          <w:between w:val="nil"/>
        </w:pBdr>
        <w:spacing w:before="240" w:after="240" w:line="360" w:lineRule="auto"/>
        <w:ind w:right="49"/>
        <w:jc w:val="both"/>
      </w:pPr>
      <w:r w:rsidRPr="0083694D">
        <w:rPr>
          <w:rFonts w:ascii="Palatino Linotype" w:eastAsia="Palatino Linotype" w:hAnsi="Palatino Linotype" w:cs="Palatino Linotype"/>
          <w:sz w:val="22"/>
          <w:szCs w:val="22"/>
        </w:rPr>
        <w:t>Lo anterior es compartido por el Instituto Nacional de Transparencia, Acceso a la Información y Protección de Datos Personales, INAI, a través del Criterio 19/17, el cual es del tenor literal siguiente:</w:t>
      </w:r>
    </w:p>
    <w:p w14:paraId="6544C1EA" w14:textId="77777777" w:rsidR="00021793" w:rsidRPr="0083694D" w:rsidRDefault="00122CAC">
      <w:pPr>
        <w:pBdr>
          <w:top w:val="nil"/>
          <w:left w:val="nil"/>
          <w:bottom w:val="nil"/>
          <w:right w:val="nil"/>
          <w:between w:val="nil"/>
        </w:pBdr>
        <w:spacing w:before="240"/>
        <w:ind w:left="567" w:right="900"/>
        <w:jc w:val="both"/>
      </w:pPr>
      <w:r w:rsidRPr="0083694D">
        <w:rPr>
          <w:rFonts w:ascii="Palatino Linotype" w:eastAsia="Palatino Linotype" w:hAnsi="Palatino Linotype" w:cs="Palatino Linotype"/>
          <w:i/>
          <w:sz w:val="22"/>
          <w:szCs w:val="22"/>
        </w:rPr>
        <w:lastRenderedPageBreak/>
        <w:t> “Registro Federal de Contribuyentes (RFC) de personas físicas. El RFC es una clave de carácter fiscal, única e irrepetible, que permite identificar al titular, su edad y fecha de nacimiento, por lo que es un dato personal de carácter confidencial.”</w:t>
      </w:r>
    </w:p>
    <w:p w14:paraId="19D01AE2" w14:textId="77777777" w:rsidR="00021793" w:rsidRPr="0083694D" w:rsidRDefault="00021793"/>
    <w:p w14:paraId="5FA400A7" w14:textId="77777777" w:rsidR="00021793" w:rsidRPr="0083694D" w:rsidRDefault="00122CAC">
      <w:pPr>
        <w:pBdr>
          <w:top w:val="nil"/>
          <w:left w:val="nil"/>
          <w:bottom w:val="nil"/>
          <w:right w:val="nil"/>
          <w:between w:val="nil"/>
        </w:pBdr>
        <w:spacing w:after="240" w:line="360" w:lineRule="auto"/>
        <w:ind w:right="49"/>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Así, el Registro Federal de Contribuyentes, RFC, se vincula al nombre de su titular y permite identificar la edad de la persona, su fecha de nacimiento, así como su </w:t>
      </w:r>
      <w:proofErr w:type="spellStart"/>
      <w:r w:rsidRPr="0083694D">
        <w:rPr>
          <w:rFonts w:ascii="Palatino Linotype" w:eastAsia="Palatino Linotype" w:hAnsi="Palatino Linotype" w:cs="Palatino Linotype"/>
          <w:sz w:val="22"/>
          <w:szCs w:val="22"/>
        </w:rPr>
        <w:t>homoclave</w:t>
      </w:r>
      <w:proofErr w:type="spellEnd"/>
      <w:r w:rsidRPr="0083694D">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 y por ende, resulta pertinente su clasificación.</w:t>
      </w:r>
    </w:p>
    <w:p w14:paraId="31B9FB7B" w14:textId="77777777" w:rsidR="00021793" w:rsidRPr="0083694D" w:rsidRDefault="00122CAC">
      <w:pPr>
        <w:pBdr>
          <w:top w:val="nil"/>
          <w:left w:val="nil"/>
          <w:bottom w:val="nil"/>
          <w:right w:val="nil"/>
          <w:between w:val="nil"/>
        </w:pBdr>
        <w:ind w:right="49"/>
        <w:jc w:val="both"/>
      </w:pPr>
      <w:r w:rsidRPr="0083694D">
        <w:rPr>
          <w:rFonts w:ascii="Palatino Linotype" w:eastAsia="Palatino Linotype" w:hAnsi="Palatino Linotype" w:cs="Palatino Linotype"/>
          <w:b/>
          <w:sz w:val="22"/>
          <w:szCs w:val="22"/>
        </w:rPr>
        <w:t> Clave Única de Registro de Personal (CURP)</w:t>
      </w:r>
    </w:p>
    <w:p w14:paraId="46F17E57" w14:textId="77777777" w:rsidR="00021793" w:rsidRPr="0083694D" w:rsidRDefault="00122CAC">
      <w:pPr>
        <w:pBdr>
          <w:top w:val="nil"/>
          <w:left w:val="nil"/>
          <w:bottom w:val="nil"/>
          <w:right w:val="nil"/>
          <w:between w:val="nil"/>
        </w:pBdr>
        <w:spacing w:before="240" w:after="240" w:line="360" w:lineRule="auto"/>
        <w:jc w:val="both"/>
      </w:pPr>
      <w:r w:rsidRPr="0083694D">
        <w:rPr>
          <w:rFonts w:ascii="Palatino Linotype" w:eastAsia="Palatino Linotype" w:hAnsi="Palatino Linotype" w:cs="Palatino Linotype"/>
          <w:sz w:val="22"/>
          <w:szCs w:val="22"/>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3988B595" w14:textId="77777777" w:rsidR="00021793" w:rsidRPr="0083694D" w:rsidRDefault="00122CAC">
      <w:pPr>
        <w:pBdr>
          <w:top w:val="nil"/>
          <w:left w:val="nil"/>
          <w:bottom w:val="nil"/>
          <w:right w:val="nil"/>
          <w:between w:val="nil"/>
        </w:pBdr>
        <w:spacing w:before="240" w:after="240" w:line="360" w:lineRule="auto"/>
        <w:jc w:val="both"/>
      </w:pPr>
      <w:r w:rsidRPr="0083694D">
        <w:rPr>
          <w:rFonts w:ascii="Palatino Linotype" w:eastAsia="Palatino Linotype" w:hAnsi="Palatino Linotype" w:cs="Palatino Linotype"/>
          <w:sz w:val="22"/>
          <w:szCs w:val="22"/>
        </w:rPr>
        <w:t>Argumento que es compartido por el Instituto Nacional de Transparencia, Acceso a la Información y Protección de Datos (INAI)</w:t>
      </w:r>
      <w:r w:rsidRPr="0083694D">
        <w:rPr>
          <w:rFonts w:ascii="Palatino Linotype" w:eastAsia="Palatino Linotype" w:hAnsi="Palatino Linotype" w:cs="Palatino Linotype"/>
          <w:b/>
          <w:sz w:val="22"/>
          <w:szCs w:val="22"/>
        </w:rPr>
        <w:t xml:space="preserve">, conforme al </w:t>
      </w:r>
      <w:r w:rsidRPr="0083694D">
        <w:rPr>
          <w:rFonts w:ascii="Palatino Linotype" w:eastAsia="Palatino Linotype" w:hAnsi="Palatino Linotype" w:cs="Palatino Linotype"/>
          <w:sz w:val="22"/>
          <w:szCs w:val="22"/>
        </w:rPr>
        <w:t>criterio número 18/17, el cual refiere: </w:t>
      </w:r>
    </w:p>
    <w:p w14:paraId="4CAAF722" w14:textId="77777777" w:rsidR="00021793" w:rsidRPr="0083694D" w:rsidRDefault="00122CAC">
      <w:pPr>
        <w:pBdr>
          <w:top w:val="nil"/>
          <w:left w:val="nil"/>
          <w:bottom w:val="nil"/>
          <w:right w:val="nil"/>
          <w:between w:val="nil"/>
        </w:pBdr>
        <w:spacing w:after="120"/>
        <w:ind w:left="851" w:right="616"/>
        <w:jc w:val="both"/>
      </w:pPr>
      <w:r w:rsidRPr="0083694D">
        <w:rPr>
          <w:rFonts w:ascii="Palatino Linotype" w:eastAsia="Palatino Linotype" w:hAnsi="Palatino Linotype" w:cs="Palatino Linotype"/>
          <w:b/>
          <w:i/>
          <w:sz w:val="22"/>
          <w:szCs w:val="22"/>
        </w:rPr>
        <w:t xml:space="preserve">“Clave Única de Registro de Población (CURP). </w:t>
      </w:r>
      <w:r w:rsidRPr="0083694D">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55D7C3AB" w14:textId="77777777" w:rsidR="00021793" w:rsidRPr="0083694D" w:rsidRDefault="00122CAC">
      <w:pPr>
        <w:pBdr>
          <w:top w:val="nil"/>
          <w:left w:val="nil"/>
          <w:bottom w:val="nil"/>
          <w:right w:val="nil"/>
          <w:between w:val="nil"/>
        </w:pBdr>
        <w:spacing w:before="240" w:after="280" w:line="360" w:lineRule="auto"/>
        <w:jc w:val="both"/>
      </w:pPr>
      <w:r w:rsidRPr="0083694D">
        <w:rPr>
          <w:rFonts w:ascii="Palatino Linotype" w:eastAsia="Palatino Linotype" w:hAnsi="Palatino Linotype" w:cs="Palatino Linotype"/>
          <w:sz w:val="22"/>
          <w:szCs w:val="22"/>
        </w:rPr>
        <w:lastRenderedPageBreak/>
        <w:t xml:space="preserve">En otro orden de ideas, la información relativa a los números de cuenta bancarios y </w:t>
      </w:r>
      <w:proofErr w:type="spellStart"/>
      <w:r w:rsidRPr="0083694D">
        <w:rPr>
          <w:rFonts w:ascii="Palatino Linotype" w:eastAsia="Palatino Linotype" w:hAnsi="Palatino Linotype" w:cs="Palatino Linotype"/>
          <w:sz w:val="22"/>
          <w:szCs w:val="22"/>
        </w:rPr>
        <w:t>clabes</w:t>
      </w:r>
      <w:proofErr w:type="spellEnd"/>
      <w:r w:rsidRPr="0083694D">
        <w:rPr>
          <w:rFonts w:ascii="Palatino Linotype" w:eastAsia="Palatino Linotype" w:hAnsi="Palatino Linotype" w:cs="Palatino Linotype"/>
          <w:sz w:val="22"/>
          <w:szCs w:val="22"/>
        </w:rPr>
        <w:t xml:space="preserve"> interbancarias es información confidencial, toda vez que su publicidad no abona a la transparencia y a la rendición de cuentas, sirve de sustento lo dispuesto en el </w:t>
      </w:r>
      <w:r w:rsidRPr="0083694D">
        <w:rPr>
          <w:rFonts w:ascii="Palatino Linotype" w:eastAsia="Palatino Linotype" w:hAnsi="Palatino Linotype" w:cs="Palatino Linotype"/>
          <w:b/>
          <w:sz w:val="22"/>
          <w:szCs w:val="22"/>
        </w:rPr>
        <w:t>criterio 10/17</w:t>
      </w:r>
      <w:r w:rsidRPr="0083694D">
        <w:rPr>
          <w:rFonts w:ascii="Palatino Linotype" w:eastAsia="Palatino Linotype" w:hAnsi="Palatino Linotype" w:cs="Palatino Linotype"/>
          <w:sz w:val="22"/>
          <w:szCs w:val="22"/>
        </w:rPr>
        <w:t xml:space="preserve"> emitido por el INAI, que es del tenor literal siguiente:</w:t>
      </w:r>
    </w:p>
    <w:p w14:paraId="517A5BAD" w14:textId="77777777" w:rsidR="00021793" w:rsidRPr="0083694D" w:rsidRDefault="00122CAC">
      <w:pPr>
        <w:pBdr>
          <w:top w:val="nil"/>
          <w:left w:val="nil"/>
          <w:bottom w:val="nil"/>
          <w:right w:val="nil"/>
          <w:between w:val="nil"/>
        </w:pBdr>
        <w:ind w:left="851" w:right="902"/>
        <w:jc w:val="both"/>
      </w:pPr>
      <w:r w:rsidRPr="0083694D">
        <w:rPr>
          <w:rFonts w:ascii="Palatino Linotype" w:eastAsia="Palatino Linotype" w:hAnsi="Palatino Linotype" w:cs="Palatino Linotype"/>
          <w:b/>
          <w:i/>
          <w:sz w:val="22"/>
          <w:szCs w:val="22"/>
        </w:rPr>
        <w:t>“Cuentas bancarias y/o CLABE interbancaria de personas físicas y morales privadas. El número de cuenta bancaria y/o CLABE interbancaria de particulares es información confidencial</w:t>
      </w:r>
      <w:r w:rsidRPr="0083694D">
        <w:rPr>
          <w:rFonts w:ascii="Palatino Linotype" w:eastAsia="Palatino Linotype" w:hAnsi="Palatino Linotype" w:cs="Palatino Linotype"/>
          <w:i/>
          <w:sz w:val="22"/>
          <w:szCs w:val="22"/>
        </w:rPr>
        <w:t>,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 </w:t>
      </w:r>
    </w:p>
    <w:p w14:paraId="5E1BCC8B" w14:textId="77777777" w:rsidR="00021793" w:rsidRPr="0083694D" w:rsidRDefault="00122CAC">
      <w:pPr>
        <w:pBdr>
          <w:top w:val="nil"/>
          <w:left w:val="nil"/>
          <w:bottom w:val="nil"/>
          <w:right w:val="nil"/>
          <w:between w:val="nil"/>
        </w:pBdr>
        <w:ind w:left="851" w:right="902"/>
        <w:jc w:val="both"/>
      </w:pPr>
      <w:r w:rsidRPr="0083694D">
        <w:rPr>
          <w:rFonts w:ascii="Palatino Linotype" w:eastAsia="Palatino Linotype" w:hAnsi="Palatino Linotype" w:cs="Palatino Linotype"/>
          <w:i/>
          <w:sz w:val="22"/>
          <w:szCs w:val="22"/>
        </w:rPr>
        <w:t>Resoluciones: </w:t>
      </w:r>
    </w:p>
    <w:p w14:paraId="6B82E262" w14:textId="77777777" w:rsidR="00021793" w:rsidRPr="0083694D" w:rsidRDefault="00122CAC">
      <w:pPr>
        <w:pBdr>
          <w:top w:val="nil"/>
          <w:left w:val="nil"/>
          <w:bottom w:val="nil"/>
          <w:right w:val="nil"/>
          <w:between w:val="nil"/>
        </w:pBdr>
        <w:ind w:left="851" w:right="902"/>
        <w:jc w:val="both"/>
      </w:pPr>
      <w:r w:rsidRPr="0083694D">
        <w:rPr>
          <w:rFonts w:ascii="Palatino Linotype" w:eastAsia="Palatino Linotype" w:hAnsi="Palatino Linotype" w:cs="Palatino Linotype"/>
          <w:i/>
          <w:sz w:val="22"/>
          <w:szCs w:val="22"/>
        </w:rPr>
        <w:t>RRA 1276/16 Grupo Aeroportuario de la Ciudad de México. S.A. de C.V. 01 de noviembre de 2016. Por unanimidad. Comisionada Ponente Areli Cano Guadiana.</w:t>
      </w:r>
    </w:p>
    <w:p w14:paraId="1733CD67" w14:textId="77777777" w:rsidR="00021793" w:rsidRPr="0083694D" w:rsidRDefault="00122CAC">
      <w:pPr>
        <w:pBdr>
          <w:top w:val="nil"/>
          <w:left w:val="nil"/>
          <w:bottom w:val="nil"/>
          <w:right w:val="nil"/>
          <w:between w:val="nil"/>
        </w:pBdr>
        <w:ind w:left="851" w:right="902"/>
        <w:jc w:val="both"/>
      </w:pPr>
      <w:r w:rsidRPr="0083694D">
        <w:rPr>
          <w:rFonts w:ascii="Palatino Linotype" w:eastAsia="Palatino Linotype" w:hAnsi="Palatino Linotype" w:cs="Palatino Linotype"/>
          <w:i/>
          <w:sz w:val="22"/>
          <w:szCs w:val="22"/>
        </w:rPr>
        <w:t xml:space="preserve">RRA 3527/16 Servicio de Administración Tributaria. 07 de diciembre de 2016. Por unanimidad. Comisionada Ponente Ximena Puente de la Mora. </w:t>
      </w:r>
      <w:r w:rsidRPr="0083694D">
        <w:rPr>
          <w:rFonts w:ascii="Symbol" w:eastAsia="Symbol" w:hAnsi="Symbol" w:cs="Symbol"/>
          <w:i/>
          <w:sz w:val="22"/>
          <w:szCs w:val="22"/>
        </w:rPr>
        <w:t>∙</w:t>
      </w:r>
      <w:r w:rsidRPr="0083694D">
        <w:rPr>
          <w:rFonts w:ascii="Palatino Linotype" w:eastAsia="Palatino Linotype" w:hAnsi="Palatino Linotype" w:cs="Palatino Linotype"/>
          <w:i/>
          <w:sz w:val="22"/>
          <w:szCs w:val="22"/>
        </w:rPr>
        <w:t> </w:t>
      </w:r>
    </w:p>
    <w:p w14:paraId="395BAF60" w14:textId="77777777" w:rsidR="00021793" w:rsidRPr="0083694D" w:rsidRDefault="00122CAC">
      <w:pPr>
        <w:pBdr>
          <w:top w:val="nil"/>
          <w:left w:val="nil"/>
          <w:bottom w:val="nil"/>
          <w:right w:val="nil"/>
          <w:between w:val="nil"/>
        </w:pBdr>
        <w:ind w:left="851" w:right="902"/>
        <w:jc w:val="both"/>
      </w:pPr>
      <w:r w:rsidRPr="0083694D">
        <w:rPr>
          <w:rFonts w:ascii="Palatino Linotype" w:eastAsia="Palatino Linotype" w:hAnsi="Palatino Linotype" w:cs="Palatino Linotype"/>
          <w:i/>
          <w:sz w:val="22"/>
          <w:szCs w:val="22"/>
        </w:rPr>
        <w:t>RRA 4404/16 Partido del Trabajo. 01 de febrero de 2017. Por unanimidad. Comisionado Ponente Francisco Acuña Llamas.”</w:t>
      </w:r>
    </w:p>
    <w:p w14:paraId="0D63D03E" w14:textId="77777777" w:rsidR="00021793" w:rsidRPr="0083694D" w:rsidRDefault="00021793"/>
    <w:p w14:paraId="4938903F" w14:textId="77777777" w:rsidR="00021793" w:rsidRPr="0083694D" w:rsidRDefault="00122CAC">
      <w:pPr>
        <w:pBdr>
          <w:top w:val="nil"/>
          <w:left w:val="nil"/>
          <w:bottom w:val="nil"/>
          <w:right w:val="nil"/>
          <w:between w:val="nil"/>
        </w:pBdr>
        <w:spacing w:before="240" w:after="240" w:line="360" w:lineRule="auto"/>
        <w:jc w:val="both"/>
      </w:pPr>
      <w:r w:rsidRPr="0083694D">
        <w:rPr>
          <w:rFonts w:ascii="Palatino Linotype" w:eastAsia="Palatino Linotype" w:hAnsi="Palatino Linotype" w:cs="Palatino Linotype"/>
          <w:sz w:val="22"/>
          <w:szCs w:val="22"/>
        </w:rPr>
        <w:t>Asimismo, el artículo 2°, fracción III, de la Ley General de Títulos y Operaciones de Crédito establece que los actos y las operaciones que regula esta Ley General, se regirán por los usos bancarios y mercantiles, es así que, a manera de contextualización la cuenta bancaria y estado de cuenta se definen como: </w:t>
      </w:r>
    </w:p>
    <w:p w14:paraId="1A02A3CB" w14:textId="77777777" w:rsidR="00021793" w:rsidRPr="0083694D" w:rsidRDefault="00122CAC">
      <w:pPr>
        <w:numPr>
          <w:ilvl w:val="0"/>
          <w:numId w:val="2"/>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t>Cuenta bancaria:</w:t>
      </w:r>
      <w:r w:rsidRPr="0083694D">
        <w:rPr>
          <w:rFonts w:ascii="Palatino Linotype" w:eastAsia="Palatino Linotype" w:hAnsi="Palatino Linotype" w:cs="Palatino Linotype"/>
          <w:sz w:val="22"/>
          <w:szCs w:val="22"/>
        </w:rPr>
        <w:t xml:space="preserve"> Una cuenta bancaria es un registro que mantiene un banco, en el que guarda dinero y contabiliza todas las entradas y salidas de efectivo, así como los créditos en curso, inversiones y productos relacionados.</w:t>
      </w:r>
    </w:p>
    <w:p w14:paraId="72527397" w14:textId="77777777" w:rsidR="00021793" w:rsidRPr="0083694D" w:rsidRDefault="00122CAC">
      <w:pPr>
        <w:numPr>
          <w:ilvl w:val="0"/>
          <w:numId w:val="2"/>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lastRenderedPageBreak/>
        <w:t>Estado de cuenta:</w:t>
      </w:r>
      <w:r w:rsidRPr="0083694D">
        <w:rPr>
          <w:rFonts w:ascii="Palatino Linotype" w:eastAsia="Palatino Linotype" w:hAnsi="Palatino Linotype" w:cs="Palatino Linotype"/>
          <w:sz w:val="22"/>
          <w:szCs w:val="22"/>
        </w:rPr>
        <w:t xml:space="preserve"> Un estado de cuenta bancario es un documento oficial, generalmente mensual, emitido por la institución bancaria con la que tiene la cuenta. Este documento contiene todos los movimientos de la cuenta realizados en el mes, además de contener datos como número de cuenta, de tarjeta, saldo al corte, fecha de pago, monto mínimo a pagar, tasa de interés, en caso de ser tarjeta de crédito, entre otros datos relevantes y confidenciales para el usuario.</w:t>
      </w:r>
    </w:p>
    <w:p w14:paraId="602967AE" w14:textId="77777777" w:rsidR="00021793" w:rsidRPr="0083694D" w:rsidRDefault="00122CAC">
      <w:pPr>
        <w:pBdr>
          <w:top w:val="nil"/>
          <w:left w:val="nil"/>
          <w:bottom w:val="nil"/>
          <w:right w:val="nil"/>
          <w:between w:val="nil"/>
        </w:pBdr>
        <w:spacing w:before="240" w:after="240" w:line="360" w:lineRule="auto"/>
        <w:jc w:val="both"/>
      </w:pPr>
      <w:r w:rsidRPr="0083694D">
        <w:rPr>
          <w:rFonts w:ascii="Palatino Linotype" w:eastAsia="Palatino Linotype" w:hAnsi="Palatino Linotype" w:cs="Palatino Linotype"/>
          <w:sz w:val="22"/>
          <w:szCs w:val="22"/>
        </w:rPr>
        <w:t xml:space="preserve">Ahora bien, respecto del </w:t>
      </w:r>
      <w:r w:rsidRPr="0083694D">
        <w:rPr>
          <w:rFonts w:ascii="Palatino Linotype" w:eastAsia="Palatino Linotype" w:hAnsi="Palatino Linotype" w:cs="Palatino Linotype"/>
          <w:b/>
          <w:sz w:val="22"/>
          <w:szCs w:val="22"/>
        </w:rPr>
        <w:t>número de cuenta</w:t>
      </w:r>
      <w:r w:rsidRPr="0083694D">
        <w:rPr>
          <w:rFonts w:ascii="Palatino Linotype" w:eastAsia="Palatino Linotype" w:hAnsi="Palatino Linotype" w:cs="Palatino Linotype"/>
          <w:sz w:val="22"/>
          <w:szCs w:val="22"/>
        </w:rPr>
        <w:t xml:space="preserve"> es un conjunto de caracteres numéricos utilizado por los grupos financieros para identificar a los clientes. Dicho número es único e irrepetible, establecido a cada cuenta bancaria que avala que los recursos enviados a las órdenes de cargo, pago de nómina o a las transferencias electrónicas de fondos interbancarios se utilicen exclusivamente en la cuenta señalada por el cliente. </w:t>
      </w:r>
    </w:p>
    <w:p w14:paraId="2F7B79EB" w14:textId="77777777" w:rsidR="00021793" w:rsidRPr="0083694D" w:rsidRDefault="00122CAC">
      <w:pPr>
        <w:pBdr>
          <w:top w:val="nil"/>
          <w:left w:val="nil"/>
          <w:bottom w:val="nil"/>
          <w:right w:val="nil"/>
          <w:between w:val="nil"/>
        </w:pBdr>
        <w:spacing w:before="240" w:after="240" w:line="360" w:lineRule="auto"/>
        <w:jc w:val="both"/>
      </w:pPr>
      <w:r w:rsidRPr="0083694D">
        <w:rPr>
          <w:rFonts w:ascii="Palatino Linotype" w:eastAsia="Palatino Linotype" w:hAnsi="Palatino Linotype" w:cs="Palatino Linotype"/>
          <w:sz w:val="22"/>
          <w:szCs w:val="22"/>
        </w:rPr>
        <w:t xml:space="preserve">Por lo que respecta al </w:t>
      </w:r>
      <w:r w:rsidRPr="0083694D">
        <w:rPr>
          <w:rFonts w:ascii="Palatino Linotype" w:eastAsia="Palatino Linotype" w:hAnsi="Palatino Linotype" w:cs="Palatino Linotype"/>
          <w:b/>
          <w:sz w:val="22"/>
          <w:szCs w:val="22"/>
        </w:rPr>
        <w:t>número de cuenta bancaria</w:t>
      </w:r>
      <w:r w:rsidRPr="0083694D">
        <w:rPr>
          <w:rFonts w:ascii="Palatino Linotype" w:eastAsia="Palatino Linotype" w:hAnsi="Palatino Linotype" w:cs="Palatino Linotype"/>
          <w:sz w:val="22"/>
          <w:szCs w:val="22"/>
        </w:rPr>
        <w:t>, es un número único e irrepetible asignado a cada cuenta bancaria, que garantiza que los recursos enviados a las órdenes de cargo (transferencias electrónicas de fondos interbancarios bancos) se apliquen exclusivamente a la cuenta señalada por el cliente, como destino u origen. Dicha clave se compone de 18 dígitos numéricos que corresponden a los siguientes datos:</w:t>
      </w:r>
    </w:p>
    <w:p w14:paraId="2F0101F1" w14:textId="77777777" w:rsidR="00021793" w:rsidRPr="0083694D" w:rsidRDefault="00122CAC">
      <w:pPr>
        <w:numPr>
          <w:ilvl w:val="0"/>
          <w:numId w:val="3"/>
        </w:numPr>
        <w:pBdr>
          <w:top w:val="nil"/>
          <w:left w:val="nil"/>
          <w:bottom w:val="nil"/>
          <w:right w:val="nil"/>
          <w:between w:val="nil"/>
        </w:pBdr>
        <w:spacing w:before="240" w:after="240" w:line="276" w:lineRule="auto"/>
        <w:ind w:left="567" w:right="900" w:hanging="283"/>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t>CÓDIGO DE BANCO:</w:t>
      </w:r>
      <w:r w:rsidRPr="0083694D">
        <w:rPr>
          <w:rFonts w:ascii="Palatino Linotype" w:eastAsia="Palatino Linotype" w:hAnsi="Palatino Linotype" w:cs="Palatino Linotype"/>
          <w:sz w:val="22"/>
          <w:szCs w:val="22"/>
        </w:rPr>
        <w:t xml:space="preserve"> Donde radica la cuenta, de acuerdo con los números asignados a las Instituciones de Crédito Asociación de Bancos de México (tres dígitos).</w:t>
      </w:r>
    </w:p>
    <w:p w14:paraId="54B43EA9" w14:textId="77777777" w:rsidR="00021793" w:rsidRPr="0083694D" w:rsidRDefault="00122CAC">
      <w:pPr>
        <w:numPr>
          <w:ilvl w:val="0"/>
          <w:numId w:val="3"/>
        </w:numPr>
        <w:pBdr>
          <w:top w:val="nil"/>
          <w:left w:val="nil"/>
          <w:bottom w:val="nil"/>
          <w:right w:val="nil"/>
          <w:between w:val="nil"/>
        </w:pBdr>
        <w:spacing w:before="240" w:after="240" w:line="276" w:lineRule="auto"/>
        <w:ind w:left="567" w:right="900" w:hanging="141"/>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t>CÓDIGO DE PLAZA:</w:t>
      </w:r>
      <w:r w:rsidRPr="0083694D">
        <w:rPr>
          <w:rFonts w:ascii="Palatino Linotype" w:eastAsia="Palatino Linotype" w:hAnsi="Palatino Linotype" w:cs="Palatino Linotype"/>
          <w:sz w:val="22"/>
          <w:szCs w:val="22"/>
        </w:rPr>
        <w:t xml:space="preserve"> Ciudad o región donde el cliente mantiene su cuenta, de acuerdo con la definición de claves de plaza definida para el servicio de cheques (tres dígitos). </w:t>
      </w:r>
    </w:p>
    <w:p w14:paraId="21D4B782" w14:textId="77777777" w:rsidR="00021793" w:rsidRPr="0083694D" w:rsidRDefault="00122CAC">
      <w:pPr>
        <w:numPr>
          <w:ilvl w:val="0"/>
          <w:numId w:val="3"/>
        </w:numPr>
        <w:pBdr>
          <w:top w:val="nil"/>
          <w:left w:val="nil"/>
          <w:bottom w:val="nil"/>
          <w:right w:val="nil"/>
          <w:between w:val="nil"/>
        </w:pBdr>
        <w:spacing w:before="240" w:after="240" w:line="276" w:lineRule="auto"/>
        <w:ind w:left="567" w:right="900" w:hanging="141"/>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lastRenderedPageBreak/>
        <w:t>NUMERO DE CUENTA:</w:t>
      </w:r>
      <w:r w:rsidRPr="0083694D">
        <w:rPr>
          <w:rFonts w:ascii="Palatino Linotype" w:eastAsia="Palatino Linotype" w:hAnsi="Palatino Linotype" w:cs="Palatino Linotype"/>
          <w:sz w:val="22"/>
          <w:szCs w:val="22"/>
        </w:rPr>
        <w:t xml:space="preserve"> Campo en donde se incluye la información que cada banco para individualizar la cuenta de sus clientes (once dígitos), y </w:t>
      </w:r>
    </w:p>
    <w:p w14:paraId="7890AF18" w14:textId="77777777" w:rsidR="00021793" w:rsidRPr="0083694D" w:rsidRDefault="00122CAC">
      <w:pPr>
        <w:numPr>
          <w:ilvl w:val="0"/>
          <w:numId w:val="3"/>
        </w:numPr>
        <w:pBdr>
          <w:top w:val="nil"/>
          <w:left w:val="nil"/>
          <w:bottom w:val="nil"/>
          <w:right w:val="nil"/>
          <w:between w:val="nil"/>
        </w:pBdr>
        <w:spacing w:before="240" w:after="240" w:line="276" w:lineRule="auto"/>
        <w:ind w:left="567" w:right="900" w:hanging="141"/>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t>DÍGITO DE CONTROL.</w:t>
      </w:r>
      <w:r w:rsidRPr="0083694D">
        <w:rPr>
          <w:rFonts w:ascii="Palatino Linotype" w:eastAsia="Palatino Linotype" w:hAnsi="Palatino Linotype" w:cs="Palatino Linotype"/>
          <w:sz w:val="22"/>
          <w:szCs w:val="22"/>
        </w:rPr>
        <w:t xml:space="preserve"> Es un dígito que se obtiene a través de aplicar un algoritmo que permite validar que la estructura de los datos contenidos en la CLABE sean correctos (un dígito).</w:t>
      </w:r>
    </w:p>
    <w:p w14:paraId="619A26C0" w14:textId="77777777" w:rsidR="00021793" w:rsidRPr="0083694D" w:rsidRDefault="00122CAC">
      <w:pPr>
        <w:pBdr>
          <w:top w:val="nil"/>
          <w:left w:val="nil"/>
          <w:bottom w:val="nil"/>
          <w:right w:val="nil"/>
          <w:between w:val="nil"/>
        </w:pBdr>
        <w:spacing w:before="240" w:after="240" w:line="360" w:lineRule="auto"/>
        <w:jc w:val="both"/>
      </w:pPr>
      <w:r w:rsidRPr="0083694D">
        <w:rPr>
          <w:rFonts w:ascii="Palatino Linotype" w:eastAsia="Palatino Linotype" w:hAnsi="Palatino Linotype" w:cs="Palatino Linotype"/>
          <w:sz w:val="22"/>
          <w:szCs w:val="22"/>
        </w:rPr>
        <w:t xml:space="preserve">Así las cuentas bancarias otorgadas a un particular y su </w:t>
      </w:r>
      <w:proofErr w:type="spellStart"/>
      <w:r w:rsidRPr="0083694D">
        <w:rPr>
          <w:rFonts w:ascii="Palatino Linotype" w:eastAsia="Palatino Linotype" w:hAnsi="Palatino Linotype" w:cs="Palatino Linotype"/>
          <w:sz w:val="22"/>
          <w:szCs w:val="22"/>
        </w:rPr>
        <w:t>Clabe</w:t>
      </w:r>
      <w:proofErr w:type="spellEnd"/>
      <w:r w:rsidRPr="0083694D">
        <w:rPr>
          <w:rFonts w:ascii="Palatino Linotype" w:eastAsia="Palatino Linotype" w:hAnsi="Palatino Linotype" w:cs="Palatino Linotype"/>
          <w:sz w:val="22"/>
          <w:szCs w:val="22"/>
        </w:rPr>
        <w:t xml:space="preserve"> es única e irrepetible, estableciendo con ello una relación que avala que los cargos efectuados, las transferencias electrónicas realizadas o los abonos efectuados corresponden, exclusivamente a la cuenta proporcionada a su titular, creando con ello una relación entre el titular y la institución encargada de prestar servicios de carácter financiero, mismo que se encuentra estrechamente relacionada con el patrimonio a la que se asignó el número. </w:t>
      </w:r>
    </w:p>
    <w:p w14:paraId="71CD777A" w14:textId="77777777" w:rsidR="00021793" w:rsidRPr="0083694D" w:rsidRDefault="00122CA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Derivado de lo anterior, se considera que la cuenta bancaria y la CLABE interbancaria, del </w:t>
      </w:r>
      <w:r w:rsidRPr="0083694D">
        <w:rPr>
          <w:rFonts w:ascii="Palatino Linotype" w:eastAsia="Palatino Linotype" w:hAnsi="Palatino Linotype" w:cs="Palatino Linotype"/>
          <w:b/>
          <w:sz w:val="22"/>
          <w:szCs w:val="22"/>
        </w:rPr>
        <w:t>particular</w:t>
      </w:r>
      <w:r w:rsidRPr="0083694D">
        <w:rPr>
          <w:rFonts w:ascii="Palatino Linotype" w:eastAsia="Palatino Linotype" w:hAnsi="Palatino Linotype" w:cs="Palatino Linotype"/>
          <w:sz w:val="22"/>
          <w:szCs w:val="22"/>
        </w:rPr>
        <w:t xml:space="preserve"> se encuentra asociado a su patrimonio, entendiendo éste como el conjunto de bienes, fondos, derechos, obligaciones; por tanto, se trata de información que no es de dominio público, por ello resulta procedente su clasificación como confidencial.</w:t>
      </w:r>
    </w:p>
    <w:p w14:paraId="726D7A74" w14:textId="77777777" w:rsidR="00021793" w:rsidRPr="0083694D" w:rsidRDefault="00122CAC">
      <w:pPr>
        <w:spacing w:line="360" w:lineRule="auto"/>
        <w:jc w:val="both"/>
      </w:pPr>
      <w:r w:rsidRPr="0083694D">
        <w:rPr>
          <w:rFonts w:ascii="Palatino Linotype" w:eastAsia="Palatino Linotype" w:hAnsi="Palatino Linotype" w:cs="Palatino Linotype"/>
          <w:sz w:val="22"/>
          <w:szCs w:val="22"/>
        </w:rPr>
        <w:t xml:space="preserve">En lo que corresponde a la huella dactilar, la Academia Mexicana de la Lengua y el Diccionario de la Real Academia de la Lengua Española, establecen que la huella dactilar, es la impresión que suele dejar la yema del dedo en un objeto al tocarlo, o la que se obtiene impregnándola previamente en una materia colorante. Por su parte, en el documento electrónico intitulado “Nuevas Tecnologías Biométricas”, publicado por el Instituto Nacional de Ciencias Penales y la Procuraduría General de la República, disponible en </w:t>
      </w:r>
      <w:hyperlink r:id="rId12">
        <w:r w:rsidRPr="0083694D">
          <w:rPr>
            <w:rFonts w:ascii="Palatino Linotype" w:eastAsia="Palatino Linotype" w:hAnsi="Palatino Linotype" w:cs="Palatino Linotype"/>
            <w:sz w:val="22"/>
            <w:szCs w:val="22"/>
            <w:u w:val="single"/>
          </w:rPr>
          <w:t>https://docplayer.es/5455342-Nuevas-tecnologias-biometricas-instituto-nacional-de-ciencias-penales-procuraduria-general-de-la-republica-version-1-0.html</w:t>
        </w:r>
      </w:hyperlink>
      <w:r w:rsidRPr="0083694D">
        <w:rPr>
          <w:rFonts w:ascii="Palatino Linotype" w:eastAsia="Palatino Linotype" w:hAnsi="Palatino Linotype" w:cs="Palatino Linotype"/>
          <w:sz w:val="22"/>
          <w:szCs w:val="22"/>
        </w:rPr>
        <w:t>, se indica que existen tres principios fundamentales para la identificación de las huellas dactilares, a saber: </w:t>
      </w:r>
    </w:p>
    <w:p w14:paraId="6CFFAD26" w14:textId="77777777" w:rsidR="00021793" w:rsidRPr="0083694D" w:rsidRDefault="00122CAC">
      <w:r w:rsidRPr="0083694D">
        <w:lastRenderedPageBreak/>
        <w:br/>
      </w:r>
    </w:p>
    <w:p w14:paraId="27A27222" w14:textId="77777777" w:rsidR="00021793" w:rsidRPr="0083694D" w:rsidRDefault="00122CAC">
      <w:pPr>
        <w:numPr>
          <w:ilvl w:val="0"/>
          <w:numId w:val="4"/>
        </w:numPr>
        <w:spacing w:line="276" w:lineRule="auto"/>
        <w:ind w:left="567" w:right="900" w:hanging="141"/>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Primer principio. La huella es una característica individual. No hay dos huellas con características en las crestas que sean idénticas. </w:t>
      </w:r>
    </w:p>
    <w:p w14:paraId="1E014869" w14:textId="77777777" w:rsidR="00021793" w:rsidRPr="0083694D" w:rsidRDefault="00122CAC">
      <w:pPr>
        <w:numPr>
          <w:ilvl w:val="0"/>
          <w:numId w:val="4"/>
        </w:numPr>
        <w:spacing w:line="276" w:lineRule="auto"/>
        <w:ind w:left="567" w:right="900" w:hanging="141"/>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Segundo principio. Una huella permanece sin cambios durante toda la vida de un individuo (sin embargo, puede adquirir cicatrices o cualquier otra deformación que impida su identificación clara). </w:t>
      </w:r>
    </w:p>
    <w:p w14:paraId="3243B79E" w14:textId="77777777" w:rsidR="00021793" w:rsidRPr="0083694D" w:rsidRDefault="00122CAC">
      <w:pPr>
        <w:numPr>
          <w:ilvl w:val="0"/>
          <w:numId w:val="4"/>
        </w:numPr>
        <w:spacing w:line="276" w:lineRule="auto"/>
        <w:ind w:left="567" w:right="900" w:hanging="141"/>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Tercer principio. Las huellas tienen patrones que se forman con sus crestas, lo que hace posible clasificarlas sistemáticamente para agilizar las búsquedas. </w:t>
      </w:r>
    </w:p>
    <w:p w14:paraId="6AE7E936" w14:textId="77777777" w:rsidR="00021793" w:rsidRPr="0083694D" w:rsidRDefault="00021793"/>
    <w:p w14:paraId="5DEA9B06" w14:textId="77777777" w:rsidR="00021793" w:rsidRPr="0083694D" w:rsidRDefault="00122CAC">
      <w:pPr>
        <w:spacing w:line="360" w:lineRule="auto"/>
        <w:jc w:val="both"/>
      </w:pPr>
      <w:r w:rsidRPr="0083694D">
        <w:rPr>
          <w:rFonts w:ascii="Palatino Linotype" w:eastAsia="Palatino Linotype" w:hAnsi="Palatino Linotype" w:cs="Palatino Linotype"/>
          <w:sz w:val="22"/>
          <w:szCs w:val="22"/>
        </w:rPr>
        <w:t>Conforme a lo expuesto, es indubitable que la huella dactilar es una característica propia de un individuo que permite su reconocimiento. Por tanto, sin duda, se considera que es una característica individual que se utiliza como medio de identificación de las personas y, por tanto, constituye un dato personal, de conformidad con lo establecido en el artículo 143, fracción I de la Ley de la materia.</w:t>
      </w:r>
    </w:p>
    <w:p w14:paraId="0C4A304A" w14:textId="77777777" w:rsidR="00021793" w:rsidRPr="0083694D" w:rsidRDefault="00021793">
      <w:pPr>
        <w:spacing w:line="360" w:lineRule="auto"/>
      </w:pPr>
    </w:p>
    <w:p w14:paraId="152B4B12" w14:textId="77777777" w:rsidR="00021793" w:rsidRPr="0083694D" w:rsidRDefault="00122CAC">
      <w:pPr>
        <w:spacing w:line="360" w:lineRule="auto"/>
        <w:jc w:val="both"/>
      </w:pPr>
      <w:r w:rsidRPr="0083694D">
        <w:rPr>
          <w:rFonts w:ascii="Palatino Linotype" w:eastAsia="Palatino Linotype" w:hAnsi="Palatino Linotype" w:cs="Palatino Linotype"/>
          <w:sz w:val="22"/>
          <w:szCs w:val="22"/>
        </w:rPr>
        <w:t>Ahora bien, no obstante que dicho dato no se haya recolectado mediante escaneo que permita su sistematización y procesamiento electrónico, incluso su recolección en tinta y papel, también permite su escaneo, lo que puede propiciar un mal uno de dicho dato, sino se aplican las medidas de protección adecuada, tal como lo refiere la Tesis Aislada HUELLA DACTILAR. ES APTA PARA ACREDITAR EL CONSENTIMIENTO EN LA CELEBRACIÓN DE UN CONTRATO.</w:t>
      </w:r>
    </w:p>
    <w:p w14:paraId="38EBB041" w14:textId="77777777" w:rsidR="00021793" w:rsidRPr="0083694D" w:rsidRDefault="00021793"/>
    <w:p w14:paraId="44D588BA" w14:textId="77777777" w:rsidR="00021793" w:rsidRPr="0083694D" w:rsidRDefault="00122CAC">
      <w:pPr>
        <w:ind w:left="567" w:right="567"/>
        <w:jc w:val="both"/>
      </w:pPr>
      <w:r w:rsidRPr="0083694D">
        <w:rPr>
          <w:rFonts w:ascii="Palatino Linotype" w:eastAsia="Palatino Linotype" w:hAnsi="Palatino Linotype" w:cs="Palatino Linotype"/>
          <w:b/>
          <w:i/>
          <w:sz w:val="22"/>
          <w:szCs w:val="22"/>
        </w:rPr>
        <w:t>“La huella dactilar es un elemento jurídicamente reconocido para demostrar tanto la individualización de su autor como la manifestación de su voluntad con el contenido de un documento, porque es más idónea para individualizar al sujeto, pues las técnicas dactiloscópicas desarrolladas permiten afirmar que no hay dos personas que posean idénticas huellas dactilares;</w:t>
      </w:r>
      <w:r w:rsidRPr="0083694D">
        <w:rPr>
          <w:rFonts w:ascii="Palatino Linotype" w:eastAsia="Palatino Linotype" w:hAnsi="Palatino Linotype" w:cs="Palatino Linotype"/>
          <w:i/>
          <w:sz w:val="22"/>
          <w:szCs w:val="22"/>
        </w:rPr>
        <w:t xml:space="preserve"> en cambio, los caracteres de la letra pueden ser imitados y, en algunos casos, podrá resultar difícil al perito decidir sobre la autenticidad de una firma. Como ejemplo de la eficacia de esa función </w:t>
      </w:r>
      <w:r w:rsidRPr="0083694D">
        <w:rPr>
          <w:rFonts w:ascii="Palatino Linotype" w:eastAsia="Palatino Linotype" w:hAnsi="Palatino Linotype" w:cs="Palatino Linotype"/>
          <w:i/>
          <w:sz w:val="22"/>
          <w:szCs w:val="22"/>
        </w:rPr>
        <w:lastRenderedPageBreak/>
        <w:t>individualizadora se tiene el artículo 76 del Código Civil para el Distrito Federal, que concibe a la huella como una firma útil para identificar a los nacidos en un parto múltiple. Por lo que toca a la función de acreditar la manifestación del consentimiento, el citado código prevé diversos supuestos, como por ejemplo, la solicitud del matrimonio (artículo 97, fracción III, segundo párrafo) y la celebración misma de éste (artículo 103, fracción IX, tercer párrafo). Tratándose de los contratos, la impresión de la huella cumple esa doble función, pues si bien es cierto que dicho código en su artículo 1834 establece como requisito adicional la firma de la persona que intervenga a ruego del autor de la huella, ello ocurre de manera excepcional para los casos en que éste no sepa o no pueda leer ni escribir, pero aun en este caso el conocimiento del contenido del documento y, en consecuencia, la eficacia de la manifestación de la voluntad del autor respecto del contenido del contrato, se asegura con la necesidad de la intervención de la persona que solicite el autor. De esta manera, si en un contrato se encuentran plasmadas huellas atribuidas a una de las partes acompañadas de firmas igualmente atribuidas a él, quedando demostrado que dichas huellas sí corresponden a dicho autor, debe tenerse por acreditado el consentimiento en la celebración del contrato, incluso, con independencia de que la prueba pericial haya determinado la falsificación de las firmas correspondientes, más aún cuando el autor no negó expresamente haber estampado sus huellas en el contrato.</w:t>
      </w:r>
    </w:p>
    <w:p w14:paraId="4EEB1C9D" w14:textId="77777777" w:rsidR="00021793" w:rsidRPr="0083694D" w:rsidRDefault="00021793"/>
    <w:p w14:paraId="2CB59318" w14:textId="77777777" w:rsidR="00021793" w:rsidRPr="0083694D" w:rsidRDefault="00122CAC">
      <w:pPr>
        <w:spacing w:line="360" w:lineRule="auto"/>
        <w:jc w:val="both"/>
      </w:pPr>
      <w:r w:rsidRPr="0083694D">
        <w:rPr>
          <w:rFonts w:ascii="Palatino Linotype" w:eastAsia="Palatino Linotype" w:hAnsi="Palatino Linotype" w:cs="Palatino Linotype"/>
          <w:sz w:val="22"/>
          <w:szCs w:val="22"/>
        </w:rPr>
        <w:t xml:space="preserve">En la actualidad existen sistemas denominados AFIS por sus siglas en inglés </w:t>
      </w:r>
      <w:proofErr w:type="spellStart"/>
      <w:r w:rsidRPr="0083694D">
        <w:rPr>
          <w:rFonts w:ascii="Palatino Linotype" w:eastAsia="Palatino Linotype" w:hAnsi="Palatino Linotype" w:cs="Palatino Linotype"/>
          <w:i/>
          <w:sz w:val="22"/>
          <w:szCs w:val="22"/>
        </w:rPr>
        <w:t>Automated</w:t>
      </w:r>
      <w:proofErr w:type="spellEnd"/>
      <w:r w:rsidRPr="0083694D">
        <w:rPr>
          <w:rFonts w:ascii="Palatino Linotype" w:eastAsia="Palatino Linotype" w:hAnsi="Palatino Linotype" w:cs="Palatino Linotype"/>
          <w:i/>
          <w:sz w:val="22"/>
          <w:szCs w:val="22"/>
        </w:rPr>
        <w:t xml:space="preserve"> </w:t>
      </w:r>
      <w:proofErr w:type="spellStart"/>
      <w:r w:rsidRPr="0083694D">
        <w:rPr>
          <w:rFonts w:ascii="Palatino Linotype" w:eastAsia="Palatino Linotype" w:hAnsi="Palatino Linotype" w:cs="Palatino Linotype"/>
          <w:i/>
          <w:sz w:val="22"/>
          <w:szCs w:val="22"/>
        </w:rPr>
        <w:t>Fingerprint</w:t>
      </w:r>
      <w:proofErr w:type="spellEnd"/>
      <w:r w:rsidRPr="0083694D">
        <w:rPr>
          <w:rFonts w:ascii="Palatino Linotype" w:eastAsia="Palatino Linotype" w:hAnsi="Palatino Linotype" w:cs="Palatino Linotype"/>
          <w:i/>
          <w:sz w:val="22"/>
          <w:szCs w:val="22"/>
        </w:rPr>
        <w:t xml:space="preserve"> </w:t>
      </w:r>
      <w:proofErr w:type="spellStart"/>
      <w:r w:rsidRPr="0083694D">
        <w:rPr>
          <w:rFonts w:ascii="Palatino Linotype" w:eastAsia="Palatino Linotype" w:hAnsi="Palatino Linotype" w:cs="Palatino Linotype"/>
          <w:i/>
          <w:sz w:val="22"/>
          <w:szCs w:val="22"/>
        </w:rPr>
        <w:t>Identification</w:t>
      </w:r>
      <w:proofErr w:type="spellEnd"/>
      <w:r w:rsidRPr="0083694D">
        <w:rPr>
          <w:rFonts w:ascii="Palatino Linotype" w:eastAsia="Palatino Linotype" w:hAnsi="Palatino Linotype" w:cs="Palatino Linotype"/>
          <w:i/>
          <w:sz w:val="22"/>
          <w:szCs w:val="22"/>
        </w:rPr>
        <w:t xml:space="preserve"> </w:t>
      </w:r>
      <w:proofErr w:type="spellStart"/>
      <w:r w:rsidRPr="0083694D">
        <w:rPr>
          <w:rFonts w:ascii="Palatino Linotype" w:eastAsia="Palatino Linotype" w:hAnsi="Palatino Linotype" w:cs="Palatino Linotype"/>
          <w:i/>
          <w:sz w:val="22"/>
          <w:szCs w:val="22"/>
        </w:rPr>
        <w:t>System</w:t>
      </w:r>
      <w:proofErr w:type="spellEnd"/>
      <w:r w:rsidRPr="0083694D">
        <w:rPr>
          <w:rFonts w:ascii="Palatino Linotype" w:eastAsia="Palatino Linotype" w:hAnsi="Palatino Linotype" w:cs="Palatino Linotype"/>
          <w:sz w:val="22"/>
          <w:szCs w:val="22"/>
        </w:rPr>
        <w:t xml:space="preserve"> que son sistemas informáticos que permiten la captura, consulta y comparación automática de huellas dactilares, para la captura y adquisición existen diversas formas de realizarlo y una de ellas es a través de la fotografía de una huella dactilar que se encuentra impresa en un papel, que sólo depende de la calidad de la imagen para su comparación para la individualización del autor por medio de los sistemas AFIS. </w:t>
      </w:r>
    </w:p>
    <w:p w14:paraId="4CD8D450" w14:textId="77777777" w:rsidR="00021793" w:rsidRPr="0083694D" w:rsidRDefault="00021793">
      <w:pPr>
        <w:spacing w:line="360" w:lineRule="auto"/>
      </w:pPr>
    </w:p>
    <w:p w14:paraId="3555DDAD" w14:textId="77777777" w:rsidR="00021793" w:rsidRPr="0083694D" w:rsidRDefault="00122CAC">
      <w:pPr>
        <w:spacing w:line="360" w:lineRule="auto"/>
        <w:jc w:val="both"/>
      </w:pPr>
      <w:r w:rsidRPr="0083694D">
        <w:rPr>
          <w:rFonts w:ascii="Palatino Linotype" w:eastAsia="Palatino Linotype" w:hAnsi="Palatino Linotype" w:cs="Palatino Linotype"/>
          <w:sz w:val="22"/>
          <w:szCs w:val="22"/>
        </w:rPr>
        <w:t xml:space="preserve">En términos de la calidad de la imagen se debe observar que en la NOM-151-SCFI-2016 publicada en el Diario Oficial de la Federación el 30 de Marzo de 2017, se determina que la calidad propicia para realizar la digitalización de documentos físicos en formato de imagen es de 200 píxeles por pulgada o superior para representaciones en blanco y negro, color o escala de grises, para garantizar el contenido y la integridad de los documentos </w:t>
      </w:r>
      <w:r w:rsidRPr="0083694D">
        <w:rPr>
          <w:rFonts w:ascii="Palatino Linotype" w:eastAsia="Palatino Linotype" w:hAnsi="Palatino Linotype" w:cs="Palatino Linotype"/>
          <w:sz w:val="22"/>
          <w:szCs w:val="22"/>
        </w:rPr>
        <w:lastRenderedPageBreak/>
        <w:t>digitalizados. Desde esta perspectiva es viable digitalizar la imagen de una huella digital con una calidad mínima para poder ser puesta a disposición de un sistema AFIS por medio de escáneres y multifuncionales de venta al público general de diversas marcas y que pueden proporcionar una resolución de hasta 600 pixeles por pulgada. </w:t>
      </w:r>
    </w:p>
    <w:p w14:paraId="3A25FCCE" w14:textId="77777777" w:rsidR="00021793" w:rsidRPr="0083694D" w:rsidRDefault="00021793">
      <w:pPr>
        <w:spacing w:line="360" w:lineRule="auto"/>
      </w:pPr>
    </w:p>
    <w:p w14:paraId="5E604533" w14:textId="77777777" w:rsidR="00021793" w:rsidRPr="0083694D" w:rsidRDefault="00122CAC">
      <w:pPr>
        <w:spacing w:line="360" w:lineRule="auto"/>
        <w:jc w:val="both"/>
      </w:pPr>
      <w:r w:rsidRPr="0083694D">
        <w:rPr>
          <w:rFonts w:ascii="Palatino Linotype" w:eastAsia="Palatino Linotype" w:hAnsi="Palatino Linotype" w:cs="Palatino Linotype"/>
          <w:sz w:val="22"/>
          <w:szCs w:val="22"/>
        </w:rPr>
        <w:t>En conclusión, con el uso de las tecnologías de digitalización e impresión puestas a disposición de público general, es posible realizar la adquisición y reproducción de la huella digital que se encuentra en un documento y adicionalmente se puede sistematizar la comparación y análisis de las digitalizaciones a través de sistemas especializados para esta finalidad que pueden encontrarse de forma gratuita en internet.</w:t>
      </w:r>
    </w:p>
    <w:p w14:paraId="2E4B919E" w14:textId="77777777" w:rsidR="00021793" w:rsidRPr="0083694D" w:rsidRDefault="00021793">
      <w:pPr>
        <w:spacing w:line="360" w:lineRule="auto"/>
      </w:pPr>
    </w:p>
    <w:p w14:paraId="241E16F1" w14:textId="77777777" w:rsidR="00021793" w:rsidRPr="0083694D" w:rsidRDefault="00122CAC">
      <w:pPr>
        <w:spacing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Por lo anterior, la huella dactilar no sólo constituye un dato personal confidencial de carácter biométrico, sino que su tratamiento debe llevarse a cabo a través de medidas de seguridad que garanticen su adecuado tratamiento, por lo que debe ser clasificado como confidencial en términos del artículo 143, fracción I, de la Ley de Transparencia y Acceso a la Información Pública del Estado de México y Municipios.</w:t>
      </w:r>
    </w:p>
    <w:p w14:paraId="3162EC66" w14:textId="77777777" w:rsidR="00021793" w:rsidRPr="0083694D" w:rsidRDefault="00021793">
      <w:pPr>
        <w:shd w:val="clear" w:color="auto" w:fill="FFFFFF"/>
        <w:spacing w:line="360" w:lineRule="auto"/>
        <w:ind w:right="51"/>
        <w:jc w:val="both"/>
      </w:pPr>
    </w:p>
    <w:p w14:paraId="3B13DE85" w14:textId="77777777" w:rsidR="00021793" w:rsidRPr="0083694D" w:rsidRDefault="00122CAC">
      <w:pPr>
        <w:shd w:val="clear" w:color="auto" w:fill="FFFFFF"/>
        <w:spacing w:line="360" w:lineRule="auto"/>
        <w:ind w:right="51"/>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sz w:val="22"/>
          <w:szCs w:val="22"/>
        </w:rPr>
        <w:t xml:space="preserve">Finalmente, es de precisar que la entrega de documentos en su versión pública debe acompañarse necesariamente del Acuerdo del Comité de Transparencia que la sustente, en el que se expongan los fundamentos y razonamientos que llevaron al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w:t>
      </w:r>
      <w:r w:rsidRPr="0083694D">
        <w:rPr>
          <w:rFonts w:ascii="Palatino Linotype" w:eastAsia="Palatino Linotype" w:hAnsi="Palatino Linotype" w:cs="Palatino Linotype"/>
          <w:sz w:val="22"/>
          <w:szCs w:val="22"/>
        </w:rPr>
        <w:lastRenderedPageBreak/>
        <w:t xml:space="preserve">se estaría violentando desde un inicio el derecho de acceso a la información del solicitante, por lo que el acuerdo respectivo, deberá hacerse del conocimiento de </w:t>
      </w:r>
      <w:r w:rsidRPr="0083694D">
        <w:rPr>
          <w:rFonts w:ascii="Palatino Linotype" w:eastAsia="Palatino Linotype" w:hAnsi="Palatino Linotype" w:cs="Palatino Linotype"/>
          <w:b/>
          <w:sz w:val="22"/>
          <w:szCs w:val="22"/>
        </w:rPr>
        <w:t>la parte</w:t>
      </w:r>
      <w:r w:rsidRPr="0083694D">
        <w:rPr>
          <w:rFonts w:ascii="Palatino Linotype" w:eastAsia="Palatino Linotype" w:hAnsi="Palatino Linotype" w:cs="Palatino Linotype"/>
          <w:sz w:val="22"/>
          <w:szCs w:val="22"/>
        </w:rPr>
        <w:t xml:space="preserve"> </w:t>
      </w:r>
      <w:r w:rsidRPr="0083694D">
        <w:rPr>
          <w:rFonts w:ascii="Palatino Linotype" w:eastAsia="Palatino Linotype" w:hAnsi="Palatino Linotype" w:cs="Palatino Linotype"/>
          <w:b/>
          <w:sz w:val="22"/>
          <w:szCs w:val="22"/>
        </w:rPr>
        <w:t>Recurrente</w:t>
      </w:r>
      <w:r w:rsidRPr="0083694D">
        <w:rPr>
          <w:rFonts w:ascii="Palatino Linotype" w:eastAsia="Palatino Linotype" w:hAnsi="Palatino Linotype" w:cs="Palatino Linotype"/>
          <w:sz w:val="22"/>
          <w:szCs w:val="22"/>
        </w:rPr>
        <w:t>.</w:t>
      </w:r>
    </w:p>
    <w:p w14:paraId="044C6984" w14:textId="77777777" w:rsidR="00021793" w:rsidRPr="0083694D" w:rsidRDefault="00122CA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bookmarkStart w:id="9" w:name="_heading=h.ijv98pntcd5s" w:colFirst="0" w:colLast="0"/>
      <w:bookmarkEnd w:id="9"/>
      <w:r w:rsidRPr="0083694D">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02788E3A" w14:textId="77777777" w:rsidR="00021793" w:rsidRPr="0083694D" w:rsidRDefault="00122CAC">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83694D">
        <w:rPr>
          <w:rFonts w:ascii="Palatino Linotype" w:eastAsia="Palatino Linotype" w:hAnsi="Palatino Linotype" w:cs="Palatino Linotype"/>
          <w:b/>
        </w:rPr>
        <w:t>III. R E S U E L V E</w:t>
      </w:r>
    </w:p>
    <w:p w14:paraId="65F4ED0F" w14:textId="77777777" w:rsidR="00021793" w:rsidRPr="0083694D" w:rsidRDefault="00122CAC">
      <w:pPr>
        <w:spacing w:before="240" w:after="240" w:line="360" w:lineRule="auto"/>
        <w:jc w:val="both"/>
        <w:rPr>
          <w:rFonts w:ascii="Palatino Linotype" w:eastAsia="Palatino Linotype" w:hAnsi="Palatino Linotype" w:cs="Palatino Linotype"/>
          <w:b/>
          <w:sz w:val="22"/>
          <w:szCs w:val="22"/>
        </w:rPr>
      </w:pPr>
      <w:bookmarkStart w:id="10" w:name="_heading=h.26in1rg" w:colFirst="0" w:colLast="0"/>
      <w:bookmarkEnd w:id="10"/>
      <w:r w:rsidRPr="0083694D">
        <w:rPr>
          <w:rFonts w:ascii="Palatino Linotype" w:eastAsia="Palatino Linotype" w:hAnsi="Palatino Linotype" w:cs="Palatino Linotype"/>
          <w:b/>
          <w:sz w:val="22"/>
          <w:szCs w:val="22"/>
        </w:rPr>
        <w:t xml:space="preserve">Primero. </w:t>
      </w:r>
      <w:r w:rsidRPr="0083694D">
        <w:rPr>
          <w:rFonts w:ascii="Palatino Linotype" w:eastAsia="Palatino Linotype" w:hAnsi="Palatino Linotype" w:cs="Palatino Linotype"/>
          <w:sz w:val="22"/>
          <w:szCs w:val="22"/>
        </w:rPr>
        <w:t xml:space="preserve">Resultan </w:t>
      </w:r>
      <w:r w:rsidRPr="0083694D">
        <w:rPr>
          <w:rFonts w:ascii="Palatino Linotype" w:eastAsia="Palatino Linotype" w:hAnsi="Palatino Linotype" w:cs="Palatino Linotype"/>
          <w:b/>
          <w:sz w:val="22"/>
          <w:szCs w:val="22"/>
        </w:rPr>
        <w:t>parcialmente fundadas</w:t>
      </w:r>
      <w:r w:rsidRPr="0083694D">
        <w:rPr>
          <w:rFonts w:ascii="Palatino Linotype" w:eastAsia="Palatino Linotype" w:hAnsi="Palatino Linotype" w:cs="Palatino Linotype"/>
          <w:sz w:val="22"/>
          <w:szCs w:val="22"/>
        </w:rPr>
        <w:t xml:space="preserve"> las razones o motivos de inconformidad hechos valer por </w:t>
      </w:r>
      <w:r w:rsidRPr="0083694D">
        <w:rPr>
          <w:rFonts w:ascii="Palatino Linotype" w:eastAsia="Palatino Linotype" w:hAnsi="Palatino Linotype" w:cs="Palatino Linotype"/>
          <w:b/>
          <w:sz w:val="22"/>
          <w:szCs w:val="22"/>
        </w:rPr>
        <w:t>la parte Recurrente</w:t>
      </w:r>
      <w:r w:rsidRPr="0083694D">
        <w:rPr>
          <w:rFonts w:ascii="Palatino Linotype" w:eastAsia="Palatino Linotype" w:hAnsi="Palatino Linotype" w:cs="Palatino Linotype"/>
          <w:sz w:val="22"/>
          <w:szCs w:val="22"/>
        </w:rPr>
        <w:t xml:space="preserve"> en el recurso de revisión </w:t>
      </w:r>
      <w:r w:rsidRPr="0083694D">
        <w:rPr>
          <w:rFonts w:ascii="Palatino Linotype" w:eastAsia="Palatino Linotype" w:hAnsi="Palatino Linotype" w:cs="Palatino Linotype"/>
          <w:b/>
          <w:sz w:val="22"/>
          <w:szCs w:val="22"/>
        </w:rPr>
        <w:t>07679/INFOEM/IP/RR/2024</w:t>
      </w:r>
      <w:r w:rsidRPr="0083694D">
        <w:rPr>
          <w:rFonts w:ascii="Palatino Linotype" w:eastAsia="Palatino Linotype" w:hAnsi="Palatino Linotype" w:cs="Palatino Linotype"/>
          <w:sz w:val="22"/>
          <w:szCs w:val="22"/>
        </w:rPr>
        <w:t xml:space="preserve">; por lo que, en términos del </w:t>
      </w:r>
      <w:r w:rsidRPr="0083694D">
        <w:rPr>
          <w:rFonts w:ascii="Palatino Linotype" w:eastAsia="Palatino Linotype" w:hAnsi="Palatino Linotype" w:cs="Palatino Linotype"/>
          <w:b/>
          <w:sz w:val="22"/>
          <w:szCs w:val="22"/>
        </w:rPr>
        <w:t>Considerando</w:t>
      </w:r>
      <w:r w:rsidRPr="0083694D">
        <w:rPr>
          <w:rFonts w:ascii="Palatino Linotype" w:eastAsia="Palatino Linotype" w:hAnsi="Palatino Linotype" w:cs="Palatino Linotype"/>
          <w:sz w:val="22"/>
          <w:szCs w:val="22"/>
        </w:rPr>
        <w:t xml:space="preserve"> </w:t>
      </w:r>
      <w:r w:rsidRPr="0083694D">
        <w:rPr>
          <w:rFonts w:ascii="Palatino Linotype" w:eastAsia="Palatino Linotype" w:hAnsi="Palatino Linotype" w:cs="Palatino Linotype"/>
          <w:b/>
          <w:sz w:val="22"/>
          <w:szCs w:val="22"/>
        </w:rPr>
        <w:t xml:space="preserve">Cuarto </w:t>
      </w:r>
      <w:r w:rsidRPr="0083694D">
        <w:rPr>
          <w:rFonts w:ascii="Palatino Linotype" w:eastAsia="Palatino Linotype" w:hAnsi="Palatino Linotype" w:cs="Palatino Linotype"/>
          <w:sz w:val="22"/>
          <w:szCs w:val="22"/>
        </w:rPr>
        <w:t xml:space="preserve">de esta resolución, se </w:t>
      </w:r>
      <w:r w:rsidRPr="0083694D">
        <w:rPr>
          <w:rFonts w:ascii="Palatino Linotype" w:eastAsia="Palatino Linotype" w:hAnsi="Palatino Linotype" w:cs="Palatino Linotype"/>
          <w:b/>
          <w:sz w:val="22"/>
          <w:szCs w:val="22"/>
        </w:rPr>
        <w:t xml:space="preserve">MODIFICA </w:t>
      </w:r>
      <w:r w:rsidRPr="0083694D">
        <w:rPr>
          <w:rFonts w:ascii="Palatino Linotype" w:eastAsia="Palatino Linotype" w:hAnsi="Palatino Linotype" w:cs="Palatino Linotype"/>
          <w:sz w:val="22"/>
          <w:szCs w:val="22"/>
        </w:rPr>
        <w:t xml:space="preserve">la respuesta emitida por el </w:t>
      </w:r>
      <w:r w:rsidRPr="0083694D">
        <w:rPr>
          <w:rFonts w:ascii="Palatino Linotype" w:eastAsia="Palatino Linotype" w:hAnsi="Palatino Linotype" w:cs="Palatino Linotype"/>
          <w:b/>
          <w:sz w:val="22"/>
          <w:szCs w:val="22"/>
        </w:rPr>
        <w:t xml:space="preserve">Sujeto Obligado. </w:t>
      </w:r>
    </w:p>
    <w:p w14:paraId="003735D1" w14:textId="77777777" w:rsidR="00021793" w:rsidRPr="0083694D" w:rsidRDefault="00122CAC">
      <w:pPr>
        <w:spacing w:before="240" w:after="240" w:line="360" w:lineRule="auto"/>
        <w:ind w:right="49"/>
        <w:jc w:val="both"/>
        <w:rPr>
          <w:rFonts w:ascii="Palatino Linotype" w:eastAsia="Palatino Linotype" w:hAnsi="Palatino Linotype" w:cs="Palatino Linotype"/>
          <w:b/>
          <w:sz w:val="22"/>
          <w:szCs w:val="22"/>
        </w:rPr>
      </w:pPr>
      <w:r w:rsidRPr="0083694D">
        <w:rPr>
          <w:rFonts w:ascii="Palatino Linotype" w:eastAsia="Palatino Linotype" w:hAnsi="Palatino Linotype" w:cs="Palatino Linotype"/>
          <w:b/>
          <w:sz w:val="22"/>
          <w:szCs w:val="22"/>
        </w:rPr>
        <w:t xml:space="preserve">Segundo. </w:t>
      </w:r>
      <w:r w:rsidRPr="0083694D">
        <w:rPr>
          <w:rFonts w:ascii="Palatino Linotype" w:eastAsia="Palatino Linotype" w:hAnsi="Palatino Linotype" w:cs="Palatino Linotype"/>
          <w:sz w:val="22"/>
          <w:szCs w:val="22"/>
        </w:rPr>
        <w:t xml:space="preserve">Se </w:t>
      </w:r>
      <w:r w:rsidRPr="0083694D">
        <w:rPr>
          <w:rFonts w:ascii="Palatino Linotype" w:eastAsia="Palatino Linotype" w:hAnsi="Palatino Linotype" w:cs="Palatino Linotype"/>
          <w:b/>
          <w:sz w:val="22"/>
          <w:szCs w:val="22"/>
        </w:rPr>
        <w:t xml:space="preserve">Ordena </w:t>
      </w:r>
      <w:r w:rsidRPr="0083694D">
        <w:rPr>
          <w:rFonts w:ascii="Palatino Linotype" w:eastAsia="Palatino Linotype" w:hAnsi="Palatino Linotype" w:cs="Palatino Linotype"/>
          <w:sz w:val="22"/>
          <w:szCs w:val="22"/>
        </w:rPr>
        <w:t xml:space="preserve">al </w:t>
      </w:r>
      <w:r w:rsidRPr="0083694D">
        <w:rPr>
          <w:rFonts w:ascii="Palatino Linotype" w:eastAsia="Palatino Linotype" w:hAnsi="Palatino Linotype" w:cs="Palatino Linotype"/>
          <w:b/>
          <w:sz w:val="22"/>
          <w:szCs w:val="22"/>
        </w:rPr>
        <w:t>Sujeto Obligado</w:t>
      </w:r>
      <w:r w:rsidRPr="0083694D">
        <w:rPr>
          <w:rFonts w:ascii="Palatino Linotype" w:eastAsia="Palatino Linotype" w:hAnsi="Palatino Linotype" w:cs="Palatino Linotype"/>
          <w:sz w:val="22"/>
          <w:szCs w:val="22"/>
        </w:rPr>
        <w:t xml:space="preserve"> haga entrega, a</w:t>
      </w:r>
      <w:r w:rsidRPr="0083694D">
        <w:rPr>
          <w:rFonts w:ascii="Palatino Linotype" w:eastAsia="Palatino Linotype" w:hAnsi="Palatino Linotype" w:cs="Palatino Linotype"/>
          <w:b/>
          <w:sz w:val="22"/>
          <w:szCs w:val="22"/>
        </w:rPr>
        <w:t xml:space="preserve"> la parte Recurrente,</w:t>
      </w:r>
      <w:r w:rsidRPr="0083694D">
        <w:rPr>
          <w:rFonts w:ascii="Palatino Linotype" w:eastAsia="Palatino Linotype" w:hAnsi="Palatino Linotype" w:cs="Palatino Linotype"/>
          <w:sz w:val="22"/>
          <w:szCs w:val="22"/>
        </w:rPr>
        <w:t xml:space="preserve"> vía </w:t>
      </w:r>
      <w:r w:rsidRPr="0083694D">
        <w:rPr>
          <w:rFonts w:ascii="Palatino Linotype" w:eastAsia="Palatino Linotype" w:hAnsi="Palatino Linotype" w:cs="Palatino Linotype"/>
          <w:b/>
          <w:sz w:val="22"/>
          <w:szCs w:val="22"/>
        </w:rPr>
        <w:t xml:space="preserve">SAIMEX, </w:t>
      </w:r>
      <w:r w:rsidRPr="0083694D">
        <w:rPr>
          <w:rFonts w:ascii="Palatino Linotype" w:eastAsia="Palatino Linotype" w:hAnsi="Palatino Linotype" w:cs="Palatino Linotype"/>
          <w:sz w:val="22"/>
          <w:szCs w:val="22"/>
        </w:rPr>
        <w:t xml:space="preserve">en versión pública de ser procedente, en términos de los </w:t>
      </w:r>
      <w:r w:rsidRPr="0083694D">
        <w:rPr>
          <w:rFonts w:ascii="Palatino Linotype" w:eastAsia="Palatino Linotype" w:hAnsi="Palatino Linotype" w:cs="Palatino Linotype"/>
          <w:b/>
          <w:sz w:val="22"/>
          <w:szCs w:val="22"/>
        </w:rPr>
        <w:t>Considerandos</w:t>
      </w:r>
      <w:r w:rsidRPr="0083694D">
        <w:rPr>
          <w:rFonts w:ascii="Palatino Linotype" w:eastAsia="Palatino Linotype" w:hAnsi="Palatino Linotype" w:cs="Palatino Linotype"/>
          <w:sz w:val="22"/>
          <w:szCs w:val="22"/>
        </w:rPr>
        <w:t xml:space="preserve"> </w:t>
      </w:r>
      <w:r w:rsidRPr="0083694D">
        <w:rPr>
          <w:rFonts w:ascii="Palatino Linotype" w:eastAsia="Palatino Linotype" w:hAnsi="Palatino Linotype" w:cs="Palatino Linotype"/>
          <w:b/>
          <w:sz w:val="22"/>
          <w:szCs w:val="22"/>
        </w:rPr>
        <w:t>Cuarto y Quinto, del 01 de enero de 2022 al 25 de noviembre de 2024, el o los documentos en los que se advierta lo siguiente de los servidores públicos dados de baja:</w:t>
      </w:r>
    </w:p>
    <w:p w14:paraId="6118437A" w14:textId="77777777" w:rsidR="00021793" w:rsidRPr="0083694D" w:rsidRDefault="00122CAC">
      <w:pPr>
        <w:spacing w:before="240" w:after="240" w:line="276" w:lineRule="auto"/>
        <w:ind w:left="567"/>
        <w:jc w:val="both"/>
        <w:rPr>
          <w:rFonts w:ascii="Palatino Linotype" w:eastAsia="Palatino Linotype" w:hAnsi="Palatino Linotype" w:cs="Palatino Linotype"/>
          <w:b/>
          <w:sz w:val="22"/>
          <w:szCs w:val="22"/>
        </w:rPr>
      </w:pPr>
      <w:r w:rsidRPr="0083694D">
        <w:rPr>
          <w:rFonts w:ascii="Palatino Linotype" w:eastAsia="Palatino Linotype" w:hAnsi="Palatino Linotype" w:cs="Palatino Linotype"/>
          <w:b/>
          <w:sz w:val="22"/>
          <w:szCs w:val="22"/>
        </w:rPr>
        <w:t>1. Nombre de los servidores públicos dados de baja, faltantes.</w:t>
      </w:r>
    </w:p>
    <w:p w14:paraId="7AE19422" w14:textId="77777777" w:rsidR="00021793" w:rsidRPr="0083694D" w:rsidRDefault="00122CAC">
      <w:pPr>
        <w:spacing w:before="240" w:after="240" w:line="276" w:lineRule="auto"/>
        <w:ind w:left="567"/>
        <w:jc w:val="both"/>
        <w:rPr>
          <w:rFonts w:ascii="Palatino Linotype" w:eastAsia="Palatino Linotype" w:hAnsi="Palatino Linotype" w:cs="Palatino Linotype"/>
          <w:b/>
          <w:sz w:val="22"/>
          <w:szCs w:val="22"/>
        </w:rPr>
      </w:pPr>
      <w:r w:rsidRPr="0083694D">
        <w:rPr>
          <w:rFonts w:ascii="Palatino Linotype" w:eastAsia="Palatino Linotype" w:hAnsi="Palatino Linotype" w:cs="Palatino Linotype"/>
          <w:b/>
          <w:sz w:val="22"/>
          <w:szCs w:val="22"/>
        </w:rPr>
        <w:t xml:space="preserve">2. El monto total por concepto de finiquito de cada servidor público, y el acuse de recepción del mismo. </w:t>
      </w:r>
    </w:p>
    <w:p w14:paraId="3AFCCB65" w14:textId="77777777" w:rsidR="00021793" w:rsidRPr="0083694D" w:rsidRDefault="00122CAC">
      <w:pPr>
        <w:spacing w:before="240" w:after="240" w:line="276" w:lineRule="auto"/>
        <w:ind w:left="567"/>
        <w:jc w:val="both"/>
        <w:rPr>
          <w:rFonts w:ascii="Palatino Linotype" w:eastAsia="Palatino Linotype" w:hAnsi="Palatino Linotype" w:cs="Palatino Linotype"/>
          <w:b/>
          <w:sz w:val="22"/>
          <w:szCs w:val="22"/>
        </w:rPr>
      </w:pPr>
      <w:r w:rsidRPr="0083694D">
        <w:rPr>
          <w:rFonts w:ascii="Palatino Linotype" w:eastAsia="Palatino Linotype" w:hAnsi="Palatino Linotype" w:cs="Palatino Linotype"/>
          <w:b/>
          <w:sz w:val="22"/>
          <w:szCs w:val="22"/>
        </w:rPr>
        <w:t xml:space="preserve">3. Causas o motivos de la baja. </w:t>
      </w:r>
    </w:p>
    <w:p w14:paraId="0F13C307" w14:textId="77777777" w:rsidR="00021793" w:rsidRPr="0083694D" w:rsidRDefault="00122CA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w:t>
      </w:r>
      <w:r w:rsidRPr="0083694D">
        <w:rPr>
          <w:rFonts w:ascii="Palatino Linotype" w:eastAsia="Palatino Linotype" w:hAnsi="Palatino Linotype" w:cs="Palatino Linotype"/>
          <w:i/>
          <w:sz w:val="22"/>
          <w:szCs w:val="22"/>
        </w:rPr>
        <w:lastRenderedPageBreak/>
        <w:t xml:space="preserve">Municipios, en el que funde y motive las razones sobre los datos que se supriman o eliminen y se ponga a disposición de </w:t>
      </w:r>
      <w:r w:rsidRPr="0083694D">
        <w:rPr>
          <w:rFonts w:ascii="Palatino Linotype" w:eastAsia="Palatino Linotype" w:hAnsi="Palatino Linotype" w:cs="Palatino Linotype"/>
          <w:b/>
          <w:i/>
          <w:sz w:val="22"/>
          <w:szCs w:val="22"/>
        </w:rPr>
        <w:t>la parte Recurrente</w:t>
      </w:r>
      <w:r w:rsidRPr="0083694D">
        <w:rPr>
          <w:rFonts w:ascii="Palatino Linotype" w:eastAsia="Palatino Linotype" w:hAnsi="Palatino Linotype" w:cs="Palatino Linotype"/>
          <w:i/>
          <w:sz w:val="22"/>
          <w:szCs w:val="22"/>
        </w:rPr>
        <w:t>.</w:t>
      </w:r>
    </w:p>
    <w:p w14:paraId="042D9526" w14:textId="77777777" w:rsidR="00021793" w:rsidRPr="0083694D" w:rsidRDefault="00122CAC">
      <w:pPr>
        <w:pBdr>
          <w:top w:val="nil"/>
          <w:left w:val="nil"/>
          <w:bottom w:val="nil"/>
          <w:right w:val="nil"/>
          <w:between w:val="nil"/>
        </w:pBdr>
        <w:tabs>
          <w:tab w:val="left" w:pos="993"/>
        </w:tabs>
        <w:spacing w:before="120" w:after="120"/>
        <w:ind w:left="567" w:right="900"/>
        <w:jc w:val="both"/>
        <w:rPr>
          <w:rFonts w:ascii="Palatino Linotype" w:eastAsia="Palatino Linotype" w:hAnsi="Palatino Linotype" w:cs="Palatino Linotype"/>
          <w:i/>
          <w:sz w:val="22"/>
          <w:szCs w:val="22"/>
        </w:rPr>
      </w:pPr>
      <w:r w:rsidRPr="0083694D">
        <w:rPr>
          <w:rFonts w:ascii="Palatino Linotype" w:eastAsia="Palatino Linotype" w:hAnsi="Palatino Linotype" w:cs="Palatino Linotype"/>
          <w:i/>
          <w:sz w:val="22"/>
          <w:szCs w:val="22"/>
        </w:rPr>
        <w:t xml:space="preserve">Para el caso de que la información que se ordena entregar en los puntos 1 y 2 no obre en los archivos del </w:t>
      </w:r>
      <w:r w:rsidRPr="0083694D">
        <w:rPr>
          <w:rFonts w:ascii="Palatino Linotype" w:eastAsia="Palatino Linotype" w:hAnsi="Palatino Linotype" w:cs="Palatino Linotype"/>
          <w:b/>
          <w:i/>
          <w:sz w:val="22"/>
          <w:szCs w:val="22"/>
        </w:rPr>
        <w:t>Sujeto Obligado</w:t>
      </w:r>
      <w:r w:rsidRPr="0083694D">
        <w:rPr>
          <w:rFonts w:ascii="Palatino Linotype" w:eastAsia="Palatino Linotype" w:hAnsi="Palatino Linotype" w:cs="Palatino Linotype"/>
          <w:i/>
          <w:sz w:val="22"/>
          <w:szCs w:val="22"/>
        </w:rPr>
        <w:t xml:space="preserve"> </w:t>
      </w:r>
      <w:r w:rsidRPr="0083694D">
        <w:rPr>
          <w:rFonts w:ascii="Palatino Linotype" w:eastAsia="Palatino Linotype" w:hAnsi="Palatino Linotype" w:cs="Palatino Linotype"/>
          <w:i/>
          <w:sz w:val="22"/>
          <w:szCs w:val="22"/>
          <w:u w:val="single"/>
        </w:rPr>
        <w:t>al no existir información adicional a la entregada en respuesta, o bien, porque a la fecha de la solicitud no se hubiera determinado un monto o no se hubiera pagado aún el finiquito</w:t>
      </w:r>
      <w:r w:rsidRPr="0083694D">
        <w:rPr>
          <w:rFonts w:ascii="Palatino Linotype" w:eastAsia="Palatino Linotype" w:hAnsi="Palatino Linotype" w:cs="Palatino Linotype"/>
          <w:i/>
          <w:sz w:val="22"/>
          <w:szCs w:val="22"/>
        </w:rPr>
        <w:t xml:space="preserve">, este deberá hacerlo del conocimiento de </w:t>
      </w:r>
      <w:r w:rsidRPr="0083694D">
        <w:rPr>
          <w:rFonts w:ascii="Palatino Linotype" w:eastAsia="Palatino Linotype" w:hAnsi="Palatino Linotype" w:cs="Palatino Linotype"/>
          <w:b/>
          <w:i/>
          <w:sz w:val="22"/>
          <w:szCs w:val="22"/>
        </w:rPr>
        <w:t>la parte</w:t>
      </w:r>
      <w:r w:rsidRPr="0083694D">
        <w:rPr>
          <w:rFonts w:ascii="Palatino Linotype" w:eastAsia="Palatino Linotype" w:hAnsi="Palatino Linotype" w:cs="Palatino Linotype"/>
          <w:i/>
          <w:sz w:val="22"/>
          <w:szCs w:val="22"/>
        </w:rPr>
        <w:t xml:space="preserve"> </w:t>
      </w:r>
      <w:r w:rsidRPr="0083694D">
        <w:rPr>
          <w:rFonts w:ascii="Palatino Linotype" w:eastAsia="Palatino Linotype" w:hAnsi="Palatino Linotype" w:cs="Palatino Linotype"/>
          <w:b/>
          <w:i/>
          <w:sz w:val="22"/>
          <w:szCs w:val="22"/>
        </w:rPr>
        <w:t>Recurrente</w:t>
      </w:r>
      <w:r w:rsidRPr="0083694D">
        <w:rPr>
          <w:rFonts w:ascii="Palatino Linotype" w:eastAsia="Palatino Linotype" w:hAnsi="Palatino Linotype" w:cs="Palatino Linotype"/>
          <w:i/>
          <w:sz w:val="22"/>
          <w:szCs w:val="22"/>
        </w:rPr>
        <w:t xml:space="preserve"> en términos del artículo 19, párrafo segundo, de la Ley de Transparencia y Acceso a la Información Pública del Estado de México y Municipios, para tenerse por colmado dicho requerimiento.</w:t>
      </w:r>
    </w:p>
    <w:p w14:paraId="63BF8FB8" w14:textId="77777777" w:rsidR="00021793" w:rsidRPr="0083694D" w:rsidRDefault="00122CAC">
      <w:pPr>
        <w:spacing w:before="240" w:after="240" w:line="360" w:lineRule="auto"/>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t xml:space="preserve">Tercero.  Notifíquese vía SAIMEX, </w:t>
      </w:r>
      <w:r w:rsidRPr="0083694D">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6F97988" w14:textId="77777777" w:rsidR="00021793" w:rsidRPr="0083694D" w:rsidRDefault="00122CAC">
      <w:pPr>
        <w:spacing w:before="240" w:after="240" w:line="360" w:lineRule="auto"/>
        <w:ind w:right="49"/>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t xml:space="preserve">Cuarto. </w:t>
      </w:r>
      <w:r w:rsidRPr="0083694D">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BB841A0" w14:textId="77777777" w:rsidR="00021793" w:rsidRPr="0083694D" w:rsidRDefault="00122CAC">
      <w:pPr>
        <w:spacing w:before="240" w:after="240" w:line="360" w:lineRule="auto"/>
        <w:ind w:right="49"/>
        <w:jc w:val="both"/>
        <w:rPr>
          <w:rFonts w:ascii="Palatino Linotype" w:eastAsia="Palatino Linotype" w:hAnsi="Palatino Linotype" w:cs="Palatino Linotype"/>
          <w:sz w:val="22"/>
          <w:szCs w:val="22"/>
        </w:rPr>
      </w:pPr>
      <w:r w:rsidRPr="0083694D">
        <w:rPr>
          <w:rFonts w:ascii="Palatino Linotype" w:eastAsia="Palatino Linotype" w:hAnsi="Palatino Linotype" w:cs="Palatino Linotype"/>
          <w:b/>
          <w:sz w:val="22"/>
          <w:szCs w:val="22"/>
        </w:rPr>
        <w:t xml:space="preserve">Quinto. Notifíquese vía SAIMEX, </w:t>
      </w:r>
      <w:r w:rsidRPr="0083694D">
        <w:rPr>
          <w:rFonts w:ascii="Palatino Linotype" w:eastAsia="Palatino Linotype" w:hAnsi="Palatino Linotype" w:cs="Palatino Linotype"/>
          <w:sz w:val="22"/>
          <w:szCs w:val="22"/>
        </w:rPr>
        <w:t>a</w:t>
      </w:r>
      <w:r w:rsidRPr="0083694D">
        <w:rPr>
          <w:rFonts w:ascii="Palatino Linotype" w:eastAsia="Palatino Linotype" w:hAnsi="Palatino Linotype" w:cs="Palatino Linotype"/>
          <w:b/>
          <w:sz w:val="22"/>
          <w:szCs w:val="22"/>
        </w:rPr>
        <w:t xml:space="preserve"> la parte Recurrente</w:t>
      </w:r>
      <w:r w:rsidRPr="0083694D">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w:t>
      </w:r>
    </w:p>
    <w:p w14:paraId="16BA948F" w14:textId="19D82AC1" w:rsidR="00021793" w:rsidRPr="005F0CBA" w:rsidRDefault="00122CAC">
      <w:pPr>
        <w:spacing w:before="240" w:after="240" w:line="360" w:lineRule="auto"/>
        <w:jc w:val="both"/>
        <w:rPr>
          <w:rFonts w:ascii="Palatino Linotype" w:eastAsia="Palatino Linotype" w:hAnsi="Palatino Linotype" w:cs="Palatino Linotype"/>
        </w:rPr>
      </w:pPr>
      <w:r w:rsidRPr="0083694D">
        <w:rPr>
          <w:rFonts w:ascii="Palatino Linotype" w:eastAsia="Palatino Linotype" w:hAnsi="Palatino Linotype" w:cs="Palatino Linotype"/>
        </w:rPr>
        <w:lastRenderedPageBreak/>
        <w:t xml:space="preserve">ASÍ LO </w:t>
      </w:r>
      <w:r w:rsidR="005F0CBA" w:rsidRPr="0083694D">
        <w:rPr>
          <w:rFonts w:ascii="Palatino Linotype" w:eastAsia="Palatino Linotype" w:hAnsi="Palatino Linotype" w:cs="Palatino Linotype"/>
        </w:rPr>
        <w:t>RESUELVE</w:t>
      </w:r>
      <w:r w:rsidRPr="0083694D">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DE ENERO DE DOS MIL VEINTICINCO, ANTE EL SECRETARIO TÉCNICO DEL PLENO ALEXIS TAPIA RAMÍREZ.</w:t>
      </w:r>
    </w:p>
    <w:p w14:paraId="0EE1E820" w14:textId="77777777" w:rsidR="00021793" w:rsidRPr="005F0CBA" w:rsidRDefault="00021793">
      <w:pPr>
        <w:spacing w:line="360" w:lineRule="auto"/>
        <w:ind w:right="141"/>
        <w:jc w:val="both"/>
        <w:rPr>
          <w:rFonts w:ascii="Palatino Linotype" w:eastAsia="Palatino Linotype" w:hAnsi="Palatino Linotype" w:cs="Palatino Linotype"/>
          <w:sz w:val="22"/>
          <w:szCs w:val="22"/>
        </w:rPr>
      </w:pPr>
    </w:p>
    <w:p w14:paraId="0B92D39E" w14:textId="77777777" w:rsidR="00021793" w:rsidRPr="005F0CBA" w:rsidRDefault="00021793">
      <w:pPr>
        <w:spacing w:line="360" w:lineRule="auto"/>
        <w:ind w:right="141"/>
        <w:jc w:val="both"/>
        <w:rPr>
          <w:rFonts w:ascii="Palatino Linotype" w:eastAsia="Palatino Linotype" w:hAnsi="Palatino Linotype" w:cs="Palatino Linotype"/>
          <w:sz w:val="22"/>
          <w:szCs w:val="22"/>
        </w:rPr>
      </w:pPr>
    </w:p>
    <w:p w14:paraId="1ACD0C86" w14:textId="77777777" w:rsidR="00021793" w:rsidRPr="005F0CBA" w:rsidRDefault="00021793">
      <w:pPr>
        <w:spacing w:line="360" w:lineRule="auto"/>
        <w:ind w:right="141"/>
        <w:jc w:val="both"/>
        <w:rPr>
          <w:rFonts w:ascii="Palatino Linotype" w:eastAsia="Palatino Linotype" w:hAnsi="Palatino Linotype" w:cs="Palatino Linotype"/>
          <w:sz w:val="22"/>
          <w:szCs w:val="22"/>
        </w:rPr>
      </w:pPr>
    </w:p>
    <w:p w14:paraId="47662607" w14:textId="77777777" w:rsidR="00021793" w:rsidRPr="005F0CBA" w:rsidRDefault="0002179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34CDC0F9" w14:textId="77777777" w:rsidR="00021793" w:rsidRPr="005F0CBA" w:rsidRDefault="0002179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5470CF8C" w14:textId="77777777" w:rsidR="00021793" w:rsidRPr="005F0CBA" w:rsidRDefault="00021793">
      <w:pPr>
        <w:spacing w:before="240" w:after="240" w:line="360" w:lineRule="auto"/>
        <w:jc w:val="both"/>
        <w:rPr>
          <w:rFonts w:ascii="Palatino Linotype" w:eastAsia="Palatino Linotype" w:hAnsi="Palatino Linotype" w:cs="Palatino Linotype"/>
          <w:sz w:val="22"/>
          <w:szCs w:val="22"/>
        </w:rPr>
      </w:pPr>
    </w:p>
    <w:p w14:paraId="06D70574" w14:textId="77777777" w:rsidR="00021793" w:rsidRPr="005F0CBA" w:rsidRDefault="00021793">
      <w:pPr>
        <w:spacing w:before="240" w:after="240" w:line="360" w:lineRule="auto"/>
        <w:jc w:val="both"/>
        <w:rPr>
          <w:rFonts w:ascii="Palatino Linotype" w:eastAsia="Palatino Linotype" w:hAnsi="Palatino Linotype" w:cs="Palatino Linotype"/>
          <w:b/>
        </w:rPr>
      </w:pPr>
    </w:p>
    <w:p w14:paraId="01F8F395" w14:textId="77777777" w:rsidR="00021793" w:rsidRPr="005F0CBA" w:rsidRDefault="00021793">
      <w:pPr>
        <w:spacing w:before="240" w:after="240" w:line="360" w:lineRule="auto"/>
        <w:jc w:val="both"/>
        <w:rPr>
          <w:rFonts w:ascii="Palatino Linotype" w:eastAsia="Palatino Linotype" w:hAnsi="Palatino Linotype" w:cs="Palatino Linotype"/>
          <w:b/>
        </w:rPr>
      </w:pPr>
    </w:p>
    <w:p w14:paraId="46A556B2" w14:textId="77777777" w:rsidR="00021793" w:rsidRPr="005F0CBA" w:rsidRDefault="00021793">
      <w:pPr>
        <w:spacing w:before="240" w:after="240" w:line="360" w:lineRule="auto"/>
        <w:jc w:val="both"/>
        <w:rPr>
          <w:rFonts w:ascii="Palatino Linotype" w:eastAsia="Palatino Linotype" w:hAnsi="Palatino Linotype" w:cs="Palatino Linotype"/>
          <w:b/>
        </w:rPr>
      </w:pPr>
    </w:p>
    <w:p w14:paraId="4FFBD404" w14:textId="77777777" w:rsidR="00021793" w:rsidRPr="005F0CBA" w:rsidRDefault="00021793">
      <w:pPr>
        <w:spacing w:line="360" w:lineRule="auto"/>
        <w:jc w:val="both"/>
        <w:rPr>
          <w:rFonts w:ascii="Palatino Linotype" w:eastAsia="Palatino Linotype" w:hAnsi="Palatino Linotype" w:cs="Palatino Linotype"/>
        </w:rPr>
      </w:pPr>
    </w:p>
    <w:p w14:paraId="0B0176C5" w14:textId="77777777" w:rsidR="00021793" w:rsidRPr="005F0CBA" w:rsidRDefault="00021793">
      <w:pPr>
        <w:spacing w:line="360" w:lineRule="auto"/>
        <w:jc w:val="both"/>
        <w:rPr>
          <w:rFonts w:ascii="Palatino Linotype" w:eastAsia="Palatino Linotype" w:hAnsi="Palatino Linotype" w:cs="Palatino Linotype"/>
        </w:rPr>
      </w:pPr>
    </w:p>
    <w:p w14:paraId="52362AD3" w14:textId="77777777" w:rsidR="00021793" w:rsidRPr="005F0CBA" w:rsidRDefault="00021793">
      <w:pPr>
        <w:spacing w:line="360" w:lineRule="auto"/>
        <w:jc w:val="both"/>
        <w:rPr>
          <w:rFonts w:ascii="Palatino Linotype" w:eastAsia="Palatino Linotype" w:hAnsi="Palatino Linotype" w:cs="Palatino Linotype"/>
        </w:rPr>
      </w:pPr>
    </w:p>
    <w:p w14:paraId="0315B088" w14:textId="77777777" w:rsidR="00021793" w:rsidRPr="005F0CBA" w:rsidRDefault="00021793">
      <w:pPr>
        <w:spacing w:line="360" w:lineRule="auto"/>
        <w:jc w:val="both"/>
        <w:rPr>
          <w:rFonts w:ascii="Palatino Linotype" w:eastAsia="Palatino Linotype" w:hAnsi="Palatino Linotype" w:cs="Palatino Linotype"/>
        </w:rPr>
      </w:pPr>
    </w:p>
    <w:p w14:paraId="7221F6A5" w14:textId="77777777" w:rsidR="00021793" w:rsidRPr="005F0CBA" w:rsidRDefault="00021793">
      <w:pPr>
        <w:spacing w:line="360" w:lineRule="auto"/>
        <w:jc w:val="both"/>
        <w:rPr>
          <w:rFonts w:ascii="Palatino Linotype" w:eastAsia="Palatino Linotype" w:hAnsi="Palatino Linotype" w:cs="Palatino Linotype"/>
        </w:rPr>
      </w:pPr>
    </w:p>
    <w:p w14:paraId="1BFFFC5A" w14:textId="77777777" w:rsidR="00021793" w:rsidRPr="005F0CBA" w:rsidRDefault="00021793">
      <w:pPr>
        <w:spacing w:line="360" w:lineRule="auto"/>
        <w:jc w:val="both"/>
        <w:rPr>
          <w:rFonts w:ascii="Palatino Linotype" w:eastAsia="Palatino Linotype" w:hAnsi="Palatino Linotype" w:cs="Palatino Linotype"/>
        </w:rPr>
      </w:pPr>
    </w:p>
    <w:p w14:paraId="4680BC2C" w14:textId="77777777" w:rsidR="00021793" w:rsidRPr="005F0CBA" w:rsidRDefault="00021793">
      <w:pPr>
        <w:spacing w:line="360" w:lineRule="auto"/>
        <w:jc w:val="both"/>
        <w:rPr>
          <w:rFonts w:ascii="Palatino Linotype" w:eastAsia="Palatino Linotype" w:hAnsi="Palatino Linotype" w:cs="Palatino Linotype"/>
        </w:rPr>
      </w:pPr>
    </w:p>
    <w:p w14:paraId="53BFB5A8" w14:textId="77777777" w:rsidR="00021793" w:rsidRPr="005F0CBA" w:rsidRDefault="00021793">
      <w:pPr>
        <w:spacing w:line="360" w:lineRule="auto"/>
        <w:jc w:val="both"/>
        <w:rPr>
          <w:rFonts w:ascii="Palatino Linotype" w:eastAsia="Palatino Linotype" w:hAnsi="Palatino Linotype" w:cs="Palatino Linotype"/>
        </w:rPr>
      </w:pPr>
    </w:p>
    <w:p w14:paraId="7CA8C76B" w14:textId="77777777" w:rsidR="00021793" w:rsidRPr="005F0CBA" w:rsidRDefault="00021793">
      <w:pPr>
        <w:spacing w:line="360" w:lineRule="auto"/>
        <w:jc w:val="both"/>
        <w:rPr>
          <w:rFonts w:ascii="Palatino Linotype" w:eastAsia="Palatino Linotype" w:hAnsi="Palatino Linotype" w:cs="Palatino Linotype"/>
        </w:rPr>
      </w:pPr>
    </w:p>
    <w:p w14:paraId="71F74875" w14:textId="77777777" w:rsidR="00021793" w:rsidRPr="005F0CBA" w:rsidRDefault="00021793">
      <w:pPr>
        <w:spacing w:line="360" w:lineRule="auto"/>
        <w:jc w:val="both"/>
        <w:rPr>
          <w:rFonts w:ascii="Palatino Linotype" w:eastAsia="Palatino Linotype" w:hAnsi="Palatino Linotype" w:cs="Palatino Linotype"/>
        </w:rPr>
      </w:pPr>
    </w:p>
    <w:p w14:paraId="36A3A29F" w14:textId="77777777" w:rsidR="00021793" w:rsidRPr="005F0CBA" w:rsidRDefault="00021793">
      <w:pPr>
        <w:spacing w:line="360" w:lineRule="auto"/>
        <w:jc w:val="both"/>
        <w:rPr>
          <w:rFonts w:ascii="Palatino Linotype" w:eastAsia="Palatino Linotype" w:hAnsi="Palatino Linotype" w:cs="Palatino Linotype"/>
        </w:rPr>
      </w:pPr>
    </w:p>
    <w:p w14:paraId="3EA279D0" w14:textId="77777777" w:rsidR="00021793" w:rsidRPr="005F0CBA" w:rsidRDefault="00021793">
      <w:pPr>
        <w:spacing w:line="360" w:lineRule="auto"/>
        <w:jc w:val="both"/>
        <w:rPr>
          <w:rFonts w:ascii="Palatino Linotype" w:eastAsia="Palatino Linotype" w:hAnsi="Palatino Linotype" w:cs="Palatino Linotype"/>
        </w:rPr>
      </w:pPr>
    </w:p>
    <w:p w14:paraId="7A280869" w14:textId="77777777" w:rsidR="00021793" w:rsidRPr="005F0CBA" w:rsidRDefault="00021793">
      <w:pPr>
        <w:spacing w:line="360" w:lineRule="auto"/>
        <w:jc w:val="both"/>
        <w:rPr>
          <w:rFonts w:ascii="Palatino Linotype" w:eastAsia="Palatino Linotype" w:hAnsi="Palatino Linotype" w:cs="Palatino Linotype"/>
        </w:rPr>
      </w:pPr>
    </w:p>
    <w:p w14:paraId="6CD79AE7" w14:textId="77777777" w:rsidR="00021793" w:rsidRPr="005F0CBA" w:rsidRDefault="00021793">
      <w:pPr>
        <w:spacing w:line="360" w:lineRule="auto"/>
        <w:jc w:val="both"/>
        <w:rPr>
          <w:rFonts w:ascii="Palatino Linotype" w:eastAsia="Palatino Linotype" w:hAnsi="Palatino Linotype" w:cs="Palatino Linotype"/>
        </w:rPr>
      </w:pPr>
    </w:p>
    <w:sectPr w:rsidR="00021793" w:rsidRPr="005F0CBA">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017A" w14:textId="77777777" w:rsidR="00607965" w:rsidRDefault="00607965">
      <w:r>
        <w:separator/>
      </w:r>
    </w:p>
  </w:endnote>
  <w:endnote w:type="continuationSeparator" w:id="0">
    <w:p w14:paraId="5630D21F" w14:textId="77777777" w:rsidR="00607965" w:rsidRDefault="0060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D90E" w14:textId="77777777" w:rsidR="00021793" w:rsidRDefault="00122CA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3694D">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3694D">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444BAC5A" w14:textId="77777777" w:rsidR="00021793" w:rsidRDefault="0002179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D914" w14:textId="77777777" w:rsidR="00021793" w:rsidRDefault="00122CA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3694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3694D">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7352CE8C" w14:textId="77777777" w:rsidR="00021793" w:rsidRDefault="0002179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6ADB" w14:textId="77777777" w:rsidR="00607965" w:rsidRDefault="00607965">
      <w:r>
        <w:separator/>
      </w:r>
    </w:p>
  </w:footnote>
  <w:footnote w:type="continuationSeparator" w:id="0">
    <w:p w14:paraId="31A6453F" w14:textId="77777777" w:rsidR="00607965" w:rsidRDefault="00607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E7AC" w14:textId="77777777" w:rsidR="00021793" w:rsidRDefault="00122CAC">
    <w:pPr>
      <w:rPr>
        <w:rFonts w:ascii="Cambria" w:eastAsia="Cambria" w:hAnsi="Cambria" w:cs="Cambria"/>
        <w:color w:val="000000"/>
      </w:rPr>
    </w:pPr>
    <w:r>
      <w:rPr>
        <w:noProof/>
      </w:rPr>
      <w:drawing>
        <wp:anchor distT="0" distB="0" distL="0" distR="0" simplePos="0" relativeHeight="251658240" behindDoc="1" locked="0" layoutInCell="1" hidden="0" allowOverlap="1" wp14:anchorId="072741CD" wp14:editId="08140069">
          <wp:simplePos x="0" y="0"/>
          <wp:positionH relativeFrom="column">
            <wp:posOffset>-1080134</wp:posOffset>
          </wp:positionH>
          <wp:positionV relativeFrom="paragraph">
            <wp:posOffset>-488276</wp:posOffset>
          </wp:positionV>
          <wp:extent cx="7809865" cy="10165715"/>
          <wp:effectExtent l="0" t="0" r="0" b="0"/>
          <wp:wrapNone/>
          <wp:docPr id="20832964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5811" w:type="dxa"/>
      <w:tblInd w:w="3261" w:type="dxa"/>
      <w:tblLayout w:type="fixed"/>
      <w:tblLook w:val="0400" w:firstRow="0" w:lastRow="0" w:firstColumn="0" w:lastColumn="0" w:noHBand="0" w:noVBand="1"/>
    </w:tblPr>
    <w:tblGrid>
      <w:gridCol w:w="2489"/>
      <w:gridCol w:w="3322"/>
    </w:tblGrid>
    <w:tr w:rsidR="00021793" w14:paraId="2B380842" w14:textId="77777777">
      <w:tc>
        <w:tcPr>
          <w:tcW w:w="2489" w:type="dxa"/>
          <w:shd w:val="clear" w:color="auto" w:fill="auto"/>
        </w:tcPr>
        <w:p w14:paraId="2337A27A" w14:textId="77777777" w:rsidR="00021793" w:rsidRDefault="00122C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22" w:type="dxa"/>
          <w:shd w:val="clear" w:color="auto" w:fill="auto"/>
          <w:vAlign w:val="center"/>
        </w:tcPr>
        <w:p w14:paraId="2860F8DD" w14:textId="77777777" w:rsidR="00021793" w:rsidRDefault="00122CAC">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07679/INFOEM/IP/RR/2024</w:t>
          </w:r>
        </w:p>
      </w:tc>
    </w:tr>
    <w:tr w:rsidR="00021793" w14:paraId="6AF1A6EF" w14:textId="77777777">
      <w:trPr>
        <w:trHeight w:val="228"/>
      </w:trPr>
      <w:tc>
        <w:tcPr>
          <w:tcW w:w="2489" w:type="dxa"/>
          <w:shd w:val="clear" w:color="auto" w:fill="auto"/>
          <w:vAlign w:val="center"/>
        </w:tcPr>
        <w:p w14:paraId="1FA19AE1" w14:textId="77777777" w:rsidR="00021793" w:rsidRDefault="00122C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22" w:type="dxa"/>
          <w:shd w:val="clear" w:color="auto" w:fill="auto"/>
          <w:vAlign w:val="center"/>
        </w:tcPr>
        <w:p w14:paraId="15BF677B" w14:textId="77777777" w:rsidR="00021793" w:rsidRDefault="00122CAC">
          <w:pPr>
            <w:ind w:left="-45"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Jilotepec</w:t>
          </w:r>
        </w:p>
      </w:tc>
    </w:tr>
    <w:tr w:rsidR="00021793" w14:paraId="56898AE5" w14:textId="77777777">
      <w:tc>
        <w:tcPr>
          <w:tcW w:w="2489" w:type="dxa"/>
          <w:shd w:val="clear" w:color="auto" w:fill="auto"/>
          <w:vAlign w:val="center"/>
        </w:tcPr>
        <w:p w14:paraId="539E0314" w14:textId="77777777" w:rsidR="00021793" w:rsidRDefault="00122CA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22" w:type="dxa"/>
          <w:shd w:val="clear" w:color="auto" w:fill="auto"/>
          <w:vAlign w:val="center"/>
        </w:tcPr>
        <w:p w14:paraId="6FE8F19A" w14:textId="77777777" w:rsidR="00021793" w:rsidRDefault="00122CAC">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5A24709" w14:textId="77777777" w:rsidR="00021793" w:rsidRDefault="00122CA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4731" w14:textId="77777777" w:rsidR="00021793" w:rsidRDefault="00122CA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26072B2" wp14:editId="491CD322">
          <wp:simplePos x="0" y="0"/>
          <wp:positionH relativeFrom="column">
            <wp:posOffset>-1080128</wp:posOffset>
          </wp:positionH>
          <wp:positionV relativeFrom="paragraph">
            <wp:posOffset>-369904</wp:posOffset>
          </wp:positionV>
          <wp:extent cx="7809865" cy="10165715"/>
          <wp:effectExtent l="0" t="0" r="0" b="0"/>
          <wp:wrapNone/>
          <wp:docPr id="20832964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6095" w:type="dxa"/>
      <w:tblInd w:w="3261" w:type="dxa"/>
      <w:tblLayout w:type="fixed"/>
      <w:tblLook w:val="0400" w:firstRow="0" w:lastRow="0" w:firstColumn="0" w:lastColumn="0" w:noHBand="0" w:noVBand="1"/>
    </w:tblPr>
    <w:tblGrid>
      <w:gridCol w:w="2489"/>
      <w:gridCol w:w="3606"/>
    </w:tblGrid>
    <w:tr w:rsidR="00021793" w14:paraId="3B6BE9D8" w14:textId="77777777">
      <w:tc>
        <w:tcPr>
          <w:tcW w:w="2489" w:type="dxa"/>
          <w:shd w:val="clear" w:color="auto" w:fill="auto"/>
        </w:tcPr>
        <w:p w14:paraId="067D009D" w14:textId="77777777" w:rsidR="00021793" w:rsidRDefault="00122C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048D4A66" w14:textId="77777777" w:rsidR="00021793" w:rsidRDefault="00122CA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07679/INFOEM/IP/RR/2024</w:t>
          </w:r>
        </w:p>
      </w:tc>
    </w:tr>
    <w:tr w:rsidR="00021793" w14:paraId="013E22E1" w14:textId="77777777">
      <w:tc>
        <w:tcPr>
          <w:tcW w:w="2489" w:type="dxa"/>
          <w:shd w:val="clear" w:color="auto" w:fill="auto"/>
        </w:tcPr>
        <w:p w14:paraId="35F6E58D" w14:textId="77777777" w:rsidR="00021793" w:rsidRDefault="00122C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5BD12325" w14:textId="77777777" w:rsidR="00021793" w:rsidRDefault="00021793">
          <w:pPr>
            <w:ind w:right="175"/>
            <w:jc w:val="both"/>
            <w:rPr>
              <w:rFonts w:ascii="Palatino Linotype" w:eastAsia="Palatino Linotype" w:hAnsi="Palatino Linotype" w:cs="Palatino Linotype"/>
              <w:b/>
              <w:sz w:val="22"/>
              <w:szCs w:val="22"/>
            </w:rPr>
          </w:pPr>
        </w:p>
      </w:tc>
    </w:tr>
    <w:tr w:rsidR="00021793" w14:paraId="340FA651" w14:textId="77777777">
      <w:trPr>
        <w:trHeight w:val="228"/>
      </w:trPr>
      <w:tc>
        <w:tcPr>
          <w:tcW w:w="2489" w:type="dxa"/>
          <w:shd w:val="clear" w:color="auto" w:fill="auto"/>
          <w:vAlign w:val="center"/>
        </w:tcPr>
        <w:p w14:paraId="47CCBC72" w14:textId="77777777" w:rsidR="00021793" w:rsidRDefault="00122C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14664FCA" w14:textId="77777777" w:rsidR="00021793" w:rsidRDefault="00122CAC">
          <w:pPr>
            <w:ind w:right="59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Jilotepec</w:t>
          </w:r>
        </w:p>
      </w:tc>
    </w:tr>
    <w:tr w:rsidR="00021793" w14:paraId="1B0447E5" w14:textId="77777777">
      <w:tc>
        <w:tcPr>
          <w:tcW w:w="2489" w:type="dxa"/>
          <w:shd w:val="clear" w:color="auto" w:fill="auto"/>
          <w:vAlign w:val="center"/>
        </w:tcPr>
        <w:p w14:paraId="576C322A" w14:textId="77777777" w:rsidR="00021793" w:rsidRDefault="00122CA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6CCD4CB2" w14:textId="77777777" w:rsidR="00021793" w:rsidRDefault="00122CA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E46E028" w14:textId="77777777" w:rsidR="00021793" w:rsidRDefault="000217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513B"/>
    <w:multiLevelType w:val="multilevel"/>
    <w:tmpl w:val="195EB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F116A7"/>
    <w:multiLevelType w:val="multilevel"/>
    <w:tmpl w:val="574A4360"/>
    <w:lvl w:ilvl="0">
      <w:start w:val="1"/>
      <w:numFmt w:val="bullet"/>
      <w:pStyle w:val="Listaconvietas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6F21929"/>
    <w:multiLevelType w:val="multilevel"/>
    <w:tmpl w:val="ECECB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034273"/>
    <w:multiLevelType w:val="multilevel"/>
    <w:tmpl w:val="EFDA2B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F71124D"/>
    <w:multiLevelType w:val="multilevel"/>
    <w:tmpl w:val="767CF88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1065033"/>
    <w:multiLevelType w:val="multilevel"/>
    <w:tmpl w:val="F196A358"/>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ADB6A99"/>
    <w:multiLevelType w:val="multilevel"/>
    <w:tmpl w:val="68EA59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93"/>
    <w:rsid w:val="00021793"/>
    <w:rsid w:val="00122CAC"/>
    <w:rsid w:val="001B6010"/>
    <w:rsid w:val="005F0CBA"/>
    <w:rsid w:val="00607965"/>
    <w:rsid w:val="0083694D"/>
    <w:rsid w:val="00852B79"/>
    <w:rsid w:val="008C6887"/>
    <w:rsid w:val="00E269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9106"/>
  <w15:docId w15:val="{62001988-4B3F-4587-9B70-53947CD1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06B5C"/>
    <w:rPr>
      <w:vertAlign w:val="superscript"/>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paragraph" w:styleId="Listaconvietas">
    <w:name w:val="List Bullet"/>
    <w:basedOn w:val="Normal"/>
    <w:uiPriority w:val="99"/>
    <w:unhideWhenUsed/>
    <w:rsid w:val="00CA1155"/>
    <w:pPr>
      <w:numPr>
        <w:numId w:val="7"/>
      </w:numPr>
      <w:contextualSpacing/>
    </w:pPr>
    <w:rPr>
      <w:lang w:eastAsia="es-ES"/>
    </w:r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player.es/5455342-Nuevas-tecnologias-biometricas-instituto-nacional-de-ciencias-penales-procuraduria-general-de-la-republica-version-1-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8/353beiXDemMmGf2+VmiF13/Q==">CgMxLjAyCWguNGQzNG9nODIIaC5namRneHMyCWguM2R5NnZrbTIJaC4zMGowemxsMgloLjJzOGV5bzEyCGgudHlqY3d0MgloLjN6bnlzaDcyCWguMmV0OTJwMDIIaC5sbnhiejkyDmguaWp2OThwbnRjZDVzMgloLjI2aW4xcmc4AHIhMTlBODRYTHdyMk1BbFZLTTR2a1RqazI1aFIxc0QtWF9K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11673</Words>
  <Characters>64204</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2025-01-31T19:55:00Z</cp:lastPrinted>
  <dcterms:created xsi:type="dcterms:W3CDTF">2025-02-06T18:33:00Z</dcterms:created>
  <dcterms:modified xsi:type="dcterms:W3CDTF">2025-02-06T18:33:00Z</dcterms:modified>
</cp:coreProperties>
</file>