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0BDC7" w14:textId="0DAAE772" w:rsidR="00A83B4F" w:rsidRPr="008B21BA" w:rsidRDefault="0029071C" w:rsidP="0001640F">
      <w:pPr>
        <w:shd w:val="clear" w:color="auto" w:fill="FFFFFF"/>
        <w:spacing w:line="360" w:lineRule="auto"/>
        <w:jc w:val="both"/>
        <w:rPr>
          <w:rFonts w:ascii="Palatino Linotype" w:hAnsi="Palatino Linotype" w:cs="Arial"/>
          <w:color w:val="000000"/>
          <w:lang w:val="es-MX" w:eastAsia="es-MX"/>
        </w:rPr>
      </w:pPr>
      <w:r w:rsidRPr="008B21B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1102F3" w:rsidRPr="008B21BA">
        <w:rPr>
          <w:rFonts w:ascii="Palatino Linotype" w:hAnsi="Palatino Linotype" w:cs="Arial"/>
          <w:color w:val="000000"/>
          <w:lang w:val="es-MX" w:eastAsia="es-MX"/>
        </w:rPr>
        <w:t>ocho de mayo</w:t>
      </w:r>
      <w:r w:rsidR="003345E5">
        <w:rPr>
          <w:rFonts w:ascii="Palatino Linotype" w:hAnsi="Palatino Linotype" w:cs="Arial"/>
          <w:color w:val="000000"/>
          <w:lang w:val="es-MX" w:eastAsia="es-MX"/>
        </w:rPr>
        <w:t xml:space="preserve"> de</w:t>
      </w:r>
      <w:r w:rsidR="00126CCD" w:rsidRPr="008B21BA">
        <w:rPr>
          <w:rFonts w:ascii="Palatino Linotype" w:hAnsi="Palatino Linotype" w:cs="Arial"/>
          <w:color w:val="000000"/>
          <w:lang w:val="es-MX" w:eastAsia="es-MX"/>
        </w:rPr>
        <w:t xml:space="preserve"> dos mil veinti</w:t>
      </w:r>
      <w:r w:rsidR="00FE49AC" w:rsidRPr="008B21BA">
        <w:rPr>
          <w:rFonts w:ascii="Palatino Linotype" w:hAnsi="Palatino Linotype" w:cs="Arial"/>
          <w:color w:val="000000"/>
          <w:lang w:val="es-MX" w:eastAsia="es-MX"/>
        </w:rPr>
        <w:t>c</w:t>
      </w:r>
      <w:r w:rsidR="003F171B" w:rsidRPr="008B21BA">
        <w:rPr>
          <w:rFonts w:ascii="Palatino Linotype" w:hAnsi="Palatino Linotype" w:cs="Arial"/>
          <w:color w:val="000000"/>
          <w:lang w:val="es-MX" w:eastAsia="es-MX"/>
        </w:rPr>
        <w:t>inco</w:t>
      </w:r>
      <w:r w:rsidRPr="008B21BA">
        <w:rPr>
          <w:rFonts w:ascii="Palatino Linotype" w:hAnsi="Palatino Linotype" w:cs="Arial"/>
          <w:color w:val="000000"/>
          <w:lang w:val="es-MX" w:eastAsia="es-MX"/>
        </w:rPr>
        <w:t>.</w:t>
      </w:r>
    </w:p>
    <w:p w14:paraId="6152DE08" w14:textId="77777777" w:rsidR="0001640F" w:rsidRPr="008B21BA" w:rsidRDefault="0001640F" w:rsidP="0001640F">
      <w:pPr>
        <w:shd w:val="clear" w:color="auto" w:fill="FFFFFF"/>
        <w:spacing w:line="360" w:lineRule="auto"/>
        <w:jc w:val="both"/>
        <w:rPr>
          <w:rFonts w:ascii="Palatino Linotype" w:hAnsi="Palatino Linotype" w:cs="Arial"/>
          <w:color w:val="000000"/>
          <w:lang w:val="es-MX" w:eastAsia="es-MX"/>
        </w:rPr>
      </w:pPr>
    </w:p>
    <w:p w14:paraId="54D402F3" w14:textId="71CE13AF" w:rsidR="00C753C2" w:rsidRPr="008B21BA" w:rsidRDefault="0029071C" w:rsidP="00C753C2">
      <w:pPr>
        <w:tabs>
          <w:tab w:val="left" w:pos="1701"/>
        </w:tabs>
        <w:spacing w:line="360" w:lineRule="auto"/>
        <w:jc w:val="both"/>
        <w:rPr>
          <w:rFonts w:ascii="Palatino Linotype" w:eastAsiaTheme="minorHAnsi" w:hAnsi="Palatino Linotype" w:cs="Arial"/>
          <w:lang w:val="es-MX" w:eastAsia="en-US"/>
        </w:rPr>
      </w:pPr>
      <w:r w:rsidRPr="008B21BA">
        <w:rPr>
          <w:rFonts w:ascii="Palatino Linotype" w:eastAsiaTheme="minorHAnsi" w:hAnsi="Palatino Linotype" w:cs="Arial"/>
          <w:b/>
          <w:lang w:val="es-MX" w:eastAsia="en-US"/>
        </w:rPr>
        <w:t>VISTO</w:t>
      </w:r>
      <w:r w:rsidRPr="008B21BA">
        <w:rPr>
          <w:rFonts w:ascii="Palatino Linotype" w:eastAsiaTheme="minorHAnsi" w:hAnsi="Palatino Linotype" w:cs="Arial"/>
          <w:lang w:val="es-MX" w:eastAsia="en-US"/>
        </w:rPr>
        <w:t xml:space="preserve"> el expediente electrónico formado con motivo del recurso de revisión número </w:t>
      </w:r>
      <w:r w:rsidR="00C45025" w:rsidRPr="008B21BA">
        <w:rPr>
          <w:rFonts w:ascii="Palatino Linotype" w:eastAsiaTheme="minorHAnsi" w:hAnsi="Palatino Linotype" w:cs="Arial"/>
          <w:b/>
          <w:lang w:val="es-MX" w:eastAsia="en-US"/>
        </w:rPr>
        <w:t>0</w:t>
      </w:r>
      <w:r w:rsidR="001102F3" w:rsidRPr="008B21BA">
        <w:rPr>
          <w:rFonts w:ascii="Palatino Linotype" w:eastAsiaTheme="minorHAnsi" w:hAnsi="Palatino Linotype" w:cs="Arial"/>
          <w:b/>
          <w:lang w:val="es-MX" w:eastAsia="en-US"/>
        </w:rPr>
        <w:t>2335</w:t>
      </w:r>
      <w:r w:rsidRPr="008B21BA">
        <w:rPr>
          <w:rFonts w:ascii="Palatino Linotype" w:eastAsiaTheme="minorHAnsi" w:hAnsi="Palatino Linotype" w:cs="Arial"/>
          <w:b/>
          <w:bCs/>
          <w:lang w:val="es-MX" w:eastAsia="es-MX"/>
        </w:rPr>
        <w:t>/INFOEM/IP/RR/202</w:t>
      </w:r>
      <w:r w:rsidR="00230100" w:rsidRPr="008B21BA">
        <w:rPr>
          <w:rFonts w:ascii="Palatino Linotype" w:eastAsiaTheme="minorHAnsi" w:hAnsi="Palatino Linotype" w:cs="Arial"/>
          <w:b/>
          <w:bCs/>
          <w:lang w:val="es-MX" w:eastAsia="es-MX"/>
        </w:rPr>
        <w:t>5</w:t>
      </w:r>
      <w:r w:rsidRPr="008B21BA">
        <w:rPr>
          <w:rFonts w:ascii="Palatino Linotype" w:eastAsiaTheme="minorHAnsi" w:hAnsi="Palatino Linotype" w:cs="Arial"/>
          <w:lang w:val="es-MX" w:eastAsia="en-US"/>
        </w:rPr>
        <w:t xml:space="preserve">, </w:t>
      </w:r>
      <w:r w:rsidR="00EC54C8" w:rsidRPr="008B21BA">
        <w:rPr>
          <w:rFonts w:ascii="Palatino Linotype" w:hAnsi="Palatino Linotype" w:cs="Arial"/>
        </w:rPr>
        <w:t xml:space="preserve">interpuesto </w:t>
      </w:r>
      <w:r w:rsidR="002079BF" w:rsidRPr="008B21BA">
        <w:rPr>
          <w:rFonts w:ascii="Palatino Linotype" w:hAnsi="Palatino Linotype" w:cs="Arial"/>
        </w:rPr>
        <w:t xml:space="preserve">por </w:t>
      </w:r>
      <w:r w:rsidR="00230100" w:rsidRPr="008B21BA">
        <w:rPr>
          <w:rFonts w:ascii="Palatino Linotype" w:hAnsi="Palatino Linotype" w:cs="Arial"/>
        </w:rPr>
        <w:t>la</w:t>
      </w:r>
      <w:r w:rsidR="00AB55A1" w:rsidRPr="008B21BA">
        <w:rPr>
          <w:rFonts w:ascii="Palatino Linotype" w:hAnsi="Palatino Linotype" w:cs="Arial"/>
        </w:rPr>
        <w:t xml:space="preserve"> </w:t>
      </w:r>
      <w:r w:rsidR="00AB55A1" w:rsidRPr="008B21BA">
        <w:rPr>
          <w:rFonts w:ascii="Palatino Linotype" w:hAnsi="Palatino Linotype" w:cs="Arial"/>
          <w:b/>
          <w:bCs/>
        </w:rPr>
        <w:t xml:space="preserve">C. </w:t>
      </w:r>
      <w:r w:rsidR="00F12307">
        <w:rPr>
          <w:rFonts w:ascii="Palatino Linotype" w:hAnsi="Palatino Linotype" w:cs="Arial"/>
          <w:b/>
          <w:bCs/>
        </w:rPr>
        <w:t>XXXXXXXXXXXXXXXXX</w:t>
      </w:r>
      <w:r w:rsidR="00AB55A1" w:rsidRPr="008B21BA">
        <w:rPr>
          <w:rFonts w:ascii="Palatino Linotype" w:hAnsi="Palatino Linotype" w:cs="Arial"/>
        </w:rPr>
        <w:t>,</w:t>
      </w:r>
      <w:r w:rsidR="005F1F89" w:rsidRPr="008B21BA">
        <w:rPr>
          <w:rFonts w:ascii="Palatino Linotype" w:hAnsi="Palatino Linotype" w:cs="Arial"/>
          <w:b/>
        </w:rPr>
        <w:t xml:space="preserve"> </w:t>
      </w:r>
      <w:r w:rsidR="005F1F89" w:rsidRPr="008B21BA">
        <w:rPr>
          <w:rFonts w:ascii="Palatino Linotype" w:hAnsi="Palatino Linotype" w:cs="Arial"/>
        </w:rPr>
        <w:t>en lo sucesivo</w:t>
      </w:r>
      <w:r w:rsidR="00230100" w:rsidRPr="008B21BA">
        <w:rPr>
          <w:rFonts w:ascii="Palatino Linotype" w:hAnsi="Palatino Linotype" w:cs="Arial"/>
        </w:rPr>
        <w:t xml:space="preserve"> la parte </w:t>
      </w:r>
      <w:r w:rsidR="005F1F89" w:rsidRPr="008B21BA">
        <w:rPr>
          <w:rFonts w:ascii="Palatino Linotype" w:hAnsi="Palatino Linotype" w:cs="Arial"/>
          <w:b/>
        </w:rPr>
        <w:t>Recurrente</w:t>
      </w:r>
      <w:r w:rsidRPr="008B21BA">
        <w:rPr>
          <w:rFonts w:ascii="Palatino Linotype" w:eastAsiaTheme="minorHAnsi" w:hAnsi="Palatino Linotype" w:cs="Arial"/>
          <w:lang w:val="es-MX" w:eastAsia="en-US"/>
        </w:rPr>
        <w:t>, en contra de la respuesta de</w:t>
      </w:r>
      <w:r w:rsidR="00BE68FA" w:rsidRPr="008B21BA">
        <w:rPr>
          <w:rFonts w:ascii="Palatino Linotype" w:eastAsiaTheme="minorHAnsi" w:hAnsi="Palatino Linotype" w:cs="Arial"/>
          <w:lang w:val="es-MX" w:eastAsia="en-US"/>
        </w:rPr>
        <w:t xml:space="preserve"> la</w:t>
      </w:r>
      <w:r w:rsidRPr="008B21BA">
        <w:rPr>
          <w:rFonts w:ascii="Palatino Linotype" w:eastAsiaTheme="minorHAnsi" w:hAnsi="Palatino Linotype" w:cs="Arial"/>
          <w:lang w:val="es-MX" w:eastAsia="en-US"/>
        </w:rPr>
        <w:t xml:space="preserve"> </w:t>
      </w:r>
      <w:r w:rsidR="00BE68FA" w:rsidRPr="008B21BA">
        <w:rPr>
          <w:rFonts w:ascii="Palatino Linotype" w:eastAsiaTheme="minorHAnsi" w:hAnsi="Palatino Linotype" w:cs="Arial"/>
          <w:b/>
          <w:lang w:val="es-MX" w:eastAsia="en-US"/>
        </w:rPr>
        <w:t xml:space="preserve">Secretaría </w:t>
      </w:r>
      <w:r w:rsidR="0001640F" w:rsidRPr="008B21BA">
        <w:rPr>
          <w:rFonts w:ascii="Palatino Linotype" w:eastAsiaTheme="minorHAnsi" w:hAnsi="Palatino Linotype" w:cs="Arial"/>
          <w:b/>
          <w:lang w:val="es-MX" w:eastAsia="en-US"/>
        </w:rPr>
        <w:t>de Finanzas</w:t>
      </w:r>
      <w:r w:rsidRPr="008B21BA">
        <w:rPr>
          <w:rFonts w:ascii="Palatino Linotype" w:eastAsiaTheme="minorHAnsi" w:hAnsi="Palatino Linotype" w:cs="Arial"/>
          <w:lang w:val="es-MX" w:eastAsia="en-US"/>
        </w:rPr>
        <w:t>,</w:t>
      </w:r>
      <w:r w:rsidRPr="008B21BA">
        <w:rPr>
          <w:rFonts w:ascii="Palatino Linotype" w:eastAsiaTheme="minorHAnsi" w:hAnsi="Palatino Linotype" w:cs="Arial"/>
          <w:b/>
          <w:lang w:val="es-MX" w:eastAsia="en-US"/>
        </w:rPr>
        <w:t xml:space="preserve"> </w:t>
      </w:r>
      <w:r w:rsidRPr="008B21BA">
        <w:rPr>
          <w:rFonts w:ascii="Palatino Linotype" w:eastAsiaTheme="minorHAnsi" w:hAnsi="Palatino Linotype" w:cs="Arial"/>
          <w:lang w:val="es-MX" w:eastAsia="en-US"/>
        </w:rPr>
        <w:t>en lo subsecuente</w:t>
      </w:r>
      <w:r w:rsidR="00230100" w:rsidRPr="008B21BA">
        <w:rPr>
          <w:rFonts w:ascii="Palatino Linotype" w:eastAsiaTheme="minorHAnsi" w:hAnsi="Palatino Linotype" w:cs="Arial"/>
          <w:lang w:val="es-MX" w:eastAsia="en-US"/>
        </w:rPr>
        <w:t xml:space="preserve"> el </w:t>
      </w:r>
      <w:r w:rsidRPr="008B21BA">
        <w:rPr>
          <w:rFonts w:ascii="Palatino Linotype" w:eastAsiaTheme="minorHAnsi" w:hAnsi="Palatino Linotype" w:cs="Arial"/>
          <w:b/>
          <w:lang w:val="es-MX" w:eastAsia="en-US"/>
        </w:rPr>
        <w:t xml:space="preserve">Sujeto Obligado, </w:t>
      </w:r>
      <w:r w:rsidRPr="008B21BA">
        <w:rPr>
          <w:rFonts w:ascii="Palatino Linotype" w:eastAsiaTheme="minorHAnsi" w:hAnsi="Palatino Linotype" w:cs="Arial"/>
          <w:lang w:val="es-MX" w:eastAsia="en-US"/>
        </w:rPr>
        <w:t>se procede a dictar la presente resolución.</w:t>
      </w:r>
    </w:p>
    <w:p w14:paraId="3A39ACC2" w14:textId="77777777" w:rsidR="0001640F" w:rsidRPr="008B21BA" w:rsidRDefault="0001640F" w:rsidP="00C753C2">
      <w:pPr>
        <w:tabs>
          <w:tab w:val="left" w:pos="1701"/>
        </w:tabs>
        <w:spacing w:line="360" w:lineRule="auto"/>
        <w:jc w:val="both"/>
        <w:rPr>
          <w:rFonts w:ascii="Palatino Linotype" w:eastAsiaTheme="minorHAnsi" w:hAnsi="Palatino Linotype" w:cs="Arial"/>
          <w:lang w:val="es-MX" w:eastAsia="en-US"/>
        </w:rPr>
      </w:pPr>
    </w:p>
    <w:p w14:paraId="69327FC0" w14:textId="51A56C49" w:rsidR="003B0FAC" w:rsidRPr="008B21BA" w:rsidRDefault="0029071C" w:rsidP="0001640F">
      <w:pPr>
        <w:spacing w:line="360" w:lineRule="auto"/>
        <w:jc w:val="center"/>
        <w:rPr>
          <w:rFonts w:ascii="Palatino Linotype" w:eastAsiaTheme="minorHAnsi" w:hAnsi="Palatino Linotype" w:cs="Arial"/>
          <w:b/>
          <w:sz w:val="28"/>
          <w:lang w:val="es-MX" w:eastAsia="en-US"/>
        </w:rPr>
      </w:pPr>
      <w:r w:rsidRPr="008B21BA">
        <w:rPr>
          <w:rFonts w:ascii="Palatino Linotype" w:eastAsiaTheme="minorHAnsi" w:hAnsi="Palatino Linotype" w:cs="Arial"/>
          <w:b/>
          <w:sz w:val="28"/>
          <w:lang w:val="es-MX" w:eastAsia="en-US"/>
        </w:rPr>
        <w:t>A N T E C E D E N T E S</w:t>
      </w:r>
    </w:p>
    <w:p w14:paraId="4CBA2DAD" w14:textId="77777777" w:rsidR="0001640F" w:rsidRPr="008B21BA" w:rsidRDefault="0001640F" w:rsidP="0001640F">
      <w:pPr>
        <w:spacing w:line="360" w:lineRule="auto"/>
        <w:jc w:val="center"/>
        <w:rPr>
          <w:rFonts w:ascii="Palatino Linotype" w:eastAsiaTheme="minorHAnsi" w:hAnsi="Palatino Linotype" w:cs="Arial"/>
          <w:b/>
          <w:szCs w:val="22"/>
          <w:lang w:val="es-MX" w:eastAsia="en-US"/>
        </w:rPr>
      </w:pPr>
    </w:p>
    <w:p w14:paraId="515BDA31" w14:textId="77777777" w:rsidR="0029071C" w:rsidRPr="008B21BA" w:rsidRDefault="0029071C" w:rsidP="0029071C">
      <w:pPr>
        <w:spacing w:line="360" w:lineRule="auto"/>
        <w:jc w:val="both"/>
        <w:rPr>
          <w:rFonts w:ascii="Palatino Linotype" w:eastAsiaTheme="minorHAnsi" w:hAnsi="Palatino Linotype" w:cs="Arial"/>
          <w:b/>
          <w:sz w:val="28"/>
          <w:lang w:val="es-MX" w:eastAsia="en-US"/>
        </w:rPr>
      </w:pPr>
      <w:r w:rsidRPr="008B21BA">
        <w:rPr>
          <w:rFonts w:ascii="Palatino Linotype" w:eastAsiaTheme="minorHAnsi" w:hAnsi="Palatino Linotype" w:cs="Arial"/>
          <w:b/>
          <w:sz w:val="28"/>
          <w:lang w:val="es-MX" w:eastAsia="en-US"/>
        </w:rPr>
        <w:t>PRIMERO. De la solicitud de información.</w:t>
      </w:r>
    </w:p>
    <w:p w14:paraId="47D71BFE" w14:textId="4D9CF781" w:rsidR="008A446B" w:rsidRPr="008B21BA" w:rsidRDefault="0029071C" w:rsidP="0001640F">
      <w:pPr>
        <w:spacing w:line="360" w:lineRule="auto"/>
        <w:jc w:val="both"/>
        <w:rPr>
          <w:rFonts w:ascii="Palatino Linotype" w:eastAsiaTheme="minorHAnsi" w:hAnsi="Palatino Linotype" w:cs="Arial"/>
          <w:szCs w:val="22"/>
          <w:lang w:val="es-MX" w:eastAsia="en-US"/>
        </w:rPr>
      </w:pPr>
      <w:r w:rsidRPr="008B21BA">
        <w:rPr>
          <w:rFonts w:ascii="Palatino Linotype" w:eastAsiaTheme="minorHAnsi" w:hAnsi="Palatino Linotype" w:cs="Arial"/>
          <w:szCs w:val="22"/>
          <w:lang w:val="es-MX" w:eastAsia="en-US"/>
        </w:rPr>
        <w:t xml:space="preserve">En fecha </w:t>
      </w:r>
      <w:r w:rsidR="0038039E" w:rsidRPr="008B21BA">
        <w:rPr>
          <w:rFonts w:ascii="Palatino Linotype" w:eastAsiaTheme="minorHAnsi" w:hAnsi="Palatino Linotype" w:cs="Arial"/>
          <w:szCs w:val="22"/>
          <w:lang w:val="es-MX" w:eastAsia="en-US"/>
        </w:rPr>
        <w:t>diecisiete de febrero</w:t>
      </w:r>
      <w:r w:rsidR="00DD2DA4" w:rsidRPr="008B21BA">
        <w:rPr>
          <w:rFonts w:ascii="Palatino Linotype" w:eastAsiaTheme="minorHAnsi" w:hAnsi="Palatino Linotype" w:cs="Arial"/>
          <w:szCs w:val="22"/>
          <w:lang w:val="es-MX" w:eastAsia="en-US"/>
        </w:rPr>
        <w:t xml:space="preserve"> </w:t>
      </w:r>
      <w:r w:rsidR="008A446B" w:rsidRPr="008B21BA">
        <w:rPr>
          <w:rFonts w:ascii="Palatino Linotype" w:eastAsiaTheme="minorHAnsi" w:hAnsi="Palatino Linotype" w:cs="Arial"/>
          <w:szCs w:val="22"/>
          <w:lang w:val="es-MX" w:eastAsia="en-US"/>
        </w:rPr>
        <w:t>de dos mil veinti</w:t>
      </w:r>
      <w:r w:rsidR="00AB55A1" w:rsidRPr="008B21BA">
        <w:rPr>
          <w:rFonts w:ascii="Palatino Linotype" w:eastAsiaTheme="minorHAnsi" w:hAnsi="Palatino Linotype" w:cs="Arial"/>
          <w:szCs w:val="22"/>
          <w:lang w:val="es-MX" w:eastAsia="en-US"/>
        </w:rPr>
        <w:t>c</w:t>
      </w:r>
      <w:r w:rsidR="00230100" w:rsidRPr="008B21BA">
        <w:rPr>
          <w:rFonts w:ascii="Palatino Linotype" w:eastAsiaTheme="minorHAnsi" w:hAnsi="Palatino Linotype" w:cs="Arial"/>
          <w:szCs w:val="22"/>
          <w:lang w:val="es-MX" w:eastAsia="en-US"/>
        </w:rPr>
        <w:t>inco</w:t>
      </w:r>
      <w:r w:rsidRPr="008B21BA">
        <w:rPr>
          <w:rFonts w:ascii="Palatino Linotype" w:eastAsiaTheme="minorHAnsi" w:hAnsi="Palatino Linotype" w:cs="Arial"/>
          <w:szCs w:val="22"/>
          <w:lang w:val="es-MX" w:eastAsia="en-US"/>
        </w:rPr>
        <w:t xml:space="preserve">, </w:t>
      </w:r>
      <w:r w:rsidR="00230100" w:rsidRPr="008B21BA">
        <w:rPr>
          <w:rFonts w:ascii="Palatino Linotype" w:eastAsiaTheme="minorHAnsi" w:hAnsi="Palatino Linotype" w:cs="Arial"/>
          <w:szCs w:val="22"/>
          <w:lang w:val="es-MX" w:eastAsia="en-US"/>
        </w:rPr>
        <w:t xml:space="preserve">la parte </w:t>
      </w:r>
      <w:r w:rsidR="00230100" w:rsidRPr="008B21BA">
        <w:rPr>
          <w:rFonts w:ascii="Palatino Linotype" w:eastAsiaTheme="minorHAnsi" w:hAnsi="Palatino Linotype" w:cs="Arial"/>
          <w:b/>
          <w:bCs/>
          <w:szCs w:val="22"/>
          <w:lang w:val="es-MX" w:eastAsia="en-US"/>
        </w:rPr>
        <w:t>R</w:t>
      </w:r>
      <w:r w:rsidRPr="008B21BA">
        <w:rPr>
          <w:rFonts w:ascii="Palatino Linotype" w:eastAsiaTheme="minorHAnsi" w:hAnsi="Palatino Linotype" w:cs="Arial"/>
          <w:b/>
          <w:szCs w:val="22"/>
          <w:lang w:val="es-MX" w:eastAsia="en-US"/>
        </w:rPr>
        <w:t>ecurrente</w:t>
      </w:r>
      <w:r w:rsidRPr="008B21BA">
        <w:rPr>
          <w:rFonts w:ascii="Palatino Linotype" w:eastAsiaTheme="minorHAnsi" w:hAnsi="Palatino Linotype" w:cs="Arial"/>
          <w:szCs w:val="22"/>
          <w:lang w:val="es-MX" w:eastAsia="en-US"/>
        </w:rPr>
        <w:t>, presentó a través d</w:t>
      </w:r>
      <w:r w:rsidR="00CF1704" w:rsidRPr="008B21BA">
        <w:rPr>
          <w:rFonts w:ascii="Palatino Linotype" w:eastAsiaTheme="minorHAnsi" w:hAnsi="Palatino Linotype" w:cs="Arial"/>
          <w:szCs w:val="22"/>
          <w:lang w:val="es-MX" w:eastAsia="en-US"/>
        </w:rPr>
        <w:t>e</w:t>
      </w:r>
      <w:r w:rsidR="00230100" w:rsidRPr="008B21BA">
        <w:rPr>
          <w:rFonts w:ascii="Palatino Linotype" w:eastAsiaTheme="minorHAnsi" w:hAnsi="Palatino Linotype" w:cs="Arial"/>
          <w:szCs w:val="22"/>
          <w:lang w:val="es-MX" w:eastAsia="en-US"/>
        </w:rPr>
        <w:t xml:space="preserve">l </w:t>
      </w:r>
      <w:r w:rsidRPr="008B21BA">
        <w:rPr>
          <w:rFonts w:ascii="Palatino Linotype" w:eastAsiaTheme="minorHAnsi" w:hAnsi="Palatino Linotype" w:cs="Arial"/>
          <w:szCs w:val="22"/>
          <w:lang w:val="es-MX" w:eastAsia="en-US"/>
        </w:rPr>
        <w:t xml:space="preserve">Sistema de Acceso a la Información Mexiquense </w:t>
      </w:r>
      <w:r w:rsidRPr="008B21BA">
        <w:rPr>
          <w:rFonts w:ascii="Palatino Linotype" w:eastAsiaTheme="minorHAnsi" w:hAnsi="Palatino Linotype" w:cs="Arial"/>
          <w:b/>
          <w:szCs w:val="22"/>
          <w:lang w:val="es-MX" w:eastAsia="en-US"/>
        </w:rPr>
        <w:t>(SAIMEX),</w:t>
      </w:r>
      <w:r w:rsidRPr="008B21BA">
        <w:rPr>
          <w:rFonts w:ascii="Palatino Linotype" w:eastAsiaTheme="minorHAnsi" w:hAnsi="Palatino Linotype" w:cs="Arial"/>
          <w:szCs w:val="22"/>
          <w:lang w:val="es-MX" w:eastAsia="en-US"/>
        </w:rPr>
        <w:t xml:space="preserve"> ante el </w:t>
      </w:r>
      <w:r w:rsidRPr="008B21BA">
        <w:rPr>
          <w:rFonts w:ascii="Palatino Linotype" w:eastAsiaTheme="minorHAnsi" w:hAnsi="Palatino Linotype" w:cs="Arial"/>
          <w:b/>
          <w:szCs w:val="22"/>
          <w:lang w:val="es-MX" w:eastAsia="en-US"/>
        </w:rPr>
        <w:t>Sujeto Obligado</w:t>
      </w:r>
      <w:r w:rsidRPr="008B21BA">
        <w:rPr>
          <w:rFonts w:ascii="Palatino Linotype" w:eastAsiaTheme="minorHAnsi" w:hAnsi="Palatino Linotype" w:cs="Arial"/>
          <w:szCs w:val="22"/>
          <w:lang w:val="es-MX" w:eastAsia="en-US"/>
        </w:rPr>
        <w:t>, la solicitud de acceso a la información pública, a la que se le</w:t>
      </w:r>
      <w:r w:rsidR="00C753C2" w:rsidRPr="008B21BA">
        <w:rPr>
          <w:rFonts w:ascii="Palatino Linotype" w:eastAsiaTheme="minorHAnsi" w:hAnsi="Palatino Linotype" w:cs="Arial"/>
          <w:szCs w:val="22"/>
          <w:lang w:val="es-MX" w:eastAsia="en-US"/>
        </w:rPr>
        <w:t xml:space="preserve"> asignó el número de expediente </w:t>
      </w:r>
      <w:r w:rsidR="0038039E" w:rsidRPr="008B21BA">
        <w:rPr>
          <w:rFonts w:ascii="Palatino Linotype" w:eastAsiaTheme="minorHAnsi" w:hAnsi="Palatino Linotype" w:cs="Arial"/>
          <w:b/>
          <w:szCs w:val="22"/>
          <w:lang w:val="es-MX" w:eastAsia="en-US"/>
        </w:rPr>
        <w:t>00164/SF/IP/2025</w:t>
      </w:r>
      <w:r w:rsidRPr="008B21BA">
        <w:rPr>
          <w:rFonts w:ascii="Palatino Linotype" w:eastAsiaTheme="minorHAnsi" w:hAnsi="Palatino Linotype" w:cs="Arial"/>
          <w:szCs w:val="22"/>
          <w:lang w:val="es-MX" w:eastAsia="en-US"/>
        </w:rPr>
        <w:t>, mediante la cual solicitó lo siguiente:</w:t>
      </w:r>
    </w:p>
    <w:p w14:paraId="4CEE322A" w14:textId="77777777" w:rsidR="0001640F" w:rsidRPr="008B21BA" w:rsidRDefault="0001640F" w:rsidP="0001640F">
      <w:pPr>
        <w:spacing w:line="360" w:lineRule="auto"/>
        <w:jc w:val="both"/>
        <w:rPr>
          <w:rFonts w:ascii="Palatino Linotype" w:eastAsiaTheme="minorHAnsi" w:hAnsi="Palatino Linotype" w:cs="Arial"/>
          <w:szCs w:val="22"/>
          <w:lang w:val="es-MX" w:eastAsia="en-US"/>
        </w:rPr>
      </w:pPr>
    </w:p>
    <w:p w14:paraId="2259B06C" w14:textId="0AB9DB2B" w:rsidR="00DD2DA4" w:rsidRPr="008B21BA" w:rsidRDefault="0029071C" w:rsidP="0001640F">
      <w:pPr>
        <w:spacing w:line="360" w:lineRule="auto"/>
        <w:ind w:left="426" w:right="474"/>
        <w:jc w:val="both"/>
        <w:rPr>
          <w:rFonts w:ascii="Palatino Linotype" w:hAnsi="Palatino Linotype"/>
          <w:i/>
          <w:sz w:val="22"/>
          <w:szCs w:val="22"/>
          <w:lang w:val="es-MX" w:eastAsia="es-MX"/>
        </w:rPr>
      </w:pPr>
      <w:r w:rsidRPr="008B21BA">
        <w:rPr>
          <w:rFonts w:ascii="Palatino Linotype" w:hAnsi="Palatino Linotype"/>
          <w:i/>
          <w:sz w:val="22"/>
          <w:szCs w:val="22"/>
          <w:lang w:val="es-MX"/>
        </w:rPr>
        <w:t>“</w:t>
      </w:r>
      <w:r w:rsidR="0038039E" w:rsidRPr="008B21BA">
        <w:rPr>
          <w:rFonts w:ascii="Palatino Linotype" w:hAnsi="Palatino Linotype"/>
          <w:i/>
          <w:sz w:val="22"/>
          <w:szCs w:val="22"/>
          <w:lang w:val="es-MX" w:eastAsia="es-MX"/>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XXXXX CURP: XXXXXX RFC: XXXXXXXXX ADSCRPICION DE PLANTEL: CENTRO EMSAD 22 ENTHAVI TEMOAYA CATEGORIA: AUXILIAR DEL RESPONSABLE "C" NUMERO DE EMPLEADO O SERVIDOR PUBLICO: 797 El que suscribe y atendiendo a que estoy solicitando datos personales acredito mi personalidad con la credencial de elector que adjunto a la presente solicitud en archivo pdf; lo anterior para dar </w:t>
      </w:r>
      <w:r w:rsidR="0038039E" w:rsidRPr="008B21BA">
        <w:rPr>
          <w:rFonts w:ascii="Palatino Linotype" w:hAnsi="Palatino Linotype"/>
          <w:i/>
          <w:sz w:val="22"/>
          <w:szCs w:val="22"/>
          <w:lang w:val="es-MX" w:eastAsia="es-MX"/>
        </w:rPr>
        <w:lastRenderedPageBreak/>
        <w:t xml:space="preserve">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DIAS DE DESCANSO OBLIGATORIO • AJUSTE AL CALENDARIO • AGUINALDO X PRIMA ANTIGUEDAD OTRAS PERCEPCIONES: • PRIMA VACACIONAL • ISR PRIMA VACACIONAL • PAGO DE AGUINALDO • ISR AGUINALDO DEDUCCIONES: • CUOTAS DEL SIS.CAPITALIZ 1.4 • ISSEMYM 4.625 • ISSEMYM 6.1 • I.S.R. • CAJA DE AHORRO ATAYA • FALTAS YO AUSENTISMOS • DESC. POR PENSION ALIMENTICIA • SEGUROS DE VIDA METLIFE Ahora bien, insisto, que la información solicitada, respecto del costo de mi plaza individual y el desglose anualizado de percepciones y deducciones que solicito, lo sea, con base, en el Anexo de Ejecución mencionado ( se anexa para referencia el Apartado B referido en </w:t>
      </w:r>
      <w:r w:rsidR="0038039E" w:rsidRPr="008B21BA">
        <w:rPr>
          <w:rFonts w:ascii="Palatino Linotype" w:hAnsi="Palatino Linotype"/>
          <w:i/>
          <w:sz w:val="22"/>
          <w:szCs w:val="22"/>
          <w:lang w:val="es-MX" w:eastAsia="es-MX"/>
        </w:rPr>
        <w:lastRenderedPageBreak/>
        <w:t>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w:t>
      </w:r>
      <w:r w:rsidRPr="008B21BA">
        <w:rPr>
          <w:rFonts w:ascii="Palatino Linotype" w:hAnsi="Palatino Linotype"/>
          <w:i/>
          <w:sz w:val="22"/>
          <w:szCs w:val="22"/>
          <w:lang w:val="es-MX"/>
        </w:rPr>
        <w:t>”</w:t>
      </w:r>
      <w:r w:rsidRPr="008B21BA">
        <w:rPr>
          <w:rFonts w:ascii="Palatino Linotype" w:hAnsi="Palatino Linotype"/>
          <w:i/>
          <w:sz w:val="22"/>
          <w:szCs w:val="22"/>
          <w:lang w:val="es-ES_tradnl"/>
        </w:rPr>
        <w:t xml:space="preserve"> (Sic).</w:t>
      </w:r>
    </w:p>
    <w:p w14:paraId="65D1EE35" w14:textId="77777777" w:rsidR="008A446B" w:rsidRPr="008B21BA" w:rsidRDefault="008A446B" w:rsidP="008A446B">
      <w:pPr>
        <w:spacing w:line="360" w:lineRule="auto"/>
        <w:jc w:val="both"/>
        <w:rPr>
          <w:rFonts w:ascii="Palatino Linotype" w:eastAsiaTheme="minorHAnsi" w:hAnsi="Palatino Linotype" w:cs="Arial"/>
          <w:szCs w:val="22"/>
          <w:lang w:val="es-MX" w:eastAsia="en-US"/>
        </w:rPr>
      </w:pPr>
    </w:p>
    <w:p w14:paraId="6D96FE29" w14:textId="75F0222F" w:rsidR="001959EE" w:rsidRPr="008B21BA"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8B21BA">
        <w:rPr>
          <w:rFonts w:ascii="Palatino Linotype" w:hAnsi="Palatino Linotype"/>
          <w:b/>
          <w:lang w:val="es-ES_tradnl"/>
        </w:rPr>
        <w:t>MODALIDAD DE ENTREGA:</w:t>
      </w:r>
      <w:r w:rsidRPr="008B21BA">
        <w:rPr>
          <w:rFonts w:ascii="Palatino Linotype" w:hAnsi="Palatino Linotype"/>
          <w:lang w:val="es-ES_tradnl"/>
        </w:rPr>
        <w:t xml:space="preserve"> </w:t>
      </w:r>
      <w:r w:rsidR="009C6853" w:rsidRPr="008B21BA">
        <w:rPr>
          <w:rFonts w:ascii="Palatino Linotype" w:eastAsiaTheme="minorHAnsi" w:hAnsi="Palatino Linotype" w:cstheme="minorBidi"/>
          <w:color w:val="000000"/>
          <w:lang w:val="es-MX" w:eastAsia="en-US"/>
        </w:rPr>
        <w:t>A través de</w:t>
      </w:r>
      <w:r w:rsidR="0038039E" w:rsidRPr="008B21BA">
        <w:rPr>
          <w:rFonts w:ascii="Palatino Linotype" w:eastAsiaTheme="minorHAnsi" w:hAnsi="Palatino Linotype" w:cstheme="minorBidi"/>
          <w:color w:val="000000"/>
          <w:lang w:val="es-MX" w:eastAsia="en-US"/>
        </w:rPr>
        <w:t>l</w:t>
      </w:r>
      <w:r w:rsidR="009C6853" w:rsidRPr="008B21BA">
        <w:rPr>
          <w:rFonts w:ascii="Palatino Linotype" w:eastAsiaTheme="minorHAnsi" w:hAnsi="Palatino Linotype" w:cstheme="minorBidi"/>
          <w:color w:val="000000"/>
          <w:lang w:val="es-MX" w:eastAsia="en-US"/>
        </w:rPr>
        <w:t xml:space="preserve"> </w:t>
      </w:r>
      <w:r w:rsidR="0038039E" w:rsidRPr="008B21BA">
        <w:rPr>
          <w:rFonts w:ascii="Palatino Linotype" w:eastAsiaTheme="minorHAnsi" w:hAnsi="Palatino Linotype" w:cstheme="minorBidi"/>
          <w:b/>
          <w:color w:val="000000"/>
          <w:lang w:val="es-MX" w:eastAsia="en-US"/>
        </w:rPr>
        <w:t>SAIMEX</w:t>
      </w:r>
      <w:r w:rsidRPr="008B21BA">
        <w:rPr>
          <w:rFonts w:ascii="Palatino Linotype" w:eastAsiaTheme="minorHAnsi" w:hAnsi="Palatino Linotype" w:cstheme="minorBidi"/>
          <w:color w:val="000000"/>
          <w:lang w:val="es-MX" w:eastAsia="en-US"/>
        </w:rPr>
        <w:t>.</w:t>
      </w:r>
    </w:p>
    <w:p w14:paraId="1EC5DDF1" w14:textId="77777777" w:rsidR="00CF1704" w:rsidRPr="008B21BA" w:rsidRDefault="00CF1704"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2AC5F0A1" w14:textId="57F30140" w:rsidR="0038039E" w:rsidRPr="008B21BA" w:rsidRDefault="0038039E"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8B21BA">
        <w:rPr>
          <w:rFonts w:ascii="Palatino Linotype" w:eastAsiaTheme="minorHAnsi" w:hAnsi="Palatino Linotype" w:cstheme="minorBidi"/>
          <w:color w:val="000000"/>
          <w:lang w:val="es-MX" w:eastAsia="en-US"/>
        </w:rPr>
        <w:t xml:space="preserve">La particular al momento de ingresar su solicitud de información, adjuntó los archivos electrónicos denominados </w:t>
      </w:r>
      <w:r w:rsidRPr="008B21BA">
        <w:rPr>
          <w:rFonts w:ascii="Palatino Linotype" w:eastAsiaTheme="minorHAnsi" w:hAnsi="Palatino Linotype" w:cstheme="minorBidi"/>
          <w:i/>
          <w:iCs/>
          <w:color w:val="000000"/>
          <w:lang w:val="es-MX" w:eastAsia="en-US"/>
        </w:rPr>
        <w:t>“15_ANEXO DE EJECUCION MEXICO 0236_24.pdf”</w:t>
      </w:r>
      <w:r w:rsidRPr="008B21BA">
        <w:rPr>
          <w:rFonts w:ascii="Palatino Linotype" w:eastAsiaTheme="minorHAnsi" w:hAnsi="Palatino Linotype" w:cstheme="minorBidi"/>
          <w:color w:val="000000"/>
          <w:lang w:val="es-MX" w:eastAsia="en-US"/>
        </w:rPr>
        <w:t xml:space="preserve"> y </w:t>
      </w:r>
      <w:r w:rsidRPr="008B21BA">
        <w:rPr>
          <w:rFonts w:ascii="Palatino Linotype" w:eastAsiaTheme="minorHAnsi" w:hAnsi="Palatino Linotype" w:cstheme="minorBidi"/>
          <w:i/>
          <w:iCs/>
          <w:color w:val="000000"/>
          <w:lang w:val="es-MX" w:eastAsia="en-US"/>
        </w:rPr>
        <w:t xml:space="preserve">“05 INE </w:t>
      </w:r>
      <w:r w:rsidR="00F12307">
        <w:rPr>
          <w:rFonts w:ascii="Palatino Linotype" w:eastAsiaTheme="minorHAnsi" w:hAnsi="Palatino Linotype" w:cstheme="minorBidi"/>
          <w:i/>
          <w:iCs/>
          <w:color w:val="000000"/>
          <w:lang w:val="es-MX" w:eastAsia="en-US"/>
        </w:rPr>
        <w:t>XXXX</w:t>
      </w:r>
      <w:r w:rsidRPr="008B21BA">
        <w:rPr>
          <w:rFonts w:ascii="Palatino Linotype" w:eastAsiaTheme="minorHAnsi" w:hAnsi="Palatino Linotype" w:cstheme="minorBidi"/>
          <w:i/>
          <w:iCs/>
          <w:color w:val="000000"/>
          <w:lang w:val="es-MX" w:eastAsia="en-US"/>
        </w:rPr>
        <w:t>.pdf”</w:t>
      </w:r>
      <w:r w:rsidRPr="008B21BA">
        <w:rPr>
          <w:rFonts w:ascii="Palatino Linotype" w:eastAsiaTheme="minorHAnsi" w:hAnsi="Palatino Linotype" w:cstheme="minorBidi"/>
          <w:color w:val="000000"/>
          <w:lang w:val="es-MX" w:eastAsia="en-US"/>
        </w:rPr>
        <w:t>; mismos que contienen el anexo de ejecución/apoyo financiero 2024 SEMS-EL COBAEM-MÉXICO, de fecha 10 de enero de 2024 y la credencial de elector expedida por el Instituto Nacional</w:t>
      </w:r>
      <w:r w:rsidR="00D875FB" w:rsidRPr="008B21BA">
        <w:rPr>
          <w:rFonts w:ascii="Palatino Linotype" w:eastAsiaTheme="minorHAnsi" w:hAnsi="Palatino Linotype" w:cstheme="minorBidi"/>
          <w:color w:val="000000"/>
          <w:lang w:val="es-MX" w:eastAsia="en-US"/>
        </w:rPr>
        <w:t xml:space="preserve"> Electoral a nombre de la persona inmersa en la solicitud de información.</w:t>
      </w:r>
    </w:p>
    <w:p w14:paraId="2ABFB3A7" w14:textId="77777777" w:rsidR="0038039E" w:rsidRPr="008B21BA" w:rsidRDefault="0038039E"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6EBD4FB4" w14:textId="4AB8164B" w:rsidR="0029071C" w:rsidRPr="008B21BA" w:rsidRDefault="00B77FED" w:rsidP="0029071C">
      <w:pPr>
        <w:spacing w:line="360" w:lineRule="auto"/>
        <w:jc w:val="both"/>
        <w:rPr>
          <w:rFonts w:ascii="Palatino Linotype" w:eastAsiaTheme="minorHAnsi" w:hAnsi="Palatino Linotype" w:cs="Arial"/>
          <w:b/>
          <w:sz w:val="28"/>
          <w:lang w:val="es-MX" w:eastAsia="en-US"/>
        </w:rPr>
      </w:pPr>
      <w:r w:rsidRPr="008B21BA">
        <w:rPr>
          <w:rFonts w:ascii="Palatino Linotype" w:eastAsiaTheme="minorHAnsi" w:hAnsi="Palatino Linotype" w:cs="Arial"/>
          <w:b/>
          <w:sz w:val="28"/>
          <w:lang w:val="es-MX" w:eastAsia="en-US"/>
        </w:rPr>
        <w:t>SEGUND</w:t>
      </w:r>
      <w:r w:rsidR="0029071C" w:rsidRPr="008B21BA">
        <w:rPr>
          <w:rFonts w:ascii="Palatino Linotype" w:eastAsiaTheme="minorHAnsi" w:hAnsi="Palatino Linotype" w:cs="Arial"/>
          <w:b/>
          <w:sz w:val="28"/>
          <w:lang w:val="es-MX" w:eastAsia="en-US"/>
        </w:rPr>
        <w:t xml:space="preserve">O. De la respuesta del Sujeto Obligado. </w:t>
      </w:r>
    </w:p>
    <w:p w14:paraId="0BD1F4C8" w14:textId="599FA57A" w:rsidR="0029071C" w:rsidRPr="008B21BA" w:rsidRDefault="0029071C" w:rsidP="00D875FB">
      <w:pPr>
        <w:spacing w:line="360" w:lineRule="auto"/>
        <w:jc w:val="both"/>
        <w:rPr>
          <w:rFonts w:ascii="Palatino Linotype" w:eastAsiaTheme="minorHAnsi" w:hAnsi="Palatino Linotype" w:cs="Arial"/>
          <w:lang w:val="es-MX" w:eastAsia="en-US"/>
        </w:rPr>
      </w:pPr>
      <w:r w:rsidRPr="008B21BA">
        <w:rPr>
          <w:rFonts w:ascii="Palatino Linotype" w:eastAsiaTheme="minorHAnsi" w:hAnsi="Palatino Linotype" w:cs="Arial"/>
          <w:lang w:val="es-MX" w:eastAsia="en-US"/>
        </w:rPr>
        <w:t xml:space="preserve">De las constancias que obran en el sistema </w:t>
      </w:r>
      <w:r w:rsidRPr="008B21BA">
        <w:rPr>
          <w:rFonts w:ascii="Palatino Linotype" w:eastAsiaTheme="minorHAnsi" w:hAnsi="Palatino Linotype" w:cs="Arial"/>
          <w:b/>
          <w:bCs/>
          <w:lang w:val="es-MX" w:eastAsia="en-US"/>
        </w:rPr>
        <w:t>SAIMEX</w:t>
      </w:r>
      <w:r w:rsidRPr="008B21BA">
        <w:rPr>
          <w:rFonts w:ascii="Palatino Linotype" w:eastAsiaTheme="minorHAnsi" w:hAnsi="Palatino Linotype" w:cs="Arial"/>
          <w:lang w:val="es-MX" w:eastAsia="en-US"/>
        </w:rPr>
        <w:t xml:space="preserve">, se advierte que en fecha </w:t>
      </w:r>
      <w:r w:rsidR="00D875FB" w:rsidRPr="008B21BA">
        <w:rPr>
          <w:rFonts w:ascii="Palatino Linotype" w:eastAsiaTheme="minorHAnsi" w:hAnsi="Palatino Linotype" w:cs="Arial"/>
          <w:lang w:val="es-MX" w:eastAsia="en-US"/>
        </w:rPr>
        <w:t>diecinueve de febrero</w:t>
      </w:r>
      <w:r w:rsidR="003A2B8C" w:rsidRPr="008B21BA">
        <w:rPr>
          <w:rFonts w:ascii="Palatino Linotype" w:eastAsiaTheme="minorHAnsi" w:hAnsi="Palatino Linotype" w:cs="Arial"/>
          <w:lang w:val="es-MX" w:eastAsia="en-US"/>
        </w:rPr>
        <w:t xml:space="preserve"> </w:t>
      </w:r>
      <w:r w:rsidR="005F1F89" w:rsidRPr="008B21BA">
        <w:rPr>
          <w:rFonts w:ascii="Palatino Linotype" w:eastAsiaTheme="minorHAnsi" w:hAnsi="Palatino Linotype" w:cs="Arial"/>
          <w:lang w:val="es-MX" w:eastAsia="en-US"/>
        </w:rPr>
        <w:t xml:space="preserve">de dos mil </w:t>
      </w:r>
      <w:r w:rsidR="008A446B" w:rsidRPr="008B21BA">
        <w:rPr>
          <w:rFonts w:ascii="Palatino Linotype" w:eastAsiaTheme="minorHAnsi" w:hAnsi="Palatino Linotype" w:cs="Arial"/>
          <w:lang w:val="es-MX" w:eastAsia="en-US"/>
        </w:rPr>
        <w:t>veinti</w:t>
      </w:r>
      <w:r w:rsidR="0082270E" w:rsidRPr="008B21BA">
        <w:rPr>
          <w:rFonts w:ascii="Palatino Linotype" w:eastAsiaTheme="minorHAnsi" w:hAnsi="Palatino Linotype" w:cs="Arial"/>
          <w:lang w:val="es-MX" w:eastAsia="en-US"/>
        </w:rPr>
        <w:t>c</w:t>
      </w:r>
      <w:r w:rsidR="00230100" w:rsidRPr="008B21BA">
        <w:rPr>
          <w:rFonts w:ascii="Palatino Linotype" w:eastAsiaTheme="minorHAnsi" w:hAnsi="Palatino Linotype" w:cs="Arial"/>
          <w:lang w:val="es-MX" w:eastAsia="en-US"/>
        </w:rPr>
        <w:t>inco</w:t>
      </w:r>
      <w:r w:rsidRPr="008B21BA">
        <w:rPr>
          <w:rFonts w:ascii="Palatino Linotype" w:eastAsiaTheme="minorHAnsi" w:hAnsi="Palatino Linotype" w:cs="Arial"/>
          <w:lang w:val="es-MX" w:eastAsia="en-US"/>
        </w:rPr>
        <w:t>,</w:t>
      </w:r>
      <w:r w:rsidR="00230100" w:rsidRPr="008B21BA">
        <w:rPr>
          <w:rFonts w:ascii="Palatino Linotype" w:eastAsiaTheme="minorHAnsi" w:hAnsi="Palatino Linotype" w:cs="Arial"/>
          <w:lang w:val="es-MX" w:eastAsia="en-US"/>
        </w:rPr>
        <w:t xml:space="preserve"> el </w:t>
      </w:r>
      <w:r w:rsidRPr="008B21BA">
        <w:rPr>
          <w:rFonts w:ascii="Palatino Linotype" w:eastAsiaTheme="minorHAnsi" w:hAnsi="Palatino Linotype" w:cs="Arial"/>
          <w:b/>
          <w:lang w:val="es-MX" w:eastAsia="en-US"/>
        </w:rPr>
        <w:t>Sujeto Obligado</w:t>
      </w:r>
      <w:r w:rsidRPr="008B21BA">
        <w:rPr>
          <w:rFonts w:ascii="Palatino Linotype" w:eastAsiaTheme="minorHAnsi" w:hAnsi="Palatino Linotype" w:cs="Arial"/>
          <w:lang w:val="es-MX" w:eastAsia="en-US"/>
        </w:rPr>
        <w:t xml:space="preserve"> emitió la respuesta en los siguientes términos:</w:t>
      </w:r>
    </w:p>
    <w:p w14:paraId="6BF68DC9" w14:textId="77777777" w:rsidR="00D875FB" w:rsidRPr="008B21BA" w:rsidRDefault="00D875FB" w:rsidP="00D875FB">
      <w:pPr>
        <w:spacing w:line="360" w:lineRule="auto"/>
        <w:jc w:val="both"/>
        <w:rPr>
          <w:rFonts w:ascii="Palatino Linotype" w:eastAsiaTheme="minorHAnsi" w:hAnsi="Palatino Linotype" w:cs="Arial"/>
          <w:lang w:val="es-MX" w:eastAsia="en-US"/>
        </w:rPr>
      </w:pPr>
    </w:p>
    <w:p w14:paraId="62EF4DA7" w14:textId="77777777" w:rsidR="00D875FB" w:rsidRPr="008B21BA" w:rsidRDefault="0029071C" w:rsidP="00D875FB">
      <w:pPr>
        <w:spacing w:line="276" w:lineRule="auto"/>
        <w:ind w:left="567" w:right="567"/>
        <w:jc w:val="both"/>
        <w:rPr>
          <w:rFonts w:ascii="Palatino Linotype" w:hAnsi="Palatino Linotype"/>
          <w:i/>
          <w:sz w:val="22"/>
          <w:szCs w:val="22"/>
          <w:lang w:val="es-MX" w:eastAsia="es-MX"/>
        </w:rPr>
      </w:pPr>
      <w:r w:rsidRPr="008B21BA">
        <w:rPr>
          <w:rFonts w:ascii="Palatino Linotype" w:hAnsi="Palatino Linotype"/>
          <w:i/>
          <w:sz w:val="22"/>
          <w:szCs w:val="22"/>
          <w:lang w:val="es-MX" w:eastAsia="es-MX"/>
        </w:rPr>
        <w:t>“</w:t>
      </w:r>
      <w:r w:rsidR="00D875FB" w:rsidRPr="008B21BA">
        <w:rPr>
          <w:rFonts w:ascii="Palatino Linotype" w:hAnsi="Palatino Linotype"/>
          <w:i/>
          <w:sz w:val="22"/>
          <w:szCs w:val="22"/>
          <w:lang w:val="es-MX" w:eastAsia="es-MX"/>
        </w:rPr>
        <w:t>Sobre el particular, sírvase encontrar en archivo adjunto copia del Acuerdo de Incompetencia de fecha 18 de febrero de 2025, mediante el cual se detalla incompetencia de este Sujeto Obligado</w:t>
      </w:r>
    </w:p>
    <w:p w14:paraId="3BEA1A88" w14:textId="77777777" w:rsidR="00D875FB" w:rsidRPr="008B21BA" w:rsidRDefault="00D875FB" w:rsidP="00D875FB">
      <w:pPr>
        <w:spacing w:line="276" w:lineRule="auto"/>
        <w:ind w:left="567" w:right="567"/>
        <w:jc w:val="both"/>
        <w:rPr>
          <w:rFonts w:ascii="Palatino Linotype" w:hAnsi="Palatino Linotype"/>
          <w:i/>
          <w:sz w:val="22"/>
          <w:szCs w:val="22"/>
          <w:lang w:val="es-MX" w:eastAsia="es-MX"/>
        </w:rPr>
      </w:pPr>
    </w:p>
    <w:p w14:paraId="1182D949" w14:textId="37511046" w:rsidR="00D875FB" w:rsidRPr="008B21BA" w:rsidRDefault="00D875FB" w:rsidP="00D875FB">
      <w:pPr>
        <w:spacing w:line="276" w:lineRule="auto"/>
        <w:ind w:left="567" w:right="567"/>
        <w:jc w:val="both"/>
        <w:rPr>
          <w:rFonts w:ascii="Palatino Linotype" w:hAnsi="Palatino Linotype"/>
          <w:i/>
          <w:sz w:val="22"/>
          <w:szCs w:val="22"/>
          <w:lang w:val="es-MX" w:eastAsia="es-MX"/>
        </w:rPr>
      </w:pPr>
      <w:r w:rsidRPr="008B21BA">
        <w:rPr>
          <w:rFonts w:ascii="Palatino Linotype" w:hAnsi="Palatino Linotype"/>
          <w:i/>
          <w:sz w:val="22"/>
          <w:szCs w:val="22"/>
          <w:lang w:val="es-MX" w:eastAsia="es-MX"/>
        </w:rPr>
        <w:lastRenderedPageBreak/>
        <w:t>ATENTAMENTE</w:t>
      </w:r>
    </w:p>
    <w:p w14:paraId="3D4F3A50" w14:textId="63D68249" w:rsidR="0029071C" w:rsidRPr="008B21BA" w:rsidRDefault="00D875FB" w:rsidP="00D875FB">
      <w:pPr>
        <w:spacing w:line="276" w:lineRule="auto"/>
        <w:ind w:left="567" w:right="567"/>
        <w:jc w:val="both"/>
        <w:rPr>
          <w:rFonts w:ascii="Palatino Linotype" w:hAnsi="Palatino Linotype"/>
          <w:i/>
          <w:sz w:val="22"/>
          <w:szCs w:val="22"/>
          <w:lang w:val="es-MX" w:eastAsia="es-MX"/>
        </w:rPr>
      </w:pPr>
      <w:r w:rsidRPr="008B21BA">
        <w:rPr>
          <w:rFonts w:ascii="Palatino Linotype" w:hAnsi="Palatino Linotype"/>
          <w:i/>
          <w:sz w:val="22"/>
          <w:szCs w:val="22"/>
          <w:lang w:val="es-MX" w:eastAsia="es-MX"/>
        </w:rPr>
        <w:t>Lic en Economía David Arturo Gómez Becerril</w:t>
      </w:r>
      <w:r w:rsidR="00E74701" w:rsidRPr="008B21BA">
        <w:rPr>
          <w:rFonts w:ascii="Palatino Linotype" w:hAnsi="Palatino Linotype"/>
          <w:i/>
          <w:sz w:val="22"/>
          <w:szCs w:val="22"/>
          <w:lang w:val="es-MX" w:eastAsia="es-MX"/>
        </w:rPr>
        <w:t>” (Sic).</w:t>
      </w:r>
    </w:p>
    <w:p w14:paraId="6ACE9111" w14:textId="77777777" w:rsidR="00464839" w:rsidRPr="008B21BA" w:rsidRDefault="00464839" w:rsidP="0029071C">
      <w:pPr>
        <w:spacing w:line="360" w:lineRule="auto"/>
        <w:jc w:val="both"/>
        <w:rPr>
          <w:rFonts w:ascii="Palatino Linotype" w:eastAsiaTheme="minorHAnsi" w:hAnsi="Palatino Linotype" w:cs="Arial"/>
          <w:b/>
          <w:lang w:val="es-MX" w:eastAsia="en-US"/>
        </w:rPr>
      </w:pPr>
    </w:p>
    <w:p w14:paraId="3538BDA4" w14:textId="76AE0CEE" w:rsidR="00CF1704" w:rsidRPr="008B21BA" w:rsidRDefault="00CF1704" w:rsidP="0029071C">
      <w:pPr>
        <w:spacing w:line="360" w:lineRule="auto"/>
        <w:jc w:val="both"/>
        <w:rPr>
          <w:rFonts w:ascii="Palatino Linotype" w:eastAsiaTheme="minorHAnsi" w:hAnsi="Palatino Linotype" w:cs="Arial"/>
          <w:bCs/>
          <w:lang w:val="es-MX" w:eastAsia="en-US"/>
        </w:rPr>
      </w:pPr>
      <w:r w:rsidRPr="008B21BA">
        <w:rPr>
          <w:rFonts w:ascii="Palatino Linotype" w:eastAsiaTheme="minorHAnsi" w:hAnsi="Palatino Linotype" w:cs="Arial"/>
          <w:bCs/>
          <w:lang w:val="es-MX" w:eastAsia="en-US"/>
        </w:rPr>
        <w:t>El</w:t>
      </w:r>
      <w:r w:rsidRPr="008B21BA">
        <w:rPr>
          <w:rFonts w:ascii="Palatino Linotype" w:eastAsiaTheme="minorHAnsi" w:hAnsi="Palatino Linotype" w:cs="Arial"/>
          <w:b/>
          <w:lang w:val="es-MX" w:eastAsia="en-US"/>
        </w:rPr>
        <w:t xml:space="preserve"> Sujeto Obligado</w:t>
      </w:r>
      <w:r w:rsidRPr="008B21BA">
        <w:rPr>
          <w:rFonts w:ascii="Palatino Linotype" w:eastAsiaTheme="minorHAnsi" w:hAnsi="Palatino Linotype" w:cs="Arial"/>
          <w:bCs/>
          <w:lang w:val="es-MX" w:eastAsia="en-US"/>
        </w:rPr>
        <w:t xml:space="preserve">, adjuntó a su respuesta, </w:t>
      </w:r>
      <w:r w:rsidR="00230100" w:rsidRPr="008B21BA">
        <w:rPr>
          <w:rFonts w:ascii="Palatino Linotype" w:eastAsiaTheme="minorHAnsi" w:hAnsi="Palatino Linotype" w:cs="Arial"/>
          <w:bCs/>
          <w:lang w:val="es-MX" w:eastAsia="en-US"/>
        </w:rPr>
        <w:t>el</w:t>
      </w:r>
      <w:r w:rsidRPr="008B21BA">
        <w:rPr>
          <w:rFonts w:ascii="Palatino Linotype" w:eastAsiaTheme="minorHAnsi" w:hAnsi="Palatino Linotype" w:cs="Arial"/>
          <w:bCs/>
          <w:lang w:val="es-MX" w:eastAsia="en-US"/>
        </w:rPr>
        <w:t xml:space="preserve"> archivo electrónico denominado </w:t>
      </w:r>
      <w:r w:rsidRPr="008B21BA">
        <w:rPr>
          <w:rFonts w:ascii="Palatino Linotype" w:eastAsiaTheme="minorHAnsi" w:hAnsi="Palatino Linotype" w:cs="Arial"/>
          <w:bCs/>
          <w:i/>
          <w:iCs/>
          <w:lang w:val="es-MX" w:eastAsia="en-US"/>
        </w:rPr>
        <w:t>“</w:t>
      </w:r>
      <w:r w:rsidR="00D875FB" w:rsidRPr="008B21BA">
        <w:rPr>
          <w:rFonts w:ascii="Palatino Linotype" w:eastAsiaTheme="minorHAnsi" w:hAnsi="Palatino Linotype" w:cs="Arial"/>
          <w:bCs/>
          <w:i/>
          <w:iCs/>
          <w:lang w:val="es-MX" w:eastAsia="en-US"/>
        </w:rPr>
        <w:t>00164 ACUERDO DE INCOMPETENCIA.pdf</w:t>
      </w:r>
      <w:r w:rsidRPr="008B21BA">
        <w:rPr>
          <w:rFonts w:ascii="Palatino Linotype" w:eastAsiaTheme="minorHAnsi" w:hAnsi="Palatino Linotype" w:cs="Arial"/>
          <w:bCs/>
          <w:i/>
          <w:iCs/>
          <w:lang w:val="es-MX" w:eastAsia="en-US"/>
        </w:rPr>
        <w:t>”</w:t>
      </w:r>
      <w:r w:rsidRPr="008B21BA">
        <w:rPr>
          <w:rFonts w:ascii="Palatino Linotype" w:eastAsiaTheme="minorHAnsi" w:hAnsi="Palatino Linotype" w:cs="Arial"/>
          <w:bCs/>
          <w:lang w:val="es-MX" w:eastAsia="en-US"/>
        </w:rPr>
        <w:t>; mismo que no se inserta por ser del conocimiento de las partes; sin embargo, será motivo de estudio en el Considerando respectivo.</w:t>
      </w:r>
    </w:p>
    <w:p w14:paraId="735558EF" w14:textId="77777777" w:rsidR="003A2B8C" w:rsidRPr="008B21BA"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8B21BA" w:rsidRDefault="00B77FED" w:rsidP="0029071C">
      <w:pPr>
        <w:spacing w:line="360" w:lineRule="auto"/>
        <w:jc w:val="both"/>
        <w:rPr>
          <w:rFonts w:ascii="Palatino Linotype" w:eastAsiaTheme="minorHAnsi" w:hAnsi="Palatino Linotype" w:cs="Arial"/>
          <w:b/>
          <w:sz w:val="28"/>
          <w:lang w:val="es-MX" w:eastAsia="en-US"/>
        </w:rPr>
      </w:pPr>
      <w:r w:rsidRPr="008B21BA">
        <w:rPr>
          <w:rFonts w:ascii="Palatino Linotype" w:eastAsiaTheme="minorHAnsi" w:hAnsi="Palatino Linotype" w:cs="Arial"/>
          <w:b/>
          <w:sz w:val="28"/>
          <w:lang w:val="es-MX" w:eastAsia="en-US"/>
        </w:rPr>
        <w:t>TERCERO</w:t>
      </w:r>
      <w:r w:rsidR="0029071C" w:rsidRPr="008B21BA">
        <w:rPr>
          <w:rFonts w:ascii="Palatino Linotype" w:eastAsiaTheme="minorHAnsi" w:hAnsi="Palatino Linotype" w:cs="Arial"/>
          <w:b/>
          <w:sz w:val="28"/>
          <w:lang w:val="es-MX" w:eastAsia="en-US"/>
        </w:rPr>
        <w:t>. Del recurso de revisión.</w:t>
      </w:r>
    </w:p>
    <w:p w14:paraId="4A5E94A4" w14:textId="1F4480B1" w:rsidR="0029071C" w:rsidRPr="008B21BA" w:rsidRDefault="0029071C" w:rsidP="00B250D7">
      <w:pPr>
        <w:spacing w:line="360" w:lineRule="auto"/>
        <w:jc w:val="both"/>
        <w:rPr>
          <w:rFonts w:ascii="Palatino Linotype" w:eastAsiaTheme="minorHAnsi" w:hAnsi="Palatino Linotype" w:cs="Arial"/>
          <w:lang w:val="es-MX" w:eastAsia="en-US"/>
        </w:rPr>
      </w:pPr>
      <w:r w:rsidRPr="008B21BA">
        <w:rPr>
          <w:rFonts w:ascii="Palatino Linotype" w:eastAsiaTheme="minorHAnsi" w:hAnsi="Palatino Linotype" w:cs="Arial"/>
          <w:lang w:val="es-MX" w:eastAsia="en-US"/>
        </w:rPr>
        <w:t xml:space="preserve">Inconforme con la respuesta por parte del </w:t>
      </w:r>
      <w:r w:rsidRPr="008B21BA">
        <w:rPr>
          <w:rFonts w:ascii="Palatino Linotype" w:eastAsiaTheme="minorHAnsi" w:hAnsi="Palatino Linotype" w:cs="Arial"/>
          <w:b/>
          <w:lang w:val="es-MX" w:eastAsia="en-US"/>
        </w:rPr>
        <w:t>Sujeto Obligado</w:t>
      </w:r>
      <w:r w:rsidRPr="008B21BA">
        <w:rPr>
          <w:rFonts w:ascii="Palatino Linotype" w:eastAsiaTheme="minorHAnsi" w:hAnsi="Palatino Linotype" w:cs="Arial"/>
          <w:lang w:val="es-MX" w:eastAsia="en-US"/>
        </w:rPr>
        <w:t xml:space="preserve">, </w:t>
      </w:r>
      <w:r w:rsidR="00BA27FC" w:rsidRPr="008B21BA">
        <w:rPr>
          <w:rFonts w:ascii="Palatino Linotype" w:eastAsiaTheme="minorHAnsi" w:hAnsi="Palatino Linotype" w:cs="Arial"/>
          <w:lang w:val="es-MX" w:eastAsia="en-US"/>
        </w:rPr>
        <w:t>el</w:t>
      </w:r>
      <w:r w:rsidRPr="008B21BA">
        <w:rPr>
          <w:rFonts w:ascii="Palatino Linotype" w:eastAsiaTheme="minorHAnsi" w:hAnsi="Palatino Linotype" w:cs="Arial"/>
          <w:lang w:val="es-MX" w:eastAsia="en-US"/>
        </w:rPr>
        <w:t xml:space="preserve"> ahora </w:t>
      </w:r>
      <w:r w:rsidRPr="008B21BA">
        <w:rPr>
          <w:rFonts w:ascii="Palatino Linotype" w:eastAsiaTheme="minorHAnsi" w:hAnsi="Palatino Linotype" w:cs="Arial"/>
          <w:b/>
          <w:lang w:val="es-MX" w:eastAsia="en-US"/>
        </w:rPr>
        <w:t>Recurrente</w:t>
      </w:r>
      <w:r w:rsidRPr="008B21BA">
        <w:rPr>
          <w:rFonts w:ascii="Palatino Linotype" w:eastAsiaTheme="minorHAnsi" w:hAnsi="Palatino Linotype" w:cs="Arial"/>
          <w:lang w:val="es-MX" w:eastAsia="en-US"/>
        </w:rPr>
        <w:t xml:space="preserve"> interpuso el presente recurso de revisión en fecha </w:t>
      </w:r>
      <w:r w:rsidR="00D875FB" w:rsidRPr="008B21BA">
        <w:rPr>
          <w:rFonts w:ascii="Palatino Linotype" w:eastAsiaTheme="minorHAnsi" w:hAnsi="Palatino Linotype" w:cs="Arial"/>
          <w:lang w:val="es-MX" w:eastAsia="en-US"/>
        </w:rPr>
        <w:t>cuatro de marzo</w:t>
      </w:r>
      <w:r w:rsidR="00C45025" w:rsidRPr="008B21BA">
        <w:rPr>
          <w:rFonts w:ascii="Palatino Linotype" w:eastAsiaTheme="minorHAnsi" w:hAnsi="Palatino Linotype" w:cs="Arial"/>
          <w:lang w:val="es-MX" w:eastAsia="en-US"/>
        </w:rPr>
        <w:t xml:space="preserve"> de dos mil veinti</w:t>
      </w:r>
      <w:r w:rsidR="00CF1704" w:rsidRPr="008B21BA">
        <w:rPr>
          <w:rFonts w:ascii="Palatino Linotype" w:eastAsiaTheme="minorHAnsi" w:hAnsi="Palatino Linotype" w:cs="Arial"/>
          <w:lang w:val="es-MX" w:eastAsia="en-US"/>
        </w:rPr>
        <w:t>c</w:t>
      </w:r>
      <w:r w:rsidR="008218E5" w:rsidRPr="008B21BA">
        <w:rPr>
          <w:rFonts w:ascii="Palatino Linotype" w:eastAsiaTheme="minorHAnsi" w:hAnsi="Palatino Linotype" w:cs="Arial"/>
          <w:lang w:val="es-MX" w:eastAsia="en-US"/>
        </w:rPr>
        <w:t>inco</w:t>
      </w:r>
      <w:r w:rsidRPr="008B21BA">
        <w:rPr>
          <w:rFonts w:ascii="Palatino Linotype" w:eastAsiaTheme="minorHAnsi" w:hAnsi="Palatino Linotype" w:cs="Arial"/>
          <w:lang w:val="es-MX" w:eastAsia="en-US"/>
        </w:rPr>
        <w:t>, el cual fue registrado</w:t>
      </w:r>
      <w:r w:rsidRPr="008B21BA">
        <w:rPr>
          <w:rFonts w:ascii="Palatino Linotype" w:eastAsiaTheme="minorHAnsi" w:hAnsi="Palatino Linotype" w:cs="Arial"/>
          <w:b/>
          <w:lang w:val="es-MX" w:eastAsia="en-US"/>
        </w:rPr>
        <w:t xml:space="preserve"> </w:t>
      </w:r>
      <w:r w:rsidRPr="008B21BA">
        <w:rPr>
          <w:rFonts w:ascii="Palatino Linotype" w:eastAsiaTheme="minorHAnsi" w:hAnsi="Palatino Linotype" w:cs="Arial"/>
          <w:lang w:val="es-MX" w:eastAsia="en-US"/>
        </w:rPr>
        <w:t xml:space="preserve">en el sistema electrónico con el expediente número </w:t>
      </w:r>
      <w:r w:rsidR="00C45025" w:rsidRPr="008B21BA">
        <w:rPr>
          <w:rFonts w:ascii="Palatino Linotype" w:eastAsiaTheme="minorHAnsi" w:hAnsi="Palatino Linotype" w:cs="Arial"/>
          <w:b/>
          <w:bCs/>
          <w:lang w:val="es-MX" w:eastAsia="es-MX"/>
        </w:rPr>
        <w:t>0</w:t>
      </w:r>
      <w:r w:rsidR="00D875FB" w:rsidRPr="008B21BA">
        <w:rPr>
          <w:rFonts w:ascii="Palatino Linotype" w:eastAsiaTheme="minorHAnsi" w:hAnsi="Palatino Linotype" w:cs="Arial"/>
          <w:b/>
          <w:bCs/>
          <w:lang w:val="es-MX" w:eastAsia="es-MX"/>
        </w:rPr>
        <w:t>2335</w:t>
      </w:r>
      <w:r w:rsidR="00C45025" w:rsidRPr="008B21BA">
        <w:rPr>
          <w:rFonts w:ascii="Palatino Linotype" w:eastAsiaTheme="minorHAnsi" w:hAnsi="Palatino Linotype" w:cs="Arial"/>
          <w:b/>
          <w:bCs/>
          <w:lang w:val="es-MX" w:eastAsia="es-MX"/>
        </w:rPr>
        <w:t>/INFOEM/IP/RR/202</w:t>
      </w:r>
      <w:r w:rsidR="008218E5" w:rsidRPr="008B21BA">
        <w:rPr>
          <w:rFonts w:ascii="Palatino Linotype" w:eastAsiaTheme="minorHAnsi" w:hAnsi="Palatino Linotype" w:cs="Arial"/>
          <w:b/>
          <w:bCs/>
          <w:lang w:val="es-MX" w:eastAsia="es-MX"/>
        </w:rPr>
        <w:t>5</w:t>
      </w:r>
      <w:r w:rsidRPr="008B21BA">
        <w:rPr>
          <w:rFonts w:ascii="Palatino Linotype" w:eastAsiaTheme="minorHAnsi" w:hAnsi="Palatino Linotype" w:cs="Arial"/>
          <w:lang w:val="es-MX" w:eastAsia="en-US"/>
        </w:rPr>
        <w:t>, en el cual aduce, las siguientes manifestaciones:</w:t>
      </w:r>
    </w:p>
    <w:p w14:paraId="297932D8" w14:textId="77777777" w:rsidR="0029071C" w:rsidRPr="008B21BA" w:rsidRDefault="0029071C" w:rsidP="00B250D7">
      <w:pPr>
        <w:rPr>
          <w:lang w:val="es-MX"/>
        </w:rPr>
      </w:pPr>
    </w:p>
    <w:p w14:paraId="29A04516" w14:textId="0C7E66BE" w:rsidR="002D6E4B" w:rsidRPr="008B21BA" w:rsidRDefault="0029071C" w:rsidP="00B77FED">
      <w:pPr>
        <w:numPr>
          <w:ilvl w:val="0"/>
          <w:numId w:val="1"/>
        </w:numPr>
        <w:spacing w:line="259" w:lineRule="auto"/>
        <w:jc w:val="both"/>
        <w:rPr>
          <w:rFonts w:ascii="Palatino Linotype" w:hAnsi="Palatino Linotype" w:cs="Arial"/>
          <w:b/>
          <w:sz w:val="26"/>
          <w:szCs w:val="26"/>
        </w:rPr>
      </w:pPr>
      <w:r w:rsidRPr="008B21BA">
        <w:rPr>
          <w:rFonts w:ascii="Palatino Linotype" w:hAnsi="Palatino Linotype" w:cs="Arial"/>
          <w:b/>
          <w:sz w:val="26"/>
          <w:szCs w:val="26"/>
        </w:rPr>
        <w:t>Acto Impugnado:</w:t>
      </w:r>
      <w:r w:rsidR="00DD2DA4" w:rsidRPr="008B21BA">
        <w:rPr>
          <w:rFonts w:ascii="Palatino Linotype" w:hAnsi="Palatino Linotype" w:cs="Arial"/>
          <w:b/>
          <w:sz w:val="26"/>
          <w:szCs w:val="26"/>
        </w:rPr>
        <w:t xml:space="preserve"> </w:t>
      </w:r>
      <w:r w:rsidRPr="008B21BA">
        <w:rPr>
          <w:rFonts w:ascii="Palatino Linotype" w:eastAsiaTheme="minorHAnsi" w:hAnsi="Palatino Linotype" w:cstheme="minorBidi"/>
          <w:i/>
          <w:color w:val="000000"/>
          <w:sz w:val="22"/>
          <w:szCs w:val="22"/>
          <w:lang w:val="es-MX" w:eastAsia="en-US"/>
        </w:rPr>
        <w:t>“</w:t>
      </w:r>
      <w:r w:rsidR="00D875FB" w:rsidRPr="008B21BA">
        <w:rPr>
          <w:rFonts w:ascii="Palatino Linotype" w:eastAsiaTheme="minorHAnsi" w:hAnsi="Palatino Linotype" w:cstheme="minorBidi"/>
          <w:i/>
          <w:color w:val="000000"/>
          <w:sz w:val="22"/>
          <w:szCs w:val="22"/>
          <w:lang w:val="es-MX" w:eastAsia="en-US"/>
        </w:rPr>
        <w:t>Oficio de respuesta suscrito por David Arturo Gómez Becerril, Encargado de la UIPPE y de la Unidad de Transparencia de la Secretaría de Finanzas que recayó a esta solicitud y por el cual se está presentando el presente Recurso de Revisión EN TIEMPO Y FORMA.</w:t>
      </w:r>
      <w:r w:rsidRPr="008B21BA">
        <w:rPr>
          <w:rFonts w:ascii="Palatino Linotype" w:eastAsiaTheme="minorHAnsi" w:hAnsi="Palatino Linotype" w:cstheme="minorBidi"/>
          <w:i/>
          <w:color w:val="000000"/>
          <w:sz w:val="22"/>
          <w:szCs w:val="22"/>
          <w:lang w:val="es-MX" w:eastAsia="en-US"/>
        </w:rPr>
        <w:t>” (Sic).</w:t>
      </w:r>
    </w:p>
    <w:p w14:paraId="5D30BF86" w14:textId="77777777" w:rsidR="00B77FED" w:rsidRPr="008B21BA" w:rsidRDefault="00B77FED" w:rsidP="00B77FED">
      <w:pPr>
        <w:pStyle w:val="Sinespaciado"/>
      </w:pPr>
    </w:p>
    <w:p w14:paraId="7CD83100" w14:textId="21221397" w:rsidR="00821C4B" w:rsidRPr="008B21BA" w:rsidRDefault="0029071C" w:rsidP="003A2B8C">
      <w:pPr>
        <w:pStyle w:val="Prrafodelista"/>
        <w:numPr>
          <w:ilvl w:val="0"/>
          <w:numId w:val="1"/>
        </w:numPr>
        <w:jc w:val="both"/>
        <w:rPr>
          <w:rFonts w:ascii="Palatino Linotype" w:hAnsi="Palatino Linotype"/>
          <w:i/>
          <w:sz w:val="26"/>
          <w:szCs w:val="26"/>
          <w:lang w:val="es-MX" w:eastAsia="es-MX"/>
        </w:rPr>
      </w:pPr>
      <w:r w:rsidRPr="008B21BA">
        <w:rPr>
          <w:rFonts w:ascii="Palatino Linotype" w:hAnsi="Palatino Linotype" w:cs="Arial"/>
          <w:b/>
          <w:sz w:val="26"/>
          <w:szCs w:val="26"/>
        </w:rPr>
        <w:t>Razones o Motivos de Inconformidad</w:t>
      </w:r>
      <w:r w:rsidRPr="008B21BA">
        <w:rPr>
          <w:rFonts w:ascii="Palatino Linotype" w:hAnsi="Palatino Linotype" w:cs="Arial"/>
          <w:sz w:val="26"/>
          <w:szCs w:val="26"/>
        </w:rPr>
        <w:t xml:space="preserve">: </w:t>
      </w:r>
      <w:r w:rsidRPr="008B21BA">
        <w:rPr>
          <w:rFonts w:ascii="Palatino Linotype" w:eastAsiaTheme="minorHAnsi" w:hAnsi="Palatino Linotype" w:cs="Arial"/>
          <w:i/>
          <w:sz w:val="22"/>
          <w:szCs w:val="22"/>
          <w:lang w:val="es-MX" w:eastAsia="en-US"/>
        </w:rPr>
        <w:t>“</w:t>
      </w:r>
      <w:r w:rsidR="00D875FB" w:rsidRPr="008B21BA">
        <w:rPr>
          <w:rFonts w:ascii="Palatino Linotype" w:eastAsiaTheme="minorHAnsi" w:hAnsi="Palatino Linotype" w:cstheme="minorBidi"/>
          <w:i/>
          <w:color w:val="000000"/>
          <w:sz w:val="22"/>
          <w:szCs w:val="22"/>
          <w:lang w:val="es-MX" w:eastAsia="en-US"/>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r w:rsidRPr="008B21BA">
        <w:rPr>
          <w:rFonts w:ascii="Palatino Linotype" w:eastAsiaTheme="minorHAnsi" w:hAnsi="Palatino Linotype" w:cstheme="minorBidi"/>
          <w:i/>
          <w:color w:val="000000"/>
          <w:sz w:val="22"/>
          <w:szCs w:val="22"/>
          <w:lang w:val="es-MX" w:eastAsia="en-US"/>
        </w:rPr>
        <w:t>” (Sic)</w:t>
      </w:r>
    </w:p>
    <w:p w14:paraId="41329C93" w14:textId="77777777" w:rsidR="003A2B8C" w:rsidRPr="008B21BA" w:rsidRDefault="003A2B8C" w:rsidP="003A2B8C">
      <w:pPr>
        <w:jc w:val="both"/>
        <w:rPr>
          <w:rFonts w:ascii="Palatino Linotype" w:hAnsi="Palatino Linotype"/>
          <w:i/>
          <w:sz w:val="26"/>
          <w:szCs w:val="26"/>
          <w:lang w:val="es-MX" w:eastAsia="es-MX"/>
        </w:rPr>
      </w:pPr>
    </w:p>
    <w:p w14:paraId="54954126" w14:textId="77777777" w:rsidR="003A2B8C" w:rsidRPr="008B21BA" w:rsidRDefault="003A2B8C" w:rsidP="003A2B8C">
      <w:pPr>
        <w:jc w:val="both"/>
        <w:rPr>
          <w:rFonts w:ascii="Palatino Linotype" w:hAnsi="Palatino Linotype"/>
          <w:i/>
          <w:sz w:val="20"/>
          <w:szCs w:val="20"/>
          <w:lang w:val="es-MX" w:eastAsia="es-MX"/>
        </w:rPr>
      </w:pPr>
    </w:p>
    <w:p w14:paraId="78AD817E" w14:textId="1D9B7D2C" w:rsidR="00B70A31" w:rsidRPr="008B21BA" w:rsidRDefault="00B70A31" w:rsidP="00B70A31">
      <w:pPr>
        <w:tabs>
          <w:tab w:val="left" w:pos="5647"/>
        </w:tabs>
        <w:spacing w:line="360" w:lineRule="auto"/>
        <w:ind w:right="49"/>
        <w:jc w:val="both"/>
        <w:rPr>
          <w:rFonts w:ascii="Palatino Linotype" w:eastAsiaTheme="minorHAnsi" w:hAnsi="Palatino Linotype" w:cstheme="minorBidi"/>
          <w:color w:val="000000"/>
          <w:lang w:val="es-MX" w:eastAsia="en-US"/>
        </w:rPr>
      </w:pPr>
      <w:r w:rsidRPr="008B21BA">
        <w:rPr>
          <w:rFonts w:ascii="Palatino Linotype" w:eastAsiaTheme="minorHAnsi" w:hAnsi="Palatino Linotype" w:cstheme="minorBidi"/>
          <w:color w:val="000000"/>
          <w:lang w:val="es-MX" w:eastAsia="en-US"/>
        </w:rPr>
        <w:lastRenderedPageBreak/>
        <w:t xml:space="preserve">La ahora </w:t>
      </w:r>
      <w:r w:rsidRPr="008B21BA">
        <w:rPr>
          <w:rFonts w:ascii="Palatino Linotype" w:eastAsiaTheme="minorHAnsi" w:hAnsi="Palatino Linotype" w:cstheme="minorBidi"/>
          <w:b/>
          <w:bCs/>
          <w:color w:val="000000"/>
          <w:lang w:val="es-MX" w:eastAsia="en-US"/>
        </w:rPr>
        <w:t>Recurrente</w:t>
      </w:r>
      <w:r w:rsidRPr="008B21BA">
        <w:rPr>
          <w:rFonts w:ascii="Palatino Linotype" w:eastAsiaTheme="minorHAnsi" w:hAnsi="Palatino Linotype" w:cstheme="minorBidi"/>
          <w:color w:val="000000"/>
          <w:lang w:val="es-MX" w:eastAsia="en-US"/>
        </w:rPr>
        <w:t xml:space="preserve">, al momento de interponer el presente recurso de revisión, adjuntó los archivos electrónicos denominados </w:t>
      </w:r>
      <w:r w:rsidRPr="008B21BA">
        <w:rPr>
          <w:rFonts w:ascii="Palatino Linotype" w:eastAsiaTheme="minorHAnsi" w:hAnsi="Palatino Linotype" w:cstheme="minorBidi"/>
          <w:i/>
          <w:iCs/>
          <w:color w:val="000000"/>
          <w:lang w:val="es-MX" w:eastAsia="en-US"/>
        </w:rPr>
        <w:t>“15_ANEXO DE EJECUCION MEXICO 0236_24.pdf”</w:t>
      </w:r>
      <w:r w:rsidRPr="008B21BA">
        <w:rPr>
          <w:rFonts w:ascii="Palatino Linotype" w:eastAsiaTheme="minorHAnsi" w:hAnsi="Palatino Linotype" w:cstheme="minorBidi"/>
          <w:color w:val="000000"/>
          <w:lang w:val="es-MX" w:eastAsia="en-US"/>
        </w:rPr>
        <w:t xml:space="preserve"> y </w:t>
      </w:r>
      <w:r w:rsidRPr="008B21BA">
        <w:rPr>
          <w:rFonts w:ascii="Palatino Linotype" w:eastAsiaTheme="minorHAnsi" w:hAnsi="Palatino Linotype" w:cstheme="minorBidi"/>
          <w:i/>
          <w:iCs/>
          <w:color w:val="000000"/>
          <w:lang w:val="es-MX" w:eastAsia="en-US"/>
        </w:rPr>
        <w:t>“05 INE MBN.pdf”</w:t>
      </w:r>
      <w:r w:rsidRPr="008B21BA">
        <w:rPr>
          <w:rFonts w:ascii="Palatino Linotype" w:eastAsiaTheme="minorHAnsi" w:hAnsi="Palatino Linotype" w:cstheme="minorBidi"/>
          <w:color w:val="000000"/>
          <w:lang w:val="es-MX" w:eastAsia="en-US"/>
        </w:rPr>
        <w:t>; mismos que contienen el anexo de ejecución/apoyo financiero 2024 SEMS-EL COBAEM-MÉXICO, de fecha 10 de enero de 2024 y la credencial de elector expedida por el Instituto Nacional Electoral a nombre de la persona inmersa en la solicitud de información.</w:t>
      </w:r>
    </w:p>
    <w:p w14:paraId="5A9DF42E" w14:textId="77777777" w:rsidR="00B70A31" w:rsidRPr="008B21BA" w:rsidRDefault="00B70A31" w:rsidP="0029071C">
      <w:pPr>
        <w:spacing w:line="360" w:lineRule="auto"/>
        <w:jc w:val="both"/>
        <w:rPr>
          <w:rFonts w:ascii="Palatino Linotype" w:eastAsiaTheme="minorHAnsi" w:hAnsi="Palatino Linotype" w:cs="Arial"/>
          <w:b/>
          <w:sz w:val="28"/>
          <w:lang w:val="es-MX" w:eastAsia="en-US"/>
        </w:rPr>
      </w:pPr>
    </w:p>
    <w:p w14:paraId="43F10EA1" w14:textId="37DD472B" w:rsidR="0029071C" w:rsidRPr="008B21BA" w:rsidRDefault="00B77FED" w:rsidP="0029071C">
      <w:pPr>
        <w:spacing w:line="360" w:lineRule="auto"/>
        <w:jc w:val="both"/>
        <w:rPr>
          <w:rFonts w:ascii="Palatino Linotype" w:eastAsiaTheme="minorHAnsi" w:hAnsi="Palatino Linotype" w:cs="Arial"/>
          <w:b/>
          <w:sz w:val="28"/>
          <w:lang w:val="es-MX" w:eastAsia="en-US"/>
        </w:rPr>
      </w:pPr>
      <w:r w:rsidRPr="008B21BA">
        <w:rPr>
          <w:rFonts w:ascii="Palatino Linotype" w:eastAsiaTheme="minorHAnsi" w:hAnsi="Palatino Linotype" w:cs="Arial"/>
          <w:b/>
          <w:sz w:val="28"/>
          <w:lang w:val="es-MX" w:eastAsia="en-US"/>
        </w:rPr>
        <w:t>CUART</w:t>
      </w:r>
      <w:r w:rsidR="0029071C" w:rsidRPr="008B21BA">
        <w:rPr>
          <w:rFonts w:ascii="Palatino Linotype" w:eastAsiaTheme="minorHAnsi" w:hAnsi="Palatino Linotype" w:cs="Arial"/>
          <w:b/>
          <w:sz w:val="28"/>
          <w:lang w:val="es-MX" w:eastAsia="en-US"/>
        </w:rPr>
        <w:t xml:space="preserve">O. Del turno </w:t>
      </w:r>
      <w:r w:rsidR="008E1ACA" w:rsidRPr="008B21BA">
        <w:rPr>
          <w:rFonts w:ascii="Palatino Linotype" w:eastAsiaTheme="minorHAnsi" w:hAnsi="Palatino Linotype" w:cs="Arial"/>
          <w:b/>
          <w:sz w:val="28"/>
          <w:lang w:val="es-MX" w:eastAsia="en-US"/>
        </w:rPr>
        <w:t xml:space="preserve">y admisión </w:t>
      </w:r>
      <w:r w:rsidR="0029071C" w:rsidRPr="008B21BA">
        <w:rPr>
          <w:rFonts w:ascii="Palatino Linotype" w:eastAsiaTheme="minorHAnsi" w:hAnsi="Palatino Linotype" w:cs="Arial"/>
          <w:b/>
          <w:sz w:val="28"/>
          <w:lang w:val="es-MX" w:eastAsia="en-US"/>
        </w:rPr>
        <w:t>del recurso de revisión.</w:t>
      </w:r>
    </w:p>
    <w:p w14:paraId="1EB57102" w14:textId="0EFF1FD5" w:rsidR="008E1ACA" w:rsidRPr="008B21BA" w:rsidRDefault="008E1ACA" w:rsidP="008E1ACA">
      <w:pPr>
        <w:spacing w:line="360" w:lineRule="auto"/>
        <w:jc w:val="both"/>
        <w:rPr>
          <w:rFonts w:ascii="Palatino Linotype" w:eastAsia="Calibri" w:hAnsi="Palatino Linotype" w:cs="Arial"/>
        </w:rPr>
      </w:pPr>
      <w:r w:rsidRPr="008B21BA">
        <w:rPr>
          <w:rFonts w:ascii="Palatino Linotype" w:eastAsia="Calibri" w:hAnsi="Palatino Linotype" w:cs="Arial"/>
        </w:rPr>
        <w:t xml:space="preserve">En fecha </w:t>
      </w:r>
      <w:r w:rsidRPr="008B21BA">
        <w:rPr>
          <w:rFonts w:ascii="Palatino Linotype" w:eastAsia="Calibri" w:hAnsi="Palatino Linotype"/>
        </w:rPr>
        <w:t>diez de marzo de dos mil veinticinco</w:t>
      </w:r>
      <w:r w:rsidRPr="008B21BA">
        <w:rPr>
          <w:rFonts w:ascii="Palatino Linotype" w:eastAsia="Calibri" w:hAnsi="Palatino Linotype" w:cs="Arial"/>
        </w:rPr>
        <w:t>, 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6BC76086" w14:textId="77777777" w:rsidR="008E1ACA" w:rsidRPr="008B21BA" w:rsidRDefault="008E1ACA" w:rsidP="008E1ACA">
      <w:pPr>
        <w:spacing w:line="360" w:lineRule="auto"/>
        <w:jc w:val="both"/>
        <w:rPr>
          <w:rFonts w:ascii="Palatino Linotype" w:eastAsia="Calibri" w:hAnsi="Palatino Linotype" w:cs="Arial"/>
        </w:rPr>
      </w:pPr>
    </w:p>
    <w:p w14:paraId="3CFE6949" w14:textId="77777777" w:rsidR="008E1ACA" w:rsidRPr="008B21BA" w:rsidRDefault="008E1ACA" w:rsidP="008E1ACA">
      <w:pPr>
        <w:spacing w:line="360" w:lineRule="auto"/>
        <w:jc w:val="both"/>
        <w:rPr>
          <w:rFonts w:ascii="Palatino Linotype" w:eastAsia="Calibri" w:hAnsi="Palatino Linotype" w:cs="Arial"/>
          <w:b/>
          <w:sz w:val="28"/>
        </w:rPr>
      </w:pPr>
      <w:r w:rsidRPr="008B21BA">
        <w:rPr>
          <w:rFonts w:ascii="Palatino Linotype" w:eastAsia="Calibri" w:hAnsi="Palatino Linotype" w:cs="Arial"/>
          <w:b/>
          <w:sz w:val="28"/>
        </w:rPr>
        <w:t>QUINTO. De la Etapa de Conciliación.</w:t>
      </w:r>
    </w:p>
    <w:p w14:paraId="0719DBE2" w14:textId="26475153" w:rsidR="008E1ACA" w:rsidRPr="008B21BA" w:rsidRDefault="008E1ACA" w:rsidP="008E1ACA">
      <w:pPr>
        <w:spacing w:line="360" w:lineRule="auto"/>
        <w:jc w:val="both"/>
        <w:rPr>
          <w:rFonts w:ascii="Palatino Linotype" w:eastAsia="Calibri" w:hAnsi="Palatino Linotype" w:cs="Arial"/>
        </w:rPr>
      </w:pPr>
      <w:r w:rsidRPr="008B21BA">
        <w:rPr>
          <w:rFonts w:ascii="Palatino Linotype" w:eastAsia="Calibri" w:hAnsi="Palatino Linotype" w:cs="Arial"/>
        </w:rPr>
        <w:t xml:space="preserve">Derivado del acuerdo de admisión de exhortación a la conciliación, se aprecia que en fecha once de marzo de febrero de dos mil veinticinco, el </w:t>
      </w:r>
      <w:r w:rsidRPr="008B21BA">
        <w:rPr>
          <w:rFonts w:ascii="Palatino Linotype" w:eastAsia="Calibri" w:hAnsi="Palatino Linotype" w:cs="Arial"/>
          <w:b/>
          <w:bCs/>
        </w:rPr>
        <w:t>Sujeto Obligado</w:t>
      </w:r>
      <w:r w:rsidRPr="008B21BA">
        <w:rPr>
          <w:rFonts w:ascii="Palatino Linotype" w:eastAsia="Calibri" w:hAnsi="Palatino Linotype" w:cs="Arial"/>
        </w:rPr>
        <w:t xml:space="preserve"> manifestó su voluntad para conciliar dentro del plazo establecido; no obstante, </w:t>
      </w:r>
      <w:r w:rsidR="00987728" w:rsidRPr="008B21BA">
        <w:rPr>
          <w:rFonts w:ascii="Palatino Linotype" w:eastAsia="Calibri" w:hAnsi="Palatino Linotype" w:cs="Arial"/>
        </w:rPr>
        <w:t xml:space="preserve">en fecha catorce de marzo, </w:t>
      </w:r>
      <w:r w:rsidRPr="008B21BA">
        <w:rPr>
          <w:rFonts w:ascii="Palatino Linotype" w:eastAsia="Calibri" w:hAnsi="Palatino Linotype" w:cs="Arial"/>
        </w:rPr>
        <w:t xml:space="preserve">la parte </w:t>
      </w:r>
      <w:r w:rsidRPr="008B21BA">
        <w:rPr>
          <w:rFonts w:ascii="Palatino Linotype" w:eastAsia="Calibri" w:hAnsi="Palatino Linotype" w:cs="Arial"/>
          <w:b/>
          <w:bCs/>
        </w:rPr>
        <w:t>Recurrente</w:t>
      </w:r>
      <w:r w:rsidRPr="008B21BA">
        <w:rPr>
          <w:rFonts w:ascii="Palatino Linotype" w:eastAsia="Calibri" w:hAnsi="Palatino Linotype" w:cs="Arial"/>
        </w:rPr>
        <w:t xml:space="preserve"> remitió los mismos archivos enviados tanto en la solicitud de información como en la interposición del recurso de revisión, siendo omiso en manifestar su voluntad para conciliar, robustece lo anterior, la siguiente imagen ilustrativa: </w:t>
      </w:r>
    </w:p>
    <w:p w14:paraId="41418EA7" w14:textId="58FCB70C" w:rsidR="008E1ACA" w:rsidRPr="008B21BA" w:rsidRDefault="00F12307" w:rsidP="008E1ACA">
      <w:pPr>
        <w:spacing w:line="360" w:lineRule="auto"/>
        <w:jc w:val="both"/>
        <w:rPr>
          <w:rFonts w:ascii="Palatino Linotype" w:eastAsia="Calibri" w:hAnsi="Palatino Linotype" w:cs="Arial"/>
        </w:rPr>
      </w:pPr>
      <w:r>
        <w:rPr>
          <w:rFonts w:ascii="Palatino Linotype" w:eastAsia="Calibri" w:hAnsi="Palatino Linotype" w:cs="Arial"/>
          <w:noProof/>
          <w:lang w:val="es-MX" w:eastAsia="es-MX"/>
        </w:rPr>
        <w:lastRenderedPageBreak/>
        <w:pict w14:anchorId="5AB2F13D">
          <v:shape id="_x0000_i1026" type="#_x0000_t75" style="width:455.65pt;height:449.2pt">
            <v:imagedata r:id="rId8" o:title="12"/>
          </v:shape>
        </w:pict>
      </w:r>
    </w:p>
    <w:p w14:paraId="0FCC2AF5" w14:textId="71062387" w:rsidR="0029071C" w:rsidRPr="008B21BA" w:rsidRDefault="00987728" w:rsidP="0029071C">
      <w:pPr>
        <w:spacing w:line="360" w:lineRule="auto"/>
        <w:jc w:val="both"/>
        <w:rPr>
          <w:rFonts w:ascii="Palatino Linotype" w:eastAsiaTheme="minorHAnsi" w:hAnsi="Palatino Linotype" w:cs="Arial"/>
          <w:b/>
          <w:sz w:val="28"/>
          <w:lang w:val="es-MX" w:eastAsia="en-US"/>
        </w:rPr>
      </w:pPr>
      <w:r w:rsidRPr="008B21BA">
        <w:rPr>
          <w:rFonts w:ascii="Palatino Linotype" w:eastAsiaTheme="minorHAnsi" w:hAnsi="Palatino Linotype" w:cs="Arial"/>
          <w:b/>
          <w:sz w:val="28"/>
          <w:lang w:val="es-MX" w:eastAsia="en-US"/>
        </w:rPr>
        <w:t>SEXT</w:t>
      </w:r>
      <w:r w:rsidR="0029071C" w:rsidRPr="008B21BA">
        <w:rPr>
          <w:rFonts w:ascii="Palatino Linotype" w:eastAsiaTheme="minorHAnsi" w:hAnsi="Palatino Linotype" w:cs="Arial"/>
          <w:b/>
          <w:sz w:val="28"/>
          <w:lang w:val="es-MX" w:eastAsia="en-US"/>
        </w:rPr>
        <w:t>O. De la etapa de manifestaciones y/o alegatos.</w:t>
      </w:r>
    </w:p>
    <w:p w14:paraId="24598E92" w14:textId="6C8BF55A" w:rsidR="00987728" w:rsidRPr="008B21BA" w:rsidRDefault="00987728" w:rsidP="00987728">
      <w:pPr>
        <w:spacing w:line="360" w:lineRule="auto"/>
        <w:jc w:val="both"/>
        <w:rPr>
          <w:rFonts w:ascii="Palatino Linotype" w:eastAsia="Calibri" w:hAnsi="Palatino Linotype" w:cs="Arial"/>
          <w:lang w:val="es-ES_tradnl"/>
        </w:rPr>
      </w:pPr>
      <w:r w:rsidRPr="008B21BA">
        <w:rPr>
          <w:rFonts w:ascii="Palatino Linotype" w:eastAsia="Calibri" w:hAnsi="Palatino Linotype" w:cs="Arial"/>
        </w:rPr>
        <w:t>Una vez abierta la etapa de manifestaciones y transcurrido el término legal referido,</w:t>
      </w:r>
      <w:r w:rsidRPr="008B21BA">
        <w:rPr>
          <w:rFonts w:ascii="Palatino Linotype" w:eastAsia="Calibri" w:hAnsi="Palatino Linotype" w:cs="Arial"/>
          <w:b/>
        </w:rPr>
        <w:t xml:space="preserve"> </w:t>
      </w:r>
      <w:r w:rsidRPr="008B21BA">
        <w:rPr>
          <w:rFonts w:ascii="Palatino Linotype" w:eastAsia="Calibri" w:hAnsi="Palatino Linotype" w:cs="Arial"/>
        </w:rPr>
        <w:t xml:space="preserve">de las constancias que obran en el </w:t>
      </w:r>
      <w:r w:rsidRPr="008B21BA">
        <w:rPr>
          <w:rFonts w:ascii="Palatino Linotype" w:eastAsia="Calibri" w:hAnsi="Palatino Linotype" w:cs="Arial"/>
          <w:b/>
        </w:rPr>
        <w:t>SAIMEX</w:t>
      </w:r>
      <w:r w:rsidRPr="008B21BA">
        <w:rPr>
          <w:rFonts w:ascii="Palatino Linotype" w:eastAsia="Calibri" w:hAnsi="Palatino Linotype" w:cs="Arial"/>
        </w:rPr>
        <w:t>,</w:t>
      </w:r>
      <w:r w:rsidRPr="008B21BA">
        <w:rPr>
          <w:rFonts w:ascii="Palatino Linotype" w:eastAsia="Calibri" w:hAnsi="Palatino Linotype" w:cs="Arial"/>
          <w:b/>
        </w:rPr>
        <w:t xml:space="preserve"> </w:t>
      </w:r>
      <w:r w:rsidRPr="008B21BA">
        <w:rPr>
          <w:rFonts w:ascii="Palatino Linotype" w:eastAsia="Calibri" w:hAnsi="Palatino Linotype" w:cs="Arial"/>
        </w:rPr>
        <w:t>se advierte que, en fecha veintisiete de marzo de dos mil veinticinco el</w:t>
      </w:r>
      <w:r w:rsidRPr="008B21BA">
        <w:rPr>
          <w:rFonts w:ascii="Palatino Linotype" w:eastAsia="Calibri" w:hAnsi="Palatino Linotype" w:cs="Arial"/>
          <w:b/>
        </w:rPr>
        <w:t xml:space="preserve"> Sujeto Obligado</w:t>
      </w:r>
      <w:r w:rsidRPr="008B21BA">
        <w:rPr>
          <w:rFonts w:ascii="Palatino Linotype" w:eastAsia="Calibri" w:hAnsi="Palatino Linotype" w:cs="Arial"/>
        </w:rPr>
        <w:t xml:space="preserve">, remitió su informe justificado mediante el archivo electrónico denominado </w:t>
      </w:r>
      <w:r w:rsidRPr="008B21BA">
        <w:rPr>
          <w:rFonts w:ascii="Palatino Linotype" w:eastAsia="Calibri" w:hAnsi="Palatino Linotype" w:cs="Arial"/>
          <w:i/>
        </w:rPr>
        <w:t>“RR 02335-2025 INFORME JUSTIFICADO.pdf”</w:t>
      </w:r>
      <w:r w:rsidRPr="008B21BA">
        <w:rPr>
          <w:rFonts w:ascii="Palatino Linotype" w:eastAsia="Calibri" w:hAnsi="Palatino Linotype" w:cs="Arial"/>
        </w:rPr>
        <w:t xml:space="preserve">; mismo que fue puesto a la vista del particular mediante Acuerdo de fecha ocho de abril </w:t>
      </w:r>
      <w:r w:rsidRPr="008B21BA">
        <w:rPr>
          <w:rFonts w:ascii="Palatino Linotype" w:eastAsia="Calibri" w:hAnsi="Palatino Linotype" w:cs="Arial"/>
        </w:rPr>
        <w:lastRenderedPageBreak/>
        <w:t>del año en curso</w:t>
      </w:r>
      <w:r w:rsidRPr="008B21BA">
        <w:rPr>
          <w:rFonts w:ascii="Palatino Linotype" w:eastAsia="Calibri" w:hAnsi="Palatino Linotype" w:cs="Arial"/>
          <w:lang w:val="es-ES_tradnl"/>
        </w:rPr>
        <w:t xml:space="preserve">; asimismo, se aprecia que la parte </w:t>
      </w:r>
      <w:r w:rsidRPr="008B21BA">
        <w:rPr>
          <w:rFonts w:ascii="Palatino Linotype" w:eastAsia="Calibri" w:hAnsi="Palatino Linotype" w:cs="Arial"/>
          <w:b/>
          <w:lang w:val="es-ES_tradnl"/>
        </w:rPr>
        <w:t>Recurrente</w:t>
      </w:r>
      <w:r w:rsidRPr="008B21BA">
        <w:rPr>
          <w:rFonts w:ascii="Palatino Linotype" w:eastAsia="Calibri" w:hAnsi="Palatino Linotype" w:cs="Arial"/>
          <w:lang w:val="es-ES_tradnl"/>
        </w:rPr>
        <w:t xml:space="preserve"> remitió alegatos y manifestaciones mediante el archivo electrónico denominado </w:t>
      </w:r>
      <w:r w:rsidRPr="008B21BA">
        <w:rPr>
          <w:rFonts w:ascii="Palatino Linotype" w:eastAsia="Calibri" w:hAnsi="Palatino Linotype" w:cs="Arial"/>
          <w:i/>
          <w:iCs/>
          <w:lang w:val="es-ES_tradnl"/>
        </w:rPr>
        <w:t>“</w:t>
      </w:r>
      <w:r w:rsidR="002956A7" w:rsidRPr="008B21BA">
        <w:rPr>
          <w:rFonts w:ascii="Palatino Linotype" w:eastAsia="Calibri" w:hAnsi="Palatino Linotype" w:cs="Arial"/>
          <w:i/>
          <w:iCs/>
          <w:lang w:val="es-ES_tradnl"/>
        </w:rPr>
        <w:t>Conciliación Finanzas.pdf</w:t>
      </w:r>
      <w:r w:rsidRPr="008B21BA">
        <w:rPr>
          <w:rFonts w:ascii="Palatino Linotype" w:eastAsia="Calibri" w:hAnsi="Palatino Linotype" w:cs="Arial"/>
          <w:i/>
          <w:iCs/>
          <w:lang w:val="es-ES_tradnl"/>
        </w:rPr>
        <w:t>”</w:t>
      </w:r>
      <w:r w:rsidRPr="008B21BA">
        <w:rPr>
          <w:rFonts w:ascii="Palatino Linotype" w:eastAsia="Calibri" w:hAnsi="Palatino Linotype" w:cs="Arial"/>
          <w:lang w:val="es-ES_tradnl"/>
        </w:rPr>
        <w:t xml:space="preserve">, </w:t>
      </w:r>
      <w:r w:rsidR="002956A7" w:rsidRPr="008B21BA">
        <w:rPr>
          <w:rFonts w:ascii="Palatino Linotype" w:eastAsia="Calibri" w:hAnsi="Palatino Linotype" w:cs="Arial"/>
          <w:lang w:val="es-ES_tradnl"/>
        </w:rPr>
        <w:t>mismo que versa en lo siguiente</w:t>
      </w:r>
      <w:r w:rsidRPr="008B21BA">
        <w:rPr>
          <w:rFonts w:ascii="Palatino Linotype" w:eastAsia="Calibri" w:hAnsi="Palatino Linotype" w:cs="Arial"/>
          <w:lang w:val="es-ES_tradnl"/>
        </w:rPr>
        <w:t>:</w:t>
      </w:r>
    </w:p>
    <w:p w14:paraId="36B66372" w14:textId="77777777" w:rsidR="002956A7" w:rsidRPr="008B21BA" w:rsidRDefault="002956A7" w:rsidP="002956A7">
      <w:pPr>
        <w:pStyle w:val="Sinespaciado"/>
        <w:rPr>
          <w:rFonts w:eastAsia="Calibri"/>
        </w:rPr>
      </w:pPr>
    </w:p>
    <w:p w14:paraId="035BD7E9" w14:textId="1630F03B" w:rsidR="002956A7" w:rsidRPr="008B21BA" w:rsidRDefault="005E7F8E" w:rsidP="0029071C">
      <w:pPr>
        <w:tabs>
          <w:tab w:val="left" w:pos="3206"/>
        </w:tabs>
        <w:spacing w:line="360" w:lineRule="auto"/>
        <w:jc w:val="both"/>
        <w:rPr>
          <w:rFonts w:ascii="Palatino Linotype" w:eastAsiaTheme="minorHAnsi" w:hAnsi="Palatino Linotype" w:cs="Arial"/>
          <w:b/>
          <w:sz w:val="28"/>
          <w:lang w:val="es-MX" w:eastAsia="en-US"/>
        </w:rPr>
      </w:pPr>
      <w:bookmarkStart w:id="0" w:name="_GoBack"/>
      <w:bookmarkEnd w:id="0"/>
      <w:r>
        <w:rPr>
          <w:rFonts w:ascii="Palatino Linotype" w:eastAsiaTheme="minorHAnsi" w:hAnsi="Palatino Linotype" w:cs="Arial"/>
          <w:b/>
          <w:noProof/>
          <w:sz w:val="28"/>
          <w:lang w:val="es-MX" w:eastAsia="es-MX"/>
        </w:rPr>
        <w:pict w14:anchorId="0998BFC7">
          <v:shape id="_x0000_i1029" type="#_x0000_t75" style="width:455.65pt;height:7in">
            <v:imagedata r:id="rId9" o:title="33"/>
          </v:shape>
        </w:pict>
      </w:r>
    </w:p>
    <w:p w14:paraId="5B4B0170" w14:textId="77777777" w:rsidR="002956A7" w:rsidRPr="008B21BA" w:rsidRDefault="002956A7" w:rsidP="002956A7">
      <w:pPr>
        <w:spacing w:line="276" w:lineRule="auto"/>
        <w:ind w:left="284" w:right="190"/>
        <w:jc w:val="both"/>
        <w:rPr>
          <w:rFonts w:ascii="Palatino Linotype" w:eastAsia="Calibri" w:hAnsi="Palatino Linotype" w:cs="Arial"/>
          <w:i/>
          <w:iCs/>
          <w:sz w:val="22"/>
          <w:szCs w:val="22"/>
          <w:lang w:val="es-ES_tradnl"/>
        </w:rPr>
      </w:pPr>
      <w:r w:rsidRPr="008B21BA">
        <w:rPr>
          <w:rFonts w:ascii="Palatino Linotype" w:eastAsia="Calibri" w:hAnsi="Palatino Linotype" w:cs="Arial"/>
          <w:i/>
          <w:iCs/>
          <w:sz w:val="22"/>
          <w:szCs w:val="22"/>
          <w:lang w:val="es-ES_tradnl"/>
        </w:rPr>
        <w:lastRenderedPageBreak/>
        <w:t xml:space="preserve">“Por lo que respecta a esta parte recurrente y con la finalidad de conciliar con el sujeto obligado, </w:t>
      </w:r>
      <w:r w:rsidRPr="008B21BA">
        <w:rPr>
          <w:rFonts w:ascii="Palatino Linotype" w:eastAsia="Calibri" w:hAnsi="Palatino Linotype" w:cs="Arial"/>
          <w:b/>
          <w:bCs/>
          <w:i/>
          <w:iCs/>
          <w:sz w:val="22"/>
          <w:szCs w:val="22"/>
          <w:u w:val="single"/>
          <w:lang w:val="es-ES_tradnl"/>
        </w:rPr>
        <w:t>sería que nos entregaran documentos donde se deslinden de la responsabilidad del Anexo de Ejecución 2024, al que se obligaron, presentando para tal efecto los recibos, trasferencia, acuses o documento fehaciente donde acredite y demuestre que entregó el recurso económico tanto Federal como el Estatal al Colegio de Bachilleres del Estado de México.</w:t>
      </w:r>
      <w:r w:rsidRPr="008B21BA">
        <w:rPr>
          <w:rFonts w:ascii="Palatino Linotype" w:eastAsia="Calibri" w:hAnsi="Palatino Linotype" w:cs="Arial"/>
          <w:i/>
          <w:iCs/>
          <w:sz w:val="22"/>
          <w:szCs w:val="22"/>
          <w:lang w:val="es-ES_tradnl"/>
        </w:rPr>
        <w:t>” (Sic)</w:t>
      </w:r>
    </w:p>
    <w:p w14:paraId="693AEE51" w14:textId="77777777" w:rsidR="002956A7" w:rsidRPr="008B21BA" w:rsidRDefault="002956A7" w:rsidP="0029071C">
      <w:pPr>
        <w:tabs>
          <w:tab w:val="left" w:pos="3206"/>
        </w:tabs>
        <w:spacing w:line="360" w:lineRule="auto"/>
        <w:jc w:val="both"/>
        <w:rPr>
          <w:rFonts w:ascii="Palatino Linotype" w:eastAsiaTheme="minorHAnsi" w:hAnsi="Palatino Linotype" w:cs="Arial"/>
          <w:b/>
          <w:sz w:val="28"/>
          <w:lang w:val="es-MX" w:eastAsia="en-US"/>
        </w:rPr>
      </w:pPr>
    </w:p>
    <w:p w14:paraId="340B12C3" w14:textId="7576CA47" w:rsidR="0029071C" w:rsidRPr="008B21BA" w:rsidRDefault="00987728" w:rsidP="0029071C">
      <w:pPr>
        <w:tabs>
          <w:tab w:val="left" w:pos="3206"/>
        </w:tabs>
        <w:spacing w:line="360" w:lineRule="auto"/>
        <w:jc w:val="both"/>
        <w:rPr>
          <w:rFonts w:ascii="Palatino Linotype" w:eastAsiaTheme="minorHAnsi" w:hAnsi="Palatino Linotype" w:cs="Arial"/>
          <w:b/>
          <w:sz w:val="28"/>
          <w:lang w:val="es-MX" w:eastAsia="en-US"/>
        </w:rPr>
      </w:pPr>
      <w:r w:rsidRPr="008B21BA">
        <w:rPr>
          <w:rFonts w:ascii="Palatino Linotype" w:eastAsiaTheme="minorHAnsi" w:hAnsi="Palatino Linotype" w:cs="Arial"/>
          <w:b/>
          <w:sz w:val="28"/>
          <w:lang w:val="es-MX" w:eastAsia="en-US"/>
        </w:rPr>
        <w:t>SÉPTIM</w:t>
      </w:r>
      <w:r w:rsidR="0029071C" w:rsidRPr="008B21BA">
        <w:rPr>
          <w:rFonts w:ascii="Palatino Linotype" w:eastAsiaTheme="minorHAnsi" w:hAnsi="Palatino Linotype" w:cs="Arial"/>
          <w:b/>
          <w:sz w:val="28"/>
          <w:lang w:val="es-MX" w:eastAsia="en-US"/>
        </w:rPr>
        <w:t>O. Del cierre de instrucción.</w:t>
      </w:r>
      <w:r w:rsidR="0029071C" w:rsidRPr="008B21BA">
        <w:rPr>
          <w:rFonts w:ascii="Palatino Linotype" w:eastAsiaTheme="minorHAnsi" w:hAnsi="Palatino Linotype" w:cs="Arial"/>
          <w:b/>
          <w:sz w:val="28"/>
          <w:lang w:val="es-MX" w:eastAsia="en-US"/>
        </w:rPr>
        <w:tab/>
      </w:r>
    </w:p>
    <w:p w14:paraId="2C64AFEC" w14:textId="5BE420F0" w:rsidR="00DD2DA4" w:rsidRPr="008B21BA" w:rsidRDefault="0029071C" w:rsidP="0029071C">
      <w:pPr>
        <w:spacing w:line="360" w:lineRule="auto"/>
        <w:jc w:val="both"/>
        <w:rPr>
          <w:rFonts w:ascii="Palatino Linotype" w:eastAsiaTheme="minorHAnsi" w:hAnsi="Palatino Linotype" w:cs="Arial"/>
          <w:lang w:val="es-MX" w:eastAsia="en-US"/>
        </w:rPr>
      </w:pPr>
      <w:r w:rsidRPr="008B21BA">
        <w:rPr>
          <w:rFonts w:ascii="Palatino Linotype" w:eastAsiaTheme="minorHAnsi" w:hAnsi="Palatino Linotype" w:cs="Arial"/>
          <w:lang w:val="es-MX" w:eastAsia="en-US"/>
        </w:rPr>
        <w:t xml:space="preserve">Así, una vez transcurrido el término legal, </w:t>
      </w:r>
      <w:r w:rsidR="00DC1583" w:rsidRPr="008B21BA">
        <w:rPr>
          <w:rFonts w:ascii="Palatino Linotype" w:eastAsiaTheme="minorHAnsi" w:hAnsi="Palatino Linotype" w:cs="Arial"/>
          <w:lang w:val="es-MX" w:eastAsia="en-US"/>
        </w:rPr>
        <w:t>permitió decretarse</w:t>
      </w:r>
      <w:r w:rsidRPr="008B21BA">
        <w:rPr>
          <w:rFonts w:ascii="Palatino Linotype" w:eastAsiaTheme="minorHAnsi" w:hAnsi="Palatino Linotype" w:cs="Arial"/>
          <w:lang w:val="es-MX" w:eastAsia="en-US"/>
        </w:rPr>
        <w:t xml:space="preserve"> el cierre de instrucción en fecha </w:t>
      </w:r>
      <w:r w:rsidR="002956A7" w:rsidRPr="008B21BA">
        <w:rPr>
          <w:rFonts w:ascii="Palatino Linotype" w:eastAsiaTheme="minorHAnsi" w:hAnsi="Palatino Linotype" w:cs="Arial"/>
          <w:lang w:val="es-MX" w:eastAsia="en-US"/>
        </w:rPr>
        <w:t>veintiuno de abril</w:t>
      </w:r>
      <w:r w:rsidRPr="008B21BA">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7D8136F7" w14:textId="77777777" w:rsidR="006A6362" w:rsidRPr="008B21BA" w:rsidRDefault="006A6362" w:rsidP="00B96A17">
      <w:pPr>
        <w:spacing w:line="360" w:lineRule="auto"/>
        <w:jc w:val="both"/>
        <w:rPr>
          <w:rFonts w:ascii="Palatino Linotype" w:eastAsiaTheme="minorHAnsi" w:hAnsi="Palatino Linotype" w:cs="Arial"/>
          <w:lang w:val="es-MX" w:eastAsia="en-US"/>
        </w:rPr>
      </w:pPr>
    </w:p>
    <w:p w14:paraId="38AE8253" w14:textId="77777777" w:rsidR="008150CA" w:rsidRPr="008B21BA" w:rsidRDefault="00E74701" w:rsidP="00EE7775">
      <w:pPr>
        <w:spacing w:line="360" w:lineRule="auto"/>
        <w:jc w:val="center"/>
        <w:rPr>
          <w:rFonts w:ascii="Palatino Linotype" w:eastAsiaTheme="minorHAnsi" w:hAnsi="Palatino Linotype" w:cs="Arial"/>
          <w:b/>
          <w:sz w:val="28"/>
          <w:lang w:val="es-MX" w:eastAsia="en-US"/>
        </w:rPr>
      </w:pPr>
      <w:r w:rsidRPr="008B21BA">
        <w:rPr>
          <w:rFonts w:ascii="Palatino Linotype" w:eastAsiaTheme="minorHAnsi" w:hAnsi="Palatino Linotype" w:cs="Arial"/>
          <w:b/>
          <w:sz w:val="28"/>
          <w:lang w:val="es-MX" w:eastAsia="en-US"/>
        </w:rPr>
        <w:t>C O N S I D E R A N</w:t>
      </w:r>
      <w:r w:rsidR="00D57F74" w:rsidRPr="008B21BA">
        <w:rPr>
          <w:rFonts w:ascii="Palatino Linotype" w:eastAsiaTheme="minorHAnsi" w:hAnsi="Palatino Linotype" w:cs="Arial"/>
          <w:b/>
          <w:sz w:val="28"/>
          <w:lang w:val="es-MX" w:eastAsia="en-US"/>
        </w:rPr>
        <w:t xml:space="preserve"> D O </w:t>
      </w:r>
    </w:p>
    <w:p w14:paraId="19CA75D5" w14:textId="77777777" w:rsidR="00EE7775" w:rsidRPr="008B21BA"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8B21BA" w:rsidRDefault="0029071C" w:rsidP="0029071C">
      <w:pPr>
        <w:spacing w:line="360" w:lineRule="auto"/>
        <w:jc w:val="both"/>
        <w:rPr>
          <w:rFonts w:ascii="Palatino Linotype" w:eastAsiaTheme="minorHAnsi" w:hAnsi="Palatino Linotype" w:cs="Arial"/>
          <w:sz w:val="28"/>
          <w:lang w:val="es-MX" w:eastAsia="en-US"/>
        </w:rPr>
      </w:pPr>
      <w:r w:rsidRPr="008B21BA">
        <w:rPr>
          <w:rFonts w:ascii="Palatino Linotype" w:eastAsiaTheme="minorHAnsi" w:hAnsi="Palatino Linotype" w:cs="Arial"/>
          <w:b/>
          <w:sz w:val="28"/>
          <w:lang w:val="es-MX" w:eastAsia="en-US"/>
        </w:rPr>
        <w:t>PRIMERO. De la competencia</w:t>
      </w:r>
      <w:r w:rsidRPr="008B21BA">
        <w:rPr>
          <w:rFonts w:ascii="Palatino Linotype" w:eastAsiaTheme="minorHAnsi" w:hAnsi="Palatino Linotype" w:cs="Arial"/>
          <w:sz w:val="28"/>
          <w:lang w:val="es-MX" w:eastAsia="en-US"/>
        </w:rPr>
        <w:t>.</w:t>
      </w:r>
    </w:p>
    <w:p w14:paraId="5143093D" w14:textId="40916F13" w:rsidR="00723B5A" w:rsidRPr="008B21BA" w:rsidRDefault="002956A7" w:rsidP="00723B5A">
      <w:pPr>
        <w:spacing w:line="360" w:lineRule="auto"/>
        <w:jc w:val="both"/>
        <w:rPr>
          <w:rFonts w:ascii="Palatino Linotype" w:eastAsiaTheme="minorHAnsi" w:hAnsi="Palatino Linotype" w:cs="Arial"/>
          <w:lang w:val="es-MX" w:eastAsia="en-US"/>
        </w:rPr>
      </w:pPr>
      <w:r w:rsidRPr="008B21BA">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1, 81, 82 fracciones I y III, 119, 127, 128 y 129, de la Ley de Protección de Datos Personales en Posesión de Sujetos Obligados del Estado de México y Municipios;  1, 2, fracción II, 13, 29, 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w:t>
      </w:r>
      <w:r w:rsidRPr="008B21BA">
        <w:rPr>
          <w:rFonts w:ascii="Palatino Linotype" w:eastAsiaTheme="minorHAnsi" w:hAnsi="Palatino Linotype" w:cs="Arial"/>
          <w:lang w:val="es-MX" w:eastAsia="en-US"/>
        </w:rPr>
        <w:lastRenderedPageBreak/>
        <w:t>a la Información Pública y Protección de Datos Personales del Estado de México y Municipios.</w:t>
      </w:r>
    </w:p>
    <w:p w14:paraId="460EBA73" w14:textId="77777777" w:rsidR="008218E5" w:rsidRPr="008B21BA" w:rsidRDefault="008218E5" w:rsidP="00723B5A">
      <w:pPr>
        <w:spacing w:line="360" w:lineRule="auto"/>
        <w:jc w:val="both"/>
        <w:rPr>
          <w:rFonts w:ascii="Palatino Linotype" w:eastAsiaTheme="minorHAnsi" w:hAnsi="Palatino Linotype" w:cs="Arial"/>
          <w:lang w:val="es-MX" w:eastAsia="en-US"/>
        </w:rPr>
      </w:pPr>
    </w:p>
    <w:p w14:paraId="25505D41" w14:textId="77777777" w:rsidR="002956A7" w:rsidRPr="008B21BA" w:rsidRDefault="002956A7" w:rsidP="002956A7">
      <w:pPr>
        <w:autoSpaceDE w:val="0"/>
        <w:autoSpaceDN w:val="0"/>
        <w:adjustRightInd w:val="0"/>
        <w:spacing w:line="360" w:lineRule="auto"/>
        <w:jc w:val="both"/>
        <w:rPr>
          <w:rFonts w:ascii="Palatino Linotype" w:eastAsiaTheme="minorHAnsi" w:hAnsi="Palatino Linotype" w:cs="Arial"/>
          <w:b/>
          <w:sz w:val="28"/>
          <w:lang w:val="es-MX" w:eastAsia="en-US"/>
        </w:rPr>
      </w:pPr>
      <w:r w:rsidRPr="008B21BA">
        <w:rPr>
          <w:rFonts w:ascii="Palatino Linotype" w:eastAsiaTheme="minorHAnsi" w:hAnsi="Palatino Linotype" w:cs="Arial"/>
          <w:b/>
          <w:sz w:val="28"/>
          <w:lang w:val="es-MX" w:eastAsia="en-US"/>
        </w:rPr>
        <w:t xml:space="preserve">SEGUNDO. Del alcance del Recurso de Revisión. </w:t>
      </w:r>
    </w:p>
    <w:p w14:paraId="1716469B" w14:textId="77777777" w:rsidR="002956A7" w:rsidRPr="008B21BA" w:rsidRDefault="002956A7" w:rsidP="002956A7">
      <w:pPr>
        <w:widowControl w:val="0"/>
        <w:autoSpaceDE w:val="0"/>
        <w:autoSpaceDN w:val="0"/>
        <w:adjustRightInd w:val="0"/>
        <w:spacing w:line="360" w:lineRule="auto"/>
        <w:jc w:val="both"/>
        <w:rPr>
          <w:rFonts w:ascii="Palatino Linotype" w:eastAsia="Calibri" w:hAnsi="Palatino Linotype" w:cs="Arial"/>
        </w:rPr>
      </w:pPr>
      <w:r w:rsidRPr="008B21BA">
        <w:rPr>
          <w:rFonts w:ascii="Palatino Linotype" w:eastAsia="Calibri" w:hAnsi="Palatino Linotype" w:cs="Arial"/>
        </w:rPr>
        <w:t xml:space="preserve">El </w:t>
      </w:r>
      <w:r w:rsidRPr="008B21BA">
        <w:rPr>
          <w:rFonts w:ascii="Palatino Linotype" w:eastAsia="Calibri" w:hAnsi="Palatino Linotype"/>
        </w:rPr>
        <w:t>recurso</w:t>
      </w:r>
      <w:r w:rsidRPr="008B21BA">
        <w:rPr>
          <w:rFonts w:ascii="Palatino Linotype" w:eastAsia="Calibri" w:hAnsi="Palatino Linotype" w:cs="Arial"/>
        </w:rPr>
        <w:t xml:space="preserve"> de revisión fue interpuesto dentro del plazo de quince días hábiles, contados a partir del día hábil siguiente a la fecha de notificación de la respuesta, tal y como lo prevé el artículo 128, de la Ley de Protección de Datos Personales en Posesión de Sujetos Obligados del Estado de México y Municipios, que establece:</w:t>
      </w:r>
    </w:p>
    <w:p w14:paraId="4C9F606E" w14:textId="77777777" w:rsidR="002956A7" w:rsidRPr="008B21BA" w:rsidRDefault="002956A7" w:rsidP="002956A7">
      <w:pPr>
        <w:widowControl w:val="0"/>
        <w:autoSpaceDE w:val="0"/>
        <w:autoSpaceDN w:val="0"/>
        <w:adjustRightInd w:val="0"/>
        <w:spacing w:line="360" w:lineRule="auto"/>
        <w:jc w:val="both"/>
        <w:rPr>
          <w:rFonts w:ascii="Palatino Linotype" w:eastAsia="Calibri" w:hAnsi="Palatino Linotype" w:cs="Arial"/>
          <w:lang w:val="es-ES_tradnl"/>
        </w:rPr>
      </w:pPr>
    </w:p>
    <w:p w14:paraId="194337AD" w14:textId="77777777" w:rsidR="002956A7" w:rsidRPr="008B21BA" w:rsidRDefault="002956A7" w:rsidP="002956A7">
      <w:pPr>
        <w:ind w:left="567" w:right="616"/>
        <w:jc w:val="both"/>
        <w:rPr>
          <w:rFonts w:ascii="Palatino Linotype" w:eastAsia="Calibri" w:hAnsi="Palatino Linotype" w:cs="Arial"/>
          <w:i/>
          <w:sz w:val="22"/>
          <w:szCs w:val="22"/>
        </w:rPr>
      </w:pPr>
      <w:r w:rsidRPr="008B21BA">
        <w:rPr>
          <w:rFonts w:ascii="Palatino Linotype" w:eastAsia="Calibri" w:hAnsi="Palatino Linotype" w:cs="Arial"/>
          <w:i/>
          <w:sz w:val="22"/>
          <w:szCs w:val="22"/>
        </w:rPr>
        <w:t>“</w:t>
      </w:r>
      <w:r w:rsidRPr="008B21BA">
        <w:rPr>
          <w:rFonts w:ascii="Palatino Linotype" w:eastAsia="Calibri" w:hAnsi="Palatino Linotype" w:cs="Arial"/>
          <w:b/>
          <w:i/>
          <w:sz w:val="22"/>
          <w:szCs w:val="22"/>
        </w:rPr>
        <w:t xml:space="preserve">Artículo 128. </w:t>
      </w:r>
      <w:r w:rsidRPr="008B21BA">
        <w:rPr>
          <w:rFonts w:ascii="Palatino Linotype" w:eastAsia="Calibri" w:hAnsi="Palatino Linotype" w:cs="Arial"/>
          <w:i/>
          <w:sz w:val="22"/>
          <w:szCs w:val="22"/>
          <w:u w:val="single"/>
        </w:rPr>
        <w:t>El titular, por sí mismo o a través de su representante, podrán interponer un recurso de revisión ante el Instituto</w:t>
      </w:r>
      <w:r w:rsidRPr="008B21BA">
        <w:rPr>
          <w:rFonts w:ascii="Palatino Linotype" w:eastAsia="Calibri" w:hAnsi="Palatino Linotype" w:cs="Arial"/>
          <w:i/>
          <w:sz w:val="22"/>
          <w:szCs w:val="22"/>
        </w:rPr>
        <w:t xml:space="preserve"> o la Unidad de Transparencia del responsable que haya conocido de la solicitud para el ejercicio de los derechos ARCO, </w:t>
      </w:r>
      <w:r w:rsidRPr="008B21BA">
        <w:rPr>
          <w:rFonts w:ascii="Palatino Linotype" w:eastAsia="Calibri" w:hAnsi="Palatino Linotype" w:cs="Arial"/>
          <w:b/>
          <w:i/>
          <w:sz w:val="22"/>
          <w:szCs w:val="22"/>
          <w:u w:val="single"/>
        </w:rPr>
        <w:t>dentro de un plazo que no podrá exceder de quince días contados a partir del siguiente a la fecha de la notificación de la respuesta</w:t>
      </w:r>
      <w:r w:rsidRPr="008B21BA">
        <w:rPr>
          <w:rFonts w:ascii="Palatino Linotype" w:eastAsia="Calibri" w:hAnsi="Palatino Linotype" w:cs="Arial"/>
          <w:i/>
          <w:sz w:val="22"/>
          <w:szCs w:val="22"/>
        </w:rPr>
        <w:t xml:space="preserve">. </w:t>
      </w:r>
    </w:p>
    <w:p w14:paraId="42BBA7E9" w14:textId="77777777" w:rsidR="002956A7" w:rsidRPr="008B21BA" w:rsidRDefault="002956A7" w:rsidP="002956A7">
      <w:pPr>
        <w:ind w:left="567" w:right="616"/>
        <w:jc w:val="both"/>
        <w:rPr>
          <w:rFonts w:ascii="Palatino Linotype" w:eastAsia="Calibri" w:hAnsi="Palatino Linotype" w:cs="Arial"/>
          <w:i/>
          <w:sz w:val="22"/>
          <w:szCs w:val="22"/>
        </w:rPr>
      </w:pPr>
    </w:p>
    <w:p w14:paraId="34257B19" w14:textId="77777777" w:rsidR="002956A7" w:rsidRPr="008B21BA" w:rsidRDefault="002956A7" w:rsidP="002956A7">
      <w:pPr>
        <w:ind w:left="567" w:right="616"/>
        <w:jc w:val="both"/>
        <w:rPr>
          <w:rFonts w:ascii="Palatino Linotype" w:eastAsia="Calibri" w:hAnsi="Palatino Linotype" w:cs="Arial"/>
          <w:i/>
          <w:sz w:val="22"/>
          <w:szCs w:val="22"/>
        </w:rPr>
      </w:pPr>
      <w:r w:rsidRPr="008B21BA">
        <w:rPr>
          <w:rFonts w:ascii="Palatino Linotype" w:eastAsia="Calibri" w:hAnsi="Palatino Linotype" w:cs="Arial"/>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1CF045AD" w14:textId="77777777" w:rsidR="002956A7" w:rsidRPr="008B21BA" w:rsidRDefault="002956A7" w:rsidP="002956A7">
      <w:pPr>
        <w:ind w:left="567" w:right="616"/>
        <w:jc w:val="right"/>
        <w:rPr>
          <w:rFonts w:ascii="Palatino Linotype" w:eastAsia="Calibri" w:hAnsi="Palatino Linotype" w:cs="Arial"/>
          <w:i/>
          <w:sz w:val="22"/>
          <w:szCs w:val="22"/>
        </w:rPr>
      </w:pPr>
      <w:r w:rsidRPr="008B21BA">
        <w:rPr>
          <w:rFonts w:ascii="Palatino Linotype" w:eastAsia="Calibri" w:hAnsi="Palatino Linotype" w:cs="Arial"/>
          <w:i/>
          <w:sz w:val="22"/>
          <w:szCs w:val="22"/>
        </w:rPr>
        <w:t>(Énfasis añadido)</w:t>
      </w:r>
    </w:p>
    <w:p w14:paraId="48ADBE49" w14:textId="77777777" w:rsidR="002956A7" w:rsidRPr="008B21BA" w:rsidRDefault="002956A7" w:rsidP="002956A7">
      <w:pPr>
        <w:widowControl w:val="0"/>
        <w:autoSpaceDE w:val="0"/>
        <w:autoSpaceDN w:val="0"/>
        <w:adjustRightInd w:val="0"/>
        <w:spacing w:line="360" w:lineRule="auto"/>
        <w:jc w:val="both"/>
        <w:rPr>
          <w:rFonts w:ascii="Palatino Linotype" w:eastAsia="Calibri" w:hAnsi="Palatino Linotype" w:cs="Arial"/>
        </w:rPr>
      </w:pPr>
    </w:p>
    <w:p w14:paraId="4C69D873" w14:textId="77777777" w:rsidR="002956A7" w:rsidRPr="008B21BA" w:rsidRDefault="002956A7" w:rsidP="002956A7">
      <w:pPr>
        <w:widowControl w:val="0"/>
        <w:autoSpaceDE w:val="0"/>
        <w:autoSpaceDN w:val="0"/>
        <w:adjustRightInd w:val="0"/>
        <w:spacing w:line="360" w:lineRule="auto"/>
        <w:jc w:val="both"/>
        <w:rPr>
          <w:rFonts w:ascii="Palatino Linotype" w:eastAsia="Calibri" w:hAnsi="Palatino Linotype" w:cs="Arial"/>
        </w:rPr>
      </w:pPr>
      <w:r w:rsidRPr="008B21BA">
        <w:rPr>
          <w:rFonts w:ascii="Palatino Linotype" w:eastAsia="Calibri" w:hAnsi="Palatino Linotype" w:cs="Arial"/>
        </w:rPr>
        <w:t xml:space="preserve">En esa tesitura, atendiendo a que, el </w:t>
      </w:r>
      <w:r w:rsidRPr="008B21BA">
        <w:rPr>
          <w:rFonts w:ascii="Palatino Linotype" w:eastAsia="Calibri" w:hAnsi="Palatino Linotype" w:cs="Arial"/>
          <w:b/>
        </w:rPr>
        <w:t>Sujeto Obligado</w:t>
      </w:r>
      <w:r w:rsidRPr="008B21BA">
        <w:rPr>
          <w:rFonts w:ascii="Palatino Linotype" w:eastAsia="Calibri" w:hAnsi="Palatino Linotype" w:cs="Arial"/>
        </w:rPr>
        <w:t xml:space="preserve"> notificó la respuesta a la </w:t>
      </w:r>
      <w:r w:rsidRPr="008B21BA">
        <w:rPr>
          <w:rFonts w:ascii="Palatino Linotype" w:eastAsia="Calibri" w:hAnsi="Palatino Linotype"/>
        </w:rPr>
        <w:t>solicitud de acceso a datos personales</w:t>
      </w:r>
      <w:r w:rsidRPr="008B21BA">
        <w:rPr>
          <w:rFonts w:ascii="Palatino Linotype" w:eastAsia="Calibri" w:hAnsi="Palatino Linotype" w:cs="Arial"/>
        </w:rPr>
        <w:t xml:space="preserve"> el día</w:t>
      </w:r>
      <w:r w:rsidRPr="008B21BA">
        <w:rPr>
          <w:rFonts w:ascii="Palatino Linotype" w:eastAsia="Calibri" w:hAnsi="Palatino Linotype" w:cs="Arial"/>
          <w:b/>
        </w:rPr>
        <w:t xml:space="preserve"> cuatro de febrero mil veinticinco</w:t>
      </w:r>
      <w:r w:rsidRPr="008B21BA">
        <w:rPr>
          <w:rFonts w:ascii="Palatino Linotype" w:eastAsia="Calibri" w:hAnsi="Palatino Linotype" w:cs="Arial"/>
        </w:rPr>
        <w:t>, el plazo de quince días hábiles previsto en el artículo 128, de la Ley de Protección de Datos Personales en Posesión de Sujetos Obligados del Estado de México y Municipios; en ese tenor, si el recurso de revisión que nos ocupa, se interpuso el mismo día</w:t>
      </w:r>
      <w:r w:rsidRPr="008B21BA">
        <w:rPr>
          <w:rFonts w:ascii="Palatino Linotype" w:eastAsia="Calibri" w:hAnsi="Palatino Linotype" w:cs="Arial"/>
          <w:b/>
        </w:rPr>
        <w:t xml:space="preserve"> </w:t>
      </w:r>
      <w:r w:rsidRPr="008B21BA">
        <w:rPr>
          <w:rFonts w:ascii="Palatino Linotype" w:eastAsia="Calibri" w:hAnsi="Palatino Linotype" w:cs="Arial"/>
        </w:rPr>
        <w:t>de la respuesta emitida por parte del</w:t>
      </w:r>
      <w:r w:rsidRPr="008B21BA">
        <w:rPr>
          <w:rFonts w:ascii="Palatino Linotype" w:eastAsia="Calibri" w:hAnsi="Palatino Linotype" w:cs="Arial"/>
          <w:b/>
        </w:rPr>
        <w:t xml:space="preserve"> Sujeto Obligado</w:t>
      </w:r>
      <w:r w:rsidRPr="008B21BA">
        <w:rPr>
          <w:rFonts w:ascii="Palatino Linotype" w:eastAsia="Calibri" w:hAnsi="Palatino Linotype" w:cs="Arial"/>
        </w:rPr>
        <w:t>, éste se encuentra dentro de los márgenes temporales previstos en el artículo antes mencionado.</w:t>
      </w:r>
    </w:p>
    <w:p w14:paraId="13A19D21" w14:textId="77777777" w:rsidR="002956A7" w:rsidRPr="008B21BA" w:rsidRDefault="002956A7" w:rsidP="002956A7">
      <w:pPr>
        <w:widowControl w:val="0"/>
        <w:autoSpaceDE w:val="0"/>
        <w:autoSpaceDN w:val="0"/>
        <w:adjustRightInd w:val="0"/>
        <w:spacing w:line="360" w:lineRule="auto"/>
        <w:jc w:val="both"/>
        <w:rPr>
          <w:rFonts w:ascii="Palatino Linotype" w:eastAsia="Calibri" w:hAnsi="Palatino Linotype" w:cs="Arial"/>
        </w:rPr>
      </w:pPr>
    </w:p>
    <w:p w14:paraId="3A15BD4D" w14:textId="77777777" w:rsidR="002956A7" w:rsidRPr="008B21BA" w:rsidRDefault="002956A7" w:rsidP="002956A7">
      <w:pPr>
        <w:spacing w:line="360" w:lineRule="auto"/>
        <w:jc w:val="both"/>
        <w:rPr>
          <w:rFonts w:ascii="Palatino Linotype" w:eastAsiaTheme="minorHAnsi" w:hAnsi="Palatino Linotype" w:cs="Arial"/>
          <w:b/>
          <w:sz w:val="28"/>
          <w:szCs w:val="28"/>
          <w:lang w:val="es-MX" w:eastAsia="en-US"/>
        </w:rPr>
      </w:pPr>
      <w:r w:rsidRPr="008B21BA">
        <w:rPr>
          <w:rFonts w:ascii="Palatino Linotype" w:eastAsiaTheme="minorHAnsi" w:hAnsi="Palatino Linotype" w:cs="Arial"/>
          <w:b/>
          <w:sz w:val="28"/>
          <w:szCs w:val="28"/>
          <w:lang w:val="es-MX" w:eastAsia="en-US"/>
        </w:rPr>
        <w:lastRenderedPageBreak/>
        <w:t>TERCERO. De las causas de improcedencia.</w:t>
      </w:r>
    </w:p>
    <w:p w14:paraId="6F0C034B" w14:textId="77777777" w:rsidR="002956A7" w:rsidRPr="008B21BA" w:rsidRDefault="002956A7" w:rsidP="002956A7">
      <w:pPr>
        <w:autoSpaceDE w:val="0"/>
        <w:autoSpaceDN w:val="0"/>
        <w:adjustRightInd w:val="0"/>
        <w:spacing w:line="360" w:lineRule="auto"/>
        <w:jc w:val="both"/>
        <w:rPr>
          <w:rFonts w:ascii="Palatino Linotype" w:hAnsi="Palatino Linotype" w:cs="Arial"/>
        </w:rPr>
      </w:pPr>
      <w:r w:rsidRPr="008B21BA">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AE749A9" w14:textId="77777777" w:rsidR="002956A7" w:rsidRPr="008B21BA" w:rsidRDefault="002956A7" w:rsidP="002956A7">
      <w:pPr>
        <w:autoSpaceDE w:val="0"/>
        <w:autoSpaceDN w:val="0"/>
        <w:adjustRightInd w:val="0"/>
        <w:spacing w:line="360" w:lineRule="auto"/>
        <w:jc w:val="both"/>
        <w:rPr>
          <w:rFonts w:ascii="Palatino Linotype" w:hAnsi="Palatino Linotype" w:cs="Arial"/>
        </w:rPr>
      </w:pPr>
    </w:p>
    <w:p w14:paraId="180311C9" w14:textId="67D92971" w:rsidR="002956A7" w:rsidRPr="008B21BA" w:rsidRDefault="002956A7" w:rsidP="002956A7">
      <w:pPr>
        <w:widowControl w:val="0"/>
        <w:autoSpaceDE w:val="0"/>
        <w:autoSpaceDN w:val="0"/>
        <w:adjustRightInd w:val="0"/>
        <w:spacing w:line="360" w:lineRule="auto"/>
        <w:jc w:val="both"/>
        <w:rPr>
          <w:rFonts w:ascii="Palatino Linotype" w:eastAsiaTheme="minorHAnsi" w:hAnsi="Palatino Linotype" w:cs="Arial"/>
          <w:lang w:val="es-MX" w:eastAsia="en-US"/>
        </w:rPr>
      </w:pPr>
      <w:r w:rsidRPr="008B21BA">
        <w:rPr>
          <w:rFonts w:ascii="Palatino Linotype" w:eastAsiaTheme="minorHAnsi" w:hAnsi="Palatino Linotype" w:cs="Arial"/>
          <w:lang w:val="es-MX" w:eastAsia="en-US"/>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8B21BA">
        <w:rPr>
          <w:rFonts w:ascii="Palatino Linotype" w:eastAsiaTheme="minorHAnsi" w:hAnsi="Palatino Linotype" w:cs="Arial"/>
          <w:vertAlign w:val="superscript"/>
          <w:lang w:val="es-MX" w:eastAsia="en-US"/>
        </w:rPr>
        <w:footnoteReference w:id="1"/>
      </w:r>
      <w:r w:rsidRPr="008B21BA">
        <w:rPr>
          <w:rFonts w:ascii="Palatino Linotype" w:eastAsiaTheme="minorHAnsi" w:hAnsi="Palatino Linotype" w:cs="Arial"/>
          <w:lang w:val="es-MX" w:eastAsia="en-US"/>
        </w:rPr>
        <w:t xml:space="preserve">. </w:t>
      </w:r>
    </w:p>
    <w:p w14:paraId="48CE068A" w14:textId="77777777" w:rsidR="002956A7" w:rsidRPr="008B21BA" w:rsidRDefault="002956A7" w:rsidP="002956A7">
      <w:pPr>
        <w:widowControl w:val="0"/>
        <w:autoSpaceDE w:val="0"/>
        <w:autoSpaceDN w:val="0"/>
        <w:adjustRightInd w:val="0"/>
        <w:spacing w:line="360" w:lineRule="auto"/>
        <w:jc w:val="both"/>
        <w:rPr>
          <w:rFonts w:ascii="Palatino Linotype" w:eastAsiaTheme="minorHAnsi" w:hAnsi="Palatino Linotype" w:cs="Arial"/>
          <w:lang w:val="es-MX" w:eastAsia="en-US"/>
        </w:rPr>
      </w:pPr>
      <w:r w:rsidRPr="008B21BA">
        <w:rPr>
          <w:rFonts w:ascii="Palatino Linotype" w:eastAsiaTheme="minorHAnsi" w:hAnsi="Palatino Linotype" w:cs="Arial"/>
          <w:lang w:val="es-MX" w:eastAsia="en-US"/>
        </w:rPr>
        <w:lastRenderedPageBreak/>
        <w:t>Así las cosas, del análisis de los expedientes electrónicos no se advierte ninguna causa de improcedencia que se actualice ni mucho menos alguna hecha valer por alguna de las partes, procediendo al estudio del fondo del asunto, en los siguientes términos.</w:t>
      </w:r>
    </w:p>
    <w:p w14:paraId="22DDB0A7" w14:textId="77777777" w:rsidR="002956A7" w:rsidRPr="008B21BA" w:rsidRDefault="002956A7" w:rsidP="002956A7">
      <w:pPr>
        <w:autoSpaceDE w:val="0"/>
        <w:autoSpaceDN w:val="0"/>
        <w:adjustRightInd w:val="0"/>
        <w:spacing w:line="360" w:lineRule="auto"/>
        <w:jc w:val="both"/>
        <w:rPr>
          <w:rFonts w:ascii="Palatino Linotype" w:hAnsi="Palatino Linotype" w:cs="Arial"/>
        </w:rPr>
      </w:pPr>
    </w:p>
    <w:p w14:paraId="2DCECC50" w14:textId="77777777" w:rsidR="002956A7" w:rsidRPr="008B21BA" w:rsidRDefault="002956A7" w:rsidP="002956A7">
      <w:pPr>
        <w:autoSpaceDE w:val="0"/>
        <w:autoSpaceDN w:val="0"/>
        <w:adjustRightInd w:val="0"/>
        <w:spacing w:line="360" w:lineRule="auto"/>
        <w:jc w:val="both"/>
        <w:rPr>
          <w:rFonts w:ascii="Palatino Linotype" w:hAnsi="Palatino Linotype" w:cs="Arial"/>
          <w:sz w:val="28"/>
          <w:szCs w:val="28"/>
        </w:rPr>
      </w:pPr>
      <w:r w:rsidRPr="008B21BA">
        <w:rPr>
          <w:rFonts w:ascii="Palatino Linotype" w:hAnsi="Palatino Linotype" w:cs="Arial"/>
          <w:b/>
          <w:sz w:val="28"/>
        </w:rPr>
        <w:t>CUARTO</w:t>
      </w:r>
      <w:r w:rsidRPr="008B21BA">
        <w:rPr>
          <w:rFonts w:ascii="Palatino Linotype" w:hAnsi="Palatino Linotype" w:cs="Arial"/>
          <w:b/>
          <w:sz w:val="28"/>
          <w:szCs w:val="28"/>
        </w:rPr>
        <w:t>.</w:t>
      </w:r>
      <w:r w:rsidRPr="008B21BA">
        <w:rPr>
          <w:rFonts w:ascii="Palatino Linotype" w:hAnsi="Palatino Linotype" w:cs="Arial"/>
          <w:sz w:val="28"/>
          <w:szCs w:val="28"/>
        </w:rPr>
        <w:t xml:space="preserve"> </w:t>
      </w:r>
      <w:r w:rsidRPr="008B21BA">
        <w:rPr>
          <w:rFonts w:ascii="Palatino Linotype" w:hAnsi="Palatino Linotype" w:cs="Arial"/>
          <w:b/>
          <w:sz w:val="28"/>
          <w:szCs w:val="28"/>
        </w:rPr>
        <w:t>Estudio y resolución del asunto.</w:t>
      </w:r>
    </w:p>
    <w:p w14:paraId="7180E423" w14:textId="77777777" w:rsidR="002956A7" w:rsidRPr="008B21BA" w:rsidRDefault="002956A7" w:rsidP="002956A7">
      <w:pPr>
        <w:widowControl w:val="0"/>
        <w:autoSpaceDE w:val="0"/>
        <w:autoSpaceDN w:val="0"/>
        <w:adjustRightInd w:val="0"/>
        <w:spacing w:line="360" w:lineRule="auto"/>
        <w:jc w:val="both"/>
        <w:rPr>
          <w:rFonts w:ascii="Palatino Linotype" w:eastAsia="Calibri" w:hAnsi="Palatino Linotype" w:cs="Arial"/>
        </w:rPr>
      </w:pPr>
      <w:r w:rsidRPr="008B21BA">
        <w:rPr>
          <w:rFonts w:ascii="Palatino Linotype" w:eastAsiaTheme="minorHAnsi" w:hAnsi="Palatino Linotype" w:cs="Arial"/>
          <w:lang w:val="es-MX" w:eastAsia="en-US"/>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con respecto a la respuesta emitida por el </w:t>
      </w:r>
      <w:r w:rsidRPr="008B21BA">
        <w:rPr>
          <w:rFonts w:ascii="Palatino Linotype" w:eastAsiaTheme="minorHAnsi" w:hAnsi="Palatino Linotype" w:cs="Arial"/>
          <w:b/>
          <w:lang w:val="es-MX" w:eastAsia="en-US"/>
        </w:rPr>
        <w:t>Sujeto Obligado</w:t>
      </w:r>
      <w:r w:rsidRPr="008B21BA">
        <w:rPr>
          <w:rFonts w:ascii="Palatino Linotype" w:eastAsiaTheme="minorHAnsi" w:hAnsi="Palatino Linotype" w:cs="Arial"/>
          <w:lang w:val="es-MX" w:eastAsia="en-US"/>
        </w:rPr>
        <w:t>.</w:t>
      </w:r>
    </w:p>
    <w:p w14:paraId="78BD1310" w14:textId="77777777" w:rsidR="002956A7" w:rsidRPr="008B21BA" w:rsidRDefault="002956A7" w:rsidP="002956A7">
      <w:pPr>
        <w:widowControl w:val="0"/>
        <w:autoSpaceDE w:val="0"/>
        <w:autoSpaceDN w:val="0"/>
        <w:adjustRightInd w:val="0"/>
        <w:spacing w:line="360" w:lineRule="auto"/>
        <w:jc w:val="both"/>
        <w:rPr>
          <w:rFonts w:ascii="Palatino Linotype" w:eastAsia="Calibri" w:hAnsi="Palatino Linotype" w:cs="Arial"/>
        </w:rPr>
      </w:pPr>
    </w:p>
    <w:p w14:paraId="089152DD" w14:textId="77777777" w:rsidR="002956A7" w:rsidRPr="008B21BA" w:rsidRDefault="002956A7" w:rsidP="002956A7">
      <w:pPr>
        <w:widowControl w:val="0"/>
        <w:autoSpaceDE w:val="0"/>
        <w:autoSpaceDN w:val="0"/>
        <w:adjustRightInd w:val="0"/>
        <w:spacing w:line="360" w:lineRule="auto"/>
        <w:jc w:val="both"/>
        <w:rPr>
          <w:rFonts w:ascii="Palatino Linotype" w:eastAsia="Calibri" w:hAnsi="Palatino Linotype" w:cs="Arial"/>
        </w:rPr>
      </w:pPr>
      <w:r w:rsidRPr="008B21BA">
        <w:rPr>
          <w:rFonts w:ascii="Palatino Linotype" w:eastAsia="Calibri" w:hAnsi="Palatino Linotype" w:cs="Arial"/>
        </w:rPr>
        <w:t xml:space="preserve">En una aproximación inicial, vale la pena mencionar que el ejercicio de los derechos </w:t>
      </w:r>
      <w:r w:rsidRPr="008B21BA">
        <w:rPr>
          <w:rFonts w:ascii="Palatino Linotype" w:eastAsia="Calibri" w:hAnsi="Palatino Linotype" w:cs="Arial"/>
          <w:b/>
        </w:rPr>
        <w:t xml:space="preserve">ARCO </w:t>
      </w:r>
      <w:r w:rsidRPr="008B21BA">
        <w:rPr>
          <w:rFonts w:ascii="Palatino Linotype" w:eastAsia="Calibri" w:hAnsi="Palatino Linotype" w:cs="Arial"/>
        </w:rPr>
        <w:t xml:space="preserve">se encuentra regulado por el artículo 6 apartado A, y 16, segundo párrafo, de la Constitución de los Estados Unidos Mexicanos, el cual establece que: </w:t>
      </w:r>
    </w:p>
    <w:p w14:paraId="4A249A1D" w14:textId="77777777" w:rsidR="002956A7" w:rsidRPr="008B21BA" w:rsidRDefault="002956A7" w:rsidP="002956A7">
      <w:pPr>
        <w:rPr>
          <w:lang w:val="es-MX"/>
        </w:rPr>
      </w:pPr>
    </w:p>
    <w:p w14:paraId="79391C5B" w14:textId="77777777" w:rsidR="002956A7" w:rsidRPr="008B21BA" w:rsidRDefault="002956A7" w:rsidP="002956A7">
      <w:pPr>
        <w:widowControl w:val="0"/>
        <w:autoSpaceDE w:val="0"/>
        <w:autoSpaceDN w:val="0"/>
        <w:adjustRightInd w:val="0"/>
        <w:spacing w:line="276" w:lineRule="auto"/>
        <w:ind w:left="567" w:right="902"/>
        <w:jc w:val="both"/>
        <w:rPr>
          <w:rFonts w:ascii="Palatino Linotype" w:eastAsia="Calibri" w:hAnsi="Palatino Linotype" w:cs="Arial"/>
        </w:rPr>
      </w:pPr>
      <w:r w:rsidRPr="008B21BA">
        <w:rPr>
          <w:rFonts w:ascii="Palatino Linotype" w:eastAsia="Calibri" w:hAnsi="Palatino Linotype" w:cs="Arial"/>
          <w:i/>
          <w:sz w:val="22"/>
          <w:szCs w:val="22"/>
        </w:rPr>
        <w:t>“…Toda persona tiene derecho a la protección de sus datos personales</w:t>
      </w:r>
      <w:r w:rsidRPr="008B21BA">
        <w:rPr>
          <w:rFonts w:ascii="Palatino Linotype" w:eastAsia="Calibri" w:hAnsi="Palatino Linotype" w:cs="Arial"/>
          <w:b/>
          <w:i/>
          <w:sz w:val="22"/>
          <w:szCs w:val="22"/>
        </w:rPr>
        <w:t xml:space="preserve">, </w:t>
      </w:r>
      <w:r w:rsidRPr="008B21BA">
        <w:rPr>
          <w:rFonts w:ascii="Palatino Linotype" w:eastAsia="Calibri" w:hAnsi="Palatino Linotype" w:cs="Arial"/>
          <w:b/>
          <w:i/>
          <w:sz w:val="22"/>
          <w:szCs w:val="22"/>
          <w:u w:val="single"/>
        </w:rPr>
        <w:t>al acceso,</w:t>
      </w:r>
      <w:r w:rsidRPr="008B21BA">
        <w:rPr>
          <w:rFonts w:ascii="Palatino Linotype" w:eastAsia="Calibri" w:hAnsi="Palatino Linotype" w:cs="Arial"/>
          <w:i/>
          <w:sz w:val="22"/>
          <w:szCs w:val="22"/>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8B21BA">
        <w:rPr>
          <w:rFonts w:ascii="Palatino Linotype" w:eastAsia="Calibri" w:hAnsi="Palatino Linotype" w:cs="Arial"/>
          <w:b/>
          <w:i/>
          <w:sz w:val="22"/>
          <w:szCs w:val="22"/>
        </w:rPr>
        <w:t>[Sic]</w:t>
      </w:r>
    </w:p>
    <w:p w14:paraId="1F01B663" w14:textId="77777777" w:rsidR="002956A7" w:rsidRPr="008B21BA" w:rsidRDefault="002956A7" w:rsidP="002956A7">
      <w:pPr>
        <w:widowControl w:val="0"/>
        <w:autoSpaceDE w:val="0"/>
        <w:autoSpaceDN w:val="0"/>
        <w:adjustRightInd w:val="0"/>
        <w:spacing w:before="240" w:after="160" w:line="360" w:lineRule="auto"/>
        <w:ind w:right="51"/>
        <w:jc w:val="both"/>
        <w:rPr>
          <w:rFonts w:ascii="Palatino Linotype" w:eastAsia="Calibri" w:hAnsi="Palatino Linotype" w:cs="Arial"/>
          <w:sz w:val="2"/>
        </w:rPr>
      </w:pPr>
    </w:p>
    <w:p w14:paraId="1FBEBA06" w14:textId="77777777" w:rsidR="002956A7" w:rsidRPr="008B21BA" w:rsidRDefault="002956A7" w:rsidP="002956A7">
      <w:pPr>
        <w:widowControl w:val="0"/>
        <w:autoSpaceDE w:val="0"/>
        <w:autoSpaceDN w:val="0"/>
        <w:adjustRightInd w:val="0"/>
        <w:spacing w:line="360" w:lineRule="auto"/>
        <w:ind w:right="51"/>
        <w:jc w:val="both"/>
        <w:rPr>
          <w:rFonts w:ascii="Palatino Linotype" w:eastAsia="Calibri" w:hAnsi="Palatino Linotype" w:cs="Arial"/>
        </w:rPr>
      </w:pPr>
      <w:r w:rsidRPr="008B21BA">
        <w:rPr>
          <w:rFonts w:ascii="Palatino Linotype" w:eastAsia="Calibri" w:hAnsi="Palatino Linotype" w:cs="Arial"/>
        </w:rPr>
        <w:t xml:space="preserve">En este sentido, dichas prerrogativas se encuentran invariablemente ligadas a los principios de licitud, finalidad, lealtad, consentimiento, calidad, proporcionalidad, información y responsabilidad. </w:t>
      </w:r>
    </w:p>
    <w:p w14:paraId="72F34BA6" w14:textId="77777777" w:rsidR="002956A7" w:rsidRPr="008B21BA" w:rsidRDefault="002956A7" w:rsidP="002956A7">
      <w:pPr>
        <w:widowControl w:val="0"/>
        <w:autoSpaceDE w:val="0"/>
        <w:autoSpaceDN w:val="0"/>
        <w:adjustRightInd w:val="0"/>
        <w:spacing w:line="360" w:lineRule="auto"/>
        <w:ind w:right="51"/>
        <w:jc w:val="both"/>
        <w:rPr>
          <w:rFonts w:ascii="Palatino Linotype" w:eastAsia="Calibri" w:hAnsi="Palatino Linotype" w:cs="Arial"/>
        </w:rPr>
      </w:pPr>
    </w:p>
    <w:p w14:paraId="7AAA067A" w14:textId="77777777" w:rsidR="002956A7" w:rsidRPr="008B21BA" w:rsidRDefault="002956A7" w:rsidP="002956A7">
      <w:pPr>
        <w:widowControl w:val="0"/>
        <w:autoSpaceDE w:val="0"/>
        <w:autoSpaceDN w:val="0"/>
        <w:adjustRightInd w:val="0"/>
        <w:spacing w:line="360" w:lineRule="auto"/>
        <w:ind w:right="51"/>
        <w:jc w:val="both"/>
        <w:rPr>
          <w:rFonts w:ascii="Palatino Linotype" w:eastAsia="Calibri" w:hAnsi="Palatino Linotype" w:cs="Arial"/>
        </w:rPr>
      </w:pPr>
      <w:r w:rsidRPr="008B21BA">
        <w:rPr>
          <w:rFonts w:ascii="Palatino Linotype" w:eastAsia="Calibri" w:hAnsi="Palatino Linotype" w:cs="Arial"/>
        </w:rPr>
        <w:t xml:space="preserve">En relación a las causales de improcedencia, el artículo 138, de la Ley de Protección de </w:t>
      </w:r>
      <w:r w:rsidRPr="008B21BA">
        <w:rPr>
          <w:rFonts w:ascii="Palatino Linotype" w:eastAsia="Calibri" w:hAnsi="Palatino Linotype" w:cs="Arial"/>
        </w:rPr>
        <w:lastRenderedPageBreak/>
        <w:t xml:space="preserve">Datos Personales en Posesión de Sujetos Obligados del Estado de México y Municipios, contempla las siguientes causales: </w:t>
      </w:r>
    </w:p>
    <w:p w14:paraId="67C77B2B" w14:textId="77777777" w:rsidR="002956A7" w:rsidRPr="008B21BA" w:rsidRDefault="002956A7" w:rsidP="002956A7">
      <w:pPr>
        <w:rPr>
          <w:lang w:val="es-MX"/>
        </w:rPr>
      </w:pPr>
    </w:p>
    <w:p w14:paraId="6ACCFC68"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B21BA">
        <w:rPr>
          <w:rFonts w:ascii="Palatino Linotype" w:eastAsia="Calibri" w:hAnsi="Palatino Linotype" w:cs="Arial"/>
          <w:i/>
          <w:sz w:val="22"/>
          <w:szCs w:val="22"/>
        </w:rPr>
        <w:t>“</w:t>
      </w:r>
      <w:r w:rsidRPr="008B21BA">
        <w:rPr>
          <w:rFonts w:ascii="Palatino Linotype" w:eastAsia="Calibri" w:hAnsi="Palatino Linotype" w:cs="Arial"/>
          <w:b/>
          <w:i/>
          <w:sz w:val="22"/>
          <w:szCs w:val="22"/>
        </w:rPr>
        <w:t xml:space="preserve">Artículo 138. </w:t>
      </w:r>
      <w:r w:rsidRPr="008B21BA">
        <w:rPr>
          <w:rFonts w:ascii="Palatino Linotype" w:eastAsia="Calibri" w:hAnsi="Palatino Linotype" w:cs="Arial"/>
          <w:i/>
          <w:sz w:val="22"/>
          <w:szCs w:val="22"/>
        </w:rPr>
        <w:t xml:space="preserve">El recurso de revisión podrá ser desechado por improcedente cuando: </w:t>
      </w:r>
    </w:p>
    <w:p w14:paraId="54FC0F2D"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B21BA">
        <w:rPr>
          <w:rFonts w:ascii="Palatino Linotype" w:eastAsia="Calibri" w:hAnsi="Palatino Linotype" w:cs="Arial"/>
          <w:i/>
          <w:sz w:val="22"/>
          <w:szCs w:val="22"/>
        </w:rPr>
        <w:t xml:space="preserve"> </w:t>
      </w:r>
      <w:r w:rsidRPr="008B21BA">
        <w:rPr>
          <w:rFonts w:ascii="Palatino Linotype" w:eastAsia="Calibri" w:hAnsi="Palatino Linotype" w:cs="Arial"/>
          <w:b/>
          <w:i/>
          <w:sz w:val="22"/>
          <w:szCs w:val="22"/>
        </w:rPr>
        <w:t>I.</w:t>
      </w:r>
      <w:r w:rsidRPr="008B21BA">
        <w:rPr>
          <w:rFonts w:ascii="Palatino Linotype" w:eastAsia="Calibri" w:hAnsi="Palatino Linotype" w:cs="Arial"/>
          <w:i/>
          <w:sz w:val="22"/>
          <w:szCs w:val="22"/>
        </w:rPr>
        <w:t xml:space="preserve"> Sea extemporáneo por haber transcurrido el plazo establecido en el artículo 128 de la presente Ley. </w:t>
      </w:r>
    </w:p>
    <w:p w14:paraId="64DF12AD"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B21BA">
        <w:rPr>
          <w:rFonts w:ascii="Palatino Linotype" w:eastAsia="Calibri" w:hAnsi="Palatino Linotype" w:cs="Arial"/>
          <w:b/>
          <w:i/>
          <w:sz w:val="22"/>
          <w:szCs w:val="22"/>
        </w:rPr>
        <w:t xml:space="preserve"> II.</w:t>
      </w:r>
      <w:r w:rsidRPr="008B21BA">
        <w:rPr>
          <w:rFonts w:ascii="Palatino Linotype" w:eastAsia="Calibri" w:hAnsi="Palatino Linotype" w:cs="Arial"/>
          <w:i/>
          <w:sz w:val="22"/>
          <w:szCs w:val="22"/>
        </w:rPr>
        <w:t xml:space="preserve"> El titular o su representante no acrediten debidamente su identidad y personalidad de este último. </w:t>
      </w:r>
    </w:p>
    <w:p w14:paraId="5CDC752D"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B21BA">
        <w:rPr>
          <w:rFonts w:ascii="Palatino Linotype" w:eastAsia="Calibri" w:hAnsi="Palatino Linotype" w:cs="Arial"/>
          <w:b/>
          <w:i/>
          <w:sz w:val="22"/>
          <w:szCs w:val="22"/>
        </w:rPr>
        <w:t xml:space="preserve"> III.</w:t>
      </w:r>
      <w:r w:rsidRPr="008B21BA">
        <w:rPr>
          <w:rFonts w:ascii="Palatino Linotype" w:eastAsia="Calibri" w:hAnsi="Palatino Linotype" w:cs="Arial"/>
          <w:i/>
          <w:sz w:val="22"/>
          <w:szCs w:val="22"/>
        </w:rPr>
        <w:t xml:space="preserve"> El Instituto haya resuelto anteriormente en definitiva sobre la materia del mismo. </w:t>
      </w:r>
    </w:p>
    <w:p w14:paraId="108822A2"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B21BA">
        <w:rPr>
          <w:rFonts w:ascii="Palatino Linotype" w:eastAsia="Calibri" w:hAnsi="Palatino Linotype" w:cs="Arial"/>
          <w:b/>
          <w:i/>
          <w:sz w:val="22"/>
          <w:szCs w:val="22"/>
        </w:rPr>
        <w:t xml:space="preserve"> IV.</w:t>
      </w:r>
      <w:r w:rsidRPr="008B21BA">
        <w:rPr>
          <w:rFonts w:ascii="Palatino Linotype" w:eastAsia="Calibri" w:hAnsi="Palatino Linotype" w:cs="Arial"/>
          <w:i/>
          <w:sz w:val="22"/>
          <w:szCs w:val="22"/>
        </w:rPr>
        <w:t xml:space="preserve"> No se actualice alguna de las causales del recurso de revisión previstas en el artículo 129 de la presente Ley. </w:t>
      </w:r>
    </w:p>
    <w:p w14:paraId="51A547D0"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B21BA">
        <w:rPr>
          <w:rFonts w:ascii="Palatino Linotype" w:eastAsia="Calibri" w:hAnsi="Palatino Linotype" w:cs="Arial"/>
          <w:b/>
          <w:i/>
          <w:sz w:val="22"/>
          <w:szCs w:val="22"/>
        </w:rPr>
        <w:t>V.</w:t>
      </w:r>
      <w:r w:rsidRPr="008B21BA">
        <w:rPr>
          <w:rFonts w:ascii="Palatino Linotype" w:eastAsia="Calibri" w:hAnsi="Palatino Linotype" w:cs="Arial"/>
          <w:i/>
          <w:sz w:val="22"/>
          <w:szCs w:val="22"/>
        </w:rPr>
        <w:t xml:space="preserve"> Se esté tramitando ante los tribunales competentes algún recurso o medio de defensa interpuesto por el recurrente, o en su caso, por el tercero interesado, en contra del acto recurrido ante el Instituto. </w:t>
      </w:r>
    </w:p>
    <w:p w14:paraId="4CC0E1C9"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B21BA">
        <w:rPr>
          <w:rFonts w:ascii="Palatino Linotype" w:eastAsia="Calibri" w:hAnsi="Palatino Linotype" w:cs="Arial"/>
          <w:i/>
          <w:sz w:val="22"/>
          <w:szCs w:val="22"/>
        </w:rPr>
        <w:t xml:space="preserve"> </w:t>
      </w:r>
      <w:r w:rsidRPr="008B21BA">
        <w:rPr>
          <w:rFonts w:ascii="Palatino Linotype" w:eastAsia="Calibri" w:hAnsi="Palatino Linotype" w:cs="Arial"/>
          <w:b/>
          <w:i/>
          <w:sz w:val="22"/>
          <w:szCs w:val="22"/>
        </w:rPr>
        <w:t>VI.</w:t>
      </w:r>
      <w:r w:rsidRPr="008B21BA">
        <w:rPr>
          <w:rFonts w:ascii="Palatino Linotype" w:eastAsia="Calibri" w:hAnsi="Palatino Linotype" w:cs="Arial"/>
          <w:i/>
          <w:sz w:val="22"/>
          <w:szCs w:val="22"/>
        </w:rPr>
        <w:t xml:space="preserve"> El recurrente modifique o amplíe su petición en el recurso de revisión, únicamente respecto de los nuevos contenidos.  </w:t>
      </w:r>
    </w:p>
    <w:p w14:paraId="1EA2B317"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8B21BA">
        <w:rPr>
          <w:rFonts w:ascii="Palatino Linotype" w:eastAsia="Calibri" w:hAnsi="Palatino Linotype" w:cs="Arial"/>
          <w:b/>
          <w:i/>
          <w:sz w:val="22"/>
          <w:szCs w:val="22"/>
        </w:rPr>
        <w:t>VII.</w:t>
      </w:r>
      <w:r w:rsidRPr="008B21BA">
        <w:rPr>
          <w:rFonts w:ascii="Palatino Linotype" w:eastAsia="Calibri" w:hAnsi="Palatino Linotype" w:cs="Arial"/>
          <w:i/>
          <w:sz w:val="22"/>
          <w:szCs w:val="22"/>
        </w:rPr>
        <w:t xml:space="preserve"> El recurrente no acredite interés jurídico. </w:t>
      </w:r>
    </w:p>
    <w:p w14:paraId="62BD2F61"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14:paraId="0ECF74A8"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cs="Arial"/>
          <w:b/>
          <w:i/>
          <w:sz w:val="22"/>
          <w:szCs w:val="22"/>
        </w:rPr>
      </w:pPr>
      <w:r w:rsidRPr="008B21BA">
        <w:rPr>
          <w:rFonts w:ascii="Palatino Linotype" w:eastAsia="Calibri" w:hAnsi="Palatino Linotype" w:cs="Arial"/>
          <w:i/>
          <w:sz w:val="22"/>
          <w:szCs w:val="22"/>
        </w:rPr>
        <w:t>El desechamiento no implica la preclusión del derecho del titular para interponer ante el Instituto un nuevo recurso de revisión.”</w:t>
      </w:r>
      <w:r w:rsidRPr="008B21BA">
        <w:rPr>
          <w:rFonts w:ascii="Palatino Linotype" w:eastAsia="Calibri" w:hAnsi="Palatino Linotype" w:cs="Arial"/>
          <w:b/>
          <w:i/>
          <w:sz w:val="22"/>
          <w:szCs w:val="22"/>
        </w:rPr>
        <w:t>[Sic]</w:t>
      </w:r>
    </w:p>
    <w:p w14:paraId="47BB1165" w14:textId="77777777" w:rsidR="002956A7" w:rsidRPr="008B21BA" w:rsidRDefault="002956A7" w:rsidP="002956A7">
      <w:pPr>
        <w:widowControl w:val="0"/>
        <w:autoSpaceDE w:val="0"/>
        <w:autoSpaceDN w:val="0"/>
        <w:adjustRightInd w:val="0"/>
        <w:spacing w:line="360" w:lineRule="auto"/>
        <w:ind w:right="51"/>
        <w:jc w:val="both"/>
        <w:rPr>
          <w:rFonts w:ascii="Palatino Linotype" w:eastAsia="Calibri" w:hAnsi="Palatino Linotype"/>
          <w:lang w:eastAsia="es-MX"/>
        </w:rPr>
      </w:pPr>
    </w:p>
    <w:p w14:paraId="6E972AA7" w14:textId="77777777" w:rsidR="002956A7" w:rsidRPr="008B21BA" w:rsidRDefault="002956A7" w:rsidP="002956A7">
      <w:pPr>
        <w:widowControl w:val="0"/>
        <w:autoSpaceDE w:val="0"/>
        <w:autoSpaceDN w:val="0"/>
        <w:adjustRightInd w:val="0"/>
        <w:spacing w:line="360" w:lineRule="auto"/>
        <w:ind w:right="51"/>
        <w:jc w:val="both"/>
        <w:rPr>
          <w:rFonts w:ascii="Palatino Linotype" w:eastAsia="Calibri" w:hAnsi="Palatino Linotype"/>
        </w:rPr>
      </w:pPr>
      <w:r w:rsidRPr="008B21BA">
        <w:rPr>
          <w:rFonts w:ascii="Palatino Linotype" w:eastAsia="Calibri" w:hAnsi="Palatino Linotype"/>
          <w:lang w:eastAsia="es-MX"/>
        </w:rPr>
        <w:t xml:space="preserve">Con base en lo establecido en el precepto de referencia, resulta oportuno señalar que a la fecha que se resuelve no se actualiza ninguna  de las causales de improcedencia; ya que, la parte </w:t>
      </w:r>
      <w:r w:rsidRPr="008B21BA">
        <w:rPr>
          <w:rFonts w:ascii="Palatino Linotype" w:eastAsia="Calibri" w:hAnsi="Palatino Linotype"/>
          <w:b/>
          <w:lang w:eastAsia="es-MX"/>
        </w:rPr>
        <w:t xml:space="preserve">Recurrente </w:t>
      </w:r>
      <w:r w:rsidRPr="008B21BA">
        <w:rPr>
          <w:rFonts w:ascii="Palatino Linotype" w:eastAsia="Calibri" w:hAnsi="Palatino Linotype"/>
          <w:lang w:eastAsia="es-MX"/>
        </w:rPr>
        <w:t xml:space="preserve">presentó su recurso dentro del término de quince días otorgado por la Ley; no se tiene conocimiento de que el Instituto o, en su caso, los Organismos Garantes hayan resuelto en definitiva sobre la materia del mismo; </w:t>
      </w:r>
      <w:r w:rsidRPr="008B21BA">
        <w:rPr>
          <w:rFonts w:ascii="Palatino Linotype" w:eastAsia="Calibri" w:hAnsi="Palatino Linotype"/>
        </w:rPr>
        <w:t xml:space="preserve">no se tiene conocimiento de que se esté tramitando ante los tribunales competentes algún recurso o medio de defensa interpuesto por la parte </w:t>
      </w:r>
      <w:r w:rsidRPr="008B21BA">
        <w:rPr>
          <w:rFonts w:ascii="Palatino Linotype" w:eastAsia="Calibri" w:hAnsi="Palatino Linotype"/>
          <w:b/>
        </w:rPr>
        <w:t>Recurrente,</w:t>
      </w:r>
      <w:r w:rsidRPr="008B21BA">
        <w:rPr>
          <w:rFonts w:ascii="Palatino Linotype" w:eastAsia="Calibri" w:hAnsi="Palatino Linotype"/>
        </w:rPr>
        <w:t xml:space="preserve"> o en su caso, por el tercero interesado, en contra del acto recurrido ante el Instituto o los Organismos garantes, el particular no amplió su solicitud a través de su medio de  impugnación. </w:t>
      </w:r>
    </w:p>
    <w:p w14:paraId="384C3624" w14:textId="77777777" w:rsidR="002956A7" w:rsidRPr="008B21BA" w:rsidRDefault="002956A7" w:rsidP="002956A7">
      <w:pPr>
        <w:widowControl w:val="0"/>
        <w:autoSpaceDE w:val="0"/>
        <w:autoSpaceDN w:val="0"/>
        <w:adjustRightInd w:val="0"/>
        <w:spacing w:line="360" w:lineRule="auto"/>
        <w:ind w:right="51"/>
        <w:jc w:val="both"/>
        <w:rPr>
          <w:rFonts w:ascii="Palatino Linotype" w:eastAsia="Calibri" w:hAnsi="Palatino Linotype"/>
          <w:lang w:eastAsia="es-MX"/>
        </w:rPr>
      </w:pPr>
    </w:p>
    <w:p w14:paraId="5EC5C517" w14:textId="77777777" w:rsidR="002956A7" w:rsidRPr="008B21BA" w:rsidRDefault="002956A7" w:rsidP="002956A7">
      <w:pPr>
        <w:widowControl w:val="0"/>
        <w:autoSpaceDE w:val="0"/>
        <w:autoSpaceDN w:val="0"/>
        <w:adjustRightInd w:val="0"/>
        <w:spacing w:line="360" w:lineRule="auto"/>
        <w:ind w:right="51"/>
        <w:jc w:val="both"/>
        <w:rPr>
          <w:rFonts w:ascii="Palatino Linotype" w:eastAsia="Calibri" w:hAnsi="Palatino Linotype"/>
          <w:lang w:eastAsia="es-MX"/>
        </w:rPr>
      </w:pPr>
      <w:r w:rsidRPr="008B21BA">
        <w:rPr>
          <w:rFonts w:ascii="Palatino Linotype" w:eastAsia="Calibri" w:hAnsi="Palatino Linotype"/>
          <w:lang w:eastAsia="es-MX"/>
        </w:rPr>
        <w:lastRenderedPageBreak/>
        <w:t xml:space="preserve">Por otra parte, especial mención requiere el contexto para ejercer los derechos </w:t>
      </w:r>
      <w:r w:rsidRPr="008B21BA">
        <w:rPr>
          <w:rFonts w:ascii="Palatino Linotype" w:eastAsia="Calibri" w:hAnsi="Palatino Linotype"/>
          <w:b/>
          <w:lang w:eastAsia="es-MX"/>
        </w:rPr>
        <w:t xml:space="preserve">ARCO </w:t>
      </w:r>
      <w:r w:rsidRPr="008B21BA">
        <w:rPr>
          <w:rFonts w:ascii="Palatino Linotype" w:eastAsia="Calibri" w:hAnsi="Palatino Linotype"/>
          <w:lang w:eastAsia="es-MX"/>
        </w:rPr>
        <w:t xml:space="preserve">tratándose de personas fallecidas, supuesto normativo estipulado en el artículo 106 párrafos cuarto, quinto y sexto de la Ley de Protección de Datos Personales en Posesión de Sujetos Obligados del Estado de México y Municipios, normatividad invocada que a la literalidad dispone: </w:t>
      </w:r>
    </w:p>
    <w:p w14:paraId="6426DE2B" w14:textId="77777777" w:rsidR="002956A7" w:rsidRPr="008B21BA" w:rsidRDefault="002956A7" w:rsidP="002956A7">
      <w:pPr>
        <w:rPr>
          <w:lang w:val="es-MX" w:eastAsia="es-MX"/>
        </w:rPr>
      </w:pPr>
    </w:p>
    <w:p w14:paraId="4225F728"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b/>
          <w:i/>
          <w:sz w:val="22"/>
          <w:szCs w:val="22"/>
          <w:lang w:eastAsia="es-MX"/>
        </w:rPr>
      </w:pPr>
      <w:r w:rsidRPr="008B21BA">
        <w:rPr>
          <w:rFonts w:ascii="Palatino Linotype" w:eastAsia="Calibri" w:hAnsi="Palatino Linotype"/>
          <w:b/>
          <w:i/>
          <w:sz w:val="22"/>
          <w:szCs w:val="22"/>
          <w:lang w:eastAsia="es-MX"/>
        </w:rPr>
        <w:t>“Legitimación para Ejercer los Derechos ARCO</w:t>
      </w:r>
    </w:p>
    <w:p w14:paraId="458783B6"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b/>
          <w:i/>
          <w:sz w:val="22"/>
          <w:szCs w:val="22"/>
          <w:lang w:eastAsia="es-MX"/>
        </w:rPr>
      </w:pPr>
      <w:r w:rsidRPr="008B21BA">
        <w:rPr>
          <w:rFonts w:ascii="Palatino Linotype" w:eastAsia="Calibri" w:hAnsi="Palatino Linotype"/>
          <w:b/>
          <w:i/>
          <w:sz w:val="22"/>
          <w:szCs w:val="22"/>
          <w:lang w:eastAsia="es-MX"/>
        </w:rPr>
        <w:t>Artículo 106.</w:t>
      </w:r>
    </w:p>
    <w:p w14:paraId="7AD4B036"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B21BA">
        <w:rPr>
          <w:rFonts w:ascii="Palatino Linotype" w:eastAsia="Calibri" w:hAnsi="Palatino Linotype"/>
          <w:i/>
          <w:sz w:val="22"/>
          <w:szCs w:val="22"/>
          <w:lang w:eastAsia="es-MX"/>
        </w:rPr>
        <w:t>(…)</w:t>
      </w:r>
    </w:p>
    <w:p w14:paraId="4C78F251"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B21BA">
        <w:rPr>
          <w:rFonts w:ascii="Palatino Linotype" w:eastAsia="Calibri" w:hAnsi="Palatino Linotype"/>
          <w:i/>
          <w:sz w:val="22"/>
          <w:szCs w:val="22"/>
          <w:lang w:eastAsia="es-MX"/>
        </w:rPr>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14:paraId="56F4DA14"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p>
    <w:p w14:paraId="0A5F0424"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B21BA">
        <w:rPr>
          <w:rFonts w:ascii="Palatino Linotype" w:eastAsia="Calibri" w:hAnsi="Palatino Linotype"/>
          <w:i/>
          <w:sz w:val="22"/>
          <w:szCs w:val="22"/>
          <w:lang w:eastAsia="es-MX"/>
        </w:rPr>
        <w:t xml:space="preserve">El titular podrá autorizar dentro de una cláusula del testamento a las personas que podrán ejercer sus derechos ARCO al momento del fallecimiento.  </w:t>
      </w:r>
    </w:p>
    <w:p w14:paraId="7A2E8881"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p>
    <w:p w14:paraId="6637BC3D" w14:textId="77777777" w:rsidR="002956A7" w:rsidRPr="008B21BA" w:rsidRDefault="002956A7" w:rsidP="002956A7">
      <w:pPr>
        <w:widowControl w:val="0"/>
        <w:autoSpaceDE w:val="0"/>
        <w:autoSpaceDN w:val="0"/>
        <w:adjustRightInd w:val="0"/>
        <w:spacing w:line="276" w:lineRule="auto"/>
        <w:ind w:left="567" w:right="851"/>
        <w:jc w:val="both"/>
        <w:rPr>
          <w:rFonts w:ascii="Palatino Linotype" w:eastAsia="Calibri" w:hAnsi="Palatino Linotype"/>
          <w:i/>
          <w:sz w:val="22"/>
          <w:szCs w:val="22"/>
          <w:lang w:eastAsia="es-MX"/>
        </w:rPr>
      </w:pPr>
      <w:r w:rsidRPr="008B21BA">
        <w:rPr>
          <w:rFonts w:ascii="Palatino Linotype" w:eastAsia="Calibri" w:hAnsi="Palatino Linotype"/>
          <w:i/>
          <w:sz w:val="22"/>
          <w:szCs w:val="22"/>
          <w:lang w:eastAsia="es-MX"/>
        </w:rPr>
        <w:t xml:space="preserve">El ejercicio de los derechos ARCO por persona distinta a su titular o a su representante, será posible, excepcionalmente, en aquellos supuestos previstos por disposición legal, o en su caso, por mandato judicial (…)” </w:t>
      </w:r>
      <w:r w:rsidRPr="008B21BA">
        <w:rPr>
          <w:rFonts w:ascii="Palatino Linotype" w:eastAsia="Calibri" w:hAnsi="Palatino Linotype"/>
          <w:b/>
          <w:i/>
          <w:sz w:val="22"/>
          <w:szCs w:val="22"/>
          <w:lang w:eastAsia="es-MX"/>
        </w:rPr>
        <w:t>[Sic]</w:t>
      </w:r>
    </w:p>
    <w:p w14:paraId="033D6846" w14:textId="77777777" w:rsidR="002956A7" w:rsidRPr="008B21BA" w:rsidRDefault="002956A7" w:rsidP="002956A7">
      <w:pPr>
        <w:widowControl w:val="0"/>
        <w:autoSpaceDE w:val="0"/>
        <w:autoSpaceDN w:val="0"/>
        <w:adjustRightInd w:val="0"/>
        <w:spacing w:before="240" w:after="240" w:line="360" w:lineRule="auto"/>
        <w:ind w:right="49"/>
        <w:jc w:val="both"/>
        <w:rPr>
          <w:rFonts w:ascii="Palatino Linotype" w:eastAsia="Calibri" w:hAnsi="Palatino Linotype" w:cs="Arial"/>
          <w:sz w:val="2"/>
        </w:rPr>
      </w:pPr>
    </w:p>
    <w:p w14:paraId="65D5FF6C" w14:textId="77777777" w:rsidR="002956A7" w:rsidRPr="008B21BA" w:rsidRDefault="002956A7" w:rsidP="002956A7">
      <w:pPr>
        <w:widowControl w:val="0"/>
        <w:autoSpaceDE w:val="0"/>
        <w:autoSpaceDN w:val="0"/>
        <w:adjustRightInd w:val="0"/>
        <w:spacing w:line="360" w:lineRule="auto"/>
        <w:ind w:right="49"/>
        <w:jc w:val="both"/>
        <w:rPr>
          <w:rFonts w:ascii="Palatino Linotype" w:hAnsi="Palatino Linotype" w:cs="Arial"/>
        </w:rPr>
      </w:pPr>
      <w:r w:rsidRPr="008B21BA">
        <w:rPr>
          <w:rFonts w:ascii="Palatino Linotype" w:eastAsia="Calibri" w:hAnsi="Palatino Linotype" w:cs="Arial"/>
        </w:rPr>
        <w:t>Disposiciones que, en principio, resultan de aplicación estricta para la tramitación del procedimiento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w:t>
      </w:r>
      <w:r w:rsidRPr="008B21BA">
        <w:rPr>
          <w:rFonts w:ascii="Palatino Linotype" w:hAnsi="Palatino Linotype" w:cs="Arial"/>
        </w:rPr>
        <w:t xml:space="preserve"> a los derechos de acceso, rectificación, cancelación y oposición al tratamiento de datos personales.</w:t>
      </w:r>
    </w:p>
    <w:p w14:paraId="59A9B99F" w14:textId="77777777" w:rsidR="002E2B04" w:rsidRPr="008B21BA" w:rsidRDefault="002E2B04" w:rsidP="002956A7">
      <w:pPr>
        <w:widowControl w:val="0"/>
        <w:autoSpaceDE w:val="0"/>
        <w:autoSpaceDN w:val="0"/>
        <w:adjustRightInd w:val="0"/>
        <w:spacing w:line="360" w:lineRule="auto"/>
        <w:ind w:right="49"/>
        <w:jc w:val="both"/>
        <w:rPr>
          <w:rFonts w:ascii="Palatino Linotype" w:hAnsi="Palatino Linotype" w:cs="Arial"/>
        </w:rPr>
      </w:pPr>
    </w:p>
    <w:p w14:paraId="7A9E5684" w14:textId="77777777" w:rsidR="002956A7" w:rsidRPr="008B21BA" w:rsidRDefault="002956A7" w:rsidP="002956A7">
      <w:pPr>
        <w:widowControl w:val="0"/>
        <w:autoSpaceDE w:val="0"/>
        <w:autoSpaceDN w:val="0"/>
        <w:adjustRightInd w:val="0"/>
        <w:spacing w:line="360" w:lineRule="auto"/>
        <w:ind w:right="49"/>
        <w:jc w:val="both"/>
        <w:rPr>
          <w:rFonts w:ascii="Palatino Linotype" w:hAnsi="Palatino Linotype" w:cs="Arial"/>
        </w:rPr>
      </w:pPr>
      <w:r w:rsidRPr="008B21BA">
        <w:rPr>
          <w:rFonts w:ascii="Palatino Linotype" w:hAnsi="Palatino Linotype" w:cs="Arial"/>
        </w:rPr>
        <w:lastRenderedPageBreak/>
        <w:t xml:space="preserve">Ordenamiento al cual se encuentran sujetos los titulares de las unidades de transparencia de los </w:t>
      </w:r>
      <w:r w:rsidRPr="008B21BA">
        <w:rPr>
          <w:rFonts w:ascii="Palatino Linotype" w:hAnsi="Palatino Linotype" w:cs="Arial"/>
          <w:b/>
        </w:rPr>
        <w:t>Sujetos Obligados,</w:t>
      </w:r>
      <w:r w:rsidRPr="008B21BA">
        <w:rPr>
          <w:rFonts w:ascii="Palatino Linotype" w:hAnsi="Palatino Linotype" w:cs="Arial"/>
        </w:rPr>
        <w:t xml:space="preserve"> en ejercicio de la atribución prevista por el artículo 90, fracción II, de la Ley de Protección de Datos Personales en Posesión de Sujetos Obligados del Estado de México y Municipios, y en cumplimiento del deber de confidencialidad, establecido en el diverso artículo 40, de la Ley en mención, </w:t>
      </w:r>
      <w:r w:rsidRPr="008B21BA">
        <w:rPr>
          <w:rFonts w:ascii="Palatino Linotype" w:hAnsi="Palatino Linotype" w:cs="Arial"/>
          <w:b/>
          <w:u w:val="single"/>
        </w:rPr>
        <w:t>que implica que la información no se pondrá a disposición, ni se revelará a individuos, entidades o procesos no autorizados, y que en el caso particular requiere de manera inexorable que el acceso de datos concernientes a personas fallecidas se lleve a cabo, únicamente a favor de quien cuente con un interés jurídico</w:t>
      </w:r>
      <w:r w:rsidRPr="008B21BA">
        <w:rPr>
          <w:rFonts w:ascii="Palatino Linotype" w:hAnsi="Palatino Linotype" w:cs="Arial"/>
          <w:b/>
        </w:rPr>
        <w:t xml:space="preserve">, </w:t>
      </w:r>
      <w:r w:rsidRPr="008B21BA">
        <w:rPr>
          <w:rFonts w:ascii="Palatino Linotype" w:hAnsi="Palatino Linotype" w:cs="Arial"/>
        </w:rPr>
        <w:t>para lo cual la Ley reconoce expresamente ese interés jurídico sobre quienes el titular de los derechos hubiere expresado fehacientemente su voluntad en tal sentido, incluyendo la cláusula testamentaria o que exista un mandato judicial para dicho efecto.</w:t>
      </w:r>
    </w:p>
    <w:p w14:paraId="276A1212" w14:textId="77777777" w:rsidR="002956A7" w:rsidRPr="008B21BA" w:rsidRDefault="002956A7" w:rsidP="002956A7">
      <w:pPr>
        <w:widowControl w:val="0"/>
        <w:autoSpaceDE w:val="0"/>
        <w:autoSpaceDN w:val="0"/>
        <w:adjustRightInd w:val="0"/>
        <w:spacing w:line="360" w:lineRule="auto"/>
        <w:ind w:right="49"/>
        <w:jc w:val="both"/>
        <w:rPr>
          <w:rFonts w:ascii="Palatino Linotype" w:hAnsi="Palatino Linotype" w:cs="Arial"/>
        </w:rPr>
      </w:pPr>
    </w:p>
    <w:p w14:paraId="2B4409CB" w14:textId="77777777" w:rsidR="002956A7" w:rsidRPr="008B21BA" w:rsidRDefault="002956A7" w:rsidP="002956A7">
      <w:pPr>
        <w:widowControl w:val="0"/>
        <w:autoSpaceDE w:val="0"/>
        <w:autoSpaceDN w:val="0"/>
        <w:adjustRightInd w:val="0"/>
        <w:spacing w:line="360" w:lineRule="auto"/>
        <w:ind w:right="49"/>
        <w:jc w:val="both"/>
        <w:rPr>
          <w:rFonts w:ascii="Palatino Linotype" w:eastAsia="Calibri" w:hAnsi="Palatino Linotype" w:cs="Arial"/>
          <w:lang w:eastAsia="es-MX"/>
        </w:rPr>
      </w:pPr>
      <w:r w:rsidRPr="008B21BA">
        <w:rPr>
          <w:rFonts w:ascii="Palatino Linotype" w:hAnsi="Palatino Linotype" w:cs="Arial"/>
        </w:rPr>
        <w:t xml:space="preserve">En consecuencia, el ejercicio de derechos ARCO respecto de personas fallecidas a través de las Unidades de Transparencia, únicamente podrá llevarse a cabo por quienes cuenten con interés jurídico, por lo cual </w:t>
      </w:r>
      <w:r w:rsidRPr="008B21BA">
        <w:rPr>
          <w:rFonts w:ascii="Palatino Linotype" w:hAnsi="Palatino Linotype"/>
          <w:color w:val="000000"/>
          <w:lang w:eastAsia="es-MX"/>
        </w:rPr>
        <w:t xml:space="preserve">conviene señalar lo estipulado por </w:t>
      </w:r>
      <w:r w:rsidRPr="008B21BA">
        <w:rPr>
          <w:rFonts w:ascii="Palatino Linotype" w:eastAsia="Calibri" w:hAnsi="Palatino Linotype" w:cs="Arial"/>
        </w:rPr>
        <w:t xml:space="preserve">el Poder Judicial de la Federación a través de las Tesis y Jurisprudencias con </w:t>
      </w:r>
      <w:r w:rsidRPr="008B21BA">
        <w:rPr>
          <w:rFonts w:ascii="Palatino Linotype" w:eastAsia="Calibri" w:hAnsi="Palatino Linotype" w:cs="Arial"/>
          <w:lang w:eastAsia="es-MX"/>
        </w:rPr>
        <w:t>números de registro 181719, 170500 de la Novena y Décima Épocas, sustentadas por el Segundo Tribunal Colegiado en Materia Civil del Segundo Circuito, y por la Primera y Segunda Salas de la Suprema Corte de Justicia de la Nación</w:t>
      </w:r>
      <w:r w:rsidRPr="008B21BA">
        <w:rPr>
          <w:rFonts w:ascii="Palatino Linotype" w:eastAsia="Calibri" w:hAnsi="Palatino Linotype"/>
          <w:vertAlign w:val="superscript"/>
          <w:lang w:eastAsia="es-MX"/>
        </w:rPr>
        <w:footnoteReference w:id="2"/>
      </w:r>
      <w:r w:rsidRPr="008B21BA">
        <w:rPr>
          <w:rFonts w:ascii="Palatino Linotype" w:eastAsia="Calibri" w:hAnsi="Palatino Linotype" w:cs="Arial"/>
          <w:lang w:eastAsia="es-MX"/>
        </w:rPr>
        <w:t>, se han pronunciado en cuanto al intereses jurídico en los términos siguientes:</w:t>
      </w:r>
    </w:p>
    <w:p w14:paraId="6C386EA2" w14:textId="77777777" w:rsidR="002956A7" w:rsidRPr="008B21BA" w:rsidRDefault="002956A7" w:rsidP="002956A7">
      <w:pPr>
        <w:widowControl w:val="0"/>
        <w:autoSpaceDE w:val="0"/>
        <w:autoSpaceDN w:val="0"/>
        <w:adjustRightInd w:val="0"/>
        <w:spacing w:line="360" w:lineRule="auto"/>
        <w:ind w:right="49"/>
        <w:jc w:val="both"/>
        <w:rPr>
          <w:rFonts w:ascii="Palatino Linotype" w:hAnsi="Palatino Linotype" w:cs="Arial"/>
        </w:rPr>
      </w:pPr>
    </w:p>
    <w:p w14:paraId="256ECEF0" w14:textId="77777777" w:rsidR="002E2B04" w:rsidRPr="008B21BA" w:rsidRDefault="002E2B04" w:rsidP="002956A7">
      <w:pPr>
        <w:widowControl w:val="0"/>
        <w:autoSpaceDE w:val="0"/>
        <w:autoSpaceDN w:val="0"/>
        <w:adjustRightInd w:val="0"/>
        <w:spacing w:line="360" w:lineRule="auto"/>
        <w:ind w:right="49"/>
        <w:jc w:val="both"/>
        <w:rPr>
          <w:rFonts w:ascii="Palatino Linotype" w:hAnsi="Palatino Linotype" w:cs="Arial"/>
        </w:rPr>
      </w:pPr>
    </w:p>
    <w:p w14:paraId="4BF93E67" w14:textId="77777777" w:rsidR="002956A7" w:rsidRPr="008B21BA" w:rsidRDefault="002956A7" w:rsidP="002956A7">
      <w:pPr>
        <w:spacing w:after="240" w:line="276" w:lineRule="auto"/>
        <w:ind w:left="567" w:right="851"/>
        <w:jc w:val="center"/>
        <w:rPr>
          <w:rFonts w:ascii="Palatino Linotype" w:eastAsia="Calibri" w:hAnsi="Palatino Linotype" w:cs="Bookman Old Style"/>
          <w:i/>
          <w:sz w:val="22"/>
        </w:rPr>
      </w:pPr>
      <w:r w:rsidRPr="008B21BA">
        <w:rPr>
          <w:rFonts w:ascii="Palatino Linotype" w:eastAsia="Calibri" w:hAnsi="Palatino Linotype" w:cs="Bookman Old Style"/>
          <w:i/>
          <w:sz w:val="22"/>
        </w:rPr>
        <w:lastRenderedPageBreak/>
        <w:t>“</w:t>
      </w:r>
      <w:r w:rsidRPr="008B21BA">
        <w:rPr>
          <w:rFonts w:ascii="Palatino Linotype" w:eastAsia="Calibri" w:hAnsi="Palatino Linotype" w:cs="Bookman Old Style"/>
          <w:b/>
          <w:i/>
          <w:sz w:val="22"/>
          <w:u w:val="single"/>
        </w:rPr>
        <w:t>INTERÉS JURÍDICO, CONCEPTO DE</w:t>
      </w:r>
      <w:r w:rsidRPr="008B21BA">
        <w:rPr>
          <w:rFonts w:ascii="Palatino Linotype" w:eastAsia="Calibri" w:hAnsi="Palatino Linotype" w:cs="Bookman Old Style"/>
          <w:i/>
          <w:sz w:val="22"/>
        </w:rPr>
        <w:t>.</w:t>
      </w:r>
    </w:p>
    <w:p w14:paraId="33DBD182" w14:textId="77777777" w:rsidR="002956A7" w:rsidRPr="008B21BA" w:rsidRDefault="002956A7" w:rsidP="002956A7">
      <w:pPr>
        <w:spacing w:after="240" w:line="276" w:lineRule="auto"/>
        <w:ind w:left="567" w:right="851"/>
        <w:jc w:val="both"/>
        <w:rPr>
          <w:rFonts w:ascii="Palatino Linotype" w:eastAsia="Calibri" w:hAnsi="Palatino Linotype" w:cs="Bookman Old Style"/>
          <w:i/>
          <w:sz w:val="22"/>
        </w:rPr>
      </w:pPr>
      <w:r w:rsidRPr="008B21BA">
        <w:rPr>
          <w:rFonts w:ascii="Palatino Linotype" w:eastAsia="Calibri" w:hAnsi="Palatino Linotype" w:cs="Bookman Old Style"/>
          <w:i/>
          <w:sz w:val="22"/>
        </w:rPr>
        <w:t xml:space="preserve">Tratándose del juicio de garantías, </w:t>
      </w:r>
      <w:r w:rsidRPr="008B21BA">
        <w:rPr>
          <w:rFonts w:ascii="Palatino Linotype" w:eastAsia="Calibri" w:hAnsi="Palatino Linotype" w:cs="Bookman Old Style"/>
          <w:b/>
          <w:i/>
          <w:sz w:val="22"/>
          <w:u w:val="single"/>
        </w:rPr>
        <w:t>el interés jurídico</w:t>
      </w:r>
      <w:r w:rsidRPr="008B21BA">
        <w:rPr>
          <w:rFonts w:ascii="Palatino Linotype" w:eastAsia="Calibri" w:hAnsi="Palatino Linotype" w:cs="Bookman Old Style"/>
          <w:i/>
          <w:sz w:val="22"/>
        </w:rPr>
        <w:t xml:space="preserve"> como noción fundamental </w:t>
      </w:r>
      <w:r w:rsidRPr="008B21BA">
        <w:rPr>
          <w:rFonts w:ascii="Palatino Linotype" w:eastAsia="Calibri" w:hAnsi="Palatino Linotype" w:cs="Bookman Old Style"/>
          <w:b/>
          <w:i/>
          <w:sz w:val="22"/>
          <w:u w:val="single"/>
        </w:rPr>
        <w:t>lo constituye la existencia o actualización de un derecho subjetivo jurídicamente tutelado que puede afectarse</w:t>
      </w:r>
      <w:r w:rsidRPr="008B21BA">
        <w:rPr>
          <w:rFonts w:ascii="Palatino Linotype" w:eastAsia="Calibri" w:hAnsi="Palatino Linotype" w:cs="Bookman Old Style"/>
          <w:i/>
          <w:sz w:val="22"/>
        </w:rPr>
        <w:t xml:space="preserve">, ya sea por la violación de ese derecho, o bien, por el desconocimiento del mismo </w:t>
      </w:r>
      <w:r w:rsidRPr="008B21BA">
        <w:rPr>
          <w:rFonts w:ascii="Palatino Linotype" w:eastAsia="Calibri" w:hAnsi="Palatino Linotype" w:cs="Bookman Old Style"/>
          <w:b/>
          <w:i/>
          <w:sz w:val="22"/>
          <w:u w:val="single"/>
        </w:rPr>
        <w:t>por virtud de un acto de autoridad, de ahí que sólo el titular de algún derecho legítimamente protegible pueda acudir ante el órgano jurisdiccional</w:t>
      </w:r>
      <w:r w:rsidRPr="008B21BA">
        <w:rPr>
          <w:rFonts w:ascii="Palatino Linotype" w:eastAsia="Calibri" w:hAnsi="Palatino Linotype" w:cs="Bookman Old Style"/>
          <w:i/>
          <w:sz w:val="22"/>
        </w:rPr>
        <w:t xml:space="preserve"> de amparo en demanda de que cese esa situación </w:t>
      </w:r>
      <w:r w:rsidRPr="008B21BA">
        <w:rPr>
          <w:rFonts w:ascii="Palatino Linotype" w:eastAsia="Calibri" w:hAnsi="Palatino Linotype" w:cs="Bookman Old Style"/>
          <w:i/>
          <w:sz w:val="22"/>
          <w:u w:val="single"/>
        </w:rPr>
        <w:t>cuando se transgreda, por la actuación de cierta autoridad,</w:t>
      </w:r>
      <w:r w:rsidRPr="008B21BA">
        <w:rPr>
          <w:rFonts w:ascii="Palatino Linotype" w:eastAsia="Calibri" w:hAnsi="Palatino Linotype" w:cs="Bookman Old Style"/>
          <w:i/>
          <w:sz w:val="22"/>
        </w:rPr>
        <w:t xml:space="preserve"> determinada garantía.</w:t>
      </w:r>
    </w:p>
    <w:p w14:paraId="130124C6" w14:textId="77777777" w:rsidR="002956A7" w:rsidRPr="008B21BA" w:rsidRDefault="002956A7" w:rsidP="002956A7">
      <w:pPr>
        <w:spacing w:line="276" w:lineRule="auto"/>
        <w:ind w:left="567" w:right="851"/>
        <w:jc w:val="both"/>
        <w:rPr>
          <w:rFonts w:ascii="Palatino Linotype" w:eastAsia="Calibri" w:hAnsi="Palatino Linotype" w:cs="Bookman Old Style"/>
          <w:b/>
          <w:i/>
          <w:sz w:val="22"/>
        </w:rPr>
      </w:pPr>
    </w:p>
    <w:p w14:paraId="2DEC6A6A" w14:textId="77777777" w:rsidR="002956A7" w:rsidRPr="008B21BA" w:rsidRDefault="002956A7" w:rsidP="002956A7">
      <w:pPr>
        <w:spacing w:after="240" w:line="276" w:lineRule="auto"/>
        <w:ind w:left="567" w:right="851"/>
        <w:jc w:val="both"/>
        <w:rPr>
          <w:rFonts w:ascii="Palatino Linotype" w:eastAsia="Calibri" w:hAnsi="Palatino Linotype" w:cs="Bookman Old Style"/>
          <w:i/>
          <w:sz w:val="22"/>
        </w:rPr>
      </w:pPr>
      <w:r w:rsidRPr="008B21BA">
        <w:rPr>
          <w:rFonts w:ascii="Palatino Linotype" w:eastAsia="Calibri" w:hAnsi="Palatino Linotype" w:cs="Bookman Old Style"/>
          <w:b/>
          <w:i/>
          <w:sz w:val="22"/>
        </w:rPr>
        <w:t>INTERÉS JURÍDICO EN EL AMPARO. ELEMENTOS CONSTITUTIVOS</w:t>
      </w:r>
      <w:r w:rsidRPr="008B21BA">
        <w:rPr>
          <w:rFonts w:ascii="Palatino Linotype" w:eastAsia="Calibri" w:hAnsi="Palatino Linotype" w:cs="Bookman Old Style"/>
          <w:i/>
          <w:sz w:val="22"/>
        </w:rPr>
        <w:t xml:space="preserve">. </w:t>
      </w:r>
    </w:p>
    <w:p w14:paraId="67454EA6" w14:textId="270585AF" w:rsidR="002956A7" w:rsidRPr="008B21BA" w:rsidRDefault="002956A7" w:rsidP="002E2B04">
      <w:pPr>
        <w:spacing w:after="240" w:line="276" w:lineRule="auto"/>
        <w:ind w:left="567" w:right="851"/>
        <w:jc w:val="both"/>
        <w:rPr>
          <w:rFonts w:ascii="Palatino Linotype" w:eastAsia="Calibri" w:hAnsi="Palatino Linotype" w:cs="Bookman Old Style"/>
          <w:b/>
          <w:i/>
          <w:sz w:val="22"/>
        </w:rPr>
      </w:pPr>
      <w:r w:rsidRPr="008B21BA">
        <w:rPr>
          <w:rFonts w:ascii="Palatino Linotype" w:eastAsia="Calibri" w:hAnsi="Palatino Linotype" w:cs="Bookman Old Style"/>
          <w:b/>
          <w:i/>
          <w:sz w:val="22"/>
          <w:u w:val="single"/>
        </w:rPr>
        <w:t>El artículo 4o. de la Ley de Amparo contempla, para la procedencia del juicio de garantías</w:t>
      </w:r>
      <w:r w:rsidRPr="008B21BA">
        <w:rPr>
          <w:rFonts w:ascii="Palatino Linotype" w:eastAsia="Calibri" w:hAnsi="Palatino Linotype" w:cs="Bookman Old Style"/>
          <w:i/>
          <w:sz w:val="22"/>
        </w:rPr>
        <w:t xml:space="preserve">, </w:t>
      </w:r>
      <w:r w:rsidRPr="008B21BA">
        <w:rPr>
          <w:rFonts w:ascii="Palatino Linotype" w:eastAsia="Calibri" w:hAnsi="Palatino Linotype" w:cs="Bookman Old Style"/>
          <w:b/>
          <w:i/>
          <w:sz w:val="22"/>
          <w:u w:val="single"/>
        </w:rPr>
        <w:t>que el acto reclamado cause un perjuicio a la persona física o moral que se estime afectada, lo que ocurre cuando ese acto lesiona sus intereses jurídicos</w:t>
      </w:r>
      <w:r w:rsidRPr="008B21BA">
        <w:rPr>
          <w:rFonts w:ascii="Palatino Linotype" w:eastAsia="Calibri" w:hAnsi="Palatino Linotype" w:cs="Bookman Old Style"/>
          <w:i/>
          <w:sz w:val="22"/>
        </w:rPr>
        <w:t xml:space="preserve">, en su persona o en su patrimonio, y que de manera concomitante es lo que provoca la génesis de la acción constitucional. Así, como </w:t>
      </w:r>
      <w:r w:rsidRPr="008B21BA">
        <w:rPr>
          <w:rFonts w:ascii="Palatino Linotype" w:eastAsia="Calibri" w:hAnsi="Palatino Linotype" w:cs="Bookman Old Style"/>
          <w:b/>
          <w:i/>
          <w:sz w:val="22"/>
          <w:u w:val="single"/>
        </w:rPr>
        <w:t>la tutela del derecho sólo comprende a bienes jurídicos reales y objetivos</w:t>
      </w:r>
      <w:r w:rsidRPr="008B21BA">
        <w:rPr>
          <w:rFonts w:ascii="Palatino Linotype" w:eastAsia="Calibri" w:hAnsi="Palatino Linotype" w:cs="Bookman Old Style"/>
          <w:i/>
          <w:sz w:val="22"/>
        </w:rPr>
        <w:t xml:space="preserve">, las afectaciones deben igualmente ser </w:t>
      </w:r>
      <w:r w:rsidRPr="008B21BA">
        <w:rPr>
          <w:rFonts w:ascii="Palatino Linotype" w:eastAsia="Calibri" w:hAnsi="Palatino Linotype" w:cs="Bookman Old Style"/>
          <w:b/>
          <w:i/>
          <w:sz w:val="22"/>
          <w:u w:val="single"/>
        </w:rPr>
        <w:t>susceptibles de apreciarse en forma objetiva</w:t>
      </w:r>
      <w:r w:rsidRPr="008B21BA">
        <w:rPr>
          <w:rFonts w:ascii="Palatino Linotype" w:eastAsia="Calibri" w:hAnsi="Palatino Linotype" w:cs="Bookman Old Style"/>
          <w:i/>
          <w:sz w:val="22"/>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8B21BA">
        <w:rPr>
          <w:rFonts w:ascii="Palatino Linotype" w:eastAsia="Calibri" w:hAnsi="Palatino Linotype" w:cs="Bookman Old Style"/>
          <w:b/>
          <w:i/>
          <w:sz w:val="22"/>
          <w:u w:val="single"/>
        </w:rPr>
        <w:t>sin que pueda hablarse entonces de agravio cuando los daños o perjuicios que una persona puede sufrir, no afecten real y efectivamente sus bienes jurídicamente amparados</w:t>
      </w:r>
      <w:r w:rsidRPr="008B21BA">
        <w:rPr>
          <w:rFonts w:ascii="Palatino Linotype" w:eastAsia="Calibri" w:hAnsi="Palatino Linotype" w:cs="Bookman Old Style"/>
          <w:i/>
          <w:sz w:val="22"/>
        </w:rPr>
        <w:t xml:space="preserve">” </w:t>
      </w:r>
      <w:r w:rsidRPr="008B21BA">
        <w:rPr>
          <w:rFonts w:ascii="Palatino Linotype" w:eastAsia="Calibri" w:hAnsi="Palatino Linotype" w:cs="Bookman Old Style"/>
          <w:b/>
          <w:i/>
          <w:sz w:val="22"/>
        </w:rPr>
        <w:t>[Sic]</w:t>
      </w:r>
    </w:p>
    <w:p w14:paraId="68E7244C" w14:textId="77777777" w:rsidR="002956A7" w:rsidRPr="008B21BA" w:rsidRDefault="002956A7" w:rsidP="002956A7">
      <w:pPr>
        <w:widowControl w:val="0"/>
        <w:autoSpaceDE w:val="0"/>
        <w:autoSpaceDN w:val="0"/>
        <w:adjustRightInd w:val="0"/>
        <w:spacing w:after="240" w:line="360" w:lineRule="auto"/>
        <w:ind w:right="49"/>
        <w:jc w:val="both"/>
        <w:rPr>
          <w:rFonts w:ascii="Palatino Linotype" w:eastAsia="Calibri" w:hAnsi="Palatino Linotype" w:cs="Arial"/>
          <w:sz w:val="2"/>
        </w:rPr>
      </w:pPr>
    </w:p>
    <w:p w14:paraId="06686A54" w14:textId="77777777" w:rsidR="002956A7" w:rsidRPr="008B21BA" w:rsidRDefault="002956A7" w:rsidP="002956A7">
      <w:pPr>
        <w:widowControl w:val="0"/>
        <w:autoSpaceDE w:val="0"/>
        <w:autoSpaceDN w:val="0"/>
        <w:adjustRightInd w:val="0"/>
        <w:spacing w:line="360" w:lineRule="auto"/>
        <w:ind w:right="49"/>
        <w:jc w:val="both"/>
        <w:rPr>
          <w:rFonts w:ascii="Palatino Linotype" w:eastAsia="Calibri" w:hAnsi="Palatino Linotype" w:cs="Arial"/>
          <w:u w:val="single"/>
        </w:rPr>
      </w:pPr>
      <w:r w:rsidRPr="008B21BA">
        <w:rPr>
          <w:rFonts w:ascii="Palatino Linotype" w:eastAsia="Calibri" w:hAnsi="Palatino Linotype" w:cs="Arial"/>
        </w:rPr>
        <w:t xml:space="preserve">Precisado lo anterior, se advierte que </w:t>
      </w:r>
      <w:r w:rsidRPr="008B21BA">
        <w:rPr>
          <w:rFonts w:ascii="Palatino Linotype" w:eastAsia="Calibri" w:hAnsi="Palatino Linotype" w:cs="Arial"/>
          <w:u w:val="single"/>
        </w:rPr>
        <w:t xml:space="preserve">el </w:t>
      </w:r>
      <w:r w:rsidRPr="008B21BA">
        <w:rPr>
          <w:rFonts w:ascii="Palatino Linotype" w:eastAsia="Calibri" w:hAnsi="Palatino Linotype" w:cs="Arial"/>
          <w:b/>
          <w:u w:val="single"/>
        </w:rPr>
        <w:t>Recurrente</w:t>
      </w:r>
      <w:r w:rsidRPr="008B21BA">
        <w:rPr>
          <w:rFonts w:ascii="Palatino Linotype" w:eastAsia="Calibri" w:hAnsi="Palatino Linotype" w:cs="Arial"/>
          <w:u w:val="single"/>
        </w:rPr>
        <w:t xml:space="preserve"> al realizar su solicitud de acceso a datos personales, exhibió ante el </w:t>
      </w:r>
      <w:r w:rsidRPr="008B21BA">
        <w:rPr>
          <w:rFonts w:ascii="Palatino Linotype" w:eastAsia="Calibri" w:hAnsi="Palatino Linotype" w:cs="Arial"/>
          <w:b/>
          <w:u w:val="single"/>
        </w:rPr>
        <w:t>Sujeto Obligado</w:t>
      </w:r>
      <w:r w:rsidRPr="008B21BA">
        <w:rPr>
          <w:rFonts w:ascii="Palatino Linotype" w:eastAsia="Calibri" w:hAnsi="Palatino Linotype" w:cs="Arial"/>
          <w:u w:val="single"/>
        </w:rPr>
        <w:t xml:space="preserve"> documentos que pudieran permitieran reconocerle el interés jurídico y legitimo para ejercer los derechos ARCO a nombre y representación, tales como la identificación oficial y la tarjeta de circulación del vehículo alusivo, con esto, acreditando la titularidad del bien mueble referido en la solicitud de información.</w:t>
      </w:r>
    </w:p>
    <w:p w14:paraId="6EC3CF83" w14:textId="77777777" w:rsidR="002956A7" w:rsidRPr="008B21BA" w:rsidRDefault="002956A7" w:rsidP="002956A7">
      <w:pPr>
        <w:widowControl w:val="0"/>
        <w:autoSpaceDE w:val="0"/>
        <w:autoSpaceDN w:val="0"/>
        <w:adjustRightInd w:val="0"/>
        <w:spacing w:line="360" w:lineRule="auto"/>
        <w:ind w:right="49"/>
        <w:jc w:val="both"/>
        <w:rPr>
          <w:rFonts w:ascii="Palatino Linotype" w:eastAsia="Calibri" w:hAnsi="Palatino Linotype" w:cs="Arial"/>
          <w:u w:val="single"/>
        </w:rPr>
      </w:pPr>
    </w:p>
    <w:p w14:paraId="68FCBADD" w14:textId="77777777" w:rsidR="002956A7" w:rsidRPr="008B21BA" w:rsidRDefault="002956A7" w:rsidP="002956A7">
      <w:pPr>
        <w:widowControl w:val="0"/>
        <w:autoSpaceDE w:val="0"/>
        <w:autoSpaceDN w:val="0"/>
        <w:adjustRightInd w:val="0"/>
        <w:spacing w:line="360" w:lineRule="auto"/>
        <w:ind w:right="49"/>
        <w:jc w:val="both"/>
        <w:rPr>
          <w:rFonts w:ascii="Palatino Linotype" w:eastAsia="Calibri" w:hAnsi="Palatino Linotype"/>
        </w:rPr>
      </w:pPr>
      <w:r w:rsidRPr="008B21BA">
        <w:rPr>
          <w:rFonts w:ascii="Palatino Linotype" w:eastAsia="Calibri" w:hAnsi="Palatino Linotype" w:cs="Arial"/>
        </w:rPr>
        <w:lastRenderedPageBreak/>
        <w:t xml:space="preserve">En ese orden de ideas, al presentar su identificación oficial, </w:t>
      </w:r>
      <w:r w:rsidRPr="008B21BA">
        <w:rPr>
          <w:rFonts w:ascii="Palatino Linotype" w:hAnsi="Palatino Linotype" w:cs="Arial"/>
        </w:rPr>
        <w:t xml:space="preserve">cumple con el requisito señalado con anterioridad ya que acredita el interés legítimo, para lo cual sirve de sustento los </w:t>
      </w:r>
      <w:r w:rsidRPr="008B21BA">
        <w:rPr>
          <w:rFonts w:ascii="Palatino Linotype" w:eastAsia="Calibri" w:hAnsi="Palatino Linotype"/>
        </w:rPr>
        <w:t xml:space="preserve">criterios relevantes que ha emitido nuestro máximo Tribunal Constitucional en cuanto al interés legítimo, a través de </w:t>
      </w:r>
      <w:r w:rsidRPr="008B21BA">
        <w:rPr>
          <w:rFonts w:ascii="Palatino Linotype" w:eastAsia="Calibri" w:hAnsi="Palatino Linotype" w:cs="Arial"/>
          <w:lang w:eastAsia="es-MX"/>
        </w:rPr>
        <w:t xml:space="preserve">las Jurisprudencias y Tesis Aisladas con números de registro </w:t>
      </w:r>
      <w:r w:rsidRPr="008B21BA">
        <w:rPr>
          <w:rFonts w:ascii="Palatino Linotype" w:eastAsia="Calibri" w:hAnsi="Palatino Linotype"/>
          <w:b/>
        </w:rPr>
        <w:t>185376, 185377, 2005078</w:t>
      </w:r>
      <w:r w:rsidRPr="008B21BA">
        <w:rPr>
          <w:rFonts w:ascii="Palatino Linotype" w:eastAsia="Calibri" w:hAnsi="Palatino Linotype"/>
        </w:rPr>
        <w:t xml:space="preserve"> y </w:t>
      </w:r>
      <w:r w:rsidRPr="008B21BA">
        <w:rPr>
          <w:rFonts w:ascii="Palatino Linotype" w:eastAsia="Calibri" w:hAnsi="Palatino Linotype"/>
          <w:b/>
        </w:rPr>
        <w:t>2003608</w:t>
      </w:r>
      <w:r w:rsidRPr="008B21BA">
        <w:rPr>
          <w:rFonts w:ascii="Palatino Linotype" w:eastAsia="Calibri" w:hAnsi="Palatino Linotype"/>
        </w:rPr>
        <w:t xml:space="preserve"> cuyos textos y sentidos literales respectivos, son los siguientes:</w:t>
      </w:r>
    </w:p>
    <w:p w14:paraId="4299AE3D" w14:textId="77777777" w:rsidR="002956A7" w:rsidRPr="008B21BA" w:rsidRDefault="002956A7" w:rsidP="002956A7">
      <w:pPr>
        <w:widowControl w:val="0"/>
        <w:autoSpaceDE w:val="0"/>
        <w:autoSpaceDN w:val="0"/>
        <w:adjustRightInd w:val="0"/>
        <w:spacing w:line="360" w:lineRule="auto"/>
        <w:ind w:right="49"/>
        <w:jc w:val="both"/>
        <w:rPr>
          <w:rFonts w:ascii="Palatino Linotype" w:eastAsia="Calibri" w:hAnsi="Palatino Linotype" w:cs="Arial"/>
          <w:i/>
        </w:rPr>
      </w:pPr>
    </w:p>
    <w:p w14:paraId="1CBE40F7" w14:textId="77777777" w:rsidR="002956A7" w:rsidRPr="008B21BA" w:rsidRDefault="002956A7" w:rsidP="002956A7">
      <w:pPr>
        <w:spacing w:line="276" w:lineRule="auto"/>
        <w:ind w:left="567" w:right="851"/>
        <w:jc w:val="both"/>
        <w:rPr>
          <w:rFonts w:ascii="Palatino Linotype" w:eastAsia="Calibri" w:hAnsi="Palatino Linotype"/>
          <w:i/>
          <w:sz w:val="22"/>
        </w:rPr>
      </w:pPr>
      <w:r w:rsidRPr="008B21BA">
        <w:rPr>
          <w:rFonts w:ascii="Palatino Linotype" w:eastAsia="Calibri" w:hAnsi="Palatino Linotype"/>
          <w:i/>
          <w:sz w:val="22"/>
        </w:rPr>
        <w:t>“</w:t>
      </w:r>
      <w:r w:rsidRPr="008B21BA">
        <w:rPr>
          <w:rFonts w:ascii="Palatino Linotype" w:eastAsia="Calibri" w:hAnsi="Palatino Linotype"/>
          <w:b/>
          <w:i/>
          <w:sz w:val="22"/>
        </w:rPr>
        <w:t>INTERÉS LEGÍTIMO, NOCIÓN DE, PARA LA PROCEDENCIA DEL JUICIO ANTE EL TRIBUNAL DE LO CONTENCIOSO ADMINISTRATIVO DEL DISTRITO FEDERAL</w:t>
      </w:r>
      <w:r w:rsidRPr="008B21BA">
        <w:rPr>
          <w:rFonts w:ascii="Palatino Linotype" w:eastAsia="Calibri" w:hAnsi="Palatino Linotype"/>
          <w:i/>
          <w:sz w:val="22"/>
        </w:rPr>
        <w:t>.</w:t>
      </w:r>
    </w:p>
    <w:p w14:paraId="49CEFF4C" w14:textId="77777777" w:rsidR="002956A7" w:rsidRPr="008B21BA" w:rsidRDefault="002956A7" w:rsidP="002956A7">
      <w:pPr>
        <w:spacing w:line="276" w:lineRule="auto"/>
        <w:ind w:left="567" w:right="851"/>
        <w:jc w:val="both"/>
        <w:rPr>
          <w:rFonts w:ascii="Palatino Linotype" w:eastAsia="Calibri" w:hAnsi="Palatino Linotype"/>
          <w:b/>
          <w:i/>
          <w:sz w:val="22"/>
        </w:rPr>
      </w:pPr>
      <w:r w:rsidRPr="008B21BA">
        <w:rPr>
          <w:rFonts w:ascii="Palatino Linotype" w:eastAsia="Calibri" w:hAnsi="Palatino Linotype"/>
          <w:i/>
          <w:sz w:val="22"/>
        </w:rPr>
        <w:t xml:space="preserve"> De acuerdo con los artículos 34 y 72, fracción V, de la Ley del Tribunal de lo Contencioso Administrativo del Distrito Federal, </w:t>
      </w:r>
      <w:r w:rsidRPr="008B21BA">
        <w:rPr>
          <w:rFonts w:ascii="Palatino Linotype" w:eastAsia="Calibri" w:hAnsi="Palatino Linotype"/>
          <w:i/>
          <w:sz w:val="22"/>
          <w:u w:val="single"/>
        </w:rPr>
        <w:t>para la procedencia del juicio administrativo basta con que el acto de autoridad impugnado afecte la esfera jurídica del actor, para que le asista un interés legítimo para demandar la nulidad de ese acto</w:t>
      </w:r>
      <w:r w:rsidRPr="008B21BA">
        <w:rPr>
          <w:rFonts w:ascii="Palatino Linotype" w:eastAsia="Calibri" w:hAnsi="Palatino Linotype"/>
          <w:i/>
          <w:sz w:val="22"/>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8B21BA">
        <w:rPr>
          <w:rFonts w:ascii="Palatino Linotype" w:eastAsia="Calibri" w:hAnsi="Palatino Linotype"/>
          <w:b/>
          <w:i/>
          <w:sz w:val="22"/>
          <w:u w:val="single"/>
        </w:rPr>
        <w:t>En efecto, tales preceptos aluden a la procedencia o improcedencia del juicio administrativo, a los presupuestos de admisibilidad de la acción ante el Tribunal de lo Contencioso Administrativo</w:t>
      </w:r>
      <w:r w:rsidRPr="008B21BA">
        <w:rPr>
          <w:rFonts w:ascii="Palatino Linotype" w:eastAsia="Calibri" w:hAnsi="Palatino Linotype"/>
          <w:b/>
          <w:i/>
          <w:sz w:val="22"/>
        </w:rPr>
        <w:t xml:space="preserve">; </w:t>
      </w:r>
      <w:r w:rsidRPr="008B21BA">
        <w:rPr>
          <w:rFonts w:ascii="Palatino Linotype" w:eastAsia="Calibri" w:hAnsi="Palatino Linotype"/>
          <w:b/>
          <w:i/>
          <w:sz w:val="22"/>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8B21BA">
        <w:rPr>
          <w:rFonts w:ascii="Palatino Linotype" w:eastAsia="Calibri" w:hAnsi="Palatino Linotype"/>
          <w:i/>
          <w:sz w:val="22"/>
        </w:rPr>
        <w:t xml:space="preserve"> </w:t>
      </w:r>
      <w:r w:rsidRPr="008B21BA">
        <w:rPr>
          <w:rFonts w:ascii="Palatino Linotype" w:eastAsia="Calibri" w:hAnsi="Palatino Linotype"/>
          <w:i/>
          <w:sz w:val="22"/>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8B21BA">
        <w:rPr>
          <w:rFonts w:ascii="Palatino Linotype" w:eastAsia="Calibri" w:hAnsi="Palatino Linotype"/>
          <w:i/>
          <w:sz w:val="22"/>
        </w:rPr>
        <w:t xml:space="preserve">, de donde se sigue que los preceptos de la ley analizada, </w:t>
      </w:r>
      <w:r w:rsidRPr="008B21BA">
        <w:rPr>
          <w:rFonts w:ascii="Palatino Linotype" w:eastAsia="Calibri" w:hAnsi="Palatino Linotype"/>
          <w:b/>
          <w:i/>
          <w:sz w:val="22"/>
        </w:rPr>
        <w:t>al requerir un interés legítimo como presupuesto de admisibilidad de la acción correspondiente, también comprende por mayoría de razón al referido interés jurídico, al resultar aquél de mayores alcances que éste.</w:t>
      </w:r>
    </w:p>
    <w:p w14:paraId="2524EFF6" w14:textId="77777777" w:rsidR="002956A7" w:rsidRPr="008B21BA" w:rsidRDefault="002956A7" w:rsidP="002956A7">
      <w:pPr>
        <w:spacing w:line="276" w:lineRule="auto"/>
        <w:ind w:left="567" w:right="851"/>
        <w:jc w:val="both"/>
        <w:rPr>
          <w:rFonts w:ascii="Palatino Linotype" w:eastAsia="Calibri" w:hAnsi="Palatino Linotype"/>
          <w:b/>
          <w:i/>
          <w:sz w:val="22"/>
        </w:rPr>
      </w:pPr>
    </w:p>
    <w:p w14:paraId="151672AF" w14:textId="77777777" w:rsidR="002956A7" w:rsidRPr="008B21BA" w:rsidRDefault="002956A7" w:rsidP="002956A7">
      <w:pPr>
        <w:spacing w:line="276" w:lineRule="auto"/>
        <w:ind w:left="567" w:right="851"/>
        <w:jc w:val="both"/>
        <w:rPr>
          <w:rFonts w:ascii="Palatino Linotype" w:eastAsia="Calibri" w:hAnsi="Palatino Linotype"/>
          <w:b/>
          <w:i/>
          <w:sz w:val="22"/>
        </w:rPr>
      </w:pPr>
      <w:r w:rsidRPr="008B21BA">
        <w:rPr>
          <w:rFonts w:ascii="Palatino Linotype" w:eastAsia="Calibri" w:hAnsi="Palatino Linotype"/>
          <w:b/>
          <w:i/>
          <w:sz w:val="22"/>
        </w:rPr>
        <w:lastRenderedPageBreak/>
        <w:t>INTERÉS LEGÍTIMO E INTERÉS JURÍDICO. AMBOS TÉRMINOS TIENEN DIFERENTE CONNOTACIÓN EN EL JUICIO CONTENCIOSO ADMINISTRATIVO</w:t>
      </w:r>
      <w:r w:rsidRPr="008B21BA">
        <w:rPr>
          <w:rFonts w:ascii="Palatino Linotype" w:eastAsia="Calibri" w:hAnsi="Palatino Linotype"/>
          <w:i/>
          <w:sz w:val="22"/>
        </w:rPr>
        <w:t xml:space="preserve">. </w:t>
      </w:r>
    </w:p>
    <w:p w14:paraId="193A4D89" w14:textId="77777777" w:rsidR="002956A7" w:rsidRPr="008B21BA" w:rsidRDefault="002956A7" w:rsidP="002956A7">
      <w:pPr>
        <w:spacing w:line="276" w:lineRule="auto"/>
        <w:ind w:left="567" w:right="851"/>
        <w:jc w:val="both"/>
        <w:rPr>
          <w:rFonts w:ascii="Palatino Linotype" w:eastAsia="Calibri" w:hAnsi="Palatino Linotype"/>
          <w:b/>
          <w:i/>
          <w:sz w:val="22"/>
          <w:u w:val="single"/>
        </w:rPr>
      </w:pPr>
      <w:r w:rsidRPr="008B21BA">
        <w:rPr>
          <w:rFonts w:ascii="Palatino Linotype" w:eastAsia="Calibri" w:hAnsi="Palatino Linotype"/>
          <w:i/>
          <w:sz w:val="22"/>
        </w:rPr>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8B21BA">
        <w:rPr>
          <w:rFonts w:ascii="Palatino Linotype" w:eastAsia="Calibri" w:hAnsi="Palatino Linotype"/>
          <w:b/>
          <w:i/>
          <w:sz w:val="22"/>
          <w:u w:val="single"/>
        </w:rPr>
        <w:t>uno de los principales objetivos pretendidos con este último, fue precisamente permitir el acceso a la justicia administrativa a aquellos particulares afectados en su esfera jurídica por actos administrativos (interés legítimo), no obstante carecieran de la titularidad del derecho subjetivo respectivo (interés jurídico), con la finalidad clara de ampliar el número de gobernados que pudieran accesar al procedimiento en defensa de sus intereses</w:t>
      </w:r>
      <w:r w:rsidRPr="008B21BA">
        <w:rPr>
          <w:rFonts w:ascii="Palatino Linotype" w:eastAsia="Calibri" w:hAnsi="Palatino Linotype"/>
          <w:i/>
          <w:sz w:val="22"/>
        </w:rPr>
        <w:t xml:space="preserve">. Así, el interés jurídico tiene una connotación diversa a la del legítimo, pues mientras el primero requiere que se acredite la afectación a un derecho subjetivo, </w:t>
      </w:r>
      <w:r w:rsidRPr="008B21BA">
        <w:rPr>
          <w:rFonts w:ascii="Palatino Linotype" w:eastAsia="Calibri" w:hAnsi="Palatino Linotype"/>
          <w:b/>
          <w:i/>
          <w:sz w:val="22"/>
          <w:u w:val="single"/>
        </w:rPr>
        <w:t>el segundo supone únicamente la existencia de un interés cualificado respecto de la legalidad de los actos impugnados, interés que proviene de la afectación a la esfera jurídica del individuo, ya sea directa o derivada de su situación particular respecto del orden jurídico.</w:t>
      </w:r>
    </w:p>
    <w:p w14:paraId="6CBD4FD1" w14:textId="77777777" w:rsidR="002956A7" w:rsidRPr="008B21BA" w:rsidRDefault="002956A7" w:rsidP="002956A7">
      <w:pPr>
        <w:spacing w:line="276" w:lineRule="auto"/>
        <w:ind w:left="567" w:right="851"/>
        <w:jc w:val="both"/>
        <w:rPr>
          <w:rFonts w:ascii="Palatino Linotype" w:eastAsia="Calibri" w:hAnsi="Palatino Linotype"/>
          <w:b/>
          <w:i/>
          <w:sz w:val="2"/>
          <w:u w:val="single"/>
        </w:rPr>
      </w:pPr>
    </w:p>
    <w:p w14:paraId="35ABF6F8" w14:textId="77777777" w:rsidR="002956A7" w:rsidRPr="008B21BA" w:rsidRDefault="002956A7" w:rsidP="002956A7">
      <w:pPr>
        <w:spacing w:line="276" w:lineRule="auto"/>
        <w:ind w:left="567" w:right="851"/>
        <w:jc w:val="both"/>
        <w:rPr>
          <w:rFonts w:ascii="Palatino Linotype" w:eastAsia="Calibri" w:hAnsi="Palatino Linotype"/>
          <w:b/>
          <w:i/>
          <w:sz w:val="22"/>
        </w:rPr>
      </w:pPr>
    </w:p>
    <w:p w14:paraId="212E4D41" w14:textId="77777777" w:rsidR="002956A7" w:rsidRPr="008B21BA" w:rsidRDefault="002956A7" w:rsidP="002956A7">
      <w:pPr>
        <w:spacing w:line="276" w:lineRule="auto"/>
        <w:ind w:left="567" w:right="851"/>
        <w:jc w:val="both"/>
        <w:rPr>
          <w:rFonts w:ascii="Palatino Linotype" w:eastAsia="Calibri" w:hAnsi="Palatino Linotype"/>
          <w:i/>
          <w:sz w:val="22"/>
        </w:rPr>
      </w:pPr>
      <w:r w:rsidRPr="008B21BA">
        <w:rPr>
          <w:rFonts w:ascii="Palatino Linotype" w:eastAsia="Calibri" w:hAnsi="Palatino Linotype"/>
          <w:b/>
          <w:i/>
          <w:sz w:val="22"/>
        </w:rPr>
        <w:t xml:space="preserve">INTERÉS LEGÍTIMO EN EL AMPARO. SU ORIGEN Y CARACTERÍSTICAS. </w:t>
      </w:r>
      <w:r w:rsidRPr="008B21BA">
        <w:rPr>
          <w:rFonts w:ascii="Palatino Linotype" w:eastAsia="Calibri" w:hAnsi="Palatino Linotype"/>
          <w:b/>
          <w:i/>
          <w:sz w:val="22"/>
          <w:u w:val="single"/>
        </w:rPr>
        <w:t>El interés legítimo tiene su origen en las llamadas normas de acción</w:t>
      </w:r>
      <w:r w:rsidRPr="008B21BA">
        <w:rPr>
          <w:rFonts w:ascii="Palatino Linotype" w:eastAsia="Calibri" w:hAnsi="Palatino Linotype"/>
          <w:i/>
          <w:sz w:val="22"/>
        </w:rPr>
        <w:t xml:space="preserve">, las cuales regulan lo relativo a la organización, contenido y procedimientos que han de regir la actividad administrativa, y </w:t>
      </w:r>
      <w:r w:rsidRPr="008B21BA">
        <w:rPr>
          <w:rFonts w:ascii="Palatino Linotype" w:eastAsia="Calibri" w:hAnsi="Palatino Linotype"/>
          <w:i/>
          <w:sz w:val="22"/>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8B21BA">
        <w:rPr>
          <w:rFonts w:ascii="Palatino Linotype" w:eastAsia="Calibri" w:hAnsi="Palatino Linotype"/>
          <w:i/>
          <w:sz w:val="22"/>
        </w:rPr>
        <w:t xml:space="preserve"> En ese contexto, por </w:t>
      </w:r>
      <w:r w:rsidRPr="008B21BA">
        <w:rPr>
          <w:rFonts w:ascii="Palatino Linotype" w:eastAsia="Calibri" w:hAnsi="Palatino Linotype"/>
          <w:b/>
          <w:i/>
          <w:sz w:val="22"/>
          <w:u w:val="single"/>
        </w:rPr>
        <w:t>el actuar de la administración, un determinado sujeto de derecho puede llegar a tener una ventaja en relación con los demás, o bien, sufrir un daño</w:t>
      </w:r>
      <w:r w:rsidRPr="008B21BA">
        <w:rPr>
          <w:rFonts w:ascii="Palatino Linotype" w:eastAsia="Calibri" w:hAnsi="Palatino Linotype"/>
          <w:i/>
          <w:sz w:val="22"/>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8B21BA">
        <w:rPr>
          <w:rFonts w:ascii="Palatino Linotype" w:eastAsia="Calibri" w:hAnsi="Palatino Linotype"/>
          <w:b/>
          <w:i/>
          <w:sz w:val="22"/>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8B21BA">
        <w:rPr>
          <w:rFonts w:ascii="Palatino Linotype" w:eastAsia="Calibri" w:hAnsi="Palatino Linotype"/>
          <w:i/>
          <w:sz w:val="22"/>
        </w:rPr>
        <w:t xml:space="preserve"> Por tanto, el quejoso debe </w:t>
      </w:r>
      <w:r w:rsidRPr="008B21BA">
        <w:rPr>
          <w:rFonts w:ascii="Palatino Linotype" w:eastAsia="Calibri" w:hAnsi="Palatino Linotype"/>
          <w:i/>
          <w:sz w:val="22"/>
        </w:rPr>
        <w:lastRenderedPageBreak/>
        <w:t>acreditar que se encuentra en esa especial situación que afecta su esfera jurídica con el acatamiento de las llamadas normas de acción, a fin de demostrar su legitimación para instar la acción de amparo.</w:t>
      </w:r>
    </w:p>
    <w:p w14:paraId="08568332" w14:textId="77777777" w:rsidR="002956A7" w:rsidRPr="008B21BA" w:rsidRDefault="002956A7" w:rsidP="002956A7">
      <w:pPr>
        <w:spacing w:line="276" w:lineRule="auto"/>
        <w:ind w:left="567" w:right="851"/>
        <w:jc w:val="both"/>
        <w:rPr>
          <w:rFonts w:ascii="Palatino Linotype" w:eastAsia="Calibri" w:hAnsi="Palatino Linotype"/>
          <w:i/>
          <w:sz w:val="6"/>
        </w:rPr>
      </w:pPr>
    </w:p>
    <w:p w14:paraId="79F3BAB3" w14:textId="77777777" w:rsidR="002956A7" w:rsidRPr="008B21BA" w:rsidRDefault="002956A7" w:rsidP="002956A7">
      <w:pPr>
        <w:spacing w:line="276" w:lineRule="auto"/>
        <w:ind w:left="567" w:right="851"/>
        <w:jc w:val="both"/>
        <w:rPr>
          <w:rFonts w:ascii="Palatino Linotype" w:eastAsia="Calibri" w:hAnsi="Palatino Linotype"/>
          <w:i/>
          <w:sz w:val="22"/>
        </w:rPr>
      </w:pPr>
    </w:p>
    <w:p w14:paraId="164E654F" w14:textId="77777777" w:rsidR="002956A7" w:rsidRPr="008B21BA" w:rsidRDefault="002956A7" w:rsidP="002956A7">
      <w:pPr>
        <w:spacing w:line="276" w:lineRule="auto"/>
        <w:ind w:left="567" w:right="851"/>
        <w:jc w:val="both"/>
        <w:rPr>
          <w:rFonts w:ascii="Palatino Linotype" w:eastAsia="Calibri" w:hAnsi="Palatino Linotype"/>
          <w:i/>
          <w:sz w:val="22"/>
        </w:rPr>
      </w:pPr>
      <w:r w:rsidRPr="008B21BA">
        <w:rPr>
          <w:rFonts w:ascii="Palatino Linotype" w:eastAsia="Calibri" w:hAnsi="Palatino Linotype"/>
          <w:i/>
          <w:sz w:val="22"/>
        </w:rPr>
        <w:t>INTERÉS JURÍDICO</w:t>
      </w:r>
      <w:r w:rsidRPr="008B21BA">
        <w:rPr>
          <w:rFonts w:ascii="Palatino Linotype" w:eastAsia="Calibri" w:hAnsi="Palatino Linotype"/>
          <w:b/>
          <w:i/>
          <w:sz w:val="22"/>
        </w:rPr>
        <w:t xml:space="preserve"> E </w:t>
      </w:r>
      <w:r w:rsidRPr="008B21BA">
        <w:rPr>
          <w:rFonts w:ascii="Palatino Linotype" w:eastAsia="Calibri" w:hAnsi="Palatino Linotype"/>
          <w:b/>
          <w:i/>
          <w:sz w:val="22"/>
          <w:u w:val="single"/>
        </w:rPr>
        <w:t>INTERÉS LEGÍTIMO</w:t>
      </w:r>
      <w:r w:rsidRPr="008B21BA">
        <w:rPr>
          <w:rFonts w:ascii="Palatino Linotype" w:eastAsia="Calibri" w:hAnsi="Palatino Linotype"/>
          <w:b/>
          <w:i/>
          <w:sz w:val="22"/>
        </w:rPr>
        <w:t xml:space="preserve"> PARA EFECTOS DE LA PROCEDENCIA DEL JUICIO DE AMPARO CONFORME AL ARTÍCULO 107, FRACCIÓN I, DE LA CONSTITUCIÓN FEDERAL, VIGENTE A PARTIR DEL 4 DE OCTUBRE DE 2011. SUS DIFERENCIAS.</w:t>
      </w:r>
      <w:r w:rsidRPr="008B21BA">
        <w:rPr>
          <w:rFonts w:ascii="Palatino Linotype" w:eastAsia="Calibri" w:hAnsi="Palatino Linotype"/>
          <w:i/>
          <w:sz w:val="22"/>
        </w:rPr>
        <w:t xml:space="preserve"> </w:t>
      </w:r>
    </w:p>
    <w:p w14:paraId="589139FA" w14:textId="77777777" w:rsidR="002956A7" w:rsidRPr="008B21BA" w:rsidRDefault="002956A7" w:rsidP="002956A7">
      <w:pPr>
        <w:spacing w:line="276" w:lineRule="auto"/>
        <w:ind w:left="567" w:right="851"/>
        <w:jc w:val="both"/>
        <w:rPr>
          <w:rFonts w:ascii="Palatino Linotype" w:eastAsia="Calibri" w:hAnsi="Palatino Linotype"/>
          <w:i/>
          <w:sz w:val="22"/>
        </w:rPr>
      </w:pPr>
      <w:r w:rsidRPr="008B21BA">
        <w:rPr>
          <w:rFonts w:ascii="Palatino Linotype" w:eastAsia="Calibri" w:hAnsi="Palatino Linotype"/>
          <w:i/>
          <w:sz w:val="22"/>
        </w:rPr>
        <w:t xml:space="preserve">Conforme al artículo 107, fracciones I y II, de la Constitución Política de los Estados Unidos Mexicanos, vigente a partir del 4 de octubre de 2011, el juicio de amparo podrá promoverse por la parte que resienta el agravio causado por el acto reclamado (interés jurídico) </w:t>
      </w:r>
      <w:r w:rsidRPr="008B21BA">
        <w:rPr>
          <w:rFonts w:ascii="Palatino Linotype" w:eastAsia="Calibri" w:hAnsi="Palatino Linotype"/>
          <w:b/>
          <w:i/>
          <w:sz w:val="22"/>
          <w:u w:val="single"/>
        </w:rPr>
        <w:t>o, en su caso, por aquella que tenga un interés cualificado respecto de la constitucionalidad de los actos reclamados (interés legítimo),</w:t>
      </w:r>
      <w:r w:rsidRPr="008B21BA">
        <w:rPr>
          <w:rFonts w:ascii="Palatino Linotype" w:eastAsia="Calibri" w:hAnsi="Palatino Linotype"/>
          <w:i/>
          <w:sz w:val="22"/>
        </w:rPr>
        <w:t xml:space="preserve"> el </w:t>
      </w:r>
      <w:r w:rsidRPr="008B21BA">
        <w:rPr>
          <w:rFonts w:ascii="Palatino Linotype" w:eastAsia="Calibri" w:hAnsi="Palatino Linotype"/>
          <w:b/>
          <w:i/>
          <w:sz w:val="22"/>
          <w:u w:val="single"/>
        </w:rPr>
        <w:t>cual proviene de la afectación a su esfera jurídica</w:t>
      </w:r>
      <w:r w:rsidRPr="008B21BA">
        <w:rPr>
          <w:rFonts w:ascii="Palatino Linotype" w:eastAsia="Calibri" w:hAnsi="Palatino Linotype"/>
          <w:i/>
          <w:sz w:val="22"/>
        </w:rPr>
        <w:t>, ya sea directa o derivada de su situación particular respecto del orden jurídico, para que la sentencia que se dicte sólo la proteja a ella, en cumplimiento del principio conocido como de relatividad o particularidad de las sentencias. …”</w:t>
      </w:r>
    </w:p>
    <w:p w14:paraId="566A0116" w14:textId="77777777" w:rsidR="002956A7" w:rsidRPr="008B21BA" w:rsidRDefault="002956A7" w:rsidP="002956A7">
      <w:pPr>
        <w:widowControl w:val="0"/>
        <w:autoSpaceDE w:val="0"/>
        <w:autoSpaceDN w:val="0"/>
        <w:adjustRightInd w:val="0"/>
        <w:spacing w:line="360" w:lineRule="auto"/>
        <w:ind w:right="49"/>
        <w:jc w:val="both"/>
        <w:rPr>
          <w:rFonts w:ascii="Palatino Linotype" w:eastAsia="Calibri" w:hAnsi="Palatino Linotype" w:cs="Arial"/>
        </w:rPr>
      </w:pPr>
    </w:p>
    <w:p w14:paraId="3BB89DF5" w14:textId="77777777" w:rsidR="002956A7" w:rsidRPr="008B21BA" w:rsidRDefault="002956A7" w:rsidP="002956A7">
      <w:pPr>
        <w:widowControl w:val="0"/>
        <w:autoSpaceDE w:val="0"/>
        <w:autoSpaceDN w:val="0"/>
        <w:adjustRightInd w:val="0"/>
        <w:spacing w:line="360" w:lineRule="auto"/>
        <w:ind w:right="49"/>
        <w:jc w:val="both"/>
        <w:rPr>
          <w:rFonts w:ascii="Palatino Linotype" w:eastAsia="Calibri" w:hAnsi="Palatino Linotype" w:cs="Arial"/>
          <w:i/>
        </w:rPr>
      </w:pPr>
      <w:r w:rsidRPr="008B21BA">
        <w:rPr>
          <w:rFonts w:ascii="Palatino Linotype" w:eastAsia="Calibri" w:hAnsi="Palatino Linotype" w:cs="Arial"/>
        </w:rPr>
        <w:t xml:space="preserve">Precisado lo anterior, se advierte que la parte </w:t>
      </w:r>
      <w:r w:rsidRPr="008B21BA">
        <w:rPr>
          <w:rFonts w:ascii="Palatino Linotype" w:eastAsia="Calibri" w:hAnsi="Palatino Linotype" w:cs="Arial"/>
          <w:b/>
        </w:rPr>
        <w:t>Recurrente</w:t>
      </w:r>
      <w:r w:rsidRPr="008B21BA">
        <w:rPr>
          <w:rFonts w:ascii="Palatino Linotype" w:eastAsia="Calibri" w:hAnsi="Palatino Linotype" w:cs="Arial"/>
        </w:rPr>
        <w:t xml:space="preserve"> acredita su interés legítimo al acceso a datos personales al dar cumplimiento a</w:t>
      </w:r>
      <w:r w:rsidRPr="008B21BA">
        <w:rPr>
          <w:rFonts w:ascii="Palatino Linotype" w:eastAsia="Calibri" w:hAnsi="Palatino Linotype" w:cs="Arial"/>
          <w:lang w:val="es-ES_tradnl"/>
        </w:rPr>
        <w:t xml:space="preserve"> las formalidades previstas por la </w:t>
      </w:r>
      <w:r w:rsidRPr="008B21BA">
        <w:rPr>
          <w:rFonts w:ascii="Palatino Linotype" w:eastAsia="Calibri" w:hAnsi="Palatino Linotype" w:cs="Arial"/>
        </w:rPr>
        <w:t>Ley de Protección de Datos Personales en Posesión de Sujetos Obligados del Estado de México y Municipios</w:t>
      </w:r>
      <w:r w:rsidRPr="008B21BA">
        <w:rPr>
          <w:rFonts w:ascii="Palatino Linotype" w:eastAsia="Calibri" w:hAnsi="Palatino Linotype" w:cs="Arial"/>
          <w:lang w:val="es-ES_tradnl"/>
        </w:rPr>
        <w:t>; por lo que u</w:t>
      </w:r>
      <w:r w:rsidRPr="008B21BA">
        <w:rPr>
          <w:rFonts w:ascii="Palatino Linotype" w:eastAsia="Calibri" w:hAnsi="Palatino Linotype" w:cs="Arial"/>
        </w:rPr>
        <w:t xml:space="preserve">na vez sentado lo anterior, se precisan las siguientes consideraciones: </w:t>
      </w:r>
    </w:p>
    <w:p w14:paraId="3490883C" w14:textId="77777777" w:rsidR="002956A7" w:rsidRPr="008B21BA" w:rsidRDefault="002956A7" w:rsidP="002956A7">
      <w:pPr>
        <w:widowControl w:val="0"/>
        <w:autoSpaceDE w:val="0"/>
        <w:autoSpaceDN w:val="0"/>
        <w:adjustRightInd w:val="0"/>
        <w:spacing w:line="360" w:lineRule="auto"/>
        <w:ind w:right="49"/>
        <w:jc w:val="both"/>
        <w:rPr>
          <w:rFonts w:ascii="Palatino Linotype" w:eastAsia="Calibri" w:hAnsi="Palatino Linotype" w:cs="Arial"/>
        </w:rPr>
      </w:pPr>
    </w:p>
    <w:p w14:paraId="603B1DCF" w14:textId="3363E337" w:rsidR="008B3206" w:rsidRPr="008B21BA" w:rsidRDefault="002956A7" w:rsidP="008B3206">
      <w:pPr>
        <w:spacing w:line="360" w:lineRule="auto"/>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La parte </w:t>
      </w:r>
      <w:r w:rsidRPr="008B21BA">
        <w:rPr>
          <w:rFonts w:ascii="Palatino Linotype" w:eastAsia="Calibri" w:hAnsi="Palatino Linotype"/>
          <w:b/>
          <w:color w:val="000000" w:themeColor="text1"/>
          <w:lang w:val="es-ES_tradnl"/>
        </w:rPr>
        <w:t>Recurrente</w:t>
      </w:r>
      <w:r w:rsidRPr="008B21BA">
        <w:rPr>
          <w:rFonts w:ascii="Palatino Linotype" w:eastAsia="Calibri" w:hAnsi="Palatino Linotype"/>
          <w:color w:val="000000" w:themeColor="text1"/>
          <w:lang w:val="es-ES_tradnl"/>
        </w:rPr>
        <w:t>, requirió la siguiente información:</w:t>
      </w:r>
    </w:p>
    <w:p w14:paraId="4EBDE2E3" w14:textId="77777777" w:rsidR="008B3206" w:rsidRPr="008B21BA" w:rsidRDefault="008B3206" w:rsidP="008B3206">
      <w:pPr>
        <w:spacing w:line="360" w:lineRule="auto"/>
        <w:jc w:val="both"/>
        <w:rPr>
          <w:rFonts w:ascii="Palatino Linotype" w:eastAsia="Calibri" w:hAnsi="Palatino Linotype"/>
          <w:color w:val="000000" w:themeColor="text1"/>
          <w:lang w:val="es-ES_tradnl"/>
        </w:rPr>
      </w:pPr>
    </w:p>
    <w:p w14:paraId="58B289C3" w14:textId="77777777" w:rsidR="008B3206" w:rsidRPr="008B21BA" w:rsidRDefault="008B3206" w:rsidP="00C90A34">
      <w:pPr>
        <w:pStyle w:val="Prrafodelista"/>
        <w:numPr>
          <w:ilvl w:val="0"/>
          <w:numId w:val="48"/>
        </w:numPr>
        <w:spacing w:line="360" w:lineRule="auto"/>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Monto detallado que debió aplicarse por concepto tanto de percepciones como de deducciones, también anualizada, tomando en cuenta que, actualmente mis percepciones anuales y deducciones, las integran los siguientes conceptos: </w:t>
      </w:r>
    </w:p>
    <w:p w14:paraId="11079E9B" w14:textId="77777777" w:rsidR="008B3206" w:rsidRPr="008B21BA" w:rsidRDefault="008B3206" w:rsidP="008B3206">
      <w:pPr>
        <w:spacing w:line="360" w:lineRule="auto"/>
        <w:jc w:val="both"/>
        <w:rPr>
          <w:rFonts w:ascii="Palatino Linotype" w:eastAsia="Calibri" w:hAnsi="Palatino Linotype"/>
          <w:color w:val="000000" w:themeColor="text1"/>
          <w:lang w:val="es-ES_tradnl"/>
        </w:rPr>
      </w:pPr>
    </w:p>
    <w:p w14:paraId="042C1BD4" w14:textId="77777777" w:rsidR="008B3206" w:rsidRPr="008B21BA" w:rsidRDefault="008B3206" w:rsidP="008B3206">
      <w:pPr>
        <w:pStyle w:val="Prrafodelista"/>
        <w:numPr>
          <w:ilvl w:val="0"/>
          <w:numId w:val="47"/>
        </w:numPr>
        <w:spacing w:line="360" w:lineRule="auto"/>
        <w:jc w:val="both"/>
        <w:rPr>
          <w:rFonts w:ascii="Palatino Linotype" w:eastAsia="Calibri" w:hAnsi="Palatino Linotype"/>
          <w:b/>
          <w:bCs/>
          <w:color w:val="000000" w:themeColor="text1"/>
          <w:u w:val="single"/>
          <w:lang w:val="es-ES_tradnl"/>
        </w:rPr>
      </w:pPr>
      <w:r w:rsidRPr="008B21BA">
        <w:rPr>
          <w:rFonts w:ascii="Palatino Linotype" w:eastAsia="Calibri" w:hAnsi="Palatino Linotype"/>
          <w:b/>
          <w:bCs/>
          <w:color w:val="000000" w:themeColor="text1"/>
          <w:u w:val="single"/>
          <w:lang w:val="es-ES_tradnl"/>
        </w:rPr>
        <w:lastRenderedPageBreak/>
        <w:t xml:space="preserve">PERCEPCIONES: </w:t>
      </w:r>
    </w:p>
    <w:p w14:paraId="2EEB71E7" w14:textId="59B11819"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Prima por años de servicio burocrático.</w:t>
      </w:r>
    </w:p>
    <w:p w14:paraId="0FFD1773" w14:textId="4FFE55CD"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Sueldo base. </w:t>
      </w:r>
    </w:p>
    <w:p w14:paraId="06FAC0DC" w14:textId="6B2E6EF7"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Gratificación por productividad anual. </w:t>
      </w:r>
    </w:p>
    <w:p w14:paraId="19FE5907" w14:textId="6F63DD3C"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Gratificación especial. </w:t>
      </w:r>
    </w:p>
    <w:p w14:paraId="10DE3387" w14:textId="6B86B762"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Día del servidor público. </w:t>
      </w:r>
    </w:p>
    <w:p w14:paraId="2FA80B14" w14:textId="43D1D07A"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Días de descanso obligatorio. </w:t>
      </w:r>
    </w:p>
    <w:p w14:paraId="7674FF61" w14:textId="2A36124E"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Ajuste al calendario. </w:t>
      </w:r>
    </w:p>
    <w:p w14:paraId="2E04A1B5" w14:textId="7768FCCB"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Aguinaldo x prima antigüedad. </w:t>
      </w:r>
    </w:p>
    <w:p w14:paraId="11BA06EE" w14:textId="77777777"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p>
    <w:p w14:paraId="47DBA335" w14:textId="77777777" w:rsidR="008B3206" w:rsidRPr="008B21BA" w:rsidRDefault="008B3206" w:rsidP="008B3206">
      <w:pPr>
        <w:pStyle w:val="Prrafodelista"/>
        <w:numPr>
          <w:ilvl w:val="0"/>
          <w:numId w:val="47"/>
        </w:numPr>
        <w:spacing w:line="360" w:lineRule="auto"/>
        <w:jc w:val="both"/>
        <w:rPr>
          <w:rFonts w:ascii="Palatino Linotype" w:eastAsia="Calibri" w:hAnsi="Palatino Linotype"/>
          <w:b/>
          <w:bCs/>
          <w:color w:val="000000" w:themeColor="text1"/>
          <w:u w:val="single"/>
          <w:lang w:val="es-ES_tradnl"/>
        </w:rPr>
      </w:pPr>
      <w:r w:rsidRPr="008B21BA">
        <w:rPr>
          <w:rFonts w:ascii="Palatino Linotype" w:eastAsia="Calibri" w:hAnsi="Palatino Linotype"/>
          <w:b/>
          <w:bCs/>
          <w:color w:val="000000" w:themeColor="text1"/>
          <w:u w:val="single"/>
          <w:lang w:val="es-ES_tradnl"/>
        </w:rPr>
        <w:t xml:space="preserve">OTRAS PERCEPCIONES: </w:t>
      </w:r>
    </w:p>
    <w:p w14:paraId="2C630A82" w14:textId="00E23B18"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Prima vacacional.</w:t>
      </w:r>
    </w:p>
    <w:p w14:paraId="38141E2F" w14:textId="0201C457"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ISR prima vacacional. </w:t>
      </w:r>
    </w:p>
    <w:p w14:paraId="283C0FCE" w14:textId="18D5EF10"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Pago de aguinaldo. </w:t>
      </w:r>
    </w:p>
    <w:p w14:paraId="122110BC" w14:textId="6240F34A"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ISR aguinaldo. </w:t>
      </w:r>
    </w:p>
    <w:p w14:paraId="21EB2DB0" w14:textId="77777777"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p>
    <w:p w14:paraId="6FE4A5E8" w14:textId="77777777" w:rsidR="008B3206" w:rsidRPr="008B21BA" w:rsidRDefault="008B3206" w:rsidP="008B3206">
      <w:pPr>
        <w:pStyle w:val="Prrafodelista"/>
        <w:numPr>
          <w:ilvl w:val="0"/>
          <w:numId w:val="47"/>
        </w:numPr>
        <w:spacing w:line="360" w:lineRule="auto"/>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DEDUCCIONES: </w:t>
      </w:r>
    </w:p>
    <w:p w14:paraId="55724D2C" w14:textId="7D00BB72"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Cuotas del sis.capitaliz 1.4 </w:t>
      </w:r>
    </w:p>
    <w:p w14:paraId="3F32A27E" w14:textId="77777777"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ISSEMYM 4.625 </w:t>
      </w:r>
    </w:p>
    <w:p w14:paraId="066D0061" w14:textId="77777777"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ISSEMYM 6.1 </w:t>
      </w:r>
    </w:p>
    <w:p w14:paraId="0428230B" w14:textId="77777777"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I.S.R. </w:t>
      </w:r>
    </w:p>
    <w:p w14:paraId="135B9E54" w14:textId="4BBFE47E"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Caja de ahorro ATAYA. </w:t>
      </w:r>
    </w:p>
    <w:p w14:paraId="7028EE46" w14:textId="1BAD9D54"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Faltas yo ausentismos. </w:t>
      </w:r>
    </w:p>
    <w:p w14:paraId="4853C830" w14:textId="6E79540A"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Descuentos por pensión alimenticia. </w:t>
      </w:r>
    </w:p>
    <w:p w14:paraId="4885700D" w14:textId="3F99EA23" w:rsidR="008B3206" w:rsidRPr="008B21BA" w:rsidRDefault="008B3206" w:rsidP="008B3206">
      <w:pPr>
        <w:pStyle w:val="Prrafodelista"/>
        <w:spacing w:line="360" w:lineRule="auto"/>
        <w:ind w:left="720"/>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 Seguros de vida METLIFE. </w:t>
      </w:r>
    </w:p>
    <w:p w14:paraId="67B23AC0" w14:textId="77777777" w:rsidR="008B3206" w:rsidRPr="008B21BA" w:rsidRDefault="008B3206" w:rsidP="008B3206">
      <w:pPr>
        <w:spacing w:line="360" w:lineRule="auto"/>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lastRenderedPageBreak/>
        <w:t xml:space="preserve">Ahora bien, insisto, que la información solicitada, respecto del costo de mi plaza individual y el desglose anualizado de percepciones y deducciones que solicito, lo sea, con base, en el Anexo de Ejecución mencionado (se anexa para referencia el Apartado B referido en líneas anteriores), y no con base en el analítico de plazas en que se está basando el COLEGIO, para el pago actual de mi sueldo y que es con lo que actualmente paga mi sueldo, el cual conozco, y se ve reflejado en mis recibos de pago. </w:t>
      </w:r>
    </w:p>
    <w:p w14:paraId="6CE2BC6C" w14:textId="77777777" w:rsidR="008B3206" w:rsidRPr="008B21BA" w:rsidRDefault="008B3206" w:rsidP="008B3206">
      <w:pPr>
        <w:spacing w:line="360" w:lineRule="auto"/>
        <w:jc w:val="both"/>
        <w:rPr>
          <w:rFonts w:ascii="Palatino Linotype" w:eastAsia="Calibri" w:hAnsi="Palatino Linotype"/>
          <w:color w:val="000000" w:themeColor="text1"/>
          <w:lang w:val="es-ES_tradnl"/>
        </w:rPr>
      </w:pPr>
    </w:p>
    <w:p w14:paraId="462F11B1" w14:textId="516364CF" w:rsidR="008B3206" w:rsidRPr="008B21BA" w:rsidRDefault="008B3206" w:rsidP="008B3206">
      <w:pPr>
        <w:spacing w:line="360" w:lineRule="auto"/>
        <w:jc w:val="both"/>
        <w:rPr>
          <w:rFonts w:ascii="Palatino Linotype" w:eastAsia="Calibri" w:hAnsi="Palatino Linotype"/>
          <w:color w:val="000000" w:themeColor="text1"/>
          <w:lang w:val="es-ES_tradnl"/>
        </w:rPr>
      </w:pPr>
      <w:r w:rsidRPr="008B21BA">
        <w:rPr>
          <w:rFonts w:ascii="Palatino Linotype" w:eastAsia="Calibri" w:hAnsi="Palatino Linotype"/>
          <w:color w:val="000000" w:themeColor="text1"/>
          <w:lang w:val="es-ES_tradnl"/>
        </w:rPr>
        <w:t xml:space="preserve">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w:t>
      </w:r>
    </w:p>
    <w:p w14:paraId="55F57210" w14:textId="77777777" w:rsidR="00D563FD" w:rsidRPr="008B21BA" w:rsidRDefault="00D563FD" w:rsidP="00D563FD">
      <w:pPr>
        <w:spacing w:line="360" w:lineRule="auto"/>
        <w:ind w:right="141"/>
        <w:jc w:val="both"/>
        <w:rPr>
          <w:rFonts w:ascii="Palatino Linotype" w:eastAsiaTheme="minorHAnsi" w:hAnsi="Palatino Linotype" w:cstheme="minorBidi"/>
          <w:bCs/>
          <w:szCs w:val="22"/>
          <w:lang w:val="es-ES_tradnl" w:eastAsia="es-MX"/>
        </w:rPr>
      </w:pPr>
    </w:p>
    <w:p w14:paraId="0183B4B2" w14:textId="3DFAC2A7" w:rsidR="00464E34" w:rsidRPr="008B21BA" w:rsidRDefault="009602BA" w:rsidP="0020146B">
      <w:pPr>
        <w:spacing w:line="360" w:lineRule="auto"/>
        <w:jc w:val="both"/>
        <w:rPr>
          <w:rFonts w:ascii="Palatino Linotype" w:eastAsiaTheme="minorHAnsi" w:hAnsi="Palatino Linotype" w:cs="TimesNewRomanPS-ItalicMT"/>
          <w:iCs/>
          <w:lang w:val="es-MX" w:eastAsia="en-US"/>
        </w:rPr>
      </w:pPr>
      <w:r w:rsidRPr="008B21BA">
        <w:rPr>
          <w:rFonts w:ascii="Palatino Linotype" w:eastAsiaTheme="minorHAnsi" w:hAnsi="Palatino Linotype" w:cs="TimesNewRomanPS-ItalicMT"/>
          <w:iCs/>
          <w:lang w:val="es-MX" w:eastAsia="en-US"/>
        </w:rPr>
        <w:t xml:space="preserve">En vista de lo anterior, el </w:t>
      </w:r>
      <w:r w:rsidRPr="008B21BA">
        <w:rPr>
          <w:rFonts w:ascii="Palatino Linotype" w:eastAsiaTheme="minorHAnsi" w:hAnsi="Palatino Linotype" w:cs="TimesNewRomanPS-ItalicMT"/>
          <w:b/>
          <w:iCs/>
          <w:lang w:val="es-MX" w:eastAsia="en-US"/>
        </w:rPr>
        <w:t>Sujeto Obligado</w:t>
      </w:r>
      <w:r w:rsidRPr="008B21BA">
        <w:rPr>
          <w:rFonts w:ascii="Palatino Linotype" w:eastAsiaTheme="minorHAnsi" w:hAnsi="Palatino Linotype" w:cs="TimesNewRomanPS-ItalicMT"/>
          <w:iCs/>
          <w:lang w:val="es-MX" w:eastAsia="en-US"/>
        </w:rPr>
        <w:t xml:space="preserve"> </w:t>
      </w:r>
      <w:r w:rsidR="00665089" w:rsidRPr="008B21BA">
        <w:rPr>
          <w:rFonts w:ascii="Palatino Linotype" w:eastAsiaTheme="minorHAnsi" w:hAnsi="Palatino Linotype" w:cs="TimesNewRomanPS-ItalicMT"/>
          <w:iCs/>
          <w:lang w:val="es-MX" w:eastAsia="en-US"/>
        </w:rPr>
        <w:t>emitió</w:t>
      </w:r>
      <w:r w:rsidRPr="008B21BA">
        <w:rPr>
          <w:rFonts w:ascii="Palatino Linotype" w:eastAsiaTheme="minorHAnsi" w:hAnsi="Palatino Linotype" w:cs="TimesNewRomanPS-ItalicMT"/>
          <w:iCs/>
          <w:lang w:val="es-MX" w:eastAsia="en-US"/>
        </w:rPr>
        <w:t xml:space="preserve"> su respuesta, </w:t>
      </w:r>
      <w:r w:rsidR="00E15790" w:rsidRPr="008B21BA">
        <w:rPr>
          <w:rFonts w:ascii="Palatino Linotype" w:eastAsiaTheme="minorHAnsi" w:hAnsi="Palatino Linotype" w:cs="TimesNewRomanPS-ItalicMT"/>
          <w:iCs/>
          <w:lang w:val="es-MX" w:eastAsia="en-US"/>
        </w:rPr>
        <w:t>el cual, consta</w:t>
      </w:r>
      <w:r w:rsidRPr="008B21BA">
        <w:rPr>
          <w:rFonts w:ascii="Palatino Linotype" w:eastAsiaTheme="minorHAnsi" w:hAnsi="Palatino Linotype" w:cs="TimesNewRomanPS-ItalicMT"/>
          <w:iCs/>
          <w:lang w:val="es-MX" w:eastAsia="en-US"/>
        </w:rPr>
        <w:t xml:space="preserve"> en lo siguiente:</w:t>
      </w:r>
    </w:p>
    <w:p w14:paraId="786E1719" w14:textId="77777777" w:rsidR="0020146B" w:rsidRPr="008B21BA" w:rsidRDefault="0020146B" w:rsidP="0020146B">
      <w:pPr>
        <w:spacing w:line="360" w:lineRule="auto"/>
        <w:jc w:val="both"/>
        <w:rPr>
          <w:rFonts w:ascii="Palatino Linotype" w:eastAsiaTheme="minorHAnsi" w:hAnsi="Palatino Linotype" w:cs="TimesNewRomanPS-ItalicMT"/>
          <w:iCs/>
          <w:lang w:val="es-MX" w:eastAsia="en-US"/>
        </w:rPr>
      </w:pPr>
    </w:p>
    <w:p w14:paraId="3AC7F49E" w14:textId="61285290" w:rsidR="002E4785" w:rsidRPr="008B21BA" w:rsidRDefault="006424BA" w:rsidP="00A81853">
      <w:pPr>
        <w:spacing w:line="360" w:lineRule="auto"/>
        <w:ind w:firstLine="708"/>
        <w:jc w:val="both"/>
        <w:rPr>
          <w:rFonts w:ascii="Palatino Linotype" w:hAnsi="Palatino Linotype" w:cs="Arial"/>
          <w:i/>
          <w:iCs/>
          <w:sz w:val="22"/>
          <w:szCs w:val="22"/>
          <w:lang w:val="es-ES_tradnl"/>
        </w:rPr>
      </w:pPr>
      <w:r w:rsidRPr="008B21BA">
        <w:rPr>
          <w:rFonts w:ascii="Palatino Linotype" w:hAnsi="Palatino Linotype" w:cs="Arial"/>
          <w:lang w:val="es-ES_tradnl"/>
        </w:rPr>
        <w:t xml:space="preserve">Mediante </w:t>
      </w:r>
      <w:bookmarkStart w:id="1" w:name="_Hlk183536063"/>
      <w:r w:rsidR="00321CC2" w:rsidRPr="008B21BA">
        <w:rPr>
          <w:rFonts w:ascii="Palatino Linotype" w:hAnsi="Palatino Linotype" w:cs="Arial"/>
          <w:lang w:val="es-ES_tradnl"/>
        </w:rPr>
        <w:t xml:space="preserve">Acuerdo de Incompetencia de la solicitud de información pública número </w:t>
      </w:r>
      <w:r w:rsidR="00321CC2" w:rsidRPr="008B21BA">
        <w:rPr>
          <w:rFonts w:ascii="Palatino Linotype" w:hAnsi="Palatino Linotype" w:cs="Arial"/>
          <w:b/>
          <w:bCs/>
          <w:lang w:val="es-ES_tradnl"/>
        </w:rPr>
        <w:t>00</w:t>
      </w:r>
      <w:r w:rsidR="0056332B" w:rsidRPr="008B21BA">
        <w:rPr>
          <w:rFonts w:ascii="Palatino Linotype" w:hAnsi="Palatino Linotype" w:cs="Arial"/>
          <w:b/>
          <w:bCs/>
          <w:lang w:val="es-ES_tradnl"/>
        </w:rPr>
        <w:t>164</w:t>
      </w:r>
      <w:r w:rsidR="00321CC2" w:rsidRPr="008B21BA">
        <w:rPr>
          <w:rFonts w:ascii="Palatino Linotype" w:hAnsi="Palatino Linotype" w:cs="Arial"/>
          <w:b/>
          <w:bCs/>
          <w:lang w:val="es-ES_tradnl"/>
        </w:rPr>
        <w:t>/SF/IP/2025</w:t>
      </w:r>
      <w:r w:rsidR="00321CC2" w:rsidRPr="008B21BA">
        <w:rPr>
          <w:rFonts w:ascii="Palatino Linotype" w:hAnsi="Palatino Linotype" w:cs="Arial"/>
          <w:lang w:val="es-ES_tradnl"/>
        </w:rPr>
        <w:t xml:space="preserve">, firmado por el Jefe de la UIPPE y Titular de la Unidad de Transparencia de la Secretaría de Finanzas, precisó que la información no es generada por la Secretaría de Finanzas, pudiendo ser competente para atender la presente solicitud el </w:t>
      </w:r>
      <w:bookmarkStart w:id="2" w:name="_Hlk196220830"/>
      <w:r w:rsidR="0056332B" w:rsidRPr="008B21BA">
        <w:rPr>
          <w:rFonts w:ascii="Palatino Linotype" w:hAnsi="Palatino Linotype" w:cs="Arial"/>
          <w:b/>
          <w:bCs/>
          <w:u w:val="single"/>
          <w:lang w:val="es-ES_tradnl"/>
        </w:rPr>
        <w:t>Colegio de Bachilleres del Estado de México</w:t>
      </w:r>
      <w:r w:rsidR="0056332B" w:rsidRPr="008B21BA">
        <w:rPr>
          <w:rFonts w:ascii="Palatino Linotype" w:hAnsi="Palatino Linotype" w:cs="Arial"/>
          <w:lang w:val="es-ES_tradnl"/>
        </w:rPr>
        <w:t xml:space="preserve"> y la </w:t>
      </w:r>
      <w:r w:rsidR="0056332B" w:rsidRPr="008B21BA">
        <w:rPr>
          <w:rFonts w:ascii="Palatino Linotype" w:hAnsi="Palatino Linotype" w:cs="Arial"/>
          <w:b/>
          <w:bCs/>
          <w:u w:val="single"/>
          <w:lang w:val="es-ES_tradnl"/>
        </w:rPr>
        <w:t>Oficialía Mayor</w:t>
      </w:r>
      <w:bookmarkEnd w:id="2"/>
      <w:r w:rsidR="00321CC2" w:rsidRPr="008B21BA">
        <w:rPr>
          <w:rFonts w:ascii="Palatino Linotype" w:hAnsi="Palatino Linotype" w:cs="Arial"/>
          <w:lang w:val="es-ES_tradnl"/>
        </w:rPr>
        <w:t xml:space="preserve">; los cuales son Sujetos Obligados en términos de lo dispuesto el artículo 3, fracción XLI de la Ley de Transparencia, lo anterior, </w:t>
      </w:r>
      <w:r w:rsidR="00A81853" w:rsidRPr="008B21BA">
        <w:rPr>
          <w:rFonts w:ascii="Palatino Linotype" w:hAnsi="Palatino Linotype" w:cs="Arial"/>
          <w:lang w:val="es-ES_tradnl"/>
        </w:rPr>
        <w:t xml:space="preserve">en correlación con lo establecido en el numeral, </w:t>
      </w:r>
      <w:r w:rsidR="00A81853" w:rsidRPr="008B21BA">
        <w:rPr>
          <w:rFonts w:ascii="Palatino Linotype" w:hAnsi="Palatino Linotype" w:cs="Arial"/>
          <w:b/>
          <w:bCs/>
          <w:lang w:val="es-ES_tradnl"/>
        </w:rPr>
        <w:t>21000701040001L</w:t>
      </w:r>
      <w:r w:rsidR="00A81853" w:rsidRPr="008B21BA">
        <w:rPr>
          <w:rFonts w:ascii="Palatino Linotype" w:hAnsi="Palatino Linotype" w:cs="Arial"/>
          <w:lang w:val="es-ES_tradnl"/>
        </w:rPr>
        <w:t xml:space="preserve"> denominado Departamento de Recursos Humanos, funciones 4, 7 y 17 del </w:t>
      </w:r>
      <w:r w:rsidR="00A81853" w:rsidRPr="008B21BA">
        <w:rPr>
          <w:rFonts w:ascii="Palatino Linotype" w:hAnsi="Palatino Linotype" w:cs="Arial"/>
          <w:b/>
          <w:bCs/>
          <w:lang w:val="es-ES_tradnl"/>
        </w:rPr>
        <w:t xml:space="preserve">Manual General de Organización del Colegio de Bachilleres del Estado de </w:t>
      </w:r>
      <w:r w:rsidR="00A81853" w:rsidRPr="008B21BA">
        <w:rPr>
          <w:rFonts w:ascii="Palatino Linotype" w:hAnsi="Palatino Linotype" w:cs="Arial"/>
          <w:b/>
          <w:bCs/>
          <w:lang w:val="es-ES_tradnl"/>
        </w:rPr>
        <w:lastRenderedPageBreak/>
        <w:t>México</w:t>
      </w:r>
      <w:r w:rsidR="00A81853" w:rsidRPr="008B21BA">
        <w:rPr>
          <w:rFonts w:ascii="Palatino Linotype" w:hAnsi="Palatino Linotype" w:cs="Arial"/>
          <w:lang w:val="es-ES_tradnl"/>
        </w:rPr>
        <w:t xml:space="preserve">, publicado en el Periódico Oficial "Gaceta del Gobierno” del Estado de México, en fecha 07 de enero de 2020, los artículos 7 fracción XXX y 10, fracciones Viti y XIV del Reglamento Interior de la Oficialía Mayor, publicado en el Periódico Oficial "Gaceta del Gobierno” del Estado de México, en fecha 20 de diciembre de 2023, el numeral 23400004040000L, denominado Dirección de Remuneraciones al Personal, funciones 3 y 8, el numeral 23400004040300L, denominado Subdirección de Control de Pagos, funciones 5, 6 y 9 del Manual General de Organización de la Oficialía Mayor, publicado en el Periódico Oficial el 28 de mayo de 2024. </w:t>
      </w:r>
    </w:p>
    <w:p w14:paraId="4A8B1482" w14:textId="77777777" w:rsidR="00321CC2" w:rsidRPr="008B21BA" w:rsidRDefault="00321CC2" w:rsidP="00F17A40">
      <w:pPr>
        <w:spacing w:line="360" w:lineRule="auto"/>
        <w:ind w:firstLine="708"/>
        <w:jc w:val="both"/>
        <w:rPr>
          <w:rFonts w:ascii="Palatino Linotype" w:hAnsi="Palatino Linotype" w:cs="Arial"/>
          <w:lang w:val="es-ES_tradnl"/>
        </w:rPr>
      </w:pPr>
    </w:p>
    <w:p w14:paraId="64266A0D" w14:textId="2DD743C7" w:rsidR="00321CC2" w:rsidRPr="008B21BA" w:rsidRDefault="00895D34" w:rsidP="00F17A40">
      <w:pPr>
        <w:spacing w:line="360" w:lineRule="auto"/>
        <w:ind w:firstLine="708"/>
        <w:jc w:val="both"/>
        <w:rPr>
          <w:rFonts w:ascii="Palatino Linotype" w:hAnsi="Palatino Linotype" w:cs="Arial"/>
          <w:lang w:val="es-ES_tradnl"/>
        </w:rPr>
      </w:pPr>
      <w:r w:rsidRPr="008B21BA">
        <w:rPr>
          <w:rFonts w:ascii="Palatino Linotype" w:hAnsi="Palatino Linotype" w:cs="Arial"/>
          <w:lang w:val="es-ES_tradnl"/>
        </w:rPr>
        <w:t xml:space="preserve">Finalmente, hizo del conocimiento que el </w:t>
      </w:r>
      <w:r w:rsidRPr="008B21BA">
        <w:rPr>
          <w:rFonts w:ascii="Palatino Linotype" w:hAnsi="Palatino Linotype" w:cs="Arial"/>
          <w:b/>
          <w:bCs/>
          <w:lang w:val="es-ES_tradnl"/>
        </w:rPr>
        <w:t>Sujeto Obligado</w:t>
      </w:r>
      <w:r w:rsidRPr="008B21BA">
        <w:rPr>
          <w:rFonts w:ascii="Palatino Linotype" w:hAnsi="Palatino Linotype" w:cs="Arial"/>
          <w:lang w:val="es-ES_tradnl"/>
        </w:rPr>
        <w:t xml:space="preserve"> </w:t>
      </w:r>
      <w:bookmarkStart w:id="3" w:name="_Hlk190173948"/>
      <w:r w:rsidRPr="008B21BA">
        <w:rPr>
          <w:rFonts w:ascii="Palatino Linotype" w:hAnsi="Palatino Linotype" w:cs="Arial"/>
          <w:lang w:val="es-ES_tradnl"/>
        </w:rPr>
        <w:t xml:space="preserve">que podría ser competente para conocer de su solicitud el </w:t>
      </w:r>
      <w:r w:rsidR="00A81853" w:rsidRPr="008B21BA">
        <w:rPr>
          <w:rFonts w:ascii="Palatino Linotype" w:hAnsi="Palatino Linotype" w:cs="Arial"/>
          <w:b/>
          <w:bCs/>
          <w:u w:val="single"/>
          <w:lang w:val="es-ES_tradnl"/>
        </w:rPr>
        <w:t>Colegio de Bachilleres del Estado de México</w:t>
      </w:r>
      <w:r w:rsidR="00A81853" w:rsidRPr="008B21BA">
        <w:rPr>
          <w:rFonts w:ascii="Palatino Linotype" w:hAnsi="Palatino Linotype" w:cs="Arial"/>
          <w:lang w:val="es-ES_tradnl"/>
        </w:rPr>
        <w:t xml:space="preserve"> y la </w:t>
      </w:r>
      <w:r w:rsidR="00A81853" w:rsidRPr="008B21BA">
        <w:rPr>
          <w:rFonts w:ascii="Palatino Linotype" w:hAnsi="Palatino Linotype" w:cs="Arial"/>
          <w:b/>
          <w:bCs/>
          <w:u w:val="single"/>
          <w:lang w:val="es-ES_tradnl"/>
        </w:rPr>
        <w:t>Oficialía Mayor</w:t>
      </w:r>
      <w:r w:rsidRPr="008B21BA">
        <w:rPr>
          <w:rFonts w:ascii="Palatino Linotype" w:hAnsi="Palatino Linotype" w:cs="Arial"/>
          <w:lang w:val="es-ES_tradnl"/>
        </w:rPr>
        <w:t>.</w:t>
      </w:r>
    </w:p>
    <w:bookmarkEnd w:id="1"/>
    <w:bookmarkEnd w:id="3"/>
    <w:p w14:paraId="4D6142E8" w14:textId="66FF359A" w:rsidR="006424BA" w:rsidRPr="008B21BA" w:rsidRDefault="006424BA" w:rsidP="00821C4B">
      <w:pPr>
        <w:spacing w:line="360" w:lineRule="auto"/>
        <w:jc w:val="both"/>
        <w:rPr>
          <w:rFonts w:ascii="Palatino Linotype" w:hAnsi="Palatino Linotype" w:cs="Arial"/>
          <w:lang w:val="es-ES_tradnl"/>
        </w:rPr>
      </w:pPr>
    </w:p>
    <w:p w14:paraId="1E05A1BC" w14:textId="67B83766" w:rsidR="00130316" w:rsidRPr="008B21BA" w:rsidRDefault="00130316" w:rsidP="0003374C">
      <w:pPr>
        <w:autoSpaceDE w:val="0"/>
        <w:autoSpaceDN w:val="0"/>
        <w:adjustRightInd w:val="0"/>
        <w:spacing w:line="360" w:lineRule="auto"/>
        <w:jc w:val="both"/>
        <w:rPr>
          <w:rFonts w:ascii="Palatino Linotype" w:eastAsiaTheme="minorHAnsi" w:hAnsi="Palatino Linotype" w:cs="Arial"/>
          <w:bCs/>
          <w:szCs w:val="22"/>
          <w:lang w:val="es-MX" w:eastAsia="en-US"/>
        </w:rPr>
      </w:pPr>
      <w:r w:rsidRPr="008B21BA">
        <w:rPr>
          <w:rFonts w:ascii="Palatino Linotype" w:eastAsiaTheme="minorHAnsi" w:hAnsi="Palatino Linotype" w:cs="Arial"/>
          <w:bCs/>
          <w:szCs w:val="22"/>
          <w:lang w:val="es-MX" w:eastAsia="en-US"/>
        </w:rPr>
        <w:t xml:space="preserve">Es de destacar que, al haber un pronunciamiento por parte del </w:t>
      </w:r>
      <w:r w:rsidRPr="008B21BA">
        <w:rPr>
          <w:rFonts w:ascii="Palatino Linotype" w:eastAsiaTheme="minorHAnsi" w:hAnsi="Palatino Linotype" w:cs="Arial"/>
          <w:b/>
          <w:bCs/>
          <w:szCs w:val="22"/>
          <w:lang w:val="es-MX" w:eastAsia="en-US"/>
        </w:rPr>
        <w:t>Sujeto Obligado</w:t>
      </w:r>
      <w:r w:rsidRPr="008B21BA">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8B21BA">
        <w:rPr>
          <w:rFonts w:ascii="Palatino Linotype" w:eastAsiaTheme="minorHAnsi" w:hAnsi="Palatino Linotype" w:cs="Arial"/>
          <w:b/>
          <w:bCs/>
          <w:szCs w:val="22"/>
          <w:lang w:val="es-MX" w:eastAsia="en-US"/>
        </w:rPr>
        <w:t>Sujeto Obligado</w:t>
      </w:r>
      <w:r w:rsidRPr="008B21BA">
        <w:rPr>
          <w:rFonts w:ascii="Palatino Linotype" w:eastAsiaTheme="minorHAnsi" w:hAnsi="Palatino Linotype" w:cs="Arial"/>
          <w:bCs/>
          <w:szCs w:val="22"/>
          <w:lang w:val="es-MX" w:eastAsia="en-US"/>
        </w:rPr>
        <w:t xml:space="preserve"> pues no existe precepto legal alguno en la Ley de la materia que lo faculte para ello. </w:t>
      </w:r>
    </w:p>
    <w:p w14:paraId="4527183F" w14:textId="77777777" w:rsidR="00895D34" w:rsidRPr="008B21BA" w:rsidRDefault="00895D34" w:rsidP="0003374C">
      <w:pPr>
        <w:autoSpaceDE w:val="0"/>
        <w:autoSpaceDN w:val="0"/>
        <w:adjustRightInd w:val="0"/>
        <w:spacing w:line="360" w:lineRule="auto"/>
        <w:jc w:val="both"/>
        <w:rPr>
          <w:rFonts w:ascii="Palatino Linotype" w:eastAsiaTheme="minorHAnsi" w:hAnsi="Palatino Linotype" w:cs="Arial"/>
          <w:bCs/>
          <w:szCs w:val="22"/>
          <w:lang w:val="es-MX" w:eastAsia="en-US"/>
        </w:rPr>
      </w:pPr>
    </w:p>
    <w:p w14:paraId="145892F3" w14:textId="62E4A62F" w:rsidR="00464E34" w:rsidRPr="008B21BA" w:rsidRDefault="009602BA" w:rsidP="00821C4B">
      <w:pPr>
        <w:spacing w:line="360" w:lineRule="auto"/>
        <w:jc w:val="both"/>
        <w:rPr>
          <w:rFonts w:ascii="Palatino Linotype" w:eastAsiaTheme="minorHAnsi" w:hAnsi="Palatino Linotype" w:cs="TimesNewRomanPS-ItalicMT"/>
          <w:iCs/>
          <w:lang w:val="es-MX" w:eastAsia="en-US"/>
        </w:rPr>
      </w:pPr>
      <w:r w:rsidRPr="008B21BA">
        <w:rPr>
          <w:rFonts w:ascii="Palatino Linotype" w:hAnsi="Palatino Linotype" w:cs="Arial"/>
        </w:rPr>
        <w:t xml:space="preserve">Por lo que, inconforme con la respuesta emitida por parte del </w:t>
      </w:r>
      <w:r w:rsidRPr="008B21BA">
        <w:rPr>
          <w:rFonts w:ascii="Palatino Linotype" w:hAnsi="Palatino Linotype" w:cs="Arial"/>
          <w:b/>
        </w:rPr>
        <w:t>Sujeto Obligado</w:t>
      </w:r>
      <w:r w:rsidRPr="008B21BA">
        <w:rPr>
          <w:rFonts w:ascii="Palatino Linotype" w:hAnsi="Palatino Linotype" w:cs="Arial"/>
        </w:rPr>
        <w:t xml:space="preserve">, </w:t>
      </w:r>
      <w:r w:rsidR="0058348E" w:rsidRPr="008B21BA">
        <w:rPr>
          <w:rFonts w:ascii="Palatino Linotype" w:hAnsi="Palatino Linotype" w:cs="Arial"/>
          <w:b/>
        </w:rPr>
        <w:t>El</w:t>
      </w:r>
      <w:r w:rsidRPr="008B21BA">
        <w:rPr>
          <w:rFonts w:ascii="Palatino Linotype" w:hAnsi="Palatino Linotype" w:cs="Arial"/>
          <w:b/>
        </w:rPr>
        <w:t xml:space="preserve"> Recurrente </w:t>
      </w:r>
      <w:r w:rsidRPr="008B21BA">
        <w:rPr>
          <w:rFonts w:ascii="Palatino Linotype" w:hAnsi="Palatino Linotype" w:cs="Arial"/>
        </w:rPr>
        <w:t>interpuso el presente recurso de revisión, señalando como su</w:t>
      </w:r>
      <w:r w:rsidR="00821C4B" w:rsidRPr="008B21BA">
        <w:rPr>
          <w:rFonts w:ascii="Palatino Linotype" w:hAnsi="Palatino Linotype" w:cs="Arial"/>
        </w:rPr>
        <w:t>s</w:t>
      </w:r>
      <w:r w:rsidRPr="008B21BA">
        <w:rPr>
          <w:rFonts w:ascii="Palatino Linotype" w:hAnsi="Palatino Linotype" w:cs="Arial"/>
        </w:rPr>
        <w:t xml:space="preserve"> </w:t>
      </w:r>
      <w:r w:rsidR="00821C4B" w:rsidRPr="008B21BA">
        <w:rPr>
          <w:rFonts w:ascii="Palatino Linotype" w:hAnsi="Palatino Linotype" w:cs="Arial"/>
          <w:b/>
          <w:bCs/>
        </w:rPr>
        <w:t>razones o motivos de la inconformidad</w:t>
      </w:r>
      <w:r w:rsidRPr="008B21BA">
        <w:rPr>
          <w:rFonts w:ascii="Palatino Linotype" w:hAnsi="Palatino Linotype" w:cs="Arial"/>
        </w:rPr>
        <w:t>, lo siguiente:</w:t>
      </w:r>
      <w:r w:rsidRPr="008B21BA">
        <w:rPr>
          <w:rFonts w:ascii="Palatino Linotype" w:eastAsiaTheme="minorHAnsi" w:hAnsi="Palatino Linotype" w:cs="TimesNewRomanPS-ItalicMT"/>
          <w:iCs/>
          <w:lang w:val="es-MX" w:eastAsia="en-US"/>
        </w:rPr>
        <w:t xml:space="preserve"> </w:t>
      </w:r>
      <w:r w:rsidR="004218B2" w:rsidRPr="008B21BA">
        <w:rPr>
          <w:rFonts w:ascii="Palatino Linotype" w:eastAsiaTheme="minorHAnsi" w:hAnsi="Palatino Linotype" w:cstheme="minorBidi"/>
          <w:i/>
          <w:color w:val="000000"/>
          <w:szCs w:val="22"/>
          <w:lang w:val="es-MX" w:eastAsia="en-US"/>
        </w:rPr>
        <w:t>“</w:t>
      </w:r>
      <w:r w:rsidR="00A81853" w:rsidRPr="008B21BA">
        <w:rPr>
          <w:rFonts w:ascii="Palatino Linotype" w:eastAsiaTheme="minorHAnsi" w:hAnsi="Palatino Linotype" w:cstheme="minorBidi"/>
          <w:i/>
          <w:color w:val="000000"/>
          <w:szCs w:val="22"/>
          <w:lang w:val="es-MX" w:eastAsia="en-US"/>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w:t>
      </w:r>
      <w:r w:rsidR="00A81853" w:rsidRPr="008B21BA">
        <w:rPr>
          <w:rFonts w:ascii="Palatino Linotype" w:eastAsiaTheme="minorHAnsi" w:hAnsi="Palatino Linotype" w:cstheme="minorBidi"/>
          <w:i/>
          <w:color w:val="000000"/>
          <w:szCs w:val="22"/>
          <w:lang w:val="es-MX" w:eastAsia="en-US"/>
        </w:rPr>
        <w:lastRenderedPageBreak/>
        <w:t xml:space="preserve">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 </w:t>
      </w:r>
      <w:r w:rsidR="004218B2" w:rsidRPr="008B21BA">
        <w:rPr>
          <w:rFonts w:ascii="Palatino Linotype" w:eastAsiaTheme="minorHAnsi" w:hAnsi="Palatino Linotype" w:cstheme="minorBidi"/>
          <w:i/>
          <w:color w:val="000000"/>
          <w:szCs w:val="22"/>
          <w:lang w:val="es-MX" w:eastAsia="en-US"/>
        </w:rPr>
        <w:t xml:space="preserve">" [Sic]. </w:t>
      </w:r>
    </w:p>
    <w:p w14:paraId="1E962074" w14:textId="77777777" w:rsidR="009A7B69" w:rsidRPr="008B21BA" w:rsidRDefault="009A7B69" w:rsidP="00802ABB">
      <w:pPr>
        <w:tabs>
          <w:tab w:val="left" w:pos="709"/>
        </w:tabs>
        <w:spacing w:line="360" w:lineRule="auto"/>
        <w:contextualSpacing/>
        <w:jc w:val="both"/>
        <w:rPr>
          <w:rFonts w:ascii="Palatino Linotype" w:hAnsi="Palatino Linotype" w:cs="Arial"/>
          <w:lang w:val="es-ES_tradnl"/>
        </w:rPr>
      </w:pPr>
    </w:p>
    <w:p w14:paraId="53F5C51A" w14:textId="20E3C20B" w:rsidR="00B93F7E" w:rsidRPr="008B21BA" w:rsidRDefault="009A7B69" w:rsidP="00A81853">
      <w:pPr>
        <w:tabs>
          <w:tab w:val="left" w:pos="709"/>
        </w:tabs>
        <w:spacing w:line="360" w:lineRule="auto"/>
        <w:contextualSpacing/>
        <w:jc w:val="both"/>
        <w:rPr>
          <w:rFonts w:ascii="Palatino Linotype" w:hAnsi="Palatino Linotype" w:cs="Arial"/>
          <w:lang w:val="es-ES_tradnl"/>
        </w:rPr>
      </w:pPr>
      <w:r w:rsidRPr="008B21BA">
        <w:rPr>
          <w:rFonts w:ascii="Palatino Linotype" w:hAnsi="Palatino Linotype" w:cs="Arial"/>
          <w:lang w:val="es-ES_tradnl"/>
        </w:rPr>
        <w:t xml:space="preserve">Por lo que, en la etapa de manifestaciones, el </w:t>
      </w:r>
      <w:r w:rsidRPr="008B21BA">
        <w:rPr>
          <w:rFonts w:ascii="Palatino Linotype" w:hAnsi="Palatino Linotype" w:cs="Arial"/>
          <w:b/>
          <w:bCs/>
          <w:lang w:val="es-ES_tradnl"/>
        </w:rPr>
        <w:t>Sujeto Obligado</w:t>
      </w:r>
      <w:r w:rsidRPr="008B21BA">
        <w:rPr>
          <w:rFonts w:ascii="Palatino Linotype" w:hAnsi="Palatino Linotype" w:cs="Arial"/>
          <w:lang w:val="es-ES_tradnl"/>
        </w:rPr>
        <w:t xml:space="preserve"> </w:t>
      </w:r>
      <w:r w:rsidR="00A81853" w:rsidRPr="008B21BA">
        <w:rPr>
          <w:rFonts w:ascii="Palatino Linotype" w:hAnsi="Palatino Linotype" w:cs="Arial"/>
          <w:lang w:val="es-ES_tradnl"/>
        </w:rPr>
        <w:t>a groso modo, ratificó la incompetencia para conocer y generar la información solicitada.</w:t>
      </w:r>
    </w:p>
    <w:p w14:paraId="1B3B378E" w14:textId="77777777" w:rsidR="00A81853" w:rsidRPr="008B21BA" w:rsidRDefault="00A81853" w:rsidP="00A81853">
      <w:pPr>
        <w:tabs>
          <w:tab w:val="left" w:pos="709"/>
        </w:tabs>
        <w:spacing w:line="360" w:lineRule="auto"/>
        <w:contextualSpacing/>
        <w:jc w:val="both"/>
        <w:rPr>
          <w:rFonts w:ascii="Palatino Linotype" w:hAnsi="Palatino Linotype" w:cs="Arial"/>
          <w:lang w:val="es-ES_tradnl"/>
        </w:rPr>
      </w:pPr>
    </w:p>
    <w:p w14:paraId="136AF18C" w14:textId="77777777" w:rsidR="00A81853" w:rsidRPr="008B21BA" w:rsidRDefault="00A81853" w:rsidP="00A81853">
      <w:pPr>
        <w:widowControl w:val="0"/>
        <w:autoSpaceDE w:val="0"/>
        <w:autoSpaceDN w:val="0"/>
        <w:adjustRightInd w:val="0"/>
        <w:spacing w:line="360" w:lineRule="auto"/>
        <w:jc w:val="both"/>
        <w:rPr>
          <w:rFonts w:ascii="Palatino Linotype" w:eastAsiaTheme="minorHAnsi" w:hAnsi="Palatino Linotype" w:cs="Arial"/>
          <w:lang w:val="es-MX" w:eastAsia="en-US"/>
        </w:rPr>
      </w:pPr>
      <w:r w:rsidRPr="008B21BA">
        <w:rPr>
          <w:rFonts w:ascii="Palatino Linotype" w:eastAsiaTheme="minorHAnsi" w:hAnsi="Palatino Linotype" w:cs="Arial"/>
          <w:lang w:val="es-MX" w:eastAsia="en-US"/>
        </w:rPr>
        <w:t xml:space="preserve">En razón de lo anterior, es dable traer a contexto lo establecido en el artículo 114, de la Ley de Protección de Datos Personales en Posesión de Sujetos Obligados del Estado de México y Municipios: </w:t>
      </w:r>
    </w:p>
    <w:p w14:paraId="08C13977" w14:textId="77777777" w:rsidR="00A81853" w:rsidRPr="008B21BA" w:rsidRDefault="00A81853" w:rsidP="00A81853">
      <w:pPr>
        <w:rPr>
          <w:rFonts w:eastAsiaTheme="minorHAnsi"/>
          <w:lang w:val="es-MX" w:eastAsia="en-US"/>
        </w:rPr>
      </w:pPr>
    </w:p>
    <w:p w14:paraId="77C64725" w14:textId="77777777" w:rsidR="00A81853" w:rsidRPr="008B21BA" w:rsidRDefault="00A81853" w:rsidP="00A81853">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8B21BA">
        <w:rPr>
          <w:rFonts w:ascii="Palatino Linotype" w:eastAsiaTheme="minorHAnsi" w:hAnsi="Palatino Linotype" w:cs="Arial"/>
          <w:i/>
          <w:sz w:val="22"/>
          <w:lang w:val="es-MX" w:eastAsia="en-US"/>
        </w:rPr>
        <w:t>“</w:t>
      </w:r>
      <w:r w:rsidRPr="008B21BA">
        <w:rPr>
          <w:rFonts w:ascii="Palatino Linotype" w:eastAsiaTheme="minorHAnsi" w:hAnsi="Palatino Linotype" w:cs="Arial"/>
          <w:b/>
          <w:i/>
          <w:sz w:val="22"/>
          <w:lang w:val="es-MX" w:eastAsia="en-US"/>
        </w:rPr>
        <w:t>Artículo 114.</w:t>
      </w:r>
      <w:r w:rsidRPr="008B21BA">
        <w:rPr>
          <w:rFonts w:ascii="Palatino Linotype" w:eastAsiaTheme="minorHAnsi" w:hAnsi="Palatino Linotype" w:cs="Arial"/>
          <w:i/>
          <w:sz w:val="22"/>
          <w:lang w:val="es-MX" w:eastAsia="en-US"/>
        </w:rPr>
        <w:t xml:space="preserve"> </w:t>
      </w:r>
      <w:r w:rsidRPr="008B21BA">
        <w:rPr>
          <w:rFonts w:ascii="Palatino Linotype" w:eastAsiaTheme="minorHAnsi" w:hAnsi="Palatino Linotype" w:cs="Arial"/>
          <w:i/>
          <w:sz w:val="22"/>
          <w:u w:val="single"/>
          <w:lang w:val="es-MX" w:eastAsia="en-US"/>
        </w:rPr>
        <w:t xml:space="preserve">Cuando las disposiciones aplicables a determinados tratamientos de datos personales establezcan un trámite o procedimiento específico para solicitar el ejercicio de los derechos </w:t>
      </w:r>
      <w:r w:rsidRPr="008B21BA">
        <w:rPr>
          <w:rFonts w:ascii="Palatino Linotype" w:eastAsiaTheme="minorHAnsi" w:hAnsi="Palatino Linotype" w:cs="Arial"/>
          <w:b/>
          <w:i/>
          <w:sz w:val="22"/>
          <w:u w:val="single"/>
          <w:lang w:val="es-MX" w:eastAsia="en-US"/>
        </w:rPr>
        <w:t>ARCO</w:t>
      </w:r>
      <w:r w:rsidRPr="008B21BA">
        <w:rPr>
          <w:rFonts w:ascii="Palatino Linotype" w:eastAsiaTheme="minorHAnsi" w:hAnsi="Palatino Linotype" w:cs="Arial"/>
          <w:i/>
          <w:sz w:val="22"/>
          <w:u w:val="single"/>
          <w:lang w:val="es-MX" w:eastAsia="en-US"/>
        </w:rPr>
        <w:t xml:space="preserve">, el responsable deberá informar al titular sobre la existencia del mismo, en un plazo no mayor a cinco días siguiente a la presentación de la solicitud para el ejercicio de los derechos </w:t>
      </w:r>
      <w:r w:rsidRPr="008B21BA">
        <w:rPr>
          <w:rFonts w:ascii="Palatino Linotype" w:eastAsiaTheme="minorHAnsi" w:hAnsi="Palatino Linotype" w:cs="Arial"/>
          <w:b/>
          <w:i/>
          <w:sz w:val="22"/>
          <w:u w:val="single"/>
          <w:lang w:val="es-MX" w:eastAsia="en-US"/>
        </w:rPr>
        <w:t>ARCO</w:t>
      </w:r>
      <w:r w:rsidRPr="008B21BA">
        <w:rPr>
          <w:rFonts w:ascii="Palatino Linotype" w:eastAsiaTheme="minorHAnsi" w:hAnsi="Palatino Linotype" w:cs="Arial"/>
          <w:i/>
          <w:sz w:val="22"/>
          <w:u w:val="single"/>
          <w:lang w:val="es-MX" w:eastAsia="en-US"/>
        </w:rPr>
        <w:t xml:space="preserve">, </w:t>
      </w:r>
      <w:r w:rsidRPr="008B21BA">
        <w:rPr>
          <w:rFonts w:ascii="Palatino Linotype" w:eastAsiaTheme="minorHAnsi" w:hAnsi="Palatino Linotype" w:cs="Arial"/>
          <w:b/>
          <w:i/>
          <w:sz w:val="22"/>
          <w:u w:val="single"/>
          <w:lang w:val="es-MX" w:eastAsia="en-US"/>
        </w:rPr>
        <w:t>a efecto que este último decida si ejerce sus derechos a través</w:t>
      </w:r>
      <w:r w:rsidRPr="008B21BA">
        <w:rPr>
          <w:rFonts w:ascii="Palatino Linotype" w:eastAsiaTheme="minorHAnsi" w:hAnsi="Palatino Linotype" w:cs="Arial"/>
          <w:i/>
          <w:sz w:val="22"/>
          <w:u w:val="single"/>
          <w:lang w:val="es-MX" w:eastAsia="en-US"/>
        </w:rPr>
        <w:t xml:space="preserve"> del trámite específico, </w:t>
      </w:r>
      <w:r w:rsidRPr="008B21BA">
        <w:rPr>
          <w:rFonts w:ascii="Palatino Linotype" w:eastAsiaTheme="minorHAnsi" w:hAnsi="Palatino Linotype" w:cs="Arial"/>
          <w:b/>
          <w:i/>
          <w:sz w:val="22"/>
          <w:u w:val="single"/>
          <w:lang w:val="es-MX" w:eastAsia="en-US"/>
        </w:rPr>
        <w:t>o bien a través del procedimiento para el ejercicio de los derechos ARCO</w:t>
      </w:r>
      <w:r w:rsidRPr="008B21BA">
        <w:rPr>
          <w:rFonts w:ascii="Palatino Linotype" w:eastAsiaTheme="minorHAnsi" w:hAnsi="Palatino Linotype" w:cs="Arial"/>
          <w:i/>
          <w:sz w:val="22"/>
          <w:lang w:val="es-MX" w:eastAsia="en-US"/>
        </w:rPr>
        <w:t xml:space="preserve">. </w:t>
      </w:r>
    </w:p>
    <w:p w14:paraId="0CA44A22" w14:textId="77777777" w:rsidR="00A81853" w:rsidRPr="008B21BA" w:rsidRDefault="00A81853" w:rsidP="00A81853">
      <w:pPr>
        <w:widowControl w:val="0"/>
        <w:autoSpaceDE w:val="0"/>
        <w:autoSpaceDN w:val="0"/>
        <w:adjustRightInd w:val="0"/>
        <w:ind w:left="851" w:right="708"/>
        <w:jc w:val="both"/>
        <w:rPr>
          <w:rFonts w:ascii="Palatino Linotype" w:eastAsiaTheme="minorHAnsi" w:hAnsi="Palatino Linotype" w:cs="Arial"/>
          <w:i/>
          <w:sz w:val="22"/>
          <w:lang w:val="es-MX" w:eastAsia="en-US"/>
        </w:rPr>
      </w:pPr>
    </w:p>
    <w:p w14:paraId="15BCBF37" w14:textId="77777777" w:rsidR="00A81853" w:rsidRPr="008B21BA" w:rsidRDefault="00A81853" w:rsidP="00A81853">
      <w:pPr>
        <w:widowControl w:val="0"/>
        <w:autoSpaceDE w:val="0"/>
        <w:autoSpaceDN w:val="0"/>
        <w:adjustRightInd w:val="0"/>
        <w:ind w:left="851" w:right="708"/>
        <w:jc w:val="both"/>
        <w:rPr>
          <w:rFonts w:ascii="Palatino Linotype" w:eastAsiaTheme="minorHAnsi" w:hAnsi="Palatino Linotype" w:cs="Arial"/>
          <w:i/>
          <w:sz w:val="22"/>
          <w:lang w:val="es-MX" w:eastAsia="en-US"/>
        </w:rPr>
      </w:pPr>
      <w:r w:rsidRPr="008B21BA">
        <w:rPr>
          <w:rFonts w:ascii="Palatino Linotype" w:eastAsiaTheme="minorHAnsi" w:hAnsi="Palatino Linotype" w:cs="Arial"/>
          <w:i/>
          <w:sz w:val="22"/>
          <w:lang w:val="es-MX" w:eastAsia="en-US"/>
        </w:rPr>
        <w:t xml:space="preserve">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 </w:t>
      </w:r>
    </w:p>
    <w:p w14:paraId="050051B0" w14:textId="77777777" w:rsidR="00A81853" w:rsidRPr="008B21BA" w:rsidRDefault="00A81853" w:rsidP="00A81853">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84A82F5" w14:textId="77777777" w:rsidR="00A81853" w:rsidRPr="008B21BA" w:rsidRDefault="00A81853" w:rsidP="00A81853">
      <w:pPr>
        <w:widowControl w:val="0"/>
        <w:autoSpaceDE w:val="0"/>
        <w:autoSpaceDN w:val="0"/>
        <w:adjustRightInd w:val="0"/>
        <w:spacing w:line="360" w:lineRule="auto"/>
        <w:jc w:val="both"/>
        <w:rPr>
          <w:rFonts w:ascii="Palatino Linotype" w:eastAsiaTheme="minorHAnsi" w:hAnsi="Palatino Linotype" w:cs="Arial"/>
          <w:lang w:val="es-MX" w:eastAsia="en-US"/>
        </w:rPr>
      </w:pPr>
      <w:r w:rsidRPr="008B21BA">
        <w:rPr>
          <w:rFonts w:ascii="Palatino Linotype" w:eastAsiaTheme="minorHAnsi" w:hAnsi="Palatino Linotype" w:cs="Arial"/>
          <w:lang w:val="es-MX" w:eastAsia="en-US"/>
        </w:rPr>
        <w:t xml:space="preserve">En ese contexto, es posible advertir que si bien la forma de acceder a los datos personales por parte de los ciudadanos pudiera corresponder a un trámite especifico </w:t>
      </w:r>
      <w:r w:rsidRPr="008B21BA">
        <w:rPr>
          <w:rFonts w:ascii="Palatino Linotype" w:eastAsiaTheme="minorHAnsi" w:hAnsi="Palatino Linotype" w:cs="Arial"/>
          <w:lang w:val="es-MX" w:eastAsia="en-US"/>
        </w:rPr>
        <w:lastRenderedPageBreak/>
        <w:t xml:space="preserve">lo cierto es que la Ley de Protección de Datos Personales en Posesión de Sujetos Obligados, establece la posibilidad de que el solicitante pueda determinar la forma para allegarse de ellos en ejercicio de un Derecho Constitucional, situación que en el presente caso no acontece, por lo que es importante traer a contexto al contenido de los artículos 4 segundo párrafo y 12, de la Ley de Transparencia y Acceso a la Información Pública del Estado de México y Municipios, de aplicación supletoria, que disponen: </w:t>
      </w:r>
    </w:p>
    <w:p w14:paraId="610F9965" w14:textId="77777777" w:rsidR="00802ABB" w:rsidRPr="008B21BA" w:rsidRDefault="00802ABB" w:rsidP="00802ABB">
      <w:pPr>
        <w:pStyle w:val="Sinespaciado"/>
      </w:pPr>
    </w:p>
    <w:p w14:paraId="2E7CACF5" w14:textId="77777777" w:rsidR="00802ABB" w:rsidRPr="008B21BA" w:rsidRDefault="00802ABB" w:rsidP="00802ABB">
      <w:pPr>
        <w:ind w:left="567" w:right="616"/>
        <w:jc w:val="both"/>
        <w:rPr>
          <w:rFonts w:ascii="Palatino Linotype" w:hAnsi="Palatino Linotype" w:cs="Arial"/>
          <w:i/>
          <w:sz w:val="22"/>
        </w:rPr>
      </w:pPr>
      <w:r w:rsidRPr="008B21BA">
        <w:rPr>
          <w:rFonts w:ascii="Palatino Linotype" w:hAnsi="Palatino Linotype" w:cs="Arial"/>
          <w:i/>
          <w:sz w:val="22"/>
        </w:rPr>
        <w:t>“</w:t>
      </w:r>
      <w:r w:rsidRPr="008B21BA">
        <w:rPr>
          <w:rFonts w:ascii="Palatino Linotype" w:hAnsi="Palatino Linotype" w:cs="Arial"/>
          <w:b/>
          <w:i/>
          <w:sz w:val="22"/>
        </w:rPr>
        <w:t xml:space="preserve">Artículo 4. </w:t>
      </w:r>
      <w:r w:rsidRPr="008B21BA">
        <w:rPr>
          <w:rFonts w:ascii="Palatino Linotype" w:hAnsi="Palatino Linotype" w:cs="Arial"/>
          <w:i/>
          <w:sz w:val="22"/>
        </w:rPr>
        <w:t xml:space="preserve">… </w:t>
      </w:r>
    </w:p>
    <w:p w14:paraId="0003F0C0" w14:textId="77777777" w:rsidR="00802ABB" w:rsidRPr="008B21BA" w:rsidRDefault="00802ABB" w:rsidP="00802ABB">
      <w:pPr>
        <w:ind w:left="567" w:right="616"/>
        <w:jc w:val="both"/>
        <w:rPr>
          <w:rFonts w:ascii="Palatino Linotype" w:hAnsi="Palatino Linotype" w:cs="Arial"/>
          <w:i/>
          <w:sz w:val="22"/>
        </w:rPr>
      </w:pPr>
      <w:r w:rsidRPr="008B21B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Pr="008B21BA"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Pr="008B21BA" w:rsidRDefault="00802ABB" w:rsidP="00802ABB">
      <w:pPr>
        <w:tabs>
          <w:tab w:val="left" w:pos="709"/>
        </w:tabs>
        <w:spacing w:line="360" w:lineRule="auto"/>
        <w:contextualSpacing/>
        <w:jc w:val="both"/>
        <w:rPr>
          <w:rFonts w:ascii="Palatino Linotype" w:hAnsi="Palatino Linotype" w:cs="Arial"/>
          <w:lang w:val="es-ES_tradnl"/>
        </w:rPr>
      </w:pPr>
      <w:r w:rsidRPr="008B21B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237288F" w14:textId="50F2B180" w:rsidR="009602BA" w:rsidRPr="008B21BA" w:rsidRDefault="009602BA" w:rsidP="009602BA">
      <w:pPr>
        <w:autoSpaceDE w:val="0"/>
        <w:autoSpaceDN w:val="0"/>
        <w:adjustRightInd w:val="0"/>
        <w:spacing w:line="360" w:lineRule="auto"/>
        <w:jc w:val="both"/>
        <w:rPr>
          <w:rFonts w:ascii="Palatino Linotype" w:hAnsi="Palatino Linotype" w:cs="Arial"/>
        </w:rPr>
      </w:pPr>
      <w:r w:rsidRPr="008B21BA">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8B21BA" w:rsidRDefault="009602BA" w:rsidP="009602BA">
      <w:pPr>
        <w:rPr>
          <w:rFonts w:asciiTheme="minorHAnsi" w:eastAsiaTheme="minorHAnsi" w:hAnsiTheme="minorHAnsi" w:cstheme="minorBidi"/>
          <w:sz w:val="22"/>
          <w:szCs w:val="22"/>
          <w:lang w:val="es-MX" w:eastAsia="en-US"/>
        </w:rPr>
      </w:pPr>
    </w:p>
    <w:p w14:paraId="6411B9D9" w14:textId="77777777" w:rsidR="009602BA" w:rsidRPr="008B21BA" w:rsidRDefault="009602BA" w:rsidP="00C52084">
      <w:pPr>
        <w:pStyle w:val="Sinespaciado"/>
        <w:rPr>
          <w:rFonts w:eastAsiaTheme="minorHAnsi"/>
          <w:sz w:val="8"/>
        </w:rPr>
      </w:pPr>
    </w:p>
    <w:p w14:paraId="17139DF0" w14:textId="77777777" w:rsidR="009602BA" w:rsidRPr="008B21BA"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8B21BA">
        <w:rPr>
          <w:rFonts w:ascii="Palatino Linotype" w:eastAsiaTheme="minorHAnsi" w:hAnsi="Palatino Linotype" w:cs="Arial"/>
          <w:b/>
          <w:i/>
          <w:sz w:val="22"/>
          <w:szCs w:val="22"/>
          <w:lang w:val="es-MX" w:eastAsia="en-US"/>
        </w:rPr>
        <w:t>Artículo 12.</w:t>
      </w:r>
      <w:r w:rsidRPr="008B21BA">
        <w:rPr>
          <w:rFonts w:ascii="Palatino Linotype" w:eastAsiaTheme="minorHAnsi" w:hAnsi="Palatino Linotype" w:cs="Arial"/>
          <w:i/>
          <w:sz w:val="22"/>
          <w:szCs w:val="22"/>
          <w:lang w:val="es-MX" w:eastAsia="en-US"/>
        </w:rPr>
        <w:t xml:space="preserve"> …</w:t>
      </w:r>
      <w:r w:rsidRPr="008B21BA">
        <w:rPr>
          <w:rFonts w:ascii="Palatino Linotype" w:eastAsiaTheme="minorHAnsi" w:hAnsi="Palatino Linotype" w:cs="Arial"/>
          <w:b/>
          <w:i/>
          <w:sz w:val="22"/>
          <w:szCs w:val="22"/>
          <w:lang w:val="es-MX" w:eastAsia="en-US"/>
        </w:rPr>
        <w:t xml:space="preserve"> </w:t>
      </w:r>
    </w:p>
    <w:p w14:paraId="669ECD70" w14:textId="77777777" w:rsidR="009602BA" w:rsidRPr="008B21BA"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8B21BA">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8B21BA">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1F8869BE" w14:textId="77777777" w:rsidR="009602BA" w:rsidRPr="008B21BA" w:rsidRDefault="009602BA" w:rsidP="009602BA">
      <w:pPr>
        <w:spacing w:line="360" w:lineRule="auto"/>
        <w:jc w:val="both"/>
        <w:rPr>
          <w:rFonts w:ascii="Palatino Linotype" w:eastAsiaTheme="minorHAnsi" w:hAnsi="Palatino Linotype" w:cs="Arial"/>
          <w:lang w:val="es-MX" w:eastAsia="es-MX"/>
        </w:rPr>
      </w:pPr>
      <w:r w:rsidRPr="008B21BA">
        <w:rPr>
          <w:rFonts w:ascii="Palatino Linotype" w:eastAsiaTheme="minorHAnsi" w:hAnsi="Palatino Linotype" w:cs="Arial"/>
          <w:lang w:val="es-MX" w:eastAsia="es-MX"/>
        </w:rPr>
        <w:lastRenderedPageBreak/>
        <w:t xml:space="preserve">Además, y de conformidad con lo ya establecido anteriormente en el artículo 12, de la Ley de Transparencia y Acceso a la Información Pública del Estado de México y Municipios, anteriormente invocado el </w:t>
      </w:r>
      <w:r w:rsidRPr="008B21BA">
        <w:rPr>
          <w:rFonts w:ascii="Palatino Linotype" w:eastAsiaTheme="minorHAnsi" w:hAnsi="Palatino Linotype" w:cs="Arial"/>
          <w:b/>
          <w:lang w:val="es-MX" w:eastAsia="es-MX"/>
        </w:rPr>
        <w:t>Sujeto Obligado</w:t>
      </w:r>
      <w:r w:rsidRPr="008B21BA">
        <w:rPr>
          <w:rFonts w:ascii="Palatino Linotype" w:eastAsiaTheme="minorHAnsi" w:hAnsi="Palatino Linotype" w:cs="Arial"/>
          <w:lang w:val="es-MX" w:eastAsia="es-MX"/>
        </w:rPr>
        <w:t xml:space="preserve"> sólo proporcionará la información que obra en sus archivos, lo que </w:t>
      </w:r>
      <w:r w:rsidRPr="008B21BA">
        <w:rPr>
          <w:rFonts w:ascii="Palatino Linotype" w:eastAsiaTheme="minorHAnsi" w:hAnsi="Palatino Linotype" w:cs="Arial"/>
          <w:i/>
          <w:lang w:val="es-MX" w:eastAsia="es-MX"/>
        </w:rPr>
        <w:t>a contrario sensu</w:t>
      </w:r>
      <w:r w:rsidRPr="008B21BA">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8B21BA"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Pr="008B21BA" w:rsidRDefault="009602BA" w:rsidP="009602BA">
      <w:pPr>
        <w:spacing w:line="360" w:lineRule="auto"/>
        <w:jc w:val="both"/>
        <w:rPr>
          <w:rFonts w:ascii="Palatino Linotype" w:eastAsia="Calibri" w:hAnsi="Palatino Linotype" w:cs="Arial"/>
          <w:szCs w:val="22"/>
          <w:lang w:val="es-MX" w:eastAsia="en-US"/>
        </w:rPr>
      </w:pPr>
      <w:r w:rsidRPr="008B21BA">
        <w:rPr>
          <w:rFonts w:ascii="Palatino Linotype" w:eastAsia="Calibri" w:hAnsi="Palatino Linotype" w:cs="Arial"/>
          <w:szCs w:val="22"/>
          <w:lang w:val="es-MX" w:eastAsia="en-US"/>
        </w:rPr>
        <w:t>Así también, se dispone que</w:t>
      </w:r>
      <w:r w:rsidRPr="008B21BA">
        <w:rPr>
          <w:rFonts w:ascii="Palatino Linotype" w:eastAsiaTheme="minorHAnsi" w:hAnsi="Palatino Linotype" w:cstheme="minorBidi"/>
          <w:szCs w:val="22"/>
          <w:lang w:val="es-MX" w:eastAsia="en-US"/>
        </w:rPr>
        <w:t xml:space="preserve"> </w:t>
      </w:r>
      <w:r w:rsidRPr="008B21BA">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46854B77" w14:textId="77777777" w:rsidR="00B93F7E" w:rsidRPr="008B21BA" w:rsidRDefault="00B93F7E" w:rsidP="009602BA">
      <w:pPr>
        <w:spacing w:line="360" w:lineRule="auto"/>
        <w:jc w:val="both"/>
        <w:rPr>
          <w:rFonts w:ascii="Palatino Linotype" w:eastAsia="Calibri" w:hAnsi="Palatino Linotype" w:cs="Arial"/>
          <w:szCs w:val="22"/>
          <w:lang w:val="es-MX" w:eastAsia="en-US"/>
        </w:rPr>
      </w:pPr>
    </w:p>
    <w:p w14:paraId="70C63FB2" w14:textId="6843E95F" w:rsidR="009602BA" w:rsidRPr="008B21BA"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8B21BA">
        <w:rPr>
          <w:rFonts w:ascii="Palatino Linotype" w:eastAsiaTheme="minorHAnsi" w:hAnsi="Palatino Linotype" w:cs="Arial"/>
          <w:szCs w:val="22"/>
          <w:lang w:val="es-MX" w:eastAsia="en-US"/>
        </w:rPr>
        <w:t xml:space="preserve">En este contexto, </w:t>
      </w:r>
      <w:r w:rsidRPr="008B21BA">
        <w:rPr>
          <w:rFonts w:ascii="Palatino Linotype" w:eastAsiaTheme="minorHAnsi" w:hAnsi="Palatino Linotype" w:cs="Arial"/>
          <w:szCs w:val="22"/>
          <w:lang w:val="es-MX" w:eastAsia="es-MX"/>
        </w:rPr>
        <w:t xml:space="preserve">el </w:t>
      </w:r>
      <w:r w:rsidRPr="008B21BA">
        <w:rPr>
          <w:rFonts w:ascii="Palatino Linotype" w:eastAsiaTheme="minorHAnsi" w:hAnsi="Palatino Linotype" w:cs="Arial"/>
          <w:b/>
          <w:szCs w:val="22"/>
          <w:lang w:val="es-MX" w:eastAsia="es-MX"/>
        </w:rPr>
        <w:t>Sujeto Obligado</w:t>
      </w:r>
      <w:r w:rsidRPr="008B21BA">
        <w:rPr>
          <w:rFonts w:ascii="Palatino Linotype" w:eastAsiaTheme="minorHAnsi" w:hAnsi="Palatino Linotype" w:cs="Arial"/>
          <w:szCs w:val="22"/>
          <w:lang w:val="es-MX" w:eastAsia="en-US"/>
        </w:rPr>
        <w:t xml:space="preserve"> no está obligado a generar documento </w:t>
      </w:r>
      <w:r w:rsidRPr="008B21BA">
        <w:rPr>
          <w:rFonts w:ascii="Palatino Linotype" w:eastAsiaTheme="minorHAnsi" w:hAnsi="Palatino Linotype" w:cs="Arial"/>
          <w:b/>
          <w:i/>
          <w:szCs w:val="22"/>
          <w:lang w:val="es-MX" w:eastAsia="en-US"/>
        </w:rPr>
        <w:t>ad hoc</w:t>
      </w:r>
      <w:r w:rsidRPr="008B21BA">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8B21BA">
        <w:rPr>
          <w:rFonts w:ascii="Palatino Linotype" w:eastAsiaTheme="minorHAnsi" w:hAnsi="Palatino Linotype" w:cs="Arial"/>
          <w:color w:val="000000"/>
          <w:szCs w:val="22"/>
          <w:lang w:val="es-MX" w:eastAsia="en-US"/>
        </w:rPr>
        <w:t xml:space="preserve">Como apoyo a lo anterior, es aplicable el Criterio 03-17, emitido por </w:t>
      </w:r>
      <w:r w:rsidRPr="008B21BA">
        <w:rPr>
          <w:rFonts w:ascii="Palatino Linotype" w:eastAsia="Arial Unicode MS" w:hAnsi="Palatino Linotype" w:cs="Arial"/>
          <w:color w:val="000000"/>
          <w:szCs w:val="22"/>
          <w:lang w:val="es-MX" w:eastAsia="en-US"/>
        </w:rPr>
        <w:t>el</w:t>
      </w:r>
      <w:r w:rsidR="00A81853" w:rsidRPr="008B21BA">
        <w:rPr>
          <w:rFonts w:ascii="Palatino Linotype" w:eastAsia="Arial Unicode MS" w:hAnsi="Palatino Linotype" w:cs="Arial"/>
          <w:color w:val="000000"/>
          <w:szCs w:val="22"/>
          <w:lang w:val="es-MX" w:eastAsia="en-US"/>
        </w:rPr>
        <w:t xml:space="preserve"> entonces</w:t>
      </w:r>
      <w:r w:rsidRPr="008B21BA">
        <w:rPr>
          <w:rFonts w:ascii="Palatino Linotype" w:eastAsia="Arial Unicode MS" w:hAnsi="Palatino Linotype" w:cs="Arial"/>
          <w:color w:val="000000"/>
          <w:szCs w:val="22"/>
          <w:lang w:val="es-MX" w:eastAsia="en-US"/>
        </w:rPr>
        <w:t xml:space="preserve"> Instituto Nacional de Transparencia, Acceso a la Información y Protección de Datos Personales,</w:t>
      </w:r>
      <w:r w:rsidRPr="008B21BA">
        <w:rPr>
          <w:rFonts w:ascii="Palatino Linotype" w:eastAsiaTheme="minorHAnsi" w:hAnsi="Palatino Linotype" w:cstheme="minorBidi"/>
          <w:bCs/>
          <w:color w:val="000000"/>
          <w:szCs w:val="22"/>
          <w:lang w:val="es-MX" w:eastAsia="en-US"/>
        </w:rPr>
        <w:t xml:space="preserve"> que dice:</w:t>
      </w:r>
      <w:r w:rsidRPr="008B21BA">
        <w:rPr>
          <w:rFonts w:ascii="Palatino Linotype" w:eastAsiaTheme="minorHAnsi" w:hAnsi="Palatino Linotype" w:cstheme="minorBidi"/>
          <w:b/>
          <w:bCs/>
          <w:color w:val="000000"/>
          <w:szCs w:val="22"/>
          <w:lang w:val="es-MX" w:eastAsia="en-US"/>
        </w:rPr>
        <w:t xml:space="preserve"> </w:t>
      </w:r>
    </w:p>
    <w:p w14:paraId="00868262" w14:textId="77777777" w:rsidR="009602BA" w:rsidRPr="008B21BA" w:rsidRDefault="009602BA" w:rsidP="009602BA">
      <w:pPr>
        <w:rPr>
          <w:rFonts w:asciiTheme="minorHAnsi" w:eastAsiaTheme="minorHAnsi" w:hAnsiTheme="minorHAnsi" w:cstheme="minorBidi"/>
          <w:sz w:val="22"/>
          <w:szCs w:val="22"/>
          <w:lang w:val="es-MX" w:eastAsia="en-US"/>
        </w:rPr>
      </w:pPr>
    </w:p>
    <w:p w14:paraId="4344A0AD" w14:textId="77777777" w:rsidR="009602BA" w:rsidRPr="008B21BA"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8B21BA"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8B21BA">
        <w:rPr>
          <w:rFonts w:ascii="Palatino Linotype" w:eastAsiaTheme="minorHAnsi" w:hAnsi="Palatino Linotype" w:cs="Arial"/>
          <w:i/>
          <w:color w:val="000000"/>
          <w:sz w:val="22"/>
          <w:szCs w:val="22"/>
          <w:lang w:val="es-MX" w:eastAsia="en-US"/>
        </w:rPr>
        <w:t>“</w:t>
      </w:r>
      <w:r w:rsidRPr="008B21BA">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8B21BA">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w:t>
      </w:r>
      <w:r w:rsidRPr="008B21BA">
        <w:rPr>
          <w:rFonts w:ascii="Palatino Linotype" w:eastAsiaTheme="minorHAnsi" w:hAnsi="Palatino Linotype" w:cs="Arial"/>
          <w:i/>
          <w:color w:val="000000"/>
          <w:sz w:val="22"/>
          <w:szCs w:val="22"/>
          <w:lang w:val="es-MX" w:eastAsia="en-US"/>
        </w:rPr>
        <w:lastRenderedPageBreak/>
        <w:t>información con la que cuentan en el formato en que la misma obre en sus archivos; sin necesidad de elaborar documentos ad hoc para atender las solicitudes de información.</w:t>
      </w:r>
    </w:p>
    <w:p w14:paraId="11CB8BCC" w14:textId="77777777" w:rsidR="009602BA" w:rsidRPr="008B21BA"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8B21BA"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8B21BA"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8B21BA">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8B21BA"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8B21BA">
        <w:rPr>
          <w:rFonts w:ascii="Palatino Linotype" w:eastAsiaTheme="minorHAnsi" w:hAnsi="Palatino Linotype" w:cs="Arial"/>
          <w:i/>
          <w:color w:val="000000"/>
          <w:sz w:val="22"/>
          <w:szCs w:val="22"/>
          <w:lang w:val="es-MX" w:eastAsia="en-US"/>
        </w:rPr>
        <w:sym w:font="Symbol" w:char="F0B7"/>
      </w:r>
      <w:r w:rsidRPr="008B21BA">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8B21BA"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8B21BA">
        <w:rPr>
          <w:rFonts w:ascii="Palatino Linotype" w:eastAsiaTheme="minorHAnsi" w:hAnsi="Palatino Linotype" w:cs="Arial"/>
          <w:i/>
          <w:color w:val="000000"/>
          <w:sz w:val="22"/>
          <w:szCs w:val="22"/>
          <w:lang w:val="es-MX" w:eastAsia="en-US"/>
        </w:rPr>
        <w:sym w:font="Symbol" w:char="F0B7"/>
      </w:r>
      <w:r w:rsidRPr="008B21BA">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8B21BA"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8B21BA">
        <w:rPr>
          <w:rFonts w:ascii="Palatino Linotype" w:eastAsiaTheme="minorHAnsi" w:hAnsi="Palatino Linotype" w:cs="Arial"/>
          <w:i/>
          <w:color w:val="000000"/>
          <w:sz w:val="22"/>
          <w:szCs w:val="22"/>
          <w:lang w:val="es-MX" w:eastAsia="en-US"/>
        </w:rPr>
        <w:sym w:font="Symbol" w:char="F0B7"/>
      </w:r>
      <w:r w:rsidRPr="008B21BA">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8B21BA"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578AB3E0" w14:textId="77777777" w:rsidR="00F65CF8" w:rsidRPr="008B21BA" w:rsidRDefault="00F65CF8" w:rsidP="00F65CF8">
      <w:pPr>
        <w:spacing w:line="360" w:lineRule="auto"/>
        <w:jc w:val="both"/>
        <w:rPr>
          <w:rFonts w:ascii="Palatino Linotype" w:hAnsi="Palatino Linotype" w:cs="Tahoma"/>
          <w:bCs/>
        </w:rPr>
      </w:pPr>
      <w:r w:rsidRPr="008B21BA">
        <w:rPr>
          <w:rFonts w:ascii="Palatino Linotype" w:hAnsi="Palatino Linotype" w:cs="Tahoma"/>
          <w:bCs/>
        </w:rPr>
        <w:t xml:space="preserve">Bajo estas líneas argumentativas, al retomar y delimitar los requerimientos del ahora </w:t>
      </w:r>
      <w:r w:rsidRPr="008B21BA">
        <w:rPr>
          <w:rFonts w:ascii="Palatino Linotype" w:hAnsi="Palatino Linotype" w:cs="Tahoma"/>
          <w:b/>
          <w:bCs/>
        </w:rPr>
        <w:t>Recurrente</w:t>
      </w:r>
      <w:r w:rsidRPr="008B21BA">
        <w:rPr>
          <w:rFonts w:ascii="Palatino Linotype" w:hAnsi="Palatino Linotype" w:cs="Tahoma"/>
          <w:bCs/>
        </w:rPr>
        <w:t>, de manera objetiva se precisa que se queja de la siguiente información:</w:t>
      </w:r>
    </w:p>
    <w:p w14:paraId="7F236ADE" w14:textId="77777777" w:rsidR="00F65CF8" w:rsidRPr="008B21BA" w:rsidRDefault="00F65CF8" w:rsidP="00F65CF8">
      <w:pPr>
        <w:spacing w:line="360" w:lineRule="auto"/>
        <w:jc w:val="both"/>
        <w:rPr>
          <w:rFonts w:ascii="Palatino Linotype" w:hAnsi="Palatino Linotype" w:cs="Arial"/>
        </w:rPr>
      </w:pPr>
    </w:p>
    <w:p w14:paraId="0CC7C654" w14:textId="77777777" w:rsidR="00F65CF8" w:rsidRPr="008B21BA" w:rsidRDefault="00F65CF8" w:rsidP="00F65CF8">
      <w:pPr>
        <w:spacing w:line="360" w:lineRule="auto"/>
        <w:ind w:right="141"/>
        <w:jc w:val="both"/>
        <w:rPr>
          <w:rFonts w:ascii="Palatino Linotype" w:eastAsiaTheme="minorHAnsi" w:hAnsi="Palatino Linotype" w:cstheme="minorBidi"/>
          <w:b/>
          <w:szCs w:val="22"/>
          <w:lang w:val="es-MX" w:eastAsia="es-MX"/>
        </w:rPr>
      </w:pPr>
      <w:r w:rsidRPr="008B21BA">
        <w:rPr>
          <w:rFonts w:ascii="Palatino Linotype" w:eastAsiaTheme="minorHAnsi" w:hAnsi="Palatino Linotype" w:cstheme="minorBidi"/>
          <w:b/>
          <w:szCs w:val="22"/>
          <w:lang w:val="es-MX" w:eastAsia="es-MX"/>
        </w:rPr>
        <w:t xml:space="preserve">PUNTOS RECURRIDOS: </w:t>
      </w:r>
    </w:p>
    <w:p w14:paraId="67104BC5" w14:textId="77777777" w:rsidR="00F65CF8" w:rsidRPr="008B21BA" w:rsidRDefault="00F65CF8" w:rsidP="00F65CF8">
      <w:pPr>
        <w:pStyle w:val="Sinespaciado"/>
        <w:rPr>
          <w:rFonts w:eastAsiaTheme="minorHAnsi"/>
          <w:lang w:eastAsia="es-MX"/>
        </w:rPr>
      </w:pPr>
    </w:p>
    <w:p w14:paraId="7737BACD" w14:textId="49A82E90" w:rsidR="00F65CF8" w:rsidRPr="008B21BA" w:rsidRDefault="00F65CF8" w:rsidP="00A81853">
      <w:pPr>
        <w:pStyle w:val="Prrafodelista"/>
        <w:numPr>
          <w:ilvl w:val="0"/>
          <w:numId w:val="20"/>
        </w:numPr>
        <w:spacing w:line="360" w:lineRule="auto"/>
        <w:jc w:val="both"/>
        <w:rPr>
          <w:rFonts w:ascii="Palatino Linotype" w:hAnsi="Palatino Linotype" w:cs="Arial"/>
        </w:rPr>
      </w:pPr>
      <w:r w:rsidRPr="008B21BA">
        <w:rPr>
          <w:rFonts w:ascii="Palatino Linotype" w:hAnsi="Palatino Linotype" w:cs="Arial"/>
        </w:rPr>
        <w:t>“</w:t>
      </w:r>
      <w:r w:rsidR="00A81853" w:rsidRPr="008B21BA">
        <w:rPr>
          <w:rFonts w:ascii="Palatino Linotype" w:hAnsi="Palatino Linotype" w:cs="Arial"/>
          <w:b/>
          <w:bCs/>
          <w:u w:val="single"/>
        </w:rPr>
        <w:t>La declaración de incompetencia de la Secretaría de Finanzas del Estado de México</w:t>
      </w:r>
      <w:r w:rsidR="00A81853" w:rsidRPr="008B21BA">
        <w:rPr>
          <w:rFonts w:ascii="Palatino Linotype" w:hAnsi="Palatino Linotype" w:cs="Arial"/>
        </w:rPr>
        <w:t xml:space="preserve">,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w:t>
      </w:r>
      <w:r w:rsidR="00A81853" w:rsidRPr="008B21BA">
        <w:rPr>
          <w:rFonts w:ascii="Palatino Linotype" w:hAnsi="Palatino Linotype" w:cs="Arial"/>
        </w:rPr>
        <w:lastRenderedPageBreak/>
        <w:t>mi personalidad con la que me ostentó en el presente recurso de revisión y sea procedente el mismo</w:t>
      </w:r>
      <w:r w:rsidRPr="008B21BA">
        <w:rPr>
          <w:rFonts w:ascii="Palatino Linotype" w:hAnsi="Palatino Linotype" w:cs="Arial"/>
        </w:rPr>
        <w:t>” (sic)</w:t>
      </w:r>
    </w:p>
    <w:p w14:paraId="30063C71" w14:textId="77777777" w:rsidR="00F65CF8" w:rsidRPr="008B21BA" w:rsidRDefault="00F65CF8" w:rsidP="00F65CF8">
      <w:pPr>
        <w:spacing w:line="360" w:lineRule="auto"/>
        <w:jc w:val="both"/>
        <w:rPr>
          <w:rFonts w:ascii="Palatino Linotype" w:hAnsi="Palatino Linotype" w:cs="Arial"/>
        </w:rPr>
      </w:pPr>
    </w:p>
    <w:p w14:paraId="6FBA3059" w14:textId="303B8D5C" w:rsidR="00F65CF8" w:rsidRPr="008B21BA" w:rsidRDefault="00F65CF8" w:rsidP="00F65CF8">
      <w:pPr>
        <w:spacing w:line="360" w:lineRule="auto"/>
        <w:jc w:val="both"/>
        <w:rPr>
          <w:rFonts w:ascii="Palatino Linotype" w:hAnsi="Palatino Linotype" w:cs="Arial"/>
          <w:iCs/>
          <w:lang w:val="es-MX"/>
        </w:rPr>
      </w:pPr>
      <w:r w:rsidRPr="008B21BA">
        <w:rPr>
          <w:rFonts w:ascii="Palatino Linotype" w:eastAsiaTheme="minorHAnsi" w:hAnsi="Palatino Linotype" w:cs="Arial"/>
          <w:color w:val="000000" w:themeColor="text1"/>
          <w:lang w:val="es-MX" w:eastAsia="en-US"/>
        </w:rPr>
        <w:t>Por lo anteriormente expuesto</w:t>
      </w:r>
      <w:r w:rsidRPr="008B21BA">
        <w:rPr>
          <w:rFonts w:ascii="Palatino Linotype" w:hAnsi="Palatino Linotype" w:cs="Arial"/>
        </w:rPr>
        <w:t xml:space="preserve">, recordemos que, tanto en respuesta como en informe justificado, el </w:t>
      </w:r>
      <w:r w:rsidRPr="008B21BA">
        <w:rPr>
          <w:rFonts w:ascii="Palatino Linotype" w:hAnsi="Palatino Linotype" w:cs="Arial"/>
          <w:b/>
          <w:bCs/>
        </w:rPr>
        <w:t>Sujeto Obligado</w:t>
      </w:r>
      <w:r w:rsidRPr="008B21BA">
        <w:rPr>
          <w:rFonts w:ascii="Palatino Linotype" w:hAnsi="Palatino Linotype" w:cs="Arial"/>
        </w:rPr>
        <w:t xml:space="preserve">, </w:t>
      </w:r>
      <w:r w:rsidRPr="008B21BA">
        <w:rPr>
          <w:rFonts w:ascii="Palatino Linotype" w:hAnsi="Palatino Linotype" w:cs="Arial"/>
          <w:iCs/>
          <w:lang w:val="es-MX"/>
        </w:rPr>
        <w:t>precisó que la información solicitada, no es generada por la Secretaría de Finanzas, pudiendo ser competente para atender la solicitud de información</w:t>
      </w:r>
      <w:r w:rsidR="00CA438F" w:rsidRPr="008B21BA">
        <w:rPr>
          <w:rFonts w:ascii="Palatino Linotype" w:hAnsi="Palatino Linotype" w:cs="Arial"/>
          <w:iCs/>
          <w:lang w:val="es-MX"/>
        </w:rPr>
        <w:t xml:space="preserve"> </w:t>
      </w:r>
      <w:r w:rsidR="00CA438F" w:rsidRPr="008B21BA">
        <w:rPr>
          <w:rFonts w:ascii="Palatino Linotype" w:hAnsi="Palatino Linotype" w:cs="Arial"/>
          <w:lang w:val="es-ES_tradnl"/>
        </w:rPr>
        <w:t xml:space="preserve">el </w:t>
      </w:r>
      <w:bookmarkStart w:id="4" w:name="_Hlk190173978"/>
      <w:r w:rsidR="00C90A34" w:rsidRPr="008B21BA">
        <w:rPr>
          <w:rFonts w:ascii="Palatino Linotype" w:hAnsi="Palatino Linotype" w:cs="Arial"/>
          <w:b/>
          <w:bCs/>
          <w:u w:val="single"/>
          <w:lang w:val="es-ES_tradnl"/>
        </w:rPr>
        <w:t>Colegio de Bachilleres</w:t>
      </w:r>
      <w:r w:rsidR="00C90A34" w:rsidRPr="008B21BA">
        <w:rPr>
          <w:rFonts w:ascii="Palatino Linotype" w:hAnsi="Palatino Linotype" w:cs="Arial"/>
          <w:lang w:val="es-ES_tradnl"/>
        </w:rPr>
        <w:t xml:space="preserve"> y la </w:t>
      </w:r>
      <w:r w:rsidR="00C90A34" w:rsidRPr="008B21BA">
        <w:rPr>
          <w:rFonts w:ascii="Palatino Linotype" w:hAnsi="Palatino Linotype" w:cs="Arial"/>
          <w:b/>
          <w:bCs/>
          <w:u w:val="single"/>
          <w:lang w:val="es-ES_tradnl"/>
        </w:rPr>
        <w:t xml:space="preserve">Oficialía Mayor. </w:t>
      </w:r>
    </w:p>
    <w:bookmarkEnd w:id="4"/>
    <w:p w14:paraId="702C8F5C" w14:textId="77777777" w:rsidR="00FD3B73" w:rsidRPr="008B21BA" w:rsidRDefault="00FD3B73" w:rsidP="00F65CF8">
      <w:pPr>
        <w:spacing w:line="360" w:lineRule="auto"/>
        <w:jc w:val="both"/>
        <w:rPr>
          <w:rFonts w:ascii="Palatino Linotype" w:eastAsia="Calibri" w:hAnsi="Palatino Linotype" w:cs="Tahoma"/>
          <w:bCs/>
          <w:iCs/>
          <w:lang w:eastAsia="es-ES_tradnl"/>
        </w:rPr>
      </w:pPr>
    </w:p>
    <w:p w14:paraId="007186F6" w14:textId="24B336DE" w:rsidR="008B21BA" w:rsidRPr="008B21BA" w:rsidRDefault="00FD3B73" w:rsidP="008B21BA">
      <w:pPr>
        <w:autoSpaceDE w:val="0"/>
        <w:autoSpaceDN w:val="0"/>
        <w:adjustRightInd w:val="0"/>
        <w:spacing w:line="360" w:lineRule="auto"/>
        <w:jc w:val="both"/>
        <w:rPr>
          <w:rFonts w:ascii="Palatino Linotype" w:eastAsiaTheme="minorHAnsi" w:hAnsi="Palatino Linotype" w:cs="Arial"/>
          <w:szCs w:val="22"/>
          <w:lang w:val="es-MX" w:eastAsia="es-MX"/>
        </w:rPr>
      </w:pPr>
      <w:r w:rsidRPr="008B21BA">
        <w:rPr>
          <w:rFonts w:ascii="Palatino Linotype" w:eastAsiaTheme="minorHAnsi" w:hAnsi="Palatino Linotype" w:cs="Arial"/>
          <w:szCs w:val="22"/>
          <w:lang w:val="es-MX" w:eastAsia="es-MX"/>
        </w:rPr>
        <w:t>Es importante señalar que,</w:t>
      </w:r>
      <w:r w:rsidR="008B21BA" w:rsidRPr="008B21BA">
        <w:rPr>
          <w:rFonts w:ascii="Palatino Linotype" w:eastAsiaTheme="minorHAnsi" w:hAnsi="Palatino Linotype" w:cs="Arial"/>
          <w:szCs w:val="22"/>
          <w:lang w:val="es-MX" w:eastAsia="es-MX"/>
        </w:rPr>
        <w:t xml:space="preserve"> la Ley Orgánica de la Administración Pública del Estado de </w:t>
      </w:r>
    </w:p>
    <w:p w14:paraId="1E130345" w14:textId="3BDBCF2A" w:rsidR="008B21BA" w:rsidRDefault="008B21BA" w:rsidP="008B21BA">
      <w:pPr>
        <w:autoSpaceDE w:val="0"/>
        <w:autoSpaceDN w:val="0"/>
        <w:adjustRightInd w:val="0"/>
        <w:spacing w:line="360" w:lineRule="auto"/>
        <w:jc w:val="both"/>
        <w:rPr>
          <w:rFonts w:ascii="Palatino Linotype" w:eastAsiaTheme="minorHAnsi" w:hAnsi="Palatino Linotype" w:cs="Arial"/>
          <w:szCs w:val="22"/>
          <w:lang w:val="es-MX" w:eastAsia="es-MX"/>
        </w:rPr>
      </w:pPr>
      <w:r w:rsidRPr="008B21BA">
        <w:rPr>
          <w:rFonts w:ascii="Palatino Linotype" w:eastAsiaTheme="minorHAnsi" w:hAnsi="Palatino Linotype" w:cs="Arial"/>
          <w:szCs w:val="22"/>
          <w:lang w:val="es-MX" w:eastAsia="es-MX"/>
        </w:rPr>
        <w:t>México, establece las dependencias con las que cuenta el Poder Ejecutivo:</w:t>
      </w:r>
    </w:p>
    <w:p w14:paraId="42B5CAEB" w14:textId="77777777" w:rsidR="008B21BA" w:rsidRPr="008B21BA" w:rsidRDefault="008B21BA" w:rsidP="008B21BA">
      <w:pPr>
        <w:pStyle w:val="Sinespaciado"/>
        <w:rPr>
          <w:rFonts w:eastAsiaTheme="minorHAnsi"/>
          <w:lang w:eastAsia="es-MX"/>
        </w:rPr>
      </w:pPr>
    </w:p>
    <w:p w14:paraId="1A96C490" w14:textId="77777777" w:rsidR="008B21BA" w:rsidRPr="008B21BA" w:rsidRDefault="008B21BA" w:rsidP="008B21BA">
      <w:pPr>
        <w:ind w:left="851" w:right="851"/>
        <w:jc w:val="both"/>
        <w:rPr>
          <w:rFonts w:ascii="Palatino Linotype" w:eastAsia="Calibri" w:hAnsi="Palatino Linotype"/>
          <w:i/>
          <w:sz w:val="22"/>
          <w:szCs w:val="14"/>
          <w:lang w:val="es-MX" w:eastAsia="en-US"/>
        </w:rPr>
      </w:pPr>
      <w:r w:rsidRPr="008B21BA">
        <w:rPr>
          <w:rFonts w:ascii="Palatino Linotype" w:eastAsia="Calibri" w:hAnsi="Palatino Linotype"/>
          <w:b/>
          <w:bCs/>
          <w:i/>
          <w:sz w:val="22"/>
          <w:szCs w:val="14"/>
          <w:lang w:val="es-MX" w:eastAsia="en-US"/>
        </w:rPr>
        <w:t>Artículo 23.</w:t>
      </w:r>
      <w:r w:rsidRPr="008B21BA">
        <w:rPr>
          <w:rFonts w:ascii="Palatino Linotype" w:eastAsia="Calibri" w:hAnsi="Palatino Linotype"/>
          <w:i/>
          <w:sz w:val="22"/>
          <w:szCs w:val="14"/>
          <w:lang w:val="es-MX" w:eastAsia="en-US"/>
        </w:rPr>
        <w:t xml:space="preserve"> Para el estudio, planeación y despacho de los asuntos, en los diversos ramos de la Administración Pública, auxiliarán a la persona titular del Poder Ejecutivo del Estado, las siguientes dependencias:</w:t>
      </w:r>
    </w:p>
    <w:p w14:paraId="24FF7918"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General de Gobierno; </w:t>
      </w:r>
    </w:p>
    <w:p w14:paraId="77D54AB5"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 Seguridad; </w:t>
      </w:r>
    </w:p>
    <w:p w14:paraId="4C9FFC69"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 Finanzas; </w:t>
      </w:r>
    </w:p>
    <w:p w14:paraId="30A32F52"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 Salud; </w:t>
      </w:r>
    </w:p>
    <w:p w14:paraId="7F5B3B32"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del Trabajo; </w:t>
      </w:r>
    </w:p>
    <w:p w14:paraId="69FAE845"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 Educación, Ciencia, Tecnología e Innovación; </w:t>
      </w:r>
    </w:p>
    <w:p w14:paraId="59AD89B0"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 Bienestar; </w:t>
      </w:r>
    </w:p>
    <w:p w14:paraId="718810FB"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 Desarrollo Urbano e Infraestructura; </w:t>
      </w:r>
    </w:p>
    <w:p w14:paraId="0C006A8B"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del Campo; </w:t>
      </w:r>
    </w:p>
    <w:p w14:paraId="070405A1"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 Desarrollo Económico; </w:t>
      </w:r>
    </w:p>
    <w:p w14:paraId="4058AEA1"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 Cultura y Turismo; </w:t>
      </w:r>
    </w:p>
    <w:p w14:paraId="253038B9"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lastRenderedPageBreak/>
        <w:t xml:space="preserve">Secretaría de la Contraloría; </w:t>
      </w:r>
    </w:p>
    <w:p w14:paraId="45FCC9B4"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del Medio Ambiente y Desarrollo Sostenible; </w:t>
      </w:r>
    </w:p>
    <w:p w14:paraId="0DD2D696"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del Agua; </w:t>
      </w:r>
    </w:p>
    <w:p w14:paraId="6C7EE3F3"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 las Mujeres; </w:t>
      </w:r>
    </w:p>
    <w:p w14:paraId="5AFBC89A"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Secretaría de Movilidad; </w:t>
      </w:r>
    </w:p>
    <w:p w14:paraId="084BA85F"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Consejería Jurídica; y </w:t>
      </w:r>
    </w:p>
    <w:p w14:paraId="5986F19E" w14:textId="77777777" w:rsidR="008B21BA" w:rsidRPr="008B21BA" w:rsidRDefault="008B21BA" w:rsidP="008B21BA">
      <w:pPr>
        <w:numPr>
          <w:ilvl w:val="0"/>
          <w:numId w:val="49"/>
        </w:numPr>
        <w:spacing w:before="240" w:after="160"/>
        <w:ind w:right="851"/>
        <w:jc w:val="both"/>
        <w:rPr>
          <w:rFonts w:ascii="Palatino Linotype" w:eastAsia="Calibri" w:hAnsi="Palatino Linotype"/>
          <w:i/>
          <w:sz w:val="22"/>
          <w:szCs w:val="14"/>
          <w:lang w:val="es-MX" w:eastAsia="en-US"/>
        </w:rPr>
      </w:pPr>
      <w:r w:rsidRPr="008B21BA">
        <w:rPr>
          <w:rFonts w:ascii="Palatino Linotype" w:eastAsia="Calibri" w:hAnsi="Palatino Linotype"/>
          <w:b/>
          <w:i/>
          <w:sz w:val="22"/>
          <w:szCs w:val="14"/>
          <w:u w:val="single"/>
          <w:lang w:val="es-MX" w:eastAsia="en-US"/>
        </w:rPr>
        <w:t>Oficialía Mayor</w:t>
      </w:r>
      <w:r w:rsidRPr="008B21BA">
        <w:rPr>
          <w:rFonts w:ascii="Palatino Linotype" w:eastAsia="Calibri" w:hAnsi="Palatino Linotype"/>
          <w:i/>
          <w:sz w:val="22"/>
          <w:szCs w:val="14"/>
          <w:lang w:val="es-MX" w:eastAsia="en-US"/>
        </w:rPr>
        <w:t>.</w:t>
      </w:r>
    </w:p>
    <w:p w14:paraId="28F02194" w14:textId="77777777" w:rsidR="008B21BA" w:rsidRPr="008B21BA" w:rsidRDefault="008B21BA" w:rsidP="008B21BA">
      <w:pPr>
        <w:spacing w:before="240" w:after="160"/>
        <w:ind w:left="851" w:right="851"/>
        <w:jc w:val="both"/>
        <w:rPr>
          <w:rFonts w:ascii="Palatino Linotype" w:eastAsia="Calibri" w:hAnsi="Palatino Linotype"/>
          <w:i/>
          <w:sz w:val="22"/>
          <w:szCs w:val="14"/>
          <w:lang w:val="es-MX" w:eastAsia="en-US"/>
        </w:rPr>
      </w:pPr>
    </w:p>
    <w:p w14:paraId="1F44E2D0" w14:textId="77777777" w:rsidR="008B21BA" w:rsidRPr="008B21BA" w:rsidRDefault="008B21BA" w:rsidP="008B21BA">
      <w:pPr>
        <w:spacing w:before="240" w:after="160"/>
        <w:ind w:left="851" w:right="851"/>
        <w:jc w:val="both"/>
        <w:rPr>
          <w:rFonts w:ascii="Palatino Linotype" w:eastAsia="Calibri" w:hAnsi="Palatino Linotype"/>
          <w:b/>
          <w:i/>
          <w:sz w:val="22"/>
          <w:szCs w:val="14"/>
          <w:lang w:val="es-MX" w:eastAsia="en-US"/>
        </w:rPr>
      </w:pPr>
      <w:r w:rsidRPr="008B21BA">
        <w:rPr>
          <w:rFonts w:ascii="Palatino Linotype" w:eastAsia="Calibri" w:hAnsi="Palatino Linotype"/>
          <w:b/>
          <w:i/>
          <w:sz w:val="22"/>
          <w:szCs w:val="14"/>
          <w:lang w:val="es-MX" w:eastAsia="en-US"/>
        </w:rPr>
        <w:t xml:space="preserve">Artículo 58. </w:t>
      </w:r>
      <w:r w:rsidRPr="008B21BA">
        <w:rPr>
          <w:rFonts w:ascii="Palatino Linotype" w:eastAsia="Calibri" w:hAnsi="Palatino Linotype"/>
          <w:b/>
          <w:i/>
          <w:sz w:val="22"/>
          <w:szCs w:val="14"/>
          <w:u w:val="single"/>
          <w:lang w:val="es-MX" w:eastAsia="en-US"/>
        </w:rPr>
        <w:t>La Oficialía Mayor es la encargada de planear, organizar, normar y dirigir la administración y desarrollo de los recursos humanos</w:t>
      </w:r>
      <w:r w:rsidRPr="008B21BA">
        <w:rPr>
          <w:rFonts w:ascii="Palatino Linotype" w:eastAsia="Calibri" w:hAnsi="Palatino Linotype"/>
          <w:b/>
          <w:i/>
          <w:sz w:val="22"/>
          <w:szCs w:val="14"/>
          <w:lang w:val="es-MX" w:eastAsia="en-US"/>
        </w:rPr>
        <w:t>, materiales y servicios para el apoyo administrativo y tecnológico que requieran las dependencias del Poder Ejecutivo del Estado.</w:t>
      </w:r>
    </w:p>
    <w:p w14:paraId="30BE1A4F" w14:textId="77777777" w:rsidR="008B21BA" w:rsidRPr="008B21BA" w:rsidRDefault="008B21BA" w:rsidP="008B21BA">
      <w:pPr>
        <w:spacing w:before="240" w:after="160"/>
        <w:ind w:left="851" w:right="851"/>
        <w:jc w:val="both"/>
        <w:rPr>
          <w:rFonts w:ascii="Palatino Linotype" w:eastAsia="Calibri" w:hAnsi="Palatino Linotype"/>
          <w:b/>
          <w:i/>
          <w:sz w:val="22"/>
          <w:szCs w:val="14"/>
          <w:lang w:val="es-MX" w:eastAsia="en-US"/>
        </w:rPr>
      </w:pPr>
      <w:r w:rsidRPr="008B21BA">
        <w:rPr>
          <w:rFonts w:ascii="Palatino Linotype" w:eastAsia="Calibri" w:hAnsi="Palatino Linotype"/>
          <w:b/>
          <w:i/>
          <w:sz w:val="22"/>
          <w:szCs w:val="14"/>
          <w:lang w:val="es-MX" w:eastAsia="en-US"/>
        </w:rPr>
        <w:t xml:space="preserve">Artículo 59. La Oficialía Mayor contará con las siguientes atribuciones: </w:t>
      </w:r>
    </w:p>
    <w:p w14:paraId="08040CE3"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Formular y someter a consideración de la persona titular del Poder Ejecutivo del Estado, los proyectos de leyes, reglamentos y demás disposiciones de carácter general y específicas que se requieran para el cumplimiento de sus atribuciones; </w:t>
      </w:r>
    </w:p>
    <w:p w14:paraId="1E6F1F2F"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Instrumentar y vigilar el cumplimiento de las disposiciones legales de carácter administrativo, laboral, tecnológico y de manejo de información, así como las demás de su ramo, aplicables en el Estado;</w:t>
      </w:r>
    </w:p>
    <w:p w14:paraId="280C02D3"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Ejercer en el ámbito de su competencia las atribuciones derivadas de los convenios administrativos, laborales, tecnológicos y de manejo de información que celebre el Gobierno del Estado con el Gobierno Federal, con los gobiernos de otros estados de la República, con los gobiernos municipales y con organismos auxiliares; </w:t>
      </w:r>
    </w:p>
    <w:p w14:paraId="6FD52DB2"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b/>
          <w:i/>
          <w:sz w:val="22"/>
          <w:szCs w:val="14"/>
          <w:lang w:val="es-MX" w:eastAsia="en-US"/>
        </w:rPr>
        <w:t>Proyectar y calcular el gasto anual requerido para las dependencias, por concepto de servicios personales,</w:t>
      </w:r>
      <w:r w:rsidRPr="008B21BA">
        <w:rPr>
          <w:rFonts w:ascii="Palatino Linotype" w:eastAsia="Calibri" w:hAnsi="Palatino Linotype"/>
          <w:i/>
          <w:sz w:val="22"/>
          <w:szCs w:val="14"/>
          <w:lang w:val="es-MX" w:eastAsia="en-US"/>
        </w:rPr>
        <w:t xml:space="preserve"> materiales, servicios y de inversión pública para someterlo a consideración de la persona titular del Poder Ejecutivo del Estado, que se entregará a la Secretaría de Finanzas para su incorporación en el Proyecto de Presupuesto de Egresos del Gobierno del Estado de México, con apego a los principios constitucionales de eficiencia, eficacia, economía, transparencia, honradez; </w:t>
      </w:r>
    </w:p>
    <w:p w14:paraId="6046E5B8"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lastRenderedPageBreak/>
        <w:t xml:space="preserve">Establecer, administrar, integrar, controlar, verificar y mantener actualizados, el padrón de proveedores y contratista, así como demás registros, conforme a las disposiciones legales, convenios que correspondan; </w:t>
      </w:r>
    </w:p>
    <w:p w14:paraId="1AE7BEF4" w14:textId="77777777" w:rsidR="008B21BA" w:rsidRPr="008B21BA" w:rsidRDefault="008B21BA" w:rsidP="008B21BA">
      <w:pPr>
        <w:numPr>
          <w:ilvl w:val="0"/>
          <w:numId w:val="50"/>
        </w:numPr>
        <w:spacing w:after="160"/>
        <w:ind w:left="1276" w:right="567"/>
        <w:jc w:val="both"/>
        <w:rPr>
          <w:rFonts w:ascii="Palatino Linotype" w:eastAsia="Calibri" w:hAnsi="Palatino Linotype"/>
          <w:b/>
          <w:i/>
          <w:sz w:val="22"/>
          <w:szCs w:val="14"/>
          <w:lang w:val="es-MX" w:eastAsia="en-US"/>
        </w:rPr>
      </w:pPr>
      <w:r w:rsidRPr="008B21BA">
        <w:rPr>
          <w:rFonts w:ascii="Palatino Linotype" w:eastAsia="Calibri" w:hAnsi="Palatino Linotype"/>
          <w:b/>
          <w:i/>
          <w:sz w:val="22"/>
          <w:szCs w:val="14"/>
          <w:lang w:val="es-MX" w:eastAsia="en-US"/>
        </w:rPr>
        <w:t xml:space="preserve">Dirigir, normar, controlar, supervisar y evaluar las actividades de las personas servidoras públicas; </w:t>
      </w:r>
    </w:p>
    <w:p w14:paraId="47955AD3"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Proporcionar asesoría en materia de interpretación y aplicación de las leyes administrativas, laborales y de tecnologías de la información, que le sea solicitada por las dependencias y organismos auxiliares de la Administración Pública, por los municipios y por los particulares; </w:t>
      </w:r>
    </w:p>
    <w:p w14:paraId="47CA35BB"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Asumir la representación patronal ante representaciones sindicales y autoridades laborales, en relación con las condiciones generales de trabajo y contratos colectivos de trabajo vigentes en las dependencias, órganos desconcentrados, y demás entes de su competencia, en su caso; </w:t>
      </w:r>
    </w:p>
    <w:p w14:paraId="337C220C"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Participar activamente, bajo la coordinación de la Secretaría de Finanzas, en la elaboración del Plan de Desarrollo del Estado de México que se pondrá a consideración de la persona titular del Poder Ejecutivo del Estado, incluyendo consideraciones y proyecciones de largo alcance, así como los programas sectoriales, institucionales, regionales, especiales y anuales que requiera el Estado, aplicando un enfoque de derechos humanos y perspectiva de género, y con apego a las disposiciones legales aplicables; </w:t>
      </w:r>
    </w:p>
    <w:p w14:paraId="3C32FB67"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Diseñar, implantar, evaluar, actualizar, y gestionar, en coordinación con la Secretaría de Finanzas, todas las plataformas tecnológicas donde se albergarán los sistemas de gestión e información que requieran las dependencias para su óptimo desempeño, apegadas a las disposiciones legales aplicables; </w:t>
      </w:r>
    </w:p>
    <w:p w14:paraId="0AE37E7B"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Colaborar con la Secretaría de Finanzas, en el ámbito de su competencia, en la integración de los informes financieros periódicos y la Cuenta Pública del Gobierno del Estado; </w:t>
      </w:r>
    </w:p>
    <w:p w14:paraId="5477E2EA"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Celebrar, otorgar y suscribir contratos, convenios, escrituras públicas y demás actos jurídicos de cualquier índole, necesarios para el ejercicio de las atribuciones del órgano ejecutivo local, excepto los relativos a obra pública, los servicios relacionados con ésta, y otros que sean atribución de otra dependencia, unidad administrativa u órgano desconcentrado, o correspondan a una facultad indelegable de la persona titular del Poder Ejecutivo del Estado, así como registrar y normar los actos y contratos relacionados con recursos humanos, materiales, de servicios y de tecnología de los que resulten derechos y obligaciones para el Gobierno del Estado; </w:t>
      </w:r>
    </w:p>
    <w:p w14:paraId="1649079F"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lastRenderedPageBreak/>
        <w:t>Prestar a las dependencias, organismos auxiliares y a los municipios, cuando así lo soliciten, la asesoría y el apoyo técnico necesario relacionado a los temas que le competen;</w:t>
      </w:r>
    </w:p>
    <w:p w14:paraId="0AB625B9" w14:textId="77777777" w:rsidR="008B21BA" w:rsidRPr="008B21BA" w:rsidRDefault="008B21BA" w:rsidP="008B21BA">
      <w:pPr>
        <w:numPr>
          <w:ilvl w:val="0"/>
          <w:numId w:val="50"/>
        </w:numPr>
        <w:spacing w:after="160"/>
        <w:ind w:left="1276" w:right="567"/>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Representar legalmente al Gobierno del Estado y vigilar en el cumplimiento de las disposiciones legales en materia de recursos humanos, materiales, bienes muebles e inmuebles, servicios generales y adjudicaciones, en el ámbito de su competencia; </w:t>
      </w:r>
    </w:p>
    <w:p w14:paraId="08D1DE36" w14:textId="77777777" w:rsidR="008B21BA" w:rsidRPr="008B21BA" w:rsidRDefault="008B21BA" w:rsidP="008B21BA">
      <w:pPr>
        <w:numPr>
          <w:ilvl w:val="0"/>
          <w:numId w:val="50"/>
        </w:numPr>
        <w:spacing w:after="160"/>
        <w:ind w:left="1276" w:right="567"/>
        <w:jc w:val="both"/>
        <w:rPr>
          <w:rFonts w:ascii="Palatino Linotype" w:eastAsia="Calibri" w:hAnsi="Palatino Linotype"/>
          <w:b/>
          <w:i/>
          <w:sz w:val="22"/>
          <w:szCs w:val="14"/>
          <w:lang w:val="es-MX" w:eastAsia="en-US"/>
        </w:rPr>
      </w:pPr>
      <w:r w:rsidRPr="008B21BA">
        <w:rPr>
          <w:rFonts w:ascii="Palatino Linotype" w:eastAsia="Calibri" w:hAnsi="Palatino Linotype"/>
          <w:b/>
          <w:i/>
          <w:sz w:val="22"/>
          <w:szCs w:val="14"/>
          <w:lang w:val="es-MX" w:eastAsia="en-US"/>
        </w:rPr>
        <w:t xml:space="preserve">Normar dirigir, vigilar y controlar la selección, contratación y capacitación del personal adscrito a las dependencias del Poder Ejecutivo del Estado, bajo los principios de no discriminación, equidad de género e igualdad de oportunidades, con base en las disposiciones legales aplicables; </w:t>
      </w:r>
    </w:p>
    <w:p w14:paraId="76467356" w14:textId="77777777" w:rsidR="008B21BA" w:rsidRPr="008B21BA" w:rsidRDefault="008B21BA" w:rsidP="008B21BA">
      <w:pPr>
        <w:numPr>
          <w:ilvl w:val="0"/>
          <w:numId w:val="50"/>
        </w:numPr>
        <w:spacing w:after="160"/>
        <w:ind w:left="1276" w:right="567"/>
        <w:jc w:val="both"/>
        <w:rPr>
          <w:rFonts w:ascii="Palatino Linotype" w:eastAsia="Calibri" w:hAnsi="Palatino Linotype"/>
          <w:b/>
          <w:i/>
          <w:sz w:val="22"/>
          <w:szCs w:val="14"/>
          <w:lang w:val="es-MX" w:eastAsia="en-US"/>
        </w:rPr>
      </w:pPr>
      <w:r w:rsidRPr="008B21BA">
        <w:rPr>
          <w:rFonts w:ascii="Palatino Linotype" w:eastAsia="Calibri" w:hAnsi="Palatino Linotype"/>
          <w:b/>
          <w:i/>
          <w:sz w:val="22"/>
          <w:szCs w:val="14"/>
          <w:lang w:val="es-MX" w:eastAsia="en-US"/>
        </w:rPr>
        <w:t xml:space="preserve">Gestionar los nombramientos, remociones, renuncias, licencias y jubilaciones de las personas servidoras públicas del Poder Ejecutivo del Estado, y en su caso de sus organismos auxiliares; apegado a las disposiciones legales vigentes; </w:t>
      </w:r>
    </w:p>
    <w:p w14:paraId="68F2DF4F" w14:textId="77777777" w:rsidR="008B21BA" w:rsidRDefault="008B21BA" w:rsidP="008B21BA">
      <w:pPr>
        <w:numPr>
          <w:ilvl w:val="0"/>
          <w:numId w:val="50"/>
        </w:numPr>
        <w:spacing w:after="160"/>
        <w:ind w:left="1276" w:right="567"/>
        <w:jc w:val="both"/>
        <w:rPr>
          <w:rFonts w:ascii="Palatino Linotype" w:eastAsia="Calibri" w:hAnsi="Palatino Linotype"/>
          <w:b/>
          <w:i/>
          <w:sz w:val="22"/>
          <w:szCs w:val="14"/>
          <w:lang w:val="es-MX" w:eastAsia="en-US"/>
        </w:rPr>
      </w:pPr>
      <w:r w:rsidRPr="008B21BA">
        <w:rPr>
          <w:rFonts w:ascii="Palatino Linotype" w:eastAsia="Calibri" w:hAnsi="Palatino Linotype"/>
          <w:b/>
          <w:i/>
          <w:sz w:val="22"/>
          <w:szCs w:val="14"/>
          <w:lang w:val="es-MX" w:eastAsia="en-US"/>
        </w:rPr>
        <w:t xml:space="preserve">Establecer las normas y lineamientos para administrar y controlar el régimen escalafonario de las personas servidoras públicas al servicio de las dependencias y en su caso de sus organismos auxiliares del Gobierno del Estado, así como mantener actualizado el expediente personal de estas; </w:t>
      </w:r>
    </w:p>
    <w:p w14:paraId="67A19726" w14:textId="486DD2C8" w:rsidR="008B21BA" w:rsidRDefault="008B21BA" w:rsidP="008B21BA">
      <w:pPr>
        <w:spacing w:after="160"/>
        <w:ind w:left="1276" w:right="567"/>
        <w:jc w:val="both"/>
        <w:rPr>
          <w:rFonts w:ascii="Palatino Linotype" w:eastAsia="Calibri" w:hAnsi="Palatino Linotype"/>
          <w:b/>
          <w:i/>
          <w:sz w:val="22"/>
          <w:szCs w:val="14"/>
          <w:lang w:val="es-MX" w:eastAsia="en-US"/>
        </w:rPr>
      </w:pPr>
      <w:r w:rsidRPr="008B21BA">
        <w:rPr>
          <w:rFonts w:ascii="Palatino Linotype" w:eastAsia="Calibri" w:hAnsi="Palatino Linotype"/>
          <w:i/>
          <w:sz w:val="22"/>
          <w:szCs w:val="14"/>
          <w:lang w:val="es-MX" w:eastAsia="en-US"/>
        </w:rPr>
        <w:t>(…)</w:t>
      </w:r>
    </w:p>
    <w:p w14:paraId="782BE2A1" w14:textId="77777777" w:rsidR="008B21BA" w:rsidRPr="008B21BA" w:rsidRDefault="008B21BA" w:rsidP="008B21BA">
      <w:pPr>
        <w:spacing w:after="160"/>
        <w:ind w:left="1276" w:right="567"/>
        <w:jc w:val="both"/>
        <w:rPr>
          <w:rFonts w:ascii="Palatino Linotype" w:eastAsia="Calibri" w:hAnsi="Palatino Linotype"/>
          <w:b/>
          <w:i/>
          <w:sz w:val="22"/>
          <w:szCs w:val="14"/>
          <w:lang w:val="es-MX" w:eastAsia="en-US"/>
        </w:rPr>
      </w:pPr>
    </w:p>
    <w:p w14:paraId="3D308883" w14:textId="77777777" w:rsidR="008B21BA" w:rsidRPr="008B21BA" w:rsidRDefault="008B21BA" w:rsidP="008B21BA">
      <w:pPr>
        <w:spacing w:after="160" w:line="360" w:lineRule="auto"/>
        <w:jc w:val="both"/>
        <w:rPr>
          <w:rFonts w:ascii="Palatino Linotype" w:eastAsia="Palatino Linotype" w:hAnsi="Palatino Linotype" w:cs="Palatino Linotype"/>
          <w:color w:val="000000"/>
          <w:szCs w:val="22"/>
          <w:lang w:val="es-ES_tradnl" w:eastAsia="es-MX"/>
        </w:rPr>
      </w:pPr>
      <w:r w:rsidRPr="008B21BA">
        <w:rPr>
          <w:rFonts w:ascii="Palatino Linotype" w:eastAsia="Palatino Linotype" w:hAnsi="Palatino Linotype" w:cs="Palatino Linotype"/>
          <w:color w:val="000000"/>
          <w:szCs w:val="22"/>
          <w:lang w:val="es-ES_tradnl" w:eastAsia="es-MX"/>
        </w:rPr>
        <w:t>Por otro lado, es necesario traer a colación el Acuerdo por el que se transfieren los recursos de la Subsecretaría de Administración de la Secretaría de Finanzas a la Oficialía Mayor, publicado el 27 de septiembre de 2023 en el periódico oficial “Gaceta del Gobierno” del Estado de México, mismo que establece lo siguiente:</w:t>
      </w:r>
    </w:p>
    <w:p w14:paraId="09F1DF29" w14:textId="77777777" w:rsidR="008B21BA" w:rsidRPr="008B21BA" w:rsidRDefault="008B21BA" w:rsidP="008B21BA">
      <w:pPr>
        <w:spacing w:line="360" w:lineRule="auto"/>
        <w:ind w:left="851"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w:t>
      </w:r>
    </w:p>
    <w:p w14:paraId="1F0AEC02" w14:textId="77777777" w:rsidR="008B21BA" w:rsidRPr="008B21BA" w:rsidRDefault="008B21BA" w:rsidP="008B21BA">
      <w:pPr>
        <w:ind w:left="851"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Que conforme a lo previsto en los artículos 58 y 59 de la Ley Orgánica citada en el párrafo anterior, la Oficialía Mayor es la encargada de planear, organizar, normar y dirigir la administración y el desarrollo de los recursos humanos, materiales y servicios, para el apoyo administrativo y tecnológico que requieran las dependencias del Poder Ejecutivo del Estado y, por tanto, cuenta con diversas atribuciones específicas para cumplir con tales responsabilidades, las cuales, antes de la entrada en vigor de la referida Ley Orgánica, correspondían a la Secretaría de Finanzas, a través de la Subsecretaría de Administración. </w:t>
      </w:r>
    </w:p>
    <w:p w14:paraId="010CC07A" w14:textId="77777777" w:rsidR="008B21BA" w:rsidRPr="008B21BA" w:rsidRDefault="008B21BA" w:rsidP="008B21BA">
      <w:pPr>
        <w:spacing w:before="240" w:after="160"/>
        <w:ind w:left="851"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lastRenderedPageBreak/>
        <w:t>Que a fin de dar cumplimiento a lo dispuesto en los artículos transitorios Quinto, Sexto, Séptimo, Noveno, Décimo Tercero, Décimo Cuarto, y Décimo Quinto Transitorios del Decreto 182 de mérito, resulta necesario transferir los recursos con los que la Subsecretaría de Administración, dependiente de la Secretaría de Finanzas, ejercía sus funciones a la Oficialía Mayor, ello a fin de dotarla de los instrumentos jurídicos y administrativos necesarios que le permitan continuar la operación de los actos en dichas materias.</w:t>
      </w:r>
    </w:p>
    <w:p w14:paraId="6140C130" w14:textId="77777777" w:rsidR="008B21BA" w:rsidRPr="008B21BA" w:rsidRDefault="008B21BA" w:rsidP="008B21BA">
      <w:pPr>
        <w:spacing w:before="240" w:after="160"/>
        <w:ind w:left="851"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w:t>
      </w:r>
    </w:p>
    <w:p w14:paraId="0C404979" w14:textId="77777777" w:rsidR="008B21BA" w:rsidRPr="008B21BA" w:rsidRDefault="008B21BA" w:rsidP="008B21BA">
      <w:pPr>
        <w:spacing w:before="240" w:after="160"/>
        <w:ind w:left="851" w:right="851"/>
        <w:jc w:val="both"/>
        <w:rPr>
          <w:rFonts w:ascii="Palatino Linotype" w:eastAsia="Calibri" w:hAnsi="Palatino Linotype"/>
          <w:i/>
          <w:sz w:val="22"/>
          <w:szCs w:val="14"/>
          <w:lang w:val="es-MX" w:eastAsia="en-US"/>
        </w:rPr>
      </w:pPr>
      <w:r w:rsidRPr="008B21BA">
        <w:rPr>
          <w:rFonts w:ascii="Palatino Linotype" w:eastAsia="Calibri" w:hAnsi="Palatino Linotype"/>
          <w:i/>
          <w:sz w:val="22"/>
          <w:szCs w:val="14"/>
          <w:lang w:val="es-MX" w:eastAsia="en-US"/>
        </w:rPr>
        <w:t xml:space="preserve">ARTÍCULO SEGUNDO. </w:t>
      </w:r>
      <w:r w:rsidRPr="008B21BA">
        <w:rPr>
          <w:rFonts w:ascii="Palatino Linotype" w:eastAsia="Calibri" w:hAnsi="Palatino Linotype"/>
          <w:b/>
          <w:i/>
          <w:sz w:val="22"/>
          <w:szCs w:val="14"/>
          <w:lang w:val="es-MX" w:eastAsia="en-US"/>
        </w:rPr>
        <w:t xml:space="preserve">Los </w:t>
      </w:r>
      <w:r w:rsidRPr="008B21BA">
        <w:rPr>
          <w:rFonts w:ascii="Palatino Linotype" w:eastAsia="Calibri" w:hAnsi="Palatino Linotype"/>
          <w:b/>
          <w:i/>
          <w:sz w:val="22"/>
          <w:szCs w:val="14"/>
          <w:u w:val="single"/>
          <w:lang w:val="es-MX" w:eastAsia="en-US"/>
        </w:rPr>
        <w:t>recursos humanos</w:t>
      </w:r>
      <w:r w:rsidRPr="008B21BA">
        <w:rPr>
          <w:rFonts w:ascii="Palatino Linotype" w:eastAsia="Calibri" w:hAnsi="Palatino Linotype"/>
          <w:b/>
          <w:i/>
          <w:sz w:val="22"/>
          <w:szCs w:val="14"/>
          <w:lang w:val="es-MX" w:eastAsia="en-US"/>
        </w:rPr>
        <w:t xml:space="preserve">, materiales, </w:t>
      </w:r>
      <w:r w:rsidRPr="008B21BA">
        <w:rPr>
          <w:rFonts w:ascii="Palatino Linotype" w:eastAsia="Calibri" w:hAnsi="Palatino Linotype"/>
          <w:b/>
          <w:i/>
          <w:sz w:val="22"/>
          <w:szCs w:val="14"/>
          <w:u w:val="single"/>
          <w:lang w:val="es-MX" w:eastAsia="en-US"/>
        </w:rPr>
        <w:t>presupuestales y financieros de la Subsecretaría de Administración de la Secretaría de Finanzas</w:t>
      </w:r>
      <w:r w:rsidRPr="008B21BA">
        <w:rPr>
          <w:rFonts w:ascii="Palatino Linotype" w:eastAsia="Calibri" w:hAnsi="Palatino Linotype"/>
          <w:i/>
          <w:sz w:val="22"/>
          <w:szCs w:val="14"/>
          <w:lang w:val="es-MX" w:eastAsia="en-US"/>
        </w:rPr>
        <w:t xml:space="preserve">, con excepción de los relativos a la Dirección General del Sistema Estatal de Informática, que continuará adscrita a la Secretaría de Finanzas, </w:t>
      </w:r>
      <w:r w:rsidRPr="008B21BA">
        <w:rPr>
          <w:rFonts w:ascii="Palatino Linotype" w:eastAsia="Calibri" w:hAnsi="Palatino Linotype"/>
          <w:b/>
          <w:i/>
          <w:sz w:val="22"/>
          <w:szCs w:val="14"/>
          <w:lang w:val="es-MX" w:eastAsia="en-US"/>
        </w:rPr>
        <w:t>serán transferidos a partir de la entrada en vigor del presente Acuerdo a la Oficialía Mayor</w:t>
      </w:r>
      <w:r w:rsidRPr="008B21BA">
        <w:rPr>
          <w:rFonts w:ascii="Palatino Linotype" w:eastAsia="Calibri" w:hAnsi="Palatino Linotype"/>
          <w:i/>
          <w:sz w:val="22"/>
          <w:szCs w:val="14"/>
          <w:lang w:val="es-MX" w:eastAsia="en-US"/>
        </w:rPr>
        <w:t xml:space="preserve">. </w:t>
      </w:r>
      <w:r w:rsidRPr="008B21BA">
        <w:rPr>
          <w:rFonts w:ascii="Palatino Linotype" w:eastAsia="Calibri" w:hAnsi="Palatino Linotype"/>
          <w:b/>
          <w:i/>
          <w:sz w:val="22"/>
          <w:szCs w:val="14"/>
          <w:lang w:val="es-MX" w:eastAsia="en-US"/>
        </w:rPr>
        <w:t xml:space="preserve">La Secretaría de Finanzas deberá llevar a cabo las acciones necesarias que permitan a la </w:t>
      </w:r>
      <w:r w:rsidRPr="008B21BA">
        <w:rPr>
          <w:rFonts w:ascii="Palatino Linotype" w:eastAsia="Calibri" w:hAnsi="Palatino Linotype"/>
          <w:b/>
          <w:i/>
          <w:sz w:val="22"/>
          <w:szCs w:val="14"/>
          <w:u w:val="single"/>
          <w:lang w:val="es-MX" w:eastAsia="en-US"/>
        </w:rPr>
        <w:t>Oficialía Mayor ejercer sus atribuciones y cumplir con sus obligaciones relativas al pago de las prestaciones económicas de los recursos humanos</w:t>
      </w:r>
      <w:r w:rsidRPr="008B21BA">
        <w:rPr>
          <w:rFonts w:ascii="Palatino Linotype" w:eastAsia="Calibri" w:hAnsi="Palatino Linotype"/>
          <w:b/>
          <w:i/>
          <w:sz w:val="22"/>
          <w:szCs w:val="14"/>
          <w:lang w:val="es-MX" w:eastAsia="en-US"/>
        </w:rPr>
        <w:t>,</w:t>
      </w:r>
      <w:r w:rsidRPr="008B21BA">
        <w:rPr>
          <w:rFonts w:ascii="Palatino Linotype" w:eastAsia="Calibri" w:hAnsi="Palatino Linotype"/>
          <w:i/>
          <w:sz w:val="22"/>
          <w:szCs w:val="14"/>
          <w:lang w:val="es-MX" w:eastAsia="en-US"/>
        </w:rPr>
        <w:t xml:space="preserve"> materiales y financieros, así como las derivadas de los contratos de arrendamiento de bienes muebles e inmuebles, de ejecución de obra pública y los correspondientes a la adquisición de los bienes y servicios.</w:t>
      </w:r>
    </w:p>
    <w:p w14:paraId="194F6FA4" w14:textId="77777777" w:rsidR="008B21BA" w:rsidRPr="008B21BA" w:rsidRDefault="008B21BA" w:rsidP="008B21BA">
      <w:pPr>
        <w:spacing w:before="240" w:after="160"/>
        <w:ind w:left="851" w:right="851"/>
        <w:jc w:val="both"/>
        <w:rPr>
          <w:rFonts w:ascii="Palatino Linotype" w:eastAsia="Calibri" w:hAnsi="Palatino Linotype"/>
          <w:i/>
          <w:sz w:val="22"/>
          <w:szCs w:val="14"/>
          <w:lang w:val="es-MX" w:eastAsia="en-US"/>
        </w:rPr>
      </w:pPr>
      <w:r w:rsidRPr="008B21BA">
        <w:rPr>
          <w:rFonts w:ascii="Palatino Linotype" w:eastAsia="Calibri" w:hAnsi="Palatino Linotype"/>
          <w:b/>
          <w:bCs/>
          <w:i/>
          <w:sz w:val="22"/>
          <w:szCs w:val="14"/>
          <w:lang w:val="es-MX" w:eastAsia="en-US"/>
        </w:rPr>
        <w:t>ARTÍCULO TERCERO.</w:t>
      </w:r>
      <w:r w:rsidRPr="008B21BA">
        <w:rPr>
          <w:rFonts w:ascii="Palatino Linotype" w:eastAsia="Calibri" w:hAnsi="Palatino Linotype"/>
          <w:i/>
          <w:sz w:val="22"/>
          <w:szCs w:val="14"/>
          <w:lang w:val="es-MX" w:eastAsia="en-US"/>
        </w:rPr>
        <w:t xml:space="preserve"> Las referencias realizadas en disposiciones jurídicas, legales, reglamentarias, administrativas, y en cualquier tipo de documentación a la Subsecretaría de Administración o a la Secretaría de Finanzas en materia de planeación, organización, normatividad y dirección de la administración y desarrollo de los recursos humanos, materiales y servicios para el apoyo administrativo y tecnológico que requieran las dependencias del Poder Ejecutivo del Estado, con excepción de las que correspondan a la Dirección General del Sistema Estatal de Informática, se entenderán hechas a la Oficialía Mayor.</w:t>
      </w:r>
    </w:p>
    <w:p w14:paraId="177AA166" w14:textId="77777777" w:rsidR="008B21BA" w:rsidRPr="008B21BA" w:rsidRDefault="008B21BA" w:rsidP="008B21BA">
      <w:pPr>
        <w:spacing w:before="240" w:after="160"/>
        <w:ind w:left="851" w:right="851"/>
        <w:jc w:val="both"/>
        <w:rPr>
          <w:rFonts w:ascii="Palatino Linotype" w:eastAsia="Calibri" w:hAnsi="Palatino Linotype"/>
          <w:i/>
          <w:sz w:val="22"/>
          <w:szCs w:val="14"/>
          <w:lang w:val="es-MX" w:eastAsia="en-US"/>
        </w:rPr>
      </w:pPr>
      <w:r w:rsidRPr="008B21BA">
        <w:rPr>
          <w:rFonts w:ascii="Palatino Linotype" w:eastAsia="Calibri" w:hAnsi="Palatino Linotype"/>
          <w:b/>
          <w:bCs/>
          <w:i/>
          <w:sz w:val="22"/>
          <w:szCs w:val="14"/>
          <w:lang w:val="es-MX" w:eastAsia="en-US"/>
        </w:rPr>
        <w:t xml:space="preserve">ARTÍCULO CUARTO. </w:t>
      </w:r>
      <w:r w:rsidRPr="008B21BA">
        <w:rPr>
          <w:rFonts w:ascii="Palatino Linotype" w:eastAsia="Calibri" w:hAnsi="Palatino Linotype"/>
          <w:i/>
          <w:sz w:val="22"/>
          <w:szCs w:val="14"/>
          <w:lang w:val="es-MX" w:eastAsia="en-US"/>
        </w:rPr>
        <w:t xml:space="preserve">Los asuntos, actos, procedimientos, programas o proyectos que se encuentren en trámite o curso en la Subsecretaría de Administración o en la Secretaría de Finanzas en materia de planeación, organización, normatividad y dirección de la administración y desarrollo de los recursos humanos, materiales y servicios para el apoyo administrativo y tecnológico que requieran las dependencias del Poder Ejecutivo del Estado, con excepción de los correspondientes a la Dirección General del Sistema Estatal de Informática, serán atendidos hasta su conclusión por la Oficialía Mayor. </w:t>
      </w:r>
    </w:p>
    <w:p w14:paraId="568E9015" w14:textId="77777777" w:rsidR="008B21BA" w:rsidRPr="008B21BA" w:rsidRDefault="008B21BA" w:rsidP="008B21BA">
      <w:pPr>
        <w:spacing w:before="240" w:after="160"/>
        <w:ind w:left="851" w:right="851"/>
        <w:jc w:val="both"/>
        <w:rPr>
          <w:rFonts w:ascii="Palatino Linotype" w:eastAsia="Calibri" w:hAnsi="Palatino Linotype"/>
          <w:i/>
          <w:sz w:val="22"/>
          <w:szCs w:val="14"/>
          <w:lang w:val="es-MX" w:eastAsia="en-US"/>
        </w:rPr>
      </w:pPr>
      <w:r w:rsidRPr="008B21BA">
        <w:rPr>
          <w:rFonts w:ascii="Palatino Linotype" w:eastAsia="Calibri" w:hAnsi="Palatino Linotype"/>
          <w:b/>
          <w:i/>
          <w:sz w:val="22"/>
          <w:szCs w:val="14"/>
          <w:lang w:val="es-MX" w:eastAsia="en-US"/>
        </w:rPr>
        <w:lastRenderedPageBreak/>
        <w:t>ARTÍCULO QUINTO. Los recursos humanos serán trasferidos respetando los derechos laborales de las personas servidoras públicas adscritas a las Subsecretaría de Administración de conformidad con las disposiciones jurídicas aplicables</w:t>
      </w:r>
      <w:r w:rsidRPr="008B21BA">
        <w:rPr>
          <w:rFonts w:ascii="Palatino Linotype" w:eastAsia="Calibri" w:hAnsi="Palatino Linotype"/>
          <w:i/>
          <w:sz w:val="22"/>
          <w:szCs w:val="14"/>
          <w:lang w:val="es-MX" w:eastAsia="en-US"/>
        </w:rPr>
        <w:t>.</w:t>
      </w:r>
    </w:p>
    <w:p w14:paraId="363A6127" w14:textId="77777777" w:rsidR="008B21BA" w:rsidRPr="008B21BA" w:rsidRDefault="008B21BA" w:rsidP="008B21BA">
      <w:pPr>
        <w:spacing w:line="360" w:lineRule="auto"/>
        <w:contextualSpacing/>
        <w:jc w:val="both"/>
        <w:rPr>
          <w:rFonts w:ascii="Palatino Linotype" w:hAnsi="Palatino Linotype"/>
          <w:color w:val="000000"/>
        </w:rPr>
      </w:pPr>
    </w:p>
    <w:p w14:paraId="78ADE1BE" w14:textId="57F8C587" w:rsidR="008B21BA" w:rsidRPr="008B21BA" w:rsidRDefault="008B21BA" w:rsidP="008B21BA">
      <w:pPr>
        <w:spacing w:line="360" w:lineRule="auto"/>
        <w:contextualSpacing/>
        <w:jc w:val="both"/>
        <w:rPr>
          <w:rFonts w:ascii="Palatino Linotype" w:hAnsi="Palatino Linotype"/>
          <w:color w:val="000000"/>
        </w:rPr>
      </w:pPr>
      <w:r w:rsidRPr="008B21BA">
        <w:rPr>
          <w:rFonts w:ascii="Palatino Linotype" w:hAnsi="Palatino Linotype"/>
          <w:color w:val="000000"/>
        </w:rPr>
        <w:t xml:space="preserve">Ahora bien, se señaló al propio </w:t>
      </w:r>
      <w:bookmarkStart w:id="5" w:name="_Hlk196232669"/>
      <w:r w:rsidRPr="008B21BA">
        <w:rPr>
          <w:rFonts w:ascii="Palatino Linotype" w:hAnsi="Palatino Linotype"/>
          <w:b/>
          <w:bCs/>
          <w:color w:val="000000"/>
          <w:u w:val="single"/>
        </w:rPr>
        <w:t>Colegio de Bachilleres del Estado de México (COBAEM)</w:t>
      </w:r>
      <w:bookmarkEnd w:id="5"/>
      <w:r w:rsidRPr="008B21BA">
        <w:rPr>
          <w:rFonts w:ascii="Palatino Linotype" w:hAnsi="Palatino Linotype"/>
          <w:color w:val="000000"/>
        </w:rPr>
        <w:t xml:space="preserve"> como un </w:t>
      </w:r>
      <w:r w:rsidRPr="008B21BA">
        <w:rPr>
          <w:rFonts w:ascii="Palatino Linotype" w:hAnsi="Palatino Linotype"/>
          <w:b/>
          <w:bCs/>
          <w:color w:val="000000"/>
        </w:rPr>
        <w:t>Sujeto Obligado</w:t>
      </w:r>
      <w:r w:rsidRPr="008B21BA">
        <w:rPr>
          <w:rFonts w:ascii="Palatino Linotype" w:hAnsi="Palatino Linotype"/>
          <w:color w:val="000000"/>
        </w:rPr>
        <w:t xml:space="preserve"> diverso competente para atender el requerimiento, Colegio donde señaló laborar el solicitante; el cual es un organismo público descentralizado del Gobierno del Estado de México y una institución pública de educación media superior en el Estado de México, que ofrece el bachillerato general, que es equivalente a la preparatoria.</w:t>
      </w:r>
    </w:p>
    <w:p w14:paraId="41BA284A" w14:textId="77777777" w:rsidR="008B21BA" w:rsidRPr="008B21BA" w:rsidRDefault="008B21BA" w:rsidP="008B21BA">
      <w:pPr>
        <w:spacing w:line="360" w:lineRule="auto"/>
        <w:jc w:val="both"/>
        <w:rPr>
          <w:rFonts w:ascii="Palatino Linotype" w:hAnsi="Palatino Linotype"/>
          <w:color w:val="000000"/>
        </w:rPr>
      </w:pPr>
    </w:p>
    <w:p w14:paraId="1DA878E0" w14:textId="15A3E424" w:rsidR="008B21BA" w:rsidRPr="008B21BA" w:rsidRDefault="008B21BA" w:rsidP="008B21BA">
      <w:pPr>
        <w:spacing w:line="360" w:lineRule="auto"/>
        <w:contextualSpacing/>
        <w:jc w:val="both"/>
        <w:rPr>
          <w:rFonts w:ascii="Palatino Linotype" w:hAnsi="Palatino Linotype"/>
          <w:color w:val="000000"/>
        </w:rPr>
      </w:pPr>
      <w:r w:rsidRPr="008B21BA">
        <w:rPr>
          <w:rFonts w:ascii="Palatino Linotype" w:hAnsi="Palatino Linotype"/>
          <w:color w:val="000000"/>
        </w:rPr>
        <w:t>Sujeto obligado que</w:t>
      </w:r>
      <w:r>
        <w:rPr>
          <w:rFonts w:ascii="Palatino Linotype" w:hAnsi="Palatino Linotype"/>
          <w:color w:val="000000"/>
        </w:rPr>
        <w:t>,</w:t>
      </w:r>
      <w:r w:rsidRPr="008B21BA">
        <w:rPr>
          <w:rFonts w:ascii="Palatino Linotype" w:hAnsi="Palatino Linotype"/>
          <w:color w:val="000000"/>
        </w:rPr>
        <w:t xml:space="preserve"> de acuerdo a sus facultades y atribuciones en el caso concreto, se advierte </w:t>
      </w:r>
      <w:r w:rsidRPr="008B21BA">
        <w:rPr>
          <w:rFonts w:ascii="Palatino Linotype" w:hAnsi="Palatino Linotype"/>
          <w:b/>
          <w:color w:val="000000"/>
        </w:rPr>
        <w:t>idóneo</w:t>
      </w:r>
      <w:r w:rsidRPr="008B21BA">
        <w:rPr>
          <w:rFonts w:ascii="Palatino Linotype" w:hAnsi="Palatino Linotype"/>
          <w:color w:val="000000"/>
        </w:rPr>
        <w:t xml:space="preserve"> para la interposición de las solicitudes de mérito; toda vez que</w:t>
      </w:r>
      <w:r>
        <w:rPr>
          <w:rFonts w:ascii="Palatino Linotype" w:hAnsi="Palatino Linotype"/>
          <w:color w:val="000000"/>
        </w:rPr>
        <w:t>,</w:t>
      </w:r>
      <w:r w:rsidRPr="008B21BA">
        <w:rPr>
          <w:rFonts w:ascii="Palatino Linotype" w:hAnsi="Palatino Linotype"/>
          <w:color w:val="000000"/>
        </w:rPr>
        <w:t xml:space="preserve"> de acuerdo al Anexo de Ejecución proporcionado por el particular, el COBAEM remite un informe trimestral de aplicación de los recursos, verificable por la Secretaría de Educación, como de observa:</w:t>
      </w:r>
    </w:p>
    <w:p w14:paraId="6331E29E" w14:textId="77777777" w:rsidR="008B21BA" w:rsidRPr="008B21BA" w:rsidRDefault="008B21BA" w:rsidP="008B21BA">
      <w:pPr>
        <w:ind w:left="708"/>
        <w:rPr>
          <w:rFonts w:ascii="Palatino Linotype" w:hAnsi="Palatino Linotype"/>
          <w:color w:val="000000"/>
        </w:rPr>
      </w:pPr>
    </w:p>
    <w:p w14:paraId="0BCFBEEA" w14:textId="77777777" w:rsidR="008B21BA" w:rsidRPr="008B21BA" w:rsidRDefault="008B21BA" w:rsidP="008B21BA">
      <w:pPr>
        <w:spacing w:after="160" w:line="360" w:lineRule="auto"/>
        <w:jc w:val="both"/>
        <w:rPr>
          <w:rFonts w:ascii="Palatino Linotype" w:eastAsia="Calibri" w:hAnsi="Palatino Linotype"/>
          <w:color w:val="000000"/>
          <w:sz w:val="22"/>
          <w:szCs w:val="22"/>
          <w:lang w:val="es-MX" w:eastAsia="en-US"/>
        </w:rPr>
      </w:pPr>
      <w:r w:rsidRPr="008B21BA">
        <w:rPr>
          <w:rFonts w:ascii="Palatino Linotype" w:eastAsia="Calibri" w:hAnsi="Palatino Linotype"/>
          <w:noProof/>
          <w:color w:val="000000"/>
          <w:sz w:val="22"/>
          <w:szCs w:val="22"/>
          <w:lang w:val="es-MX" w:eastAsia="es-MX"/>
        </w:rPr>
        <w:drawing>
          <wp:inline distT="0" distB="0" distL="0" distR="0" wp14:anchorId="2C931BBB" wp14:editId="23A74F8C">
            <wp:extent cx="5581015" cy="1085850"/>
            <wp:effectExtent l="76200" t="76200" r="133985" b="133350"/>
            <wp:docPr id="1958873614" name="Imagen 195887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1015" cy="108585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22861A17" w14:textId="77777777" w:rsidR="008B21BA" w:rsidRPr="008B21BA" w:rsidRDefault="008B21BA" w:rsidP="008B21BA">
      <w:pPr>
        <w:spacing w:line="360" w:lineRule="auto"/>
        <w:contextualSpacing/>
        <w:jc w:val="both"/>
        <w:rPr>
          <w:rFonts w:ascii="Palatino Linotype" w:hAnsi="Palatino Linotype"/>
          <w:color w:val="000000"/>
        </w:rPr>
      </w:pPr>
      <w:r w:rsidRPr="008B21BA">
        <w:rPr>
          <w:rFonts w:ascii="Palatino Linotype" w:hAnsi="Palatino Linotype"/>
          <w:color w:val="000000"/>
        </w:rPr>
        <w:t xml:space="preserve">Luego entonces, el </w:t>
      </w:r>
      <w:r w:rsidRPr="008B21BA">
        <w:rPr>
          <w:rFonts w:ascii="Palatino Linotype" w:hAnsi="Palatino Linotype"/>
          <w:b/>
          <w:bCs/>
          <w:color w:val="000000"/>
        </w:rPr>
        <w:t>COBAEM</w:t>
      </w:r>
      <w:r w:rsidRPr="008B21BA">
        <w:rPr>
          <w:rFonts w:ascii="Palatino Linotype" w:hAnsi="Palatino Linotype"/>
          <w:color w:val="000000"/>
        </w:rPr>
        <w:t xml:space="preserve"> tiene la obligación de remitir un informe trimestral de aplicación de recursos a la Secretaría de Educación, en el cual se detalla cómo se han utilizado los recursos financieros asignados a la institución durante ese período. La Secretaría de Educación, por su parte, tiene la responsabilidad de verificar y supervisar </w:t>
      </w:r>
      <w:r w:rsidRPr="008B21BA">
        <w:rPr>
          <w:rFonts w:ascii="Palatino Linotype" w:hAnsi="Palatino Linotype"/>
          <w:color w:val="000000"/>
        </w:rPr>
        <w:lastRenderedPageBreak/>
        <w:t>que dichos recursos se hayan aplicado de manera correcta, transparente y conforme a los lineamientos establecidos.</w:t>
      </w:r>
    </w:p>
    <w:p w14:paraId="0DA3A2A0" w14:textId="77777777" w:rsidR="008B21BA" w:rsidRPr="008B21BA" w:rsidRDefault="008B21BA" w:rsidP="008B21BA">
      <w:pPr>
        <w:spacing w:line="360" w:lineRule="auto"/>
        <w:contextualSpacing/>
        <w:jc w:val="both"/>
        <w:rPr>
          <w:rFonts w:ascii="Palatino Linotype" w:hAnsi="Palatino Linotype"/>
          <w:color w:val="000000"/>
        </w:rPr>
      </w:pPr>
    </w:p>
    <w:p w14:paraId="02395A5B" w14:textId="13A1E335" w:rsidR="00F65CF8" w:rsidRDefault="008B21BA" w:rsidP="00F65CF8">
      <w:pPr>
        <w:spacing w:line="360" w:lineRule="auto"/>
        <w:contextualSpacing/>
        <w:jc w:val="both"/>
        <w:rPr>
          <w:rFonts w:ascii="Palatino Linotype" w:hAnsi="Palatino Linotype"/>
          <w:color w:val="000000"/>
        </w:rPr>
      </w:pPr>
      <w:r w:rsidRPr="008B21BA">
        <w:rPr>
          <w:rFonts w:ascii="Palatino Linotype" w:hAnsi="Palatino Linotype"/>
          <w:color w:val="000000"/>
        </w:rPr>
        <w:t xml:space="preserve">Lo anterior, se advierte como un proceso de rendición de cuentas, el cual se considera fundamental para garantizar la transparencia y el uso eficiente de los recursos públicos, asegurando que los fondos se destinen de manera correcta como fueran concebidos, insistiendo en que corresponde a un </w:t>
      </w:r>
      <w:r w:rsidRPr="008B21BA">
        <w:rPr>
          <w:rFonts w:ascii="Palatino Linotype" w:hAnsi="Palatino Linotype"/>
          <w:b/>
          <w:bCs/>
          <w:color w:val="000000"/>
        </w:rPr>
        <w:t>Sujeto Obligado</w:t>
      </w:r>
      <w:r w:rsidRPr="008B21BA">
        <w:rPr>
          <w:rFonts w:ascii="Palatino Linotype" w:hAnsi="Palatino Linotype"/>
          <w:color w:val="000000"/>
        </w:rPr>
        <w:t xml:space="preserve"> competente de eventualmente colmar la pretensión del </w:t>
      </w:r>
      <w:r w:rsidRPr="008B21BA">
        <w:rPr>
          <w:rFonts w:ascii="Palatino Linotype" w:hAnsi="Palatino Linotype"/>
          <w:b/>
          <w:color w:val="000000"/>
        </w:rPr>
        <w:t>Recurrente.</w:t>
      </w:r>
    </w:p>
    <w:p w14:paraId="4F1FB62E" w14:textId="77777777" w:rsidR="008B21BA" w:rsidRPr="008B21BA" w:rsidRDefault="008B21BA" w:rsidP="00F65CF8">
      <w:pPr>
        <w:spacing w:line="360" w:lineRule="auto"/>
        <w:contextualSpacing/>
        <w:jc w:val="both"/>
        <w:rPr>
          <w:rFonts w:ascii="Palatino Linotype" w:hAnsi="Palatino Linotype"/>
          <w:color w:val="000000"/>
        </w:rPr>
      </w:pPr>
    </w:p>
    <w:p w14:paraId="6D4BF892" w14:textId="77777777" w:rsidR="00F65CF8" w:rsidRPr="008B21BA" w:rsidRDefault="00F65CF8" w:rsidP="00F65CF8">
      <w:pPr>
        <w:tabs>
          <w:tab w:val="left" w:pos="1828"/>
        </w:tabs>
        <w:spacing w:line="360" w:lineRule="auto"/>
        <w:ind w:right="49"/>
        <w:jc w:val="both"/>
        <w:rPr>
          <w:rFonts w:ascii="Palatino Linotype" w:eastAsiaTheme="minorHAnsi" w:hAnsi="Palatino Linotype"/>
          <w:lang w:eastAsia="es-MX"/>
        </w:rPr>
      </w:pPr>
      <w:r w:rsidRPr="008B21BA">
        <w:rPr>
          <w:rFonts w:ascii="Palatino Linotype" w:hAnsi="Palatino Linotype"/>
          <w:color w:val="000000"/>
          <w:lang w:val="es-MX" w:eastAsia="es-MX"/>
        </w:rPr>
        <w:t xml:space="preserve">No obstante, lo anterior, se le sugirió </w:t>
      </w:r>
      <w:r w:rsidRPr="008B21BA">
        <w:rPr>
          <w:rFonts w:ascii="Palatino Linotype" w:hAnsi="Palatino Linotype"/>
          <w:bCs/>
          <w:color w:val="000000"/>
          <w:lang w:val="es-MX" w:eastAsia="es-MX"/>
        </w:rPr>
        <w:t xml:space="preserve">al </w:t>
      </w:r>
      <w:r w:rsidRPr="008B21BA">
        <w:rPr>
          <w:rFonts w:ascii="Palatino Linotype" w:hAnsi="Palatino Linotype"/>
          <w:b/>
          <w:bCs/>
          <w:color w:val="000000"/>
          <w:lang w:val="es-MX" w:eastAsia="es-MX"/>
        </w:rPr>
        <w:t>Recurrente </w:t>
      </w:r>
      <w:r w:rsidRPr="008B21BA">
        <w:rPr>
          <w:rFonts w:ascii="Palatino Linotype" w:hAnsi="Palatino Linotype"/>
          <w:color w:val="000000"/>
          <w:lang w:val="es-MX" w:eastAsia="es-MX"/>
        </w:rPr>
        <w:t>ejercitar su derecho de acceso a la información, realizando una nueva solicitud respecto de la información requerida ante dichas Dependencias,</w:t>
      </w:r>
      <w:r w:rsidRPr="008B21BA">
        <w:rPr>
          <w:rFonts w:asciiTheme="minorHAnsi" w:eastAsiaTheme="minorHAnsi" w:hAnsiTheme="minorHAnsi" w:cstheme="minorBidi"/>
          <w:sz w:val="22"/>
          <w:szCs w:val="22"/>
          <w:lang w:val="es-MX" w:eastAsia="en-US"/>
        </w:rPr>
        <w:t xml:space="preserve"> </w:t>
      </w:r>
      <w:r w:rsidRPr="008B21BA">
        <w:rPr>
          <w:rFonts w:ascii="Palatino Linotype" w:hAnsi="Palatino Linotype"/>
          <w:color w:val="000000"/>
          <w:lang w:val="es-MX" w:eastAsia="es-MX"/>
        </w:rPr>
        <w:t xml:space="preserve">por ser éstas, los </w:t>
      </w:r>
      <w:r w:rsidRPr="008B21BA">
        <w:rPr>
          <w:rFonts w:ascii="Palatino Linotype" w:hAnsi="Palatino Linotype"/>
          <w:b/>
          <w:color w:val="000000"/>
          <w:lang w:val="es-MX" w:eastAsia="es-MX"/>
        </w:rPr>
        <w:t xml:space="preserve">Sujetos Obligados </w:t>
      </w:r>
      <w:r w:rsidRPr="008B21BA">
        <w:rPr>
          <w:rFonts w:ascii="Palatino Linotype" w:hAnsi="Palatino Linotype"/>
          <w:color w:val="000000"/>
          <w:lang w:val="es-MX" w:eastAsia="es-MX"/>
        </w:rPr>
        <w:t>competentes.</w:t>
      </w:r>
    </w:p>
    <w:p w14:paraId="168BFCFE" w14:textId="77777777" w:rsidR="00F65CF8" w:rsidRPr="008B21BA" w:rsidRDefault="00F65CF8" w:rsidP="00F65CF8">
      <w:pPr>
        <w:spacing w:line="360" w:lineRule="auto"/>
        <w:jc w:val="both"/>
        <w:rPr>
          <w:rFonts w:ascii="Palatino Linotype" w:eastAsiaTheme="minorHAnsi" w:hAnsi="Palatino Linotype" w:cs="Arial"/>
          <w:lang w:eastAsia="en-US"/>
        </w:rPr>
      </w:pPr>
    </w:p>
    <w:p w14:paraId="137561BC" w14:textId="6DE7CDB4" w:rsidR="00F65CF8" w:rsidRPr="008B21BA" w:rsidRDefault="00F65CF8" w:rsidP="00F65CF8">
      <w:pPr>
        <w:spacing w:line="360" w:lineRule="auto"/>
        <w:ind w:right="51"/>
        <w:jc w:val="both"/>
        <w:rPr>
          <w:rFonts w:ascii="Palatino Linotype" w:eastAsiaTheme="minorHAnsi" w:hAnsi="Palatino Linotype" w:cs="Arial"/>
          <w:lang w:val="es-MX" w:eastAsia="es-MX"/>
        </w:rPr>
      </w:pPr>
      <w:r w:rsidRPr="008B21BA">
        <w:rPr>
          <w:rFonts w:ascii="Palatino Linotype" w:eastAsiaTheme="minorHAnsi" w:hAnsi="Palatino Linotype" w:cs="Arial"/>
          <w:bCs/>
          <w:lang w:val="es-MX" w:eastAsia="en-US"/>
        </w:rPr>
        <w:t>De la misma forma,</w:t>
      </w:r>
      <w:r w:rsidR="00CA438F" w:rsidRPr="008B21BA">
        <w:rPr>
          <w:rFonts w:ascii="Palatino Linotype" w:eastAsiaTheme="minorHAnsi" w:hAnsi="Palatino Linotype" w:cs="Arial"/>
          <w:bCs/>
          <w:lang w:val="es-MX" w:eastAsia="en-US"/>
        </w:rPr>
        <w:t xml:space="preserve"> el </w:t>
      </w:r>
      <w:r w:rsidRPr="008B21BA">
        <w:rPr>
          <w:rFonts w:ascii="Palatino Linotype" w:eastAsiaTheme="minorHAnsi" w:hAnsi="Palatino Linotype" w:cs="Arial"/>
          <w:b/>
          <w:bCs/>
          <w:lang w:val="es-MX" w:eastAsia="en-US"/>
        </w:rPr>
        <w:t>Sujeto Obligado</w:t>
      </w:r>
      <w:r w:rsidRPr="008B21BA">
        <w:rPr>
          <w:rFonts w:ascii="Palatino Linotype" w:eastAsiaTheme="minorHAnsi" w:hAnsi="Palatino Linotype" w:cs="Arial"/>
          <w:bCs/>
          <w:lang w:val="es-MX" w:eastAsia="en-US"/>
        </w:rPr>
        <w:t xml:space="preserve"> manifestó que no negó ni omitió proporcionar la información requerida por</w:t>
      </w:r>
      <w:r w:rsidR="00CA438F" w:rsidRPr="008B21BA">
        <w:rPr>
          <w:rFonts w:ascii="Palatino Linotype" w:eastAsiaTheme="minorHAnsi" w:hAnsi="Palatino Linotype" w:cs="Arial"/>
          <w:bCs/>
          <w:lang w:val="es-MX" w:eastAsia="en-US"/>
        </w:rPr>
        <w:t xml:space="preserve"> la parte </w:t>
      </w:r>
      <w:r w:rsidRPr="008B21BA">
        <w:rPr>
          <w:rFonts w:ascii="Palatino Linotype" w:eastAsiaTheme="minorHAnsi" w:hAnsi="Palatino Linotype" w:cs="Arial"/>
          <w:b/>
          <w:bCs/>
          <w:lang w:val="es-MX" w:eastAsia="en-US"/>
        </w:rPr>
        <w:t>Recurrente</w:t>
      </w:r>
      <w:r w:rsidRPr="008B21BA">
        <w:rPr>
          <w:rFonts w:ascii="Palatino Linotype" w:eastAsiaTheme="minorHAnsi" w:hAnsi="Palatino Linotype" w:cs="Arial"/>
          <w:bCs/>
          <w:lang w:val="es-MX" w:eastAsia="en-US"/>
        </w:rPr>
        <w:t xml:space="preserve">, toda vez que dio contestación en tiempo y forma a la solicitud de información, en el sentido de que la información requerida no la genera, orientando a la particular a realizar dicha solicitud a los </w:t>
      </w:r>
      <w:r w:rsidRPr="008B21BA">
        <w:rPr>
          <w:rFonts w:ascii="Palatino Linotype" w:eastAsiaTheme="minorHAnsi" w:hAnsi="Palatino Linotype" w:cs="Arial"/>
          <w:b/>
          <w:bCs/>
          <w:lang w:val="es-MX" w:eastAsia="en-US"/>
        </w:rPr>
        <w:t>Sujetos Obligados</w:t>
      </w:r>
      <w:r w:rsidRPr="008B21BA">
        <w:rPr>
          <w:rFonts w:ascii="Palatino Linotype" w:eastAsiaTheme="minorHAnsi" w:hAnsi="Palatino Linotype" w:cs="Arial"/>
          <w:bCs/>
          <w:lang w:val="es-MX" w:eastAsia="en-US"/>
        </w:rPr>
        <w:t xml:space="preserve"> antes referidos; </w:t>
      </w:r>
      <w:r w:rsidRPr="008B21BA">
        <w:rPr>
          <w:rFonts w:ascii="Palatino Linotype" w:eastAsiaTheme="minorHAnsi" w:hAnsi="Palatino Linotype" w:cs="Arial"/>
          <w:lang w:val="es-MX" w:eastAsia="es-MX"/>
        </w:rPr>
        <w:t>conforme al artículo 167, párrafo primero de la Ley de la materia, que dicta:</w:t>
      </w:r>
    </w:p>
    <w:p w14:paraId="19332B63" w14:textId="77777777" w:rsidR="00F65CF8" w:rsidRPr="008B21BA" w:rsidRDefault="00F65CF8" w:rsidP="00F65CF8">
      <w:pPr>
        <w:rPr>
          <w:lang w:val="es-MX"/>
        </w:rPr>
      </w:pPr>
    </w:p>
    <w:p w14:paraId="5B143062" w14:textId="77777777" w:rsidR="00F65CF8" w:rsidRPr="008B21BA" w:rsidRDefault="00F65CF8" w:rsidP="00F65CF8">
      <w:pPr>
        <w:ind w:left="709" w:right="757"/>
        <w:jc w:val="both"/>
        <w:rPr>
          <w:rFonts w:ascii="Palatino Linotype" w:eastAsiaTheme="minorHAnsi" w:hAnsi="Palatino Linotype" w:cs="Arial"/>
          <w:i/>
          <w:sz w:val="22"/>
          <w:szCs w:val="22"/>
          <w:lang w:val="es-MX" w:eastAsia="es-MX"/>
        </w:rPr>
      </w:pPr>
      <w:r w:rsidRPr="008B21BA">
        <w:rPr>
          <w:rFonts w:ascii="Palatino Linotype" w:eastAsiaTheme="minorHAnsi" w:hAnsi="Palatino Linotype" w:cs="Arial"/>
          <w:i/>
          <w:sz w:val="22"/>
          <w:szCs w:val="22"/>
          <w:lang w:val="es-MX" w:eastAsia="es-MX"/>
        </w:rPr>
        <w:t>“</w:t>
      </w:r>
      <w:r w:rsidRPr="008B21BA">
        <w:rPr>
          <w:rFonts w:ascii="Palatino Linotype" w:eastAsiaTheme="minorHAnsi" w:hAnsi="Palatino Linotype" w:cs="Arial"/>
          <w:b/>
          <w:i/>
          <w:sz w:val="22"/>
          <w:szCs w:val="22"/>
          <w:lang w:val="es-MX" w:eastAsia="es-MX"/>
        </w:rPr>
        <w:t>Artículo 167</w:t>
      </w:r>
      <w:r w:rsidRPr="008B21BA">
        <w:rPr>
          <w:rFonts w:ascii="Palatino Linotype" w:eastAsiaTheme="minorHAnsi" w:hAnsi="Palatino Linotype" w:cs="Arial"/>
          <w:i/>
          <w:sz w:val="22"/>
          <w:szCs w:val="22"/>
          <w:lang w:val="es-MX" w:eastAsia="es-MX"/>
        </w:rPr>
        <w:t xml:space="preserve">. Cuando las unidades de transparencia </w:t>
      </w:r>
      <w:r w:rsidRPr="008B21BA">
        <w:rPr>
          <w:rFonts w:ascii="Palatino Linotype" w:eastAsiaTheme="minorHAnsi" w:hAnsi="Palatino Linotype" w:cs="Arial"/>
          <w:b/>
          <w:i/>
          <w:sz w:val="22"/>
          <w:szCs w:val="22"/>
          <w:u w:val="single"/>
          <w:lang w:val="es-MX" w:eastAsia="es-MX"/>
        </w:rPr>
        <w:t>determinen la notoria incompetencia por parte de los sujetos obligados</w:t>
      </w:r>
      <w:r w:rsidRPr="008B21BA">
        <w:rPr>
          <w:rFonts w:ascii="Palatino Linotype" w:eastAsiaTheme="minorHAnsi" w:hAnsi="Palatino Linotype" w:cs="Arial"/>
          <w:i/>
          <w:sz w:val="22"/>
          <w:szCs w:val="22"/>
          <w:lang w:val="es-MX" w:eastAsia="es-MX"/>
        </w:rPr>
        <w:t xml:space="preserve">, dentro del ámbito de aplicación, para atender la solicitud de acceso a la información, </w:t>
      </w:r>
      <w:r w:rsidRPr="008B21BA">
        <w:rPr>
          <w:rFonts w:ascii="Palatino Linotype" w:eastAsiaTheme="minorHAnsi" w:hAnsi="Palatino Linotype" w:cs="Arial"/>
          <w:b/>
          <w:i/>
          <w:sz w:val="22"/>
          <w:szCs w:val="22"/>
          <w:u w:val="single"/>
          <w:lang w:val="es-MX" w:eastAsia="es-MX"/>
        </w:rPr>
        <w:t>deberán comunicarlo al solicitante, dentro de los tres días hábiles posteriores a la recepción de la solicitud</w:t>
      </w:r>
      <w:r w:rsidRPr="008B21BA">
        <w:rPr>
          <w:rFonts w:ascii="Palatino Linotype" w:eastAsiaTheme="minorHAnsi" w:hAnsi="Palatino Linotype" w:cs="Arial"/>
          <w:i/>
          <w:sz w:val="22"/>
          <w:szCs w:val="22"/>
          <w:u w:val="single"/>
          <w:lang w:val="es-MX" w:eastAsia="es-MX"/>
        </w:rPr>
        <w:t xml:space="preserve"> </w:t>
      </w:r>
      <w:r w:rsidRPr="008B21BA">
        <w:rPr>
          <w:rFonts w:ascii="Palatino Linotype" w:eastAsiaTheme="minorHAnsi" w:hAnsi="Palatino Linotype" w:cs="Arial"/>
          <w:i/>
          <w:sz w:val="22"/>
          <w:szCs w:val="22"/>
          <w:lang w:val="es-MX" w:eastAsia="es-MX"/>
        </w:rPr>
        <w:t>y, en su caso orientar al solicitante, el o los sujetos obligados competentes.</w:t>
      </w:r>
    </w:p>
    <w:p w14:paraId="3090FB04" w14:textId="77777777" w:rsidR="00F65CF8" w:rsidRPr="008B21BA" w:rsidRDefault="00F65CF8" w:rsidP="00F65CF8">
      <w:pPr>
        <w:rPr>
          <w:lang w:val="es-MX"/>
        </w:rPr>
      </w:pPr>
    </w:p>
    <w:p w14:paraId="44FA9302" w14:textId="77777777" w:rsidR="00F65CF8" w:rsidRPr="008B21BA" w:rsidRDefault="00F65CF8" w:rsidP="00F65CF8">
      <w:pPr>
        <w:ind w:left="709" w:right="757"/>
        <w:jc w:val="both"/>
        <w:rPr>
          <w:rFonts w:ascii="Palatino Linotype" w:eastAsiaTheme="minorHAnsi" w:hAnsi="Palatino Linotype" w:cs="Arial"/>
          <w:i/>
          <w:sz w:val="22"/>
          <w:szCs w:val="22"/>
          <w:lang w:val="es-MX" w:eastAsia="es-MX"/>
        </w:rPr>
      </w:pPr>
      <w:r w:rsidRPr="008B21BA">
        <w:rPr>
          <w:rFonts w:ascii="Palatino Linotype" w:eastAsiaTheme="minorHAnsi" w:hAnsi="Palatino Linotype" w:cs="Arial"/>
          <w:i/>
          <w:sz w:val="22"/>
          <w:szCs w:val="22"/>
          <w:lang w:val="es-MX" w:eastAsia="es-MX"/>
        </w:rPr>
        <w:t xml:space="preserve">Si los sujetos obligados son competentes para atender parcialmente la solicitud de acceso a la información, deberá dar respuesta respecto de dicha parte. Respecto de la </w:t>
      </w:r>
      <w:r w:rsidRPr="008B21BA">
        <w:rPr>
          <w:rFonts w:ascii="Palatino Linotype" w:eastAsiaTheme="minorHAnsi" w:hAnsi="Palatino Linotype" w:cs="Arial"/>
          <w:i/>
          <w:sz w:val="22"/>
          <w:szCs w:val="22"/>
          <w:lang w:val="es-MX" w:eastAsia="es-MX"/>
        </w:rPr>
        <w:lastRenderedPageBreak/>
        <w:t>información sobre la cual es incompetente se procederá conforme lo señala el párrafo anterior.</w:t>
      </w:r>
    </w:p>
    <w:p w14:paraId="5BE6834D" w14:textId="77777777" w:rsidR="00F65CF8" w:rsidRPr="008B21BA" w:rsidRDefault="00F65CF8" w:rsidP="00F65CF8">
      <w:pPr>
        <w:rPr>
          <w:lang w:val="es-MX"/>
        </w:rPr>
      </w:pPr>
    </w:p>
    <w:p w14:paraId="3547F711" w14:textId="77777777" w:rsidR="00F65CF8" w:rsidRPr="008B21BA" w:rsidRDefault="00F65CF8" w:rsidP="00F65CF8">
      <w:pPr>
        <w:spacing w:line="259" w:lineRule="auto"/>
        <w:ind w:left="709" w:right="757"/>
        <w:jc w:val="both"/>
        <w:rPr>
          <w:rFonts w:ascii="Palatino Linotype" w:eastAsiaTheme="minorHAnsi" w:hAnsi="Palatino Linotype" w:cs="Arial"/>
          <w:i/>
          <w:sz w:val="22"/>
          <w:szCs w:val="22"/>
          <w:lang w:val="es-MX" w:eastAsia="es-MX"/>
        </w:rPr>
      </w:pPr>
      <w:r w:rsidRPr="008B21BA">
        <w:rPr>
          <w:rFonts w:ascii="Palatino Linotype" w:eastAsiaTheme="minorHAnsi" w:hAnsi="Palatino Linotype" w:cs="Arial"/>
          <w:i/>
          <w:sz w:val="22"/>
          <w:szCs w:val="22"/>
          <w:lang w:val="es-MX" w:eastAsia="es-MX"/>
        </w:rPr>
        <w:t>Si transcurrido el plazo señalado en el primer párrafo de este artículo, el sujeto obligado no declina la competencia en los términos establecidos, podrá canalizar la solicitud ante el sujeto obligado competente.”</w:t>
      </w:r>
    </w:p>
    <w:p w14:paraId="24DE15B4" w14:textId="77777777" w:rsidR="00F65CF8" w:rsidRPr="008B21BA" w:rsidRDefault="00F65CF8" w:rsidP="00F65CF8">
      <w:pPr>
        <w:spacing w:after="160" w:line="259" w:lineRule="auto"/>
        <w:rPr>
          <w:rFonts w:asciiTheme="minorHAnsi" w:eastAsiaTheme="minorHAnsi" w:hAnsiTheme="minorHAnsi" w:cstheme="minorBidi"/>
          <w:sz w:val="22"/>
          <w:szCs w:val="22"/>
          <w:lang w:val="es-MX" w:eastAsia="en-US"/>
        </w:rPr>
      </w:pPr>
    </w:p>
    <w:p w14:paraId="76F35BA6" w14:textId="1A3EF307" w:rsidR="00F65CF8" w:rsidRPr="008B21BA" w:rsidRDefault="00F65CF8" w:rsidP="00F65CF8">
      <w:pPr>
        <w:spacing w:line="360" w:lineRule="auto"/>
        <w:jc w:val="both"/>
        <w:rPr>
          <w:rFonts w:ascii="Palatino Linotype" w:eastAsiaTheme="minorHAnsi" w:hAnsi="Palatino Linotype" w:cs="Arial"/>
          <w:szCs w:val="22"/>
          <w:lang w:val="es-MX" w:eastAsia="es-MX"/>
        </w:rPr>
      </w:pPr>
      <w:r w:rsidRPr="008B21BA">
        <w:rPr>
          <w:rFonts w:ascii="Palatino Linotype" w:eastAsiaTheme="minorHAnsi" w:hAnsi="Palatino Linotype" w:cs="Arial"/>
          <w:szCs w:val="22"/>
          <w:lang w:val="es-MX" w:eastAsia="es-MX"/>
        </w:rPr>
        <w:t>Situación señalada en el fundamento anterior, que fuera seguida de manera procedente por el</w:t>
      </w:r>
      <w:r w:rsidRPr="008B21BA">
        <w:rPr>
          <w:rFonts w:ascii="Palatino Linotype" w:eastAsiaTheme="minorHAnsi" w:hAnsi="Palatino Linotype" w:cs="Arial"/>
          <w:b/>
          <w:szCs w:val="22"/>
          <w:lang w:val="es-MX" w:eastAsia="es-MX"/>
        </w:rPr>
        <w:t xml:space="preserve"> Sujeto Obligado</w:t>
      </w:r>
      <w:r w:rsidRPr="008B21BA">
        <w:rPr>
          <w:rFonts w:ascii="Palatino Linotype" w:eastAsiaTheme="minorHAnsi" w:hAnsi="Palatino Linotype" w:cs="Arial"/>
          <w:szCs w:val="22"/>
          <w:lang w:val="es-MX" w:eastAsia="es-MX"/>
        </w:rPr>
        <w:t xml:space="preserve"> ya que realizó dicha orientación al </w:t>
      </w:r>
      <w:r w:rsidR="00CA438F" w:rsidRPr="008B21BA">
        <w:rPr>
          <w:rFonts w:ascii="Palatino Linotype" w:eastAsiaTheme="minorHAnsi" w:hAnsi="Palatino Linotype" w:cs="Arial"/>
          <w:szCs w:val="22"/>
          <w:lang w:val="es-MX" w:eastAsia="es-MX"/>
        </w:rPr>
        <w:t>segundo</w:t>
      </w:r>
      <w:r w:rsidRPr="008B21BA">
        <w:rPr>
          <w:rFonts w:ascii="Palatino Linotype" w:eastAsiaTheme="minorHAnsi" w:hAnsi="Palatino Linotype" w:cs="Arial"/>
          <w:szCs w:val="22"/>
          <w:lang w:val="es-MX" w:eastAsia="es-MX"/>
        </w:rPr>
        <w:t xml:space="preserve"> día hábil en que se presentó la solicitud de información; es decir, la fecha de la solicitud se realizó el día </w:t>
      </w:r>
      <w:r w:rsidR="00A66CE9">
        <w:rPr>
          <w:rFonts w:ascii="Palatino Linotype" w:eastAsiaTheme="minorHAnsi" w:hAnsi="Palatino Linotype" w:cs="Arial"/>
          <w:b/>
          <w:szCs w:val="22"/>
          <w:lang w:val="es-MX" w:eastAsia="es-MX"/>
        </w:rPr>
        <w:t>17 de febrero</w:t>
      </w:r>
      <w:r w:rsidR="00CA438F" w:rsidRPr="008B21BA">
        <w:rPr>
          <w:rFonts w:ascii="Palatino Linotype" w:eastAsiaTheme="minorHAnsi" w:hAnsi="Palatino Linotype" w:cs="Arial"/>
          <w:b/>
          <w:szCs w:val="22"/>
          <w:lang w:val="es-MX" w:eastAsia="es-MX"/>
        </w:rPr>
        <w:t xml:space="preserve"> de 2025</w:t>
      </w:r>
      <w:r w:rsidRPr="008B21BA">
        <w:rPr>
          <w:rFonts w:ascii="Palatino Linotype" w:eastAsiaTheme="minorHAnsi" w:hAnsi="Palatino Linotype" w:cs="Arial"/>
          <w:szCs w:val="22"/>
          <w:lang w:val="es-MX" w:eastAsia="es-MX"/>
        </w:rPr>
        <w:t xml:space="preserve"> y el pronunciamiento del Titular de la Unidad de Transparencia del Sujeto Obligado, notificó su respuesta el día </w:t>
      </w:r>
      <w:r w:rsidR="00A66CE9">
        <w:rPr>
          <w:rFonts w:ascii="Palatino Linotype" w:eastAsiaTheme="minorHAnsi" w:hAnsi="Palatino Linotype" w:cs="Arial"/>
          <w:b/>
          <w:szCs w:val="22"/>
          <w:lang w:val="es-MX" w:eastAsia="es-MX"/>
        </w:rPr>
        <w:t>19</w:t>
      </w:r>
      <w:r w:rsidR="00CA438F" w:rsidRPr="008B21BA">
        <w:rPr>
          <w:rFonts w:ascii="Palatino Linotype" w:eastAsiaTheme="minorHAnsi" w:hAnsi="Palatino Linotype" w:cs="Arial"/>
          <w:b/>
          <w:szCs w:val="22"/>
          <w:lang w:val="es-MX" w:eastAsia="es-MX"/>
        </w:rPr>
        <w:t xml:space="preserve"> </w:t>
      </w:r>
      <w:r w:rsidRPr="008B21BA">
        <w:rPr>
          <w:rFonts w:ascii="Palatino Linotype" w:eastAsiaTheme="minorHAnsi" w:hAnsi="Palatino Linotype" w:cs="Arial"/>
          <w:b/>
          <w:szCs w:val="22"/>
          <w:lang w:val="es-MX" w:eastAsia="es-MX"/>
        </w:rPr>
        <w:t>del mismo mes y año</w:t>
      </w:r>
      <w:r w:rsidRPr="008B21BA">
        <w:rPr>
          <w:rFonts w:ascii="Palatino Linotype" w:eastAsiaTheme="minorHAnsi" w:hAnsi="Palatino Linotype" w:cs="Arial"/>
          <w:szCs w:val="22"/>
          <w:lang w:val="es-MX" w:eastAsia="es-MX"/>
        </w:rPr>
        <w:t>.</w:t>
      </w:r>
    </w:p>
    <w:p w14:paraId="710FF786" w14:textId="77777777" w:rsidR="00F65CF8" w:rsidRPr="008B21BA" w:rsidRDefault="00F65CF8" w:rsidP="00F65CF8">
      <w:pPr>
        <w:spacing w:line="360" w:lineRule="auto"/>
        <w:jc w:val="both"/>
        <w:rPr>
          <w:rFonts w:ascii="Palatino Linotype" w:eastAsiaTheme="minorHAnsi" w:hAnsi="Palatino Linotype" w:cs="Arial"/>
          <w:szCs w:val="22"/>
          <w:lang w:val="es-MX" w:eastAsia="en-US"/>
        </w:rPr>
      </w:pPr>
    </w:p>
    <w:p w14:paraId="0C97B237" w14:textId="2AA3AED6" w:rsidR="00F65CF8" w:rsidRPr="008B21BA" w:rsidRDefault="00F65CF8" w:rsidP="00F65CF8">
      <w:pPr>
        <w:spacing w:line="360" w:lineRule="auto"/>
        <w:jc w:val="both"/>
        <w:rPr>
          <w:rFonts w:ascii="Palatino Linotype" w:eastAsiaTheme="minorHAnsi" w:hAnsi="Palatino Linotype" w:cs="Arial"/>
          <w:szCs w:val="22"/>
          <w:lang w:val="es-MX" w:eastAsia="en-US"/>
        </w:rPr>
      </w:pPr>
      <w:r w:rsidRPr="008B21BA">
        <w:rPr>
          <w:rFonts w:ascii="Palatino Linotype" w:eastAsiaTheme="minorHAnsi" w:hAnsi="Palatino Linotype" w:cs="Arial"/>
          <w:szCs w:val="22"/>
          <w:lang w:val="es-MX" w:eastAsia="en-US"/>
        </w:rPr>
        <w:t xml:space="preserve">Visto lo anterior, podemos concluir que la respuesta emitida por el </w:t>
      </w:r>
      <w:r w:rsidRPr="008B21BA">
        <w:rPr>
          <w:rFonts w:ascii="Palatino Linotype" w:eastAsiaTheme="minorHAnsi" w:hAnsi="Palatino Linotype" w:cs="Arial"/>
          <w:b/>
          <w:szCs w:val="22"/>
          <w:lang w:val="es-MX" w:eastAsia="en-US"/>
        </w:rPr>
        <w:t>Sujeto Obligado</w:t>
      </w:r>
      <w:r w:rsidRPr="008B21BA">
        <w:rPr>
          <w:rFonts w:ascii="Palatino Linotype" w:eastAsiaTheme="minorHAnsi" w:hAnsi="Palatino Linotype" w:cs="Arial"/>
          <w:szCs w:val="22"/>
          <w:lang w:val="es-MX" w:eastAsia="en-US"/>
        </w:rPr>
        <w:t xml:space="preserve"> se encuentra encaminada a determinar que</w:t>
      </w:r>
      <w:r w:rsidR="00CA438F" w:rsidRPr="008B21BA">
        <w:rPr>
          <w:rFonts w:ascii="Palatino Linotype" w:eastAsiaTheme="minorHAnsi" w:hAnsi="Palatino Linotype" w:cs="Arial"/>
          <w:szCs w:val="22"/>
          <w:lang w:val="es-MX" w:eastAsia="en-US"/>
        </w:rPr>
        <w:t>,</w:t>
      </w:r>
      <w:r w:rsidRPr="008B21BA">
        <w:rPr>
          <w:rFonts w:ascii="Palatino Linotype" w:eastAsiaTheme="minorHAnsi" w:hAnsi="Palatino Linotype" w:cs="Arial"/>
          <w:szCs w:val="22"/>
          <w:lang w:val="es-MX" w:eastAsia="en-US"/>
        </w:rPr>
        <w:t xml:space="preserve"> de la solicitud de información, se pretende acceder a documentos que no genera, en virtud de que la información solicitada no puede fácticamente obrar en los archivos del </w:t>
      </w:r>
      <w:r w:rsidRPr="008B21BA">
        <w:rPr>
          <w:rFonts w:ascii="Palatino Linotype" w:eastAsiaTheme="minorHAnsi" w:hAnsi="Palatino Linotype" w:cs="Arial"/>
          <w:b/>
          <w:szCs w:val="22"/>
          <w:lang w:val="es-MX" w:eastAsia="en-US"/>
        </w:rPr>
        <w:t>Sujeto Obligado</w:t>
      </w:r>
      <w:r w:rsidRPr="008B21BA">
        <w:rPr>
          <w:rFonts w:ascii="Palatino Linotype" w:eastAsiaTheme="minorHAnsi" w:hAnsi="Palatino Linotype" w:cs="Arial"/>
          <w:szCs w:val="22"/>
          <w:lang w:val="es-MX" w:eastAsia="en-US"/>
        </w:rPr>
        <w:t xml:space="preserve">. </w:t>
      </w:r>
    </w:p>
    <w:p w14:paraId="329C9610" w14:textId="77777777" w:rsidR="00F65CF8" w:rsidRPr="008B21BA" w:rsidRDefault="00F65CF8" w:rsidP="00F65CF8">
      <w:pPr>
        <w:spacing w:line="360" w:lineRule="auto"/>
        <w:jc w:val="both"/>
        <w:rPr>
          <w:rFonts w:ascii="Palatino Linotype" w:eastAsiaTheme="minorHAnsi" w:hAnsi="Palatino Linotype" w:cs="Arial"/>
          <w:szCs w:val="22"/>
          <w:lang w:val="es-MX" w:eastAsia="en-US"/>
        </w:rPr>
      </w:pPr>
    </w:p>
    <w:p w14:paraId="3C35B27D" w14:textId="77777777" w:rsidR="00F65CF8" w:rsidRPr="008B21BA" w:rsidRDefault="00F65CF8" w:rsidP="00F65CF8">
      <w:pPr>
        <w:spacing w:line="360" w:lineRule="auto"/>
        <w:jc w:val="both"/>
        <w:rPr>
          <w:rFonts w:ascii="Palatino Linotype" w:eastAsiaTheme="minorHAnsi" w:hAnsi="Palatino Linotype" w:cstheme="minorBidi"/>
          <w:szCs w:val="22"/>
          <w:lang w:val="es-MX" w:eastAsia="en-US"/>
        </w:rPr>
      </w:pPr>
      <w:r w:rsidRPr="008B21BA">
        <w:rPr>
          <w:rFonts w:ascii="Palatino Linotype" w:eastAsiaTheme="minorHAnsi" w:hAnsi="Palatino Linotype" w:cstheme="minorBidi"/>
          <w:szCs w:val="22"/>
          <w:lang w:val="es-MX" w:eastAsia="en-US"/>
        </w:rPr>
        <w:t>Sobre el particular, cabe traer a colación los artículos 2°, fracción II; 3°, fracción XI y 18, de la Ley de Transparencia y Acceso a la Información Pública del Estado de México y Municipios; los cuales disponen lo siguiente:</w:t>
      </w:r>
    </w:p>
    <w:p w14:paraId="730D349B" w14:textId="77777777" w:rsidR="00F65CF8" w:rsidRPr="008B21BA" w:rsidRDefault="00F65CF8" w:rsidP="00F65CF8">
      <w:pPr>
        <w:spacing w:line="360" w:lineRule="auto"/>
        <w:jc w:val="both"/>
        <w:rPr>
          <w:rFonts w:ascii="Palatino Linotype" w:eastAsiaTheme="minorHAnsi" w:hAnsi="Palatino Linotype" w:cstheme="minorBidi"/>
          <w:szCs w:val="22"/>
          <w:lang w:val="es-MX" w:eastAsia="en-US"/>
        </w:rPr>
      </w:pPr>
    </w:p>
    <w:p w14:paraId="5CA81E49" w14:textId="77777777" w:rsidR="00F65CF8" w:rsidRPr="008B21BA" w:rsidRDefault="00F65CF8" w:rsidP="00F65CF8">
      <w:pPr>
        <w:numPr>
          <w:ilvl w:val="0"/>
          <w:numId w:val="16"/>
        </w:numPr>
        <w:spacing w:after="160" w:line="360" w:lineRule="auto"/>
        <w:jc w:val="both"/>
        <w:rPr>
          <w:rFonts w:ascii="Palatino Linotype" w:hAnsi="Palatino Linotype"/>
        </w:rPr>
      </w:pPr>
      <w:r w:rsidRPr="008B21BA">
        <w:rPr>
          <w:rFonts w:ascii="Palatino Linotype" w:hAnsi="Palatino Linotype"/>
        </w:rPr>
        <w:t>Que uno de los objetivos de la Ley es proveer lo necesario para garantizar a toda persona el derecho de acceso a la información pública;</w:t>
      </w:r>
    </w:p>
    <w:p w14:paraId="389EB9A7" w14:textId="77777777" w:rsidR="00F65CF8" w:rsidRPr="008B21BA" w:rsidRDefault="00F65CF8" w:rsidP="00F65CF8">
      <w:pPr>
        <w:numPr>
          <w:ilvl w:val="0"/>
          <w:numId w:val="16"/>
        </w:numPr>
        <w:spacing w:line="360" w:lineRule="auto"/>
        <w:jc w:val="both"/>
        <w:rPr>
          <w:rFonts w:ascii="Palatino Linotype" w:hAnsi="Palatino Linotype"/>
        </w:rPr>
      </w:pPr>
      <w:r w:rsidRPr="008B21BA">
        <w:rPr>
          <w:rFonts w:ascii="Palatino Linotype" w:hAnsi="Palatino Linotype"/>
        </w:rPr>
        <w:t xml:space="preserve">Que los documentos son los expedientes, reportes, estudios, actas, resoluciones, contratos, convenios, instructivos, notas, memorandos, estadísticas o cualquier registro que documente el ejercicio de facultades, funciones y competencia de </w:t>
      </w:r>
      <w:r w:rsidRPr="008B21BA">
        <w:rPr>
          <w:rFonts w:ascii="Palatino Linotype" w:hAnsi="Palatino Linotype"/>
        </w:rPr>
        <w:lastRenderedPageBreak/>
        <w:t>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3C44FB0F" w14:textId="77777777" w:rsidR="00F65CF8" w:rsidRPr="008B21BA" w:rsidRDefault="00F65CF8" w:rsidP="00F65CF8">
      <w:pPr>
        <w:pStyle w:val="Sinespaciado"/>
        <w:rPr>
          <w:rFonts w:eastAsiaTheme="minorHAnsi"/>
          <w:lang w:eastAsia="en-US"/>
        </w:rPr>
      </w:pPr>
    </w:p>
    <w:p w14:paraId="3D603B8D" w14:textId="77777777" w:rsidR="00F65CF8" w:rsidRPr="008B21BA" w:rsidRDefault="00F65CF8" w:rsidP="00F65CF8">
      <w:pPr>
        <w:spacing w:line="360" w:lineRule="auto"/>
        <w:jc w:val="both"/>
        <w:rPr>
          <w:rFonts w:ascii="Palatino Linotype" w:eastAsiaTheme="minorHAnsi" w:hAnsi="Palatino Linotype" w:cs="Arial"/>
          <w:szCs w:val="22"/>
          <w:lang w:val="es-MX" w:eastAsia="en-US"/>
        </w:rPr>
      </w:pPr>
      <w:r w:rsidRPr="008B21BA">
        <w:rPr>
          <w:rFonts w:ascii="Palatino Linotype" w:eastAsiaTheme="minorHAnsi" w:hAnsi="Palatino Linotype" w:cs="Arial"/>
          <w:szCs w:val="22"/>
          <w:lang w:val="es-MX" w:eastAsia="en-US"/>
        </w:rPr>
        <w:t>Conforme a lo anterior, se advierte que el derecho de acceso a la información, consiste en una prerrogativa de cualquier persona, a solicitar información pública que conste en documentos generados, obtenidos, adquiridos, transformados o que tengan en posesión los Sujetos Obligados.</w:t>
      </w:r>
    </w:p>
    <w:p w14:paraId="2FD9668B" w14:textId="77777777" w:rsidR="00F65CF8" w:rsidRPr="008B21BA" w:rsidRDefault="00F65CF8" w:rsidP="00F65CF8">
      <w:pPr>
        <w:spacing w:line="360" w:lineRule="auto"/>
        <w:jc w:val="both"/>
        <w:rPr>
          <w:rFonts w:ascii="Palatino Linotype" w:eastAsiaTheme="minorHAnsi" w:hAnsi="Palatino Linotype" w:cs="Arial"/>
          <w:szCs w:val="22"/>
          <w:lang w:val="es-MX" w:eastAsia="en-US"/>
        </w:rPr>
      </w:pPr>
    </w:p>
    <w:p w14:paraId="423F9F90" w14:textId="77777777" w:rsidR="00F65CF8" w:rsidRPr="008B21BA" w:rsidRDefault="00F65CF8" w:rsidP="00F65CF8">
      <w:pPr>
        <w:spacing w:line="360" w:lineRule="auto"/>
        <w:jc w:val="both"/>
        <w:rPr>
          <w:rFonts w:ascii="Palatino Linotype" w:eastAsiaTheme="minorHAnsi" w:hAnsi="Palatino Linotype" w:cstheme="minorBidi"/>
          <w:szCs w:val="22"/>
          <w:lang w:eastAsia="en-US"/>
        </w:rPr>
      </w:pPr>
      <w:r w:rsidRPr="008B21BA">
        <w:rPr>
          <w:rFonts w:ascii="Palatino Linotype" w:eastAsiaTheme="minorHAnsi" w:hAnsi="Palatino Linotype" w:cs="Arial"/>
          <w:szCs w:val="22"/>
          <w:lang w:val="es-MX" w:eastAsia="en-US"/>
        </w:rPr>
        <w:t xml:space="preserve">Así que, </w:t>
      </w:r>
      <w:r w:rsidRPr="008B21BA">
        <w:rPr>
          <w:rFonts w:ascii="Palatino Linotype" w:eastAsiaTheme="majorEastAsia" w:hAnsi="Palatino Linotype" w:cstheme="majorBidi"/>
          <w:b/>
          <w:szCs w:val="22"/>
          <w:lang w:eastAsia="en-US"/>
        </w:rPr>
        <w:t>para efectos de la materia de transparencia y acceso a la información pública</w:t>
      </w:r>
      <w:r w:rsidRPr="008B21BA">
        <w:rPr>
          <w:rFonts w:ascii="Palatino Linotype" w:eastAsiaTheme="majorEastAsia" w:hAnsi="Palatino Linotype" w:cstheme="majorBidi"/>
          <w:szCs w:val="22"/>
          <w:lang w:eastAsia="en-US"/>
        </w:rPr>
        <w:t xml:space="preserve">, no debe dejar de observarse que, </w:t>
      </w:r>
      <w:r w:rsidRPr="008B21BA">
        <w:rPr>
          <w:rFonts w:ascii="Palatino Linotype" w:eastAsia="Calibri" w:hAnsi="Palatino Linotype" w:cs="Arial"/>
          <w:szCs w:val="22"/>
          <w:lang w:eastAsia="es-MX"/>
        </w:rPr>
        <w:t xml:space="preserve">en fecha 14 de octubre de 2020, se publicó en el Periódico Oficial “Gaceta del Gobierno”, el </w:t>
      </w:r>
      <w:r w:rsidRPr="008B21BA">
        <w:rPr>
          <w:rFonts w:ascii="Palatino Linotype" w:eastAsiaTheme="minorHAnsi" w:hAnsi="Palatino Linotype" w:cstheme="minorBidi"/>
          <w:szCs w:val="22"/>
          <w:lang w:eastAsia="en-US"/>
        </w:rPr>
        <w:t xml:space="preserve">Acuerdo mediante el cual el Pleno del Instituto de Transparencia, Acceso a la Información Pública y Protección de Datos Personales del Estado de México y Municipios, aprueba el </w:t>
      </w:r>
      <w:r w:rsidRPr="008B21BA">
        <w:rPr>
          <w:rFonts w:ascii="Palatino Linotype" w:eastAsiaTheme="minorHAnsi" w:hAnsi="Palatino Linotype" w:cstheme="minorBidi"/>
          <w:b/>
          <w:szCs w:val="22"/>
          <w:lang w:eastAsia="en-US"/>
        </w:rPr>
        <w:t>Padrón de Sujetos Obligados en Materia de Transparencia y Acceso a la Información Pública del Estado de México y Municipios</w:t>
      </w:r>
      <w:r w:rsidRPr="008B21BA">
        <w:rPr>
          <w:rFonts w:ascii="Palatino Linotype" w:eastAsiaTheme="minorHAnsi" w:hAnsi="Palatino Linotype" w:cstheme="minorBidi"/>
          <w:szCs w:val="22"/>
          <w:lang w:eastAsia="en-US"/>
        </w:rPr>
        <w:t>, el cual entró en vigor al día siguiente de su publicación; esto es, el 15 de octubre de 2020.</w:t>
      </w:r>
      <w:r w:rsidRPr="008B21BA">
        <w:rPr>
          <w:rFonts w:ascii="Palatino Linotype" w:eastAsiaTheme="minorHAnsi" w:hAnsi="Palatino Linotype" w:cstheme="minorBidi"/>
          <w:szCs w:val="22"/>
          <w:vertAlign w:val="superscript"/>
          <w:lang w:eastAsia="en-US"/>
        </w:rPr>
        <w:footnoteReference w:id="3"/>
      </w:r>
    </w:p>
    <w:p w14:paraId="15CAC772" w14:textId="77777777" w:rsidR="00F65CF8" w:rsidRPr="008B21BA" w:rsidRDefault="00F65CF8" w:rsidP="00F65CF8">
      <w:pPr>
        <w:spacing w:line="360" w:lineRule="auto"/>
        <w:jc w:val="both"/>
        <w:rPr>
          <w:rFonts w:ascii="Palatino Linotype" w:eastAsiaTheme="minorHAnsi" w:hAnsi="Palatino Linotype" w:cstheme="minorBidi"/>
          <w:szCs w:val="22"/>
          <w:lang w:eastAsia="en-US"/>
        </w:rPr>
      </w:pPr>
    </w:p>
    <w:p w14:paraId="1DD93294" w14:textId="77777777" w:rsidR="00F65CF8" w:rsidRPr="008B21BA" w:rsidRDefault="00F65CF8" w:rsidP="00F65CF8">
      <w:pPr>
        <w:spacing w:line="360" w:lineRule="auto"/>
        <w:jc w:val="both"/>
        <w:rPr>
          <w:rFonts w:ascii="Palatino Linotype" w:eastAsiaTheme="minorHAnsi" w:hAnsi="Palatino Linotype" w:cstheme="minorBidi"/>
          <w:szCs w:val="22"/>
          <w:lang w:eastAsia="en-US"/>
        </w:rPr>
      </w:pPr>
      <w:r w:rsidRPr="008B21BA">
        <w:rPr>
          <w:rFonts w:ascii="Palatino Linotype" w:eastAsiaTheme="minorHAnsi" w:hAnsi="Palatino Linotype" w:cstheme="minorBidi"/>
          <w:szCs w:val="22"/>
          <w:lang w:eastAsia="en-US"/>
        </w:rPr>
        <w:t xml:space="preserve">Dicho Padrón permite identificar plenamente a los Sujetos Obligados que deben cumplir con las obligaciones, procesos, procedimientos, y responsabilidades </w:t>
      </w:r>
      <w:r w:rsidRPr="008B21BA">
        <w:rPr>
          <w:rFonts w:ascii="Palatino Linotype" w:eastAsiaTheme="minorHAnsi" w:hAnsi="Palatino Linotype" w:cstheme="minorBidi"/>
          <w:szCs w:val="22"/>
          <w:lang w:eastAsia="en-US"/>
        </w:rPr>
        <w:lastRenderedPageBreak/>
        <w:t xml:space="preserve">establecidas tanto en la Ley General de Transparencia como en la Ley de Transparencia y Acceso a la Información Pública de nuestra entidad y por este Organismo Garante, en los términos que las mismas determinen. </w:t>
      </w:r>
    </w:p>
    <w:p w14:paraId="30761462" w14:textId="77777777" w:rsidR="00F65CF8" w:rsidRPr="008B21BA" w:rsidRDefault="00F65CF8" w:rsidP="00F65CF8">
      <w:pPr>
        <w:spacing w:line="360" w:lineRule="auto"/>
        <w:jc w:val="both"/>
        <w:rPr>
          <w:rFonts w:ascii="Palatino Linotype" w:eastAsiaTheme="minorHAnsi" w:hAnsi="Palatino Linotype" w:cs="Arial"/>
          <w:szCs w:val="22"/>
          <w:lang w:val="es-MX" w:eastAsia="en-US"/>
        </w:rPr>
      </w:pPr>
    </w:p>
    <w:p w14:paraId="3CF8CB6B" w14:textId="5840F2E2" w:rsidR="00F65CF8" w:rsidRPr="008B21BA" w:rsidRDefault="00F65CF8" w:rsidP="00F65CF8">
      <w:pPr>
        <w:spacing w:line="360" w:lineRule="auto"/>
        <w:jc w:val="both"/>
        <w:rPr>
          <w:rFonts w:ascii="Palatino Linotype" w:eastAsiaTheme="minorHAnsi" w:hAnsi="Palatino Linotype" w:cstheme="minorBidi"/>
          <w:b/>
          <w:bCs/>
          <w:szCs w:val="22"/>
          <w:lang w:eastAsia="en-US"/>
        </w:rPr>
      </w:pPr>
      <w:r w:rsidRPr="008B21BA">
        <w:rPr>
          <w:rFonts w:ascii="Palatino Linotype" w:eastAsiaTheme="minorHAnsi" w:hAnsi="Palatino Linotype" w:cstheme="minorBidi"/>
          <w:szCs w:val="22"/>
          <w:lang w:eastAsia="en-US"/>
        </w:rPr>
        <w:t xml:space="preserve">Así, de dicho ordenamiento normativo, se advierte como </w:t>
      </w:r>
      <w:r w:rsidRPr="008B21BA">
        <w:rPr>
          <w:rFonts w:ascii="Palatino Linotype" w:eastAsiaTheme="minorHAnsi" w:hAnsi="Palatino Linotype" w:cstheme="minorBidi"/>
          <w:b/>
          <w:szCs w:val="22"/>
          <w:lang w:eastAsia="en-US"/>
        </w:rPr>
        <w:t xml:space="preserve">Sujetos Obligados </w:t>
      </w:r>
      <w:r w:rsidRPr="008B21BA">
        <w:rPr>
          <w:rFonts w:ascii="Palatino Linotype" w:eastAsiaTheme="minorHAnsi" w:hAnsi="Palatino Linotype" w:cstheme="minorBidi"/>
          <w:szCs w:val="22"/>
          <w:lang w:eastAsia="en-US"/>
        </w:rPr>
        <w:t>distintos a</w:t>
      </w:r>
      <w:r w:rsidR="00CA438F" w:rsidRPr="008B21BA">
        <w:rPr>
          <w:rFonts w:ascii="Palatino Linotype" w:eastAsiaTheme="minorHAnsi" w:hAnsi="Palatino Linotype" w:cstheme="minorBidi"/>
          <w:szCs w:val="22"/>
          <w:lang w:eastAsia="en-US"/>
        </w:rPr>
        <w:t xml:space="preserve">l </w:t>
      </w:r>
      <w:r w:rsidR="00A66CE9" w:rsidRPr="00A66CE9">
        <w:rPr>
          <w:rFonts w:ascii="Palatino Linotype" w:eastAsiaTheme="minorHAnsi" w:hAnsi="Palatino Linotype" w:cstheme="minorBidi"/>
          <w:b/>
          <w:bCs/>
          <w:szCs w:val="22"/>
          <w:lang w:eastAsia="en-US"/>
        </w:rPr>
        <w:t>Colegio de Bachilleres del Estado de México (COBAEM)</w:t>
      </w:r>
      <w:r w:rsidR="00CA438F" w:rsidRPr="008B21BA">
        <w:rPr>
          <w:rFonts w:ascii="Palatino Linotype" w:eastAsiaTheme="minorHAnsi" w:hAnsi="Palatino Linotype" w:cstheme="minorBidi"/>
          <w:szCs w:val="22"/>
          <w:lang w:eastAsia="en-US"/>
        </w:rPr>
        <w:t xml:space="preserve"> y</w:t>
      </w:r>
      <w:r w:rsidR="00A66CE9">
        <w:rPr>
          <w:rFonts w:ascii="Palatino Linotype" w:eastAsiaTheme="minorHAnsi" w:hAnsi="Palatino Linotype" w:cstheme="minorBidi"/>
          <w:szCs w:val="22"/>
          <w:lang w:eastAsia="en-US"/>
        </w:rPr>
        <w:t xml:space="preserve"> la</w:t>
      </w:r>
      <w:r w:rsidR="00CA438F" w:rsidRPr="008B21BA">
        <w:rPr>
          <w:rFonts w:ascii="Palatino Linotype" w:eastAsiaTheme="minorHAnsi" w:hAnsi="Palatino Linotype" w:cstheme="minorBidi"/>
          <w:szCs w:val="22"/>
          <w:lang w:eastAsia="en-US"/>
        </w:rPr>
        <w:t xml:space="preserve"> </w:t>
      </w:r>
      <w:r w:rsidR="00A66CE9">
        <w:rPr>
          <w:rFonts w:ascii="Palatino Linotype" w:eastAsiaTheme="minorHAnsi" w:hAnsi="Palatino Linotype" w:cstheme="minorBidi"/>
          <w:b/>
          <w:bCs/>
          <w:szCs w:val="22"/>
          <w:lang w:eastAsia="en-US"/>
        </w:rPr>
        <w:t>Oficialía Mayor</w:t>
      </w:r>
      <w:r w:rsidRPr="008B21BA">
        <w:rPr>
          <w:rFonts w:ascii="Palatino Linotype" w:eastAsia="Calibri" w:hAnsi="Palatino Linotype" w:cstheme="minorBidi"/>
          <w:szCs w:val="22"/>
          <w:lang w:eastAsia="en-US"/>
        </w:rPr>
        <w:t>,</w:t>
      </w:r>
      <w:r w:rsidRPr="008B21BA">
        <w:rPr>
          <w:rFonts w:ascii="Palatino Linotype" w:eastAsiaTheme="minorHAnsi" w:hAnsi="Palatino Linotype" w:cstheme="minorBidi"/>
          <w:szCs w:val="22"/>
          <w:lang w:eastAsia="en-US"/>
        </w:rPr>
        <w:t xml:space="preserve"> como parte de la</w:t>
      </w:r>
      <w:r w:rsidR="00A66CE9">
        <w:rPr>
          <w:rFonts w:ascii="Palatino Linotype" w:eastAsiaTheme="minorHAnsi" w:hAnsi="Palatino Linotype" w:cstheme="minorBidi"/>
          <w:szCs w:val="22"/>
          <w:lang w:eastAsia="en-US"/>
        </w:rPr>
        <w:t xml:space="preserve"> </w:t>
      </w:r>
      <w:r w:rsidR="00A66CE9" w:rsidRPr="00A66CE9">
        <w:rPr>
          <w:rFonts w:ascii="Palatino Linotype" w:eastAsiaTheme="minorHAnsi" w:hAnsi="Palatino Linotype" w:cstheme="minorBidi"/>
          <w:i/>
          <w:iCs/>
          <w:szCs w:val="22"/>
          <w:lang w:eastAsia="en-US"/>
        </w:rPr>
        <w:t>Administración Pública Paraestatal del Poder Ejecutivo Estatal</w:t>
      </w:r>
      <w:r w:rsidR="00A66CE9">
        <w:rPr>
          <w:rFonts w:ascii="Palatino Linotype" w:eastAsiaTheme="minorHAnsi" w:hAnsi="Palatino Linotype" w:cstheme="minorBidi"/>
          <w:i/>
          <w:iCs/>
          <w:szCs w:val="22"/>
          <w:lang w:eastAsia="en-US"/>
        </w:rPr>
        <w:t xml:space="preserve"> </w:t>
      </w:r>
      <w:r w:rsidR="00A66CE9">
        <w:rPr>
          <w:rFonts w:ascii="Palatino Linotype" w:eastAsiaTheme="minorHAnsi" w:hAnsi="Palatino Linotype" w:cstheme="minorBidi"/>
          <w:szCs w:val="22"/>
          <w:lang w:eastAsia="en-US"/>
        </w:rPr>
        <w:t>y</w:t>
      </w:r>
      <w:r w:rsidR="00A66CE9" w:rsidRPr="00A66CE9">
        <w:rPr>
          <w:rFonts w:ascii="Palatino Linotype" w:eastAsiaTheme="minorHAnsi" w:hAnsi="Palatino Linotype" w:cstheme="minorBidi"/>
          <w:i/>
          <w:szCs w:val="22"/>
          <w:lang w:eastAsia="en-US"/>
        </w:rPr>
        <w:t xml:space="preserve"> </w:t>
      </w:r>
      <w:r w:rsidR="00A66CE9" w:rsidRPr="008B21BA">
        <w:rPr>
          <w:rFonts w:ascii="Palatino Linotype" w:eastAsiaTheme="minorHAnsi" w:hAnsi="Palatino Linotype" w:cstheme="minorBidi"/>
          <w:i/>
          <w:szCs w:val="22"/>
          <w:lang w:eastAsia="en-US"/>
        </w:rPr>
        <w:t>Administración Pública Centralizada</w:t>
      </w:r>
      <w:r w:rsidR="002E4785" w:rsidRPr="008B21BA">
        <w:rPr>
          <w:rFonts w:ascii="Palatino Linotype" w:eastAsiaTheme="minorHAnsi" w:hAnsi="Palatino Linotype" w:cstheme="minorBidi"/>
          <w:szCs w:val="22"/>
          <w:lang w:eastAsia="en-US"/>
        </w:rPr>
        <w:t xml:space="preserve">, </w:t>
      </w:r>
      <w:r w:rsidRPr="008B21BA">
        <w:rPr>
          <w:rFonts w:ascii="Palatino Linotype" w:eastAsiaTheme="minorHAnsi" w:hAnsi="Palatino Linotype" w:cstheme="minorBidi"/>
          <w:szCs w:val="22"/>
          <w:lang w:eastAsia="en-US"/>
        </w:rPr>
        <w:t xml:space="preserve">respectivamente, </w:t>
      </w:r>
      <w:r w:rsidRPr="008B21BA">
        <w:rPr>
          <w:rFonts w:ascii="Palatino Linotype" w:eastAsia="Calibri" w:hAnsi="Palatino Linotype" w:cstheme="minorBidi"/>
          <w:szCs w:val="22"/>
          <w:lang w:eastAsia="en-US"/>
        </w:rPr>
        <w:t xml:space="preserve">sin que las modificaciones al Padrón publicadas en la Gaceta del Gobierno, en fechas 27 de noviembre de 2017, 23 de enero de 2019, 07 de agosto de 2019, 14 de octubre de 2020 y 03 de julio de 2024, modificaran dicha situación, </w:t>
      </w:r>
      <w:r w:rsidRPr="008B21BA">
        <w:rPr>
          <w:rFonts w:ascii="Palatino Linotype" w:eastAsiaTheme="minorHAnsi" w:hAnsi="Palatino Linotype" w:cstheme="minorBidi"/>
          <w:szCs w:val="22"/>
          <w:lang w:eastAsia="en-US"/>
        </w:rPr>
        <w:t>como se muestra a continuación:</w:t>
      </w:r>
    </w:p>
    <w:p w14:paraId="2FA09D37" w14:textId="77777777" w:rsidR="00F65CF8" w:rsidRPr="008B21BA" w:rsidRDefault="00F65CF8" w:rsidP="00F65CF8">
      <w:pPr>
        <w:spacing w:line="360" w:lineRule="auto"/>
        <w:jc w:val="both"/>
        <w:rPr>
          <w:rFonts w:ascii="Palatino Linotype" w:eastAsiaTheme="minorHAnsi" w:hAnsi="Palatino Linotype" w:cstheme="minorBidi"/>
          <w:szCs w:val="22"/>
          <w:lang w:eastAsia="en-US"/>
        </w:rPr>
      </w:pPr>
    </w:p>
    <w:p w14:paraId="3FBC1C8D" w14:textId="77777777" w:rsidR="00F65CF8" w:rsidRPr="008B21BA" w:rsidRDefault="00F65CF8" w:rsidP="00F65CF8">
      <w:pPr>
        <w:spacing w:after="160" w:line="259" w:lineRule="auto"/>
        <w:jc w:val="center"/>
        <w:rPr>
          <w:rFonts w:asciiTheme="minorHAnsi" w:eastAsia="Calibri" w:hAnsiTheme="minorHAnsi" w:cstheme="minorBidi"/>
          <w:noProof/>
          <w:sz w:val="22"/>
          <w:szCs w:val="22"/>
          <w:lang w:val="es-MX" w:eastAsia="es-MX"/>
        </w:rPr>
      </w:pPr>
      <w:r w:rsidRPr="008B21BA">
        <w:rPr>
          <w:rFonts w:asciiTheme="minorHAnsi" w:eastAsiaTheme="minorHAnsi" w:hAnsiTheme="minorHAnsi" w:cstheme="minorBidi"/>
          <w:noProof/>
          <w:sz w:val="22"/>
          <w:szCs w:val="22"/>
          <w:lang w:val="es-MX" w:eastAsia="es-MX"/>
        </w:rPr>
        <w:drawing>
          <wp:inline distT="0" distB="0" distL="0" distR="0" wp14:anchorId="1D50FC98" wp14:editId="46F70F03">
            <wp:extent cx="5791835" cy="352867"/>
            <wp:effectExtent l="76200" t="95250" r="75565" b="2000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4424" cy="354852"/>
                    </a:xfrm>
                    <a:prstGeom prst="roundRect">
                      <a:avLst>
                        <a:gd name="adj" fmla="val 4167"/>
                      </a:avLst>
                    </a:prstGeom>
                    <a:solidFill>
                      <a:srgbClr val="FFFFFF"/>
                    </a:solidFill>
                    <a:ln w="76200" cap="sq">
                      <a:solidFill>
                        <a:sysClr val="windowText" lastClr="00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2EA01155" w14:textId="77777777" w:rsidR="00F65CF8" w:rsidRPr="008B21BA" w:rsidRDefault="00F65CF8" w:rsidP="00F65CF8">
      <w:pPr>
        <w:spacing w:after="160" w:line="259" w:lineRule="auto"/>
        <w:jc w:val="center"/>
        <w:rPr>
          <w:rFonts w:asciiTheme="minorHAnsi" w:eastAsia="Calibri" w:hAnsiTheme="minorHAnsi" w:cstheme="minorBidi"/>
          <w:noProof/>
          <w:sz w:val="22"/>
          <w:szCs w:val="22"/>
          <w:lang w:val="es-MX" w:eastAsia="es-MX"/>
        </w:rPr>
      </w:pPr>
      <w:r w:rsidRPr="008B21BA">
        <w:rPr>
          <w:rFonts w:asciiTheme="minorHAnsi" w:eastAsia="Calibri" w:hAnsiTheme="minorHAnsi" w:cstheme="minorBidi"/>
          <w:noProof/>
          <w:sz w:val="22"/>
          <w:szCs w:val="22"/>
          <w:lang w:val="es-MX" w:eastAsia="es-MX"/>
        </w:rPr>
        <w:t>[…]</w:t>
      </w:r>
    </w:p>
    <w:p w14:paraId="4DC5C7FD" w14:textId="77777777" w:rsidR="00F65CF8" w:rsidRPr="008B21BA" w:rsidRDefault="00F65CF8" w:rsidP="00F65CF8">
      <w:pPr>
        <w:spacing w:after="160" w:line="259" w:lineRule="auto"/>
        <w:jc w:val="center"/>
        <w:rPr>
          <w:rFonts w:asciiTheme="minorHAnsi" w:eastAsia="Calibri" w:hAnsiTheme="minorHAnsi" w:cstheme="minorBidi"/>
          <w:noProof/>
          <w:sz w:val="22"/>
          <w:szCs w:val="22"/>
          <w:lang w:val="es-MX" w:eastAsia="es-MX"/>
        </w:rPr>
      </w:pPr>
      <w:r w:rsidRPr="008B21BA">
        <w:rPr>
          <w:rFonts w:asciiTheme="minorHAnsi" w:eastAsia="Calibri" w:hAnsiTheme="minorHAnsi" w:cstheme="minorBidi"/>
          <w:noProof/>
          <w:sz w:val="22"/>
          <w:szCs w:val="22"/>
          <w:lang w:val="es-MX" w:eastAsia="es-MX"/>
        </w:rPr>
        <w:drawing>
          <wp:inline distT="0" distB="0" distL="0" distR="0" wp14:anchorId="0F07CBC5" wp14:editId="39210AB3">
            <wp:extent cx="5791835" cy="244237"/>
            <wp:effectExtent l="76200" t="95250" r="75565" b="17526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1835" cy="244237"/>
                    </a:xfrm>
                    <a:prstGeom prst="roundRect">
                      <a:avLst>
                        <a:gd name="adj" fmla="val 4167"/>
                      </a:avLst>
                    </a:prstGeom>
                    <a:solidFill>
                      <a:srgbClr val="FFFFFF"/>
                    </a:solidFill>
                    <a:ln w="76200" cap="sq">
                      <a:solidFill>
                        <a:sysClr val="window" lastClr="FFFFFF">
                          <a:lumMod val="65000"/>
                        </a:sysClr>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7961425" w14:textId="77777777" w:rsidR="00F65CF8" w:rsidRPr="008B21BA" w:rsidRDefault="00F65CF8" w:rsidP="00F65CF8">
      <w:pPr>
        <w:spacing w:after="160" w:line="259" w:lineRule="auto"/>
        <w:jc w:val="center"/>
        <w:rPr>
          <w:rFonts w:asciiTheme="minorHAnsi" w:eastAsia="Calibri" w:hAnsiTheme="minorHAnsi" w:cstheme="minorBidi"/>
          <w:noProof/>
          <w:sz w:val="22"/>
          <w:szCs w:val="22"/>
          <w:lang w:val="es-MX" w:eastAsia="es-MX"/>
        </w:rPr>
      </w:pPr>
      <w:r w:rsidRPr="008B21BA">
        <w:rPr>
          <w:rFonts w:asciiTheme="minorHAnsi" w:eastAsia="Calibri" w:hAnsiTheme="minorHAnsi" w:cstheme="minorBidi"/>
          <w:noProof/>
          <w:sz w:val="22"/>
          <w:szCs w:val="22"/>
          <w:lang w:val="es-MX" w:eastAsia="es-MX"/>
        </w:rPr>
        <w:t>[…]</w:t>
      </w:r>
    </w:p>
    <w:p w14:paraId="138FA41D" w14:textId="77777777" w:rsidR="00F65CF8" w:rsidRPr="008B21BA" w:rsidRDefault="00F65CF8" w:rsidP="00F65CF8">
      <w:pPr>
        <w:spacing w:after="160" w:line="259" w:lineRule="auto"/>
        <w:jc w:val="center"/>
        <w:rPr>
          <w:rFonts w:asciiTheme="minorHAnsi" w:eastAsia="Calibri" w:hAnsiTheme="minorHAnsi" w:cstheme="minorBidi"/>
          <w:noProof/>
          <w:sz w:val="22"/>
          <w:szCs w:val="22"/>
          <w:lang w:val="es-MX" w:eastAsia="es-MX"/>
        </w:rPr>
      </w:pPr>
      <w:r w:rsidRPr="008B21BA">
        <w:rPr>
          <w:rFonts w:asciiTheme="minorHAnsi" w:eastAsia="Calibri" w:hAnsiTheme="minorHAnsi" w:cstheme="minorBidi"/>
          <w:noProof/>
          <w:sz w:val="22"/>
          <w:szCs w:val="22"/>
          <w:lang w:val="es-MX" w:eastAsia="es-MX"/>
        </w:rPr>
        <w:drawing>
          <wp:inline distT="0" distB="0" distL="0" distR="0" wp14:anchorId="43A44F77" wp14:editId="11896B4A">
            <wp:extent cx="5791835" cy="258445"/>
            <wp:effectExtent l="95250" t="95250" r="94615" b="198755"/>
            <wp:docPr id="1517556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56358" name=""/>
                    <pic:cNvPicPr/>
                  </pic:nvPicPr>
                  <pic:blipFill>
                    <a:blip r:embed="rId13"/>
                    <a:stretch>
                      <a:fillRect/>
                    </a:stretch>
                  </pic:blipFill>
                  <pic:spPr>
                    <a:xfrm>
                      <a:off x="0" y="0"/>
                      <a:ext cx="5791835" cy="258445"/>
                    </a:xfrm>
                    <a:prstGeom prst="roundRect">
                      <a:avLst>
                        <a:gd name="adj" fmla="val 4167"/>
                      </a:avLst>
                    </a:prstGeom>
                    <a:solidFill>
                      <a:srgbClr val="FFFFFF"/>
                    </a:solidFill>
                    <a:ln w="76200" cap="sq">
                      <a:solidFill>
                        <a:srgbClr val="FF00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D5813F3" w14:textId="4603F297" w:rsidR="00F65CF8" w:rsidRPr="008B21BA" w:rsidRDefault="00F65CF8" w:rsidP="00CA438F">
      <w:pPr>
        <w:spacing w:after="160" w:line="259" w:lineRule="auto"/>
        <w:jc w:val="center"/>
        <w:rPr>
          <w:rFonts w:asciiTheme="minorHAnsi" w:eastAsia="Calibri" w:hAnsiTheme="minorHAnsi" w:cstheme="minorBidi"/>
          <w:noProof/>
          <w:sz w:val="22"/>
          <w:szCs w:val="22"/>
          <w:lang w:val="es-MX" w:eastAsia="es-MX"/>
        </w:rPr>
      </w:pPr>
      <w:r w:rsidRPr="008B21BA">
        <w:rPr>
          <w:rFonts w:asciiTheme="minorHAnsi" w:eastAsia="Calibri" w:hAnsiTheme="minorHAnsi" w:cstheme="minorBidi"/>
          <w:noProof/>
          <w:sz w:val="22"/>
          <w:szCs w:val="22"/>
          <w:lang w:val="es-MX" w:eastAsia="es-MX"/>
        </w:rPr>
        <w:t>[…]</w:t>
      </w:r>
    </w:p>
    <w:p w14:paraId="77022C03" w14:textId="05CC29F3" w:rsidR="00F65CF8" w:rsidRPr="008B21BA" w:rsidRDefault="00A66CE9" w:rsidP="00F65CF8">
      <w:pPr>
        <w:spacing w:after="160" w:line="259" w:lineRule="auto"/>
        <w:jc w:val="center"/>
        <w:rPr>
          <w:rFonts w:asciiTheme="minorHAnsi" w:eastAsia="Calibri" w:hAnsiTheme="minorHAnsi" w:cstheme="minorBidi"/>
          <w:noProof/>
          <w:sz w:val="22"/>
          <w:szCs w:val="22"/>
          <w:lang w:val="es-MX" w:eastAsia="es-MX"/>
        </w:rPr>
      </w:pPr>
      <w:r w:rsidRPr="00A66CE9">
        <w:rPr>
          <w:rFonts w:asciiTheme="minorHAnsi" w:eastAsia="Calibri" w:hAnsiTheme="minorHAnsi" w:cstheme="minorBidi"/>
          <w:noProof/>
          <w:sz w:val="22"/>
          <w:szCs w:val="22"/>
          <w:lang w:val="es-MX" w:eastAsia="es-MX"/>
        </w:rPr>
        <w:drawing>
          <wp:inline distT="0" distB="0" distL="0" distR="0" wp14:anchorId="0471F3EC" wp14:editId="4A92AC1F">
            <wp:extent cx="5791835" cy="285115"/>
            <wp:effectExtent l="76200" t="95250" r="75565" b="191135"/>
            <wp:docPr id="4507706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70671" name=""/>
                    <pic:cNvPicPr/>
                  </pic:nvPicPr>
                  <pic:blipFill>
                    <a:blip r:embed="rId14"/>
                    <a:stretch>
                      <a:fillRect/>
                    </a:stretch>
                  </pic:blipFill>
                  <pic:spPr>
                    <a:xfrm>
                      <a:off x="0" y="0"/>
                      <a:ext cx="5791835" cy="285115"/>
                    </a:xfrm>
                    <a:prstGeom prst="roundRect">
                      <a:avLst>
                        <a:gd name="adj" fmla="val 4167"/>
                      </a:avLst>
                    </a:prstGeom>
                    <a:solidFill>
                      <a:srgbClr val="FFFFFF"/>
                    </a:solidFill>
                    <a:ln w="76200" cap="sq">
                      <a:solidFill>
                        <a:srgbClr val="0070C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58D03FF3" w14:textId="78103C07" w:rsidR="002E4785" w:rsidRPr="008B21BA" w:rsidRDefault="002E4785" w:rsidP="00F65CF8">
      <w:pPr>
        <w:spacing w:after="160" w:line="259" w:lineRule="auto"/>
        <w:jc w:val="center"/>
        <w:rPr>
          <w:rFonts w:asciiTheme="minorHAnsi" w:eastAsia="Calibri" w:hAnsiTheme="minorHAnsi" w:cstheme="minorBidi"/>
          <w:noProof/>
          <w:sz w:val="22"/>
          <w:szCs w:val="22"/>
          <w:lang w:val="es-MX" w:eastAsia="es-MX"/>
        </w:rPr>
      </w:pPr>
      <w:r w:rsidRPr="008B21BA">
        <w:rPr>
          <w:rFonts w:asciiTheme="minorHAnsi" w:eastAsia="Calibri" w:hAnsiTheme="minorHAnsi" w:cstheme="minorBidi"/>
          <w:noProof/>
          <w:sz w:val="22"/>
          <w:szCs w:val="22"/>
          <w:lang w:val="es-MX" w:eastAsia="es-MX"/>
        </w:rPr>
        <w:t>[…]</w:t>
      </w:r>
    </w:p>
    <w:p w14:paraId="065F73DF" w14:textId="54DFD2C4" w:rsidR="002E4785" w:rsidRPr="008B21BA" w:rsidRDefault="00A66CE9" w:rsidP="00F65CF8">
      <w:pPr>
        <w:spacing w:after="160" w:line="259" w:lineRule="auto"/>
        <w:jc w:val="center"/>
        <w:rPr>
          <w:rFonts w:asciiTheme="minorHAnsi" w:eastAsia="Calibri" w:hAnsiTheme="minorHAnsi" w:cstheme="minorBidi"/>
          <w:noProof/>
          <w:sz w:val="22"/>
          <w:szCs w:val="22"/>
          <w:lang w:val="es-MX" w:eastAsia="es-MX"/>
        </w:rPr>
      </w:pPr>
      <w:r w:rsidRPr="00A66CE9">
        <w:rPr>
          <w:rFonts w:asciiTheme="minorHAnsi" w:eastAsia="Calibri" w:hAnsiTheme="minorHAnsi" w:cstheme="minorBidi"/>
          <w:noProof/>
          <w:sz w:val="22"/>
          <w:szCs w:val="22"/>
          <w:lang w:val="es-MX" w:eastAsia="es-MX"/>
        </w:rPr>
        <w:lastRenderedPageBreak/>
        <w:drawing>
          <wp:inline distT="0" distB="0" distL="0" distR="0" wp14:anchorId="29A59ACC" wp14:editId="055E7F00">
            <wp:extent cx="5791835" cy="266700"/>
            <wp:effectExtent l="95250" t="95250" r="94615" b="190500"/>
            <wp:docPr id="10761076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07663" name=""/>
                    <pic:cNvPicPr/>
                  </pic:nvPicPr>
                  <pic:blipFill>
                    <a:blip r:embed="rId15"/>
                    <a:stretch>
                      <a:fillRect/>
                    </a:stretch>
                  </pic:blipFill>
                  <pic:spPr>
                    <a:xfrm>
                      <a:off x="0" y="0"/>
                      <a:ext cx="5791835" cy="266700"/>
                    </a:xfrm>
                    <a:prstGeom prst="roundRect">
                      <a:avLst>
                        <a:gd name="adj" fmla="val 4167"/>
                      </a:avLst>
                    </a:prstGeom>
                    <a:solidFill>
                      <a:srgbClr val="FFFFFF"/>
                    </a:solidFill>
                    <a:ln w="76200" cap="sq">
                      <a:solidFill>
                        <a:srgbClr val="FFFF00"/>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79D6CE33" w14:textId="77777777" w:rsidR="002E4785" w:rsidRPr="008B21BA" w:rsidRDefault="002E4785" w:rsidP="002E4785">
      <w:pPr>
        <w:spacing w:after="160" w:line="259" w:lineRule="auto"/>
        <w:jc w:val="center"/>
        <w:rPr>
          <w:rFonts w:asciiTheme="minorHAnsi" w:eastAsia="Calibri" w:hAnsiTheme="minorHAnsi" w:cstheme="minorBidi"/>
          <w:noProof/>
          <w:sz w:val="22"/>
          <w:szCs w:val="22"/>
          <w:lang w:val="es-MX" w:eastAsia="es-MX"/>
        </w:rPr>
      </w:pPr>
      <w:r w:rsidRPr="008B21BA">
        <w:rPr>
          <w:rFonts w:asciiTheme="minorHAnsi" w:eastAsia="Calibri" w:hAnsiTheme="minorHAnsi" w:cstheme="minorBidi"/>
          <w:noProof/>
          <w:sz w:val="22"/>
          <w:szCs w:val="22"/>
          <w:lang w:val="es-MX" w:eastAsia="es-MX"/>
        </w:rPr>
        <w:t>[…]</w:t>
      </w:r>
    </w:p>
    <w:p w14:paraId="7E8188ED" w14:textId="39E5C2B9" w:rsidR="002E4785" w:rsidRPr="008B21BA" w:rsidRDefault="00A66CE9" w:rsidP="002E4785">
      <w:pPr>
        <w:spacing w:after="160" w:line="259" w:lineRule="auto"/>
        <w:jc w:val="center"/>
        <w:rPr>
          <w:rFonts w:asciiTheme="minorHAnsi" w:eastAsia="Calibri" w:hAnsiTheme="minorHAnsi" w:cstheme="minorBidi"/>
          <w:noProof/>
          <w:sz w:val="22"/>
          <w:szCs w:val="22"/>
          <w:lang w:val="es-MX" w:eastAsia="es-MX"/>
        </w:rPr>
      </w:pPr>
      <w:r w:rsidRPr="00A66CE9">
        <w:rPr>
          <w:rFonts w:asciiTheme="minorHAnsi" w:eastAsia="Calibri" w:hAnsiTheme="minorHAnsi" w:cstheme="minorBidi"/>
          <w:noProof/>
          <w:sz w:val="22"/>
          <w:szCs w:val="22"/>
          <w:lang w:val="es-MX" w:eastAsia="es-MX"/>
        </w:rPr>
        <w:drawing>
          <wp:inline distT="0" distB="0" distL="0" distR="0" wp14:anchorId="3E6C16DD" wp14:editId="2F4D55B6">
            <wp:extent cx="5791835" cy="265430"/>
            <wp:effectExtent l="95250" t="95250" r="94615" b="191770"/>
            <wp:docPr id="794546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46462" name=""/>
                    <pic:cNvPicPr/>
                  </pic:nvPicPr>
                  <pic:blipFill>
                    <a:blip r:embed="rId16"/>
                    <a:stretch>
                      <a:fillRect/>
                    </a:stretch>
                  </pic:blipFill>
                  <pic:spPr>
                    <a:xfrm>
                      <a:off x="0" y="0"/>
                      <a:ext cx="5791835" cy="265430"/>
                    </a:xfrm>
                    <a:prstGeom prst="roundRect">
                      <a:avLst>
                        <a:gd name="adj" fmla="val 4167"/>
                      </a:avLst>
                    </a:prstGeom>
                    <a:solidFill>
                      <a:srgbClr val="FFFFFF"/>
                    </a:solidFill>
                    <a:ln w="76200" cap="sq">
                      <a:solidFill>
                        <a:schemeClr val="accent6"/>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1DA1A0B" w14:textId="77777777" w:rsidR="00073BC8" w:rsidRPr="008B21BA" w:rsidRDefault="00073BC8" w:rsidP="00073BC8">
      <w:pPr>
        <w:pStyle w:val="Sinespaciado"/>
        <w:rPr>
          <w:rFonts w:eastAsiaTheme="minorHAnsi"/>
          <w:lang w:eastAsia="es-MX"/>
        </w:rPr>
      </w:pPr>
    </w:p>
    <w:p w14:paraId="33C9F687" w14:textId="34D79750" w:rsidR="00CA53FA" w:rsidRPr="008B21BA" w:rsidRDefault="00CA53FA" w:rsidP="00CA53FA">
      <w:pPr>
        <w:spacing w:line="360" w:lineRule="auto"/>
        <w:jc w:val="both"/>
        <w:rPr>
          <w:rFonts w:ascii="Palatino Linotype" w:eastAsiaTheme="minorHAnsi" w:hAnsi="Palatino Linotype" w:cs="Arial"/>
          <w:szCs w:val="22"/>
          <w:lang w:val="es-MX" w:eastAsia="es-MX"/>
        </w:rPr>
      </w:pPr>
      <w:r w:rsidRPr="008B21BA">
        <w:rPr>
          <w:rFonts w:ascii="Palatino Linotype" w:eastAsiaTheme="minorHAnsi" w:hAnsi="Palatino Linotype" w:cs="Arial"/>
          <w:szCs w:val="22"/>
          <w:lang w:val="es-MX" w:eastAsia="es-MX"/>
        </w:rPr>
        <w:t>Asimismo, traemos a colación el Reglamento Interior de la Secretaría de Finanzas, el cual, establece las atribuciones de la Subsecretaría de Planeación y Presupuesto, siendo estas las siguientes:</w:t>
      </w:r>
    </w:p>
    <w:p w14:paraId="1B11821E" w14:textId="77777777" w:rsidR="00CA53FA" w:rsidRPr="008B21BA" w:rsidRDefault="00CA53FA" w:rsidP="00CA53FA">
      <w:pPr>
        <w:spacing w:line="360" w:lineRule="auto"/>
        <w:jc w:val="both"/>
        <w:rPr>
          <w:rFonts w:ascii="Palatino Linotype" w:eastAsiaTheme="minorHAnsi" w:hAnsi="Palatino Linotype" w:cs="Arial"/>
          <w:szCs w:val="22"/>
          <w:lang w:val="es-MX" w:eastAsia="es-MX"/>
        </w:rPr>
      </w:pPr>
    </w:p>
    <w:p w14:paraId="5F5EF520" w14:textId="7D955DBF"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Artículo 21.</w:t>
      </w:r>
      <w:r w:rsidRPr="008B21BA">
        <w:rPr>
          <w:rFonts w:ascii="Palatino Linotype" w:hAnsi="Palatino Linotype"/>
          <w:i/>
          <w:sz w:val="22"/>
        </w:rPr>
        <w:t xml:space="preserve"> Corresponde a la Subsecretaría de Planeación y Presupuesto:</w:t>
      </w:r>
    </w:p>
    <w:p w14:paraId="58497FD2" w14:textId="663A6EE2"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I.</w:t>
      </w:r>
      <w:r w:rsidRPr="008B21BA">
        <w:rPr>
          <w:rFonts w:ascii="Palatino Linotype" w:hAnsi="Palatino Linotype"/>
          <w:i/>
          <w:sz w:val="22"/>
        </w:rPr>
        <w:t xml:space="preserve"> </w:t>
      </w:r>
      <w:r w:rsidRPr="008B21BA">
        <w:rPr>
          <w:rFonts w:ascii="Palatino Linotype" w:hAnsi="Palatino Linotype"/>
          <w:i/>
          <w:sz w:val="22"/>
          <w:u w:val="single"/>
        </w:rPr>
        <w:t>Planear, dirigir, coordinar, controlar y evaluar la elaboración de planes, programas y el presupuesto de egresos</w:t>
      </w:r>
      <w:r w:rsidRPr="008B21BA">
        <w:rPr>
          <w:rFonts w:ascii="Palatino Linotype" w:hAnsi="Palatino Linotype"/>
          <w:i/>
          <w:sz w:val="22"/>
        </w:rPr>
        <w:t>;</w:t>
      </w:r>
    </w:p>
    <w:p w14:paraId="2A45A544" w14:textId="6ABCAFBD"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II.</w:t>
      </w:r>
      <w:r w:rsidRPr="008B21BA">
        <w:rPr>
          <w:rFonts w:ascii="Palatino Linotype" w:hAnsi="Palatino Linotype"/>
          <w:i/>
          <w:sz w:val="22"/>
        </w:rPr>
        <w:t xml:space="preserve"> Proponer a la persona titular de la Secretaría:</w:t>
      </w:r>
    </w:p>
    <w:p w14:paraId="102EE6B4" w14:textId="63AEC51E" w:rsidR="00CA53FA" w:rsidRPr="008B21BA" w:rsidRDefault="00CA53FA" w:rsidP="00391AD0">
      <w:pPr>
        <w:ind w:left="426" w:right="474"/>
        <w:jc w:val="both"/>
        <w:rPr>
          <w:rFonts w:ascii="Palatino Linotype" w:hAnsi="Palatino Linotype"/>
          <w:i/>
          <w:sz w:val="22"/>
        </w:rPr>
      </w:pPr>
      <w:r w:rsidRPr="008B21BA">
        <w:rPr>
          <w:rFonts w:ascii="Palatino Linotype" w:hAnsi="Palatino Linotype"/>
          <w:b/>
          <w:i/>
          <w:sz w:val="22"/>
        </w:rPr>
        <w:t>a.</w:t>
      </w:r>
      <w:r w:rsidRPr="008B21BA">
        <w:rPr>
          <w:rFonts w:ascii="Palatino Linotype" w:hAnsi="Palatino Linotype"/>
          <w:i/>
          <w:sz w:val="22"/>
        </w:rPr>
        <w:t xml:space="preserve"> La política presupuestal para el manejo del gasto público, y</w:t>
      </w:r>
    </w:p>
    <w:p w14:paraId="6F65CD41" w14:textId="42CCF979" w:rsidR="00CA53FA" w:rsidRPr="008B21BA" w:rsidRDefault="00CA53FA" w:rsidP="00391AD0">
      <w:pPr>
        <w:ind w:left="426" w:right="474"/>
        <w:jc w:val="both"/>
        <w:rPr>
          <w:rFonts w:ascii="Palatino Linotype" w:hAnsi="Palatino Linotype"/>
          <w:i/>
          <w:sz w:val="22"/>
        </w:rPr>
      </w:pPr>
      <w:r w:rsidRPr="008B21BA">
        <w:rPr>
          <w:rFonts w:ascii="Palatino Linotype" w:hAnsi="Palatino Linotype"/>
          <w:b/>
          <w:i/>
          <w:sz w:val="22"/>
        </w:rPr>
        <w:t>b.</w:t>
      </w:r>
      <w:r w:rsidRPr="008B21BA">
        <w:rPr>
          <w:rFonts w:ascii="Palatino Linotype" w:hAnsi="Palatino Linotype"/>
          <w:i/>
          <w:sz w:val="22"/>
        </w:rPr>
        <w:t xml:space="preserve"> </w:t>
      </w:r>
      <w:r w:rsidRPr="008B21BA">
        <w:rPr>
          <w:rFonts w:ascii="Palatino Linotype" w:hAnsi="Palatino Linotype"/>
          <w:i/>
          <w:sz w:val="22"/>
          <w:u w:val="single"/>
        </w:rPr>
        <w:t>Los catálogos y los lineamientos que servirán de base para la formulación del anteproyecto de presupuesto de egresos</w:t>
      </w:r>
      <w:r w:rsidRPr="008B21BA">
        <w:rPr>
          <w:rFonts w:ascii="Palatino Linotype" w:hAnsi="Palatino Linotype"/>
          <w:i/>
          <w:sz w:val="22"/>
        </w:rPr>
        <w:t>;</w:t>
      </w:r>
    </w:p>
    <w:p w14:paraId="1F57A4FC" w14:textId="77777777" w:rsidR="00391AD0" w:rsidRPr="008B21BA" w:rsidRDefault="00391AD0" w:rsidP="00391AD0">
      <w:pPr>
        <w:ind w:left="426" w:right="474"/>
        <w:jc w:val="both"/>
        <w:rPr>
          <w:rFonts w:ascii="Palatino Linotype" w:hAnsi="Palatino Linotype"/>
          <w:i/>
          <w:sz w:val="22"/>
        </w:rPr>
      </w:pPr>
    </w:p>
    <w:p w14:paraId="619EE5E2" w14:textId="4C8B6E2C"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III.</w:t>
      </w:r>
      <w:r w:rsidRPr="008B21BA">
        <w:rPr>
          <w:rFonts w:ascii="Palatino Linotype" w:hAnsi="Palatino Linotype"/>
          <w:i/>
          <w:sz w:val="22"/>
        </w:rPr>
        <w:t xml:space="preserve"> Presentar a la persona titular de la Secretaría estudios, informes y reportes sobre el comportamiento del gasto público estatal;</w:t>
      </w:r>
    </w:p>
    <w:p w14:paraId="09B9804F" w14:textId="27E5F275" w:rsidR="00CA53FA" w:rsidRPr="008B21BA" w:rsidRDefault="00CA53FA" w:rsidP="00391AD0">
      <w:pPr>
        <w:spacing w:after="240"/>
        <w:ind w:left="426" w:right="474"/>
        <w:jc w:val="both"/>
        <w:rPr>
          <w:rFonts w:ascii="Palatino Linotype" w:eastAsiaTheme="minorHAnsi" w:hAnsi="Palatino Linotype" w:cs="Arial"/>
          <w:i/>
          <w:sz w:val="22"/>
          <w:szCs w:val="22"/>
          <w:lang w:val="es-MX" w:eastAsia="es-MX"/>
        </w:rPr>
      </w:pPr>
      <w:r w:rsidRPr="008B21BA">
        <w:rPr>
          <w:rFonts w:ascii="Palatino Linotype" w:hAnsi="Palatino Linotype"/>
          <w:b/>
          <w:i/>
          <w:sz w:val="22"/>
        </w:rPr>
        <w:t>IV.</w:t>
      </w:r>
      <w:r w:rsidRPr="008B21BA">
        <w:rPr>
          <w:rFonts w:ascii="Palatino Linotype" w:hAnsi="Palatino Linotype"/>
          <w:i/>
          <w:sz w:val="22"/>
        </w:rPr>
        <w:t xml:space="preserve"> Vigilar el cumplimiento de las políticas y medidas de racionalidad, austeridad y disciplina, que se hayan determinado para el ejercicio del presupuesto y ejecución de programas;</w:t>
      </w:r>
    </w:p>
    <w:p w14:paraId="430C9C64" w14:textId="1C0E784F"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V.</w:t>
      </w:r>
      <w:r w:rsidRPr="008B21BA">
        <w:rPr>
          <w:rFonts w:ascii="Palatino Linotype" w:hAnsi="Palatino Linotype"/>
          <w:i/>
          <w:sz w:val="22"/>
        </w:rPr>
        <w:t xml:space="preserve"> </w:t>
      </w:r>
      <w:r w:rsidRPr="008B21BA">
        <w:rPr>
          <w:rFonts w:ascii="Palatino Linotype" w:hAnsi="Palatino Linotype"/>
          <w:i/>
          <w:sz w:val="22"/>
          <w:u w:val="single"/>
        </w:rPr>
        <w:t>Presentar a la persona titular de la Secretaría la evaluación del ejercicio del gasto público, para coadyuvar al desarrollo regional y sectorial del Estado</w:t>
      </w:r>
      <w:r w:rsidRPr="008B21BA">
        <w:rPr>
          <w:rFonts w:ascii="Palatino Linotype" w:hAnsi="Palatino Linotype"/>
          <w:i/>
          <w:sz w:val="22"/>
        </w:rPr>
        <w:t>;</w:t>
      </w:r>
    </w:p>
    <w:p w14:paraId="6CE42A5A" w14:textId="722A3EDF"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VI.</w:t>
      </w:r>
      <w:r w:rsidRPr="008B21BA">
        <w:rPr>
          <w:rFonts w:ascii="Palatino Linotype" w:hAnsi="Palatino Linotype"/>
          <w:i/>
          <w:sz w:val="22"/>
        </w:rPr>
        <w:t xml:space="preserve"> Planear y definir los métodos y procedimientos a los cuales deberán ajustarse las adecuaciones presupuestarias;</w:t>
      </w:r>
    </w:p>
    <w:p w14:paraId="296EB9F6" w14:textId="59BAD87D"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VII.</w:t>
      </w:r>
      <w:r w:rsidRPr="008B21BA">
        <w:rPr>
          <w:rFonts w:ascii="Palatino Linotype" w:hAnsi="Palatino Linotype"/>
          <w:i/>
          <w:sz w:val="22"/>
        </w:rPr>
        <w:t xml:space="preserve"> </w:t>
      </w:r>
      <w:r w:rsidRPr="008B21BA">
        <w:rPr>
          <w:rFonts w:ascii="Palatino Linotype" w:hAnsi="Palatino Linotype"/>
          <w:i/>
          <w:sz w:val="22"/>
          <w:u w:val="single"/>
        </w:rPr>
        <w:t>Autorizar el ejercicio del gasto y las solicitudes de adecuaciones presupuestarias correspondientes, excepto las ampliaciones presupuestales líquidas, informando oportunamente a la persona titular de la Secretaría</w:t>
      </w:r>
      <w:r w:rsidRPr="008B21BA">
        <w:rPr>
          <w:rFonts w:ascii="Palatino Linotype" w:hAnsi="Palatino Linotype"/>
          <w:i/>
          <w:sz w:val="22"/>
        </w:rPr>
        <w:t>;</w:t>
      </w:r>
    </w:p>
    <w:p w14:paraId="4B80BFA8" w14:textId="70100767"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lastRenderedPageBreak/>
        <w:t>VIII.</w:t>
      </w:r>
      <w:r w:rsidRPr="008B21BA">
        <w:rPr>
          <w:rFonts w:ascii="Palatino Linotype" w:hAnsi="Palatino Linotype"/>
          <w:i/>
          <w:sz w:val="22"/>
        </w:rPr>
        <w:t xml:space="preserve"> Realizar las adecuaciones presupuestarias que se deriven de recursos adicionales otorgados durante el ejercicio por transferencia de recursos federales, distintos a los presupuestados;</w:t>
      </w:r>
    </w:p>
    <w:p w14:paraId="71CAAF64" w14:textId="31F8EC03"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IX.</w:t>
      </w:r>
      <w:r w:rsidRPr="008B21BA">
        <w:rPr>
          <w:rFonts w:ascii="Palatino Linotype" w:hAnsi="Palatino Linotype"/>
          <w:i/>
          <w:sz w:val="22"/>
        </w:rPr>
        <w:t xml:space="preserve"> Ordenar el registro y seguimiento de los convenios suscritos por el Gobierno del Estado con el Gobierno Federal; los sectores social y privado, y los municipios, para controlar y evaluar los recursos aportados por cada una de las partes, informando oportunamente a la persona titular de la Secretaría;</w:t>
      </w:r>
    </w:p>
    <w:p w14:paraId="24724F8A" w14:textId="3582F0A7"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X.</w:t>
      </w:r>
      <w:r w:rsidRPr="008B21BA">
        <w:rPr>
          <w:rFonts w:ascii="Palatino Linotype" w:hAnsi="Palatino Linotype"/>
          <w:i/>
          <w:sz w:val="22"/>
        </w:rPr>
        <w:t xml:space="preserve"> Celebrar convenios de coordinación con los ayuntamientos en materia de gasto de inversión pública;</w:t>
      </w:r>
    </w:p>
    <w:p w14:paraId="60DF7243" w14:textId="7B570E08"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XI.</w:t>
      </w:r>
      <w:r w:rsidRPr="008B21BA">
        <w:rPr>
          <w:rFonts w:ascii="Palatino Linotype" w:hAnsi="Palatino Linotype"/>
          <w:i/>
          <w:sz w:val="22"/>
        </w:rPr>
        <w:t xml:space="preserve"> Participar en la suscripción de contratos, convenios y demás instrumentos jurídicos que involucren aportaciones económicas estatales, para concertar la realización de proyectos y acciones previstas en el Plan de Desarrollo del Estado de México y sus planes y programas;</w:t>
      </w:r>
    </w:p>
    <w:p w14:paraId="6CF0EB37" w14:textId="55C2412A"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XII.</w:t>
      </w:r>
      <w:r w:rsidRPr="008B21BA">
        <w:rPr>
          <w:rFonts w:ascii="Palatino Linotype" w:hAnsi="Palatino Linotype"/>
          <w:i/>
          <w:sz w:val="22"/>
        </w:rPr>
        <w:t xml:space="preserve"> </w:t>
      </w:r>
      <w:r w:rsidRPr="008B21BA">
        <w:rPr>
          <w:rFonts w:ascii="Palatino Linotype" w:hAnsi="Palatino Linotype"/>
          <w:i/>
          <w:sz w:val="22"/>
          <w:u w:val="single"/>
        </w:rPr>
        <w:t>Supervisar el Sistema de Contabilidad Gubernamental y la formulación e integración de la cuenta pública estatal</w:t>
      </w:r>
      <w:r w:rsidRPr="008B21BA">
        <w:rPr>
          <w:rFonts w:ascii="Palatino Linotype" w:hAnsi="Palatino Linotype"/>
          <w:i/>
          <w:sz w:val="22"/>
        </w:rPr>
        <w:t>;</w:t>
      </w:r>
    </w:p>
    <w:p w14:paraId="54C96445" w14:textId="184AD6A1"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XIII.</w:t>
      </w:r>
      <w:r w:rsidRPr="008B21BA">
        <w:rPr>
          <w:rFonts w:ascii="Palatino Linotype" w:hAnsi="Palatino Linotype"/>
          <w:i/>
          <w:sz w:val="22"/>
        </w:rPr>
        <w:t xml:space="preserve"> </w:t>
      </w:r>
      <w:r w:rsidRPr="008B21BA">
        <w:rPr>
          <w:rFonts w:ascii="Palatino Linotype" w:hAnsi="Palatino Linotype"/>
          <w:i/>
          <w:sz w:val="22"/>
          <w:u w:val="single"/>
        </w:rPr>
        <w:t>Coordinarse con las instancias federales para concertar la concurrencia de recursos y acciones, respecto a los fondos y programas federales aplicables en la entidad</w:t>
      </w:r>
      <w:r w:rsidRPr="008B21BA">
        <w:rPr>
          <w:rFonts w:ascii="Palatino Linotype" w:hAnsi="Palatino Linotype"/>
          <w:i/>
          <w:sz w:val="22"/>
        </w:rPr>
        <w:t>;</w:t>
      </w:r>
    </w:p>
    <w:p w14:paraId="400311B7" w14:textId="0A18A752"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XIV.</w:t>
      </w:r>
      <w:r w:rsidRPr="008B21BA">
        <w:rPr>
          <w:rFonts w:ascii="Palatino Linotype" w:hAnsi="Palatino Linotype"/>
          <w:i/>
          <w:sz w:val="22"/>
        </w:rPr>
        <w:t xml:space="preserve"> </w:t>
      </w:r>
      <w:r w:rsidRPr="008B21BA">
        <w:rPr>
          <w:rFonts w:ascii="Palatino Linotype" w:hAnsi="Palatino Linotype"/>
          <w:i/>
          <w:sz w:val="22"/>
          <w:u w:val="single"/>
        </w:rPr>
        <w:t>Coordinar la elaboración, ejecución y cumplimiento del Programa Anual de Evaluación (PAE), en las dependencias y entidades públicas del Gobierno del Estado de México</w:t>
      </w:r>
      <w:r w:rsidRPr="008B21BA">
        <w:rPr>
          <w:rFonts w:ascii="Palatino Linotype" w:hAnsi="Palatino Linotype"/>
          <w:i/>
          <w:sz w:val="22"/>
        </w:rPr>
        <w:t>;</w:t>
      </w:r>
    </w:p>
    <w:p w14:paraId="24D247F8" w14:textId="6ED7BD8B"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XV.</w:t>
      </w:r>
      <w:r w:rsidRPr="008B21BA">
        <w:rPr>
          <w:rFonts w:ascii="Palatino Linotype" w:hAnsi="Palatino Linotype"/>
          <w:i/>
          <w:sz w:val="22"/>
        </w:rPr>
        <w:t xml:space="preserve"> Gestionar ante las dependencias y los organismos federales, previa instrucción de la persona titular de la Secretaría, los recursos para el financiamiento de obras, proyectos y acciones;</w:t>
      </w:r>
    </w:p>
    <w:p w14:paraId="0461B167" w14:textId="658F65A5"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XVI.</w:t>
      </w:r>
      <w:r w:rsidRPr="008B21BA">
        <w:rPr>
          <w:rFonts w:ascii="Palatino Linotype" w:hAnsi="Palatino Linotype"/>
          <w:i/>
          <w:sz w:val="22"/>
        </w:rPr>
        <w:t xml:space="preserve"> </w:t>
      </w:r>
      <w:r w:rsidRPr="008B21BA">
        <w:rPr>
          <w:rFonts w:ascii="Palatino Linotype" w:hAnsi="Palatino Linotype"/>
          <w:i/>
          <w:sz w:val="22"/>
          <w:u w:val="single"/>
        </w:rPr>
        <w:t>Supervisar y coordinar la integración del registro de proyectos de inversión pública productiva del Estado y de sus municipios</w:t>
      </w:r>
      <w:r w:rsidRPr="008B21BA">
        <w:rPr>
          <w:rFonts w:ascii="Palatino Linotype" w:hAnsi="Palatino Linotype"/>
          <w:i/>
          <w:sz w:val="22"/>
        </w:rPr>
        <w:t>;</w:t>
      </w:r>
    </w:p>
    <w:p w14:paraId="424A250D" w14:textId="493B575D"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XVII.</w:t>
      </w:r>
      <w:r w:rsidRPr="008B21BA">
        <w:rPr>
          <w:rFonts w:ascii="Palatino Linotype" w:hAnsi="Palatino Linotype"/>
          <w:i/>
          <w:sz w:val="22"/>
        </w:rPr>
        <w:t xml:space="preserve"> </w:t>
      </w:r>
      <w:r w:rsidRPr="008B21BA">
        <w:rPr>
          <w:rFonts w:ascii="Palatino Linotype" w:hAnsi="Palatino Linotype"/>
          <w:i/>
          <w:sz w:val="22"/>
          <w:u w:val="single"/>
        </w:rPr>
        <w:t>Coordinar la consolidación del presupuesto basado en resultados y del Sistema de Evaluación del Desempeño en los Entes Públicos, de acuerdo con su naturaleza jurídica y según corresponda, bajo los principios de la gestión para resultados, atendiendo lo dispuesto por el artículo 134 de la Constitución Política de los Estados Unidos Mexicanos y por la demás normativa aplicable</w:t>
      </w:r>
      <w:r w:rsidRPr="008B21BA">
        <w:rPr>
          <w:rFonts w:ascii="Palatino Linotype" w:hAnsi="Palatino Linotype"/>
          <w:i/>
          <w:sz w:val="22"/>
        </w:rPr>
        <w:t>;</w:t>
      </w:r>
    </w:p>
    <w:p w14:paraId="06750D70" w14:textId="04935E42"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XVIII.</w:t>
      </w:r>
      <w:r w:rsidRPr="008B21BA">
        <w:rPr>
          <w:rFonts w:ascii="Palatino Linotype" w:hAnsi="Palatino Linotype"/>
          <w:i/>
          <w:sz w:val="22"/>
        </w:rPr>
        <w:t xml:space="preserve"> Coordinar el seguimiento a los proyectos de inversión autorizados y a las inversiones en proceso de ejecución, desde su autorización hasta su conclusión física y evaluación posterior a su entrega;</w:t>
      </w:r>
    </w:p>
    <w:p w14:paraId="02F6B1DA" w14:textId="2493CACB"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lastRenderedPageBreak/>
        <w:t>XIX.</w:t>
      </w:r>
      <w:r w:rsidRPr="008B21BA">
        <w:rPr>
          <w:rFonts w:ascii="Palatino Linotype" w:hAnsi="Palatino Linotype"/>
          <w:i/>
          <w:sz w:val="22"/>
        </w:rPr>
        <w:t xml:space="preserve"> Coordinar la realización de diagnósticos y estudios de evaluación de políticas públicas, vinculando acciones de intercambio, cooperación y apoyo técnico, fomentando las buenas prácticas, el conocimiento y el desarrollo de capacidades técnicas para la mejora continua de la gestión pública en el Gobierno del Estado de México;</w:t>
      </w:r>
    </w:p>
    <w:p w14:paraId="3741D633" w14:textId="54D785CB"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XX.</w:t>
      </w:r>
      <w:r w:rsidRPr="008B21BA">
        <w:rPr>
          <w:rFonts w:ascii="Palatino Linotype" w:hAnsi="Palatino Linotype"/>
          <w:i/>
          <w:sz w:val="22"/>
        </w:rPr>
        <w:t xml:space="preserve"> </w:t>
      </w:r>
      <w:r w:rsidRPr="008B21BA">
        <w:rPr>
          <w:rFonts w:ascii="Palatino Linotype" w:hAnsi="Palatino Linotype"/>
          <w:i/>
          <w:sz w:val="22"/>
          <w:u w:val="single"/>
        </w:rPr>
        <w:t>Coordinar el Registro Estatal de Planes, Programas y Proyectos</w:t>
      </w:r>
      <w:r w:rsidRPr="008B21BA">
        <w:rPr>
          <w:rFonts w:ascii="Palatino Linotype" w:hAnsi="Palatino Linotype"/>
          <w:i/>
          <w:sz w:val="22"/>
        </w:rPr>
        <w:t>;</w:t>
      </w:r>
    </w:p>
    <w:p w14:paraId="204F3D98" w14:textId="6B34917D"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XXI.</w:t>
      </w:r>
      <w:r w:rsidRPr="008B21BA">
        <w:rPr>
          <w:rFonts w:ascii="Palatino Linotype" w:hAnsi="Palatino Linotype"/>
          <w:i/>
          <w:sz w:val="22"/>
        </w:rPr>
        <w:t xml:space="preserve"> Coordinar la elaboración del informe de avance trimestral de los programas presupuestarios y el informe anual de cumplimiento del Plan de Desarrollo del Estado de México;</w:t>
      </w:r>
    </w:p>
    <w:p w14:paraId="660379EC" w14:textId="1AFABE12" w:rsidR="00CA53FA" w:rsidRPr="008B21BA" w:rsidRDefault="00CA53FA" w:rsidP="00391AD0">
      <w:pPr>
        <w:spacing w:after="240"/>
        <w:ind w:left="426" w:right="474"/>
        <w:jc w:val="both"/>
        <w:rPr>
          <w:rFonts w:ascii="Palatino Linotype" w:hAnsi="Palatino Linotype"/>
          <w:i/>
          <w:sz w:val="22"/>
        </w:rPr>
      </w:pPr>
      <w:r w:rsidRPr="008B21BA">
        <w:rPr>
          <w:rFonts w:ascii="Palatino Linotype" w:hAnsi="Palatino Linotype"/>
          <w:b/>
          <w:i/>
          <w:sz w:val="22"/>
        </w:rPr>
        <w:t>XXII.</w:t>
      </w:r>
      <w:r w:rsidRPr="008B21BA">
        <w:rPr>
          <w:rFonts w:ascii="Palatino Linotype" w:hAnsi="Palatino Linotype"/>
          <w:i/>
          <w:sz w:val="22"/>
        </w:rPr>
        <w:t xml:space="preserve"> Someter a consideración de la persona titular de la Secretaría los requisitos para realizar la evaluación del análisis socioeconómico de los programas o proyectos de inversión; los que correspondan al análisis costo-beneficio; así como los del análisis de conveniencia de proyectos de inversión pública productiva bajo el esquema de asociación público-privada, y</w:t>
      </w:r>
    </w:p>
    <w:p w14:paraId="205A87D1" w14:textId="59B43068" w:rsidR="00CA53FA" w:rsidRPr="008B21BA" w:rsidRDefault="00CA53FA" w:rsidP="00391AD0">
      <w:pPr>
        <w:spacing w:after="240"/>
        <w:ind w:left="426" w:right="474"/>
        <w:jc w:val="both"/>
        <w:rPr>
          <w:rFonts w:ascii="Palatino Linotype" w:eastAsiaTheme="minorHAnsi" w:hAnsi="Palatino Linotype" w:cs="Arial"/>
          <w:i/>
          <w:sz w:val="22"/>
          <w:szCs w:val="22"/>
          <w:lang w:val="es-MX" w:eastAsia="es-MX"/>
        </w:rPr>
      </w:pPr>
      <w:r w:rsidRPr="008B21BA">
        <w:rPr>
          <w:rFonts w:ascii="Palatino Linotype" w:hAnsi="Palatino Linotype"/>
          <w:b/>
          <w:i/>
          <w:sz w:val="22"/>
        </w:rPr>
        <w:t>XXIII.</w:t>
      </w:r>
      <w:r w:rsidRPr="008B21BA">
        <w:rPr>
          <w:rFonts w:ascii="Palatino Linotype" w:hAnsi="Palatino Linotype"/>
          <w:i/>
          <w:sz w:val="22"/>
        </w:rPr>
        <w:t xml:space="preserve"> Las demás que le confieran otras disposiciones jurídicas y aquellas que le encomiende la persona titular de la Secretaría.</w:t>
      </w:r>
    </w:p>
    <w:p w14:paraId="2E694D9E" w14:textId="77777777" w:rsidR="00CA53FA" w:rsidRPr="008B21BA" w:rsidRDefault="00CA53FA" w:rsidP="00383473">
      <w:pPr>
        <w:pStyle w:val="Sinespaciado"/>
        <w:rPr>
          <w:rFonts w:eastAsiaTheme="minorHAnsi"/>
          <w:lang w:eastAsia="es-MX"/>
        </w:rPr>
      </w:pPr>
    </w:p>
    <w:p w14:paraId="24D9451D" w14:textId="4DD4B13A" w:rsidR="00CA53FA" w:rsidRDefault="00CA53FA" w:rsidP="00A66CE9">
      <w:pPr>
        <w:spacing w:line="360" w:lineRule="auto"/>
        <w:jc w:val="both"/>
        <w:rPr>
          <w:rFonts w:ascii="Palatino Linotype" w:eastAsiaTheme="minorHAnsi" w:hAnsi="Palatino Linotype" w:cs="Arial"/>
          <w:szCs w:val="22"/>
          <w:lang w:val="es-MX" w:eastAsia="es-MX"/>
        </w:rPr>
      </w:pPr>
      <w:r w:rsidRPr="008B21BA">
        <w:rPr>
          <w:rFonts w:ascii="Palatino Linotype" w:eastAsiaTheme="minorHAnsi" w:hAnsi="Palatino Linotype" w:cs="Arial"/>
          <w:szCs w:val="22"/>
          <w:lang w:val="es-MX" w:eastAsia="es-MX"/>
        </w:rPr>
        <w:t xml:space="preserve">En conclusión, si bien en cierto que la Subsecretaría de Planeación y Presupuesto de la Secretaría de Finanzas, planea, dirige, coordina, controla y evalúa la elaboración de planes, programas y el presupuesto de egresos; también lo es que, </w:t>
      </w:r>
      <w:r w:rsidRPr="008B21BA">
        <w:rPr>
          <w:rFonts w:ascii="Palatino Linotype" w:eastAsiaTheme="minorHAnsi" w:hAnsi="Palatino Linotype" w:cs="Arial"/>
          <w:b/>
          <w:szCs w:val="22"/>
          <w:u w:val="single"/>
          <w:lang w:val="es-MX" w:eastAsia="es-MX"/>
        </w:rPr>
        <w:t>los entes públicos deben proporcionar la información financiera, presupuestal, programática y económica para incluirla en la Cuenta Pública del Gobierno, Organismos Auxiliares y</w:t>
      </w:r>
      <w:r w:rsidR="00391AD0" w:rsidRPr="008B21BA">
        <w:rPr>
          <w:rFonts w:ascii="Palatino Linotype" w:eastAsiaTheme="minorHAnsi" w:hAnsi="Palatino Linotype" w:cs="Arial"/>
          <w:b/>
          <w:szCs w:val="22"/>
          <w:u w:val="single"/>
          <w:lang w:val="es-MX" w:eastAsia="es-MX"/>
        </w:rPr>
        <w:t xml:space="preserve"> Autónomos del Estado de México</w:t>
      </w:r>
      <w:r w:rsidR="00391AD0" w:rsidRPr="008B21BA">
        <w:rPr>
          <w:rFonts w:ascii="Palatino Linotype" w:eastAsiaTheme="minorHAnsi" w:hAnsi="Palatino Linotype" w:cs="Arial"/>
          <w:szCs w:val="22"/>
          <w:lang w:val="es-MX" w:eastAsia="es-MX"/>
        </w:rPr>
        <w:t xml:space="preserve">; por lo que, dicha información la genera cada uno de los entes públicos. </w:t>
      </w:r>
    </w:p>
    <w:p w14:paraId="570B0D3A" w14:textId="77777777" w:rsidR="00A66CE9" w:rsidRPr="00A66CE9" w:rsidRDefault="00A66CE9" w:rsidP="00A66CE9">
      <w:pPr>
        <w:spacing w:line="360" w:lineRule="auto"/>
        <w:jc w:val="both"/>
        <w:rPr>
          <w:rFonts w:ascii="Palatino Linotype" w:eastAsiaTheme="minorHAnsi" w:hAnsi="Palatino Linotype" w:cs="Arial"/>
          <w:szCs w:val="22"/>
          <w:lang w:val="es-MX" w:eastAsia="es-MX"/>
        </w:rPr>
      </w:pPr>
    </w:p>
    <w:p w14:paraId="21452B5F" w14:textId="4BF03258" w:rsidR="00FD3B73" w:rsidRPr="008B21BA" w:rsidRDefault="00CA53FA" w:rsidP="00F65CF8">
      <w:pPr>
        <w:spacing w:line="360" w:lineRule="auto"/>
        <w:jc w:val="both"/>
        <w:rPr>
          <w:rFonts w:ascii="Palatino Linotype" w:eastAsiaTheme="minorHAnsi" w:hAnsi="Palatino Linotype" w:cstheme="minorBidi"/>
          <w:szCs w:val="22"/>
          <w:lang w:val="es-MX" w:eastAsia="en-US"/>
        </w:rPr>
      </w:pPr>
      <w:r w:rsidRPr="008B21BA">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8B21BA">
        <w:rPr>
          <w:rFonts w:ascii="Palatino Linotype" w:eastAsiaTheme="minorHAnsi" w:hAnsi="Palatino Linotype" w:cstheme="minorBidi"/>
          <w:b/>
          <w:szCs w:val="22"/>
          <w:lang w:val="es-MX" w:eastAsia="en-US"/>
        </w:rPr>
        <w:t>Sujeto Obligado</w:t>
      </w:r>
      <w:r w:rsidRPr="008B21BA">
        <w:rPr>
          <w:rFonts w:ascii="Palatino Linotype" w:eastAsiaTheme="minorHAnsi" w:hAnsi="Palatino Linotype" w:cstheme="minorBidi"/>
          <w:szCs w:val="22"/>
          <w:lang w:val="es-MX" w:eastAsia="en-US"/>
        </w:rPr>
        <w:t xml:space="preserve">,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w:t>
      </w:r>
      <w:r w:rsidRPr="008B21BA">
        <w:rPr>
          <w:rFonts w:ascii="Palatino Linotype" w:eastAsiaTheme="minorHAnsi" w:hAnsi="Palatino Linotype" w:cstheme="minorBidi"/>
          <w:szCs w:val="22"/>
          <w:lang w:val="es-MX" w:eastAsia="en-US"/>
        </w:rPr>
        <w:lastRenderedPageBreak/>
        <w:t>los tratados internacionales de los que el Estado mexicano sea parte, en la Ley General, la Ley Estatal y demás disposiciones de la materia.</w:t>
      </w:r>
    </w:p>
    <w:p w14:paraId="759D9D12" w14:textId="77777777" w:rsidR="00FD3B73" w:rsidRPr="008B21BA" w:rsidRDefault="00FD3B73" w:rsidP="00F65CF8">
      <w:pPr>
        <w:spacing w:line="360" w:lineRule="auto"/>
        <w:jc w:val="both"/>
        <w:rPr>
          <w:rFonts w:ascii="Palatino Linotype" w:eastAsiaTheme="minorHAnsi" w:hAnsi="Palatino Linotype" w:cs="Arial"/>
          <w:szCs w:val="22"/>
          <w:lang w:val="es-MX" w:eastAsia="es-MX"/>
        </w:rPr>
      </w:pPr>
    </w:p>
    <w:p w14:paraId="17498067" w14:textId="58C83C0C" w:rsidR="00F65CF8" w:rsidRDefault="00F65CF8" w:rsidP="00F65CF8">
      <w:pPr>
        <w:spacing w:line="360" w:lineRule="auto"/>
        <w:jc w:val="both"/>
        <w:rPr>
          <w:rFonts w:ascii="Palatino Linotype" w:eastAsiaTheme="minorHAnsi" w:hAnsi="Palatino Linotype" w:cs="Arial"/>
          <w:szCs w:val="22"/>
          <w:lang w:val="es-MX" w:eastAsia="es-MX"/>
        </w:rPr>
      </w:pPr>
      <w:r w:rsidRPr="008B21BA">
        <w:rPr>
          <w:rFonts w:ascii="Palatino Linotype" w:eastAsiaTheme="minorHAnsi" w:hAnsi="Palatino Linotype" w:cs="Arial"/>
          <w:szCs w:val="22"/>
          <w:lang w:val="es-MX"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w:t>
      </w:r>
      <w:r w:rsidRPr="008B21BA">
        <w:rPr>
          <w:rFonts w:ascii="Palatino Linotype" w:eastAsiaTheme="minorHAnsi" w:hAnsi="Palatino Linotype" w:cs="Arial"/>
          <w:b/>
          <w:szCs w:val="22"/>
          <w:lang w:val="es-MX" w:eastAsia="es-MX"/>
        </w:rPr>
        <w:t>Sujeto Obligado</w:t>
      </w:r>
      <w:r w:rsidRPr="008B21BA">
        <w:rPr>
          <w:rFonts w:ascii="Palatino Linotype" w:eastAsiaTheme="minorHAnsi" w:hAnsi="Palatino Linotype" w:cs="Arial"/>
          <w:szCs w:val="22"/>
          <w:lang w:val="es-MX" w:eastAsia="es-MX"/>
        </w:rPr>
        <w:t xml:space="preserve"> distinto al que le fue presentada la solicitud, y a fin de no dilatar el derecho de acceso a la información, como ya fue establecido, se dejan a salvo los derechos del </w:t>
      </w:r>
      <w:r w:rsidRPr="008B21BA">
        <w:rPr>
          <w:rFonts w:ascii="Palatino Linotype" w:eastAsiaTheme="minorHAnsi" w:hAnsi="Palatino Linotype" w:cs="Arial"/>
          <w:b/>
          <w:szCs w:val="22"/>
          <w:lang w:val="es-MX" w:eastAsia="es-MX"/>
        </w:rPr>
        <w:t>Recurrente</w:t>
      </w:r>
      <w:r w:rsidRPr="008B21BA">
        <w:rPr>
          <w:rFonts w:ascii="Palatino Linotype" w:eastAsiaTheme="minorHAnsi" w:hAnsi="Palatino Linotype" w:cs="Arial"/>
          <w:szCs w:val="22"/>
          <w:lang w:val="es-MX" w:eastAsia="es-MX"/>
        </w:rPr>
        <w:t xml:space="preserve"> para que pueda realizar la solicitud de información ante el </w:t>
      </w:r>
      <w:r w:rsidRPr="008B21BA">
        <w:rPr>
          <w:rFonts w:ascii="Palatino Linotype" w:eastAsiaTheme="minorHAnsi" w:hAnsi="Palatino Linotype" w:cs="Arial"/>
          <w:b/>
          <w:szCs w:val="22"/>
          <w:lang w:val="es-MX" w:eastAsia="es-MX"/>
        </w:rPr>
        <w:t>Sujeto Obligado</w:t>
      </w:r>
      <w:r w:rsidRPr="008B21BA">
        <w:rPr>
          <w:rFonts w:ascii="Palatino Linotype" w:eastAsiaTheme="minorHAnsi" w:hAnsi="Palatino Linotype" w:cs="Arial"/>
          <w:szCs w:val="22"/>
          <w:lang w:val="es-MX" w:eastAsia="es-MX"/>
        </w:rPr>
        <w:t xml:space="preserve"> correspondiente.</w:t>
      </w:r>
    </w:p>
    <w:p w14:paraId="73A7B642" w14:textId="77777777" w:rsidR="00A66CE9" w:rsidRDefault="00A66CE9" w:rsidP="00F65CF8">
      <w:pPr>
        <w:spacing w:line="360" w:lineRule="auto"/>
        <w:jc w:val="both"/>
        <w:rPr>
          <w:rFonts w:ascii="Palatino Linotype" w:eastAsiaTheme="minorHAnsi" w:hAnsi="Palatino Linotype" w:cs="Arial"/>
          <w:szCs w:val="22"/>
          <w:lang w:val="es-MX" w:eastAsia="es-MX"/>
        </w:rPr>
      </w:pPr>
    </w:p>
    <w:p w14:paraId="79CFAB22" w14:textId="24003DD1" w:rsidR="00F65CF8" w:rsidRPr="00A66CE9" w:rsidRDefault="00A66CE9" w:rsidP="00F65CF8">
      <w:pPr>
        <w:spacing w:line="360" w:lineRule="auto"/>
        <w:jc w:val="both"/>
        <w:rPr>
          <w:rFonts w:ascii="Palatino Linotype" w:eastAsia="Calibri" w:hAnsi="Palatino Linotype" w:cs="Arial"/>
        </w:rPr>
      </w:pPr>
      <w:r w:rsidRPr="00A66CE9">
        <w:rPr>
          <w:rFonts w:ascii="Palatino Linotype" w:eastAsia="Calibri" w:hAnsi="Palatino Linotype" w:cs="Arial"/>
        </w:rPr>
        <w:t xml:space="preserve">Así, con fundamento en lo prescrito en los artículos; </w:t>
      </w:r>
      <w:r w:rsidRPr="00A66CE9">
        <w:rPr>
          <w:rFonts w:ascii="Palatino Linotype" w:eastAsia="Calibri" w:hAnsi="Palatino Linotype"/>
        </w:rPr>
        <w:t>2 fracción II, 29, 36 fracciones I y II, 176, 178, 179, 181, 185 fracción I, 186 y 188,</w:t>
      </w:r>
      <w:r w:rsidRPr="00A66CE9">
        <w:rPr>
          <w:rFonts w:ascii="Palatino Linotype" w:eastAsia="Calibri" w:hAnsi="Palatino Linotype" w:cs="Arial"/>
        </w:rPr>
        <w:t xml:space="preserve"> de la Ley de Transparencia y Acceso a la Información Pública del Estado de México y Municipios de aplicación supletoria; 1, 81, 82 fracciones I y III, 119, 127, 128, 129, 133 y 137, fracción II, de la Ley de Protección de Datos Personales en Posesión de Sujetos Obligados del Estado de México y Municipios</w:t>
      </w:r>
      <w:r w:rsidR="00F65CF8" w:rsidRPr="008B21BA">
        <w:rPr>
          <w:rFonts w:ascii="Palatino Linotype" w:hAnsi="Palatino Linotype"/>
        </w:rPr>
        <w:t xml:space="preserve">, en mérito de lo expuesto en líneas anteriores, </w:t>
      </w:r>
      <w:r w:rsidR="00F65CF8" w:rsidRPr="008B21BA">
        <w:rPr>
          <w:rFonts w:ascii="Palatino Linotype" w:hAnsi="Palatino Linotype"/>
          <w:noProof/>
          <w:lang w:eastAsia="es-MX"/>
        </w:rPr>
        <w:t xml:space="preserve">resultan </w:t>
      </w:r>
      <w:r w:rsidR="00F65CF8" w:rsidRPr="008B21BA">
        <w:rPr>
          <w:rFonts w:ascii="Palatino Linotype" w:hAnsi="Palatino Linotype"/>
          <w:b/>
          <w:noProof/>
          <w:lang w:eastAsia="es-MX"/>
        </w:rPr>
        <w:t>infundadas</w:t>
      </w:r>
      <w:r w:rsidR="00F65CF8" w:rsidRPr="008B21BA">
        <w:rPr>
          <w:rFonts w:ascii="Palatino Linotype" w:hAnsi="Palatino Linotype"/>
          <w:noProof/>
          <w:lang w:eastAsia="es-MX"/>
        </w:rPr>
        <w:t xml:space="preserve"> las razones o motivos de inconformidad que arguye la parte </w:t>
      </w:r>
      <w:r w:rsidR="00F65CF8" w:rsidRPr="008B21BA">
        <w:rPr>
          <w:rFonts w:ascii="Palatino Linotype" w:hAnsi="Palatino Linotype"/>
          <w:b/>
          <w:noProof/>
          <w:lang w:eastAsia="es-MX"/>
        </w:rPr>
        <w:t>Recurrente</w:t>
      </w:r>
      <w:r w:rsidR="00F65CF8" w:rsidRPr="008B21BA">
        <w:rPr>
          <w:rFonts w:ascii="Palatino Linotype" w:hAnsi="Palatino Linotype"/>
          <w:noProof/>
          <w:lang w:eastAsia="es-MX"/>
        </w:rPr>
        <w:t xml:space="preserve">, </w:t>
      </w:r>
      <w:r w:rsidR="00F65CF8" w:rsidRPr="008B21BA">
        <w:rPr>
          <w:rFonts w:ascii="Palatino Linotype" w:hAnsi="Palatino Linotype" w:cs="Arial"/>
        </w:rPr>
        <w:t>por ello</w:t>
      </w:r>
      <w:r w:rsidR="00383473">
        <w:rPr>
          <w:rFonts w:ascii="Palatino Linotype" w:hAnsi="Palatino Linotype" w:cs="Arial"/>
        </w:rPr>
        <w:t xml:space="preserve">, </w:t>
      </w:r>
      <w:r w:rsidR="00F65CF8" w:rsidRPr="008B21BA">
        <w:rPr>
          <w:rFonts w:ascii="Palatino Linotype" w:hAnsi="Palatino Linotype" w:cs="Arial"/>
        </w:rPr>
        <w:t xml:space="preserve">se </w:t>
      </w:r>
      <w:r w:rsidR="00F65CF8" w:rsidRPr="008B21BA">
        <w:rPr>
          <w:rFonts w:ascii="Palatino Linotype" w:hAnsi="Palatino Linotype" w:cs="Arial"/>
          <w:b/>
        </w:rPr>
        <w:t>CONFIRMA</w:t>
      </w:r>
      <w:r w:rsidR="00F65CF8" w:rsidRPr="008B21BA">
        <w:rPr>
          <w:rFonts w:ascii="Palatino Linotype" w:hAnsi="Palatino Linotype" w:cs="Arial"/>
        </w:rPr>
        <w:t xml:space="preserve"> la respuesta a la solicitud de información pública</w:t>
      </w:r>
      <w:r w:rsidR="00F65CF8" w:rsidRPr="008B21BA">
        <w:rPr>
          <w:rFonts w:ascii="Palatino Linotype" w:hAnsi="Palatino Linotype" w:cs="Arial"/>
          <w:b/>
        </w:rPr>
        <w:t xml:space="preserve"> </w:t>
      </w:r>
      <w:r w:rsidRPr="00A66CE9">
        <w:rPr>
          <w:rFonts w:ascii="Palatino Linotype" w:hAnsi="Palatino Linotype" w:cs="Arial"/>
          <w:b/>
        </w:rPr>
        <w:t>00164/SF/IP/2025</w:t>
      </w:r>
      <w:r w:rsidR="00F65CF8" w:rsidRPr="008B21BA">
        <w:rPr>
          <w:rFonts w:ascii="Palatino Linotype" w:hAnsi="Palatino Linotype" w:cs="Arial"/>
        </w:rPr>
        <w:t>,</w:t>
      </w:r>
      <w:r w:rsidR="00F65CF8" w:rsidRPr="008B21BA">
        <w:rPr>
          <w:rFonts w:ascii="Palatino Linotype" w:hAnsi="Palatino Linotype" w:cs="Arial"/>
          <w:b/>
        </w:rPr>
        <w:t xml:space="preserve"> </w:t>
      </w:r>
      <w:r w:rsidR="00F65CF8" w:rsidRPr="008B21BA">
        <w:rPr>
          <w:rFonts w:ascii="Palatino Linotype" w:hAnsi="Palatino Linotype" w:cs="Arial"/>
          <w:bCs/>
        </w:rPr>
        <w:t>que ha sido materia del presente fallo</w:t>
      </w:r>
      <w:r w:rsidR="00F65CF8" w:rsidRPr="008B21BA">
        <w:rPr>
          <w:rFonts w:ascii="Palatino Linotype" w:hAnsi="Palatino Linotype" w:cs="Arial"/>
        </w:rPr>
        <w:t>.</w:t>
      </w:r>
    </w:p>
    <w:p w14:paraId="2EE52EA4" w14:textId="77777777" w:rsidR="00F65CF8" w:rsidRPr="008B21BA" w:rsidRDefault="00F65CF8" w:rsidP="00F65CF8">
      <w:pPr>
        <w:spacing w:line="360" w:lineRule="auto"/>
        <w:jc w:val="both"/>
        <w:rPr>
          <w:rFonts w:ascii="Palatino Linotype" w:hAnsi="Palatino Linotype" w:cs="Arial"/>
        </w:rPr>
      </w:pPr>
    </w:p>
    <w:p w14:paraId="00BE5BF5" w14:textId="1725F549" w:rsidR="00F65CF8" w:rsidRPr="008B21BA" w:rsidRDefault="00F65CF8" w:rsidP="00E93584">
      <w:pPr>
        <w:pStyle w:val="Sinespaciado"/>
        <w:spacing w:line="360" w:lineRule="auto"/>
        <w:jc w:val="both"/>
        <w:rPr>
          <w:rFonts w:ascii="Palatino Linotype" w:hAnsi="Palatino Linotype"/>
        </w:rPr>
      </w:pPr>
      <w:r w:rsidRPr="008B21BA">
        <w:rPr>
          <w:rFonts w:ascii="Palatino Linotype" w:hAnsi="Palatino Linotype"/>
        </w:rPr>
        <w:t>Por lo antes expuesto y fundado es de resolverse y,</w:t>
      </w:r>
    </w:p>
    <w:p w14:paraId="28886B38" w14:textId="77777777" w:rsidR="00383473" w:rsidRDefault="00383473" w:rsidP="00E93584">
      <w:pPr>
        <w:pStyle w:val="Sinespaciado"/>
        <w:spacing w:line="360" w:lineRule="auto"/>
        <w:jc w:val="both"/>
        <w:rPr>
          <w:rFonts w:ascii="Palatino Linotype" w:hAnsi="Palatino Linotype"/>
        </w:rPr>
      </w:pPr>
    </w:p>
    <w:p w14:paraId="79DF96C1" w14:textId="77777777" w:rsidR="00383473" w:rsidRDefault="00383473" w:rsidP="00E93584">
      <w:pPr>
        <w:pStyle w:val="Sinespaciado"/>
        <w:spacing w:line="360" w:lineRule="auto"/>
        <w:jc w:val="both"/>
        <w:rPr>
          <w:rFonts w:ascii="Palatino Linotype" w:hAnsi="Palatino Linotype"/>
        </w:rPr>
      </w:pPr>
    </w:p>
    <w:p w14:paraId="5F69EE60" w14:textId="77777777" w:rsidR="00383473" w:rsidRPr="008B21BA" w:rsidRDefault="00383473" w:rsidP="00E93584">
      <w:pPr>
        <w:pStyle w:val="Sinespaciado"/>
        <w:spacing w:line="360" w:lineRule="auto"/>
        <w:jc w:val="both"/>
        <w:rPr>
          <w:rFonts w:ascii="Palatino Linotype" w:hAnsi="Palatino Linotype"/>
        </w:rPr>
      </w:pPr>
    </w:p>
    <w:p w14:paraId="5B926CD6" w14:textId="77777777" w:rsidR="00E93584" w:rsidRPr="008B21BA" w:rsidRDefault="00E93584" w:rsidP="00E93584">
      <w:pPr>
        <w:spacing w:line="360" w:lineRule="auto"/>
        <w:jc w:val="center"/>
        <w:rPr>
          <w:rFonts w:ascii="Palatino Linotype" w:hAnsi="Palatino Linotype"/>
          <w:b/>
          <w:sz w:val="28"/>
          <w:lang w:val="pt-BR"/>
        </w:rPr>
      </w:pPr>
      <w:r w:rsidRPr="008B21BA">
        <w:rPr>
          <w:rFonts w:ascii="Palatino Linotype" w:hAnsi="Palatino Linotype"/>
          <w:b/>
          <w:sz w:val="28"/>
          <w:lang w:val="pt-BR"/>
        </w:rPr>
        <w:lastRenderedPageBreak/>
        <w:t>S E   R E S U E L V E</w:t>
      </w:r>
    </w:p>
    <w:p w14:paraId="1B663333" w14:textId="77777777" w:rsidR="00E93584" w:rsidRPr="008B21BA" w:rsidRDefault="00E93584" w:rsidP="008609C8">
      <w:pPr>
        <w:pStyle w:val="Sinespaciado"/>
      </w:pPr>
    </w:p>
    <w:p w14:paraId="3AC6DCC2" w14:textId="0A4338C5" w:rsidR="00E93584" w:rsidRPr="008B21BA" w:rsidRDefault="00E93584" w:rsidP="00E93584">
      <w:pPr>
        <w:pStyle w:val="Textoindependiente"/>
        <w:spacing w:after="0" w:line="360" w:lineRule="auto"/>
        <w:jc w:val="both"/>
        <w:rPr>
          <w:rFonts w:ascii="Palatino Linotype" w:hAnsi="Palatino Linotype"/>
          <w:sz w:val="24"/>
          <w:szCs w:val="24"/>
        </w:rPr>
      </w:pPr>
      <w:r w:rsidRPr="008B21BA">
        <w:rPr>
          <w:rFonts w:ascii="Palatino Linotype" w:hAnsi="Palatino Linotype"/>
          <w:b/>
          <w:sz w:val="28"/>
          <w:szCs w:val="24"/>
        </w:rPr>
        <w:t>PRIMERO.</w:t>
      </w:r>
      <w:r w:rsidRPr="008B21BA">
        <w:rPr>
          <w:rFonts w:ascii="Palatino Linotype" w:hAnsi="Palatino Linotype"/>
          <w:b/>
          <w:sz w:val="24"/>
          <w:szCs w:val="24"/>
        </w:rPr>
        <w:t xml:space="preserve"> </w:t>
      </w:r>
      <w:r w:rsidRPr="008B21BA">
        <w:rPr>
          <w:rFonts w:ascii="Palatino Linotype" w:hAnsi="Palatino Linotype"/>
          <w:sz w:val="24"/>
          <w:szCs w:val="24"/>
        </w:rPr>
        <w:t xml:space="preserve">Se </w:t>
      </w:r>
      <w:r w:rsidRPr="008B21BA">
        <w:rPr>
          <w:rFonts w:ascii="Palatino Linotype" w:hAnsi="Palatino Linotype"/>
          <w:b/>
          <w:sz w:val="24"/>
          <w:szCs w:val="24"/>
        </w:rPr>
        <w:t>CONFIRMA</w:t>
      </w:r>
      <w:r w:rsidRPr="008B21BA">
        <w:rPr>
          <w:rFonts w:ascii="Palatino Linotype" w:hAnsi="Palatino Linotype"/>
          <w:sz w:val="24"/>
          <w:szCs w:val="24"/>
        </w:rPr>
        <w:t xml:space="preserve"> la respuesta del </w:t>
      </w:r>
      <w:r w:rsidRPr="008B21BA">
        <w:rPr>
          <w:rFonts w:ascii="Palatino Linotype" w:hAnsi="Palatino Linotype"/>
          <w:b/>
          <w:sz w:val="24"/>
          <w:szCs w:val="24"/>
        </w:rPr>
        <w:t xml:space="preserve">Sujeto Obligado </w:t>
      </w:r>
      <w:r w:rsidRPr="008B21BA">
        <w:rPr>
          <w:rFonts w:ascii="Palatino Linotype" w:hAnsi="Palatino Linotype"/>
          <w:bCs/>
          <w:sz w:val="24"/>
          <w:szCs w:val="24"/>
        </w:rPr>
        <w:t xml:space="preserve">a la solicitud de información </w:t>
      </w:r>
      <w:r w:rsidR="00A66CE9" w:rsidRPr="00A66CE9">
        <w:rPr>
          <w:rFonts w:ascii="Palatino Linotype" w:hAnsi="Palatino Linotype" w:cs="Arial"/>
          <w:b/>
          <w:sz w:val="24"/>
          <w:szCs w:val="24"/>
        </w:rPr>
        <w:t>00164/SF/IP/2025</w:t>
      </w:r>
      <w:r w:rsidRPr="008B21BA">
        <w:rPr>
          <w:rFonts w:ascii="Palatino Linotype" w:hAnsi="Palatino Linotype"/>
          <w:sz w:val="24"/>
          <w:szCs w:val="24"/>
        </w:rPr>
        <w:t xml:space="preserve">, por resultar infundadas las razones o motivos de inconformidad hechos valer por el </w:t>
      </w:r>
      <w:r w:rsidRPr="008B21BA">
        <w:rPr>
          <w:rFonts w:ascii="Palatino Linotype" w:hAnsi="Palatino Linotype"/>
          <w:b/>
          <w:sz w:val="24"/>
          <w:szCs w:val="24"/>
        </w:rPr>
        <w:t>Recurrente</w:t>
      </w:r>
      <w:r w:rsidRPr="008B21BA">
        <w:rPr>
          <w:rFonts w:ascii="Palatino Linotype" w:hAnsi="Palatino Linotype"/>
          <w:sz w:val="24"/>
          <w:szCs w:val="24"/>
        </w:rPr>
        <w:t xml:space="preserve">, en términos del Considerando </w:t>
      </w:r>
      <w:r w:rsidR="00230100" w:rsidRPr="008B21BA">
        <w:rPr>
          <w:rFonts w:ascii="Palatino Linotype" w:hAnsi="Palatino Linotype"/>
          <w:b/>
          <w:sz w:val="24"/>
          <w:szCs w:val="24"/>
        </w:rPr>
        <w:t>CUAR</w:t>
      </w:r>
      <w:r w:rsidRPr="008B21BA">
        <w:rPr>
          <w:rFonts w:ascii="Palatino Linotype" w:hAnsi="Palatino Linotype"/>
          <w:b/>
          <w:sz w:val="24"/>
          <w:szCs w:val="24"/>
        </w:rPr>
        <w:t xml:space="preserve">TO </w:t>
      </w:r>
      <w:r w:rsidRPr="008B21BA">
        <w:rPr>
          <w:rFonts w:ascii="Palatino Linotype" w:hAnsi="Palatino Linotype"/>
          <w:sz w:val="24"/>
          <w:szCs w:val="24"/>
        </w:rPr>
        <w:t>de esta resolución.</w:t>
      </w:r>
    </w:p>
    <w:p w14:paraId="7A0FBEE9" w14:textId="77777777" w:rsidR="00E93584" w:rsidRPr="008B21BA" w:rsidRDefault="00E93584" w:rsidP="00E93584">
      <w:pPr>
        <w:pStyle w:val="Textoindependiente"/>
        <w:spacing w:after="0" w:line="360" w:lineRule="auto"/>
        <w:jc w:val="both"/>
        <w:rPr>
          <w:rFonts w:ascii="Palatino Linotype" w:hAnsi="Palatino Linotype"/>
          <w:sz w:val="24"/>
          <w:szCs w:val="24"/>
        </w:rPr>
      </w:pPr>
    </w:p>
    <w:p w14:paraId="5129F89C" w14:textId="4FE58521" w:rsidR="00E93584" w:rsidRDefault="00E93584" w:rsidP="00E93584">
      <w:pPr>
        <w:pStyle w:val="Textoindependiente"/>
        <w:spacing w:after="0" w:line="360" w:lineRule="auto"/>
        <w:jc w:val="both"/>
        <w:rPr>
          <w:rFonts w:ascii="Palatino Linotype" w:hAnsi="Palatino Linotype"/>
          <w:sz w:val="24"/>
          <w:szCs w:val="24"/>
        </w:rPr>
      </w:pPr>
      <w:r w:rsidRPr="008B21BA">
        <w:rPr>
          <w:rFonts w:ascii="Palatino Linotype" w:hAnsi="Palatino Linotype"/>
          <w:b/>
          <w:sz w:val="28"/>
          <w:szCs w:val="24"/>
        </w:rPr>
        <w:t>SEGUNDO.</w:t>
      </w:r>
      <w:r w:rsidRPr="008B21BA">
        <w:rPr>
          <w:rFonts w:ascii="Palatino Linotype" w:hAnsi="Palatino Linotype"/>
          <w:sz w:val="28"/>
          <w:szCs w:val="24"/>
        </w:rPr>
        <w:t xml:space="preserve"> </w:t>
      </w:r>
      <w:r w:rsidRPr="008B21BA">
        <w:rPr>
          <w:rFonts w:ascii="Palatino Linotype" w:hAnsi="Palatino Linotype"/>
          <w:b/>
          <w:sz w:val="24"/>
          <w:szCs w:val="24"/>
        </w:rPr>
        <w:t>NOTIFÍQUESE</w:t>
      </w:r>
      <w:r w:rsidRPr="008B21BA">
        <w:rPr>
          <w:rFonts w:ascii="Palatino Linotype" w:hAnsi="Palatino Linotype"/>
          <w:sz w:val="24"/>
          <w:szCs w:val="24"/>
        </w:rPr>
        <w:t xml:space="preserve"> vía Sistema de Acceso a la Información Mexiquense </w:t>
      </w:r>
      <w:r w:rsidRPr="008B21BA">
        <w:rPr>
          <w:rFonts w:ascii="Palatino Linotype" w:hAnsi="Palatino Linotype"/>
          <w:b/>
          <w:sz w:val="24"/>
          <w:szCs w:val="24"/>
        </w:rPr>
        <w:t>(SAIMEX)</w:t>
      </w:r>
      <w:r w:rsidR="00230100" w:rsidRPr="008B21BA">
        <w:rPr>
          <w:rFonts w:ascii="Palatino Linotype" w:hAnsi="Palatino Linotype"/>
          <w:sz w:val="24"/>
          <w:szCs w:val="24"/>
        </w:rPr>
        <w:t xml:space="preserve"> </w:t>
      </w:r>
      <w:r w:rsidRPr="008B21BA">
        <w:rPr>
          <w:rFonts w:ascii="Palatino Linotype" w:hAnsi="Palatino Linotype"/>
          <w:sz w:val="24"/>
          <w:szCs w:val="24"/>
        </w:rPr>
        <w:t xml:space="preserve">la presente resolución al Titular de la Unidad de Transparencia del </w:t>
      </w:r>
      <w:r w:rsidRPr="008B21BA">
        <w:rPr>
          <w:rFonts w:ascii="Palatino Linotype" w:hAnsi="Palatino Linotype"/>
          <w:b/>
          <w:sz w:val="24"/>
          <w:szCs w:val="24"/>
        </w:rPr>
        <w:t>Sujeto Obligado</w:t>
      </w:r>
      <w:r w:rsidRPr="008B21BA">
        <w:rPr>
          <w:rFonts w:ascii="Palatino Linotype" w:hAnsi="Palatino Linotype"/>
          <w:sz w:val="24"/>
          <w:szCs w:val="24"/>
        </w:rPr>
        <w:t>, para su conocimiento.</w:t>
      </w:r>
    </w:p>
    <w:p w14:paraId="7DA1C8E4" w14:textId="77777777" w:rsidR="00A66CE9" w:rsidRPr="008B21BA" w:rsidRDefault="00A66CE9" w:rsidP="00E93584">
      <w:pPr>
        <w:pStyle w:val="Textoindependiente"/>
        <w:spacing w:after="0" w:line="360" w:lineRule="auto"/>
        <w:jc w:val="both"/>
        <w:rPr>
          <w:rFonts w:ascii="Palatino Linotype" w:hAnsi="Palatino Linotype"/>
          <w:sz w:val="24"/>
          <w:szCs w:val="24"/>
        </w:rPr>
      </w:pPr>
    </w:p>
    <w:p w14:paraId="26F33908" w14:textId="160C07B6" w:rsidR="00BE68FA" w:rsidRPr="008B21BA" w:rsidRDefault="00E93584" w:rsidP="00F814A4">
      <w:pPr>
        <w:pStyle w:val="Textoindependiente"/>
        <w:spacing w:after="0" w:line="360" w:lineRule="auto"/>
        <w:jc w:val="both"/>
        <w:rPr>
          <w:rFonts w:ascii="Palatino Linotype" w:hAnsi="Palatino Linotype"/>
          <w:sz w:val="24"/>
          <w:szCs w:val="24"/>
        </w:rPr>
      </w:pPr>
      <w:r w:rsidRPr="008B21BA">
        <w:rPr>
          <w:rFonts w:ascii="Palatino Linotype" w:hAnsi="Palatino Linotype"/>
          <w:b/>
          <w:sz w:val="28"/>
          <w:szCs w:val="24"/>
        </w:rPr>
        <w:t>TERCERO.</w:t>
      </w:r>
      <w:r w:rsidRPr="008B21BA">
        <w:rPr>
          <w:rFonts w:ascii="Palatino Linotype" w:hAnsi="Palatino Linotype"/>
          <w:sz w:val="24"/>
          <w:szCs w:val="24"/>
        </w:rPr>
        <w:t xml:space="preserve"> </w:t>
      </w:r>
      <w:r w:rsidRPr="008B21BA">
        <w:rPr>
          <w:rFonts w:ascii="Palatino Linotype" w:hAnsi="Palatino Linotype"/>
          <w:b/>
          <w:sz w:val="24"/>
          <w:szCs w:val="24"/>
        </w:rPr>
        <w:t>NOTIFÍQUESE</w:t>
      </w:r>
      <w:r w:rsidRPr="008B21BA">
        <w:rPr>
          <w:rFonts w:ascii="Palatino Linotype" w:hAnsi="Palatino Linotype"/>
          <w:sz w:val="24"/>
          <w:szCs w:val="24"/>
        </w:rPr>
        <w:t xml:space="preserve"> vía Sistema de Acceso a la Información Mexiquense </w:t>
      </w:r>
      <w:r w:rsidRPr="008B21BA">
        <w:rPr>
          <w:rFonts w:ascii="Palatino Linotype" w:hAnsi="Palatino Linotype"/>
          <w:b/>
          <w:sz w:val="24"/>
          <w:szCs w:val="24"/>
        </w:rPr>
        <w:t>(SAIMEX)</w:t>
      </w:r>
      <w:r w:rsidR="00AD66D3">
        <w:rPr>
          <w:rFonts w:ascii="Palatino Linotype" w:hAnsi="Palatino Linotype"/>
          <w:b/>
          <w:sz w:val="24"/>
          <w:szCs w:val="24"/>
        </w:rPr>
        <w:t xml:space="preserve"> </w:t>
      </w:r>
      <w:r w:rsidRPr="008B21BA">
        <w:rPr>
          <w:rFonts w:ascii="Palatino Linotype" w:hAnsi="Palatino Linotype"/>
          <w:sz w:val="24"/>
          <w:szCs w:val="24"/>
        </w:rPr>
        <w:t>a</w:t>
      </w:r>
      <w:r w:rsidR="00230100" w:rsidRPr="008B21BA">
        <w:rPr>
          <w:rFonts w:ascii="Palatino Linotype" w:hAnsi="Palatino Linotype"/>
          <w:sz w:val="24"/>
          <w:szCs w:val="24"/>
        </w:rPr>
        <w:t xml:space="preserve"> la parte</w:t>
      </w:r>
      <w:r w:rsidRPr="008B21BA">
        <w:rPr>
          <w:rFonts w:ascii="Palatino Linotype" w:hAnsi="Palatino Linotype"/>
          <w:sz w:val="24"/>
          <w:szCs w:val="24"/>
        </w:rPr>
        <w:t xml:space="preserve"> </w:t>
      </w:r>
      <w:r w:rsidRPr="008B21BA">
        <w:rPr>
          <w:rFonts w:ascii="Palatino Linotype" w:hAnsi="Palatino Linotype"/>
          <w:b/>
          <w:sz w:val="24"/>
          <w:szCs w:val="24"/>
        </w:rPr>
        <w:t xml:space="preserve">Recurrente </w:t>
      </w:r>
      <w:r w:rsidRPr="008B21BA">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496096F0" w14:textId="77777777" w:rsidR="0001640F" w:rsidRPr="008B21BA" w:rsidRDefault="0001640F" w:rsidP="00F814A4">
      <w:pPr>
        <w:pStyle w:val="Textoindependiente"/>
        <w:spacing w:after="0" w:line="360" w:lineRule="auto"/>
        <w:jc w:val="both"/>
        <w:rPr>
          <w:rFonts w:ascii="Palatino Linotype" w:hAnsi="Palatino Linotype"/>
          <w:sz w:val="24"/>
          <w:szCs w:val="24"/>
        </w:rPr>
      </w:pPr>
    </w:p>
    <w:p w14:paraId="2C59DFB6" w14:textId="6A11C829" w:rsidR="00054E04" w:rsidRPr="008B21BA" w:rsidRDefault="0029071C" w:rsidP="00EE7775">
      <w:pPr>
        <w:spacing w:line="360" w:lineRule="auto"/>
        <w:jc w:val="both"/>
        <w:rPr>
          <w:rFonts w:ascii="Palatino Linotype" w:eastAsiaTheme="minorHAnsi" w:hAnsi="Palatino Linotype" w:cs="Arial"/>
          <w:lang w:val="es-MX" w:eastAsia="en-US"/>
        </w:rPr>
      </w:pPr>
      <w:r w:rsidRPr="008B21BA">
        <w:rPr>
          <w:rFonts w:ascii="Palatino Linotype" w:eastAsiaTheme="minorHAnsi" w:hAnsi="Palatino Linotype" w:cs="Arial"/>
          <w:lang w:val="es-MX" w:eastAsia="en-US"/>
        </w:rPr>
        <w:t xml:space="preserve">ASÍ LO RESUELVE, POR </w:t>
      </w:r>
      <w:r w:rsidR="009B7E91" w:rsidRPr="008B21BA">
        <w:rPr>
          <w:rFonts w:ascii="Palatino Linotype" w:eastAsiaTheme="minorHAnsi" w:hAnsi="Palatino Linotype" w:cs="Arial"/>
          <w:lang w:val="es-MX" w:eastAsia="en-US"/>
        </w:rPr>
        <w:t>UNANIMIDAD</w:t>
      </w:r>
      <w:r w:rsidRPr="008B21BA">
        <w:rPr>
          <w:rFonts w:ascii="Palatino Linotype" w:eastAsiaTheme="minorHAnsi" w:hAnsi="Palatino Linotype" w:cs="Arial"/>
          <w:lang w:val="es-MX" w:eastAsia="en-US"/>
        </w:rPr>
        <w:t xml:space="preserve"> DE VOTOS, EL PLENO DEL</w:t>
      </w:r>
      <w:r w:rsidRPr="008B21B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8B21BA">
        <w:rPr>
          <w:rFonts w:ascii="Palatino Linotype" w:eastAsiaTheme="minorHAnsi" w:hAnsi="Palatino Linotype" w:cs="Arial"/>
          <w:lang w:val="es-MX" w:eastAsia="en-US"/>
        </w:rPr>
        <w:t>, CONFORMADO POR LOS COMISIONADOS JOSÉ MARTÍNEZ VILCHIS; MARÍA DEL ROSARIO MEJÍA AYALA</w:t>
      </w:r>
      <w:r w:rsidR="007230F0">
        <w:rPr>
          <w:rFonts w:ascii="Palatino Linotype" w:eastAsiaTheme="minorHAnsi" w:hAnsi="Palatino Linotype" w:cs="Arial"/>
          <w:lang w:val="es-MX" w:eastAsia="en-US"/>
        </w:rPr>
        <w:t xml:space="preserve"> (EMITIENDO OPINIÓN PARTICULAR)</w:t>
      </w:r>
      <w:r w:rsidR="007230F0" w:rsidRPr="008B21BA">
        <w:rPr>
          <w:rFonts w:ascii="Palatino Linotype" w:eastAsiaTheme="minorHAnsi" w:hAnsi="Palatino Linotype" w:cs="Arial"/>
          <w:lang w:val="es-MX" w:eastAsia="en-US"/>
        </w:rPr>
        <w:t xml:space="preserve">; </w:t>
      </w:r>
      <w:r w:rsidRPr="008B21BA">
        <w:rPr>
          <w:rFonts w:ascii="Palatino Linotype" w:eastAsiaTheme="minorHAnsi" w:hAnsi="Palatino Linotype" w:cs="Arial"/>
          <w:lang w:val="es-MX" w:eastAsia="en-US"/>
        </w:rPr>
        <w:t>SHARON CRISTINA MORALES MARTÍNEZ</w:t>
      </w:r>
      <w:r w:rsidR="007230F0">
        <w:rPr>
          <w:rFonts w:ascii="Palatino Linotype" w:eastAsiaTheme="minorHAnsi" w:hAnsi="Palatino Linotype" w:cs="Arial"/>
          <w:lang w:val="es-MX" w:eastAsia="en-US"/>
        </w:rPr>
        <w:t xml:space="preserve"> (AUSENCIA JUSTIFICADA)</w:t>
      </w:r>
      <w:r w:rsidR="00C4326C" w:rsidRPr="008B21BA">
        <w:rPr>
          <w:rFonts w:ascii="Palatino Linotype" w:eastAsiaTheme="minorHAnsi" w:hAnsi="Palatino Linotype" w:cs="Arial"/>
          <w:lang w:val="es-MX" w:eastAsia="en-US"/>
        </w:rPr>
        <w:t xml:space="preserve">; </w:t>
      </w:r>
      <w:r w:rsidRPr="008B21BA">
        <w:rPr>
          <w:rFonts w:ascii="Palatino Linotype" w:eastAsiaTheme="minorHAnsi" w:hAnsi="Palatino Linotype" w:cs="Arial"/>
          <w:lang w:val="es-MX" w:eastAsia="en-US"/>
        </w:rPr>
        <w:t>LUIS GUSTAVO PARRA NORIEGA</w:t>
      </w:r>
      <w:r w:rsidR="0001640F" w:rsidRPr="008B21BA">
        <w:rPr>
          <w:rFonts w:ascii="Palatino Linotype" w:eastAsiaTheme="minorHAnsi" w:hAnsi="Palatino Linotype" w:cs="Arial"/>
          <w:lang w:val="es-MX" w:eastAsia="en-US"/>
        </w:rPr>
        <w:t xml:space="preserve"> </w:t>
      </w:r>
      <w:r w:rsidRPr="008B21BA">
        <w:rPr>
          <w:rFonts w:ascii="Palatino Linotype" w:eastAsiaTheme="minorHAnsi" w:hAnsi="Palatino Linotype" w:cs="Arial"/>
          <w:lang w:val="es-MX" w:eastAsia="en-US"/>
        </w:rPr>
        <w:t>Y GUADALUPE RAMÍREZ PEÑA</w:t>
      </w:r>
      <w:r w:rsidR="007230F0">
        <w:rPr>
          <w:rFonts w:ascii="Palatino Linotype" w:eastAsiaTheme="minorHAnsi" w:hAnsi="Palatino Linotype" w:cs="Arial"/>
          <w:lang w:val="es-MX" w:eastAsia="en-US"/>
        </w:rPr>
        <w:t xml:space="preserve"> (AUSENCIA JUSTIFICADA)</w:t>
      </w:r>
      <w:r w:rsidRPr="008B21BA">
        <w:rPr>
          <w:rFonts w:ascii="Palatino Linotype" w:eastAsiaTheme="minorHAnsi" w:hAnsi="Palatino Linotype" w:cs="Arial"/>
          <w:lang w:val="es-MX" w:eastAsia="en-US"/>
        </w:rPr>
        <w:t xml:space="preserve">; </w:t>
      </w:r>
      <w:r w:rsidRPr="008B21BA">
        <w:rPr>
          <w:rFonts w:ascii="Palatino Linotype" w:eastAsiaTheme="minorHAnsi" w:hAnsi="Palatino Linotype" w:cs="Arial"/>
          <w:lang w:val="es-MX" w:eastAsia="en-US"/>
        </w:rPr>
        <w:lastRenderedPageBreak/>
        <w:t xml:space="preserve">EN LA </w:t>
      </w:r>
      <w:r w:rsidR="0038039E" w:rsidRPr="008B21BA">
        <w:rPr>
          <w:rFonts w:ascii="Palatino Linotype" w:hAnsi="Palatino Linotype" w:cs="Arial"/>
        </w:rPr>
        <w:t>DÉCIMA SEXTA</w:t>
      </w:r>
      <w:r w:rsidR="00230100" w:rsidRPr="008B21BA">
        <w:rPr>
          <w:rFonts w:ascii="Palatino Linotype" w:hAnsi="Palatino Linotype" w:cs="Arial"/>
        </w:rPr>
        <w:t xml:space="preserve"> SESIÓN ORDINARIA CEL</w:t>
      </w:r>
      <w:r w:rsidR="00663AF3" w:rsidRPr="008B21BA">
        <w:rPr>
          <w:rFonts w:ascii="Palatino Linotype" w:hAnsi="Palatino Linotype" w:cs="Arial"/>
        </w:rPr>
        <w:t xml:space="preserve">EBRADA EL </w:t>
      </w:r>
      <w:r w:rsidR="0038039E" w:rsidRPr="008B21BA">
        <w:rPr>
          <w:rFonts w:ascii="Palatino Linotype" w:hAnsi="Palatino Linotype" w:cs="Arial"/>
        </w:rPr>
        <w:t>OCHO DE MAYO</w:t>
      </w:r>
      <w:r w:rsidR="00230100" w:rsidRPr="008B21BA">
        <w:rPr>
          <w:rFonts w:ascii="Palatino Linotype" w:hAnsi="Palatino Linotype" w:cs="Arial"/>
        </w:rPr>
        <w:t xml:space="preserve"> DOS MIL VEINTICINCO</w:t>
      </w:r>
      <w:r w:rsidRPr="008B21BA">
        <w:rPr>
          <w:rFonts w:ascii="Palatino Linotype" w:eastAsiaTheme="minorHAnsi" w:hAnsi="Palatino Linotype" w:cs="Arial"/>
          <w:lang w:val="es-MX" w:eastAsia="en-US"/>
        </w:rPr>
        <w:t>, ANTE EL SECRETARIO TÉCNICO</w:t>
      </w:r>
      <w:r w:rsidR="003345E5">
        <w:rPr>
          <w:rFonts w:ascii="Palatino Linotype" w:eastAsiaTheme="minorHAnsi" w:hAnsi="Palatino Linotype" w:cs="Arial"/>
          <w:lang w:val="es-MX" w:eastAsia="en-US"/>
        </w:rPr>
        <w:t xml:space="preserve"> DEL PLENO</w:t>
      </w:r>
      <w:r w:rsidRPr="008B21BA">
        <w:rPr>
          <w:rFonts w:ascii="Palatino Linotype" w:eastAsiaTheme="minorHAnsi" w:hAnsi="Palatino Linotype" w:cs="Arial"/>
          <w:lang w:val="es-MX" w:eastAsia="en-US"/>
        </w:rPr>
        <w:t>, ALEXIS TAPIA RA</w:t>
      </w:r>
      <w:r w:rsidR="00054E04" w:rsidRPr="008B21BA">
        <w:rPr>
          <w:rFonts w:ascii="Palatino Linotype" w:eastAsiaTheme="minorHAnsi" w:hAnsi="Palatino Linotype" w:cs="Arial"/>
          <w:lang w:val="es-MX" w:eastAsia="en-US"/>
        </w:rPr>
        <w:t>MÍREZ.</w:t>
      </w:r>
      <w:r w:rsidR="005909E0" w:rsidRPr="008B21BA">
        <w:rPr>
          <w:rFonts w:ascii="Palatino Linotype" w:eastAsiaTheme="minorHAnsi" w:hAnsi="Palatino Linotype" w:cs="Arial"/>
          <w:lang w:val="es-MX" w:eastAsia="en-US"/>
        </w:rPr>
        <w:t>----</w:t>
      </w:r>
      <w:r w:rsidR="003277BA" w:rsidRPr="008B21BA">
        <w:rPr>
          <w:rFonts w:ascii="Palatino Linotype" w:eastAsiaTheme="minorHAnsi" w:hAnsi="Palatino Linotype" w:cs="Arial"/>
          <w:lang w:val="es-MX" w:eastAsia="en-US"/>
        </w:rPr>
        <w:t>---</w:t>
      </w:r>
      <w:r w:rsidR="00383473" w:rsidRPr="008B21BA">
        <w:rPr>
          <w:rFonts w:ascii="Palatino Linotype" w:eastAsiaTheme="minorHAnsi" w:hAnsi="Palatino Linotype" w:cs="Arial"/>
          <w:lang w:val="es-MX" w:eastAsia="en-US"/>
        </w:rPr>
        <w:t>----------------------------------------------------------------------------------------------------------------------------------------------------------------------------------------------------------------------------------------------------------------------------------------------------------------------------------------------------------------------------------------------------------------------------------------------------------------------------------------------------------------------------------------------------------------------------------------------------------------------------------------------------------------------------------------------------------------------------------------------------------------------------------------------------------------------------------------------------------------------------------------------------------------------------------------------------------------------------------------------------------------------------------------------------------------------------------------------------------------------------------------------------------------------------------------------------------------------------------------------------------------------------------------------------------------------------------------------------------------------------------------------------------------------------------------------------------------------------------------------------------------------------------------------------------------------------------------------------------------------------------------------------------------------------------------------------------------------------------------------------------------------------------------------------------------------------------------------------------------------------------------------------------------------------------------------------------------------------------------------------------------------------------------------------------------------------------------------------------------------------------------------------------------------------------------------------------------------------------------------------------------------------------------------------------------------------------------------------------------------------------------------------------------------------------------------------------------------------------------------------------------------------------------------------------------------------------------------------------------------------------------------------------------------------------------------</w:t>
      </w:r>
      <w:r w:rsidR="00BE68FA" w:rsidRPr="008B21BA">
        <w:rPr>
          <w:rFonts w:ascii="Palatino Linotype" w:eastAsiaTheme="minorHAnsi" w:hAnsi="Palatino Linotype" w:cs="Arial"/>
          <w:lang w:val="es-MX" w:eastAsia="en-US"/>
        </w:rPr>
        <w:t xml:space="preserve"> </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8B21BA">
        <w:rPr>
          <w:rFonts w:ascii="Palatino Linotype" w:eastAsiaTheme="minorHAnsi" w:hAnsi="Palatino Linotype" w:cs="Arial"/>
          <w:sz w:val="18"/>
          <w:lang w:val="es-MX" w:eastAsia="en-US"/>
        </w:rPr>
        <w:t>JMV/CCR/jasm</w:t>
      </w:r>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24E2DC9B" w:rsidR="0029071C" w:rsidRPr="003E56C9" w:rsidRDefault="0029071C" w:rsidP="003E56C9"/>
    <w:sectPr w:rsidR="0029071C" w:rsidRPr="003E56C9" w:rsidSect="0043515A">
      <w:headerReference w:type="even" r:id="rId17"/>
      <w:headerReference w:type="default" r:id="rId18"/>
      <w:footerReference w:type="default" r:id="rId19"/>
      <w:headerReference w:type="first" r:id="rId20"/>
      <w:footerReference w:type="first" r:id="rId2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EF833" w14:textId="77777777" w:rsidR="00560C7C" w:rsidRDefault="00560C7C" w:rsidP="000B5E25">
      <w:r>
        <w:separator/>
      </w:r>
    </w:p>
  </w:endnote>
  <w:endnote w:type="continuationSeparator" w:id="0">
    <w:p w14:paraId="24B1999C" w14:textId="77777777" w:rsidR="00560C7C" w:rsidRDefault="00560C7C"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E7F8E">
      <w:rPr>
        <w:rFonts w:ascii="Palatino Linotype" w:hAnsi="Palatino Linotype" w:cs="Arial"/>
        <w:bCs/>
        <w:noProof/>
        <w:sz w:val="20"/>
        <w:szCs w:val="20"/>
      </w:rPr>
      <w:t>6</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E7F8E">
      <w:rPr>
        <w:rFonts w:ascii="Palatino Linotype" w:hAnsi="Palatino Linotype" w:cs="Arial"/>
        <w:bCs/>
        <w:noProof/>
        <w:sz w:val="20"/>
        <w:szCs w:val="20"/>
      </w:rPr>
      <w:t>42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E7F8E">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E7F8E">
      <w:rPr>
        <w:rFonts w:ascii="Palatino Linotype" w:hAnsi="Palatino Linotype" w:cs="Arial"/>
        <w:bCs/>
        <w:noProof/>
        <w:sz w:val="20"/>
        <w:szCs w:val="20"/>
      </w:rPr>
      <w:t>42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C2693" w14:textId="77777777" w:rsidR="00560C7C" w:rsidRDefault="00560C7C" w:rsidP="000B5E25">
      <w:r>
        <w:separator/>
      </w:r>
    </w:p>
  </w:footnote>
  <w:footnote w:type="continuationSeparator" w:id="0">
    <w:p w14:paraId="05125928" w14:textId="77777777" w:rsidR="00560C7C" w:rsidRDefault="00560C7C" w:rsidP="000B5E25">
      <w:r>
        <w:continuationSeparator/>
      </w:r>
    </w:p>
  </w:footnote>
  <w:footnote w:id="1">
    <w:p w14:paraId="22769B2A" w14:textId="77777777" w:rsidR="002956A7" w:rsidRPr="005552A8" w:rsidRDefault="002956A7" w:rsidP="002956A7">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B2B5D2B" w14:textId="77777777" w:rsidR="002956A7" w:rsidRPr="005552A8" w:rsidRDefault="002956A7" w:rsidP="002956A7">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9A21C55" w14:textId="77777777" w:rsidR="002956A7" w:rsidRPr="006741D8" w:rsidRDefault="002956A7" w:rsidP="002956A7">
      <w:pPr>
        <w:pStyle w:val="Textonotapie"/>
        <w:jc w:val="both"/>
        <w:rPr>
          <w:rFonts w:ascii="Palatino Linotype" w:hAnsi="Palatino Linotype"/>
          <w:sz w:val="16"/>
          <w:szCs w:val="16"/>
        </w:rPr>
      </w:pPr>
    </w:p>
    <w:p w14:paraId="2B2596F6" w14:textId="77777777" w:rsidR="002956A7" w:rsidRPr="006741D8" w:rsidRDefault="002956A7" w:rsidP="002956A7">
      <w:pPr>
        <w:pStyle w:val="Textonotapie"/>
        <w:jc w:val="both"/>
        <w:rPr>
          <w:rFonts w:ascii="Palatino Linotype" w:hAnsi="Palatino Linotype"/>
          <w:sz w:val="16"/>
          <w:szCs w:val="16"/>
        </w:rPr>
      </w:pPr>
      <w:r w:rsidRPr="006741D8">
        <w:rPr>
          <w:rStyle w:val="Refdenotaalpie"/>
          <w:rFonts w:ascii="Palatino Linotype" w:hAnsi="Palatino Linotype"/>
          <w:sz w:val="16"/>
          <w:szCs w:val="16"/>
        </w:rPr>
        <w:footnoteRef/>
      </w:r>
      <w:r w:rsidRPr="006741D8">
        <w:rPr>
          <w:rFonts w:ascii="Palatino Linotype" w:hAnsi="Palatino Linotype"/>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 w:id="3">
    <w:p w14:paraId="703E8F00" w14:textId="77777777" w:rsidR="00CA53FA" w:rsidRPr="0078706E" w:rsidRDefault="00CA53FA" w:rsidP="00F65CF8">
      <w:pPr>
        <w:pStyle w:val="Textonotapie"/>
        <w:ind w:left="142" w:right="-567"/>
        <w:jc w:val="both"/>
        <w:rPr>
          <w:rFonts w:ascii="Palatino Linotype" w:hAnsi="Palatino Linotype"/>
          <w:sz w:val="18"/>
          <w:szCs w:val="18"/>
        </w:rPr>
      </w:pPr>
      <w:r>
        <w:rPr>
          <w:rStyle w:val="Refdenotaalpie"/>
        </w:rPr>
        <w:footnoteRef/>
      </w:r>
      <w:r>
        <w:t xml:space="preserve"> </w:t>
      </w:r>
      <w:r w:rsidRPr="0078706E">
        <w:rPr>
          <w:rFonts w:ascii="Palatino Linotype" w:hAnsi="Palatino Linotype"/>
          <w:sz w:val="18"/>
          <w:szCs w:val="18"/>
        </w:rPr>
        <w:t>Modificado</w:t>
      </w:r>
      <w:r>
        <w:rPr>
          <w:rFonts w:ascii="Palatino Linotype" w:hAnsi="Palatino Linotype"/>
          <w:sz w:val="18"/>
          <w:szCs w:val="18"/>
        </w:rPr>
        <w:t xml:space="preserve"> posteriormente en fechas </w:t>
      </w:r>
      <w:r w:rsidRPr="0078706E">
        <w:rPr>
          <w:rFonts w:ascii="Palatino Linotype" w:hAnsi="Palatino Linotype"/>
          <w:sz w:val="18"/>
          <w:szCs w:val="18"/>
        </w:rPr>
        <w:t>27</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noviembre</w:t>
      </w:r>
      <w:r>
        <w:rPr>
          <w:rFonts w:ascii="Palatino Linotype" w:hAnsi="Palatino Linotype"/>
          <w:sz w:val="18"/>
          <w:szCs w:val="18"/>
        </w:rPr>
        <w:t xml:space="preserve"> </w:t>
      </w:r>
      <w:r w:rsidRPr="0078706E">
        <w:rPr>
          <w:rFonts w:ascii="Palatino Linotype" w:hAnsi="Palatino Linotype"/>
          <w:sz w:val="18"/>
          <w:szCs w:val="18"/>
        </w:rPr>
        <w:t>de</w:t>
      </w:r>
      <w:r>
        <w:rPr>
          <w:rFonts w:ascii="Palatino Linotype" w:hAnsi="Palatino Linotype"/>
          <w:sz w:val="18"/>
          <w:szCs w:val="18"/>
        </w:rPr>
        <w:t xml:space="preserve"> </w:t>
      </w:r>
      <w:r w:rsidRPr="0078706E">
        <w:rPr>
          <w:rFonts w:ascii="Palatino Linotype" w:hAnsi="Palatino Linotype"/>
          <w:sz w:val="18"/>
          <w:szCs w:val="18"/>
        </w:rPr>
        <w:t>2017</w:t>
      </w:r>
      <w:r>
        <w:rPr>
          <w:rFonts w:ascii="Palatino Linotype" w:hAnsi="Palatino Linotype"/>
          <w:sz w:val="18"/>
          <w:szCs w:val="18"/>
        </w:rPr>
        <w:t xml:space="preserve">, </w:t>
      </w:r>
      <w:r w:rsidRPr="00CB4B3E">
        <w:rPr>
          <w:rFonts w:ascii="Palatino Linotype" w:hAnsi="Palatino Linotype"/>
          <w:sz w:val="18"/>
          <w:szCs w:val="18"/>
        </w:rPr>
        <w:t xml:space="preserve">23 de enero </w:t>
      </w:r>
      <w:r>
        <w:rPr>
          <w:rFonts w:ascii="Palatino Linotype" w:hAnsi="Palatino Linotype"/>
          <w:sz w:val="18"/>
          <w:szCs w:val="18"/>
        </w:rPr>
        <w:t xml:space="preserve">y 7 de agosto </w:t>
      </w:r>
      <w:r w:rsidRPr="00CB4B3E">
        <w:rPr>
          <w:rFonts w:ascii="Palatino Linotype" w:hAnsi="Palatino Linotype"/>
          <w:sz w:val="18"/>
          <w:szCs w:val="18"/>
        </w:rPr>
        <w:t>de 2019</w:t>
      </w:r>
      <w:r w:rsidRPr="0078706E">
        <w:rPr>
          <w:rFonts w:ascii="Palatino Linotype" w:hAnsi="Palatino Linotype"/>
          <w:sz w:val="18"/>
          <w:szCs w:val="18"/>
        </w:rPr>
        <w:t>,</w:t>
      </w:r>
      <w:r>
        <w:rPr>
          <w:rFonts w:ascii="Palatino Linotype" w:hAnsi="Palatino Linotype"/>
          <w:sz w:val="18"/>
          <w:szCs w:val="18"/>
        </w:rPr>
        <w:t xml:space="preserve"> </w:t>
      </w:r>
      <w:r w:rsidRPr="0078706E">
        <w:rPr>
          <w:rFonts w:ascii="Palatino Linotype" w:hAnsi="Palatino Linotype"/>
          <w:sz w:val="18"/>
          <w:szCs w:val="18"/>
        </w:rPr>
        <w:t>por</w:t>
      </w:r>
      <w:r>
        <w:rPr>
          <w:rFonts w:ascii="Palatino Linotype" w:hAnsi="Palatino Linotype"/>
          <w:sz w:val="18"/>
          <w:szCs w:val="18"/>
        </w:rPr>
        <w:t xml:space="preserve"> </w:t>
      </w:r>
      <w:r w:rsidRPr="0078706E">
        <w:rPr>
          <w:rFonts w:ascii="Palatino Linotype" w:hAnsi="Palatino Linotype"/>
          <w:sz w:val="18"/>
          <w:szCs w:val="18"/>
        </w:rPr>
        <w:t>el</w:t>
      </w:r>
      <w:r>
        <w:rPr>
          <w:rFonts w:ascii="Palatino Linotype" w:hAnsi="Palatino Linotype"/>
          <w:sz w:val="18"/>
          <w:szCs w:val="18"/>
        </w:rPr>
        <w:t xml:space="preserve"> Pleno del </w:t>
      </w:r>
      <w:r w:rsidRPr="00602427">
        <w:rPr>
          <w:rFonts w:ascii="Palatino Linotype" w:hAnsi="Palatino Linotype"/>
          <w:sz w:val="18"/>
          <w:szCs w:val="18"/>
        </w:rPr>
        <w:t>Instituto de Transparencia, Acceso a la Información Pública y Protección de Datos Personales del Estado de México y Municipios</w:t>
      </w:r>
      <w:r>
        <w:rPr>
          <w:rFonts w:ascii="Palatino Linotype" w:hAnsi="Palatino Linotype"/>
          <w:sz w:val="18"/>
          <w:szCs w:val="18"/>
        </w:rPr>
        <w:t xml:space="preserve">, mediante Acuerdos publicados en el </w:t>
      </w:r>
      <w:r w:rsidRPr="00602427">
        <w:rPr>
          <w:rFonts w:ascii="Palatino Linotype" w:hAnsi="Palatino Linotype"/>
          <w:sz w:val="18"/>
          <w:szCs w:val="18"/>
        </w:rPr>
        <w:t>Periódico Oficial “Gaceta del Gobierno”</w:t>
      </w:r>
      <w:r>
        <w:rPr>
          <w:rFonts w:ascii="Palatino Linotype" w:hAnsi="Palatino Linotype"/>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A53FA" w:rsidRDefault="005E7F8E">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7D0B18AB" w14:textId="77777777" w:rsidTr="00BA27FC">
      <w:tc>
        <w:tcPr>
          <w:tcW w:w="2551" w:type="dxa"/>
          <w:shd w:val="clear" w:color="auto" w:fill="auto"/>
          <w:vAlign w:val="center"/>
        </w:tcPr>
        <w:p w14:paraId="0E184FBC"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6BF2FD9D"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1102F3">
            <w:rPr>
              <w:rFonts w:ascii="Palatino Linotype" w:hAnsi="Palatino Linotype"/>
              <w:sz w:val="22"/>
              <w:szCs w:val="22"/>
              <w:lang w:val="es-ES_tradnl"/>
            </w:rPr>
            <w:t>2335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58149F82" w14:textId="77777777" w:rsidTr="00BA27FC">
      <w:trPr>
        <w:trHeight w:val="228"/>
      </w:trPr>
      <w:tc>
        <w:tcPr>
          <w:tcW w:w="2551" w:type="dxa"/>
          <w:shd w:val="clear" w:color="auto" w:fill="auto"/>
          <w:vAlign w:val="center"/>
        </w:tcPr>
        <w:p w14:paraId="2DBE5EC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141EE4BB" w:rsidR="00CA53FA" w:rsidRPr="0029071C" w:rsidRDefault="00CA53FA" w:rsidP="00AB55A1">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Pr>
              <w:rFonts w:ascii="Palatino Linotype" w:hAnsi="Palatino Linotype"/>
              <w:sz w:val="22"/>
              <w:szCs w:val="22"/>
            </w:rPr>
            <w:t>de Finanzas</w:t>
          </w:r>
        </w:p>
      </w:tc>
    </w:tr>
    <w:tr w:rsidR="00CA53FA" w:rsidRPr="008F2CCC" w14:paraId="73D5FF2A" w14:textId="77777777" w:rsidTr="00BA27FC">
      <w:tc>
        <w:tcPr>
          <w:tcW w:w="2551" w:type="dxa"/>
          <w:shd w:val="clear" w:color="auto" w:fill="auto"/>
          <w:vAlign w:val="center"/>
        </w:tcPr>
        <w:p w14:paraId="2A38288D"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A53FA" w:rsidRPr="001779E0" w:rsidRDefault="005E7F8E"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1.3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53180D23" w14:textId="77777777" w:rsidTr="00BA27FC">
      <w:tc>
        <w:tcPr>
          <w:tcW w:w="2551" w:type="dxa"/>
          <w:shd w:val="clear" w:color="auto" w:fill="auto"/>
          <w:vAlign w:val="center"/>
        </w:tcPr>
        <w:p w14:paraId="51394AA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03169CAD"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1102F3">
            <w:rPr>
              <w:rFonts w:ascii="Palatino Linotype" w:hAnsi="Palatino Linotype"/>
              <w:sz w:val="22"/>
              <w:szCs w:val="22"/>
              <w:lang w:val="es-ES_tradnl"/>
            </w:rPr>
            <w:t>2335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390D27D0" w14:textId="77777777" w:rsidTr="00BA27FC">
      <w:tc>
        <w:tcPr>
          <w:tcW w:w="2551" w:type="dxa"/>
          <w:shd w:val="clear" w:color="auto" w:fill="auto"/>
          <w:vAlign w:val="center"/>
        </w:tcPr>
        <w:p w14:paraId="5CBCE46F"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5B1B0EAC" w:rsidR="00CA53FA" w:rsidRPr="006D30E6" w:rsidRDefault="00F12307"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w:t>
          </w:r>
        </w:p>
      </w:tc>
    </w:tr>
    <w:tr w:rsidR="00CA53FA" w:rsidRPr="008F2CCC" w14:paraId="233C19E4" w14:textId="77777777" w:rsidTr="00BA27FC">
      <w:trPr>
        <w:trHeight w:val="228"/>
      </w:trPr>
      <w:tc>
        <w:tcPr>
          <w:tcW w:w="2551" w:type="dxa"/>
          <w:shd w:val="clear" w:color="auto" w:fill="auto"/>
          <w:vAlign w:val="center"/>
        </w:tcPr>
        <w:p w14:paraId="48BD3678"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606F0ABF" w:rsidR="00CA53FA" w:rsidRPr="0029071C" w:rsidRDefault="00CA53FA" w:rsidP="00AB55A1">
          <w:pPr>
            <w:spacing w:line="276" w:lineRule="auto"/>
            <w:jc w:val="right"/>
            <w:rPr>
              <w:rFonts w:ascii="Palatino Linotype" w:hAnsi="Palatino Linotype"/>
              <w:sz w:val="22"/>
              <w:szCs w:val="22"/>
            </w:rPr>
          </w:pPr>
          <w:r w:rsidRPr="00BE68FA">
            <w:rPr>
              <w:rFonts w:ascii="Palatino Linotype" w:hAnsi="Palatino Linotype"/>
              <w:sz w:val="22"/>
              <w:szCs w:val="22"/>
            </w:rPr>
            <w:t xml:space="preserve">Secretaría </w:t>
          </w:r>
          <w:r>
            <w:rPr>
              <w:rFonts w:ascii="Palatino Linotype" w:hAnsi="Palatino Linotype"/>
              <w:sz w:val="22"/>
              <w:szCs w:val="22"/>
            </w:rPr>
            <w:t>de Finanzas</w:t>
          </w:r>
        </w:p>
      </w:tc>
    </w:tr>
    <w:tr w:rsidR="00CA53FA" w:rsidRPr="008F2CCC" w14:paraId="196A93C9" w14:textId="77777777" w:rsidTr="00BA27FC">
      <w:tc>
        <w:tcPr>
          <w:tcW w:w="2551" w:type="dxa"/>
          <w:shd w:val="clear" w:color="auto" w:fill="auto"/>
          <w:vAlign w:val="center"/>
        </w:tcPr>
        <w:p w14:paraId="53BA0609"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A53FA" w:rsidRPr="008F2CCC" w14:paraId="5010D2D3" w14:textId="77777777" w:rsidTr="00BA27FC">
      <w:tc>
        <w:tcPr>
          <w:tcW w:w="2551" w:type="dxa"/>
          <w:shd w:val="clear" w:color="auto" w:fill="auto"/>
          <w:vAlign w:val="center"/>
        </w:tcPr>
        <w:p w14:paraId="28B43ED1" w14:textId="77777777" w:rsidR="00CA53FA" w:rsidRPr="008F5DAE" w:rsidRDefault="00CA53F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A53FA" w:rsidRPr="00BA27FC" w:rsidRDefault="00CA53FA" w:rsidP="00BA27FC">
          <w:pPr>
            <w:spacing w:line="276" w:lineRule="auto"/>
            <w:rPr>
              <w:rFonts w:ascii="Palatino Linotype" w:hAnsi="Palatino Linotype"/>
              <w:sz w:val="14"/>
              <w:szCs w:val="22"/>
              <w:lang w:val="es-ES_tradnl"/>
            </w:rPr>
          </w:pPr>
        </w:p>
      </w:tc>
    </w:tr>
  </w:tbl>
  <w:p w14:paraId="3074D17A" w14:textId="77777777" w:rsidR="00CA53FA" w:rsidRPr="009F1AB6" w:rsidRDefault="005E7F8E">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75pt;height:10.75pt;visibility:visible;mso-wrap-style:square" o:bullet="t">
        <v:imagedata r:id="rId1" o:title=""/>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056F02"/>
    <w:multiLevelType w:val="hybridMultilevel"/>
    <w:tmpl w:val="7924F08A"/>
    <w:lvl w:ilvl="0" w:tplc="37A04F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67650D"/>
    <w:multiLevelType w:val="hybridMultilevel"/>
    <w:tmpl w:val="38686B7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D64B6A"/>
    <w:multiLevelType w:val="hybridMultilevel"/>
    <w:tmpl w:val="67A47CE4"/>
    <w:lvl w:ilvl="0" w:tplc="DADCD44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231F12"/>
    <w:multiLevelType w:val="hybridMultilevel"/>
    <w:tmpl w:val="71BA4EA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3D7E53E9"/>
    <w:multiLevelType w:val="hybridMultilevel"/>
    <w:tmpl w:val="ABDCB3C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AE3771"/>
    <w:multiLevelType w:val="hybridMultilevel"/>
    <w:tmpl w:val="0B3A1DB0"/>
    <w:lvl w:ilvl="0" w:tplc="1168288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6"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507861"/>
    <w:multiLevelType w:val="hybridMultilevel"/>
    <w:tmpl w:val="D8862CE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FD49B6"/>
    <w:multiLevelType w:val="hybridMultilevel"/>
    <w:tmpl w:val="BAF832DE"/>
    <w:lvl w:ilvl="0" w:tplc="C8086A0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A21A7B"/>
    <w:multiLevelType w:val="hybridMultilevel"/>
    <w:tmpl w:val="4368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1"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9453C8"/>
    <w:multiLevelType w:val="hybridMultilevel"/>
    <w:tmpl w:val="4BB4B82C"/>
    <w:lvl w:ilvl="0" w:tplc="73342D6E">
      <w:numFmt w:val="bullet"/>
      <w:lvlText w:val=""/>
      <w:lvlJc w:val="left"/>
      <w:pPr>
        <w:ind w:left="720" w:hanging="360"/>
      </w:pPr>
      <w:rPr>
        <w:rFonts w:ascii="Symbol" w:eastAsiaTheme="minorHAnsi" w:hAnsi="Symbol" w:cstheme="minorBidi" w:hint="default"/>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B37510A"/>
    <w:multiLevelType w:val="hybridMultilevel"/>
    <w:tmpl w:val="9EC22288"/>
    <w:lvl w:ilvl="0" w:tplc="03308790">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9"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40"/>
  </w:num>
  <w:num w:numId="3">
    <w:abstractNumId w:val="16"/>
  </w:num>
  <w:num w:numId="4">
    <w:abstractNumId w:val="9"/>
  </w:num>
  <w:num w:numId="5">
    <w:abstractNumId w:val="31"/>
  </w:num>
  <w:num w:numId="6">
    <w:abstractNumId w:val="1"/>
  </w:num>
  <w:num w:numId="7">
    <w:abstractNumId w:val="6"/>
  </w:num>
  <w:num w:numId="8">
    <w:abstractNumId w:val="35"/>
  </w:num>
  <w:num w:numId="9">
    <w:abstractNumId w:val="23"/>
  </w:num>
  <w:num w:numId="10">
    <w:abstractNumId w:val="2"/>
  </w:num>
  <w:num w:numId="11">
    <w:abstractNumId w:val="41"/>
  </w:num>
  <w:num w:numId="12">
    <w:abstractNumId w:val="48"/>
  </w:num>
  <w:num w:numId="13">
    <w:abstractNumId w:val="25"/>
  </w:num>
  <w:num w:numId="14">
    <w:abstractNumId w:val="49"/>
  </w:num>
  <w:num w:numId="15">
    <w:abstractNumId w:val="21"/>
  </w:num>
  <w:num w:numId="16">
    <w:abstractNumId w:val="14"/>
  </w:num>
  <w:num w:numId="17">
    <w:abstractNumId w:val="47"/>
  </w:num>
  <w:num w:numId="18">
    <w:abstractNumId w:val="17"/>
  </w:num>
  <w:num w:numId="19">
    <w:abstractNumId w:val="15"/>
  </w:num>
  <w:num w:numId="20">
    <w:abstractNumId w:val="3"/>
  </w:num>
  <w:num w:numId="21">
    <w:abstractNumId w:val="28"/>
  </w:num>
  <w:num w:numId="22">
    <w:abstractNumId w:val="19"/>
  </w:num>
  <w:num w:numId="23">
    <w:abstractNumId w:val="20"/>
  </w:num>
  <w:num w:numId="24">
    <w:abstractNumId w:val="7"/>
  </w:num>
  <w:num w:numId="25">
    <w:abstractNumId w:val="43"/>
  </w:num>
  <w:num w:numId="26">
    <w:abstractNumId w:val="27"/>
  </w:num>
  <w:num w:numId="27">
    <w:abstractNumId w:val="33"/>
  </w:num>
  <w:num w:numId="28">
    <w:abstractNumId w:val="37"/>
  </w:num>
  <w:num w:numId="29">
    <w:abstractNumId w:val="26"/>
  </w:num>
  <w:num w:numId="30">
    <w:abstractNumId w:val="36"/>
  </w:num>
  <w:num w:numId="31">
    <w:abstractNumId w:val="29"/>
  </w:num>
  <w:num w:numId="32">
    <w:abstractNumId w:val="34"/>
  </w:num>
  <w:num w:numId="33">
    <w:abstractNumId w:val="46"/>
  </w:num>
  <w:num w:numId="34">
    <w:abstractNumId w:val="13"/>
  </w:num>
  <w:num w:numId="35">
    <w:abstractNumId w:val="4"/>
  </w:num>
  <w:num w:numId="36">
    <w:abstractNumId w:val="39"/>
  </w:num>
  <w:num w:numId="37">
    <w:abstractNumId w:val="0"/>
  </w:num>
  <w:num w:numId="38">
    <w:abstractNumId w:val="5"/>
  </w:num>
  <w:num w:numId="39">
    <w:abstractNumId w:val="24"/>
  </w:num>
  <w:num w:numId="40">
    <w:abstractNumId w:val="38"/>
  </w:num>
  <w:num w:numId="41">
    <w:abstractNumId w:val="45"/>
  </w:num>
  <w:num w:numId="42">
    <w:abstractNumId w:val="30"/>
  </w:num>
  <w:num w:numId="43">
    <w:abstractNumId w:val="44"/>
  </w:num>
  <w:num w:numId="44">
    <w:abstractNumId w:val="11"/>
  </w:num>
  <w:num w:numId="45">
    <w:abstractNumId w:val="32"/>
  </w:num>
  <w:num w:numId="46">
    <w:abstractNumId w:val="18"/>
  </w:num>
  <w:num w:numId="47">
    <w:abstractNumId w:val="10"/>
  </w:num>
  <w:num w:numId="48">
    <w:abstractNumId w:val="12"/>
  </w:num>
  <w:num w:numId="49">
    <w:abstractNumId w:val="22"/>
  </w:num>
  <w:num w:numId="5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120BC"/>
    <w:rsid w:val="0001640F"/>
    <w:rsid w:val="00032D08"/>
    <w:rsid w:val="0003374C"/>
    <w:rsid w:val="00036F8B"/>
    <w:rsid w:val="00037B15"/>
    <w:rsid w:val="00054E04"/>
    <w:rsid w:val="000572E9"/>
    <w:rsid w:val="00070516"/>
    <w:rsid w:val="00070547"/>
    <w:rsid w:val="00071173"/>
    <w:rsid w:val="00073BC8"/>
    <w:rsid w:val="000775FC"/>
    <w:rsid w:val="00081BEC"/>
    <w:rsid w:val="0008501B"/>
    <w:rsid w:val="0009028F"/>
    <w:rsid w:val="0009159F"/>
    <w:rsid w:val="00093AE1"/>
    <w:rsid w:val="000941CE"/>
    <w:rsid w:val="00094F32"/>
    <w:rsid w:val="000A34BB"/>
    <w:rsid w:val="000A717C"/>
    <w:rsid w:val="000B42F9"/>
    <w:rsid w:val="000B5876"/>
    <w:rsid w:val="000B5E25"/>
    <w:rsid w:val="000B7C6C"/>
    <w:rsid w:val="000C43CE"/>
    <w:rsid w:val="000C49B8"/>
    <w:rsid w:val="000C5FDF"/>
    <w:rsid w:val="000C615C"/>
    <w:rsid w:val="000D2D4F"/>
    <w:rsid w:val="000D3AD4"/>
    <w:rsid w:val="000E592F"/>
    <w:rsid w:val="000F16BA"/>
    <w:rsid w:val="000F48D5"/>
    <w:rsid w:val="00101AD8"/>
    <w:rsid w:val="00102570"/>
    <w:rsid w:val="0010712B"/>
    <w:rsid w:val="00107603"/>
    <w:rsid w:val="001102F3"/>
    <w:rsid w:val="00123996"/>
    <w:rsid w:val="0012510D"/>
    <w:rsid w:val="00126CCD"/>
    <w:rsid w:val="00126E36"/>
    <w:rsid w:val="00130316"/>
    <w:rsid w:val="00137D13"/>
    <w:rsid w:val="001424E1"/>
    <w:rsid w:val="0014397A"/>
    <w:rsid w:val="00143F6E"/>
    <w:rsid w:val="00151D4C"/>
    <w:rsid w:val="001558F3"/>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F1FCC"/>
    <w:rsid w:val="001F2305"/>
    <w:rsid w:val="001F4F5E"/>
    <w:rsid w:val="001F7CAE"/>
    <w:rsid w:val="0020146B"/>
    <w:rsid w:val="0020249A"/>
    <w:rsid w:val="00202A34"/>
    <w:rsid w:val="00202C04"/>
    <w:rsid w:val="002079BF"/>
    <w:rsid w:val="002163FB"/>
    <w:rsid w:val="002167BB"/>
    <w:rsid w:val="00216980"/>
    <w:rsid w:val="00217E6C"/>
    <w:rsid w:val="00225163"/>
    <w:rsid w:val="00230100"/>
    <w:rsid w:val="00232E24"/>
    <w:rsid w:val="00235936"/>
    <w:rsid w:val="00236CBA"/>
    <w:rsid w:val="00240BB0"/>
    <w:rsid w:val="0024323F"/>
    <w:rsid w:val="00247138"/>
    <w:rsid w:val="00253D9C"/>
    <w:rsid w:val="00255F1A"/>
    <w:rsid w:val="00260C3A"/>
    <w:rsid w:val="00261BC7"/>
    <w:rsid w:val="00267458"/>
    <w:rsid w:val="00267BB5"/>
    <w:rsid w:val="002777D8"/>
    <w:rsid w:val="002848F7"/>
    <w:rsid w:val="0029071C"/>
    <w:rsid w:val="0029219E"/>
    <w:rsid w:val="002934B4"/>
    <w:rsid w:val="002956A7"/>
    <w:rsid w:val="00295B3F"/>
    <w:rsid w:val="002A040B"/>
    <w:rsid w:val="002A0AF4"/>
    <w:rsid w:val="002A4B43"/>
    <w:rsid w:val="002A676F"/>
    <w:rsid w:val="002B17F9"/>
    <w:rsid w:val="002B48AD"/>
    <w:rsid w:val="002B7930"/>
    <w:rsid w:val="002C0BE5"/>
    <w:rsid w:val="002C240F"/>
    <w:rsid w:val="002D17B8"/>
    <w:rsid w:val="002D32D2"/>
    <w:rsid w:val="002D61F7"/>
    <w:rsid w:val="002D6656"/>
    <w:rsid w:val="002D6E4B"/>
    <w:rsid w:val="002E00B6"/>
    <w:rsid w:val="002E2B04"/>
    <w:rsid w:val="002E2D87"/>
    <w:rsid w:val="002E3085"/>
    <w:rsid w:val="002E4785"/>
    <w:rsid w:val="002F3B20"/>
    <w:rsid w:val="003059E0"/>
    <w:rsid w:val="00307006"/>
    <w:rsid w:val="0030701F"/>
    <w:rsid w:val="0031472B"/>
    <w:rsid w:val="00320F38"/>
    <w:rsid w:val="00321CC2"/>
    <w:rsid w:val="003277BA"/>
    <w:rsid w:val="00330FC3"/>
    <w:rsid w:val="0033140D"/>
    <w:rsid w:val="00331F0D"/>
    <w:rsid w:val="003345E5"/>
    <w:rsid w:val="003408DD"/>
    <w:rsid w:val="00340A06"/>
    <w:rsid w:val="00343F0B"/>
    <w:rsid w:val="00351A7F"/>
    <w:rsid w:val="003520C5"/>
    <w:rsid w:val="0035559A"/>
    <w:rsid w:val="00370E26"/>
    <w:rsid w:val="00371835"/>
    <w:rsid w:val="0037315D"/>
    <w:rsid w:val="003746DE"/>
    <w:rsid w:val="00374FE7"/>
    <w:rsid w:val="0038039E"/>
    <w:rsid w:val="003804E8"/>
    <w:rsid w:val="00380D3E"/>
    <w:rsid w:val="003815AB"/>
    <w:rsid w:val="00383473"/>
    <w:rsid w:val="003851EB"/>
    <w:rsid w:val="00386D38"/>
    <w:rsid w:val="00391AD0"/>
    <w:rsid w:val="00396DB6"/>
    <w:rsid w:val="00397B41"/>
    <w:rsid w:val="003A1AF3"/>
    <w:rsid w:val="003A2B8C"/>
    <w:rsid w:val="003A4C68"/>
    <w:rsid w:val="003B0FAC"/>
    <w:rsid w:val="003B1C85"/>
    <w:rsid w:val="003B70B0"/>
    <w:rsid w:val="003C6409"/>
    <w:rsid w:val="003E21A7"/>
    <w:rsid w:val="003E56C9"/>
    <w:rsid w:val="003F171B"/>
    <w:rsid w:val="003F424E"/>
    <w:rsid w:val="003F71DA"/>
    <w:rsid w:val="004018F9"/>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A7F7D"/>
    <w:rsid w:val="004B1693"/>
    <w:rsid w:val="004B1A5F"/>
    <w:rsid w:val="004B2314"/>
    <w:rsid w:val="004B2516"/>
    <w:rsid w:val="004D0458"/>
    <w:rsid w:val="004D18B6"/>
    <w:rsid w:val="004D5D2F"/>
    <w:rsid w:val="004D6F71"/>
    <w:rsid w:val="004E5628"/>
    <w:rsid w:val="004F48CE"/>
    <w:rsid w:val="00500ACC"/>
    <w:rsid w:val="0050130E"/>
    <w:rsid w:val="0050243E"/>
    <w:rsid w:val="00514370"/>
    <w:rsid w:val="00524043"/>
    <w:rsid w:val="00524A8D"/>
    <w:rsid w:val="00524E61"/>
    <w:rsid w:val="00530C84"/>
    <w:rsid w:val="0053555D"/>
    <w:rsid w:val="0054391A"/>
    <w:rsid w:val="005472E8"/>
    <w:rsid w:val="00555C87"/>
    <w:rsid w:val="00560C7C"/>
    <w:rsid w:val="005617B4"/>
    <w:rsid w:val="0056332B"/>
    <w:rsid w:val="00563B39"/>
    <w:rsid w:val="00565689"/>
    <w:rsid w:val="0057289F"/>
    <w:rsid w:val="00580321"/>
    <w:rsid w:val="00581391"/>
    <w:rsid w:val="0058348E"/>
    <w:rsid w:val="0059032F"/>
    <w:rsid w:val="005909E0"/>
    <w:rsid w:val="0059614C"/>
    <w:rsid w:val="00597D71"/>
    <w:rsid w:val="005A569C"/>
    <w:rsid w:val="005A59B3"/>
    <w:rsid w:val="005A6216"/>
    <w:rsid w:val="005B0692"/>
    <w:rsid w:val="005B234D"/>
    <w:rsid w:val="005B26AD"/>
    <w:rsid w:val="005B36A8"/>
    <w:rsid w:val="005B5693"/>
    <w:rsid w:val="005C2EF9"/>
    <w:rsid w:val="005C6646"/>
    <w:rsid w:val="005D77CC"/>
    <w:rsid w:val="005E09AB"/>
    <w:rsid w:val="005E2904"/>
    <w:rsid w:val="005E5716"/>
    <w:rsid w:val="005E7F8E"/>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24BA"/>
    <w:rsid w:val="00643B58"/>
    <w:rsid w:val="00663AF3"/>
    <w:rsid w:val="00665089"/>
    <w:rsid w:val="006729C7"/>
    <w:rsid w:val="006810FF"/>
    <w:rsid w:val="006857DC"/>
    <w:rsid w:val="00694976"/>
    <w:rsid w:val="006A6362"/>
    <w:rsid w:val="006B2F26"/>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6632"/>
    <w:rsid w:val="00717A0C"/>
    <w:rsid w:val="007230F0"/>
    <w:rsid w:val="00723B5A"/>
    <w:rsid w:val="0072658E"/>
    <w:rsid w:val="00732345"/>
    <w:rsid w:val="0074342A"/>
    <w:rsid w:val="0074517D"/>
    <w:rsid w:val="007528A6"/>
    <w:rsid w:val="007532C7"/>
    <w:rsid w:val="00756F04"/>
    <w:rsid w:val="00757D60"/>
    <w:rsid w:val="00770F18"/>
    <w:rsid w:val="007764BB"/>
    <w:rsid w:val="007828DC"/>
    <w:rsid w:val="0079783C"/>
    <w:rsid w:val="007A118C"/>
    <w:rsid w:val="007A37FE"/>
    <w:rsid w:val="007B1893"/>
    <w:rsid w:val="007B5800"/>
    <w:rsid w:val="007C1D5B"/>
    <w:rsid w:val="007C3435"/>
    <w:rsid w:val="007C35A4"/>
    <w:rsid w:val="007C3E46"/>
    <w:rsid w:val="007D2A81"/>
    <w:rsid w:val="007E1695"/>
    <w:rsid w:val="007E3585"/>
    <w:rsid w:val="007E3AEF"/>
    <w:rsid w:val="007E52D5"/>
    <w:rsid w:val="007E534B"/>
    <w:rsid w:val="007E7C02"/>
    <w:rsid w:val="007F6F23"/>
    <w:rsid w:val="007F720F"/>
    <w:rsid w:val="007F7462"/>
    <w:rsid w:val="00800A80"/>
    <w:rsid w:val="00802ABB"/>
    <w:rsid w:val="008150CA"/>
    <w:rsid w:val="008218E5"/>
    <w:rsid w:val="00821C4B"/>
    <w:rsid w:val="0082270E"/>
    <w:rsid w:val="00835035"/>
    <w:rsid w:val="008500D3"/>
    <w:rsid w:val="00852668"/>
    <w:rsid w:val="00855F8D"/>
    <w:rsid w:val="008578BF"/>
    <w:rsid w:val="008609C8"/>
    <w:rsid w:val="008660D6"/>
    <w:rsid w:val="00872C8F"/>
    <w:rsid w:val="00891016"/>
    <w:rsid w:val="00891C59"/>
    <w:rsid w:val="00895D34"/>
    <w:rsid w:val="00896D29"/>
    <w:rsid w:val="00897751"/>
    <w:rsid w:val="008A1205"/>
    <w:rsid w:val="008A12CF"/>
    <w:rsid w:val="008A1A90"/>
    <w:rsid w:val="008A446B"/>
    <w:rsid w:val="008A64CB"/>
    <w:rsid w:val="008B082B"/>
    <w:rsid w:val="008B0C14"/>
    <w:rsid w:val="008B21BA"/>
    <w:rsid w:val="008B3206"/>
    <w:rsid w:val="008B6546"/>
    <w:rsid w:val="008C1C8E"/>
    <w:rsid w:val="008C2536"/>
    <w:rsid w:val="008C3B24"/>
    <w:rsid w:val="008E01E4"/>
    <w:rsid w:val="008E1ACA"/>
    <w:rsid w:val="008E7F32"/>
    <w:rsid w:val="008F148C"/>
    <w:rsid w:val="008F1B63"/>
    <w:rsid w:val="008F5DAE"/>
    <w:rsid w:val="00900615"/>
    <w:rsid w:val="00900C9B"/>
    <w:rsid w:val="0090126C"/>
    <w:rsid w:val="00901487"/>
    <w:rsid w:val="00911FDE"/>
    <w:rsid w:val="00921551"/>
    <w:rsid w:val="009217E8"/>
    <w:rsid w:val="0092579A"/>
    <w:rsid w:val="00925B0B"/>
    <w:rsid w:val="00926C44"/>
    <w:rsid w:val="00932315"/>
    <w:rsid w:val="0093645B"/>
    <w:rsid w:val="0094195D"/>
    <w:rsid w:val="0094381A"/>
    <w:rsid w:val="0094674B"/>
    <w:rsid w:val="0094684C"/>
    <w:rsid w:val="009526B5"/>
    <w:rsid w:val="009602BA"/>
    <w:rsid w:val="00961002"/>
    <w:rsid w:val="00966B66"/>
    <w:rsid w:val="009758CB"/>
    <w:rsid w:val="00977059"/>
    <w:rsid w:val="00980909"/>
    <w:rsid w:val="00981064"/>
    <w:rsid w:val="00987728"/>
    <w:rsid w:val="00993406"/>
    <w:rsid w:val="00994862"/>
    <w:rsid w:val="00996C47"/>
    <w:rsid w:val="009A0F77"/>
    <w:rsid w:val="009A5223"/>
    <w:rsid w:val="009A6B97"/>
    <w:rsid w:val="009A6D6A"/>
    <w:rsid w:val="009A7B69"/>
    <w:rsid w:val="009B23B7"/>
    <w:rsid w:val="009B2B6B"/>
    <w:rsid w:val="009B7E91"/>
    <w:rsid w:val="009C174A"/>
    <w:rsid w:val="009C6853"/>
    <w:rsid w:val="009C69B3"/>
    <w:rsid w:val="009D2E87"/>
    <w:rsid w:val="009D39B3"/>
    <w:rsid w:val="009D7E06"/>
    <w:rsid w:val="009E0C45"/>
    <w:rsid w:val="009E0E89"/>
    <w:rsid w:val="009E15AC"/>
    <w:rsid w:val="009E1F26"/>
    <w:rsid w:val="009F4FF4"/>
    <w:rsid w:val="009F5B82"/>
    <w:rsid w:val="009F62C3"/>
    <w:rsid w:val="009F71DC"/>
    <w:rsid w:val="00A0100D"/>
    <w:rsid w:val="00A05133"/>
    <w:rsid w:val="00A05D3A"/>
    <w:rsid w:val="00A26BD8"/>
    <w:rsid w:val="00A3490B"/>
    <w:rsid w:val="00A5260D"/>
    <w:rsid w:val="00A54C18"/>
    <w:rsid w:val="00A54DC2"/>
    <w:rsid w:val="00A6190A"/>
    <w:rsid w:val="00A64950"/>
    <w:rsid w:val="00A6692F"/>
    <w:rsid w:val="00A66CE9"/>
    <w:rsid w:val="00A6775F"/>
    <w:rsid w:val="00A70B3F"/>
    <w:rsid w:val="00A72262"/>
    <w:rsid w:val="00A7773A"/>
    <w:rsid w:val="00A80DFF"/>
    <w:rsid w:val="00A81853"/>
    <w:rsid w:val="00A83B4F"/>
    <w:rsid w:val="00AA26B4"/>
    <w:rsid w:val="00AA30DB"/>
    <w:rsid w:val="00AA340D"/>
    <w:rsid w:val="00AA7378"/>
    <w:rsid w:val="00AB15E3"/>
    <w:rsid w:val="00AB246B"/>
    <w:rsid w:val="00AB4982"/>
    <w:rsid w:val="00AB55A1"/>
    <w:rsid w:val="00AC3DB9"/>
    <w:rsid w:val="00AC4902"/>
    <w:rsid w:val="00AC687D"/>
    <w:rsid w:val="00AD0EF6"/>
    <w:rsid w:val="00AD149C"/>
    <w:rsid w:val="00AD14CF"/>
    <w:rsid w:val="00AD194E"/>
    <w:rsid w:val="00AD2125"/>
    <w:rsid w:val="00AD33BE"/>
    <w:rsid w:val="00AD66D3"/>
    <w:rsid w:val="00AE1A47"/>
    <w:rsid w:val="00AE5995"/>
    <w:rsid w:val="00AE6704"/>
    <w:rsid w:val="00AE78CA"/>
    <w:rsid w:val="00AE7B8D"/>
    <w:rsid w:val="00AF2861"/>
    <w:rsid w:val="00AF302E"/>
    <w:rsid w:val="00B01BD5"/>
    <w:rsid w:val="00B04476"/>
    <w:rsid w:val="00B05B83"/>
    <w:rsid w:val="00B1099E"/>
    <w:rsid w:val="00B129DD"/>
    <w:rsid w:val="00B14C24"/>
    <w:rsid w:val="00B17992"/>
    <w:rsid w:val="00B20C2B"/>
    <w:rsid w:val="00B22967"/>
    <w:rsid w:val="00B23344"/>
    <w:rsid w:val="00B24258"/>
    <w:rsid w:val="00B250D7"/>
    <w:rsid w:val="00B302FB"/>
    <w:rsid w:val="00B309E3"/>
    <w:rsid w:val="00B31853"/>
    <w:rsid w:val="00B36260"/>
    <w:rsid w:val="00B4463E"/>
    <w:rsid w:val="00B50B07"/>
    <w:rsid w:val="00B530DA"/>
    <w:rsid w:val="00B6659F"/>
    <w:rsid w:val="00B70A31"/>
    <w:rsid w:val="00B70A99"/>
    <w:rsid w:val="00B71058"/>
    <w:rsid w:val="00B7344C"/>
    <w:rsid w:val="00B77FED"/>
    <w:rsid w:val="00B8098B"/>
    <w:rsid w:val="00B80C9E"/>
    <w:rsid w:val="00B83E10"/>
    <w:rsid w:val="00B85697"/>
    <w:rsid w:val="00B85F29"/>
    <w:rsid w:val="00B911AF"/>
    <w:rsid w:val="00B938AC"/>
    <w:rsid w:val="00B93F7E"/>
    <w:rsid w:val="00B9581C"/>
    <w:rsid w:val="00B96A17"/>
    <w:rsid w:val="00BA27FC"/>
    <w:rsid w:val="00BA43DC"/>
    <w:rsid w:val="00BB06D2"/>
    <w:rsid w:val="00BB134B"/>
    <w:rsid w:val="00BC0CFA"/>
    <w:rsid w:val="00BC462B"/>
    <w:rsid w:val="00BD14B3"/>
    <w:rsid w:val="00BD677A"/>
    <w:rsid w:val="00BD74AF"/>
    <w:rsid w:val="00BE0CC0"/>
    <w:rsid w:val="00BE233B"/>
    <w:rsid w:val="00BE68FA"/>
    <w:rsid w:val="00BE7A6E"/>
    <w:rsid w:val="00BF6E0F"/>
    <w:rsid w:val="00BF7961"/>
    <w:rsid w:val="00C0414E"/>
    <w:rsid w:val="00C04B7A"/>
    <w:rsid w:val="00C058C8"/>
    <w:rsid w:val="00C127FA"/>
    <w:rsid w:val="00C17A86"/>
    <w:rsid w:val="00C20F80"/>
    <w:rsid w:val="00C249A6"/>
    <w:rsid w:val="00C40502"/>
    <w:rsid w:val="00C4326C"/>
    <w:rsid w:val="00C45025"/>
    <w:rsid w:val="00C52084"/>
    <w:rsid w:val="00C56DD5"/>
    <w:rsid w:val="00C60A8D"/>
    <w:rsid w:val="00C631A4"/>
    <w:rsid w:val="00C63F7B"/>
    <w:rsid w:val="00C753C2"/>
    <w:rsid w:val="00C802FB"/>
    <w:rsid w:val="00C84524"/>
    <w:rsid w:val="00C85653"/>
    <w:rsid w:val="00C90A34"/>
    <w:rsid w:val="00CA216C"/>
    <w:rsid w:val="00CA3262"/>
    <w:rsid w:val="00CA438F"/>
    <w:rsid w:val="00CA4BF9"/>
    <w:rsid w:val="00CA53FA"/>
    <w:rsid w:val="00CC0700"/>
    <w:rsid w:val="00CD024D"/>
    <w:rsid w:val="00CD3A41"/>
    <w:rsid w:val="00CD431E"/>
    <w:rsid w:val="00CE0469"/>
    <w:rsid w:val="00CE1C82"/>
    <w:rsid w:val="00CE51D0"/>
    <w:rsid w:val="00CF1704"/>
    <w:rsid w:val="00CF1DF5"/>
    <w:rsid w:val="00CF7FBE"/>
    <w:rsid w:val="00D01A63"/>
    <w:rsid w:val="00D0621B"/>
    <w:rsid w:val="00D12C36"/>
    <w:rsid w:val="00D21ECE"/>
    <w:rsid w:val="00D27727"/>
    <w:rsid w:val="00D40F51"/>
    <w:rsid w:val="00D4431A"/>
    <w:rsid w:val="00D45F61"/>
    <w:rsid w:val="00D46962"/>
    <w:rsid w:val="00D47741"/>
    <w:rsid w:val="00D53327"/>
    <w:rsid w:val="00D553D4"/>
    <w:rsid w:val="00D563FD"/>
    <w:rsid w:val="00D57210"/>
    <w:rsid w:val="00D57AED"/>
    <w:rsid w:val="00D57F74"/>
    <w:rsid w:val="00D6211C"/>
    <w:rsid w:val="00D81A9D"/>
    <w:rsid w:val="00D875FB"/>
    <w:rsid w:val="00D901D7"/>
    <w:rsid w:val="00D91535"/>
    <w:rsid w:val="00D92B4E"/>
    <w:rsid w:val="00D92BFE"/>
    <w:rsid w:val="00D96D23"/>
    <w:rsid w:val="00DA14E0"/>
    <w:rsid w:val="00DB195E"/>
    <w:rsid w:val="00DC1583"/>
    <w:rsid w:val="00DC2B31"/>
    <w:rsid w:val="00DD1866"/>
    <w:rsid w:val="00DD2DA4"/>
    <w:rsid w:val="00DD5A69"/>
    <w:rsid w:val="00DD6528"/>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868"/>
    <w:rsid w:val="00ED6373"/>
    <w:rsid w:val="00EE2FB1"/>
    <w:rsid w:val="00EE4D9C"/>
    <w:rsid w:val="00EE571A"/>
    <w:rsid w:val="00EE6265"/>
    <w:rsid w:val="00EE69E9"/>
    <w:rsid w:val="00EE70BF"/>
    <w:rsid w:val="00EE7518"/>
    <w:rsid w:val="00EE7775"/>
    <w:rsid w:val="00EF03BA"/>
    <w:rsid w:val="00EF193B"/>
    <w:rsid w:val="00F12307"/>
    <w:rsid w:val="00F17A40"/>
    <w:rsid w:val="00F23D6E"/>
    <w:rsid w:val="00F241AD"/>
    <w:rsid w:val="00F30C33"/>
    <w:rsid w:val="00F32EBF"/>
    <w:rsid w:val="00F34A32"/>
    <w:rsid w:val="00F455F1"/>
    <w:rsid w:val="00F50F2C"/>
    <w:rsid w:val="00F52DF0"/>
    <w:rsid w:val="00F565FD"/>
    <w:rsid w:val="00F570D3"/>
    <w:rsid w:val="00F62221"/>
    <w:rsid w:val="00F65CF8"/>
    <w:rsid w:val="00F712EE"/>
    <w:rsid w:val="00F73BB1"/>
    <w:rsid w:val="00F814A4"/>
    <w:rsid w:val="00F8513C"/>
    <w:rsid w:val="00F97C38"/>
    <w:rsid w:val="00FA7ED5"/>
    <w:rsid w:val="00FB1441"/>
    <w:rsid w:val="00FB4212"/>
    <w:rsid w:val="00FB72DD"/>
    <w:rsid w:val="00FC05A9"/>
    <w:rsid w:val="00FC0DAE"/>
    <w:rsid w:val="00FC0EBE"/>
    <w:rsid w:val="00FC1FC5"/>
    <w:rsid w:val="00FC6F08"/>
    <w:rsid w:val="00FC7CC7"/>
    <w:rsid w:val="00FD27F7"/>
    <w:rsid w:val="00FD3B73"/>
    <w:rsid w:val="00FE2FFB"/>
    <w:rsid w:val="00FE49AC"/>
    <w:rsid w:val="00FF2D02"/>
    <w:rsid w:val="00FF369E"/>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A1E9A-D208-4C3E-81BC-DA8EFDC5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42</Pages>
  <Words>10930</Words>
  <Characters>60116</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dcterms:created xsi:type="dcterms:W3CDTF">2025-04-22T17:30:00Z</dcterms:created>
  <dcterms:modified xsi:type="dcterms:W3CDTF">2025-05-23T19:10:00Z</dcterms:modified>
</cp:coreProperties>
</file>