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B71" w:rsidRPr="00B628D2" w:rsidRDefault="00033ED5" w:rsidP="00033ED5">
      <w:pPr>
        <w:tabs>
          <w:tab w:val="left" w:pos="3465"/>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Re</w:t>
      </w:r>
      <w:bookmarkStart w:id="0" w:name="_GoBack"/>
      <w:bookmarkEnd w:id="0"/>
      <w:r w:rsidRPr="00B628D2">
        <w:rPr>
          <w:rFonts w:ascii="Palatino Linotype" w:eastAsia="Palatino Linotype" w:hAnsi="Palatino Linotype" w:cs="Palatino Linotype"/>
          <w:color w:val="000000" w:themeColor="text1"/>
        </w:rPr>
        <w:t xml:space="preserve">solución del Pleno del Instituto de Transparencia, Acceso a la Información Pública y Protección de Datos Personales del Estado de México y Municipios, con domicilio en Metepec, Estado de México; </w:t>
      </w:r>
      <w:r w:rsidRPr="00B628D2">
        <w:rPr>
          <w:rFonts w:ascii="Palatino Linotype" w:eastAsia="Palatino Linotype" w:hAnsi="Palatino Linotype" w:cs="Palatino Linotype"/>
          <w:b/>
          <w:color w:val="000000" w:themeColor="text1"/>
        </w:rPr>
        <w:t>de fecha trece (13) de agosto de dos mil veinticinco.</w:t>
      </w:r>
    </w:p>
    <w:p w:rsidR="00CB0B71" w:rsidRPr="00B628D2" w:rsidRDefault="00CB0B71" w:rsidP="00033ED5">
      <w:pPr>
        <w:tabs>
          <w:tab w:val="left" w:pos="3465"/>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color w:val="000000" w:themeColor="text1"/>
        </w:rPr>
        <w:t xml:space="preserve">VISTAS </w:t>
      </w:r>
      <w:r w:rsidRPr="00B628D2">
        <w:rPr>
          <w:rFonts w:ascii="Palatino Linotype" w:eastAsia="Palatino Linotype" w:hAnsi="Palatino Linotype" w:cs="Palatino Linotype"/>
          <w:color w:val="000000" w:themeColor="text1"/>
        </w:rPr>
        <w:t xml:space="preserve">las constancias para resolver el Recurso de Revisión </w:t>
      </w:r>
      <w:r w:rsidRPr="00B628D2">
        <w:rPr>
          <w:rFonts w:ascii="Palatino Linotype" w:eastAsia="Palatino Linotype" w:hAnsi="Palatino Linotype" w:cs="Palatino Linotype"/>
          <w:b/>
          <w:color w:val="000000" w:themeColor="text1"/>
        </w:rPr>
        <w:t>02583/INFOEM/IP/RR/2025</w:t>
      </w:r>
      <w:r w:rsidRPr="00B628D2">
        <w:rPr>
          <w:rFonts w:ascii="Palatino Linotype" w:eastAsia="Palatino Linotype" w:hAnsi="Palatino Linotype" w:cs="Palatino Linotype"/>
          <w:color w:val="000000" w:themeColor="text1"/>
        </w:rPr>
        <w:t>, promovido por una persona que se registró bajo el seudónimo de</w:t>
      </w:r>
      <w:r w:rsidRPr="00B628D2">
        <w:rPr>
          <w:rFonts w:ascii="Palatino Linotype" w:eastAsia="Palatino Linotype" w:hAnsi="Palatino Linotype" w:cs="Palatino Linotype"/>
          <w:b/>
          <w:color w:val="000000" w:themeColor="text1"/>
        </w:rPr>
        <w:t xml:space="preserve"> </w:t>
      </w:r>
      <w:r w:rsidR="007E6FBE">
        <w:rPr>
          <w:rFonts w:ascii="Palatino Linotype" w:eastAsia="Palatino Linotype" w:hAnsi="Palatino Linotype" w:cs="Palatino Linotype"/>
          <w:b/>
          <w:color w:val="000000" w:themeColor="text1"/>
        </w:rPr>
        <w:t>XXXX</w:t>
      </w:r>
      <w:r w:rsidRPr="00B628D2">
        <w:rPr>
          <w:rFonts w:ascii="Palatino Linotype" w:eastAsia="Palatino Linotype" w:hAnsi="Palatino Linotype" w:cs="Palatino Linotype"/>
          <w:color w:val="000000" w:themeColor="text1"/>
        </w:rPr>
        <w:t xml:space="preserve">, en lo sucesivo </w:t>
      </w:r>
      <w:r w:rsidRPr="00B628D2">
        <w:rPr>
          <w:rFonts w:ascii="Palatino Linotype" w:eastAsia="Palatino Linotype" w:hAnsi="Palatino Linotype" w:cs="Palatino Linotype"/>
          <w:b/>
          <w:color w:val="000000" w:themeColor="text1"/>
        </w:rPr>
        <w:t>EL RECURRENTE</w:t>
      </w:r>
      <w:r w:rsidRPr="00B628D2">
        <w:rPr>
          <w:rFonts w:ascii="Palatino Linotype" w:eastAsia="Palatino Linotype" w:hAnsi="Palatino Linotype" w:cs="Palatino Linotype"/>
          <w:color w:val="000000" w:themeColor="text1"/>
        </w:rPr>
        <w:t xml:space="preserve">, en contra de la respuesta otorgada a la solicitud de información </w:t>
      </w:r>
      <w:r w:rsidRPr="00B628D2">
        <w:rPr>
          <w:rFonts w:ascii="Palatino Linotype" w:eastAsia="Palatino Linotype" w:hAnsi="Palatino Linotype" w:cs="Palatino Linotype"/>
          <w:b/>
          <w:color w:val="000000" w:themeColor="text1"/>
        </w:rPr>
        <w:t>00016/DIFNAUCAL/IP/2025</w:t>
      </w:r>
      <w:r w:rsidRPr="00B628D2">
        <w:rPr>
          <w:rFonts w:ascii="Palatino Linotype" w:eastAsia="Palatino Linotype" w:hAnsi="Palatino Linotype" w:cs="Palatino Linotype"/>
          <w:color w:val="000000" w:themeColor="text1"/>
        </w:rPr>
        <w:t xml:space="preserve">, por parte del </w:t>
      </w:r>
      <w:r w:rsidRPr="00B628D2">
        <w:rPr>
          <w:rFonts w:ascii="Palatino Linotype" w:eastAsia="Palatino Linotype" w:hAnsi="Palatino Linotype" w:cs="Palatino Linotype"/>
          <w:b/>
          <w:color w:val="000000" w:themeColor="text1"/>
        </w:rPr>
        <w:t xml:space="preserve">Sistema Municipal Para el Desarrollo Integral de la Familia de Naucalpan de Juárez, </w:t>
      </w:r>
      <w:r w:rsidRPr="00B628D2">
        <w:rPr>
          <w:rFonts w:ascii="Palatino Linotype" w:eastAsia="Palatino Linotype" w:hAnsi="Palatino Linotype" w:cs="Palatino Linotype"/>
          <w:color w:val="000000" w:themeColor="text1"/>
        </w:rPr>
        <w:t xml:space="preserve">en adelante 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se emite la presente resolución con base en los siguientes:</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B628D2">
        <w:rPr>
          <w:rFonts w:ascii="Palatino Linotype" w:eastAsia="Palatino Linotype" w:hAnsi="Palatino Linotype" w:cs="Palatino Linotype"/>
          <w:b/>
          <w:color w:val="000000" w:themeColor="text1"/>
          <w:sz w:val="24"/>
          <w:szCs w:val="24"/>
        </w:rPr>
        <w:t>A N T E C E D E N T E S</w:t>
      </w:r>
    </w:p>
    <w:p w:rsidR="00CB0B71" w:rsidRPr="00B628D2" w:rsidRDefault="00CB0B71" w:rsidP="00033ED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CB0B71" w:rsidRPr="00B628D2" w:rsidRDefault="00033ED5" w:rsidP="00033ED5">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 </w:t>
      </w:r>
      <w:r w:rsidRPr="00B628D2">
        <w:rPr>
          <w:rFonts w:ascii="Palatino Linotype" w:eastAsia="Palatino Linotype" w:hAnsi="Palatino Linotype" w:cs="Palatino Linotype"/>
          <w:b/>
          <w:color w:val="000000" w:themeColor="text1"/>
        </w:rPr>
        <w:t>treinta y uno de enero de dos mil veinticinco</w:t>
      </w:r>
      <w:r w:rsidRPr="00B628D2">
        <w:rPr>
          <w:rFonts w:ascii="Palatino Linotype" w:eastAsia="Palatino Linotype" w:hAnsi="Palatino Linotype" w:cs="Palatino Linotype"/>
          <w:color w:val="000000" w:themeColor="text1"/>
        </w:rPr>
        <w:t>,</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B628D2">
        <w:rPr>
          <w:rFonts w:ascii="Palatino Linotype" w:eastAsia="Palatino Linotype" w:hAnsi="Palatino Linotype" w:cs="Palatino Linotype"/>
          <w:b/>
          <w:color w:val="000000" w:themeColor="text1"/>
        </w:rPr>
        <w:t>solicitud de información pública</w:t>
      </w:r>
      <w:r w:rsidRPr="00B628D2">
        <w:rPr>
          <w:rFonts w:ascii="Palatino Linotype" w:eastAsia="Palatino Linotype" w:hAnsi="Palatino Linotype" w:cs="Palatino Linotype"/>
          <w:color w:val="000000" w:themeColor="text1"/>
        </w:rPr>
        <w:t>:</w:t>
      </w:r>
    </w:p>
    <w:p w:rsidR="00CB0B71" w:rsidRPr="00B628D2" w:rsidRDefault="00CB0B71" w:rsidP="00033ED5">
      <w:pPr>
        <w:pBdr>
          <w:top w:val="nil"/>
          <w:left w:val="nil"/>
          <w:bottom w:val="nil"/>
          <w:right w:val="nil"/>
          <w:between w:val="nil"/>
        </w:pBdr>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 “Solicito expediente laboral de todos los mandos medios y superiores que forman parte del organigrama.” (Sic)</w:t>
      </w:r>
    </w:p>
    <w:p w:rsidR="00CB0B71" w:rsidRDefault="00CB0B71" w:rsidP="00033ED5">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8E8" w:rsidRPr="00B628D2" w:rsidRDefault="007218E8" w:rsidP="00033ED5">
      <w:pPr>
        <w:pBdr>
          <w:top w:val="nil"/>
          <w:left w:val="nil"/>
          <w:bottom w:val="nil"/>
          <w:right w:val="nil"/>
          <w:between w:val="nil"/>
        </w:pBdr>
        <w:jc w:val="both"/>
        <w:rPr>
          <w:rFonts w:ascii="Palatino Linotype" w:eastAsia="Palatino Linotype" w:hAnsi="Palatino Linotype" w:cs="Palatino Linotype"/>
          <w:i/>
          <w:color w:val="000000" w:themeColor="text1"/>
        </w:rPr>
      </w:pPr>
    </w:p>
    <w:p w:rsidR="00CB0B71" w:rsidRPr="00B628D2" w:rsidRDefault="00033ED5" w:rsidP="00033ED5">
      <w:pPr>
        <w:numPr>
          <w:ilvl w:val="0"/>
          <w:numId w:val="1"/>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Se eligió como modalidad de entrega de la información: A través del </w:t>
      </w:r>
      <w:r w:rsidRPr="00B628D2">
        <w:rPr>
          <w:rFonts w:ascii="Palatino Linotype" w:eastAsia="Palatino Linotype" w:hAnsi="Palatino Linotype" w:cs="Palatino Linotype"/>
          <w:b/>
          <w:color w:val="000000" w:themeColor="text1"/>
        </w:rPr>
        <w:t>SAIMEX.</w:t>
      </w:r>
    </w:p>
    <w:p w:rsidR="00CB0B71" w:rsidRPr="00B628D2" w:rsidRDefault="00CB0B71" w:rsidP="00033ED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 </w:t>
      </w:r>
      <w:r w:rsidRPr="00B628D2">
        <w:rPr>
          <w:rFonts w:ascii="Palatino Linotype" w:eastAsia="Palatino Linotype" w:hAnsi="Palatino Linotype" w:cs="Palatino Linotype"/>
          <w:b/>
          <w:color w:val="000000" w:themeColor="text1"/>
        </w:rPr>
        <w:t>veinticuatro de febrero de dos mil veinticinco</w:t>
      </w:r>
      <w:r w:rsidRPr="00B628D2">
        <w:rPr>
          <w:rFonts w:ascii="Palatino Linotype" w:eastAsia="Palatino Linotype" w:hAnsi="Palatino Linotype" w:cs="Palatino Linotype"/>
          <w:color w:val="000000" w:themeColor="text1"/>
        </w:rPr>
        <w:t xml:space="preserve"> el Sujeto Obligado notificó la a aprobación de una prórroga por siete días, a fin de estar en posibilidad de realizar la respuesta </w:t>
      </w:r>
      <w:r w:rsidRPr="00B628D2">
        <w:rPr>
          <w:rFonts w:ascii="Palatino Linotype" w:eastAsia="Palatino Linotype" w:hAnsi="Palatino Linotype" w:cs="Palatino Linotype"/>
          <w:color w:val="000000" w:themeColor="text1"/>
        </w:rPr>
        <w:lastRenderedPageBreak/>
        <w:t xml:space="preserve">en tiempo y forma, anexando oficio en el que se señala oficio de respuesta a la solicitud </w:t>
      </w:r>
      <w:r w:rsidRPr="00B628D2">
        <w:rPr>
          <w:rFonts w:ascii="Palatino Linotype" w:eastAsia="Palatino Linotype" w:hAnsi="Palatino Linotype" w:cs="Palatino Linotype"/>
          <w:b/>
          <w:color w:val="000000" w:themeColor="text1"/>
        </w:rPr>
        <w:t xml:space="preserve">00008/DIFNAUCAL/IP/2025 </w:t>
      </w:r>
      <w:r w:rsidRPr="00B628D2">
        <w:rPr>
          <w:rFonts w:ascii="Palatino Linotype" w:eastAsia="Palatino Linotype" w:hAnsi="Palatino Linotype" w:cs="Palatino Linotype"/>
          <w:color w:val="000000" w:themeColor="text1"/>
        </w:rPr>
        <w:t>en la que se solicitó “Recibo de nómina del mes se enero de 2025 en versión pública de todos los funcionarios que conforman la estructura orgánica del DIF Naucalpan 2025-2028”, agregando 528 recibos de nómina, dejando a la vista descuentos de carácter personal susceptibles de ser clasificados. De la misma manera se muestra el acuerdo del Comité de Transparencia CT/SMDIFN/SO03/002/VP/2025 a través del cual se aprueba la versión pública parcial de la información contenida en el expediente laboral de la Directora del Ejercicio Fiscal 2022-2024.</w:t>
      </w:r>
    </w:p>
    <w:p w:rsidR="00CB0B71" w:rsidRPr="00B628D2" w:rsidRDefault="00CB0B71" w:rsidP="00033ED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El</w:t>
      </w:r>
      <w:r w:rsidRPr="00B628D2">
        <w:rPr>
          <w:rFonts w:ascii="Palatino Linotype" w:eastAsia="Palatino Linotype" w:hAnsi="Palatino Linotype" w:cs="Palatino Linotype"/>
          <w:b/>
          <w:color w:val="000000" w:themeColor="text1"/>
        </w:rPr>
        <w:t xml:space="preserve"> seis de marzo de dos mil veinticinco</w:t>
      </w:r>
      <w:r w:rsidRPr="00B628D2">
        <w:rPr>
          <w:rFonts w:ascii="Palatino Linotype" w:eastAsia="Palatino Linotype" w:hAnsi="Palatino Linotype" w:cs="Palatino Linotype"/>
          <w:color w:val="000000" w:themeColor="text1"/>
        </w:rPr>
        <w:t>, el Sujeto Obligado</w:t>
      </w:r>
      <w:r w:rsidRPr="00B628D2">
        <w:rPr>
          <w:rFonts w:ascii="Palatino Linotype" w:eastAsia="Palatino Linotype" w:hAnsi="Palatino Linotype" w:cs="Palatino Linotype"/>
          <w:b/>
          <w:color w:val="000000" w:themeColor="text1"/>
        </w:rPr>
        <w:t>,</w:t>
      </w:r>
      <w:r w:rsidRPr="00B628D2">
        <w:rPr>
          <w:rFonts w:ascii="Palatino Linotype" w:eastAsia="Palatino Linotype" w:hAnsi="Palatino Linotype" w:cs="Palatino Linotype"/>
          <w:color w:val="000000" w:themeColor="text1"/>
        </w:rPr>
        <w:t xml:space="preserve"> dio </w:t>
      </w:r>
      <w:r w:rsidRPr="00B628D2">
        <w:rPr>
          <w:rFonts w:ascii="Palatino Linotype" w:eastAsia="Palatino Linotype" w:hAnsi="Palatino Linotype" w:cs="Palatino Linotype"/>
          <w:b/>
          <w:color w:val="000000" w:themeColor="text1"/>
        </w:rPr>
        <w:t>respuesta</w:t>
      </w:r>
      <w:r w:rsidRPr="00B628D2">
        <w:rPr>
          <w:rFonts w:ascii="Palatino Linotype" w:eastAsia="Palatino Linotype" w:hAnsi="Palatino Linotype" w:cs="Palatino Linotype"/>
          <w:color w:val="000000" w:themeColor="text1"/>
        </w:rPr>
        <w:t xml:space="preserve"> a través del siguiente archivo electrónico</w:t>
      </w:r>
      <w:r w:rsidRPr="00B628D2">
        <w:rPr>
          <w:rFonts w:ascii="Palatino Linotype" w:eastAsia="Palatino Linotype" w:hAnsi="Palatino Linotype" w:cs="Palatino Linotype"/>
          <w:b/>
          <w:i/>
          <w:color w:val="000000" w:themeColor="text1"/>
        </w:rPr>
        <w:t>:</w:t>
      </w:r>
    </w:p>
    <w:p w:rsidR="00CB0B71" w:rsidRPr="00B628D2" w:rsidRDefault="00033ED5" w:rsidP="00033ED5">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anexos respuesta 16.1.pdf</w:t>
      </w:r>
    </w:p>
    <w:p w:rsidR="00CB0B71" w:rsidRPr="00B628D2" w:rsidRDefault="00033ED5"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Documento que contiene:</w:t>
      </w:r>
    </w:p>
    <w:p w:rsidR="00CB0B71" w:rsidRPr="00B628D2" w:rsidRDefault="00033ED5"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Diversos documentos correspondientes a expedientes laborales de servidores públicos, tales como solicitud de empleo, certificado de no deudor alimentario moroso, informe de no antecedentes penales, cartas de recomendación, certificado médico, comprobante domiciliario, credencial para votar, comprobantes de estudios, cédula profesional, constancia de situación fiscal, CURP, acta de nacimiento, currículum vitae, constancia de no inhabilitación, avisos de movimiento de ISSEMYM, cartilla militar,  en versión pública.</w:t>
      </w:r>
    </w:p>
    <w:p w:rsidR="00CB0B71" w:rsidRPr="00B628D2" w:rsidRDefault="00CB0B71"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  Acuerdo el Comité de transparencia número CT/SMDIFN/SO002/014/VP/2025 a través del cual se aprueba la versión pública de la información contenida en el </w:t>
      </w:r>
      <w:r w:rsidRPr="00B628D2">
        <w:rPr>
          <w:rFonts w:ascii="Palatino Linotype" w:eastAsia="Palatino Linotype" w:hAnsi="Palatino Linotype" w:cs="Palatino Linotype"/>
          <w:b/>
          <w:color w:val="000000" w:themeColor="text1"/>
        </w:rPr>
        <w:t>expediente laboral de la estructura correspondiente al ejercicio fiscal 2024</w:t>
      </w:r>
      <w:r w:rsidRPr="00B628D2">
        <w:rPr>
          <w:rFonts w:ascii="Palatino Linotype" w:eastAsia="Palatino Linotype" w:hAnsi="Palatino Linotype" w:cs="Palatino Linotype"/>
          <w:color w:val="000000" w:themeColor="text1"/>
        </w:rPr>
        <w:t>, la cual contiene datos personales. Misma que se presenta incompleta.</w:t>
      </w:r>
    </w:p>
    <w:p w:rsidR="00CB0B71" w:rsidRPr="00B628D2" w:rsidRDefault="00CB0B71"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Oficio DIF/SA/00311/2025 de fecha 06 de marzo de 2025, firmado por la Subdirectora de Administración, a través del cual refiere adjuntar en formato PDF los expedientes laborales de la estructura orgánica en versión pública del Sujeto Obligado.</w:t>
      </w:r>
    </w:p>
    <w:p w:rsidR="00CB0B71" w:rsidRPr="00B628D2" w:rsidRDefault="00CB0B71" w:rsidP="00033ED5">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CB0B71" w:rsidRPr="00B628D2" w:rsidRDefault="00CB0B71" w:rsidP="00033ED5">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CB0B71" w:rsidRPr="00B628D2" w:rsidRDefault="00033ED5" w:rsidP="00033ED5">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El</w:t>
      </w:r>
      <w:r w:rsidRPr="00B628D2">
        <w:rPr>
          <w:rFonts w:ascii="Palatino Linotype" w:eastAsia="Palatino Linotype" w:hAnsi="Palatino Linotype" w:cs="Palatino Linotype"/>
          <w:b/>
          <w:color w:val="000000" w:themeColor="text1"/>
        </w:rPr>
        <w:t xml:space="preserve"> siete de marzo de dos mil veinticinco</w:t>
      </w:r>
      <w:r w:rsidRPr="00B628D2">
        <w:rPr>
          <w:rFonts w:ascii="Palatino Linotype" w:eastAsia="Palatino Linotype" w:hAnsi="Palatino Linotype" w:cs="Palatino Linotype"/>
          <w:color w:val="000000" w:themeColor="text1"/>
        </w:rPr>
        <w:t xml:space="preserve">, el particular interpuso el </w:t>
      </w:r>
      <w:r w:rsidRPr="00B628D2">
        <w:rPr>
          <w:rFonts w:ascii="Palatino Linotype" w:eastAsia="Palatino Linotype" w:hAnsi="Palatino Linotype" w:cs="Palatino Linotype"/>
          <w:b/>
          <w:color w:val="000000" w:themeColor="text1"/>
        </w:rPr>
        <w:t>recurso de revisión</w:t>
      </w:r>
      <w:r w:rsidRPr="00B628D2">
        <w:rPr>
          <w:rFonts w:ascii="Palatino Linotype" w:eastAsia="Palatino Linotype" w:hAnsi="Palatino Linotype" w:cs="Palatino Linotype"/>
          <w:color w:val="000000" w:themeColor="text1"/>
        </w:rPr>
        <w:t xml:space="preserve"> al que se le asignó el folio </w:t>
      </w:r>
      <w:r w:rsidRPr="00B628D2">
        <w:rPr>
          <w:rFonts w:ascii="Palatino Linotype" w:eastAsia="Palatino Linotype" w:hAnsi="Palatino Linotype" w:cs="Palatino Linotype"/>
          <w:b/>
          <w:color w:val="000000" w:themeColor="text1"/>
        </w:rPr>
        <w:t xml:space="preserve">02583/INFOEM/IP/RR/2025 </w:t>
      </w:r>
      <w:r w:rsidRPr="00B628D2">
        <w:rPr>
          <w:rFonts w:ascii="Palatino Linotype" w:eastAsia="Palatino Linotype" w:hAnsi="Palatino Linotype" w:cs="Palatino Linotype"/>
          <w:color w:val="000000" w:themeColor="text1"/>
        </w:rPr>
        <w:t>en contra de la respuesta emitida por el sujeto obligado, realizando las siguientes manifestaciones como acto impugnado y razones o motivos de inconformidad:</w:t>
      </w:r>
    </w:p>
    <w:p w:rsidR="00CB0B71" w:rsidRPr="00B628D2" w:rsidRDefault="00CB0B71" w:rsidP="00033ED5">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CB0B71" w:rsidRPr="007218E8" w:rsidRDefault="00033ED5" w:rsidP="007218E8">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7218E8">
        <w:rPr>
          <w:rFonts w:ascii="Palatino Linotype" w:eastAsia="Palatino Linotype" w:hAnsi="Palatino Linotype" w:cs="Palatino Linotype"/>
          <w:b/>
          <w:color w:val="000000" w:themeColor="text1"/>
        </w:rPr>
        <w:t xml:space="preserve">Acto impugnado: </w:t>
      </w:r>
      <w:r w:rsidRPr="007218E8">
        <w:rPr>
          <w:rFonts w:ascii="Palatino Linotype" w:eastAsia="Palatino Linotype" w:hAnsi="Palatino Linotype" w:cs="Palatino Linotype"/>
          <w:i/>
          <w:color w:val="000000" w:themeColor="text1"/>
        </w:rPr>
        <w:t>“No remiten lo solicitado” (Sic)</w:t>
      </w:r>
    </w:p>
    <w:p w:rsidR="00CB0B71" w:rsidRPr="00B628D2" w:rsidRDefault="00CB0B71" w:rsidP="00033ED5">
      <w:pPr>
        <w:pBdr>
          <w:top w:val="nil"/>
          <w:left w:val="nil"/>
          <w:bottom w:val="nil"/>
          <w:right w:val="nil"/>
          <w:between w:val="nil"/>
        </w:pBdr>
        <w:jc w:val="both"/>
        <w:rPr>
          <w:rFonts w:ascii="Palatino Linotype" w:eastAsia="Palatino Linotype" w:hAnsi="Palatino Linotype" w:cs="Palatino Linotype"/>
          <w:i/>
          <w:color w:val="000000" w:themeColor="text1"/>
        </w:rPr>
      </w:pPr>
    </w:p>
    <w:p w:rsidR="00CB0B71" w:rsidRPr="007218E8" w:rsidRDefault="00033ED5" w:rsidP="007218E8">
      <w:pPr>
        <w:pStyle w:val="Prrafodelista"/>
        <w:numPr>
          <w:ilvl w:val="0"/>
          <w:numId w:val="9"/>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7218E8">
        <w:rPr>
          <w:rFonts w:ascii="Palatino Linotype" w:eastAsia="Palatino Linotype" w:hAnsi="Palatino Linotype" w:cs="Palatino Linotype"/>
          <w:b/>
          <w:color w:val="000000" w:themeColor="text1"/>
        </w:rPr>
        <w:t xml:space="preserve">Razones o Motivos de inconformidad: </w:t>
      </w:r>
      <w:r w:rsidRPr="007218E8">
        <w:rPr>
          <w:rFonts w:ascii="Palatino Linotype" w:eastAsia="Palatino Linotype" w:hAnsi="Palatino Linotype" w:cs="Palatino Linotype"/>
          <w:i/>
          <w:color w:val="000000" w:themeColor="text1"/>
        </w:rPr>
        <w:t xml:space="preserve">“No remiten lo solicitado” </w:t>
      </w:r>
      <w:r w:rsidRPr="007218E8">
        <w:rPr>
          <w:rFonts w:ascii="Palatino Linotype" w:eastAsia="Palatino Linotype" w:hAnsi="Palatino Linotype" w:cs="Palatino Linotype"/>
          <w:color w:val="000000" w:themeColor="text1"/>
        </w:rPr>
        <w:t>(Sic)</w:t>
      </w:r>
    </w:p>
    <w:p w:rsidR="00CB0B71" w:rsidRPr="00B628D2" w:rsidRDefault="00CB0B71" w:rsidP="00033ED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CB0B71" w:rsidRPr="00B628D2" w:rsidRDefault="00033ED5" w:rsidP="00033ED5">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B628D2">
        <w:rPr>
          <w:rFonts w:ascii="Palatino Linotype" w:eastAsia="Palatino Linotype" w:hAnsi="Palatino Linotype" w:cs="Palatino Linotype"/>
          <w:b/>
          <w:color w:val="000000" w:themeColor="text1"/>
        </w:rPr>
        <w:t xml:space="preserve">acuerdo de admisión </w:t>
      </w:r>
      <w:r w:rsidRPr="00B628D2">
        <w:rPr>
          <w:rFonts w:ascii="Palatino Linotype" w:eastAsia="Palatino Linotype" w:hAnsi="Palatino Linotype" w:cs="Palatino Linotype"/>
          <w:color w:val="000000" w:themeColor="text1"/>
        </w:rPr>
        <w:t xml:space="preserve">de fecha </w:t>
      </w:r>
      <w:r w:rsidRPr="00B628D2">
        <w:rPr>
          <w:rFonts w:ascii="Palatino Linotype" w:eastAsia="Palatino Linotype" w:hAnsi="Palatino Linotype" w:cs="Palatino Linotype"/>
          <w:b/>
          <w:color w:val="000000" w:themeColor="text1"/>
        </w:rPr>
        <w:t xml:space="preserve">siete de marzo dos mil veinticinco, </w:t>
      </w:r>
      <w:r w:rsidRPr="00B628D2">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Pr="00B628D2">
        <w:rPr>
          <w:rFonts w:ascii="Palatino Linotype" w:eastAsia="Palatino Linotype" w:hAnsi="Palatino Linotype" w:cs="Palatino Linotype"/>
          <w:b/>
          <w:color w:val="000000" w:themeColor="text1"/>
        </w:rPr>
        <w:t xml:space="preserve">SUJETO OBLIGADO </w:t>
      </w:r>
      <w:r w:rsidRPr="00B628D2">
        <w:rPr>
          <w:rFonts w:ascii="Palatino Linotype" w:eastAsia="Palatino Linotype" w:hAnsi="Palatino Linotype" w:cs="Palatino Linotype"/>
          <w:color w:val="000000" w:themeColor="text1"/>
        </w:rPr>
        <w:t>presentara el Informe Justificado procedente.</w:t>
      </w:r>
    </w:p>
    <w:p w:rsidR="00CB0B71" w:rsidRPr="00B628D2" w:rsidRDefault="00CB0B71" w:rsidP="00033ED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El Recurrente</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dejó de realizar manifestaciones que a su derecho conviniera y asistiera. Por su parte, el Sujeto Obligado,</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 xml:space="preserve">en fecha </w:t>
      </w:r>
      <w:r w:rsidRPr="00B628D2">
        <w:rPr>
          <w:rFonts w:ascii="Palatino Linotype" w:eastAsia="Palatino Linotype" w:hAnsi="Palatino Linotype" w:cs="Palatino Linotype"/>
          <w:b/>
          <w:color w:val="000000" w:themeColor="text1"/>
        </w:rPr>
        <w:t xml:space="preserve">veinte de marzo de dos mil veinticinco, </w:t>
      </w:r>
      <w:r w:rsidRPr="00B628D2">
        <w:rPr>
          <w:rFonts w:ascii="Palatino Linotype" w:eastAsia="Palatino Linotype" w:hAnsi="Palatino Linotype" w:cs="Palatino Linotype"/>
          <w:color w:val="000000" w:themeColor="text1"/>
        </w:rPr>
        <w:t>rindió informe justificado, a través del archivo electrónico siguiente:</w:t>
      </w:r>
    </w:p>
    <w:p w:rsidR="00CB0B71" w:rsidRPr="00B628D2" w:rsidRDefault="00033ED5" w:rsidP="00033ED5">
      <w:pPr>
        <w:pBdr>
          <w:top w:val="nil"/>
          <w:left w:val="nil"/>
          <w:bottom w:val="nil"/>
          <w:right w:val="nil"/>
          <w:between w:val="nil"/>
        </w:pBdr>
        <w:ind w:firstLine="10"/>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ab/>
        <w:t>Informe justificado 16.pdf</w:t>
      </w:r>
    </w:p>
    <w:p w:rsidR="00CB0B71" w:rsidRPr="00B628D2" w:rsidRDefault="00033ED5"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Oficio DIF/ST/UT/043/2025 de fecha 07 de marzo de 2025 firmado por la Encargada de Despacho de la Unidad de Transparencia a través del cual solicita a la Subdirectora de Administración manifestar lo que a sus intereses convenga y anexe informe justificado respecto del recurso de revisión correspondiente.</w:t>
      </w:r>
    </w:p>
    <w:p w:rsidR="00CB0B71" w:rsidRPr="00B628D2" w:rsidRDefault="00CB0B71"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Oficio DIF/SA/0363/2025 de fecha 14 de marzo de 2025, firmado por la Subdirectora de Administración, a través del cual adjunta en formato PDF los expedientes laborales de la estructura orgánica en versión pública del Sujeto Obligado.</w:t>
      </w:r>
    </w:p>
    <w:p w:rsidR="00CB0B71" w:rsidRPr="00B628D2" w:rsidRDefault="00033ED5"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Se agregan diversas documentales consistentes en solicitud de empleo, certificado de no deudor alimentario moroso, informe de no antecedentes penales, cartas de recomendación, certificado médico, comprobante domiciliario, credencial para votar, comprobantes de estudios, cédula profesional, constancia de situación fiscal, CURP, acta de nacimiento, currículum vitae, constancia de no inhabilitación, avisos de movimiento de ISSEMYM, cartilla militar, constancias de participación, por mencionar algunos,  en versión pública, añadiendo más documentales a las remitidas en respuesta.</w:t>
      </w:r>
    </w:p>
    <w:p w:rsidR="00CB0B71" w:rsidRPr="00B628D2" w:rsidRDefault="00CB0B71"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Informe justificado que no se puso a la vista por contener datos personales susceptibles de clasificarse sin haberse suprimido. </w:t>
      </w:r>
    </w:p>
    <w:p w:rsidR="00CB0B71" w:rsidRPr="00B628D2" w:rsidRDefault="00CB0B71" w:rsidP="00033ED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B628D2">
        <w:rPr>
          <w:rFonts w:ascii="Palatino Linotype" w:eastAsia="Palatino Linotype" w:hAnsi="Palatino Linotype" w:cs="Palatino Linotype"/>
          <w:color w:val="000000" w:themeColor="text1"/>
        </w:rPr>
        <w:t>En fecha</w:t>
      </w:r>
      <w:r w:rsidRPr="00B628D2">
        <w:rPr>
          <w:rFonts w:ascii="Palatino Linotype" w:eastAsia="Palatino Linotype" w:hAnsi="Palatino Linotype" w:cs="Palatino Linotype"/>
          <w:b/>
          <w:color w:val="000000" w:themeColor="text1"/>
        </w:rPr>
        <w:t xml:space="preserve"> cinco de agosto de dos mil veinticinco</w:t>
      </w:r>
      <w:r w:rsidRPr="00B628D2">
        <w:rPr>
          <w:rFonts w:ascii="Palatino Linotype" w:eastAsia="Palatino Linotype" w:hAnsi="Palatino Linotype" w:cs="Palatino Linotype"/>
          <w:color w:val="000000" w:themeColor="text1"/>
        </w:rPr>
        <w:t>, se acordó ampliar el pazo para resolver el presente Recurso de Revisión.</w:t>
      </w:r>
    </w:p>
    <w:p w:rsidR="00CB0B71" w:rsidRPr="00B628D2" w:rsidRDefault="00CB0B71" w:rsidP="00033ED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CB0B71" w:rsidRPr="00B628D2" w:rsidRDefault="00033ED5" w:rsidP="00033ED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Seguidamente, en fecha </w:t>
      </w:r>
      <w:r w:rsidRPr="00B628D2">
        <w:rPr>
          <w:rFonts w:ascii="Palatino Linotype" w:eastAsia="Palatino Linotype" w:hAnsi="Palatino Linotype" w:cs="Palatino Linotype"/>
          <w:b/>
          <w:color w:val="000000" w:themeColor="text1"/>
        </w:rPr>
        <w:t>cinco de agosto de dos mil veinticinco</w:t>
      </w:r>
      <w:r w:rsidRPr="00B628D2">
        <w:rPr>
          <w:rFonts w:ascii="Palatino Linotype" w:eastAsia="Palatino Linotype" w:hAnsi="Palatino Linotype" w:cs="Palatino Linotype"/>
          <w:color w:val="000000" w:themeColor="text1"/>
        </w:rPr>
        <w:t xml:space="preserve">, la Comisionada Ponente dictó el </w:t>
      </w:r>
      <w:r w:rsidRPr="00B628D2">
        <w:rPr>
          <w:rFonts w:ascii="Palatino Linotype" w:eastAsia="Palatino Linotype" w:hAnsi="Palatino Linotype" w:cs="Palatino Linotype"/>
          <w:b/>
          <w:color w:val="000000" w:themeColor="text1"/>
        </w:rPr>
        <w:t>cierre del periodo de instrucción</w:t>
      </w:r>
      <w:r w:rsidRPr="00B628D2">
        <w:rPr>
          <w:rFonts w:ascii="Palatino Linotype" w:eastAsia="Palatino Linotype" w:hAnsi="Palatino Linotype" w:cs="Palatino Linotype"/>
          <w:color w:val="000000" w:themeColor="text1"/>
        </w:rPr>
        <w:t xml:space="preserve"> y, ordenó la resolución que conforme a Derecho proceda:</w:t>
      </w:r>
    </w:p>
    <w:p w:rsidR="00CB0B71" w:rsidRPr="00B628D2" w:rsidRDefault="00CB0B71" w:rsidP="00033ED5">
      <w:pPr>
        <w:pBdr>
          <w:top w:val="nil"/>
          <w:left w:val="nil"/>
          <w:bottom w:val="nil"/>
          <w:right w:val="nil"/>
          <w:between w:val="nil"/>
        </w:pBdr>
        <w:rPr>
          <w:rFonts w:ascii="Palatino Linotype" w:eastAsia="Palatino Linotype" w:hAnsi="Palatino Linotype" w:cs="Palatino Linotype"/>
          <w:b/>
          <w:color w:val="000000" w:themeColor="text1"/>
        </w:rPr>
      </w:pPr>
    </w:p>
    <w:p w:rsidR="00CB0B71" w:rsidRPr="00B628D2" w:rsidRDefault="00033ED5" w:rsidP="00033ED5">
      <w:pPr>
        <w:keepNext/>
        <w:keepLines/>
        <w:spacing w:line="360" w:lineRule="auto"/>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C O N S I D E R A N D O </w:t>
      </w:r>
    </w:p>
    <w:p w:rsidR="00CB0B71" w:rsidRPr="00B628D2" w:rsidRDefault="00CB0B71" w:rsidP="00033ED5">
      <w:pPr>
        <w:spacing w:line="360" w:lineRule="auto"/>
        <w:rPr>
          <w:rFonts w:ascii="Palatino Linotype" w:eastAsia="Palatino Linotype" w:hAnsi="Palatino Linotype" w:cs="Palatino Linotype"/>
          <w:color w:val="000000" w:themeColor="text1"/>
        </w:rPr>
      </w:pPr>
    </w:p>
    <w:p w:rsidR="00CB0B71" w:rsidRPr="00B628D2" w:rsidRDefault="00033ED5" w:rsidP="00033ED5">
      <w:pPr>
        <w:keepNext/>
        <w:keepLines/>
        <w:spacing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PRIMERO. De la competencia</w:t>
      </w:r>
    </w:p>
    <w:p w:rsidR="00CB0B71" w:rsidRPr="00B628D2" w:rsidRDefault="00033ED5" w:rsidP="00033ED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w:t>
      </w:r>
      <w:r w:rsidRPr="00B628D2">
        <w:rPr>
          <w:rFonts w:ascii="Palatino Linotype" w:eastAsia="Palatino Linotype" w:hAnsi="Palatino Linotype" w:cs="Palatino Linotype"/>
          <w:color w:val="000000" w:themeColor="text1"/>
        </w:rPr>
        <w:lastRenderedPageBreak/>
        <w:t>Información Pública del Estado de México y Municipios; 6, 9 fracciones I y XXIII, y 11 del Reglamento Interior del Instituto de Transparencia, Acceso a la Información Pública y Protección de Datos Personales del Estado de México y Municipios.</w:t>
      </w:r>
    </w:p>
    <w:p w:rsidR="00CB0B71" w:rsidRPr="00B628D2" w:rsidRDefault="00CB0B71" w:rsidP="00033ED5">
      <w:pPr>
        <w:tabs>
          <w:tab w:val="left" w:pos="426"/>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keepNext/>
        <w:keepLines/>
        <w:spacing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SEGUNDO. De la oportunidad y procedencia.</w:t>
      </w:r>
    </w:p>
    <w:p w:rsidR="00CB0B71" w:rsidRPr="00B628D2" w:rsidRDefault="00033ED5" w:rsidP="00033ED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 medio de impugnación fue presentado a través del </w:t>
      </w:r>
      <w:r w:rsidRPr="00B628D2">
        <w:rPr>
          <w:rFonts w:ascii="Palatino Linotype" w:eastAsia="Palatino Linotype" w:hAnsi="Palatino Linotype" w:cs="Palatino Linotype"/>
          <w:b/>
          <w:color w:val="000000" w:themeColor="text1"/>
        </w:rPr>
        <w:t>SAIMEX,</w:t>
      </w:r>
      <w:r w:rsidRPr="00B628D2">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entregó respuesta el </w:t>
      </w:r>
      <w:r w:rsidRPr="00B628D2">
        <w:rPr>
          <w:rFonts w:ascii="Palatino Linotype" w:eastAsia="Palatino Linotype" w:hAnsi="Palatino Linotype" w:cs="Palatino Linotype"/>
          <w:b/>
          <w:color w:val="000000" w:themeColor="text1"/>
        </w:rPr>
        <w:t>seis de marzo de dos mil veinticinco</w:t>
      </w:r>
      <w:r w:rsidRPr="00B628D2">
        <w:rPr>
          <w:rFonts w:ascii="Palatino Linotype" w:eastAsia="Palatino Linotype" w:hAnsi="Palatino Linotype" w:cs="Palatino Linotype"/>
          <w:color w:val="000000" w:themeColor="text1"/>
        </w:rPr>
        <w:t xml:space="preserve">, de tal forma que el plazo para interponer el recurso transcurrió del </w:t>
      </w:r>
      <w:r w:rsidRPr="00B628D2">
        <w:rPr>
          <w:rFonts w:ascii="Palatino Linotype" w:eastAsia="Palatino Linotype" w:hAnsi="Palatino Linotype" w:cs="Palatino Linotype"/>
          <w:b/>
          <w:color w:val="000000" w:themeColor="text1"/>
        </w:rPr>
        <w:t xml:space="preserve">siete al veintiocho de marzo al veinticinco, </w:t>
      </w:r>
      <w:r w:rsidRPr="00B628D2">
        <w:rPr>
          <w:rFonts w:ascii="Palatino Linotype" w:eastAsia="Palatino Linotype" w:hAnsi="Palatino Linotype" w:cs="Palatino Linotype"/>
          <w:color w:val="000000" w:themeColor="text1"/>
        </w:rPr>
        <w:t xml:space="preserve">en consecuencia, si el </w:t>
      </w:r>
      <w:r w:rsidRPr="00B628D2">
        <w:rPr>
          <w:rFonts w:ascii="Palatino Linotype" w:eastAsia="Palatino Linotype" w:hAnsi="Palatino Linotype" w:cs="Palatino Linotype"/>
          <w:b/>
          <w:color w:val="000000" w:themeColor="text1"/>
        </w:rPr>
        <w:t>PARTICULAR</w:t>
      </w:r>
      <w:r w:rsidRPr="00B628D2">
        <w:rPr>
          <w:rFonts w:ascii="Palatino Linotype" w:eastAsia="Palatino Linotype" w:hAnsi="Palatino Linotype" w:cs="Palatino Linotype"/>
          <w:color w:val="000000" w:themeColor="text1"/>
        </w:rPr>
        <w:t xml:space="preserve"> presentó su inconformidad el </w:t>
      </w:r>
      <w:r w:rsidRPr="00B628D2">
        <w:rPr>
          <w:rFonts w:ascii="Palatino Linotype" w:eastAsia="Palatino Linotype" w:hAnsi="Palatino Linotype" w:cs="Palatino Linotype"/>
          <w:b/>
          <w:color w:val="000000" w:themeColor="text1"/>
        </w:rPr>
        <w:t>siete de marzo de dos mil veinticinco</w:t>
      </w:r>
      <w:r w:rsidRPr="00B628D2">
        <w:rPr>
          <w:rFonts w:ascii="Palatino Linotype" w:eastAsia="Palatino Linotype" w:hAnsi="Palatino Linotype" w:cs="Palatino Linotype"/>
          <w:color w:val="000000" w:themeColor="text1"/>
        </w:rPr>
        <w:t xml:space="preserve">, este  se encuentra dentro de los márgenes temporales previstos en el artículo 178 de la </w:t>
      </w:r>
      <w:r w:rsidRPr="00B628D2">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B628D2">
        <w:rPr>
          <w:rFonts w:ascii="Palatino Linotype" w:eastAsia="Palatino Linotype" w:hAnsi="Palatino Linotype" w:cs="Palatino Linotype"/>
          <w:color w:val="000000" w:themeColor="text1"/>
        </w:rPr>
        <w:t xml:space="preserve">vigente. </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bookmarkStart w:id="5" w:name="_heading=h.2et92p0" w:colFirst="0" w:colLast="0"/>
      <w:bookmarkEnd w:id="5"/>
    </w:p>
    <w:p w:rsidR="00CB0B71" w:rsidRPr="00B628D2" w:rsidRDefault="00033ED5" w:rsidP="00033ED5">
      <w:pPr>
        <w:pStyle w:val="Ttulo2"/>
        <w:rPr>
          <w:rFonts w:ascii="Palatino Linotype" w:eastAsia="Palatino Linotype" w:hAnsi="Palatino Linotype" w:cs="Palatino Linotype"/>
          <w:b/>
          <w:i/>
          <w:color w:val="000000" w:themeColor="text1"/>
          <w:sz w:val="24"/>
          <w:szCs w:val="24"/>
        </w:rPr>
      </w:pPr>
      <w:r w:rsidRPr="00B628D2">
        <w:rPr>
          <w:rFonts w:ascii="Palatino Linotype" w:eastAsia="Palatino Linotype" w:hAnsi="Palatino Linotype" w:cs="Palatino Linotype"/>
          <w:b/>
          <w:color w:val="000000" w:themeColor="text1"/>
          <w:sz w:val="24"/>
          <w:szCs w:val="24"/>
        </w:rPr>
        <w:t xml:space="preserve">TERCERO. Del planteamiento de la </w:t>
      </w:r>
      <w:r w:rsidRPr="00B628D2">
        <w:rPr>
          <w:rFonts w:ascii="Palatino Linotype" w:eastAsia="Palatino Linotype" w:hAnsi="Palatino Linotype" w:cs="Palatino Linotype"/>
          <w:b/>
          <w:i/>
          <w:color w:val="000000" w:themeColor="text1"/>
          <w:sz w:val="24"/>
          <w:szCs w:val="24"/>
        </w:rPr>
        <w:t>Litis.</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Se solicitó tener acceso, a la información que a continuación se simplifica:</w:t>
      </w:r>
    </w:p>
    <w:p w:rsidR="00CB0B71" w:rsidRPr="00B628D2" w:rsidRDefault="00033ED5" w:rsidP="007218E8">
      <w:pPr>
        <w:numPr>
          <w:ilvl w:val="0"/>
          <w:numId w:val="5"/>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i/>
          <w:color w:val="000000" w:themeColor="text1"/>
        </w:rPr>
        <w:t xml:space="preserve"> Expediente laboral de los mandos medios y superiores que forman parte del organigrama.</w:t>
      </w:r>
    </w:p>
    <w:p w:rsidR="00CB0B71" w:rsidRDefault="00CB0B71" w:rsidP="00033ED5">
      <w:pPr>
        <w:pBdr>
          <w:top w:val="nil"/>
          <w:left w:val="nil"/>
          <w:bottom w:val="nil"/>
          <w:right w:val="nil"/>
          <w:between w:val="nil"/>
        </w:pBdr>
        <w:jc w:val="both"/>
        <w:rPr>
          <w:rFonts w:ascii="Palatino Linotype" w:eastAsia="Palatino Linotype" w:hAnsi="Palatino Linotype" w:cs="Palatino Linotype"/>
          <w:color w:val="000000" w:themeColor="text1"/>
        </w:rPr>
      </w:pPr>
    </w:p>
    <w:p w:rsidR="007218E8" w:rsidRPr="00B628D2" w:rsidRDefault="007218E8" w:rsidP="00033ED5">
      <w:pPr>
        <w:pBdr>
          <w:top w:val="nil"/>
          <w:left w:val="nil"/>
          <w:bottom w:val="nil"/>
          <w:right w:val="nil"/>
          <w:between w:val="nil"/>
        </w:pBdr>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respuesta, el Sujeto Obligado</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 xml:space="preserve">remitió diversos documentos correspondientes a expedientes laborales de servidores públicos, en consecuencia se interpuso recurso de revisión argumentando sustancialmente que </w:t>
      </w:r>
      <w:r w:rsidRPr="00B628D2">
        <w:rPr>
          <w:rFonts w:ascii="Palatino Linotype" w:eastAsia="Palatino Linotype" w:hAnsi="Palatino Linotype" w:cs="Palatino Linotype"/>
          <w:i/>
          <w:color w:val="000000" w:themeColor="text1"/>
        </w:rPr>
        <w:t>no se remite la información solicitada.</w:t>
      </w:r>
    </w:p>
    <w:p w:rsidR="00CB0B71" w:rsidRPr="00B628D2" w:rsidRDefault="00CB0B71" w:rsidP="00033ED5">
      <w:pPr>
        <w:jc w:val="both"/>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dichas condiciones, la controversia a resolver en el presente proveído, corresponde a determinar si se actualiza la causal de procedencia prevista en el artículo 179, fracción VI,</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lastRenderedPageBreak/>
        <w:t>de la Ley de Transparencia y Acceso a la Información Pública del Estado de</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México</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y</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Municipios; fracción que determina la hipótesis relativa a la entrega de información que no corresponda con lo solicitado; contexto del cual se dolió el Recurrente al momento de interponer su inconformidad. De modo tal que el presente recurso de revisión se abocará en determinar si el Sujeto Obligado con su respuesta ciertamente actualiza la causal de procedencia</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señalada.</w:t>
      </w:r>
    </w:p>
    <w:p w:rsidR="00CB0B71" w:rsidRPr="00B628D2" w:rsidRDefault="00CB0B71" w:rsidP="00033ED5">
      <w:pPr>
        <w:spacing w:line="360" w:lineRule="auto"/>
        <w:rPr>
          <w:rFonts w:ascii="Palatino Linotype" w:eastAsia="Palatino Linotype" w:hAnsi="Palatino Linotype" w:cs="Palatino Linotype"/>
          <w:color w:val="000000" w:themeColor="text1"/>
        </w:rPr>
      </w:pPr>
    </w:p>
    <w:p w:rsidR="00CB0B71" w:rsidRPr="00B628D2" w:rsidRDefault="00033ED5" w:rsidP="00033ED5">
      <w:pPr>
        <w:pStyle w:val="Ttulo2"/>
        <w:rPr>
          <w:rFonts w:ascii="Palatino Linotype" w:eastAsia="Palatino Linotype" w:hAnsi="Palatino Linotype" w:cs="Palatino Linotype"/>
          <w:b/>
          <w:color w:val="000000" w:themeColor="text1"/>
          <w:sz w:val="24"/>
          <w:szCs w:val="24"/>
        </w:rPr>
      </w:pPr>
      <w:bookmarkStart w:id="6" w:name="_heading=h.1t3h5sf" w:colFirst="0" w:colLast="0"/>
      <w:bookmarkEnd w:id="6"/>
      <w:r w:rsidRPr="00B628D2">
        <w:rPr>
          <w:rFonts w:ascii="Palatino Linotype" w:eastAsia="Palatino Linotype" w:hAnsi="Palatino Linotype" w:cs="Palatino Linotype"/>
          <w:b/>
          <w:color w:val="000000" w:themeColor="text1"/>
          <w:sz w:val="24"/>
          <w:szCs w:val="24"/>
        </w:rPr>
        <w:t>CUARTO. Del estudio y resolución del asunto.</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CB0B71" w:rsidRPr="00B628D2" w:rsidRDefault="00CB0B71" w:rsidP="00033ED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7218E8">
      <w:pPr>
        <w:numPr>
          <w:ilvl w:val="0"/>
          <w:numId w:val="4"/>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Del Sujeto Obligado.</w:t>
      </w: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 xml:space="preserve">La Administración Pública Municipal se compone por las Dependencias, Entidades y Organismos Auxiliares, a través de los cuales el Ayuntamiento realiza actividades para satisfacer las necesidades generales que constituyen el objeto de los servicios y funciones públicas, y para una mejor eficiencia, se dividirá en Centralizada y Descentralizada, la Administración Pública Descentralizada cuenta dentro de su integración con el </w:t>
      </w:r>
      <w:r w:rsidRPr="00B628D2">
        <w:rPr>
          <w:rFonts w:ascii="Palatino Linotype" w:eastAsia="Palatino Linotype" w:hAnsi="Palatino Linotype" w:cs="Palatino Linotype"/>
          <w:b/>
          <w:color w:val="000000" w:themeColor="text1"/>
        </w:rPr>
        <w:t>Sistema Municipal para el Desarrollo Integral de la Familia de Naucalpan de Juárez, México</w:t>
      </w:r>
      <w:r w:rsidRPr="00B628D2">
        <w:rPr>
          <w:rFonts w:ascii="Palatino Linotype" w:eastAsia="Palatino Linotype" w:hAnsi="Palatino Linotype" w:cs="Palatino Linotype"/>
          <w:color w:val="000000" w:themeColor="text1"/>
        </w:rPr>
        <w:t>, de conformidad con el artículo 42, fracción II, del Bando Municipal 2025.</w:t>
      </w:r>
    </w:p>
    <w:p w:rsidR="00CB0B71" w:rsidRPr="00B628D2" w:rsidRDefault="00CB0B71" w:rsidP="00033ED5">
      <w:pPr>
        <w:spacing w:line="360" w:lineRule="auto"/>
        <w:jc w:val="both"/>
        <w:rPr>
          <w:rFonts w:ascii="Palatino Linotype" w:hAnsi="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 xml:space="preserve">El </w:t>
      </w:r>
      <w:r w:rsidRPr="00B628D2">
        <w:rPr>
          <w:rFonts w:ascii="Palatino Linotype" w:eastAsia="Palatino Linotype" w:hAnsi="Palatino Linotype" w:cs="Palatino Linotype"/>
          <w:b/>
          <w:color w:val="000000" w:themeColor="text1"/>
        </w:rPr>
        <w:t>Sistema Municipal para el Desarrollo Integral de la Familia de Naucalpan de Juárez, México</w:t>
      </w:r>
      <w:r w:rsidRPr="00B628D2">
        <w:rPr>
          <w:rFonts w:ascii="Palatino Linotype" w:eastAsia="Palatino Linotype" w:hAnsi="Palatino Linotype" w:cs="Palatino Linotype"/>
          <w:color w:val="000000" w:themeColor="text1"/>
        </w:rPr>
        <w:t xml:space="preserve">, como Organismo Público Descentralizado y con autonomía de gestión, deberá contar con un titular de la Dirección General, quien contará con las siguientes </w:t>
      </w:r>
      <w:r w:rsidRPr="00B628D2">
        <w:rPr>
          <w:rFonts w:ascii="Palatino Linotype" w:eastAsia="Palatino Linotype" w:hAnsi="Palatino Linotype" w:cs="Palatino Linotype"/>
          <w:color w:val="000000" w:themeColor="text1"/>
        </w:rPr>
        <w:lastRenderedPageBreak/>
        <w:t>unidades administrativas, tal como lo señala  el Reglamento Interno del Sistema Municipal para el Desarrollo Integral de la Familia de Naucalpan de Juárez, México, en su artículo 46:</w:t>
      </w:r>
    </w:p>
    <w:p w:rsidR="00CB0B71" w:rsidRPr="00B628D2" w:rsidRDefault="00CB0B71" w:rsidP="00033ED5">
      <w:pPr>
        <w:jc w:val="both"/>
        <w:rPr>
          <w:rFonts w:ascii="Palatino Linotype" w:hAnsi="Palatino Linotype"/>
          <w:color w:val="000000" w:themeColor="text1"/>
        </w:rPr>
      </w:pPr>
    </w:p>
    <w:p w:rsidR="00CB0B71" w:rsidRPr="00B628D2" w:rsidRDefault="00033ED5" w:rsidP="00033ED5">
      <w:pP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Reglamento Interno del Sistema Municipal para el Desarrollo Integral de la Familia de Naucalpan de Juárez</w:t>
      </w:r>
    </w:p>
    <w:p w:rsidR="00CB0B71" w:rsidRPr="00B628D2" w:rsidRDefault="00CB0B71" w:rsidP="00033ED5">
      <w:pPr>
        <w:jc w:val="center"/>
        <w:rPr>
          <w:rFonts w:ascii="Palatino Linotype" w:eastAsia="Palatino Linotype" w:hAnsi="Palatino Linotype" w:cs="Palatino Linotype"/>
          <w:b/>
          <w:i/>
          <w:color w:val="000000" w:themeColor="text1"/>
        </w:rPr>
      </w:pP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Artículo 46.- Para el eficiente y eficaz despacho de sus asuntos, </w:t>
      </w:r>
      <w:r w:rsidRPr="00B628D2">
        <w:rPr>
          <w:rFonts w:ascii="Palatino Linotype" w:eastAsia="Palatino Linotype" w:hAnsi="Palatino Linotype" w:cs="Palatino Linotype"/>
          <w:b/>
          <w:i/>
          <w:color w:val="000000" w:themeColor="text1"/>
        </w:rPr>
        <w:t>la Dirección General contará con las siguientes unidades administrativas:</w:t>
      </w:r>
      <w:r w:rsidRPr="00B628D2">
        <w:rPr>
          <w:rFonts w:ascii="Palatino Linotype" w:eastAsia="Palatino Linotype" w:hAnsi="Palatino Linotype" w:cs="Palatino Linotype"/>
          <w:i/>
          <w:color w:val="000000" w:themeColor="text1"/>
        </w:rPr>
        <w:t xml:space="preserve"> </w:t>
      </w:r>
    </w:p>
    <w:p w:rsidR="00CB0B71" w:rsidRPr="00B628D2" w:rsidRDefault="00CB0B71" w:rsidP="00033ED5">
      <w:pPr>
        <w:jc w:val="both"/>
        <w:rPr>
          <w:rFonts w:ascii="Palatino Linotype" w:eastAsia="Palatino Linotype" w:hAnsi="Palatino Linotype" w:cs="Palatino Linotype"/>
          <w:i/>
          <w:color w:val="000000" w:themeColor="text1"/>
        </w:rPr>
      </w:pP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 Jefatura de Oficina;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 Contraloría Interna;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III. Secretaria Técnica;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IV. Unidad de Vinculación Social;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V. Unidad de Procuración de Fondos;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VI. Tesorería;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VII. Consejería Jurídica; </w:t>
      </w:r>
    </w:p>
    <w:p w:rsidR="00CB0B71" w:rsidRPr="00B628D2" w:rsidRDefault="00033ED5" w:rsidP="00033ED5">
      <w:pPr>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VIII. Subdirección de Administración;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IX. Procuraduría de Protección de Niñas, Niños y Adolescentes;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X. Subdirección de Asistencia al Adulto Mayor;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XI. Subdirección de Asistencia a la Salud;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XII. Subdirección de Asistencia a la Discapacidad;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XIII. Subdirección de Asistencia a la Niñez; y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XIV. Subdirección de Asistencia Social.</w:t>
      </w:r>
    </w:p>
    <w:p w:rsidR="00CB0B71" w:rsidRPr="00B628D2" w:rsidRDefault="00CB0B71" w:rsidP="00033ED5">
      <w:pPr>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Corresponde a la </w:t>
      </w:r>
      <w:r w:rsidRPr="00B628D2">
        <w:rPr>
          <w:rFonts w:ascii="Palatino Linotype" w:eastAsia="Palatino Linotype" w:hAnsi="Palatino Linotype" w:cs="Palatino Linotype"/>
          <w:b/>
          <w:color w:val="000000" w:themeColor="text1"/>
        </w:rPr>
        <w:t>Subdirección de Administración</w:t>
      </w:r>
      <w:r w:rsidRPr="00B628D2">
        <w:rPr>
          <w:rFonts w:ascii="Palatino Linotype" w:eastAsia="Palatino Linotype" w:hAnsi="Palatino Linotype" w:cs="Palatino Linotype"/>
          <w:color w:val="000000" w:themeColor="text1"/>
        </w:rPr>
        <w:t xml:space="preserve"> dentro de sus atribuciones las de dirigir, coordinar, administrar y supervisar los recursos humanos, de las diferentes unidades administrativas, suscribir contratos de trabajo de los servidores públicos, supervisar movimientos de personal, tabuladores de sueldo, por mencionar algunas, a través de la Jefatura de Recursos Humanos, es la encargada también de llevar a cabo el reclutamiento, selección y contratación de personal, verificando la veracidad de la información proporcionada por el aspirante, de </w:t>
      </w:r>
      <w:r w:rsidRPr="00B628D2">
        <w:rPr>
          <w:rFonts w:ascii="Palatino Linotype" w:eastAsia="Palatino Linotype" w:hAnsi="Palatino Linotype" w:cs="Palatino Linotype"/>
          <w:b/>
          <w:color w:val="000000" w:themeColor="text1"/>
        </w:rPr>
        <w:t>integrar el expediente de los servidores públicos que laboran en el Sujeto Obligado y llevar el control de los expedientes del personal.</w:t>
      </w: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lastRenderedPageBreak/>
        <w:t xml:space="preserve">De lo expuesto es de precisar que, la respuesta fue emitida por la unidad administrativa competente, por lo que podemos advertir que </w:t>
      </w:r>
      <w:r w:rsidRPr="00B628D2">
        <w:rPr>
          <w:rFonts w:ascii="Palatino Linotype" w:eastAsia="Palatino Linotype" w:hAnsi="Palatino Linotype" w:cs="Palatino Linotype"/>
          <w:b/>
          <w:color w:val="000000" w:themeColor="text1"/>
        </w:rPr>
        <w:t xml:space="preserve">EL SUJETO OBLIGADO </w:t>
      </w:r>
      <w:r w:rsidRPr="00B628D2">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XXXIX.</w:t>
      </w:r>
      <w:r w:rsidRPr="00B628D2">
        <w:rPr>
          <w:rFonts w:ascii="Palatino Linotype" w:eastAsia="Palatino Linotype" w:hAnsi="Palatino Linotype" w:cs="Palatino Linotype"/>
          <w:i/>
          <w:color w:val="000000" w:themeColor="text1"/>
        </w:rPr>
        <w:t xml:space="preserve"> </w:t>
      </w:r>
      <w:r w:rsidRPr="00B628D2">
        <w:rPr>
          <w:rFonts w:ascii="Palatino Linotype" w:eastAsia="Palatino Linotype" w:hAnsi="Palatino Linotype" w:cs="Palatino Linotype"/>
          <w:b/>
          <w:i/>
          <w:color w:val="000000" w:themeColor="text1"/>
        </w:rPr>
        <w:t>Servidor público habilitado</w:t>
      </w:r>
      <w:r w:rsidRPr="00B628D2">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r w:rsidRPr="00B628D2">
        <w:rPr>
          <w:rFonts w:ascii="Palatino Linotype" w:eastAsia="Palatino Linotype" w:hAnsi="Palatino Linotype" w:cs="Palatino Linotype"/>
          <w:b/>
          <w:i/>
          <w:color w:val="000000" w:themeColor="text1"/>
        </w:rPr>
        <w:t>Artículo 162.</w:t>
      </w:r>
      <w:r w:rsidRPr="00B628D2">
        <w:rPr>
          <w:rFonts w:ascii="Palatino Linotype" w:eastAsia="Palatino Linotype" w:hAnsi="Palatino Linotype" w:cs="Palatino Linotype"/>
          <w:i/>
          <w:color w:val="000000" w:themeColor="text1"/>
        </w:rPr>
        <w:t xml:space="preserve"> Las unidades de transparencia deberán garantizar que las solicitudes se turnen a </w:t>
      </w:r>
      <w:r w:rsidRPr="00B628D2">
        <w:rPr>
          <w:rFonts w:ascii="Palatino Linotype" w:eastAsia="Palatino Linotype" w:hAnsi="Palatino Linotype" w:cs="Palatino Linotype"/>
          <w:b/>
          <w:i/>
          <w:color w:val="000000" w:themeColor="text1"/>
        </w:rPr>
        <w:t>todas las Áreas competentes</w:t>
      </w:r>
      <w:r w:rsidRPr="00B628D2">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w:t>
      </w:r>
      <w:r w:rsidRPr="00B628D2">
        <w:rPr>
          <w:rFonts w:ascii="Palatino Linotype" w:eastAsia="Palatino Linotype" w:hAnsi="Palatino Linotype" w:cs="Palatino Linotype"/>
          <w:color w:val="000000" w:themeColor="text1"/>
        </w:rPr>
        <w:lastRenderedPageBreak/>
        <w:t xml:space="preserve">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B0B71" w:rsidRPr="00B628D2" w:rsidRDefault="00CB0B71" w:rsidP="00033ED5">
      <w:pPr>
        <w:spacing w:line="360" w:lineRule="auto"/>
        <w:jc w:val="both"/>
        <w:rPr>
          <w:rFonts w:ascii="Palatino Linotype" w:hAnsi="Palatino Linotype"/>
          <w:color w:val="000000" w:themeColor="text1"/>
        </w:rPr>
      </w:pP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r w:rsidRPr="00B628D2">
        <w:rPr>
          <w:rFonts w:ascii="Palatino Linotype" w:eastAsia="Palatino Linotype" w:hAnsi="Palatino Linotype" w:cs="Palatino Linotype"/>
          <w:b/>
          <w:i/>
          <w:color w:val="000000" w:themeColor="text1"/>
        </w:rPr>
        <w:t xml:space="preserve">Artículo 3. </w:t>
      </w:r>
      <w:r w:rsidRPr="00B628D2">
        <w:rPr>
          <w:rFonts w:ascii="Palatino Linotype" w:eastAsia="Palatino Linotype" w:hAnsi="Palatino Linotype" w:cs="Palatino Linotype"/>
          <w:i/>
          <w:color w:val="000000" w:themeColor="text1"/>
        </w:rPr>
        <w:t>Para los efectos de la presente Ley se entenderá por:</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XI. Documento:</w:t>
      </w:r>
      <w:r w:rsidRPr="00B628D2">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B0B71" w:rsidRPr="00B628D2" w:rsidRDefault="00033ED5" w:rsidP="00033ED5">
      <w:pPr>
        <w:spacing w:line="360" w:lineRule="auto"/>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p>
    <w:p w:rsidR="00CB0B71" w:rsidRPr="00B628D2" w:rsidRDefault="00CB0B71" w:rsidP="00033ED5">
      <w:pPr>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B0B71" w:rsidRPr="00B628D2" w:rsidRDefault="00033ED5" w:rsidP="00033ED5">
      <w:pPr>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color w:val="000000" w:themeColor="text1"/>
        </w:rPr>
        <w:t>“</w:t>
      </w:r>
      <w:r w:rsidRPr="00B628D2">
        <w:rPr>
          <w:rFonts w:ascii="Palatino Linotype" w:eastAsia="Palatino Linotype" w:hAnsi="Palatino Linotype" w:cs="Palatino Linotype"/>
          <w:b/>
          <w:i/>
          <w:color w:val="000000" w:themeColor="text1"/>
        </w:rPr>
        <w:t>CRITERIO 0002-11</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B628D2">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CB0B71" w:rsidRPr="00B628D2" w:rsidRDefault="00033ED5" w:rsidP="00033ED5">
      <w:pPr>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1) </w:t>
      </w:r>
      <w:r w:rsidRPr="00B628D2">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lastRenderedPageBreak/>
        <w:t>2) Que se trate de información registrada en cualquier soporte documental, que en ejercicio de las atribuciones conferidas, sea administrada por los Sujetos Obligados, y</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CB0B71" w:rsidRPr="00B628D2" w:rsidRDefault="00033ED5" w:rsidP="00033ED5">
      <w:pPr>
        <w:tabs>
          <w:tab w:val="left" w:pos="851"/>
        </w:tabs>
        <w:spacing w:line="360" w:lineRule="auto"/>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(Énfasis Añadido)</w:t>
      </w:r>
    </w:p>
    <w:p w:rsidR="00CB0B71" w:rsidRPr="00B628D2" w:rsidRDefault="00CB0B71" w:rsidP="00033ED5">
      <w:pPr>
        <w:pBdr>
          <w:top w:val="nil"/>
          <w:left w:val="nil"/>
          <w:bottom w:val="nil"/>
          <w:right w:val="nil"/>
          <w:between w:val="nil"/>
        </w:pBdr>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Por su parte los artículos 160 y 166, de la Ley local en la materia, que se reproduce de la siguiente forma:</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r w:rsidRPr="00B628D2">
        <w:rPr>
          <w:rFonts w:ascii="Palatino Linotype" w:eastAsia="Palatino Linotype" w:hAnsi="Palatino Linotype" w:cs="Palatino Linotype"/>
          <w:b/>
          <w:i/>
          <w:color w:val="000000" w:themeColor="text1"/>
        </w:rPr>
        <w:t>Artículo 160.</w:t>
      </w:r>
      <w:r w:rsidRPr="00B628D2">
        <w:rPr>
          <w:rFonts w:ascii="Palatino Linotype" w:eastAsia="Palatino Linotype" w:hAnsi="Palatino Linotype" w:cs="Palatino Linotype"/>
          <w:i/>
          <w:color w:val="000000" w:themeColor="text1"/>
        </w:rPr>
        <w:t xml:space="preserve"> </w:t>
      </w:r>
      <w:r w:rsidRPr="00B628D2">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628D2">
        <w:rPr>
          <w:rFonts w:ascii="Palatino Linotype" w:eastAsia="Palatino Linotype" w:hAnsi="Palatino Linotype" w:cs="Palatino Linotype"/>
          <w:i/>
          <w:color w:val="000000" w:themeColor="text1"/>
        </w:rPr>
        <w:t>.</w:t>
      </w:r>
    </w:p>
    <w:p w:rsidR="00CB0B71" w:rsidRPr="00B628D2" w:rsidRDefault="00CB0B71" w:rsidP="00033ED5">
      <w:pPr>
        <w:jc w:val="both"/>
        <w:rPr>
          <w:rFonts w:ascii="Palatino Linotype" w:eastAsia="Palatino Linotype" w:hAnsi="Palatino Linotype" w:cs="Palatino Linotype"/>
          <w:i/>
          <w:color w:val="000000" w:themeColor="text1"/>
        </w:rPr>
      </w:pP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CB0B71" w:rsidRPr="00B628D2" w:rsidRDefault="00033ED5" w:rsidP="00033ED5">
      <w:pPr>
        <w:jc w:val="both"/>
        <w:rPr>
          <w:rFonts w:ascii="Palatino Linotype" w:eastAsia="Palatino Linotype" w:hAnsi="Palatino Linotype" w:cs="Palatino Linotype"/>
          <w:i/>
          <w:color w:val="000000" w:themeColor="text1"/>
          <w:u w:val="single"/>
        </w:rPr>
      </w:pPr>
      <w:r w:rsidRPr="00B628D2">
        <w:rPr>
          <w:rFonts w:ascii="Palatino Linotype" w:eastAsia="Palatino Linotype" w:hAnsi="Palatino Linotype" w:cs="Palatino Linotype"/>
          <w:b/>
          <w:i/>
          <w:color w:val="000000" w:themeColor="text1"/>
        </w:rPr>
        <w:t>Artículo 166.</w:t>
      </w:r>
      <w:r w:rsidRPr="00B628D2">
        <w:rPr>
          <w:rFonts w:ascii="Palatino Linotype" w:eastAsia="Palatino Linotype" w:hAnsi="Palatino Linotype" w:cs="Palatino Linotype"/>
          <w:i/>
          <w:color w:val="000000" w:themeColor="text1"/>
        </w:rPr>
        <w:t xml:space="preserve"> </w:t>
      </w:r>
      <w:r w:rsidRPr="00B628D2">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(Énfasis añadido)</w:t>
      </w:r>
    </w:p>
    <w:p w:rsidR="00CB0B71" w:rsidRPr="00B628D2" w:rsidRDefault="00CB0B71" w:rsidP="00033ED5">
      <w:pPr>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color w:val="000000" w:themeColor="text1"/>
        </w:rPr>
      </w:pPr>
      <w:r w:rsidRPr="00B628D2">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Ahora bien, es de precisar que el particular requirió la información consistente en el </w:t>
      </w:r>
      <w:r w:rsidRPr="00B628D2">
        <w:rPr>
          <w:rFonts w:ascii="Palatino Linotype" w:eastAsia="Palatino Linotype" w:hAnsi="Palatino Linotype" w:cs="Palatino Linotype"/>
          <w:i/>
          <w:color w:val="000000" w:themeColor="text1"/>
          <w:u w:val="single"/>
        </w:rPr>
        <w:t>Expediente laboral de los mandos medios y superiores que forman parte del organigrama,</w:t>
      </w:r>
      <w:r w:rsidRPr="00B628D2">
        <w:rPr>
          <w:rFonts w:ascii="Palatino Linotype" w:eastAsia="Palatino Linotype" w:hAnsi="Palatino Linotype" w:cs="Palatino Linotype"/>
          <w:color w:val="000000" w:themeColor="text1"/>
        </w:rPr>
        <w:t xml:space="preserve"> por lo que de la interpretación de la solicitud se estima que el solicitante requiere la información respecto de los servidores públicos señalados en la solicitud que integran al Sujeto Obligado, de la actual administración pública municipal 2025-2027, vigente al 31 de enero de 2025.</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lastRenderedPageBreak/>
        <w:t>Ahora bien, es de referir que en primer momento el Sujeto Obligado notificó una prórroga de siete días para dar respuesta a la solicitud, anexando información sobre una solicitud diversa, a la que se agregaron 528 recibos de nómina, dejando a la vista descuentos de carácter personal susceptibles de ser clasificados.</w:t>
      </w:r>
    </w:p>
    <w:p w:rsidR="00CB0B71" w:rsidRPr="00B628D2" w:rsidRDefault="00CB0B71" w:rsidP="00033ED5">
      <w:pPr>
        <w:spacing w:line="360" w:lineRule="auto"/>
        <w:jc w:val="both"/>
        <w:rPr>
          <w:rFonts w:ascii="Palatino Linotype" w:eastAsia="Palatino Linotype" w:hAnsi="Palatino Linotype" w:cs="Palatino Linotype"/>
          <w:b/>
          <w:color w:val="000000" w:themeColor="text1"/>
        </w:rPr>
      </w:pPr>
    </w:p>
    <w:p w:rsidR="00CB0B71" w:rsidRPr="007218E8"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Con posterioridad el Sujeto Obligado proporcionó respuesta a través de la Subdirectora de Administración, a través del cual refiere adjuntar en formato PDF los expedientes laborales de la estructura orgánica en versión pública, anexando el Acuerdo el Comité de transparencia número CT/SMDIFN/SO002/014/VP/2025 a través del cual se aprueba la versión pública de la información contenida en el </w:t>
      </w:r>
      <w:r w:rsidRPr="00B628D2">
        <w:rPr>
          <w:rFonts w:ascii="Palatino Linotype" w:eastAsia="Palatino Linotype" w:hAnsi="Palatino Linotype" w:cs="Palatino Linotype"/>
          <w:b/>
          <w:color w:val="000000" w:themeColor="text1"/>
        </w:rPr>
        <w:t>expediente laboral de la estructura correspondiente al ejercicio fiscal 2024</w:t>
      </w:r>
      <w:r w:rsidRPr="00B628D2">
        <w:rPr>
          <w:rFonts w:ascii="Palatino Linotype" w:eastAsia="Palatino Linotype" w:hAnsi="Palatino Linotype" w:cs="Palatino Linotype"/>
          <w:color w:val="000000" w:themeColor="text1"/>
        </w:rPr>
        <w:t xml:space="preserve">, la cual contiene datos personales. Misma que se presenta incompleta. Luego entonces se pueden apreciar diversos documentos correspondientes a expedientes laborales de servidores públicos, tales como solicitud de empleo, certificado de no deudor alimentario moroso, informe de no antecedentes penales, cartas de recomendación, certificado médico, comprobante domiciliario, credencial para votar, comprobantes de estudios, cédula profesional, constancia de situación fiscal, CURP, acta de nacimiento, currículum vitae, constancia de no inhabilitación, avisos de movimiento de ISSEMYM, cartilla militar,  en versión pública, con los que el Sujeto Obligado pretendió dar atención a la solicitud de información, empero al analizar dichas documentales, se logra advertir que los mismos, pertenecen a servidores públicos que integraron el Sistema Municipal DIF de Naucalpan de Juárez, durante la administración pública municipal correspondiente al periodo 2022 – 2024, circunstancia que se constató con las documentales entregadas, de manera enunciativa mas no limitativa con las fechas que contiene la expedición de certificados de no deudor alimentario moroso, cartas de recomendación, </w:t>
      </w:r>
      <w:r w:rsidRPr="00B628D2">
        <w:rPr>
          <w:rFonts w:ascii="Palatino Linotype" w:eastAsia="Palatino Linotype" w:hAnsi="Palatino Linotype" w:cs="Palatino Linotype"/>
          <w:color w:val="000000" w:themeColor="text1"/>
        </w:rPr>
        <w:lastRenderedPageBreak/>
        <w:t>solicitudes de empleo, certificados médicos, constancias de situación fiscal, constancia de no inhabilitación, movimientos de alta y de baja, por mencionar algunos, cuyas temporalidades corresponden a 2022, 2023 y 2024, imágenes que se agregan a modo de ilustración:</w:t>
      </w:r>
    </w:p>
    <w:p w:rsidR="007218E8" w:rsidRPr="00B628D2" w:rsidRDefault="007218E8" w:rsidP="007218E8">
      <w:pPr>
        <w:spacing w:line="360" w:lineRule="auto"/>
        <w:jc w:val="both"/>
        <w:rPr>
          <w:rFonts w:ascii="Palatino Linotype" w:eastAsia="Palatino Linotype" w:hAnsi="Palatino Linotype" w:cs="Palatino Linotype"/>
          <w:b/>
          <w:color w:val="000000" w:themeColor="text1"/>
        </w:rPr>
      </w:pPr>
    </w:p>
    <w:p w:rsidR="00CB0B71" w:rsidRPr="00B628D2" w:rsidRDefault="00033ED5" w:rsidP="00033ED5">
      <w:pPr>
        <w:spacing w:line="360" w:lineRule="auto"/>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noProof/>
          <w:color w:val="000000" w:themeColor="text1"/>
          <w:lang w:val="es-MX"/>
        </w:rPr>
        <w:drawing>
          <wp:inline distT="0" distB="0" distL="0" distR="0">
            <wp:extent cx="4323438" cy="2086603"/>
            <wp:effectExtent l="0" t="0" r="0" b="0"/>
            <wp:docPr id="13435285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323438" cy="2086603"/>
                    </a:xfrm>
                    <a:prstGeom prst="rect">
                      <a:avLst/>
                    </a:prstGeom>
                    <a:ln/>
                  </pic:spPr>
                </pic:pic>
              </a:graphicData>
            </a:graphic>
          </wp:inline>
        </w:drawing>
      </w:r>
    </w:p>
    <w:p w:rsidR="00CB0B71" w:rsidRPr="00B628D2" w:rsidRDefault="00033ED5" w:rsidP="00033ED5">
      <w:pPr>
        <w:jc w:val="center"/>
        <w:rPr>
          <w:rFonts w:ascii="Palatino Linotype" w:eastAsia="Palatino Linotype" w:hAnsi="Palatino Linotype" w:cs="Palatino Linotype"/>
          <w:b/>
          <w:color w:val="000000" w:themeColor="text1"/>
        </w:rPr>
      </w:pPr>
      <w:r w:rsidRPr="00B628D2">
        <w:rPr>
          <w:rFonts w:ascii="Palatino Linotype" w:hAnsi="Palatino Linotype"/>
          <w:color w:val="000000" w:themeColor="text1"/>
        </w:rPr>
        <w:br w:type="page"/>
      </w:r>
      <w:r w:rsidRPr="00B628D2">
        <w:rPr>
          <w:rFonts w:ascii="Palatino Linotype" w:eastAsia="Palatino Linotype" w:hAnsi="Palatino Linotype" w:cs="Palatino Linotype"/>
          <w:b/>
          <w:noProof/>
          <w:color w:val="000000" w:themeColor="text1"/>
          <w:lang w:val="es-MX"/>
        </w:rPr>
        <w:lastRenderedPageBreak/>
        <w:drawing>
          <wp:inline distT="0" distB="0" distL="0" distR="0">
            <wp:extent cx="3719477" cy="1381328"/>
            <wp:effectExtent l="0" t="0" r="0" b="0"/>
            <wp:docPr id="13435285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719477" cy="1381328"/>
                    </a:xfrm>
                    <a:prstGeom prst="rect">
                      <a:avLst/>
                    </a:prstGeom>
                    <a:ln/>
                  </pic:spPr>
                </pic:pic>
              </a:graphicData>
            </a:graphic>
          </wp:inline>
        </w:drawing>
      </w:r>
    </w:p>
    <w:p w:rsidR="00CB0B71" w:rsidRPr="00B628D2" w:rsidRDefault="00033ED5" w:rsidP="00033ED5">
      <w:pPr>
        <w:tabs>
          <w:tab w:val="left" w:pos="4005"/>
        </w:tabs>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3858510" cy="1318485"/>
            <wp:effectExtent l="0" t="0" r="0" b="0"/>
            <wp:docPr id="13435285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858510" cy="1318485"/>
                    </a:xfrm>
                    <a:prstGeom prst="rect">
                      <a:avLst/>
                    </a:prstGeom>
                    <a:ln/>
                  </pic:spPr>
                </pic:pic>
              </a:graphicData>
            </a:graphic>
          </wp:inline>
        </w:drawing>
      </w:r>
    </w:p>
    <w:p w:rsidR="00CB0B71" w:rsidRPr="00B628D2" w:rsidRDefault="00033ED5" w:rsidP="00033ED5">
      <w:pPr>
        <w:tabs>
          <w:tab w:val="left" w:pos="2580"/>
        </w:tabs>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3640692" cy="1503094"/>
            <wp:effectExtent l="0" t="0" r="0" b="0"/>
            <wp:docPr id="13435285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640692" cy="1503094"/>
                    </a:xfrm>
                    <a:prstGeom prst="rect">
                      <a:avLst/>
                    </a:prstGeom>
                    <a:ln/>
                  </pic:spPr>
                </pic:pic>
              </a:graphicData>
            </a:graphic>
          </wp:inline>
        </w:drawing>
      </w:r>
    </w:p>
    <w:p w:rsidR="00CB0B71" w:rsidRPr="00B628D2" w:rsidRDefault="00033ED5" w:rsidP="00033ED5">
      <w:pPr>
        <w:tabs>
          <w:tab w:val="left" w:pos="3855"/>
        </w:tabs>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2576216" cy="1023001"/>
            <wp:effectExtent l="0" t="0" r="0" b="0"/>
            <wp:docPr id="1343528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6216" cy="1023001"/>
                    </a:xfrm>
                    <a:prstGeom prst="rect">
                      <a:avLst/>
                    </a:prstGeom>
                    <a:ln/>
                  </pic:spPr>
                </pic:pic>
              </a:graphicData>
            </a:graphic>
          </wp:inline>
        </w:drawing>
      </w:r>
    </w:p>
    <w:p w:rsidR="00CB0B71" w:rsidRPr="00B628D2" w:rsidRDefault="00CB0B71" w:rsidP="00033ED5">
      <w:pPr>
        <w:tabs>
          <w:tab w:val="left" w:pos="3855"/>
        </w:tabs>
        <w:jc w:val="center"/>
        <w:rPr>
          <w:rFonts w:ascii="Palatino Linotype" w:hAnsi="Palatino Linotype"/>
          <w:color w:val="000000" w:themeColor="text1"/>
        </w:rPr>
      </w:pPr>
    </w:p>
    <w:p w:rsidR="00CB0B71" w:rsidRPr="00B628D2" w:rsidRDefault="00033ED5" w:rsidP="00033ED5">
      <w:pPr>
        <w:tabs>
          <w:tab w:val="left" w:pos="3855"/>
        </w:tabs>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4316811" cy="1580472"/>
            <wp:effectExtent l="0" t="0" r="0" b="0"/>
            <wp:docPr id="13435285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316811" cy="1580472"/>
                    </a:xfrm>
                    <a:prstGeom prst="rect">
                      <a:avLst/>
                    </a:prstGeom>
                    <a:ln/>
                  </pic:spPr>
                </pic:pic>
              </a:graphicData>
            </a:graphic>
          </wp:inline>
        </w:drawing>
      </w:r>
    </w:p>
    <w:p w:rsidR="00CB0B71" w:rsidRPr="00B628D2" w:rsidRDefault="00CB0B71" w:rsidP="00033ED5">
      <w:pPr>
        <w:tabs>
          <w:tab w:val="left" w:pos="3855"/>
        </w:tabs>
        <w:jc w:val="center"/>
        <w:rPr>
          <w:rFonts w:ascii="Palatino Linotype" w:hAnsi="Palatino Linotype"/>
          <w:color w:val="000000" w:themeColor="text1"/>
        </w:rPr>
      </w:pPr>
    </w:p>
    <w:p w:rsidR="00CB0B71" w:rsidRPr="00B628D2" w:rsidRDefault="00033ED5" w:rsidP="00033ED5">
      <w:pPr>
        <w:tabs>
          <w:tab w:val="left" w:pos="3855"/>
        </w:tabs>
        <w:jc w:val="center"/>
        <w:rPr>
          <w:rFonts w:ascii="Palatino Linotype" w:hAnsi="Palatino Linotype"/>
          <w:color w:val="000000" w:themeColor="text1"/>
        </w:rPr>
      </w:pPr>
      <w:r w:rsidRPr="00B628D2">
        <w:rPr>
          <w:rFonts w:ascii="Palatino Linotype" w:hAnsi="Palatino Linotype"/>
          <w:noProof/>
          <w:color w:val="000000" w:themeColor="text1"/>
          <w:lang w:val="es-MX"/>
        </w:rPr>
        <w:lastRenderedPageBreak/>
        <w:drawing>
          <wp:inline distT="0" distB="0" distL="0" distR="0">
            <wp:extent cx="4481641" cy="1679634"/>
            <wp:effectExtent l="0" t="0" r="0" b="0"/>
            <wp:docPr id="13435285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481641" cy="1679634"/>
                    </a:xfrm>
                    <a:prstGeom prst="rect">
                      <a:avLst/>
                    </a:prstGeom>
                    <a:ln/>
                  </pic:spPr>
                </pic:pic>
              </a:graphicData>
            </a:graphic>
          </wp:inline>
        </w:drawing>
      </w:r>
    </w:p>
    <w:p w:rsidR="00CB0B71" w:rsidRPr="00B628D2" w:rsidRDefault="00CB0B71" w:rsidP="00033ED5">
      <w:pPr>
        <w:rPr>
          <w:rFonts w:ascii="Palatino Linotype" w:hAnsi="Palatino Linotype"/>
          <w:color w:val="000000" w:themeColor="text1"/>
        </w:rPr>
      </w:pPr>
    </w:p>
    <w:p w:rsidR="00CB0B71" w:rsidRPr="00B628D2" w:rsidRDefault="00033ED5" w:rsidP="00033ED5">
      <w:pPr>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5180249" cy="1582934"/>
            <wp:effectExtent l="0" t="0" r="0" b="0"/>
            <wp:docPr id="13435285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180249" cy="1582934"/>
                    </a:xfrm>
                    <a:prstGeom prst="rect">
                      <a:avLst/>
                    </a:prstGeom>
                    <a:ln/>
                  </pic:spPr>
                </pic:pic>
              </a:graphicData>
            </a:graphic>
          </wp:inline>
        </w:drawing>
      </w:r>
    </w:p>
    <w:p w:rsidR="00CB0B71" w:rsidRPr="00B628D2" w:rsidRDefault="00CB0B71" w:rsidP="00033ED5">
      <w:pPr>
        <w:rPr>
          <w:rFonts w:ascii="Palatino Linotype" w:hAnsi="Palatino Linotype"/>
          <w:color w:val="000000" w:themeColor="text1"/>
        </w:rPr>
      </w:pPr>
    </w:p>
    <w:p w:rsidR="00CB0B71" w:rsidRDefault="00033ED5" w:rsidP="00033ED5">
      <w:pPr>
        <w:tabs>
          <w:tab w:val="left" w:pos="2925"/>
        </w:tabs>
        <w:jc w:val="center"/>
        <w:rPr>
          <w:rFonts w:ascii="Palatino Linotype" w:hAnsi="Palatino Linotype"/>
          <w:color w:val="000000" w:themeColor="text1"/>
        </w:rPr>
      </w:pPr>
      <w:r w:rsidRPr="00B628D2">
        <w:rPr>
          <w:rFonts w:ascii="Palatino Linotype" w:hAnsi="Palatino Linotype"/>
          <w:noProof/>
          <w:color w:val="000000" w:themeColor="text1"/>
          <w:lang w:val="es-MX"/>
        </w:rPr>
        <w:drawing>
          <wp:inline distT="0" distB="0" distL="0" distR="0">
            <wp:extent cx="4355804" cy="1521074"/>
            <wp:effectExtent l="0" t="0" r="0" b="0"/>
            <wp:docPr id="13435285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355804" cy="1521074"/>
                    </a:xfrm>
                    <a:prstGeom prst="rect">
                      <a:avLst/>
                    </a:prstGeom>
                    <a:ln/>
                  </pic:spPr>
                </pic:pic>
              </a:graphicData>
            </a:graphic>
          </wp:inline>
        </w:drawing>
      </w:r>
    </w:p>
    <w:p w:rsidR="007218E8" w:rsidRPr="00B628D2" w:rsidRDefault="007218E8" w:rsidP="00033ED5">
      <w:pPr>
        <w:tabs>
          <w:tab w:val="left" w:pos="2925"/>
        </w:tabs>
        <w:jc w:val="center"/>
        <w:rPr>
          <w:rFonts w:ascii="Palatino Linotype" w:hAnsi="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No pasa por alto mencionar que tal temporalidad es reforzada con el Acuerdo el Comité de transparencia número CT/SMDIFN/SO002/014/VP/2025 a través del cual se aprueba la versión pública de la información contenida en el </w:t>
      </w:r>
      <w:r w:rsidRPr="00B628D2">
        <w:rPr>
          <w:rFonts w:ascii="Palatino Linotype" w:eastAsia="Palatino Linotype" w:hAnsi="Palatino Linotype" w:cs="Palatino Linotype"/>
          <w:b/>
          <w:color w:val="000000" w:themeColor="text1"/>
        </w:rPr>
        <w:t xml:space="preserve">expediente laboral de la estructura correspondiente al ejercicio fiscal 2024, </w:t>
      </w:r>
      <w:r w:rsidRPr="00B628D2">
        <w:rPr>
          <w:rFonts w:ascii="Palatino Linotype" w:eastAsia="Palatino Linotype" w:hAnsi="Palatino Linotype" w:cs="Palatino Linotype"/>
          <w:color w:val="000000" w:themeColor="text1"/>
        </w:rPr>
        <w:t xml:space="preserve">, tal como se muestra en la imagen siguiente: </w:t>
      </w:r>
    </w:p>
    <w:p w:rsidR="00CB0B71" w:rsidRDefault="00033ED5" w:rsidP="00033ED5">
      <w:pPr>
        <w:spacing w:line="360" w:lineRule="auto"/>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noProof/>
          <w:color w:val="000000" w:themeColor="text1"/>
          <w:lang w:val="es-MX"/>
        </w:rPr>
        <w:lastRenderedPageBreak/>
        <w:drawing>
          <wp:inline distT="0" distB="0" distL="0" distR="0">
            <wp:extent cx="4591581" cy="2089961"/>
            <wp:effectExtent l="0" t="0" r="0" b="0"/>
            <wp:docPr id="13435285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91581" cy="2089961"/>
                    </a:xfrm>
                    <a:prstGeom prst="rect">
                      <a:avLst/>
                    </a:prstGeom>
                    <a:ln/>
                  </pic:spPr>
                </pic:pic>
              </a:graphicData>
            </a:graphic>
          </wp:inline>
        </w:drawing>
      </w:r>
    </w:p>
    <w:p w:rsidR="007218E8" w:rsidRPr="00B628D2" w:rsidRDefault="007218E8" w:rsidP="00033ED5">
      <w:pPr>
        <w:spacing w:line="360" w:lineRule="auto"/>
        <w:jc w:val="cente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 la respuesta el Recurrente se dolió por remitir información que no corresponde a lo solicitado, consecuentemente a través de informe justificado remitió las mismas documentales entregadas en respuesta y añadió otras de distintos servidores públicos, donde se puede advertir también las mismas temporalidades antes señaladas, asimismo, no fue posible ponerlo a la vista del recurrente por contener datos de naturaleza personal susceptibles de ser clasificados como confidenciales.</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razón de lo antes expuesto, es de referir que del análisis de las documentales enviadas por el Sujeto Obligado, tanto en la notificación de la prórroga, respuesta e informe justificado, se detectó que se dejaron a la vista elementos que constituyen un dato personal que no tienen relevancia para el interés público. Por lo tanto, se actualiza la clasificación, de conformidad con la fracción I, del artículo 143 de la Ley de Transparencia y Acceso a la Información Pública del Estado de México y Municipios.</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De los datos personales susceptibles de ser clasificados como confidenciales como lo son de manera enunciativa más no limitativa: </w:t>
      </w:r>
      <w:r w:rsidRPr="00B628D2">
        <w:rPr>
          <w:rFonts w:ascii="Palatino Linotype" w:eastAsia="Palatino Linotype" w:hAnsi="Palatino Linotype" w:cs="Palatino Linotype"/>
          <w:b/>
          <w:color w:val="000000" w:themeColor="text1"/>
        </w:rPr>
        <w:t xml:space="preserve">deducciones de carácter personal, Correo </w:t>
      </w:r>
      <w:r w:rsidRPr="00B628D2">
        <w:rPr>
          <w:rFonts w:ascii="Palatino Linotype" w:eastAsia="Palatino Linotype" w:hAnsi="Palatino Linotype" w:cs="Palatino Linotype"/>
          <w:b/>
          <w:color w:val="000000" w:themeColor="text1"/>
        </w:rPr>
        <w:lastRenderedPageBreak/>
        <w:t>electrónico personal, Afiliación al seguro social, Clase y número de licencia</w:t>
      </w:r>
      <w:r w:rsidRPr="00B628D2">
        <w:rPr>
          <w:rFonts w:ascii="Palatino Linotype" w:eastAsia="Palatino Linotype" w:hAnsi="Palatino Linotype" w:cs="Palatino Linotype"/>
          <w:color w:val="000000" w:themeColor="text1"/>
        </w:rPr>
        <w:t xml:space="preserve">, </w:t>
      </w:r>
      <w:r w:rsidRPr="00B628D2">
        <w:rPr>
          <w:rFonts w:ascii="Palatino Linotype" w:eastAsia="Palatino Linotype" w:hAnsi="Palatino Linotype" w:cs="Palatino Linotype"/>
          <w:b/>
          <w:color w:val="000000" w:themeColor="text1"/>
        </w:rPr>
        <w:t xml:space="preserve">Calificaciones y CURP en comprobante de estudios, CURP en cadena original de Cédula Profesional Electrónica, CURP, Datos de persona registrada, datos de filiación, en Acta de nacimiento, Nombre y firma de particulares en cartas de recomendación, </w:t>
      </w:r>
      <w:r w:rsidRPr="00B628D2">
        <w:rPr>
          <w:rFonts w:ascii="Palatino Linotype" w:eastAsia="Palatino Linotype" w:hAnsi="Palatino Linotype" w:cs="Palatino Linotype"/>
          <w:color w:val="000000" w:themeColor="text1"/>
        </w:rPr>
        <w:t>mismas que se dejaron a la vista del solicitante en la notificación de la prórroga, en la respuesta entregada por el Sujeto Obligado y en la presentación de informe justificado, lo dable es dar vista a la Dirección General de Protección de Datos Personales de este Instituto para hacer de su conocimiento la información que contiene datos personales y se encuentran en los archivos siguientes:</w:t>
      </w:r>
    </w:p>
    <w:p w:rsidR="00CB0B71" w:rsidRPr="00B628D2" w:rsidRDefault="00CB0B71" w:rsidP="00033ED5">
      <w:pPr>
        <w:spacing w:line="360" w:lineRule="auto"/>
        <w:jc w:val="both"/>
        <w:rPr>
          <w:rFonts w:ascii="Palatino Linotype" w:eastAsia="Palatino Linotype" w:hAnsi="Palatino Linotype" w:cs="Palatino Linotype"/>
          <w:b/>
          <w:color w:val="000000" w:themeColor="text1"/>
        </w:rPr>
      </w:pP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tbl>
      <w:tblPr>
        <w:tblStyle w:val="a8"/>
        <w:tblW w:w="9776"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612"/>
        <w:gridCol w:w="2771"/>
        <w:gridCol w:w="1423"/>
        <w:gridCol w:w="2970"/>
      </w:tblGrid>
      <w:tr w:rsidR="00033ED5" w:rsidRPr="00B628D2">
        <w:tc>
          <w:tcPr>
            <w:tcW w:w="2612" w:type="dxa"/>
            <w:shd w:val="clear" w:color="auto" w:fill="D9D9D9"/>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Actuación / etapa</w:t>
            </w:r>
          </w:p>
        </w:tc>
        <w:tc>
          <w:tcPr>
            <w:tcW w:w="2771" w:type="dxa"/>
            <w:shd w:val="clear" w:color="auto" w:fill="D9D9D9"/>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Nombre del archivo.</w:t>
            </w:r>
          </w:p>
        </w:tc>
        <w:tc>
          <w:tcPr>
            <w:tcW w:w="1423" w:type="dxa"/>
            <w:shd w:val="clear" w:color="auto" w:fill="D9D9D9"/>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No. De página</w:t>
            </w:r>
          </w:p>
        </w:tc>
        <w:tc>
          <w:tcPr>
            <w:tcW w:w="2970" w:type="dxa"/>
            <w:shd w:val="clear" w:color="auto" w:fill="D9D9D9"/>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Dato personal</w:t>
            </w:r>
          </w:p>
        </w:tc>
      </w:tr>
      <w:tr w:rsidR="00033ED5" w:rsidRPr="00B628D2">
        <w:tc>
          <w:tcPr>
            <w:tcW w:w="2612" w:type="dxa"/>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Prórroga</w:t>
            </w:r>
          </w:p>
        </w:tc>
        <w:tc>
          <w:tcPr>
            <w:tcW w:w="2771"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i/>
                <w:color w:val="000000" w:themeColor="text1"/>
              </w:rPr>
              <w:t>ACUERDOPRORROGA16</w:t>
            </w: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37, 215, 366, 526…</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Descuentos de carácter personal</w:t>
            </w:r>
          </w:p>
        </w:tc>
      </w:tr>
      <w:tr w:rsidR="00033ED5" w:rsidRPr="00B628D2">
        <w:trPr>
          <w:trHeight w:val="675"/>
        </w:trPr>
        <w:tc>
          <w:tcPr>
            <w:tcW w:w="2612" w:type="dxa"/>
            <w:vMerge w:val="restart"/>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Respuesta</w:t>
            </w:r>
          </w:p>
        </w:tc>
        <w:tc>
          <w:tcPr>
            <w:tcW w:w="2771" w:type="dxa"/>
            <w:vMerge w:val="restart"/>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anexos respuesta 16.1.pdf</w:t>
            </w: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 19, 90…</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Correo electrónico personal</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Afiliación al seguro social</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Clase y número de licencia</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Estado civil</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Estado de salud</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10, 63, 85, 205, 274, 275, 276…</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Calificaciones y CURP en comprobante de estudios</w:t>
            </w:r>
          </w:p>
          <w:p w:rsidR="00CB0B71" w:rsidRPr="00B628D2" w:rsidRDefault="00CB0B71" w:rsidP="00033ED5">
            <w:pPr>
              <w:pBdr>
                <w:top w:val="nil"/>
                <w:left w:val="nil"/>
                <w:bottom w:val="nil"/>
                <w:right w:val="nil"/>
                <w:between w:val="nil"/>
              </w:pBdr>
              <w:jc w:val="center"/>
              <w:rPr>
                <w:rFonts w:ascii="Palatino Linotype" w:eastAsia="Palatino Linotype" w:hAnsi="Palatino Linotype" w:cs="Palatino Linotype"/>
                <w:color w:val="000000" w:themeColor="text1"/>
              </w:rPr>
            </w:pP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11, 135…</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CURP en cadena original de Cédula Profesional Electrónica</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12…</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RFC en Constancia de Situación Fiscal</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14…</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CURP</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15, 32, 53, 67, 70, 89, 109, 121, 130, 174, 191, 197, 244, 281, 284,311…</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Datos de persona registrada, datos de filiación, en Acta de nacimiento</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181, 182, 213, 214, 232, 233, 287…</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Nombre y firma de particulares en cartas de recomendación</w:t>
            </w:r>
          </w:p>
        </w:tc>
      </w:tr>
      <w:tr w:rsidR="00033ED5" w:rsidRPr="00B628D2">
        <w:trPr>
          <w:trHeight w:val="675"/>
        </w:trPr>
        <w:tc>
          <w:tcPr>
            <w:tcW w:w="2612" w:type="dxa"/>
            <w:vMerge w:val="restart"/>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Informe Justificado</w:t>
            </w:r>
          </w:p>
        </w:tc>
        <w:tc>
          <w:tcPr>
            <w:tcW w:w="2771" w:type="dxa"/>
            <w:vMerge w:val="restart"/>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anexos respuesta 16.pdf</w:t>
            </w: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8, 9, 36, 52, 70, 71, 72, 79…</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Nombre y firma de particulares en cartas de recomendación</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15…</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Correo electrónico personal</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18,29, 45, 61, 88, 370, 373…</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Datos de persona registrada, datos de filiación, en Acta de nacimiento</w:t>
            </w:r>
          </w:p>
        </w:tc>
      </w:tr>
      <w:tr w:rsidR="00033ED5" w:rsidRPr="00B628D2">
        <w:trPr>
          <w:trHeight w:val="675"/>
        </w:trPr>
        <w:tc>
          <w:tcPr>
            <w:tcW w:w="2612" w:type="dxa"/>
            <w:vMerge/>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2771" w:type="dxa"/>
            <w:vMerge/>
            <w:shd w:val="clear" w:color="auto" w:fill="auto"/>
            <w:vAlign w:val="center"/>
          </w:tcPr>
          <w:p w:rsidR="00CB0B71" w:rsidRPr="00B628D2" w:rsidRDefault="00CB0B71" w:rsidP="00033ED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rPr>
            </w:pPr>
          </w:p>
        </w:tc>
        <w:tc>
          <w:tcPr>
            <w:tcW w:w="1423"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65, 363, 364, 365…</w:t>
            </w:r>
          </w:p>
        </w:tc>
        <w:tc>
          <w:tcPr>
            <w:tcW w:w="2970" w:type="dxa"/>
            <w:shd w:val="clear" w:color="auto" w:fill="auto"/>
            <w:vAlign w:val="center"/>
          </w:tcPr>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Calificaciones en comprobante de estudios</w:t>
            </w:r>
          </w:p>
        </w:tc>
      </w:tr>
    </w:tbl>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Ahora bien, es de recordar que el particular requirió el </w:t>
      </w:r>
      <w:r w:rsidRPr="00B628D2">
        <w:rPr>
          <w:rFonts w:ascii="Palatino Linotype" w:eastAsia="Palatino Linotype" w:hAnsi="Palatino Linotype" w:cs="Palatino Linotype"/>
          <w:i/>
          <w:color w:val="000000" w:themeColor="text1"/>
        </w:rPr>
        <w:t>Expediente laboral de los mandos medios y superiores que forman parte del organigrama</w:t>
      </w:r>
      <w:r w:rsidRPr="00B628D2">
        <w:rPr>
          <w:rFonts w:ascii="Palatino Linotype" w:eastAsia="Palatino Linotype" w:hAnsi="Palatino Linotype" w:cs="Palatino Linotype"/>
          <w:color w:val="000000" w:themeColor="text1"/>
        </w:rPr>
        <w:t xml:space="preserve">, que como ya fue referido, se estima que </w:t>
      </w:r>
      <w:r w:rsidRPr="00B628D2">
        <w:rPr>
          <w:rFonts w:ascii="Palatino Linotype" w:eastAsia="Palatino Linotype" w:hAnsi="Palatino Linotype" w:cs="Palatino Linotype"/>
          <w:b/>
          <w:color w:val="000000" w:themeColor="text1"/>
        </w:rPr>
        <w:t>el solicitante requiere la información respecto de los servidores públicos señalados en la solicitud que integran al Sujeto Obligado, de la actual administración pública municipal 2025-2027, vigente al 31 de enero de 2025</w:t>
      </w:r>
      <w:r w:rsidRPr="00B628D2">
        <w:rPr>
          <w:rFonts w:ascii="Palatino Linotype" w:eastAsia="Palatino Linotype" w:hAnsi="Palatino Linotype" w:cs="Palatino Linotype"/>
          <w:color w:val="000000" w:themeColor="text1"/>
        </w:rPr>
        <w:t xml:space="preserve">, máxime que su motivo de inconformidad consistió en que la información entregada no corresponde con lo solicitado, en virtud de lo que no se </w:t>
      </w:r>
      <w:r w:rsidRPr="00B628D2">
        <w:rPr>
          <w:rFonts w:ascii="Palatino Linotype" w:eastAsia="Palatino Linotype" w:hAnsi="Palatino Linotype" w:cs="Palatino Linotype"/>
          <w:color w:val="000000" w:themeColor="text1"/>
        </w:rPr>
        <w:lastRenderedPageBreak/>
        <w:t>puede tener por colmado el requerimiento realizado por el particular, con las documentales entregadas por el Sujeto Obligado.</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Es así, que el Sujeto Obligado deberá hacer entrega de la información requerida, respecto de los servidores públicos precisados en el Organigrama vigente, mismo que fue consultado en la plataforma de Información Pública de Oficio Mexiquense IPOMEX, del </w:t>
      </w:r>
      <w:r w:rsidRPr="00B628D2">
        <w:rPr>
          <w:rFonts w:ascii="Palatino Linotype" w:eastAsia="Palatino Linotype" w:hAnsi="Palatino Linotype" w:cs="Palatino Linotype"/>
          <w:b/>
          <w:color w:val="000000" w:themeColor="text1"/>
        </w:rPr>
        <w:t xml:space="preserve">Sistema Municipal para el Desarrollo Integral de la Familia de Naucalpan de Juárez, </w:t>
      </w:r>
      <w:r w:rsidRPr="00B628D2">
        <w:rPr>
          <w:rFonts w:ascii="Palatino Linotype" w:eastAsia="Palatino Linotype" w:hAnsi="Palatino Linotype" w:cs="Palatino Linotype"/>
          <w:color w:val="000000" w:themeColor="text1"/>
        </w:rPr>
        <w:t xml:space="preserve">en el apartado correspondiente al Artículo 92,  Fracción II B,  Organigrama, consultable en el siguiente link </w:t>
      </w:r>
      <w:hyperlink r:id="rId19" w:anchor="/info-fraccion/3/323/1">
        <w:r w:rsidRPr="00B628D2">
          <w:rPr>
            <w:rFonts w:ascii="Palatino Linotype" w:eastAsia="Palatino Linotype" w:hAnsi="Palatino Linotype" w:cs="Palatino Linotype"/>
            <w:color w:val="000000" w:themeColor="text1"/>
            <w:u w:val="single"/>
          </w:rPr>
          <w:t>https://ipomex.org.mx/ipomex/#/info-fraccion/3/323/1</w:t>
        </w:r>
      </w:hyperlink>
      <w:r w:rsidRPr="00B628D2">
        <w:rPr>
          <w:rFonts w:ascii="Palatino Linotype" w:eastAsia="Palatino Linotype" w:hAnsi="Palatino Linotype" w:cs="Palatino Linotype"/>
          <w:color w:val="000000" w:themeColor="text1"/>
        </w:rPr>
        <w:t xml:space="preserve"> tal como se ilustra a continuación:</w:t>
      </w: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noProof/>
          <w:color w:val="000000" w:themeColor="text1"/>
          <w:lang w:val="es-MX"/>
        </w:rPr>
        <w:drawing>
          <wp:inline distT="0" distB="0" distL="0" distR="0">
            <wp:extent cx="5756275" cy="3518535"/>
            <wp:effectExtent l="0" t="0" r="0" b="0"/>
            <wp:docPr id="1343528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56275" cy="3518535"/>
                    </a:xfrm>
                    <a:prstGeom prst="rect">
                      <a:avLst/>
                    </a:prstGeom>
                    <a:ln/>
                  </pic:spPr>
                </pic:pic>
              </a:graphicData>
            </a:graphic>
          </wp:inline>
        </w:drawing>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este sentido y derivado de la información requerida es de ahondar en el estudio del </w:t>
      </w:r>
      <w:r w:rsidRPr="00B628D2">
        <w:rPr>
          <w:rFonts w:ascii="Palatino Linotype" w:eastAsia="Palatino Linotype" w:hAnsi="Palatino Linotype" w:cs="Palatino Linotype"/>
          <w:b/>
          <w:color w:val="000000" w:themeColor="text1"/>
        </w:rPr>
        <w:t>expediente laboral</w:t>
      </w:r>
      <w:r w:rsidRPr="00B628D2">
        <w:rPr>
          <w:rFonts w:ascii="Palatino Linotype" w:eastAsia="Palatino Linotype" w:hAnsi="Palatino Linotype" w:cs="Palatino Linotype"/>
          <w:color w:val="000000" w:themeColor="text1"/>
        </w:rPr>
        <w:t xml:space="preserve"> de los servidores públicos, por lo que resulta necesario referir lo </w:t>
      </w:r>
      <w:r w:rsidRPr="00B628D2">
        <w:rPr>
          <w:rFonts w:ascii="Palatino Linotype" w:eastAsia="Palatino Linotype" w:hAnsi="Palatino Linotype" w:cs="Palatino Linotype"/>
          <w:color w:val="000000" w:themeColor="text1"/>
        </w:rPr>
        <w:lastRenderedPageBreak/>
        <w:t>establecido en el artículo 47 de la Ley de Trabajo de los Servidores Públicos del Estado de México y Municipios, el cual refiere que toda persona que requiera ingresar al servicio público debe cumplir con el mínimo de requisitos, los cuales son los siguientes:</w:t>
      </w:r>
    </w:p>
    <w:p w:rsidR="00CB0B71" w:rsidRPr="00B628D2" w:rsidRDefault="00033ED5" w:rsidP="00033ED5">
      <w:pPr>
        <w:pStyle w:val="Puesto"/>
        <w:spacing w:before="0" w:after="0"/>
        <w:rPr>
          <w:rFonts w:ascii="Palatino Linotype" w:eastAsia="Palatino Linotype" w:hAnsi="Palatino Linotype" w:cs="Palatino Linotype"/>
          <w:i/>
          <w:color w:val="000000" w:themeColor="text1"/>
          <w:sz w:val="24"/>
          <w:szCs w:val="24"/>
        </w:rPr>
      </w:pPr>
      <w:r w:rsidRPr="00B628D2">
        <w:rPr>
          <w:rFonts w:ascii="Palatino Linotype" w:eastAsia="Palatino Linotype" w:hAnsi="Palatino Linotype" w:cs="Palatino Linotype"/>
          <w:i/>
          <w:color w:val="000000" w:themeColor="text1"/>
          <w:sz w:val="24"/>
          <w:szCs w:val="24"/>
        </w:rPr>
        <w:t xml:space="preserve">“Artículo 47. Para ingresar al servicio público se requiere: </w:t>
      </w:r>
    </w:p>
    <w:p w:rsidR="00CB0B71" w:rsidRPr="00B628D2" w:rsidRDefault="00CB0B71" w:rsidP="00033ED5">
      <w:pPr>
        <w:pStyle w:val="Puesto"/>
        <w:spacing w:before="0" w:after="0"/>
        <w:rPr>
          <w:rFonts w:ascii="Palatino Linotype" w:eastAsia="Palatino Linotype" w:hAnsi="Palatino Linotype" w:cs="Palatino Linotype"/>
          <w:b w:val="0"/>
          <w:i/>
          <w:color w:val="000000" w:themeColor="text1"/>
          <w:sz w:val="24"/>
          <w:szCs w:val="24"/>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 Presentar una solicitud utilizando la forma oficial que se autorice por la institución pública o dependencia correspondiente;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II. Ser de nacionalidad mexicana, con la excepción prevista en el artículo 17 de la presente ley;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III. Estar en pleno ejercicio de sus derechos civiles y políticos, en su caso;</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IV. Acreditar, cuando proceda, el cumplimiento de la Ley del Servicio Militar Nacional;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 Derogada.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VI. No haber sido separado anteriormente del servicio por las causas previstas en el artículo 93 de la presente ley;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VII. Tener buena salud, lo que se comprobará con los certificados médicos correspondientes, en la forma en que se establezca en cada institución pública;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VIII. Cumplir con los requisitos que se establezcan para los diferentes puestos;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IX. Acreditar por medio de los exámenes correspondientes los conocimientos y aptitudes necesarios para el desempeño del puesto; y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X. No estar inhabilitado para el ejercicio del servicio público.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XI. Presentar certificado expedido por la Unidad del Registro de Deudores Alimentarios Morosos en el que conste, si se encuentra inscrito o no en el mismo. </w:t>
      </w:r>
    </w:p>
    <w:p w:rsidR="00CB0B71" w:rsidRPr="00B628D2" w:rsidRDefault="00CB0B71" w:rsidP="00033ED5">
      <w:pPr>
        <w:pStyle w:val="Puesto"/>
        <w:spacing w:before="0" w:after="0"/>
        <w:rPr>
          <w:rFonts w:ascii="Palatino Linotype" w:eastAsia="Palatino Linotype" w:hAnsi="Palatino Linotype" w:cs="Palatino Linotype"/>
          <w:b w:val="0"/>
          <w:i/>
          <w:color w:val="000000" w:themeColor="text1"/>
          <w:sz w:val="24"/>
          <w:szCs w:val="24"/>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Por su parte, los artículos 48, 49 y 50, refieren lo siguiente:</w:t>
      </w:r>
    </w:p>
    <w:p w:rsidR="00CB0B71" w:rsidRPr="00B628D2" w:rsidRDefault="00CB0B71" w:rsidP="00033ED5">
      <w:pPr>
        <w:pBdr>
          <w:top w:val="nil"/>
          <w:left w:val="nil"/>
          <w:bottom w:val="nil"/>
          <w:right w:val="nil"/>
          <w:between w:val="nil"/>
        </w:pBdr>
        <w:rPr>
          <w:rFonts w:ascii="Palatino Linotype" w:eastAsia="Palatino Linotype" w:hAnsi="Palatino Linotype" w:cs="Palatino Linotype"/>
          <w:color w:val="000000" w:themeColor="text1"/>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“ARTÍCULO 48. Para iniciar la prestación de los servicios se requiere: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 Tener conferido el nombramiento, contrato respectivo o formato único de Movimientos de Personal;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II. Rendir la protesta de ley en caso de nombramiento; y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III. Tomar posesión del cargo.</w:t>
      </w:r>
    </w:p>
    <w:p w:rsidR="00CB0B71" w:rsidRPr="00B628D2" w:rsidRDefault="00CB0B71" w:rsidP="00033ED5">
      <w:pPr>
        <w:rPr>
          <w:rFonts w:ascii="Palatino Linotype" w:hAnsi="Palatino Linotype"/>
          <w:color w:val="000000" w:themeColor="text1"/>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lastRenderedPageBreak/>
        <w:t>CAPITULO II</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De los Nombramientos</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ARTÍCULO 49.- Los nombramientos, contratos o formato único de Movimientos de Personal de los servidores públicos deberán contener:</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 Nombre completo del servidor público;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II. Cargo para el que es designado, fecha de inicio de sus servicios y lugar de adscripción;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III. Carácter del nombramiento, ya sea de servidores públicos generales o de confianza, así como la temporalidad del mismo;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IV. Remuneración correspondiente al puesto;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 Jornada de trabajo;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VI. Derogada; </w:t>
      </w: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VII. Firma del servidor público autorizado para emitir el nombramiento, contrato o formato único de Movimientos de Personal, así como el fundamento legal de esa atribución. </w:t>
      </w:r>
    </w:p>
    <w:p w:rsidR="00CB0B71" w:rsidRPr="00B628D2" w:rsidRDefault="00CB0B71" w:rsidP="00033ED5">
      <w:pPr>
        <w:pStyle w:val="Puesto"/>
        <w:spacing w:before="0" w:after="0"/>
        <w:rPr>
          <w:rFonts w:ascii="Palatino Linotype" w:eastAsia="Palatino Linotype" w:hAnsi="Palatino Linotype" w:cs="Palatino Linotype"/>
          <w:b w:val="0"/>
          <w:i/>
          <w:color w:val="000000" w:themeColor="text1"/>
          <w:sz w:val="24"/>
          <w:szCs w:val="24"/>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rsidR="00CB0B71" w:rsidRPr="00B628D2" w:rsidRDefault="00CB0B71" w:rsidP="00033ED5">
      <w:pPr>
        <w:pStyle w:val="Puesto"/>
        <w:spacing w:before="0" w:after="0"/>
        <w:rPr>
          <w:rFonts w:ascii="Palatino Linotype" w:eastAsia="Palatino Linotype" w:hAnsi="Palatino Linotype" w:cs="Palatino Linotype"/>
          <w:b w:val="0"/>
          <w:i/>
          <w:color w:val="000000" w:themeColor="text1"/>
          <w:sz w:val="24"/>
          <w:szCs w:val="24"/>
        </w:rPr>
      </w:pPr>
    </w:p>
    <w:p w:rsidR="00CB0B71" w:rsidRPr="00B628D2"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Iguales consecuencias se generarán para todos los servidores públicos, cuando la relación de trabajo se formalice mediante un contrato o por encontrarse en lista de raya.”</w:t>
      </w:r>
    </w:p>
    <w:p w:rsidR="00CB0B71" w:rsidRDefault="00033ED5" w:rsidP="00033ED5">
      <w:pPr>
        <w:pStyle w:val="Puesto"/>
        <w:spacing w:before="0" w:after="0"/>
        <w:rPr>
          <w:rFonts w:ascii="Palatino Linotype" w:eastAsia="Palatino Linotype" w:hAnsi="Palatino Linotype" w:cs="Palatino Linotype"/>
          <w:b w:val="0"/>
          <w:i/>
          <w:color w:val="000000" w:themeColor="text1"/>
          <w:sz w:val="24"/>
          <w:szCs w:val="24"/>
        </w:rPr>
      </w:pPr>
      <w:r w:rsidRPr="00B628D2">
        <w:rPr>
          <w:rFonts w:ascii="Palatino Linotype" w:eastAsia="Palatino Linotype" w:hAnsi="Palatino Linotype" w:cs="Palatino Linotype"/>
          <w:b w:val="0"/>
          <w:i/>
          <w:color w:val="000000" w:themeColor="text1"/>
          <w:sz w:val="24"/>
          <w:szCs w:val="24"/>
        </w:rPr>
        <w:t>(Énfasis Añadido)</w:t>
      </w:r>
    </w:p>
    <w:p w:rsidR="007218E8" w:rsidRDefault="007218E8" w:rsidP="007218E8"/>
    <w:p w:rsidR="007218E8" w:rsidRPr="007218E8" w:rsidRDefault="007218E8" w:rsidP="007218E8"/>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Es así que, para que un servidor público entre en funciones debe tener un nombramiento, contrato, nombramiento </w:t>
      </w:r>
      <w:r w:rsidRPr="00B628D2">
        <w:rPr>
          <w:rFonts w:ascii="Palatino Linotype" w:eastAsia="Palatino Linotype" w:hAnsi="Palatino Linotype" w:cs="Palatino Linotype"/>
          <w:b/>
          <w:color w:val="000000" w:themeColor="text1"/>
        </w:rPr>
        <w:t>o formato único de movimientos de personal y del que se advierte la fecha de inicio de sus servicios</w:t>
      </w:r>
      <w:r w:rsidRPr="00B628D2">
        <w:rPr>
          <w:rFonts w:ascii="Palatino Linotype" w:eastAsia="Palatino Linotype" w:hAnsi="Palatino Linotype" w:cs="Palatino Linotype"/>
          <w:color w:val="000000" w:themeColor="text1"/>
        </w:rPr>
        <w:t xml:space="preserve">, mismo que </w:t>
      </w:r>
      <w:r w:rsidRPr="00B628D2">
        <w:rPr>
          <w:rFonts w:ascii="Palatino Linotype" w:eastAsia="Palatino Linotype" w:hAnsi="Palatino Linotype" w:cs="Palatino Linotype"/>
          <w:b/>
          <w:color w:val="000000" w:themeColor="text1"/>
          <w:u w:val="single"/>
        </w:rPr>
        <w:t>debe obrar en el expediente correspondiente</w:t>
      </w:r>
      <w:r w:rsidRPr="00B628D2">
        <w:rPr>
          <w:rFonts w:ascii="Palatino Linotype" w:eastAsia="Palatino Linotype" w:hAnsi="Palatino Linotype" w:cs="Palatino Linotype"/>
          <w:color w:val="000000" w:themeColor="text1"/>
          <w:u w:val="single"/>
        </w:rPr>
        <w:t>.</w:t>
      </w:r>
      <w:r w:rsidRPr="00B628D2">
        <w:rPr>
          <w:rFonts w:ascii="Palatino Linotype" w:eastAsia="Palatino Linotype" w:hAnsi="Palatino Linotype" w:cs="Palatino Linotype"/>
          <w:color w:val="000000" w:themeColor="text1"/>
        </w:rPr>
        <w:t xml:space="preserve"> Sobre el expediente del personal de los Sujetos Obligados, es que resulta oportuno traer a contexto el contenido del artículo 98 fracción XVII, de la Ley anteriormente mencionada refiere que son obligaciones de las instituciones públicas, el </w:t>
      </w:r>
      <w:r w:rsidRPr="00B628D2">
        <w:rPr>
          <w:rFonts w:ascii="Palatino Linotype" w:eastAsia="Palatino Linotype" w:hAnsi="Palatino Linotype" w:cs="Palatino Linotype"/>
          <w:b/>
          <w:color w:val="000000" w:themeColor="text1"/>
          <w:u w:val="single"/>
        </w:rPr>
        <w:t>integrar los expedientes de los servidores públicos</w:t>
      </w:r>
      <w:r w:rsidRPr="00B628D2">
        <w:rPr>
          <w:rFonts w:ascii="Palatino Linotype" w:eastAsia="Palatino Linotype" w:hAnsi="Palatino Linotype" w:cs="Palatino Linotype"/>
          <w:color w:val="000000" w:themeColor="text1"/>
        </w:rPr>
        <w:t xml:space="preserve"> y proporcionar las constancias que éstos soliciten para el trámite de los asuntos de su interés en los términos que señalen los ordenamientos respectivos, se inserta su contenido íntegro:</w:t>
      </w:r>
    </w:p>
    <w:p w:rsidR="00CB0B71" w:rsidRPr="00B628D2" w:rsidRDefault="00CB0B71" w:rsidP="00033ED5">
      <w:pPr>
        <w:pBdr>
          <w:top w:val="nil"/>
          <w:left w:val="nil"/>
          <w:bottom w:val="nil"/>
          <w:right w:val="nil"/>
          <w:between w:val="nil"/>
        </w:pBdr>
        <w:rPr>
          <w:rFonts w:ascii="Palatino Linotype" w:eastAsia="Palatino Linotype" w:hAnsi="Palatino Linotype" w:cs="Palatino Linotype"/>
          <w:i/>
          <w:color w:val="000000" w:themeColor="text1"/>
        </w:rPr>
      </w:pP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TITULO CUARTO</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De las Obligaciones de las Instituciones Públicas</w:t>
      </w:r>
    </w:p>
    <w:p w:rsidR="00CB0B71" w:rsidRPr="00B628D2" w:rsidRDefault="00033ED5" w:rsidP="00033ED5">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CAPITULO I</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De las Obligaciones en General</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ARTÍCULO 98. Son obligaciones de las instituciones públicas:</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XVII. Integrar los expedientes de los servidores públicos </w:t>
      </w:r>
      <w:r w:rsidRPr="00B628D2">
        <w:rPr>
          <w:rFonts w:ascii="Palatino Linotype" w:eastAsia="Palatino Linotype" w:hAnsi="Palatino Linotype" w:cs="Palatino Linotype"/>
          <w:i/>
          <w:color w:val="000000" w:themeColor="text1"/>
        </w:rPr>
        <w:t>y proporcionar las constancias que éstos soliciten para el trámite de los asuntos de su interés en los términos que señalen los ordenamientos respectivos.</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p>
    <w:p w:rsidR="00CB0B71" w:rsidRPr="00B628D2" w:rsidRDefault="00CB0B71" w:rsidP="00033ED5">
      <w:pPr>
        <w:pBdr>
          <w:top w:val="nil"/>
          <w:left w:val="nil"/>
          <w:bottom w:val="nil"/>
          <w:right w:val="nil"/>
          <w:between w:val="nil"/>
        </w:pBdr>
        <w:tabs>
          <w:tab w:val="left" w:pos="567"/>
        </w:tabs>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 lo expuesto hasta este punto, se tiene la obligación de integral el expediente de personal, donde obran todos aquellos documentos que se relacionan con cada uno de los servidores públicos, así como los documentos que amparen que se cumplieron los requisitos para ocupar el cargo, así como los que establece el artículo 47 de la Ley en Materia.</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ese sentido, para una sencilla comprensión, se realiza el siguiente cuadro de análisis: </w:t>
      </w:r>
    </w:p>
    <w:p w:rsidR="00CB0B71" w:rsidRPr="00B628D2" w:rsidRDefault="00CB0B71" w:rsidP="00033ED5">
      <w:pPr>
        <w:rPr>
          <w:rFonts w:ascii="Palatino Linotype" w:eastAsia="Palatino Linotype" w:hAnsi="Palatino Linotype" w:cs="Palatino Linotype"/>
          <w:color w:val="000000" w:themeColor="text1"/>
        </w:rPr>
      </w:pPr>
    </w:p>
    <w:tbl>
      <w:tblPr>
        <w:tblStyle w:val="a9"/>
        <w:tblW w:w="9778" w:type="dxa"/>
        <w:tblInd w:w="-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66"/>
        <w:gridCol w:w="2694"/>
        <w:gridCol w:w="3118"/>
      </w:tblGrid>
      <w:tr w:rsidR="00033ED5" w:rsidRPr="00B628D2">
        <w:trPr>
          <w:trHeight w:val="1218"/>
          <w:tblHeader/>
        </w:trPr>
        <w:tc>
          <w:tcPr>
            <w:tcW w:w="3967" w:type="dxa"/>
            <w:shd w:val="clear" w:color="auto" w:fill="D9D9D9"/>
          </w:tcPr>
          <w:p w:rsidR="00CB0B71" w:rsidRPr="00B628D2" w:rsidRDefault="00033ED5" w:rsidP="00033ED5">
            <w:pP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Requisitos de conformidad con el artículo 47 de la Ley de Trabajo de los Servidores Públicos del Estado y Municipios</w:t>
            </w:r>
          </w:p>
        </w:tc>
        <w:tc>
          <w:tcPr>
            <w:tcW w:w="2694" w:type="dxa"/>
            <w:shd w:val="clear" w:color="auto" w:fill="D9D9D9"/>
          </w:tcPr>
          <w:p w:rsidR="00CB0B71" w:rsidRPr="00B628D2" w:rsidRDefault="00033ED5" w:rsidP="00033ED5">
            <w:pP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Documento que lo acredita</w:t>
            </w:r>
          </w:p>
        </w:tc>
        <w:tc>
          <w:tcPr>
            <w:tcW w:w="3118" w:type="dxa"/>
            <w:shd w:val="clear" w:color="auto" w:fill="D9D9D9"/>
          </w:tcPr>
          <w:p w:rsidR="00CB0B71" w:rsidRPr="00B628D2" w:rsidRDefault="00033ED5" w:rsidP="00033ED5">
            <w:pPr>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Naturaleza de la información.</w:t>
            </w:r>
          </w:p>
        </w:tc>
      </w:tr>
      <w:tr w:rsidR="00033ED5" w:rsidRPr="00B628D2">
        <w:trPr>
          <w:trHeight w:val="1410"/>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Presentar una solicitud utilizando la forma oficial que se autorice por la institución pública o dependencia correspondiente.</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Solicitud de empleo, ficha curricular, currículum vitae o documento análogo</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Pública, en versión pública</w:t>
            </w:r>
          </w:p>
        </w:tc>
      </w:tr>
      <w:tr w:rsidR="00033ED5" w:rsidRPr="00B628D2">
        <w:trPr>
          <w:trHeight w:val="439"/>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Ser de nacionalidad mexicana.</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Acta de nacimiento</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Confidencial</w:t>
            </w:r>
          </w:p>
        </w:tc>
      </w:tr>
      <w:tr w:rsidR="00033ED5" w:rsidRPr="00B628D2">
        <w:trPr>
          <w:trHeight w:val="700"/>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Estar en pleno ejercicio de los derechos civiles y políticos. </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Credencial de elector </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Confidencial</w:t>
            </w:r>
          </w:p>
        </w:tc>
      </w:tr>
      <w:tr w:rsidR="00033ED5" w:rsidRPr="00B628D2">
        <w:trPr>
          <w:trHeight w:val="555"/>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Acreditar, cuando proceda, el cumplimiento de la Ley del Servicio Militar Nacional.</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Cartilla de Servicio Militar</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Confidencial</w:t>
            </w:r>
          </w:p>
        </w:tc>
      </w:tr>
      <w:tr w:rsidR="00033ED5" w:rsidRPr="00B628D2">
        <w:trPr>
          <w:trHeight w:val="1617"/>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No haber sido separado anteriormente del servicio por las causas previstas en el artículo 93 de la Ley de Trabajo de los Servidores Públicos de la Entidad. </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Manifestación bajo protesta de decir verdad </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Público, en versión pública. </w:t>
            </w:r>
          </w:p>
        </w:tc>
      </w:tr>
      <w:tr w:rsidR="00033ED5" w:rsidRPr="00B628D2">
        <w:trPr>
          <w:trHeight w:val="270"/>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Tener buena salud</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Certificado Médico</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Confidencial</w:t>
            </w:r>
          </w:p>
        </w:tc>
      </w:tr>
      <w:tr w:rsidR="00033ED5" w:rsidRPr="00B628D2">
        <w:trPr>
          <w:trHeight w:val="270"/>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Cumplir con los requisitos que se establezcan para los diferentes puestos.</w:t>
            </w:r>
          </w:p>
        </w:tc>
        <w:tc>
          <w:tcPr>
            <w:tcW w:w="2694" w:type="dxa"/>
            <w:vAlign w:val="center"/>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este caso, son aplicables los documentos previstos por la Ley Orgánica Municipal del Estado de México y Municipios, en virtud de que se trata de ayuntamientos.</w:t>
            </w:r>
          </w:p>
        </w:tc>
        <w:tc>
          <w:tcPr>
            <w:tcW w:w="3118" w:type="dxa"/>
            <w:vAlign w:val="center"/>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Público, en versión pública.</w:t>
            </w:r>
          </w:p>
        </w:tc>
      </w:tr>
      <w:tr w:rsidR="00033ED5" w:rsidRPr="00B628D2">
        <w:trPr>
          <w:trHeight w:val="854"/>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No estar inhabilitado  </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Constancia de no inhabilitación</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Pública, en versión pública</w:t>
            </w:r>
          </w:p>
        </w:tc>
      </w:tr>
      <w:tr w:rsidR="00033ED5" w:rsidRPr="00B628D2">
        <w:trPr>
          <w:trHeight w:val="1700"/>
        </w:trPr>
        <w:tc>
          <w:tcPr>
            <w:tcW w:w="3967"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Presentar certificado expedido por la Unidad del Registro de Deudores Alimentarios Morosos en el que conste, si se encuentra inscrito o no en el mismo.</w:t>
            </w:r>
          </w:p>
        </w:tc>
        <w:tc>
          <w:tcPr>
            <w:tcW w:w="2694"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Certificado de No Deudor Alimentario</w:t>
            </w:r>
          </w:p>
        </w:tc>
        <w:tc>
          <w:tcPr>
            <w:tcW w:w="3118" w:type="dxa"/>
          </w:tcPr>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Pública, en versión pública.</w:t>
            </w:r>
          </w:p>
        </w:tc>
      </w:tr>
    </w:tbl>
    <w:p w:rsidR="00CB0B71" w:rsidRDefault="00CB0B71" w:rsidP="00033ED5">
      <w:pPr>
        <w:rPr>
          <w:rFonts w:ascii="Palatino Linotype" w:eastAsia="Palatino Linotype" w:hAnsi="Palatino Linotype" w:cs="Palatino Linotype"/>
          <w:color w:val="000000" w:themeColor="text1"/>
        </w:rPr>
      </w:pPr>
    </w:p>
    <w:p w:rsidR="007218E8" w:rsidRPr="00B628D2" w:rsidRDefault="007218E8"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Así, una vez conocido los documentos que conforme a la normatividad deben de integrar el expediente laboral de los servidores públicos conforme al artículo 47 de la Ley de Trabajo de los Servidores Públicos del Estado y Municipios, se procede al análisis </w:t>
      </w:r>
      <w:r w:rsidRPr="00B628D2">
        <w:rPr>
          <w:rFonts w:ascii="Palatino Linotype" w:eastAsia="Palatino Linotype" w:hAnsi="Palatino Linotype" w:cs="Palatino Linotype"/>
          <w:color w:val="000000" w:themeColor="text1"/>
        </w:rPr>
        <w:lastRenderedPageBreak/>
        <w:t>pormenorizado de las documentales que deben conformar dicho expediente laboral, para efecto de determinar la procedencia de su entrega.</w:t>
      </w:r>
    </w:p>
    <w:p w:rsidR="00CB0B71" w:rsidRPr="00B628D2" w:rsidRDefault="00CB0B71" w:rsidP="00033ED5">
      <w:pPr>
        <w:tabs>
          <w:tab w:val="left" w:pos="709"/>
        </w:tabs>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Solicitud de empleo o documento análogo:</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por lo que, su acceso toma relevancia al guardar relación directa con la contratación del servidor público y con el ejercicio de sus atribuciones.</w:t>
      </w:r>
    </w:p>
    <w:p w:rsidR="00CB0B71" w:rsidRPr="00B628D2" w:rsidRDefault="00CB0B71" w:rsidP="00033ED5">
      <w:pPr>
        <w:tabs>
          <w:tab w:val="left" w:pos="822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CB0B71" w:rsidRPr="00B628D2" w:rsidRDefault="00CB0B71" w:rsidP="00033ED5">
      <w:pPr>
        <w:pBdr>
          <w:top w:val="nil"/>
          <w:left w:val="nil"/>
          <w:bottom w:val="nil"/>
          <w:right w:val="nil"/>
          <w:between w:val="nil"/>
        </w:pBd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color w:val="000000" w:themeColor="text1"/>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w:t>
      </w:r>
      <w:r w:rsidRPr="00B628D2">
        <w:rPr>
          <w:rFonts w:ascii="Palatino Linotype" w:eastAsia="Palatino Linotype" w:hAnsi="Palatino Linotype" w:cs="Palatino Linotype"/>
          <w:b/>
          <w:i/>
          <w:color w:val="000000" w:themeColor="text1"/>
        </w:rPr>
        <w:t>se debe proporcionar en versión pública.</w:t>
      </w: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Acta de nacimiento:</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Ahora bien, de acuerdo con el Formato Único del Acta de Nacimiento publicado por la Secretaría de Gobernación en el enlace </w:t>
      </w:r>
      <w:hyperlink r:id="rId21">
        <w:r w:rsidRPr="00B628D2">
          <w:rPr>
            <w:rFonts w:ascii="Palatino Linotype" w:eastAsia="Palatino Linotype" w:hAnsi="Palatino Linotype" w:cs="Palatino Linotype"/>
            <w:color w:val="000000" w:themeColor="text1"/>
            <w:u w:val="single"/>
          </w:rPr>
          <w:t>http://www.diputados.gob.mx/documentos/N_Acta_Nacimiento.pdf</w:t>
        </w:r>
      </w:hyperlink>
      <w:r w:rsidRPr="00B628D2">
        <w:rPr>
          <w:rFonts w:ascii="Palatino Linotype" w:eastAsia="Palatino Linotype" w:hAnsi="Palatino Linotype" w:cs="Palatino Linotype"/>
          <w:color w:val="000000" w:themeColor="text1"/>
        </w:rPr>
        <w:t xml:space="preserve">  se advierte que el Acta de Nacimiento se componte de quince elementos siendo los siguientes: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Folio de Impresión.</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Denominación del Documento.</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Identificador Electrónico.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Elementos del Registro.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Datos de la Persona Registrada.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Datos de Filiación de la Persona Registrada.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Anotaciones Marginales.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Certificación.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Código Bidimensional QR que contiene información encriptada del acta.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Leyenda “Soy México”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Firma Electrónica Avanzada.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Firma y datos de la autoridad emisora.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Código QR. </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Código de Verificación.</w:t>
      </w:r>
    </w:p>
    <w:p w:rsidR="00CB0B71" w:rsidRPr="00B628D2" w:rsidRDefault="00033ED5" w:rsidP="007218E8">
      <w:pPr>
        <w:numPr>
          <w:ilvl w:val="0"/>
          <w:numId w:val="6"/>
        </w:numPr>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Leyenda de instrucciones para la verificación del documento. </w:t>
      </w:r>
    </w:p>
    <w:p w:rsidR="00CB0B71" w:rsidRPr="00B628D2" w:rsidRDefault="00CB0B71" w:rsidP="00033ED5">
      <w:pPr>
        <w:tabs>
          <w:tab w:val="left" w:pos="496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 xml:space="preserve">Siendo de suma importancia mencionar que la información relativa a los incisos </w:t>
      </w:r>
      <w:r w:rsidRPr="00B628D2">
        <w:rPr>
          <w:rFonts w:ascii="Palatino Linotype" w:eastAsia="Palatino Linotype" w:hAnsi="Palatino Linotype" w:cs="Palatino Linotype"/>
          <w:b/>
          <w:color w:val="000000" w:themeColor="text1"/>
        </w:rPr>
        <w:t>d) elementos de registro, e) datos de la persona registrada, f) datos de filiación de la persona registrada</w:t>
      </w:r>
      <w:r w:rsidRPr="00B628D2">
        <w:rPr>
          <w:rFonts w:ascii="Palatino Linotype" w:eastAsia="Palatino Linotype" w:hAnsi="Palatino Linotype" w:cs="Palatino Linotype"/>
          <w:color w:val="000000" w:themeColor="text1"/>
        </w:rPr>
        <w:t xml:space="preserve">, </w:t>
      </w:r>
      <w:r w:rsidRPr="00B628D2">
        <w:rPr>
          <w:rFonts w:ascii="Palatino Linotype" w:eastAsia="Palatino Linotype" w:hAnsi="Palatino Linotype" w:cs="Palatino Linotype"/>
          <w:b/>
          <w:color w:val="000000" w:themeColor="text1"/>
        </w:rPr>
        <w:t xml:space="preserve">g), anotaciones marginales </w:t>
      </w:r>
      <w:r w:rsidRPr="00B628D2">
        <w:rPr>
          <w:rFonts w:ascii="Palatino Linotype" w:eastAsia="Palatino Linotype" w:hAnsi="Palatino Linotype" w:cs="Palatino Linotype"/>
          <w:color w:val="000000" w:themeColor="text1"/>
        </w:rPr>
        <w:t>y</w:t>
      </w:r>
      <w:r w:rsidRPr="00B628D2">
        <w:rPr>
          <w:rFonts w:ascii="Palatino Linotype" w:eastAsia="Palatino Linotype" w:hAnsi="Palatino Linotype" w:cs="Palatino Linotype"/>
          <w:b/>
          <w:color w:val="000000" w:themeColor="text1"/>
        </w:rPr>
        <w:t xml:space="preserve"> m) Código QR, </w:t>
      </w:r>
      <w:r w:rsidRPr="00B628D2">
        <w:rPr>
          <w:rFonts w:ascii="Palatino Linotype" w:eastAsia="Palatino Linotype" w:hAnsi="Palatino Linotype" w:cs="Palatino Linotype"/>
          <w:color w:val="000000" w:themeColor="text1"/>
        </w:rPr>
        <w:t>se encuentra intrínsecamente relacionada con la esfera privada de una persona haciéndole identificada o identificable</w:t>
      </w:r>
    </w:p>
    <w:p w:rsidR="00CB0B71" w:rsidRPr="00B628D2" w:rsidRDefault="00CB0B71" w:rsidP="00033ED5">
      <w:pPr>
        <w:tabs>
          <w:tab w:val="left" w:pos="496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Dada esta relevancia y que no guarda relación directa con el ejercicio de atribuciones de servidores públicos es que su contenido del Acta de Nacimiento debe ser clasificado en su </w:t>
      </w:r>
      <w:r w:rsidRPr="00B628D2">
        <w:rPr>
          <w:rFonts w:ascii="Palatino Linotype" w:eastAsia="Palatino Linotype" w:hAnsi="Palatino Linotype" w:cs="Palatino Linotype"/>
          <w:b/>
          <w:i/>
          <w:color w:val="000000" w:themeColor="text1"/>
        </w:rPr>
        <w:t>totalidad como confidencial</w:t>
      </w:r>
      <w:r w:rsidRPr="00B628D2">
        <w:rPr>
          <w:rFonts w:ascii="Palatino Linotype" w:eastAsia="Palatino Linotype" w:hAnsi="Palatino Linotype" w:cs="Palatino Linotype"/>
          <w:color w:val="000000" w:themeColor="text1"/>
        </w:rPr>
        <w:t>, además que parte los dato que integran hacen identificable a la persona sin tener que ver con el ejercicio de un cargo público.</w:t>
      </w:r>
    </w:p>
    <w:p w:rsidR="00CB0B71" w:rsidRPr="00B628D2" w:rsidRDefault="00CB0B71" w:rsidP="00033ED5">
      <w:pPr>
        <w:tabs>
          <w:tab w:val="left" w:pos="496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Pues como se ha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u w:val="single"/>
        </w:rPr>
      </w:pPr>
      <w:r w:rsidRPr="00B628D2">
        <w:rPr>
          <w:rFonts w:ascii="Palatino Linotype" w:eastAsia="Palatino Linotype" w:hAnsi="Palatino Linotype" w:cs="Palatino Linotype"/>
          <w:color w:val="000000" w:themeColor="text1"/>
        </w:rPr>
        <w:t xml:space="preserve">De esta manera, se trata de un documento de </w:t>
      </w:r>
      <w:r w:rsidRPr="00B628D2">
        <w:rPr>
          <w:rFonts w:ascii="Palatino Linotype" w:eastAsia="Palatino Linotype" w:hAnsi="Palatino Linotype" w:cs="Palatino Linotype"/>
          <w:b/>
          <w:color w:val="000000" w:themeColor="text1"/>
        </w:rPr>
        <w:t>naturaleza confidencial</w:t>
      </w:r>
      <w:r w:rsidRPr="00B628D2">
        <w:rPr>
          <w:rFonts w:ascii="Palatino Linotype" w:eastAsia="Palatino Linotype" w:hAnsi="Palatino Linotype" w:cs="Palatino Linotype"/>
          <w:color w:val="000000" w:themeColor="text1"/>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Credencial para votar con Fotografía: </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Al respecto, conviene señalar que, 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w:t>
      </w:r>
      <w:r w:rsidRPr="00B628D2">
        <w:rPr>
          <w:rFonts w:ascii="Palatino Linotype" w:eastAsia="Palatino Linotype" w:hAnsi="Palatino Linotype" w:cs="Palatino Linotype"/>
          <w:color w:val="000000" w:themeColor="text1"/>
        </w:rPr>
        <w:lastRenderedPageBreak/>
        <w:t xml:space="preserve">Instituciones y Procedimientos Electorales que enlista los datos que, cuando menos, debe contener la credencial para votar, como son: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w:t>
      </w:r>
      <w:r w:rsidRPr="00B628D2">
        <w:rPr>
          <w:rFonts w:ascii="Palatino Linotype" w:eastAsia="Palatino Linotype" w:hAnsi="Palatino Linotype" w:cs="Palatino Linotype"/>
          <w:b/>
          <w:i/>
          <w:color w:val="000000" w:themeColor="text1"/>
        </w:rPr>
        <w:t>Artículo 156</w:t>
      </w:r>
      <w:r w:rsidRPr="00B628D2">
        <w:rPr>
          <w:rFonts w:ascii="Palatino Linotype" w:eastAsia="Palatino Linotype" w:hAnsi="Palatino Linotype" w:cs="Palatino Linotype"/>
          <w:i/>
          <w:color w:val="000000" w:themeColor="text1"/>
        </w:rPr>
        <w:t xml:space="preserve">.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1. La credencial para votar deberá contener, cuando menos, los siguientes datos del elector: …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d) Domicilio; …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g) Firma, huella digital y fotografía del elector; …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 Clave Única del Registro de Población. ”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(Énfasis añadido)</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Así, el conocimiento de dichos datos afecta la esfera más íntima de su Titular, en razón de que todos los elementos contenidos en la credencial hacen a su titular, identificado, identificable.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22">
        <w:r w:rsidRPr="00B628D2">
          <w:rPr>
            <w:rFonts w:ascii="Palatino Linotype" w:eastAsia="Palatino Linotype" w:hAnsi="Palatino Linotype" w:cs="Palatino Linotype"/>
            <w:color w:val="000000" w:themeColor="text1"/>
          </w:rPr>
          <w:t>https://www.ine.mx/wp-content/uploads/2022/10/DERFEABCCREDENCIAL2022.pdf</w:t>
        </w:r>
      </w:hyperlink>
      <w:r w:rsidRPr="00B628D2">
        <w:rPr>
          <w:rFonts w:ascii="Palatino Linotype" w:eastAsia="Palatino Linotype" w:hAnsi="Palatino Linotype" w:cs="Palatino Linotype"/>
          <w:color w:val="000000" w:themeColor="text1"/>
        </w:rPr>
        <w:t xml:space="preserve">     como se muestra a continuación, en su parte medular:</w:t>
      </w:r>
    </w:p>
    <w:p w:rsidR="00CB0B71" w:rsidRPr="00B628D2" w:rsidRDefault="00033ED5" w:rsidP="00722DA7">
      <w:pP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noProof/>
          <w:color w:val="000000" w:themeColor="text1"/>
          <w:lang w:val="es-MX"/>
        </w:rPr>
        <w:lastRenderedPageBreak/>
        <w:drawing>
          <wp:inline distT="0" distB="0" distL="0" distR="0">
            <wp:extent cx="5282968" cy="1888496"/>
            <wp:effectExtent l="0" t="0" r="0" b="0"/>
            <wp:docPr id="13435285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b="40413"/>
                    <a:stretch>
                      <a:fillRect/>
                    </a:stretch>
                  </pic:blipFill>
                  <pic:spPr>
                    <a:xfrm>
                      <a:off x="0" y="0"/>
                      <a:ext cx="5282968" cy="1888496"/>
                    </a:xfrm>
                    <a:prstGeom prst="rect">
                      <a:avLst/>
                    </a:prstGeom>
                    <a:ln/>
                  </pic:spPr>
                </pic:pic>
              </a:graphicData>
            </a:graphic>
          </wp:inline>
        </w:drawing>
      </w:r>
    </w:p>
    <w:p w:rsidR="00CB0B71" w:rsidRPr="00B628D2" w:rsidRDefault="00033ED5" w:rsidP="00033ED5">
      <w:pPr>
        <w:jc w:val="cente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noProof/>
          <w:color w:val="000000" w:themeColor="text1"/>
          <w:lang w:val="es-MX"/>
        </w:rPr>
        <w:drawing>
          <wp:inline distT="0" distB="0" distL="0" distR="0">
            <wp:extent cx="4673285" cy="2807410"/>
            <wp:effectExtent l="0" t="0" r="0" b="0"/>
            <wp:docPr id="13435285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b="20560"/>
                    <a:stretch>
                      <a:fillRect/>
                    </a:stretch>
                  </pic:blipFill>
                  <pic:spPr>
                    <a:xfrm>
                      <a:off x="0" y="0"/>
                      <a:ext cx="4673285" cy="2807410"/>
                    </a:xfrm>
                    <a:prstGeom prst="rect">
                      <a:avLst/>
                    </a:prstGeom>
                    <a:ln/>
                  </pic:spPr>
                </pic:pic>
              </a:graphicData>
            </a:graphic>
          </wp:inline>
        </w:drawing>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el caso de la edad, se trata de un dato personal sensible que concierne únicamente a su titular, al corresponder a su esfera más íntima.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 xml:space="preserve">El código de barras bidimensional y credenciales para votar, contiene datos e información, utilizada para efectos electorales, misma, que únicamente concierne a las autoridades competentes en la materia y a su propio titular.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De acuerdo con lo anterior, resulta procedente la </w:t>
      </w:r>
      <w:r w:rsidRPr="00B628D2">
        <w:rPr>
          <w:rFonts w:ascii="Palatino Linotype" w:eastAsia="Palatino Linotype" w:hAnsi="Palatino Linotype" w:cs="Palatino Linotype"/>
          <w:b/>
          <w:color w:val="000000" w:themeColor="text1"/>
        </w:rPr>
        <w:t>clasificación de la credencial para votar en su totalidad</w:t>
      </w:r>
      <w:r w:rsidRPr="00B628D2">
        <w:rPr>
          <w:rFonts w:ascii="Palatino Linotype" w:eastAsia="Palatino Linotype" w:hAnsi="Palatino Linotype" w:cs="Palatino Linotype"/>
          <w:color w:val="000000" w:themeColor="text1"/>
        </w:rPr>
        <w:t>, por tratarse de un dato personal confidencial, en términos del artículo 143, fracción I, de la Ley de Transparencia y Acceso a la Información Pública del Estado de México y Municipios.</w:t>
      </w:r>
    </w:p>
    <w:p w:rsidR="00CB0B71" w:rsidRPr="00B628D2" w:rsidRDefault="00CB0B71" w:rsidP="00033ED5">
      <w:pPr>
        <w:rPr>
          <w:rFonts w:ascii="Palatino Linotype" w:eastAsia="Palatino Linotype" w:hAnsi="Palatino Linotype" w:cs="Palatino Linotype"/>
          <w:b/>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Cartilla Militar:</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“ARTÍCULO 151.-</w:t>
      </w:r>
      <w:r w:rsidRPr="00B628D2">
        <w:rPr>
          <w:rFonts w:ascii="Palatino Linotype" w:eastAsia="Palatino Linotype" w:hAnsi="Palatino Linotype" w:cs="Palatino Linotype"/>
          <w:i/>
          <w:color w:val="000000" w:themeColor="text1"/>
        </w:rPr>
        <w:t xml:space="preserve"> Una vez inscritos los mexicanos, se les expedirá gratuitamente la cartilla de identificación que acreditará su identidad y el cumplimiento de sus deberes militares, y contendrá:</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I.- Un retrato de frente;</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II.- Sus generales (nombre y apellidos paterno y materno, edad, ocupación, estado civil y domicilio);</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III.- Matrícula;</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IV.- Clase a que pertenece;</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V.- Corporación a que se le destine;</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VI.- Unidad a la que deba incorporarse en caso de movilización;</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VII.- Firma de la autoridad que la expida;</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VIII.- Firma del interesado, si sabe hacerlo;</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IX.- Sello de la Junta Municipal de Reclutamiento o Consulado;</w:t>
      </w:r>
    </w:p>
    <w:p w:rsidR="00CB0B71" w:rsidRPr="00B628D2" w:rsidRDefault="00033ED5" w:rsidP="00033ED5">
      <w:pPr>
        <w:pBdr>
          <w:top w:val="nil"/>
          <w:left w:val="nil"/>
          <w:bottom w:val="nil"/>
          <w:right w:val="nil"/>
          <w:between w:val="nil"/>
        </w:pBd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X.- Huella digital.</w:t>
      </w:r>
    </w:p>
    <w:p w:rsidR="00CB0B71" w:rsidRPr="00B628D2" w:rsidRDefault="00CB0B71" w:rsidP="00033ED5">
      <w:pPr>
        <w:pBdr>
          <w:top w:val="nil"/>
          <w:left w:val="nil"/>
          <w:bottom w:val="nil"/>
          <w:right w:val="nil"/>
          <w:between w:val="nil"/>
        </w:pBdr>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Mientras que el artículo 17 y 18 del Reglamento de la Ley del Servicio Militar, rezan así:</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“ARTÍCULO 17.</w:t>
      </w:r>
      <w:r w:rsidRPr="00B628D2">
        <w:rPr>
          <w:rFonts w:ascii="Palatino Linotype" w:eastAsia="Palatino Linotype" w:hAnsi="Palatino Linotype" w:cs="Palatino Linotype"/>
          <w:i/>
          <w:color w:val="000000" w:themeColor="text1"/>
        </w:rPr>
        <w:t>- La inscripción de cada mexicano se hará una sola vez, entregándole gratuitamente una cartilla de identificación según modelo número uno.</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w:t>
      </w:r>
      <w:r w:rsidRPr="00B628D2">
        <w:rPr>
          <w:rFonts w:ascii="Palatino Linotype" w:eastAsia="Palatino Linotype" w:hAnsi="Palatino Linotype" w:cs="Palatino Linotype"/>
          <w:b/>
          <w:i/>
          <w:color w:val="000000" w:themeColor="text1"/>
        </w:rPr>
        <w:t>ARTÍCULO 18.-</w:t>
      </w:r>
      <w:r w:rsidRPr="00B628D2">
        <w:rPr>
          <w:rFonts w:ascii="Palatino Linotype" w:eastAsia="Palatino Linotype" w:hAnsi="Palatino Linotype" w:cs="Palatino Linotype"/>
          <w:i/>
          <w:color w:val="000000" w:themeColor="text1"/>
        </w:rPr>
        <w:t> Una vez hecha la inscripción ante las juntas municipales de reclutamiento o consulados y como consecuencia inmediata, se formarán en dichas oficinas los siguientes documentos:</w:t>
      </w:r>
    </w:p>
    <w:p w:rsidR="00CB0B71" w:rsidRPr="00B628D2" w:rsidRDefault="00722DA7" w:rsidP="00033ED5">
      <w:pPr>
        <w:rPr>
          <w:rFonts w:ascii="Palatino Linotype" w:eastAsia="Palatino Linotype" w:hAnsi="Palatino Linotype" w:cs="Palatino Linotype"/>
          <w:i/>
          <w:color w:val="000000" w:themeColor="text1"/>
        </w:rPr>
      </w:pPr>
      <w:r>
        <w:rPr>
          <w:rFonts w:ascii="Palatino Linotype" w:eastAsia="Palatino Linotype" w:hAnsi="Palatino Linotype" w:cs="Palatino Linotype"/>
          <w:b/>
          <w:i/>
          <w:color w:val="000000" w:themeColor="text1"/>
        </w:rPr>
        <w:t>I.</w:t>
      </w:r>
      <w:r w:rsidR="00033ED5" w:rsidRPr="00B628D2">
        <w:rPr>
          <w:rFonts w:ascii="Palatino Linotype" w:eastAsia="Palatino Linotype" w:hAnsi="Palatino Linotype" w:cs="Palatino Linotype"/>
          <w:i/>
          <w:color w:val="000000" w:themeColor="text1"/>
        </w:rPr>
        <w:t> Cartilla de identificación que se entregará al interesado...”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 los preceptos legales trascritos, se obtiene que el documento que permite acreditar la inscripción de cada mexicano, en cumplimiento a la Ley del Servicio Militar, lo es la cartilla de identificación que se entrega al interesado.</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w:t>
      </w:r>
      <w:r w:rsidRPr="00B628D2">
        <w:rPr>
          <w:rFonts w:ascii="Palatino Linotype" w:eastAsia="Palatino Linotype" w:hAnsi="Palatino Linotype" w:cs="Palatino Linotype"/>
          <w:b/>
          <w:color w:val="000000" w:themeColor="text1"/>
        </w:rPr>
        <w:t>dicho documento debe tener</w:t>
      </w:r>
      <w:r w:rsidRPr="00B628D2">
        <w:rPr>
          <w:rFonts w:ascii="Palatino Linotype" w:eastAsia="Palatino Linotype" w:hAnsi="Palatino Linotype" w:cs="Palatino Linotype"/>
          <w:color w:val="000000" w:themeColor="text1"/>
        </w:rPr>
        <w:t xml:space="preserve"> el mismo tratamiento que el acta de nacimiento, es decir su </w:t>
      </w:r>
      <w:r w:rsidRPr="00B628D2">
        <w:rPr>
          <w:rFonts w:ascii="Palatino Linotype" w:eastAsia="Palatino Linotype" w:hAnsi="Palatino Linotype" w:cs="Palatino Linotype"/>
          <w:b/>
          <w:color w:val="000000" w:themeColor="text1"/>
        </w:rPr>
        <w:t>clasificación total</w:t>
      </w:r>
      <w:r w:rsidRPr="00B628D2">
        <w:rPr>
          <w:rFonts w:ascii="Palatino Linotype" w:eastAsia="Palatino Linotype" w:hAnsi="Palatino Linotype" w:cs="Palatino Linotype"/>
          <w:color w:val="000000" w:themeColor="text1"/>
        </w:rPr>
        <w:t xml:space="preserve">, motivo por el cual, de contar con este documento, se deberá clasificar mediante el acuerdo del Comité de Transparencia en su totalidad. </w:t>
      </w:r>
    </w:p>
    <w:p w:rsidR="00CB0B71" w:rsidRDefault="00CB0B71" w:rsidP="00033ED5">
      <w:pPr>
        <w:rPr>
          <w:rFonts w:ascii="Palatino Linotype" w:eastAsia="Palatino Linotype" w:hAnsi="Palatino Linotype" w:cs="Palatino Linotype"/>
          <w:color w:val="000000" w:themeColor="text1"/>
        </w:rPr>
      </w:pPr>
    </w:p>
    <w:p w:rsidR="007218E8" w:rsidRPr="00B628D2" w:rsidRDefault="007218E8" w:rsidP="00033ED5">
      <w:pPr>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Constancia o certificado médico:</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un riesgo grave para éste, entre los cuales se encuentran los que den cuenta del estado de salud, ya sea físico o mental.</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es decir, se debe </w:t>
      </w:r>
      <w:r w:rsidRPr="00B628D2">
        <w:rPr>
          <w:rFonts w:ascii="Palatino Linotype" w:eastAsia="Palatino Linotype" w:hAnsi="Palatino Linotype" w:cs="Palatino Linotype"/>
          <w:b/>
          <w:i/>
          <w:color w:val="000000" w:themeColor="text1"/>
        </w:rPr>
        <w:t>clasificar en su totalidad</w:t>
      </w:r>
      <w:r w:rsidRPr="00B628D2">
        <w:rPr>
          <w:rFonts w:ascii="Palatino Linotype" w:eastAsia="Palatino Linotype" w:hAnsi="Palatino Linotype" w:cs="Palatino Linotype"/>
          <w:color w:val="000000" w:themeColor="text1"/>
        </w:rPr>
        <w:t xml:space="preserve"> al tratarse de un documento de </w:t>
      </w:r>
      <w:r w:rsidRPr="00B628D2">
        <w:rPr>
          <w:rFonts w:ascii="Palatino Linotype" w:eastAsia="Palatino Linotype" w:hAnsi="Palatino Linotype" w:cs="Palatino Linotype"/>
          <w:b/>
          <w:color w:val="000000" w:themeColor="text1"/>
        </w:rPr>
        <w:t>naturaleza confidencial</w:t>
      </w:r>
      <w:r w:rsidRPr="00B628D2">
        <w:rPr>
          <w:rFonts w:ascii="Palatino Linotype" w:eastAsia="Palatino Linotype" w:hAnsi="Palatino Linotype" w:cs="Palatino Linotype"/>
          <w:color w:val="000000" w:themeColor="text1"/>
        </w:rPr>
        <w:t xml:space="preserve"> que tiene que ver únicamente con la vida privada de las personas. </w:t>
      </w:r>
    </w:p>
    <w:p w:rsidR="00CB0B71" w:rsidRPr="00B628D2" w:rsidRDefault="00CB0B71" w:rsidP="00033ED5">
      <w:pPr>
        <w:rPr>
          <w:rFonts w:ascii="Palatino Linotype" w:eastAsia="Palatino Linotype" w:hAnsi="Palatino Linotype" w:cs="Palatino Linotype"/>
          <w:b/>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Constancia de no inhabilitación:</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Es el documento que expide la Secretaría de la Contraloría del Estado de México por medio del sistema electrónico extranet </w:t>
      </w:r>
      <w:hyperlink r:id="rId25">
        <w:r w:rsidRPr="00B628D2">
          <w:rPr>
            <w:rFonts w:ascii="Palatino Linotype" w:eastAsia="Palatino Linotype" w:hAnsi="Palatino Linotype" w:cs="Palatino Linotype"/>
            <w:color w:val="000000" w:themeColor="text1"/>
          </w:rPr>
          <w:t>www.secogem.gob.mx/constancias/</w:t>
        </w:r>
      </w:hyperlink>
      <w:r w:rsidRPr="00B628D2">
        <w:rPr>
          <w:rFonts w:ascii="Palatino Linotype" w:eastAsia="Palatino Linotype" w:hAnsi="Palatino Linotype" w:cs="Palatino Linotype"/>
          <w:color w:val="000000" w:themeColor="text1"/>
        </w:rPr>
        <w:t xml:space="preserve"> en el cual se </w:t>
      </w:r>
      <w:r w:rsidRPr="00B628D2">
        <w:rPr>
          <w:rFonts w:ascii="Palatino Linotype" w:eastAsia="Palatino Linotype" w:hAnsi="Palatino Linotype" w:cs="Palatino Linotype"/>
          <w:color w:val="000000" w:themeColor="text1"/>
        </w:rPr>
        <w:lastRenderedPageBreak/>
        <w:t xml:space="preserve">informa si las personas físicas cuentan con alguna sanción o inhabilitación para ocupar un empleo, cargo o comisión de carácter público.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Por lo anterior, toda vez que este documento es generado en ejercicio de funciones del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es de naturaleza pública, sin embargo, no pasa desapercibido mencionar que puede contener datos que actualizan la causal prevista en la fracción I del artículo 143 de la Ley de Transparencia del Estado de México y Municipios, por lo tanto, deberá ser proporcionado en </w:t>
      </w:r>
      <w:r w:rsidRPr="00B628D2">
        <w:rPr>
          <w:rFonts w:ascii="Palatino Linotype" w:eastAsia="Palatino Linotype" w:hAnsi="Palatino Linotype" w:cs="Palatino Linotype"/>
          <w:b/>
          <w:i/>
          <w:color w:val="000000" w:themeColor="text1"/>
        </w:rPr>
        <w:t>versión pública</w:t>
      </w:r>
      <w:r w:rsidRPr="00B628D2">
        <w:rPr>
          <w:rFonts w:ascii="Palatino Linotype" w:eastAsia="Palatino Linotype" w:hAnsi="Palatino Linotype" w:cs="Palatino Linotype"/>
          <w:color w:val="000000" w:themeColor="text1"/>
        </w:rPr>
        <w:t xml:space="preserve">.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Certificado de No Deudor Alimentario Moroso:</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Por lo que, resulta importante hacer del conocimiento del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que deberá entregarse dicho documento, toda vez que la Ley General de los Derechos de las Niñas, Niños y Adolescentes </w:t>
      </w:r>
      <w:hyperlink r:id="rId26">
        <w:r w:rsidRPr="00B628D2">
          <w:rPr>
            <w:rFonts w:ascii="Palatino Linotype" w:eastAsia="Palatino Linotype" w:hAnsi="Palatino Linotype" w:cs="Palatino Linotype"/>
            <w:color w:val="000000" w:themeColor="text1"/>
          </w:rPr>
          <w:t>https://www.diputados.gob.mx/LeyesBiblio/pdf/LGDNNA.pdf</w:t>
        </w:r>
      </w:hyperlink>
      <w:r w:rsidRPr="00B628D2">
        <w:rPr>
          <w:rFonts w:ascii="Palatino Linotype" w:eastAsia="Palatino Linotype" w:hAnsi="Palatino Linotype" w:cs="Palatino Linotype"/>
          <w:color w:val="000000" w:themeColor="text1"/>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Al respecto, los artículos 4.146 Bis, 4.146 Ter, 4.146 Quáter y 4.146 Quinquies del Código Civil del Estado de México, del Registro de Deudores Alimentarios del Estado de México, establece lo siguiente: </w:t>
      </w:r>
    </w:p>
    <w:p w:rsidR="00CB0B71" w:rsidRPr="00B628D2" w:rsidRDefault="00033ED5" w:rsidP="00033ED5">
      <w:pP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i/>
          <w:color w:val="000000" w:themeColor="text1"/>
        </w:rPr>
        <w:t>“</w:t>
      </w:r>
      <w:r w:rsidRPr="00B628D2">
        <w:rPr>
          <w:rFonts w:ascii="Palatino Linotype" w:eastAsia="Palatino Linotype" w:hAnsi="Palatino Linotype" w:cs="Palatino Linotype"/>
          <w:b/>
          <w:i/>
          <w:color w:val="000000" w:themeColor="text1"/>
        </w:rPr>
        <w:t>CAPÍTULO IV DEL REGISTRO DE DEUDORES ALIMENTARIOS MOROSOS</w:t>
      </w:r>
    </w:p>
    <w:p w:rsidR="00CB0B71" w:rsidRPr="00B628D2" w:rsidRDefault="00033ED5" w:rsidP="00033ED5">
      <w:pPr>
        <w:jc w:val="cente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De la naturaleza del Registro de Deudores Alimentarios Morosos</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lastRenderedPageBreak/>
        <w:t>4.146 Bis.-</w:t>
      </w:r>
      <w:r w:rsidRPr="00B628D2">
        <w:rPr>
          <w:rFonts w:ascii="Palatino Linotype" w:eastAsia="Palatino Linotype" w:hAnsi="Palatino Linotype" w:cs="Palatino Linotype"/>
          <w:i/>
          <w:color w:val="000000" w:themeColor="text1"/>
        </w:rPr>
        <w:t xml:space="preserve"> El área del Registro de Deudores Alimentarios Morosos, es una unidad administrativa del Registro Civil.</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Actos inscribibles en el Registro de Deudores Alimentarios Morosos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4.146 Ter.-</w:t>
      </w:r>
      <w:r w:rsidRPr="00B628D2">
        <w:rPr>
          <w:rFonts w:ascii="Palatino Linotype" w:eastAsia="Palatino Linotype" w:hAnsi="Palatino Linotype" w:cs="Palatino Linotype"/>
          <w:i/>
          <w:color w:val="000000" w:themeColor="text1"/>
        </w:rPr>
        <w:t xml:space="preserve"> En el Registro de Deudores Alimentarios Morosos se inscriben a las personas que el Juez de lo Familiar determina en términos del artículo 4.136 del presente Código.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Serán objeto de registro los empleadores que incumplan una orden de descuento para alimentos ordenada por el órgano jurisdiccional.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De los datos que contendrá el Registro de Deudores Alimentarios Morosos </w:t>
      </w:r>
    </w:p>
    <w:p w:rsidR="00CB0B71" w:rsidRPr="00B628D2" w:rsidRDefault="00CB0B71" w:rsidP="00033ED5">
      <w:pPr>
        <w:rPr>
          <w:rFonts w:ascii="Palatino Linotype" w:eastAsia="Palatino Linotype" w:hAnsi="Palatino Linotype" w:cs="Palatino Linotype"/>
          <w:b/>
          <w:i/>
          <w:color w:val="000000" w:themeColor="text1"/>
        </w:rPr>
      </w:pP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Artículo 4.146 Quáter.-</w:t>
      </w:r>
      <w:r w:rsidRPr="00B628D2">
        <w:rPr>
          <w:rFonts w:ascii="Palatino Linotype" w:eastAsia="Palatino Linotype" w:hAnsi="Palatino Linotype" w:cs="Palatino Linotype"/>
          <w:i/>
          <w:color w:val="000000" w:themeColor="text1"/>
        </w:rPr>
        <w:t xml:space="preserve"> El Registro de Deudores Alimentarios Morosos contendrá: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 Nombre y Clave Única del Registro de Población del deudor alimentario;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 Nombre del acreedor o acreedores alimentarios;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III. Datos del acta que acredite el vínculo entre deudor y acreedor alimentario, en su caso;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IV. Monto de la pensión decretada o convenida, en su caso, número de pagos incumplidos y monto del adeudo alimentario;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V. Órgano jurisdiccional que ordenó el registro;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VI. Datos del expediente jurisdiccional de la que deriva su inscripción.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Datos del Certificado expedido por la Unidad del Registro de Deudores Alimentarios Morosos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Artículo 4.146 Quinquies.-</w:t>
      </w:r>
      <w:r w:rsidRPr="00B628D2">
        <w:rPr>
          <w:rFonts w:ascii="Palatino Linotype" w:eastAsia="Palatino Linotype" w:hAnsi="Palatino Linotype" w:cs="Palatino Linotype"/>
          <w:i/>
          <w:color w:val="000000" w:themeColor="text1"/>
        </w:rPr>
        <w:t xml:space="preserve"> El Certificado expedido por la Unidad del Registro de Deudores Alimentarios Morosos contendrá lo siguiente: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 Nombre y Clave Única de Registro de Población del solicitante;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 La información sobre su inscripción o no en el registro de deudores alimentarios morosos.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De ser el caso que el solicitante se encuentre inscrito en el registro, la constancia incluirá además lo siguiente: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 Número de acreedores alimentarios;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lastRenderedPageBreak/>
        <w:t xml:space="preserve">II. Monto de la pensión alimenticia decretada o convenida;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III. Órgano jurisdiccional que ordenó el registro;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IV. Datos del expediente jurisdiccional de la que deriva su inscripción.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El Certificado a que se refiere el presente artículo será expedido el mismo día hábil de su solicitud.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b/>
          <w:i/>
          <w:color w:val="000000" w:themeColor="text1"/>
        </w:rPr>
        <w:t xml:space="preserve">Cancelación del Registro de Deudor Alimentario Moroso </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Artículo 4.146 Sexies.-</w:t>
      </w:r>
      <w:r w:rsidRPr="00B628D2">
        <w:rPr>
          <w:rFonts w:ascii="Palatino Linotype" w:eastAsia="Palatino Linotype" w:hAnsi="Palatino Linotype" w:cs="Palatino Linotype"/>
          <w:i/>
          <w:color w:val="000000" w:themeColor="text1"/>
        </w:rPr>
        <w:t xml:space="preserve"> Una vez que hayan sido liquidadas las pensiones adeudadas, el Juez de conocimiento podrá ordenar a petición de parte interesada, la cancelación del registro como deudor alimentario moroso, la cual se tramitará de manera incidental. La del registro de deudor alimentario procederá cuando haya cesado la obligación alimentaria. …” </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Ahora bien, respecto a aquellos servidores públicos que se encuentren o no inscritos en dicho registro, procedería su entrega en versión pública, ya que al ser un requisito </w:t>
      </w:r>
      <w:r w:rsidRPr="00B628D2">
        <w:rPr>
          <w:rFonts w:ascii="Palatino Linotype" w:eastAsia="Palatino Linotype" w:hAnsi="Palatino Linotype" w:cs="Palatino Linotype"/>
          <w:b/>
          <w:i/>
          <w:color w:val="000000" w:themeColor="text1"/>
        </w:rPr>
        <w:t>sine qua non</w:t>
      </w:r>
      <w:r w:rsidRPr="00B628D2">
        <w:rPr>
          <w:rFonts w:ascii="Palatino Linotype" w:eastAsia="Palatino Linotype" w:hAnsi="Palatino Linotype" w:cs="Palatino Linotype"/>
          <w:color w:val="000000" w:themeColor="text1"/>
        </w:rPr>
        <w:t xml:space="preserve"> para ingresar al servicio público, se convierte en información que da certeza a la ciudadanía de que el Servidor Público cumplió con los requisitos señalados.</w:t>
      </w:r>
    </w:p>
    <w:p w:rsidR="00CB0B71" w:rsidRPr="00B628D2" w:rsidRDefault="00CB0B71" w:rsidP="00033ED5">
      <w:pPr>
        <w:tabs>
          <w:tab w:val="left" w:pos="822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rsidR="00CB0B71" w:rsidRPr="00B628D2" w:rsidRDefault="00CB0B71" w:rsidP="00033ED5">
      <w:pPr>
        <w:tabs>
          <w:tab w:val="left" w:pos="822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este sentido, se advierte que al ser un requisito indispensable y preponderante, </w:t>
      </w:r>
      <w:r w:rsidRPr="00B628D2">
        <w:rPr>
          <w:rFonts w:ascii="Palatino Linotype" w:eastAsia="Palatino Linotype" w:hAnsi="Palatino Linotype" w:cs="Palatino Linotype"/>
          <w:b/>
          <w:color w:val="000000" w:themeColor="text1"/>
        </w:rPr>
        <w:t>EL SUJETO OBLIGADO</w:t>
      </w:r>
      <w:r w:rsidRPr="00B628D2">
        <w:rPr>
          <w:rFonts w:ascii="Palatino Linotype" w:eastAsia="Palatino Linotype" w:hAnsi="Palatino Linotype" w:cs="Palatino Linotype"/>
          <w:color w:val="000000" w:themeColor="text1"/>
        </w:rPr>
        <w:t xml:space="preserve">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w:t>
      </w:r>
      <w:r w:rsidRPr="00B628D2">
        <w:rPr>
          <w:rFonts w:ascii="Palatino Linotype" w:eastAsia="Palatino Linotype" w:hAnsi="Palatino Linotype" w:cs="Palatino Linotype"/>
          <w:color w:val="000000" w:themeColor="text1"/>
        </w:rPr>
        <w:lastRenderedPageBreak/>
        <w:t>haberlas cubierto, no formarán parte de ese registro, no pasa desapercibido, que el Certificado de No Deudor Alimentario, pudiere contener información confidencial, como lo es el CURP y R.F.C.</w:t>
      </w:r>
    </w:p>
    <w:p w:rsidR="00CB0B71" w:rsidRPr="00B628D2" w:rsidRDefault="00CB0B71" w:rsidP="00033ED5">
      <w:pPr>
        <w:tabs>
          <w:tab w:val="left" w:pos="8222"/>
        </w:tabs>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Al respecto, resulta aplicable el criterio reiterado 07/24, que es del tenor literal siguiente:</w:t>
      </w:r>
    </w:p>
    <w:p w:rsidR="00CB0B71" w:rsidRPr="00B628D2" w:rsidRDefault="00033ED5" w:rsidP="00033ED5">
      <w:pPr>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CERTIFICADO DE NO DEUDOR ALIMENTARIO MOROSO, PROCEDE SU ENTREGA EN VERSIÓN PÚBLICA.</w:t>
      </w:r>
      <w:r w:rsidRPr="00B628D2">
        <w:rPr>
          <w:rFonts w:ascii="Palatino Linotype" w:eastAsia="Palatino Linotype" w:hAnsi="Palatino Linotype" w:cs="Palatino Linotype"/>
          <w:i/>
          <w:color w:val="000000" w:themeColor="text1"/>
        </w:rPr>
        <w:t xml:space="preserve"> El certificado de no deudor alimentario moroso es información de carácter público ya que es requisito indispensable para ingresar al servicio público, lo cual genera certeza a la ciudadanía de que el Servidor Público cumplió con los requisitos señalados por el artículo 47, fracción XI de la Ley del Trabajo de los Servidores Públicos del Estado y Municipios.</w:t>
      </w:r>
    </w:p>
    <w:p w:rsidR="00CB0B71" w:rsidRPr="00B628D2" w:rsidRDefault="00CB0B71" w:rsidP="00033ED5">
      <w:pPr>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Por lo tanto, es procedente la entrega del Certificado en cuestión, por considerarse de carácter público, en versión</w:t>
      </w:r>
      <w:r w:rsidRPr="00B628D2">
        <w:rPr>
          <w:rFonts w:ascii="Palatino Linotype" w:eastAsia="Palatino Linotype" w:hAnsi="Palatino Linotype" w:cs="Palatino Linotype"/>
          <w:b/>
          <w:color w:val="000000" w:themeColor="text1"/>
        </w:rPr>
        <w:t xml:space="preserve"> pública</w:t>
      </w:r>
      <w:r w:rsidRPr="00B628D2">
        <w:rPr>
          <w:rFonts w:ascii="Palatino Linotype" w:eastAsia="Palatino Linotype" w:hAnsi="Palatino Linotype" w:cs="Palatino Linotype"/>
          <w:color w:val="000000" w:themeColor="text1"/>
        </w:rPr>
        <w:t xml:space="preserve">. </w:t>
      </w:r>
    </w:p>
    <w:p w:rsidR="00CB0B71" w:rsidRPr="00B628D2" w:rsidRDefault="00CB0B71" w:rsidP="00033ED5">
      <w:pPr>
        <w:tabs>
          <w:tab w:val="left" w:pos="8222"/>
        </w:tabs>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Constancia y Clave Única de Registro de Población.</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 igual manera la </w:t>
      </w:r>
      <w:r w:rsidRPr="00B628D2">
        <w:rPr>
          <w:rFonts w:ascii="Palatino Linotype" w:eastAsia="Palatino Linotype" w:hAnsi="Palatino Linotype" w:cs="Palatino Linotype"/>
          <w:b/>
          <w:color w:val="000000" w:themeColor="text1"/>
        </w:rPr>
        <w:t>Clave Única de Registro de Población (CURP),</w:t>
      </w:r>
      <w:r w:rsidRPr="00B628D2">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B0B71" w:rsidRPr="00B628D2" w:rsidRDefault="00CB0B71" w:rsidP="00033ED5">
      <w:pPr>
        <w:tabs>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Argumento que es compartido por el Instituto Nacional de Transparencia, Acceso a la Información y Protección de Datos Personales, INAI, conforme al criterio orientador 18/17, el cual refiere: </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lastRenderedPageBreak/>
        <w:t xml:space="preserve">“Clave Única de Registro de Población (CURP). </w:t>
      </w:r>
      <w:r w:rsidRPr="00B628D2">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B0B71" w:rsidRPr="00B628D2" w:rsidRDefault="00CB0B71" w:rsidP="00033ED5">
      <w:pPr>
        <w:tabs>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 acuerdo con lo anterior, resulta procedente la clasificación de la Clave Única de Registro de Población; por lo que, la constancia de dicho dato corre la misma suerte, pues únicamente contiene datos que hacen identificables a la servidora pública, que en nada abonan a la transparencia y no rinden cuantas de la forma de actuar de la Encargada de Despacho de la Unidad de Transparencia, por lo que, es</w:t>
      </w:r>
      <w:r w:rsidRPr="00B628D2">
        <w:rPr>
          <w:rFonts w:ascii="Palatino Linotype" w:eastAsia="Palatino Linotype" w:hAnsi="Palatino Linotype" w:cs="Palatino Linotype"/>
          <w:b/>
          <w:color w:val="000000" w:themeColor="text1"/>
        </w:rPr>
        <w:t xml:space="preserve"> información confidencial</w:t>
      </w:r>
      <w:r w:rsidRPr="00B628D2">
        <w:rPr>
          <w:rFonts w:ascii="Palatino Linotype" w:eastAsia="Palatino Linotype" w:hAnsi="Palatino Linotype" w:cs="Palatino Linotype"/>
          <w:color w:val="000000" w:themeColor="text1"/>
        </w:rPr>
        <w:t>, en términos del artículo 143, fracción I, de la Ley de Transparencia y Acceso a la Información Pública del Estado de México y Municipios.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R.F.C. </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Por cuanto hace al </w:t>
      </w:r>
      <w:r w:rsidRPr="00B628D2">
        <w:rPr>
          <w:rFonts w:ascii="Palatino Linotype" w:eastAsia="Palatino Linotype" w:hAnsi="Palatino Linotype" w:cs="Palatino Linotype"/>
          <w:b/>
          <w:color w:val="000000" w:themeColor="text1"/>
        </w:rPr>
        <w:t>Registro Federal de Contribuyentes (RFC),</w:t>
      </w:r>
      <w:r w:rsidRPr="00B628D2">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CB0B71" w:rsidRPr="00B628D2" w:rsidRDefault="00CB0B71" w:rsidP="00033ED5">
      <w:pPr>
        <w:tabs>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B0B71" w:rsidRPr="00B628D2" w:rsidRDefault="00CB0B71" w:rsidP="00033ED5">
      <w:pPr>
        <w:tabs>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Lo anterior es compartido por el entonces Instituto Federal de Acceso a la Información Pública y Protección de Datos Personales (IFAI) a través del Criterio orientador 19/17, el cual es del tenor literal siguiente:</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b/>
          <w:i/>
          <w:color w:val="000000" w:themeColor="text1"/>
        </w:rPr>
        <w:t>“Registro Federal de Contribuyentes (RFC) de personas físicas</w:t>
      </w:r>
      <w:r w:rsidRPr="00B628D2">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CB0B71" w:rsidRPr="00B628D2" w:rsidRDefault="00CB0B71" w:rsidP="00033ED5">
      <w:pPr>
        <w:jc w:val="both"/>
        <w:rPr>
          <w:rFonts w:ascii="Palatino Linotype" w:eastAsia="Palatino Linotype" w:hAnsi="Palatino Linotype" w:cs="Palatino Linotype"/>
          <w:i/>
          <w:color w:val="000000" w:themeColor="text1"/>
        </w:rPr>
      </w:pPr>
    </w:p>
    <w:p w:rsidR="00CB0B71" w:rsidRPr="00B628D2" w:rsidRDefault="00CB0B71" w:rsidP="00033ED5">
      <w:pPr>
        <w:jc w:val="both"/>
        <w:rPr>
          <w:rFonts w:ascii="Palatino Linotype" w:eastAsia="Palatino Linotype" w:hAnsi="Palatino Linotype" w:cs="Palatino Linotype"/>
          <w:i/>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Así, el </w:t>
      </w:r>
      <w:r w:rsidRPr="00B628D2">
        <w:rPr>
          <w:rFonts w:ascii="Palatino Linotype" w:eastAsia="Palatino Linotype" w:hAnsi="Palatino Linotype" w:cs="Palatino Linotype"/>
          <w:b/>
          <w:color w:val="000000" w:themeColor="text1"/>
        </w:rPr>
        <w:t>Registro Federal de Contribuyentes, RFC</w:t>
      </w:r>
      <w:r w:rsidRPr="00B628D2">
        <w:rPr>
          <w:rFonts w:ascii="Palatino Linotype" w:eastAsia="Palatino Linotype" w:hAnsi="Palatino Linotype" w:cs="Palatino Linotype"/>
          <w:color w:val="000000" w:themeColor="text1"/>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Ahora, atendiendo que el documento donde puede obrar de manera enunciativa más no limitativa el Registro Federal de Contribuyentes con homoclave es la Constancia de Situación Fiscal.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La </w:t>
      </w:r>
      <w:r w:rsidRPr="00B628D2">
        <w:rPr>
          <w:rFonts w:ascii="Palatino Linotype" w:eastAsia="Palatino Linotype" w:hAnsi="Palatino Linotype" w:cs="Palatino Linotype"/>
          <w:b/>
          <w:color w:val="000000" w:themeColor="text1"/>
        </w:rPr>
        <w:t>Constancia de Situación Fiscal</w:t>
      </w:r>
      <w:r w:rsidRPr="00B628D2">
        <w:rPr>
          <w:rFonts w:ascii="Palatino Linotype" w:eastAsia="Palatino Linotype" w:hAnsi="Palatino Linotype" w:cs="Palatino Linotype"/>
          <w:color w:val="000000" w:themeColor="text1"/>
        </w:rPr>
        <w:t xml:space="preserve">,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Teniendo estas premisas en cuenta, el portal del Servicio de Administración Tributaria manifiesta que, al realizar la impresión de la constancia de situación fiscal, se obtendrán los siguientes datos:</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1. Cédula de Identificación Fiscal (CIF): Que contiene datos como el RFC, nombre de la persona, Código QR e id CIF. </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2. Datos de identificación fiscal: Rubro que contiene, entre otros, datos como RFC, CURP, nombre y apellidos de la persona, fecha de inicio de operaciones, estatus en el padrón de contribuyentes y nombre comercial.</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3. Datos del domicilio registrado. </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4. Actividades económicas. </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5. Regímenes fiscales. </w:t>
      </w:r>
    </w:p>
    <w:p w:rsidR="00CB0B71" w:rsidRPr="00B628D2" w:rsidRDefault="00033ED5" w:rsidP="00033ED5">
      <w:pPr>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6. Obligaciones fiscales.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B628D2">
        <w:rPr>
          <w:rFonts w:ascii="Palatino Linotype" w:eastAsia="Palatino Linotype" w:hAnsi="Palatino Linotype" w:cs="Palatino Linotype"/>
          <w:color w:val="000000" w:themeColor="text1"/>
        </w:rPr>
        <w:t xml:space="preserve">Como se desprende de lo anterior, la constancia de situación fiscal contiene información que atañe a la esfera privada de su titular, lo cual en nada abona a la transparencia y rendición de cuentas, y, por tanto, procede la </w:t>
      </w:r>
      <w:r w:rsidRPr="00B628D2">
        <w:rPr>
          <w:rFonts w:ascii="Palatino Linotype" w:eastAsia="Palatino Linotype" w:hAnsi="Palatino Linotype" w:cs="Palatino Linotype"/>
          <w:b/>
          <w:i/>
          <w:color w:val="000000" w:themeColor="text1"/>
        </w:rPr>
        <w:t xml:space="preserve">clasificación en su totalidad. </w:t>
      </w:r>
    </w:p>
    <w:p w:rsidR="00CB0B71" w:rsidRPr="00B628D2" w:rsidRDefault="00CB0B71" w:rsidP="00033ED5">
      <w:pPr>
        <w:rPr>
          <w:rFonts w:ascii="Palatino Linotype" w:eastAsia="Palatino Linotype" w:hAnsi="Palatino Linotype" w:cs="Palatino Linotype"/>
          <w:b/>
          <w:i/>
          <w:color w:val="000000" w:themeColor="text1"/>
        </w:rPr>
      </w:pPr>
    </w:p>
    <w:p w:rsidR="00CB0B71" w:rsidRPr="00B628D2" w:rsidRDefault="00033ED5" w:rsidP="007218E8">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Comprobante de grado máximo de estudios:</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Para el caso, debe tenerse en cuenta lo dispuesto en los artículos 60 de la Ley General de Educación, 3.27 fracción IV, 3.28, 3.29 y 3.31 segundo párrafo del Código Administrativo del Estado de México, que prevén:</w:t>
      </w:r>
    </w:p>
    <w:p w:rsidR="00CB0B71" w:rsidRPr="00B628D2" w:rsidRDefault="00033ED5" w:rsidP="00033ED5">
      <w:pPr>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i/>
          <w:color w:val="000000" w:themeColor="text1"/>
        </w:rPr>
        <w:t>“ARTÍCULO 60.-</w:t>
      </w:r>
      <w:r w:rsidRPr="00B628D2">
        <w:rPr>
          <w:rFonts w:ascii="Palatino Linotype" w:eastAsia="Palatino Linotype" w:hAnsi="Palatino Linotype" w:cs="Palatino Linotype"/>
          <w:i/>
          <w:color w:val="000000" w:themeColor="text1"/>
        </w:rPr>
        <w:t xml:space="preserve"> Los estudios realizados dentro del sistema educativo nacional tendrán validez en toda la República.</w:t>
      </w:r>
    </w:p>
    <w:p w:rsidR="00CB0B71" w:rsidRPr="00B628D2" w:rsidRDefault="00033ED5" w:rsidP="00033ED5">
      <w:pPr>
        <w:jc w:val="both"/>
        <w:rPr>
          <w:rFonts w:ascii="Palatino Linotype" w:eastAsia="Palatino Linotype" w:hAnsi="Palatino Linotype" w:cs="Palatino Linotype"/>
          <w:i/>
          <w:color w:val="000000" w:themeColor="text1"/>
        </w:rPr>
      </w:pPr>
      <w:r w:rsidRPr="00B628D2">
        <w:rPr>
          <w:rFonts w:ascii="Palatino Linotype" w:eastAsia="Palatino Linotype" w:hAnsi="Palatino Linotype" w:cs="Palatino Linotype"/>
          <w:i/>
          <w:color w:val="000000" w:themeColor="text1"/>
        </w:rPr>
        <w:t xml:space="preserve">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w:t>
      </w:r>
      <w:r w:rsidRPr="00B628D2">
        <w:rPr>
          <w:rFonts w:ascii="Palatino Linotype" w:eastAsia="Palatino Linotype" w:hAnsi="Palatino Linotype" w:cs="Palatino Linotype"/>
          <w:i/>
          <w:color w:val="000000" w:themeColor="text1"/>
        </w:rPr>
        <w:lastRenderedPageBreak/>
        <w:t>constancias, diplomas, títulos y grados deberán registrarse en el Sistema de Información y Gestión Educativa y tendrán validez en toda la República.”</w:t>
      </w:r>
    </w:p>
    <w:p w:rsidR="00CB0B71" w:rsidRPr="00B628D2" w:rsidRDefault="00CB0B71" w:rsidP="00033ED5">
      <w:pPr>
        <w:spacing w:before="240" w:after="240" w:line="276" w:lineRule="auto"/>
        <w:rPr>
          <w:rFonts w:ascii="Palatino Linotype" w:eastAsia="Palatino Linotype" w:hAnsi="Palatino Linotype" w:cs="Palatino Linotype"/>
          <w:color w:val="000000" w:themeColor="text1"/>
        </w:rPr>
      </w:pPr>
    </w:p>
    <w:p w:rsidR="00CB0B71"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rsidR="007218E8" w:rsidRPr="00B628D2" w:rsidRDefault="007218E8" w:rsidP="007218E8">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Ante los argumentos planteados, se puede concluir que constituyen documentos probatorios de estudios; </w:t>
      </w:r>
      <w:r w:rsidRPr="00B628D2">
        <w:rPr>
          <w:rFonts w:ascii="Palatino Linotype" w:eastAsia="Palatino Linotype" w:hAnsi="Palatino Linotype" w:cs="Palatino Linotype"/>
          <w:b/>
          <w:color w:val="000000" w:themeColor="text1"/>
          <w:u w:val="single"/>
        </w:rPr>
        <w:t>los certificados, constancias, diplomas, títulos y/o cédula profesional</w:t>
      </w:r>
      <w:r w:rsidRPr="00B628D2">
        <w:rPr>
          <w:rFonts w:ascii="Palatino Linotype" w:eastAsia="Palatino Linotype" w:hAnsi="Palatino Linotype" w:cs="Palatino Linotype"/>
          <w:b/>
          <w:color w:val="000000" w:themeColor="text1"/>
        </w:rPr>
        <w:t>,</w:t>
      </w:r>
      <w:r w:rsidRPr="00B628D2">
        <w:rPr>
          <w:rFonts w:ascii="Palatino Linotype" w:eastAsia="Palatino Linotype" w:hAnsi="Palatino Linotype" w:cs="Palatino Linotype"/>
          <w:color w:val="000000" w:themeColor="text1"/>
        </w:rPr>
        <w:t xml:space="preserve"> por tratarse de la expresión documental que permite acreditar el grado de estudios de los servidores públicos.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CB0B71" w:rsidRPr="00B628D2" w:rsidRDefault="00CB0B71" w:rsidP="00033ED5">
      <w:pPr>
        <w:rPr>
          <w:rFonts w:ascii="Palatino Linotype" w:eastAsia="Palatino Linotype" w:hAnsi="Palatino Linotype" w:cs="Palatino Linotype"/>
          <w:b/>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Al respecto, es necesario precisar que la cédula y el título profesional, son los documentos que toda persona </w:t>
      </w:r>
      <w:r w:rsidRPr="00B628D2">
        <w:rPr>
          <w:rFonts w:ascii="Palatino Linotype" w:eastAsia="Palatino Linotype" w:hAnsi="Palatino Linotype" w:cs="Palatino Linotype"/>
          <w:i/>
          <w:color w:val="000000" w:themeColor="text1"/>
        </w:rPr>
        <w:t>a quien legalmente se le haya expedido título profesional o grado académico equivalente, podrá obtener</w:t>
      </w:r>
      <w:r w:rsidRPr="00B628D2">
        <w:rPr>
          <w:rFonts w:ascii="Palatino Linotype" w:eastAsia="Palatino Linotype" w:hAnsi="Palatino Linotype" w:cs="Palatino Linotype"/>
          <w:color w:val="000000" w:themeColor="text1"/>
        </w:rPr>
        <w:t xml:space="preserve"> (…) </w:t>
      </w:r>
      <w:r w:rsidRPr="00B628D2">
        <w:rPr>
          <w:rFonts w:ascii="Palatino Linotype" w:eastAsia="Palatino Linotype" w:hAnsi="Palatino Linotype" w:cs="Palatino Linotype"/>
          <w:b/>
          <w:i/>
          <w:color w:val="000000" w:themeColor="text1"/>
        </w:rPr>
        <w:t xml:space="preserve">con efectos de patente, </w:t>
      </w:r>
      <w:r w:rsidRPr="00B628D2">
        <w:rPr>
          <w:rFonts w:ascii="Palatino Linotype" w:eastAsia="Palatino Linotype" w:hAnsi="Palatino Linotype" w:cs="Palatino Linotype"/>
          <w:color w:val="000000" w:themeColor="text1"/>
        </w:rPr>
        <w:t xml:space="preserve">es otorgada por la Dirección General de Profesiones o por la Institución respectiva, para identidad en todas las actividades </w:t>
      </w:r>
      <w:r w:rsidRPr="00B628D2">
        <w:rPr>
          <w:rFonts w:ascii="Palatino Linotype" w:eastAsia="Palatino Linotype" w:hAnsi="Palatino Linotype" w:cs="Palatino Linotype"/>
          <w:color w:val="000000" w:themeColor="text1"/>
        </w:rPr>
        <w:lastRenderedPageBreak/>
        <w:t>profesionales, de conformidad con los artículos 3° y 23, fracción IV de la Ley Reglamentaria del Artículo 5° Constitucional, Relativo al Ejercicio de las Profesiones en la Ciudad de México.</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Respecto a la </w:t>
      </w:r>
      <w:r w:rsidRPr="00B628D2">
        <w:rPr>
          <w:rFonts w:ascii="Palatino Linotype" w:eastAsia="Palatino Linotype" w:hAnsi="Palatino Linotype" w:cs="Palatino Linotype"/>
          <w:b/>
          <w:color w:val="000000" w:themeColor="text1"/>
        </w:rPr>
        <w:t xml:space="preserve">firma, </w:t>
      </w:r>
      <w:r w:rsidRPr="00B628D2">
        <w:rPr>
          <w:rFonts w:ascii="Palatino Linotype" w:eastAsia="Palatino Linotype" w:hAnsi="Palatino Linotype" w:cs="Palatino Linotype"/>
          <w:color w:val="000000" w:themeColor="text1"/>
        </w:rPr>
        <w:t xml:space="preserve">es necesario precisar que ésta es considerada un dato personal concerniente a una persona física identificada o identificable, al tratarse de información gráfica a través de la cual su titular exterioriza su voluntad en actos públicos y privados.   En consecuencia, los documentos donde conste la firma de los ciudadanos, se deben clasificar como confidencial. </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La publicidad de dichos datos, se robustece, con el Criterio orientador SO/002/2019, emitido por el Instituto Nacional de Transparencia, Acceso a la Información y Protección de Datos Personales, que establece lo siguiente:</w:t>
      </w:r>
    </w:p>
    <w:p w:rsidR="00CB0B71" w:rsidRPr="00B628D2" w:rsidRDefault="00033ED5" w:rsidP="00033ED5">
      <w:pPr>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i/>
          <w:color w:val="000000" w:themeColor="text1"/>
        </w:rPr>
        <w:t>“Firma y rúbrica de servidores públicos.</w:t>
      </w:r>
      <w:r w:rsidRPr="00B628D2">
        <w:rPr>
          <w:rFonts w:ascii="Palatino Linotype" w:eastAsia="Palatino Linotype" w:hAnsi="Palatino Linotype" w:cs="Palatino Linotype"/>
          <w:i/>
          <w:color w:val="000000" w:themeColor="text1"/>
        </w:rPr>
        <w:t> Si bien la firma y la rúbrica son datos personales confidenciales, cuando un servidor público emite un acto como autoridad, en ejercicio de las funciones que tiene conferidas, la firma o rúbrica mediante la cual se valida dicho acto es pública.”</w:t>
      </w:r>
    </w:p>
    <w:p w:rsidR="00CB0B71" w:rsidRDefault="00CB0B71" w:rsidP="00033ED5">
      <w:pPr>
        <w:rPr>
          <w:rFonts w:ascii="Palatino Linotype" w:eastAsia="Palatino Linotype" w:hAnsi="Palatino Linotype" w:cs="Palatino Linotype"/>
          <w:color w:val="000000" w:themeColor="text1"/>
        </w:rPr>
      </w:pPr>
    </w:p>
    <w:p w:rsidR="007218E8" w:rsidRPr="00B628D2" w:rsidRDefault="007218E8"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sidRPr="00B628D2">
        <w:rPr>
          <w:rFonts w:ascii="Palatino Linotype" w:eastAsia="Palatino Linotype" w:hAnsi="Palatino Linotype" w:cs="Palatino Linotype"/>
          <w:b/>
          <w:i/>
          <w:color w:val="000000" w:themeColor="text1"/>
        </w:rPr>
        <w:t>versión pública</w:t>
      </w:r>
      <w:r w:rsidRPr="00B628D2">
        <w:rPr>
          <w:rFonts w:ascii="Palatino Linotype" w:eastAsia="Palatino Linotype" w:hAnsi="Palatino Linotype" w:cs="Palatino Linotype"/>
          <w:color w:val="000000" w:themeColor="text1"/>
        </w:rPr>
        <w:t xml:space="preserve">. </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Por otra parte, de la </w:t>
      </w:r>
      <w:r w:rsidRPr="00B628D2">
        <w:rPr>
          <w:rFonts w:ascii="Palatino Linotype" w:eastAsia="Palatino Linotype" w:hAnsi="Palatino Linotype" w:cs="Palatino Linotype"/>
          <w:b/>
          <w:color w:val="000000" w:themeColor="text1"/>
        </w:rPr>
        <w:t>cédula profesional</w:t>
      </w:r>
      <w:r w:rsidRPr="00B628D2">
        <w:rPr>
          <w:rFonts w:ascii="Palatino Linotype" w:eastAsia="Palatino Linotype" w:hAnsi="Palatino Linotype" w:cs="Palatino Linotype"/>
          <w:color w:val="000000" w:themeColor="text1"/>
        </w:rPr>
        <w:t xml:space="preserve"> </w:t>
      </w:r>
      <w:r w:rsidRPr="00B628D2">
        <w:rPr>
          <w:rFonts w:ascii="Palatino Linotype" w:eastAsia="Palatino Linotype" w:hAnsi="Palatino Linotype" w:cs="Palatino Linotype"/>
          <w:b/>
          <w:color w:val="000000" w:themeColor="text1"/>
        </w:rPr>
        <w:t>electrónica</w:t>
      </w:r>
      <w:r w:rsidRPr="00B628D2">
        <w:rPr>
          <w:rFonts w:ascii="Palatino Linotype" w:eastAsia="Palatino Linotype" w:hAnsi="Palatino Linotype" w:cs="Palatino Linotype"/>
          <w:color w:val="000000" w:themeColor="text1"/>
        </w:rPr>
        <w:t xml:space="preserve"> es necesario analizar la naturaleza de la información a efecto de determinar los datos que no deben ser suprimidos por ser de interés público.</w:t>
      </w:r>
    </w:p>
    <w:p w:rsidR="00CB0B71" w:rsidRDefault="00CB0B71" w:rsidP="00033ED5">
      <w:pPr>
        <w:spacing w:line="360" w:lineRule="auto"/>
        <w:jc w:val="both"/>
        <w:rPr>
          <w:rFonts w:ascii="Palatino Linotype" w:eastAsia="Palatino Linotype" w:hAnsi="Palatino Linotype" w:cs="Palatino Linotype"/>
          <w:color w:val="000000" w:themeColor="text1"/>
        </w:rPr>
      </w:pPr>
    </w:p>
    <w:p w:rsidR="007218E8" w:rsidRPr="00B628D2" w:rsidRDefault="007218E8"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Número de cédula profesional.</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27">
        <w:r w:rsidRPr="00B628D2">
          <w:rPr>
            <w:rFonts w:ascii="Palatino Linotype" w:eastAsia="Palatino Linotype" w:hAnsi="Palatino Linotype" w:cs="Palatino Linotype"/>
            <w:color w:val="000000" w:themeColor="text1"/>
            <w:u w:val="single"/>
          </w:rPr>
          <w:t>http://consultatucedula.mx/</w:t>
        </w:r>
      </w:hyperlink>
      <w:r w:rsidRPr="00B628D2">
        <w:rPr>
          <w:rFonts w:ascii="Palatino Linotype" w:eastAsia="Palatino Linotype" w:hAnsi="Palatino Linotype" w:cs="Palatino Linotype"/>
          <w:color w:val="000000" w:themeColor="text1"/>
        </w:rPr>
        <w:t>).</w:t>
      </w:r>
    </w:p>
    <w:p w:rsidR="00CB0B71" w:rsidRPr="00B628D2" w:rsidRDefault="00CB0B71" w:rsidP="00033ED5">
      <w:pPr>
        <w:spacing w:line="360" w:lineRule="auto"/>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CB0B71" w:rsidRPr="00B628D2" w:rsidRDefault="00CB0B71" w:rsidP="00033ED5">
      <w:pPr>
        <w:spacing w:line="360" w:lineRule="auto"/>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Además, que dicho número forma parte del Registro Nacional de Profesionistas, y da cuenta de que algún profesionista, en el presente caso, tiene registrado su título, con efectos de patente; por lo que, se considera que </w:t>
      </w:r>
      <w:r w:rsidRPr="00B628D2">
        <w:rPr>
          <w:rFonts w:ascii="Palatino Linotype" w:eastAsia="Palatino Linotype" w:hAnsi="Palatino Linotype" w:cs="Palatino Linotype"/>
          <w:b/>
          <w:color w:val="000000" w:themeColor="text1"/>
        </w:rPr>
        <w:t>el número de cédula profesional</w:t>
      </w:r>
      <w:r w:rsidRPr="00B628D2">
        <w:rPr>
          <w:rFonts w:ascii="Palatino Linotype" w:eastAsia="Palatino Linotype" w:hAnsi="Palatino Linotype" w:cs="Palatino Linotype"/>
          <w:color w:val="000000" w:themeColor="text1"/>
        </w:rPr>
        <w:t xml:space="preserve">, al formar parte de </w:t>
      </w:r>
      <w:r w:rsidRPr="00B628D2">
        <w:rPr>
          <w:rFonts w:ascii="Palatino Linotype" w:eastAsia="Palatino Linotype" w:hAnsi="Palatino Linotype" w:cs="Palatino Linotype"/>
          <w:color w:val="000000" w:themeColor="text1"/>
        </w:rPr>
        <w:lastRenderedPageBreak/>
        <w:t xml:space="preserve">un registro público, </w:t>
      </w:r>
      <w:r w:rsidRPr="00B628D2">
        <w:rPr>
          <w:rFonts w:ascii="Palatino Linotype" w:eastAsia="Palatino Linotype" w:hAnsi="Palatino Linotype" w:cs="Palatino Linotype"/>
          <w:b/>
          <w:color w:val="000000" w:themeColor="text1"/>
        </w:rPr>
        <w:t>no actualiza, la causal de clasificación</w:t>
      </w:r>
      <w:r w:rsidRPr="00B628D2">
        <w:rPr>
          <w:rFonts w:ascii="Palatino Linotype" w:eastAsia="Palatino Linotype" w:hAnsi="Palatino Linotype" w:cs="Palatino Linotype"/>
          <w:color w:val="000000" w:themeColor="text1"/>
        </w:rPr>
        <w:t xml:space="preserve"> prevista en el artículo 143, fracción I, de la Ley de Transparencia y Acceso a la Información Pública del Estado de México.</w:t>
      </w:r>
    </w:p>
    <w:p w:rsidR="00CB0B71" w:rsidRPr="00B628D2" w:rsidRDefault="00CB0B71" w:rsidP="00033ED5">
      <w:pPr>
        <w:spacing w:line="360" w:lineRule="auto"/>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Código de barras, zona de lectura mecánica de cédula profesional y código bidimensional QR.</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rsidR="00CB0B71" w:rsidRPr="00B628D2" w:rsidRDefault="00CB0B71" w:rsidP="00033ED5">
      <w:pPr>
        <w:tabs>
          <w:tab w:val="left" w:pos="4962"/>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Además, que, con dichos datos, únicamente se localiza, el número de cédula, el nombre completo del servidor público, profesión, año de expedición e institución, al dirigirte únicamente a la página </w:t>
      </w:r>
      <w:hyperlink r:id="rId28">
        <w:r w:rsidRPr="00B628D2">
          <w:rPr>
            <w:rFonts w:ascii="Palatino Linotype" w:eastAsia="Palatino Linotype" w:hAnsi="Palatino Linotype" w:cs="Palatino Linotype"/>
            <w:color w:val="000000" w:themeColor="text1"/>
            <w:u w:val="single"/>
          </w:rPr>
          <w:t>https://www.cedulaprofesional.sep.gob.mx/cedula/presidencia/indexAvanzada.action</w:t>
        </w:r>
      </w:hyperlink>
      <w:r w:rsidRPr="00B628D2">
        <w:rPr>
          <w:rFonts w:ascii="Palatino Linotype" w:eastAsia="Palatino Linotype" w:hAnsi="Palatino Linotype" w:cs="Palatino Linotype"/>
          <w:color w:val="000000" w:themeColor="text1"/>
        </w:rPr>
        <w:t>.</w:t>
      </w:r>
    </w:p>
    <w:p w:rsidR="00CB0B71" w:rsidRPr="00B628D2" w:rsidRDefault="00CB0B71" w:rsidP="00033ED5">
      <w:pPr>
        <w:tabs>
          <w:tab w:val="left" w:pos="4962"/>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Por tales circunstancias, al no revelar datos personales confidenciales del servidor público, se considera que </w:t>
      </w:r>
      <w:r w:rsidRPr="00B628D2">
        <w:rPr>
          <w:rFonts w:ascii="Palatino Linotype" w:eastAsia="Palatino Linotype" w:hAnsi="Palatino Linotype" w:cs="Palatino Linotype"/>
          <w:b/>
          <w:color w:val="000000" w:themeColor="text1"/>
        </w:rPr>
        <w:t>el código de barras y el código bidimensional o QR</w:t>
      </w:r>
      <w:r w:rsidRPr="00B628D2">
        <w:rPr>
          <w:rFonts w:ascii="Palatino Linotype" w:eastAsia="Palatino Linotype" w:hAnsi="Palatino Linotype" w:cs="Palatino Linotype"/>
          <w:color w:val="000000" w:themeColor="text1"/>
        </w:rPr>
        <w:t xml:space="preserve">, </w:t>
      </w:r>
      <w:r w:rsidRPr="00B628D2">
        <w:rPr>
          <w:rFonts w:ascii="Palatino Linotype" w:eastAsia="Palatino Linotype" w:hAnsi="Palatino Linotype" w:cs="Palatino Linotype"/>
          <w:b/>
          <w:color w:val="000000" w:themeColor="text1"/>
        </w:rPr>
        <w:t>no actualizan la causal de clasificación</w:t>
      </w:r>
      <w:r w:rsidRPr="00B628D2">
        <w:rPr>
          <w:rFonts w:ascii="Palatino Linotype" w:eastAsia="Palatino Linotype" w:hAnsi="Palatino Linotype" w:cs="Palatino Linotype"/>
          <w:color w:val="000000" w:themeColor="text1"/>
        </w:rPr>
        <w:t xml:space="preserve"> prevista en el artículo 143, fracción I, de la Ley de Transparencia y Acceso a la Información Pública del Estado de México y Municipios.</w:t>
      </w:r>
    </w:p>
    <w:p w:rsidR="00CB0B71" w:rsidRPr="00B628D2" w:rsidRDefault="00CB0B71" w:rsidP="00033ED5">
      <w:pPr>
        <w:tabs>
          <w:tab w:val="left" w:pos="4962"/>
        </w:tabs>
        <w:spacing w:line="360" w:lineRule="auto"/>
        <w:rPr>
          <w:rFonts w:ascii="Palatino Linotype" w:eastAsia="Palatino Linotype" w:hAnsi="Palatino Linotype" w:cs="Palatino Linotype"/>
          <w:color w:val="000000" w:themeColor="text1"/>
        </w:rPr>
      </w:pPr>
    </w:p>
    <w:p w:rsidR="00CB0B71" w:rsidRPr="00B628D2" w:rsidRDefault="00033ED5" w:rsidP="00033ED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Cadena original de cédula.</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Al respecto, dicho dato se conforma de la fecha y lugar de emisión, la Clave Única de Registro de Población, el nombre del titular de la cédula, datos de la Institución Educativa y la profesión realizada.</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 xml:space="preserve">En ese contexto, dado que el dato en cuestión revela datos de naturaleza confidencial, a saber, la Clave Única de Registro de Población, se considera que este </w:t>
      </w:r>
      <w:r w:rsidRPr="00B628D2">
        <w:rPr>
          <w:rFonts w:ascii="Palatino Linotype" w:eastAsia="Palatino Linotype" w:hAnsi="Palatino Linotype" w:cs="Palatino Linotype"/>
          <w:b/>
          <w:color w:val="000000" w:themeColor="text1"/>
        </w:rPr>
        <w:t>actualiza la causal de clasificación</w:t>
      </w:r>
      <w:r w:rsidRPr="00B628D2">
        <w:rPr>
          <w:rFonts w:ascii="Palatino Linotype" w:eastAsia="Palatino Linotype" w:hAnsi="Palatino Linotype" w:cs="Palatino Linotype"/>
          <w:color w:val="000000" w:themeColor="text1"/>
        </w:rPr>
        <w:t xml:space="preserve"> prevista en el artículo 143, fracción I, de la Ley de la materia.</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74990">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Aviso de movimientos ante el Issemym</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bookmarkStart w:id="7" w:name="_heading=h.omps6n20dvbq" w:colFirst="0" w:colLast="0"/>
      <w:bookmarkEnd w:id="7"/>
      <w:r w:rsidRPr="00B628D2">
        <w:rPr>
          <w:rFonts w:ascii="Palatino Linotype" w:eastAsia="Palatino Linotype" w:hAnsi="Palatino Linotype" w:cs="Palatino Linotype"/>
          <w:color w:val="000000" w:themeColor="text1"/>
        </w:rPr>
        <w:t xml:space="preserve">Ahora bien en </w:t>
      </w:r>
      <w:r w:rsidR="00074990" w:rsidRPr="00B628D2">
        <w:rPr>
          <w:rFonts w:ascii="Palatino Linotype" w:eastAsia="Palatino Linotype" w:hAnsi="Palatino Linotype" w:cs="Palatino Linotype"/>
          <w:color w:val="000000" w:themeColor="text1"/>
        </w:rPr>
        <w:t>atención</w:t>
      </w:r>
      <w:r w:rsidRPr="00B628D2">
        <w:rPr>
          <w:rFonts w:ascii="Palatino Linotype" w:eastAsia="Palatino Linotype" w:hAnsi="Palatino Linotype" w:cs="Palatino Linotype"/>
          <w:color w:val="000000" w:themeColor="text1"/>
        </w:rPr>
        <w:t xml:space="preserve"> a la naturaleza de la información peticionada es conveniente referir que 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los Avisos de Movimiento (Alta y Baja), para realizar sus respectivos trámites ante el Instituto de Seguridad Social del Estado de México y Municipios.</w:t>
      </w:r>
    </w:p>
    <w:p w:rsidR="00CB0B71" w:rsidRPr="00B628D2" w:rsidRDefault="00CB0B71" w:rsidP="00033ED5">
      <w:pPr>
        <w:rPr>
          <w:rFonts w:ascii="Palatino Linotype" w:eastAsia="Palatino Linotype" w:hAnsi="Palatino Linotype" w:cs="Palatino Linotype"/>
          <w:b/>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Documental que contiene entre otros datos el </w:t>
      </w:r>
      <w:r w:rsidRPr="00B628D2">
        <w:rPr>
          <w:rFonts w:ascii="Palatino Linotype" w:eastAsia="Palatino Linotype" w:hAnsi="Palatino Linotype" w:cs="Palatino Linotype"/>
          <w:b/>
          <w:i/>
          <w:color w:val="000000" w:themeColor="text1"/>
        </w:rPr>
        <w:t>Número de seguridad social del Instituto de Seguridad Social del Estado de México y Municipios</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w:t>
      </w:r>
      <w:r w:rsidRPr="00B628D2">
        <w:rPr>
          <w:rFonts w:ascii="Palatino Linotype" w:eastAsia="Palatino Linotype" w:hAnsi="Palatino Linotype" w:cs="Palatino Linotype"/>
          <w:color w:val="000000" w:themeColor="text1"/>
        </w:rPr>
        <w:lastRenderedPageBreak/>
        <w:t>de conformidad con el artículo 14 de la Ley de Seguridad Social para los Servidores Públicos del Estado de México y Municipios.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CB0B71" w:rsidRPr="00B628D2" w:rsidRDefault="00CB0B71" w:rsidP="00033ED5">
      <w:pPr>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 esta manera, si bien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sidRPr="00B628D2">
        <w:rPr>
          <w:rFonts w:ascii="Palatino Linotype" w:eastAsia="Palatino Linotype" w:hAnsi="Palatino Linotype" w:cs="Palatino Linotype"/>
          <w:b/>
          <w:i/>
          <w:color w:val="000000" w:themeColor="text1"/>
        </w:rPr>
        <w:t>versión pública</w:t>
      </w:r>
      <w:r w:rsidRPr="00B628D2">
        <w:rPr>
          <w:rFonts w:ascii="Palatino Linotype" w:eastAsia="Palatino Linotype" w:hAnsi="Palatino Linotype" w:cs="Palatino Linotype"/>
          <w:color w:val="000000" w:themeColor="text1"/>
        </w:rPr>
        <w:t xml:space="preserve">. </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hAnsi="Palatino Linotype"/>
          <w:b/>
          <w:color w:val="000000" w:themeColor="text1"/>
        </w:rPr>
      </w:pPr>
      <w:r w:rsidRPr="00B628D2">
        <w:rPr>
          <w:rFonts w:ascii="Palatino Linotype" w:eastAsia="Palatino Linotype" w:hAnsi="Palatino Linotype" w:cs="Palatino Linotype"/>
          <w:color w:val="000000" w:themeColor="text1"/>
        </w:rPr>
        <w:lastRenderedPageBreak/>
        <w:t xml:space="preserve">Por lo anteriormente expuesto, este Órgano Garante considera </w:t>
      </w:r>
      <w:r w:rsidRPr="00B628D2">
        <w:rPr>
          <w:rFonts w:ascii="Palatino Linotype" w:eastAsia="Palatino Linotype" w:hAnsi="Palatino Linotype" w:cs="Palatino Linotype"/>
          <w:b/>
          <w:color w:val="000000" w:themeColor="text1"/>
        </w:rPr>
        <w:t>FUNDADAS</w:t>
      </w:r>
      <w:r w:rsidRPr="00B628D2">
        <w:rPr>
          <w:rFonts w:ascii="Palatino Linotype" w:eastAsia="Palatino Linotype" w:hAnsi="Palatino Linotype" w:cs="Palatino Linotype"/>
          <w:color w:val="000000" w:themeColor="text1"/>
        </w:rPr>
        <w:t xml:space="preserve"> las razones o motivos de inconformidad que plantea el</w:t>
      </w:r>
      <w:r w:rsidRPr="00B628D2">
        <w:rPr>
          <w:rFonts w:ascii="Palatino Linotype" w:eastAsia="Palatino Linotype" w:hAnsi="Palatino Linotype" w:cs="Palatino Linotype"/>
          <w:b/>
          <w:color w:val="000000" w:themeColor="text1"/>
        </w:rPr>
        <w:t xml:space="preserve"> RECURRENTE </w:t>
      </w:r>
      <w:r w:rsidRPr="00B628D2">
        <w:rPr>
          <w:rFonts w:ascii="Palatino Linotype" w:eastAsia="Palatino Linotype" w:hAnsi="Palatino Linotype" w:cs="Palatino Linotype"/>
          <w:color w:val="000000" w:themeColor="text1"/>
        </w:rPr>
        <w:t xml:space="preserve">en el Recurso de Revisión </w:t>
      </w:r>
      <w:r w:rsidRPr="00B628D2">
        <w:rPr>
          <w:rFonts w:ascii="Palatino Linotype" w:eastAsia="Palatino Linotype" w:hAnsi="Palatino Linotype" w:cs="Palatino Linotype"/>
          <w:b/>
          <w:color w:val="000000" w:themeColor="text1"/>
        </w:rPr>
        <w:t>02583/INFOEM/IP/RR/2025</w:t>
      </w:r>
      <w:r w:rsidRPr="00B628D2">
        <w:rPr>
          <w:rFonts w:ascii="Palatino Linotype" w:eastAsia="Palatino Linotype" w:hAnsi="Palatino Linotype" w:cs="Palatino Linotype"/>
          <w:color w:val="000000" w:themeColor="text1"/>
        </w:rPr>
        <w:t xml:space="preserve">, determinando </w:t>
      </w:r>
      <w:r w:rsidRPr="00B628D2">
        <w:rPr>
          <w:rFonts w:ascii="Palatino Linotype" w:eastAsia="Palatino Linotype" w:hAnsi="Palatino Linotype" w:cs="Palatino Linotype"/>
          <w:b/>
          <w:smallCaps/>
          <w:color w:val="000000" w:themeColor="text1"/>
        </w:rPr>
        <w:t>REVOCAR</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 xml:space="preserve">la respuesta del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y se ordena la entrega, previa búsqueda exhaustiva y razonable, </w:t>
      </w:r>
      <w:r w:rsidRPr="00B628D2">
        <w:rPr>
          <w:rFonts w:ascii="Palatino Linotype" w:eastAsia="Palatino Linotype" w:hAnsi="Palatino Linotype" w:cs="Palatino Linotype"/>
          <w:b/>
          <w:color w:val="000000" w:themeColor="text1"/>
        </w:rPr>
        <w:t>en versión pública, del expediente laboral de los mandos medios y superiores que forman parte de la actual administración pública municipal 2025-2027, vigente al 31 de enero de 2025.</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keepNext/>
        <w:keepLines/>
        <w:spacing w:after="160"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QUINTO. De la versión pública.</w:t>
      </w:r>
    </w:p>
    <w:p w:rsidR="00CB0B71" w:rsidRPr="00B628D2" w:rsidRDefault="00033ED5" w:rsidP="00074990">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Nociones generales. </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Debe destacarse, que debido a la información solicitada por el </w:t>
      </w:r>
      <w:r w:rsidRPr="00B628D2">
        <w:rPr>
          <w:rFonts w:ascii="Palatino Linotype" w:eastAsia="Palatino Linotype" w:hAnsi="Palatino Linotype" w:cs="Palatino Linotype"/>
          <w:b/>
          <w:color w:val="000000" w:themeColor="text1"/>
        </w:rPr>
        <w:t>RECURRENTE</w:t>
      </w:r>
      <w:r w:rsidRPr="00B628D2">
        <w:rPr>
          <w:rFonts w:ascii="Palatino Linotype" w:eastAsia="Palatino Linotype" w:hAnsi="Palatino Linotype" w:cs="Palatino Linotype"/>
          <w:color w:val="000000" w:themeColor="text1"/>
        </w:rPr>
        <w:t xml:space="preserve">, obran datos personales susceptibles de protegerse, así como información susceptible de clasificarse como confidencial,  por lo que, el </w:t>
      </w:r>
      <w:r w:rsidRPr="00B628D2">
        <w:rPr>
          <w:rFonts w:ascii="Palatino Linotype" w:eastAsia="Palatino Linotype" w:hAnsi="Palatino Linotype" w:cs="Palatino Linotype"/>
          <w:b/>
          <w:color w:val="000000" w:themeColor="text1"/>
        </w:rPr>
        <w:t xml:space="preserve">SUJETO OBLIGADO </w:t>
      </w:r>
      <w:r w:rsidRPr="00B628D2">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CB0B71" w:rsidRPr="00B628D2" w:rsidRDefault="00CB0B71" w:rsidP="00033ED5">
      <w:pPr>
        <w:tabs>
          <w:tab w:val="left" w:pos="0"/>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No pasa desapercibido para este Órgano Garante que los sujetos obligados</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B0B71" w:rsidRPr="00B628D2" w:rsidRDefault="00CB0B71" w:rsidP="00033ED5">
      <w:pPr>
        <w:tabs>
          <w:tab w:val="left" w:pos="284"/>
        </w:tabs>
        <w:spacing w:after="160" w:line="360" w:lineRule="auto"/>
        <w:jc w:val="both"/>
        <w:rPr>
          <w:rFonts w:ascii="Palatino Linotype" w:eastAsia="Palatino Linotype" w:hAnsi="Palatino Linotype" w:cs="Palatino Linotype"/>
          <w:color w:val="000000" w:themeColor="text1"/>
        </w:rPr>
      </w:pPr>
    </w:p>
    <w:tbl>
      <w:tblPr>
        <w:tblStyle w:val="aa"/>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033ED5" w:rsidRPr="00B628D2" w:rsidTr="00074990">
        <w:tc>
          <w:tcPr>
            <w:tcW w:w="2689" w:type="dxa"/>
          </w:tcPr>
          <w:p w:rsidR="00CB0B71" w:rsidRPr="00B628D2" w:rsidRDefault="00033ED5" w:rsidP="00033ED5">
            <w:pPr>
              <w:tabs>
                <w:tab w:val="left" w:pos="284"/>
              </w:tabs>
              <w:spacing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a) Requisitos previos.</w:t>
            </w:r>
          </w:p>
        </w:tc>
        <w:tc>
          <w:tcPr>
            <w:tcW w:w="7087"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respectivamente, señalan que si los Sujetos Obligados </w:t>
            </w:r>
            <w:r w:rsidRPr="00B628D2">
              <w:rPr>
                <w:rFonts w:ascii="Palatino Linotype" w:eastAsia="Palatino Linotype" w:hAnsi="Palatino Linotype" w:cs="Palatino Linotype"/>
                <w:b/>
                <w:color w:val="000000" w:themeColor="text1"/>
              </w:rPr>
              <w:lastRenderedPageBreak/>
              <w:t xml:space="preserve">determinan que la información actualiza alguno de los supuestos de clasificación, es deber de los titulares de las áreas proponer su clasificación y no del Comité de Transparencia. </w:t>
            </w:r>
          </w:p>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B628D2">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B628D2">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033ED5" w:rsidRPr="00B628D2" w:rsidTr="00074990">
        <w:tc>
          <w:tcPr>
            <w:tcW w:w="2689" w:type="dxa"/>
          </w:tcPr>
          <w:p w:rsidR="00CB0B71" w:rsidRPr="00B628D2" w:rsidRDefault="00033ED5" w:rsidP="00033ED5">
            <w:pPr>
              <w:tabs>
                <w:tab w:val="left" w:pos="284"/>
              </w:tabs>
              <w:spacing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b) Supuestos de clasificación.</w:t>
            </w:r>
          </w:p>
        </w:tc>
        <w:tc>
          <w:tcPr>
            <w:tcW w:w="7087"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w:t>
            </w:r>
            <w:r w:rsidRPr="00B628D2">
              <w:rPr>
                <w:rFonts w:ascii="Palatino Linotype" w:eastAsia="Palatino Linotype" w:hAnsi="Palatino Linotype" w:cs="Palatino Linotype"/>
                <w:color w:val="000000" w:themeColor="text1"/>
              </w:rPr>
              <w:lastRenderedPageBreak/>
              <w:t>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33ED5" w:rsidRPr="00B628D2" w:rsidTr="00074990">
        <w:tc>
          <w:tcPr>
            <w:tcW w:w="2689" w:type="dxa"/>
          </w:tcPr>
          <w:p w:rsidR="00CB0B71" w:rsidRPr="00B628D2" w:rsidRDefault="00033ED5" w:rsidP="00033ED5">
            <w:pPr>
              <w:tabs>
                <w:tab w:val="left" w:pos="284"/>
              </w:tabs>
              <w:spacing w:line="360" w:lineRule="auto"/>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c) Formalidades para emitir el acuerdo de clasificación.</w:t>
            </w:r>
          </w:p>
        </w:tc>
        <w:tc>
          <w:tcPr>
            <w:tcW w:w="7087"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Es necesario que </w:t>
            </w:r>
            <w:r w:rsidRPr="00B628D2">
              <w:rPr>
                <w:rFonts w:ascii="Palatino Linotype" w:eastAsia="Palatino Linotype" w:hAnsi="Palatino Linotype" w:cs="Palatino Linotype"/>
                <w:b/>
                <w:color w:val="000000" w:themeColor="text1"/>
                <w:u w:val="single"/>
              </w:rPr>
              <w:t>el acto reúna con los requisitos elementales</w:t>
            </w:r>
            <w:r w:rsidRPr="00B628D2">
              <w:rPr>
                <w:rFonts w:ascii="Palatino Linotype" w:eastAsia="Palatino Linotype" w:hAnsi="Palatino Linotype" w:cs="Palatino Linotype"/>
                <w:color w:val="000000" w:themeColor="text1"/>
              </w:rPr>
              <w:t>, entre ellos, que la autoridad que va a emitir el acto de autoridad sea la legalmente facultada para ello.</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w:t>
            </w:r>
            <w:r w:rsidRPr="00B628D2">
              <w:rPr>
                <w:rFonts w:ascii="Palatino Linotype" w:eastAsia="Palatino Linotype" w:hAnsi="Palatino Linotype" w:cs="Palatino Linotype"/>
                <w:color w:val="000000" w:themeColor="text1"/>
              </w:rPr>
              <w:lastRenderedPageBreak/>
              <w:t>de las decisiones adoptadas previamente por los titulares de áreas y que son sujetas a control, en primera instancia, por el Comité de Transparencia.</w:t>
            </w:r>
          </w:p>
        </w:tc>
      </w:tr>
      <w:tr w:rsidR="00033ED5" w:rsidRPr="00B628D2" w:rsidTr="00074990">
        <w:tc>
          <w:tcPr>
            <w:tcW w:w="2689" w:type="dxa"/>
          </w:tcPr>
          <w:p w:rsidR="00CB0B71" w:rsidRPr="00B628D2" w:rsidRDefault="00CB0B71" w:rsidP="00033ED5">
            <w:pPr>
              <w:tabs>
                <w:tab w:val="left" w:pos="284"/>
              </w:tabs>
              <w:spacing w:line="360" w:lineRule="auto"/>
              <w:rPr>
                <w:rFonts w:ascii="Palatino Linotype" w:eastAsia="Palatino Linotype" w:hAnsi="Palatino Linotype" w:cs="Palatino Linotype"/>
                <w:b/>
                <w:color w:val="000000" w:themeColor="text1"/>
              </w:rPr>
            </w:pPr>
          </w:p>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d) Requisitos de fondo del acuerdo de clasificación. </w:t>
            </w:r>
          </w:p>
        </w:tc>
        <w:tc>
          <w:tcPr>
            <w:tcW w:w="7087"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628D2">
              <w:rPr>
                <w:rFonts w:ascii="Palatino Linotype" w:eastAsia="Palatino Linotype" w:hAnsi="Palatino Linotype" w:cs="Palatino Linotype"/>
                <w:b/>
                <w:color w:val="000000" w:themeColor="text1"/>
              </w:rPr>
              <w:t>Sujetos Obligados</w:t>
            </w:r>
            <w:r w:rsidRPr="00B628D2">
              <w:rPr>
                <w:rFonts w:ascii="Palatino Linotype" w:eastAsia="Palatino Linotype" w:hAnsi="Palatino Linotype" w:cs="Palatino Linotype"/>
                <w:color w:val="000000" w:themeColor="text1"/>
              </w:rPr>
              <w:t xml:space="preserve">, por lo que deberán fundar y motivar debidamente la clasificación. </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 lo anterior, se desprende que para una correcta </w:t>
            </w:r>
            <w:r w:rsidRPr="00B628D2">
              <w:rPr>
                <w:rFonts w:ascii="Palatino Linotype" w:eastAsia="Palatino Linotype" w:hAnsi="Palatino Linotype" w:cs="Palatino Linotype"/>
                <w:b/>
                <w:color w:val="000000" w:themeColor="text1"/>
              </w:rPr>
              <w:t>clasificación total o parcial</w:t>
            </w:r>
            <w:r w:rsidRPr="00B628D2">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B628D2">
              <w:rPr>
                <w:rFonts w:ascii="Palatino Linotype" w:eastAsia="Palatino Linotype" w:hAnsi="Palatino Linotype" w:cs="Palatino Linotype"/>
                <w:color w:val="000000" w:themeColor="text1"/>
              </w:rPr>
              <w:lastRenderedPageBreak/>
              <w:t>persona que se sienta afectada pueda impugnar la decisión, permitiéndole una real y auténtica defensa.</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Ahora bien, </w:t>
            </w:r>
            <w:r w:rsidRPr="00B628D2">
              <w:rPr>
                <w:rFonts w:ascii="Palatino Linotype" w:eastAsia="Palatino Linotype" w:hAnsi="Palatino Linotype" w:cs="Palatino Linotype"/>
                <w:b/>
                <w:color w:val="000000" w:themeColor="text1"/>
                <w:u w:val="single"/>
              </w:rPr>
              <w:t>para cada caso además de fundar y motivar</w:t>
            </w:r>
            <w:r w:rsidRPr="00B628D2">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33ED5" w:rsidRPr="00B628D2" w:rsidTr="00074990">
        <w:tc>
          <w:tcPr>
            <w:tcW w:w="2689"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087" w:type="dxa"/>
          </w:tcPr>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CB0B71" w:rsidRPr="00B628D2" w:rsidRDefault="00033ED5" w:rsidP="00033ED5">
            <w:pPr>
              <w:tabs>
                <w:tab w:val="left" w:pos="284"/>
              </w:tabs>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B0B71" w:rsidRPr="00B628D2" w:rsidRDefault="00033ED5" w:rsidP="00033ED5">
            <w:pPr>
              <w:tabs>
                <w:tab w:val="left" w:pos="284"/>
              </w:tabs>
              <w:spacing w:line="360" w:lineRule="auto"/>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B0B71" w:rsidRPr="00B628D2" w:rsidRDefault="00CB0B71" w:rsidP="00033ED5">
      <w:pPr>
        <w:tabs>
          <w:tab w:val="left" w:pos="284"/>
        </w:tabs>
        <w:spacing w:line="360" w:lineRule="auto"/>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Se debe de puntualizar que los documentos de los cuales se ordena su entrega, contienen datos personales, que de hacerse públicos afectarían la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Firma de particulares, o cualquier otro dato que ponga en riesgo la vida, seguridad y salud de dichas personas.</w:t>
      </w:r>
    </w:p>
    <w:p w:rsidR="00CB0B71" w:rsidRPr="00B628D2" w:rsidRDefault="00CB0B71" w:rsidP="00033ED5">
      <w:pPr>
        <w:spacing w:line="360" w:lineRule="auto"/>
        <w:jc w:val="both"/>
        <w:rPr>
          <w:rFonts w:ascii="Palatino Linotype" w:eastAsia="Palatino Linotype" w:hAnsi="Palatino Linotype" w:cs="Palatino Linotype"/>
          <w:b/>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En ese sentido, 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por las cuales se clasifican como confidenciales los datos expuestos con anterioridad.</w:t>
      </w:r>
    </w:p>
    <w:p w:rsidR="00CB0B71" w:rsidRPr="00B628D2" w:rsidRDefault="00CB0B71" w:rsidP="00033ED5">
      <w:pPr>
        <w:tabs>
          <w:tab w:val="left" w:pos="284"/>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 xml:space="preserve">Derivado de lo establecido en párrafos anteriores, si 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CB0B71" w:rsidRPr="00B628D2" w:rsidRDefault="00033ED5" w:rsidP="00033ED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lastRenderedPageBreak/>
        <w:t>Por lo expuesto, y con fundamento en lo prescrito en los artículos 5, párrafos trigésimo séptimo, trigésimo octavo y trigésimo noveno fracciones IV y V, de la Constitución Política del Estado Libre y Soberano de México; 2, fracción II; 29, 36 fracciones I y II; 176, 178, 179, 181 y 185 de la Ley de Transparencia y Acceso a la Información Pública del Estado de México y Municipios, este Pleno:</w:t>
      </w:r>
    </w:p>
    <w:p w:rsidR="00CB0B71" w:rsidRPr="00B628D2" w:rsidRDefault="00CB0B71" w:rsidP="00033ED5">
      <w:pPr>
        <w:rPr>
          <w:rFonts w:ascii="Palatino Linotype" w:eastAsia="Palatino Linotype" w:hAnsi="Palatino Linotype" w:cs="Palatino Linotype"/>
          <w:color w:val="000000" w:themeColor="text1"/>
        </w:rPr>
      </w:pPr>
    </w:p>
    <w:p w:rsidR="0043217D" w:rsidRPr="00B628D2" w:rsidRDefault="0043217D" w:rsidP="00033ED5">
      <w:pPr>
        <w:rPr>
          <w:rFonts w:ascii="Palatino Linotype" w:eastAsia="Palatino Linotype" w:hAnsi="Palatino Linotype" w:cs="Palatino Linotype"/>
          <w:color w:val="000000" w:themeColor="text1"/>
        </w:rPr>
      </w:pPr>
    </w:p>
    <w:p w:rsidR="00CB0B71" w:rsidRPr="00B628D2" w:rsidRDefault="00033ED5" w:rsidP="00033ED5">
      <w:pPr>
        <w:spacing w:line="360" w:lineRule="auto"/>
        <w:jc w:val="center"/>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R E S U E L V E</w:t>
      </w:r>
    </w:p>
    <w:p w:rsidR="00CB0B71" w:rsidRPr="00B628D2" w:rsidRDefault="00CB0B71" w:rsidP="00033ED5">
      <w:pPr>
        <w:spacing w:line="360" w:lineRule="auto"/>
        <w:jc w:val="center"/>
        <w:rPr>
          <w:rFonts w:ascii="Palatino Linotype" w:eastAsia="Palatino Linotype" w:hAnsi="Palatino Linotype" w:cs="Palatino Linotype"/>
          <w:b/>
          <w:color w:val="000000" w:themeColor="text1"/>
        </w:rPr>
      </w:pP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color w:val="000000" w:themeColor="text1"/>
        </w:rPr>
        <w:t>PRIMERO</w:t>
      </w:r>
      <w:r w:rsidRPr="00B628D2">
        <w:rPr>
          <w:rFonts w:ascii="Palatino Linotype" w:eastAsia="Palatino Linotype" w:hAnsi="Palatino Linotype" w:cs="Palatino Linotype"/>
          <w:color w:val="000000" w:themeColor="text1"/>
        </w:rPr>
        <w:t xml:space="preserve">. Resultan </w:t>
      </w:r>
      <w:r w:rsidRPr="00B628D2">
        <w:rPr>
          <w:rFonts w:ascii="Palatino Linotype" w:eastAsia="Palatino Linotype" w:hAnsi="Palatino Linotype" w:cs="Palatino Linotype"/>
          <w:b/>
          <w:color w:val="000000" w:themeColor="text1"/>
        </w:rPr>
        <w:t>FUNDADAS</w:t>
      </w:r>
      <w:r w:rsidRPr="00B628D2">
        <w:rPr>
          <w:rFonts w:ascii="Palatino Linotype" w:eastAsia="Palatino Linotype" w:hAnsi="Palatino Linotype" w:cs="Palatino Linotype"/>
          <w:color w:val="000000" w:themeColor="text1"/>
        </w:rPr>
        <w:t xml:space="preserve"> las razones o motivos de inconformidad hechos valer en el Recursos de Revisión </w:t>
      </w:r>
      <w:r w:rsidRPr="00B628D2">
        <w:rPr>
          <w:rFonts w:ascii="Palatino Linotype" w:eastAsia="Palatino Linotype" w:hAnsi="Palatino Linotype" w:cs="Palatino Linotype"/>
          <w:b/>
          <w:color w:val="000000" w:themeColor="text1"/>
        </w:rPr>
        <w:t xml:space="preserve">02583/INFOEM/IP/RR/2025 </w:t>
      </w:r>
      <w:r w:rsidRPr="00B628D2">
        <w:rPr>
          <w:rFonts w:ascii="Palatino Linotype" w:eastAsia="Palatino Linotype" w:hAnsi="Palatino Linotype" w:cs="Palatino Linotype"/>
          <w:color w:val="000000" w:themeColor="text1"/>
        </w:rPr>
        <w:t xml:space="preserve">en términos del Considerando </w:t>
      </w:r>
      <w:r w:rsidRPr="00B628D2">
        <w:rPr>
          <w:rFonts w:ascii="Palatino Linotype" w:eastAsia="Palatino Linotype" w:hAnsi="Palatino Linotype" w:cs="Palatino Linotype"/>
          <w:b/>
          <w:color w:val="000000" w:themeColor="text1"/>
        </w:rPr>
        <w:t xml:space="preserve">CUARTO y QUINTO </w:t>
      </w:r>
      <w:r w:rsidRPr="00B628D2">
        <w:rPr>
          <w:rFonts w:ascii="Palatino Linotype" w:eastAsia="Palatino Linotype" w:hAnsi="Palatino Linotype" w:cs="Palatino Linotype"/>
          <w:color w:val="000000" w:themeColor="text1"/>
        </w:rPr>
        <w:t xml:space="preserve">de la presente resolución. </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bookmarkStart w:id="8" w:name="_heading=h.26in1rg" w:colFirst="0" w:colLast="0"/>
      <w:bookmarkEnd w:id="8"/>
      <w:r w:rsidRPr="00B628D2">
        <w:rPr>
          <w:rFonts w:ascii="Palatino Linotype" w:eastAsia="Palatino Linotype" w:hAnsi="Palatino Linotype" w:cs="Palatino Linotype"/>
          <w:b/>
          <w:color w:val="000000" w:themeColor="text1"/>
        </w:rPr>
        <w:t xml:space="preserve">SEGUNDO. </w:t>
      </w:r>
      <w:r w:rsidRPr="00B628D2">
        <w:rPr>
          <w:rFonts w:ascii="Palatino Linotype" w:eastAsia="Palatino Linotype" w:hAnsi="Palatino Linotype" w:cs="Palatino Linotype"/>
          <w:color w:val="000000" w:themeColor="text1"/>
        </w:rPr>
        <w:t xml:space="preserve">Se </w:t>
      </w:r>
      <w:r w:rsidRPr="00B628D2">
        <w:rPr>
          <w:rFonts w:ascii="Palatino Linotype" w:eastAsia="Palatino Linotype" w:hAnsi="Palatino Linotype" w:cs="Palatino Linotype"/>
          <w:b/>
          <w:color w:val="000000" w:themeColor="text1"/>
        </w:rPr>
        <w:t xml:space="preserve">REVOCA </w:t>
      </w:r>
      <w:r w:rsidRPr="00B628D2">
        <w:rPr>
          <w:rFonts w:ascii="Palatino Linotype" w:eastAsia="Palatino Linotype" w:hAnsi="Palatino Linotype" w:cs="Palatino Linotype"/>
          <w:color w:val="000000" w:themeColor="text1"/>
        </w:rPr>
        <w:t xml:space="preserve">la respuesta emitida por el </w:t>
      </w:r>
      <w:r w:rsidRPr="00B628D2">
        <w:rPr>
          <w:rFonts w:ascii="Palatino Linotype" w:eastAsia="Palatino Linotype" w:hAnsi="Palatino Linotype" w:cs="Palatino Linotype"/>
          <w:b/>
          <w:color w:val="000000" w:themeColor="text1"/>
        </w:rPr>
        <w:t>Sistema Municipal Para el Desarrollo Integral de la Familia de Naucalpan de Juárez,</w:t>
      </w:r>
      <w:r w:rsidRPr="00B628D2">
        <w:rPr>
          <w:rFonts w:ascii="Palatino Linotype" w:eastAsia="Palatino Linotype" w:hAnsi="Palatino Linotype" w:cs="Palatino Linotype"/>
          <w:color w:val="000000" w:themeColor="text1"/>
        </w:rPr>
        <w:t xml:space="preserve"> a la solicitud de información pública registrada con el número</w:t>
      </w:r>
      <w:r w:rsidRPr="00B628D2">
        <w:rPr>
          <w:rFonts w:ascii="Palatino Linotype" w:eastAsia="Palatino Linotype" w:hAnsi="Palatino Linotype" w:cs="Palatino Linotype"/>
          <w:b/>
          <w:color w:val="000000" w:themeColor="text1"/>
        </w:rPr>
        <w:t xml:space="preserve"> 00016/DIFNAUCAL/IP/2025 </w:t>
      </w:r>
      <w:r w:rsidRPr="00B628D2">
        <w:rPr>
          <w:rFonts w:ascii="Palatino Linotype" w:eastAsia="Palatino Linotype" w:hAnsi="Palatino Linotype" w:cs="Palatino Linotype"/>
          <w:color w:val="000000" w:themeColor="text1"/>
        </w:rPr>
        <w:t xml:space="preserve">y se </w:t>
      </w:r>
      <w:r w:rsidRPr="00B628D2">
        <w:rPr>
          <w:rFonts w:ascii="Palatino Linotype" w:eastAsia="Palatino Linotype" w:hAnsi="Palatino Linotype" w:cs="Palatino Linotype"/>
          <w:b/>
          <w:color w:val="000000" w:themeColor="text1"/>
        </w:rPr>
        <w:t>ORDENA</w:t>
      </w:r>
      <w:r w:rsidRPr="00B628D2">
        <w:rPr>
          <w:rFonts w:ascii="Palatino Linotype" w:eastAsia="Palatino Linotype" w:hAnsi="Palatino Linotype" w:cs="Palatino Linotype"/>
          <w:color w:val="000000" w:themeColor="text1"/>
        </w:rPr>
        <w:t xml:space="preserve"> entregar vía Sistema de Acceso a la Información Mexiquense </w:t>
      </w:r>
      <w:r w:rsidRPr="00B628D2">
        <w:rPr>
          <w:rFonts w:ascii="Palatino Linotype" w:eastAsia="Palatino Linotype" w:hAnsi="Palatino Linotype" w:cs="Palatino Linotype"/>
          <w:b/>
          <w:color w:val="000000" w:themeColor="text1"/>
        </w:rPr>
        <w:t xml:space="preserve">(SAIMEX), </w:t>
      </w:r>
      <w:r w:rsidRPr="00B628D2">
        <w:rPr>
          <w:rFonts w:ascii="Palatino Linotype" w:eastAsia="Palatino Linotype" w:hAnsi="Palatino Linotype" w:cs="Palatino Linotype"/>
          <w:color w:val="000000" w:themeColor="text1"/>
        </w:rPr>
        <w:t>previa búsqueda exhaustiva y razonable,</w:t>
      </w:r>
      <w:r w:rsidRPr="00B628D2">
        <w:rPr>
          <w:rFonts w:ascii="Palatino Linotype" w:eastAsia="Palatino Linotype" w:hAnsi="Palatino Linotype" w:cs="Palatino Linotype"/>
          <w:b/>
          <w:color w:val="000000" w:themeColor="text1"/>
        </w:rPr>
        <w:t xml:space="preserve"> </w:t>
      </w:r>
      <w:r w:rsidRPr="00B628D2">
        <w:rPr>
          <w:rFonts w:ascii="Palatino Linotype" w:eastAsia="Palatino Linotype" w:hAnsi="Palatino Linotype" w:cs="Palatino Linotype"/>
          <w:color w:val="000000" w:themeColor="text1"/>
        </w:rPr>
        <w:t>en versión pública, la siguiente información:</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74990">
      <w:pPr>
        <w:numPr>
          <w:ilvl w:val="0"/>
          <w:numId w:val="8"/>
        </w:numPr>
        <w:pBdr>
          <w:top w:val="nil"/>
          <w:left w:val="nil"/>
          <w:bottom w:val="nil"/>
          <w:right w:val="nil"/>
          <w:between w:val="nil"/>
        </w:pBdr>
        <w:ind w:left="0" w:firstLine="0"/>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Expediente laboral de los mandos medios y superiores que forman parte de la actual administración pública municipal 2025-2027, vigente al 31 de enero de 2025.</w:t>
      </w:r>
    </w:p>
    <w:p w:rsidR="00CB0B71" w:rsidRPr="00B628D2" w:rsidRDefault="00CB0B71" w:rsidP="00033ED5">
      <w:pPr>
        <w:spacing w:line="360" w:lineRule="auto"/>
        <w:jc w:val="both"/>
        <w:rPr>
          <w:rFonts w:ascii="Palatino Linotype" w:eastAsia="Palatino Linotype" w:hAnsi="Palatino Linotype" w:cs="Palatino Linotype"/>
          <w:b/>
          <w:color w:val="000000" w:themeColor="text1"/>
        </w:rPr>
      </w:pPr>
    </w:p>
    <w:p w:rsidR="00CB0B71" w:rsidRPr="00B628D2" w:rsidRDefault="00033ED5" w:rsidP="00033ED5">
      <w:pPr>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color w:val="000000" w:themeColor="text1"/>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w:t>
      </w:r>
      <w:r w:rsidRPr="00B628D2">
        <w:rPr>
          <w:rFonts w:ascii="Palatino Linotype" w:eastAsia="Palatino Linotype" w:hAnsi="Palatino Linotype" w:cs="Palatino Linotype"/>
          <w:color w:val="000000" w:themeColor="text1"/>
        </w:rPr>
        <w:lastRenderedPageBreak/>
        <w:t xml:space="preserve">respectivo objeto de las versiones públicas que se formulen, y se pongan a disposición de la parte </w:t>
      </w:r>
      <w:r w:rsidRPr="00B628D2">
        <w:rPr>
          <w:rFonts w:ascii="Palatino Linotype" w:eastAsia="Palatino Linotype" w:hAnsi="Palatino Linotype" w:cs="Palatino Linotype"/>
          <w:b/>
          <w:color w:val="000000" w:themeColor="text1"/>
        </w:rPr>
        <w:t>RECURRENTE.</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tabs>
          <w:tab w:val="left" w:pos="8080"/>
        </w:tabs>
        <w:spacing w:line="360" w:lineRule="auto"/>
        <w:jc w:val="both"/>
        <w:rPr>
          <w:rFonts w:ascii="Palatino Linotype" w:eastAsia="Palatino Linotype" w:hAnsi="Palatino Linotype" w:cs="Palatino Linotype"/>
          <w:b/>
          <w:color w:val="000000" w:themeColor="text1"/>
        </w:rPr>
      </w:pPr>
      <w:r w:rsidRPr="00B628D2">
        <w:rPr>
          <w:rFonts w:ascii="Palatino Linotype" w:eastAsia="Palatino Linotype" w:hAnsi="Palatino Linotype" w:cs="Palatino Linotype"/>
          <w:b/>
          <w:color w:val="000000" w:themeColor="text1"/>
        </w:rPr>
        <w:t xml:space="preserve">TERCERO. NOTIFÍQUESE </w:t>
      </w:r>
      <w:r w:rsidRPr="00B628D2">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628D2">
        <w:rPr>
          <w:rFonts w:ascii="Palatino Linotype" w:eastAsia="Palatino Linotype" w:hAnsi="Palatino Linotype" w:cs="Palatino Linotype"/>
          <w:b/>
          <w:color w:val="000000" w:themeColor="text1"/>
        </w:rPr>
        <w:t>dé cumplimiento a lo ordenado dentro del plazo de diez días hábiles,</w:t>
      </w:r>
      <w:r w:rsidRPr="00B628D2">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B0B71" w:rsidRPr="00B628D2" w:rsidRDefault="00CB0B71" w:rsidP="00033ED5">
      <w:pPr>
        <w:tabs>
          <w:tab w:val="left" w:pos="8080"/>
        </w:tabs>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color w:val="000000" w:themeColor="text1"/>
        </w:rPr>
        <w:t xml:space="preserve">CUARTO. </w:t>
      </w:r>
      <w:r w:rsidRPr="00B628D2">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B628D2">
        <w:rPr>
          <w:rFonts w:ascii="Palatino Linotype" w:eastAsia="Palatino Linotype" w:hAnsi="Palatino Linotype" w:cs="Palatino Linotype"/>
          <w:b/>
          <w:color w:val="000000" w:themeColor="text1"/>
        </w:rPr>
        <w:t>SUJETO OBLIGADO</w:t>
      </w:r>
      <w:r w:rsidRPr="00B628D2">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CB0B71" w:rsidRPr="00B628D2" w:rsidRDefault="00CB0B71" w:rsidP="00033ED5">
      <w:pPr>
        <w:spacing w:line="360" w:lineRule="auto"/>
        <w:jc w:val="both"/>
        <w:rPr>
          <w:rFonts w:ascii="Palatino Linotype" w:eastAsia="Palatino Linotype" w:hAnsi="Palatino Linotype" w:cs="Palatino Linotype"/>
          <w:color w:val="000000" w:themeColor="text1"/>
        </w:rPr>
      </w:pP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color w:val="000000" w:themeColor="text1"/>
        </w:rPr>
        <w:t>QUINTO. NOTIFÍQUESE</w:t>
      </w:r>
      <w:r w:rsidRPr="00B628D2">
        <w:rPr>
          <w:rFonts w:ascii="Palatino Linotype" w:eastAsia="Palatino Linotype" w:hAnsi="Palatino Linotype" w:cs="Palatino Linotype"/>
          <w:color w:val="000000" w:themeColor="text1"/>
        </w:rPr>
        <w:t xml:space="preserve"> la presente resolución a la parte </w:t>
      </w:r>
      <w:r w:rsidRPr="00B628D2">
        <w:rPr>
          <w:rFonts w:ascii="Palatino Linotype" w:eastAsia="Palatino Linotype" w:hAnsi="Palatino Linotype" w:cs="Palatino Linotype"/>
          <w:b/>
          <w:color w:val="000000" w:themeColor="text1"/>
        </w:rPr>
        <w:t>Recurrente</w:t>
      </w:r>
      <w:r w:rsidRPr="00B628D2">
        <w:rPr>
          <w:rFonts w:ascii="Palatino Linotype" w:eastAsia="Palatino Linotype" w:hAnsi="Palatino Linotype" w:cs="Palatino Linotype"/>
          <w:color w:val="000000" w:themeColor="text1"/>
        </w:rPr>
        <w:t xml:space="preserve"> a través del Sistema de Acceso a la Información Mexiquense </w:t>
      </w:r>
      <w:r w:rsidRPr="00B628D2">
        <w:rPr>
          <w:rFonts w:ascii="Palatino Linotype" w:eastAsia="Palatino Linotype" w:hAnsi="Palatino Linotype" w:cs="Palatino Linotype"/>
          <w:b/>
          <w:color w:val="000000" w:themeColor="text1"/>
        </w:rPr>
        <w:t>(SAIMEX)</w:t>
      </w:r>
      <w:r w:rsidR="0043217D" w:rsidRPr="00B628D2">
        <w:rPr>
          <w:rFonts w:ascii="Palatino Linotype" w:eastAsia="Palatino Linotype" w:hAnsi="Palatino Linotype" w:cs="Palatino Linotype"/>
          <w:color w:val="000000" w:themeColor="text1"/>
        </w:rPr>
        <w:t>.</w:t>
      </w:r>
    </w:p>
    <w:p w:rsidR="0043217D" w:rsidRPr="00B628D2" w:rsidRDefault="0043217D" w:rsidP="00033ED5">
      <w:pPr>
        <w:spacing w:line="360" w:lineRule="auto"/>
        <w:jc w:val="both"/>
        <w:rPr>
          <w:rFonts w:ascii="Palatino Linotype" w:eastAsia="Palatino Linotype" w:hAnsi="Palatino Linotype" w:cs="Palatino Linotype"/>
          <w:color w:val="000000" w:themeColor="text1"/>
        </w:rPr>
      </w:pPr>
    </w:p>
    <w:p w:rsidR="0043217D" w:rsidRPr="00B628D2" w:rsidRDefault="0043217D" w:rsidP="0043217D">
      <w:pPr>
        <w:tabs>
          <w:tab w:val="left" w:pos="8080"/>
        </w:tabs>
        <w:spacing w:line="360" w:lineRule="auto"/>
        <w:jc w:val="both"/>
        <w:rPr>
          <w:rFonts w:ascii="Palatino Linotype" w:hAnsi="Palatino Linotype"/>
          <w:lang w:val="es-ES"/>
        </w:rPr>
      </w:pPr>
      <w:r w:rsidRPr="00B628D2">
        <w:rPr>
          <w:rFonts w:ascii="Palatino Linotype" w:hAnsi="Palatino Linotype"/>
          <w:b/>
          <w:lang w:eastAsia="en-US"/>
        </w:rPr>
        <w:t xml:space="preserve">SEXTO. </w:t>
      </w:r>
      <w:r w:rsidRPr="00B628D2">
        <w:rPr>
          <w:rFonts w:ascii="Palatino Linotype" w:hAnsi="Palatino Linotype"/>
          <w:lang w:eastAsia="en-US"/>
        </w:rPr>
        <w:t>Se hace del conocimiento del</w:t>
      </w:r>
      <w:r w:rsidRPr="00B628D2">
        <w:rPr>
          <w:rFonts w:ascii="Palatino Linotype" w:hAnsi="Palatino Linotype"/>
          <w:b/>
          <w:lang w:eastAsia="en-US"/>
        </w:rPr>
        <w:t xml:space="preserve"> RECURRENTE </w:t>
      </w:r>
      <w:r w:rsidRPr="00B628D2">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B0B71" w:rsidRPr="00B628D2" w:rsidRDefault="00033ED5" w:rsidP="00033ED5">
      <w:pPr>
        <w:spacing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b/>
          <w:color w:val="000000" w:themeColor="text1"/>
        </w:rPr>
        <w:lastRenderedPageBreak/>
        <w:t>S</w:t>
      </w:r>
      <w:r w:rsidR="0043217D" w:rsidRPr="00B628D2">
        <w:rPr>
          <w:rFonts w:ascii="Palatino Linotype" w:eastAsia="Palatino Linotype" w:hAnsi="Palatino Linotype" w:cs="Palatino Linotype"/>
          <w:b/>
          <w:color w:val="000000" w:themeColor="text1"/>
        </w:rPr>
        <w:t>ÉPTIMO</w:t>
      </w:r>
      <w:r w:rsidRPr="00B628D2">
        <w:rPr>
          <w:rFonts w:ascii="Palatino Linotype" w:eastAsia="Palatino Linotype" w:hAnsi="Palatino Linotype" w:cs="Palatino Linotype"/>
          <w:b/>
          <w:color w:val="000000" w:themeColor="text1"/>
        </w:rPr>
        <w:t>. GÍRESE</w:t>
      </w:r>
      <w:r w:rsidRPr="00B628D2">
        <w:rPr>
          <w:rFonts w:ascii="Palatino Linotype" w:eastAsia="Palatino Linotype" w:hAnsi="Palatino Linotype" w:cs="Palatino Linotype"/>
          <w:color w:val="000000" w:themeColor="text1"/>
        </w:rPr>
        <w:t xml:space="preserve"> oficio a la Dirección General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Considerando </w:t>
      </w:r>
      <w:r w:rsidRPr="00B628D2">
        <w:rPr>
          <w:rFonts w:ascii="Palatino Linotype" w:eastAsia="Palatino Linotype" w:hAnsi="Palatino Linotype" w:cs="Palatino Linotype"/>
          <w:b/>
          <w:color w:val="000000" w:themeColor="text1"/>
        </w:rPr>
        <w:t>CUARTO</w:t>
      </w:r>
      <w:r w:rsidRPr="00B628D2">
        <w:rPr>
          <w:rFonts w:ascii="Palatino Linotype" w:eastAsia="Palatino Linotype" w:hAnsi="Palatino Linotype" w:cs="Palatino Linotype"/>
          <w:color w:val="000000" w:themeColor="text1"/>
        </w:rPr>
        <w:t xml:space="preserve"> de la presente resolución.</w:t>
      </w:r>
    </w:p>
    <w:p w:rsidR="00CB0B71" w:rsidRPr="00B628D2" w:rsidRDefault="00CB0B71" w:rsidP="00033ED5">
      <w:pPr>
        <w:spacing w:line="360" w:lineRule="auto"/>
        <w:jc w:val="both"/>
        <w:rPr>
          <w:rFonts w:ascii="Palatino Linotype" w:eastAsia="Palatino Linotype" w:hAnsi="Palatino Linotype" w:cs="Palatino Linotype"/>
          <w:b/>
          <w:color w:val="000000" w:themeColor="text1"/>
        </w:rPr>
      </w:pPr>
    </w:p>
    <w:p w:rsidR="00CB0B71" w:rsidRPr="00033ED5" w:rsidRDefault="00033ED5" w:rsidP="00033ED5">
      <w:pPr>
        <w:spacing w:before="240" w:after="240" w:line="360" w:lineRule="auto"/>
        <w:jc w:val="both"/>
        <w:rPr>
          <w:rFonts w:ascii="Palatino Linotype" w:eastAsia="Palatino Linotype" w:hAnsi="Palatino Linotype" w:cs="Palatino Linotype"/>
          <w:color w:val="000000" w:themeColor="text1"/>
        </w:rPr>
      </w:pPr>
      <w:r w:rsidRPr="00B628D2">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45127" w:rsidRPr="00B628D2">
        <w:rPr>
          <w:rFonts w:ascii="Palatino Linotype" w:eastAsia="Palatino Linotype" w:hAnsi="Palatino Linotype" w:cs="Palatino Linotype"/>
          <w:color w:val="000000" w:themeColor="text1"/>
        </w:rPr>
        <w:t xml:space="preserve"> </w:t>
      </w:r>
      <w:r w:rsidR="00745127" w:rsidRPr="00B628D2">
        <w:rPr>
          <w:rFonts w:ascii="Palatino Linotype" w:eastAsia="Palatino Linotype" w:hAnsi="Palatino Linotype" w:cs="Palatino Linotype"/>
        </w:rPr>
        <w:t>EMITIENDO VOTO PARTICULAR CONCURRENTE</w:t>
      </w:r>
      <w:r w:rsidRPr="00B628D2">
        <w:rPr>
          <w:rFonts w:ascii="Palatino Linotype" w:eastAsia="Palatino Linotype" w:hAnsi="Palatino Linotype" w:cs="Palatino Linotype"/>
          <w:color w:val="000000" w:themeColor="text1"/>
        </w:rPr>
        <w:t xml:space="preserve">, SHARON CRISTINA MORALES MARTÍNEZ, LUIS GUSTAVO PARRA NORIEGA </w:t>
      </w:r>
      <w:r w:rsidR="00745127" w:rsidRPr="00B628D2">
        <w:rPr>
          <w:rFonts w:ascii="Palatino Linotype" w:eastAsia="Palatino Linotype" w:hAnsi="Palatino Linotype" w:cs="Palatino Linotype"/>
        </w:rPr>
        <w:t xml:space="preserve">EMITIENDO VOTO PARTICULAR CONCURRENTE </w:t>
      </w:r>
      <w:r w:rsidRPr="00B628D2">
        <w:rPr>
          <w:rFonts w:ascii="Palatino Linotype" w:eastAsia="Palatino Linotype" w:hAnsi="Palatino Linotype" w:cs="Palatino Linotype"/>
          <w:color w:val="000000" w:themeColor="text1"/>
        </w:rPr>
        <w:t>Y GUADALUPE RAMÍREZ PEÑA</w:t>
      </w:r>
      <w:r w:rsidR="00745127" w:rsidRPr="00B628D2">
        <w:rPr>
          <w:rFonts w:ascii="Palatino Linotype" w:eastAsia="Palatino Linotype" w:hAnsi="Palatino Linotype" w:cs="Palatino Linotype"/>
          <w:color w:val="000000" w:themeColor="text1"/>
        </w:rPr>
        <w:t xml:space="preserve"> </w:t>
      </w:r>
      <w:r w:rsidR="00745127" w:rsidRPr="00B628D2">
        <w:rPr>
          <w:rFonts w:ascii="Palatino Linotype" w:eastAsia="Palatino Linotype" w:hAnsi="Palatino Linotype" w:cs="Palatino Linotype"/>
        </w:rPr>
        <w:t>EMITIENDO VOTO PARTICULAR</w:t>
      </w:r>
      <w:r w:rsidRPr="00B628D2">
        <w:rPr>
          <w:rFonts w:ascii="Palatino Linotype" w:eastAsia="Palatino Linotype" w:hAnsi="Palatino Linotype" w:cs="Palatino Linotype"/>
          <w:color w:val="000000" w:themeColor="text1"/>
        </w:rPr>
        <w:t>; EN LA VIGÉSIMA OCTAVA SESIÓN ORDINARIA, CELEBRADA EL TRECE (13) DE AGOSTO DE DOS MIL VEINTICINCO, ANTE EL SECRETARIO TÉCNICO DEL PLENO ALEXIS TAPIA RAMÍREZ.</w:t>
      </w:r>
    </w:p>
    <w:p w:rsidR="00CB0B71" w:rsidRPr="00033ED5" w:rsidRDefault="00033ED5" w:rsidP="00033ED5">
      <w:pPr>
        <w:rPr>
          <w:rFonts w:ascii="Palatino Linotype" w:eastAsia="Palatino Linotype" w:hAnsi="Palatino Linotype" w:cs="Palatino Linotype"/>
          <w:color w:val="000000" w:themeColor="text1"/>
        </w:rPr>
      </w:pPr>
      <w:r w:rsidRPr="00033ED5">
        <w:rPr>
          <w:rFonts w:ascii="Palatino Linotype" w:hAnsi="Palatino Linotype"/>
          <w:color w:val="000000" w:themeColor="text1"/>
        </w:rPr>
        <w:br w:type="page"/>
      </w:r>
    </w:p>
    <w:p w:rsidR="00CB0B71" w:rsidRPr="00033ED5" w:rsidRDefault="00CB0B71" w:rsidP="00033ED5">
      <w:pPr>
        <w:spacing w:before="240" w:after="240" w:line="360" w:lineRule="auto"/>
        <w:jc w:val="both"/>
        <w:rPr>
          <w:rFonts w:ascii="Palatino Linotype" w:eastAsia="Palatino Linotype" w:hAnsi="Palatino Linotype" w:cs="Palatino Linotype"/>
          <w:color w:val="000000" w:themeColor="text1"/>
        </w:rPr>
      </w:pPr>
    </w:p>
    <w:p w:rsidR="00CB0B71" w:rsidRPr="00033ED5" w:rsidRDefault="00CB0B71" w:rsidP="00033ED5">
      <w:pPr>
        <w:rPr>
          <w:rFonts w:ascii="Palatino Linotype" w:eastAsia="Palatino Linotype" w:hAnsi="Palatino Linotype" w:cs="Palatino Linotype"/>
          <w:color w:val="000000" w:themeColor="text1"/>
        </w:rPr>
      </w:pPr>
    </w:p>
    <w:p w:rsidR="00CB0B71" w:rsidRPr="00033ED5" w:rsidRDefault="00CB0B71" w:rsidP="00033ED5">
      <w:pPr>
        <w:spacing w:line="360" w:lineRule="auto"/>
        <w:rPr>
          <w:rFonts w:ascii="Palatino Linotype" w:eastAsia="Palatino Linotype" w:hAnsi="Palatino Linotype" w:cs="Palatino Linotype"/>
          <w:color w:val="000000" w:themeColor="text1"/>
        </w:rPr>
      </w:pPr>
    </w:p>
    <w:p w:rsidR="00CB0B71" w:rsidRPr="00033ED5" w:rsidRDefault="00CB0B71" w:rsidP="00033ED5">
      <w:pPr>
        <w:spacing w:line="360" w:lineRule="auto"/>
        <w:rPr>
          <w:rFonts w:ascii="Palatino Linotype" w:eastAsia="Palatino Linotype" w:hAnsi="Palatino Linotype" w:cs="Palatino Linotype"/>
          <w:color w:val="000000" w:themeColor="text1"/>
        </w:rPr>
      </w:pPr>
    </w:p>
    <w:p w:rsidR="00CB0B71" w:rsidRPr="00033ED5" w:rsidRDefault="00CB0B71" w:rsidP="00033ED5">
      <w:pPr>
        <w:spacing w:line="360" w:lineRule="auto"/>
        <w:rPr>
          <w:rFonts w:ascii="Palatino Linotype" w:eastAsia="Palatino Linotype" w:hAnsi="Palatino Linotype" w:cs="Palatino Linotype"/>
          <w:color w:val="000000" w:themeColor="text1"/>
        </w:rPr>
      </w:pPr>
    </w:p>
    <w:p w:rsidR="00CB0B71" w:rsidRPr="00033ED5" w:rsidRDefault="00033ED5" w:rsidP="00033ED5">
      <w:pPr>
        <w:tabs>
          <w:tab w:val="left" w:pos="3374"/>
        </w:tabs>
        <w:spacing w:line="360" w:lineRule="auto"/>
        <w:rPr>
          <w:rFonts w:ascii="Palatino Linotype" w:eastAsia="Palatino Linotype" w:hAnsi="Palatino Linotype" w:cs="Palatino Linotype"/>
          <w:color w:val="000000" w:themeColor="text1"/>
        </w:rPr>
      </w:pPr>
      <w:bookmarkStart w:id="9" w:name="_heading=h.lnxbz9" w:colFirst="0" w:colLast="0"/>
      <w:bookmarkEnd w:id="9"/>
      <w:r w:rsidRPr="00033ED5">
        <w:rPr>
          <w:rFonts w:ascii="Palatino Linotype" w:eastAsia="Palatino Linotype" w:hAnsi="Palatino Linotype" w:cs="Palatino Linotype"/>
          <w:color w:val="000000" w:themeColor="text1"/>
        </w:rPr>
        <w:tab/>
      </w:r>
    </w:p>
    <w:sectPr w:rsidR="00CB0B71" w:rsidRPr="00033ED5" w:rsidSect="007218E8">
      <w:headerReference w:type="even" r:id="rId29"/>
      <w:headerReference w:type="default" r:id="rId30"/>
      <w:footerReference w:type="default" r:id="rId31"/>
      <w:headerReference w:type="first" r:id="rId32"/>
      <w:footerReference w:type="first" r:id="rId33"/>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B2E" w:rsidRDefault="00232B2E">
      <w:r>
        <w:separator/>
      </w:r>
    </w:p>
  </w:endnote>
  <w:endnote w:type="continuationSeparator" w:id="0">
    <w:p w:rsidR="00232B2E" w:rsidRDefault="0023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E8" w:rsidRDefault="007218E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22DA7">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22DA7">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7218E8" w:rsidRDefault="007218E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E8" w:rsidRDefault="007218E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22DA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22DA7">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7218E8" w:rsidRDefault="007218E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B2E" w:rsidRDefault="00232B2E">
      <w:r>
        <w:separator/>
      </w:r>
    </w:p>
  </w:footnote>
  <w:footnote w:type="continuationSeparator" w:id="0">
    <w:p w:rsidR="00232B2E" w:rsidRDefault="00232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E8" w:rsidRDefault="00232B2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796" w:type="dxa"/>
      <w:tblInd w:w="2268" w:type="dxa"/>
      <w:tblLayout w:type="fixed"/>
      <w:tblLook w:val="0400" w:firstRow="0" w:lastRow="0" w:firstColumn="0" w:lastColumn="0" w:noHBand="0" w:noVBand="1"/>
    </w:tblPr>
    <w:tblGrid>
      <w:gridCol w:w="2693"/>
      <w:gridCol w:w="5103"/>
    </w:tblGrid>
    <w:tr w:rsidR="007218E8" w:rsidTr="007218E8">
      <w:trPr>
        <w:trHeight w:val="227"/>
      </w:trPr>
      <w:tc>
        <w:tcPr>
          <w:tcW w:w="2693" w:type="dxa"/>
        </w:tcPr>
        <w:p w:rsidR="007218E8" w:rsidRPr="0043217D" w:rsidRDefault="007218E8" w:rsidP="0043217D">
          <w:pPr>
            <w:jc w:val="right"/>
            <w:rPr>
              <w:rFonts w:ascii="Palatino Linotype" w:eastAsia="Palatino Linotype" w:hAnsi="Palatino Linotype" w:cs="Palatino Linotype"/>
              <w:b/>
            </w:rPr>
          </w:pPr>
          <w:r w:rsidRPr="0043217D">
            <w:rPr>
              <w:rFonts w:ascii="Palatino Linotype" w:eastAsia="Palatino Linotype" w:hAnsi="Palatino Linotype" w:cs="Palatino Linotype"/>
              <w:b/>
            </w:rPr>
            <w:t>Recurso de Revisión:</w:t>
          </w:r>
        </w:p>
      </w:tc>
      <w:tc>
        <w:tcPr>
          <w:tcW w:w="5103" w:type="dxa"/>
        </w:tcPr>
        <w:p w:rsidR="007218E8" w:rsidRPr="0043217D" w:rsidRDefault="007218E8" w:rsidP="007218E8">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43217D">
            <w:rPr>
              <w:rFonts w:ascii="Palatino Linotype" w:eastAsia="Palatino Linotype" w:hAnsi="Palatino Linotype" w:cs="Palatino Linotype"/>
              <w:color w:val="000000"/>
            </w:rPr>
            <w:t>02583/INFOEM/IP/RR/2025</w:t>
          </w:r>
        </w:p>
      </w:tc>
    </w:tr>
    <w:tr w:rsidR="007218E8" w:rsidTr="007218E8">
      <w:trPr>
        <w:trHeight w:val="342"/>
      </w:trPr>
      <w:tc>
        <w:tcPr>
          <w:tcW w:w="2693" w:type="dxa"/>
        </w:tcPr>
        <w:p w:rsidR="007218E8" w:rsidRPr="0043217D" w:rsidRDefault="007218E8" w:rsidP="0043217D">
          <w:pPr>
            <w:jc w:val="right"/>
            <w:rPr>
              <w:rFonts w:ascii="Palatino Linotype" w:eastAsia="Palatino Linotype" w:hAnsi="Palatino Linotype" w:cs="Palatino Linotype"/>
              <w:b/>
            </w:rPr>
          </w:pPr>
          <w:r w:rsidRPr="0043217D">
            <w:rPr>
              <w:rFonts w:ascii="Palatino Linotype" w:eastAsia="Palatino Linotype" w:hAnsi="Palatino Linotype" w:cs="Palatino Linotype"/>
              <w:b/>
            </w:rPr>
            <w:t>Sujeto Obligado:</w:t>
          </w:r>
        </w:p>
      </w:tc>
      <w:tc>
        <w:tcPr>
          <w:tcW w:w="5103" w:type="dxa"/>
        </w:tcPr>
        <w:p w:rsidR="007218E8" w:rsidRPr="0043217D" w:rsidRDefault="007218E8" w:rsidP="007218E8">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43217D">
            <w:rPr>
              <w:rFonts w:ascii="Palatino Linotype" w:eastAsia="Palatino Linotype" w:hAnsi="Palatino Linotype" w:cs="Palatino Linotype"/>
              <w:color w:val="000000"/>
            </w:rPr>
            <w:t>Sistema Municipal Para el Desarrollo Integral de la Familia de Naucalpan de Juárez</w:t>
          </w:r>
        </w:p>
      </w:tc>
    </w:tr>
    <w:tr w:rsidR="007218E8" w:rsidTr="007218E8">
      <w:trPr>
        <w:trHeight w:val="342"/>
      </w:trPr>
      <w:tc>
        <w:tcPr>
          <w:tcW w:w="2693" w:type="dxa"/>
        </w:tcPr>
        <w:p w:rsidR="007218E8" w:rsidRPr="0043217D" w:rsidRDefault="007218E8" w:rsidP="0043217D">
          <w:pPr>
            <w:jc w:val="right"/>
            <w:rPr>
              <w:rFonts w:ascii="Palatino Linotype" w:eastAsia="Palatino Linotype" w:hAnsi="Palatino Linotype" w:cs="Palatino Linotype"/>
              <w:b/>
            </w:rPr>
          </w:pPr>
          <w:r w:rsidRPr="0043217D">
            <w:rPr>
              <w:rFonts w:ascii="Palatino Linotype" w:eastAsia="Palatino Linotype" w:hAnsi="Palatino Linotype" w:cs="Palatino Linotype"/>
              <w:b/>
            </w:rPr>
            <w:t>Comisionada Ponente:</w:t>
          </w:r>
        </w:p>
      </w:tc>
      <w:tc>
        <w:tcPr>
          <w:tcW w:w="5103" w:type="dxa"/>
        </w:tcPr>
        <w:p w:rsidR="007218E8" w:rsidRPr="0043217D" w:rsidRDefault="007218E8" w:rsidP="007218E8">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43217D">
            <w:rPr>
              <w:rFonts w:ascii="Palatino Linotype" w:eastAsia="Palatino Linotype" w:hAnsi="Palatino Linotype" w:cs="Palatino Linotype"/>
              <w:color w:val="000000"/>
            </w:rPr>
            <w:t>María del Rosario Mejía Ayala</w:t>
          </w:r>
        </w:p>
      </w:tc>
    </w:tr>
  </w:tbl>
  <w:p w:rsidR="007218E8" w:rsidRDefault="00232B2E">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2.1pt;margin-top:-118.25pt;width:609.4pt;height:793.75pt;z-index:-251659776;mso-position-horizontal-relative:margin;mso-position-vertical-relative:margin">
          <v:imagedata r:id="rId1" o:title="image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7938" w:type="dxa"/>
      <w:tblInd w:w="2410" w:type="dxa"/>
      <w:tblLayout w:type="fixed"/>
      <w:tblLook w:val="0400" w:firstRow="0" w:lastRow="0" w:firstColumn="0" w:lastColumn="0" w:noHBand="0" w:noVBand="1"/>
    </w:tblPr>
    <w:tblGrid>
      <w:gridCol w:w="2693"/>
      <w:gridCol w:w="5245"/>
    </w:tblGrid>
    <w:tr w:rsidR="007218E8" w:rsidTr="007218E8">
      <w:trPr>
        <w:trHeight w:val="227"/>
      </w:trPr>
      <w:tc>
        <w:tcPr>
          <w:tcW w:w="2693" w:type="dxa"/>
        </w:tcPr>
        <w:p w:rsidR="007218E8" w:rsidRPr="00033ED5" w:rsidRDefault="007218E8" w:rsidP="00033ED5">
          <w:pPr>
            <w:jc w:val="right"/>
            <w:rPr>
              <w:rFonts w:ascii="Palatino Linotype" w:eastAsia="Palatino Linotype" w:hAnsi="Palatino Linotype" w:cs="Palatino Linotype"/>
              <w:b/>
            </w:rPr>
          </w:pPr>
          <w:r w:rsidRPr="00033ED5">
            <w:rPr>
              <w:rFonts w:ascii="Palatino Linotype" w:eastAsia="Palatino Linotype" w:hAnsi="Palatino Linotype" w:cs="Palatino Linotype"/>
              <w:b/>
            </w:rPr>
            <w:t>Recurso de Revisión:</w:t>
          </w:r>
        </w:p>
      </w:tc>
      <w:tc>
        <w:tcPr>
          <w:tcW w:w="5245" w:type="dxa"/>
        </w:tcPr>
        <w:p w:rsidR="007218E8" w:rsidRPr="00033ED5" w:rsidRDefault="007218E8" w:rsidP="007218E8">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033ED5">
            <w:rPr>
              <w:rFonts w:ascii="Palatino Linotype" w:eastAsia="Palatino Linotype" w:hAnsi="Palatino Linotype" w:cs="Palatino Linotype"/>
              <w:color w:val="000000"/>
            </w:rPr>
            <w:t>02583/INFOEM/IP/RR/2025</w:t>
          </w:r>
        </w:p>
      </w:tc>
    </w:tr>
    <w:tr w:rsidR="007218E8" w:rsidTr="007218E8">
      <w:trPr>
        <w:trHeight w:val="242"/>
      </w:trPr>
      <w:tc>
        <w:tcPr>
          <w:tcW w:w="2693" w:type="dxa"/>
        </w:tcPr>
        <w:p w:rsidR="007218E8" w:rsidRPr="00033ED5" w:rsidRDefault="007218E8" w:rsidP="00033ED5">
          <w:pPr>
            <w:jc w:val="right"/>
            <w:rPr>
              <w:rFonts w:ascii="Palatino Linotype" w:eastAsia="Palatino Linotype" w:hAnsi="Palatino Linotype" w:cs="Palatino Linotype"/>
              <w:b/>
            </w:rPr>
          </w:pPr>
          <w:r w:rsidRPr="00033ED5">
            <w:rPr>
              <w:rFonts w:ascii="Palatino Linotype" w:eastAsia="Palatino Linotype" w:hAnsi="Palatino Linotype" w:cs="Palatino Linotype"/>
              <w:b/>
            </w:rPr>
            <w:t>Recurrente:</w:t>
          </w:r>
        </w:p>
      </w:tc>
      <w:tc>
        <w:tcPr>
          <w:tcW w:w="5245" w:type="dxa"/>
        </w:tcPr>
        <w:p w:rsidR="007218E8" w:rsidRPr="00033ED5" w:rsidRDefault="007E6FBE" w:rsidP="007218E8">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7218E8" w:rsidTr="007218E8">
      <w:trPr>
        <w:trHeight w:val="342"/>
      </w:trPr>
      <w:tc>
        <w:tcPr>
          <w:tcW w:w="2693" w:type="dxa"/>
        </w:tcPr>
        <w:p w:rsidR="007218E8" w:rsidRPr="00033ED5" w:rsidRDefault="007218E8" w:rsidP="00033ED5">
          <w:pPr>
            <w:jc w:val="right"/>
            <w:rPr>
              <w:rFonts w:ascii="Palatino Linotype" w:eastAsia="Palatino Linotype" w:hAnsi="Palatino Linotype" w:cs="Palatino Linotype"/>
              <w:b/>
            </w:rPr>
          </w:pPr>
          <w:r w:rsidRPr="00033ED5">
            <w:rPr>
              <w:rFonts w:ascii="Palatino Linotype" w:eastAsia="Palatino Linotype" w:hAnsi="Palatino Linotype" w:cs="Palatino Linotype"/>
              <w:b/>
            </w:rPr>
            <w:t>Sujeto Obligado:</w:t>
          </w:r>
        </w:p>
      </w:tc>
      <w:tc>
        <w:tcPr>
          <w:tcW w:w="5245" w:type="dxa"/>
        </w:tcPr>
        <w:p w:rsidR="007218E8" w:rsidRPr="00033ED5" w:rsidRDefault="007218E8" w:rsidP="007218E8">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033ED5">
            <w:rPr>
              <w:rFonts w:ascii="Palatino Linotype" w:eastAsia="Palatino Linotype" w:hAnsi="Palatino Linotype" w:cs="Palatino Linotype"/>
              <w:color w:val="000000"/>
            </w:rPr>
            <w:t>Sistema Municipal Para el Desarrollo Integral de la Familia de Naucalpan de Juárez</w:t>
          </w:r>
        </w:p>
      </w:tc>
    </w:tr>
    <w:tr w:rsidR="007218E8" w:rsidTr="007218E8">
      <w:trPr>
        <w:trHeight w:val="342"/>
      </w:trPr>
      <w:tc>
        <w:tcPr>
          <w:tcW w:w="2693" w:type="dxa"/>
        </w:tcPr>
        <w:p w:rsidR="007218E8" w:rsidRPr="00033ED5" w:rsidRDefault="007218E8" w:rsidP="00033ED5">
          <w:pPr>
            <w:jc w:val="right"/>
            <w:rPr>
              <w:rFonts w:ascii="Palatino Linotype" w:eastAsia="Palatino Linotype" w:hAnsi="Palatino Linotype" w:cs="Palatino Linotype"/>
              <w:b/>
            </w:rPr>
          </w:pPr>
          <w:r w:rsidRPr="00033ED5">
            <w:rPr>
              <w:rFonts w:ascii="Palatino Linotype" w:eastAsia="Palatino Linotype" w:hAnsi="Palatino Linotype" w:cs="Palatino Linotype"/>
              <w:b/>
            </w:rPr>
            <w:t>Comisionada Ponente:</w:t>
          </w:r>
        </w:p>
      </w:tc>
      <w:tc>
        <w:tcPr>
          <w:tcW w:w="5245" w:type="dxa"/>
        </w:tcPr>
        <w:p w:rsidR="007218E8" w:rsidRPr="00033ED5" w:rsidRDefault="007218E8" w:rsidP="007218E8">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033ED5">
            <w:rPr>
              <w:rFonts w:ascii="Palatino Linotype" w:eastAsia="Palatino Linotype" w:hAnsi="Palatino Linotype" w:cs="Palatino Linotype"/>
              <w:color w:val="000000"/>
            </w:rPr>
            <w:t>María del Rosario Mejía Ayala</w:t>
          </w:r>
        </w:p>
      </w:tc>
    </w:tr>
  </w:tbl>
  <w:p w:rsidR="007218E8" w:rsidRDefault="00232B2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52301"/>
    <w:multiLevelType w:val="hybridMultilevel"/>
    <w:tmpl w:val="3B4EA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E6087B"/>
    <w:multiLevelType w:val="multilevel"/>
    <w:tmpl w:val="141E227A"/>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 w15:restartNumberingAfterBreak="0">
    <w:nsid w:val="08C3607E"/>
    <w:multiLevelType w:val="multilevel"/>
    <w:tmpl w:val="3AC86E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D46EE"/>
    <w:multiLevelType w:val="multilevel"/>
    <w:tmpl w:val="9BB01698"/>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4" w15:restartNumberingAfterBreak="0">
    <w:nsid w:val="2995670A"/>
    <w:multiLevelType w:val="multilevel"/>
    <w:tmpl w:val="8BE8CEF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C96354B"/>
    <w:multiLevelType w:val="multilevel"/>
    <w:tmpl w:val="627E065A"/>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8431FB"/>
    <w:multiLevelType w:val="multilevel"/>
    <w:tmpl w:val="6E8C57E4"/>
    <w:lvl w:ilvl="0">
      <w:start w:val="1"/>
      <w:numFmt w:val="decimal"/>
      <w:pStyle w:val="Listaconvietas2"/>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83E321E"/>
    <w:multiLevelType w:val="multilevel"/>
    <w:tmpl w:val="B46E79C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 w15:restartNumberingAfterBreak="0">
    <w:nsid w:val="55060CF8"/>
    <w:multiLevelType w:val="multilevel"/>
    <w:tmpl w:val="8F50873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7"/>
  </w:num>
  <w:num w:numId="2">
    <w:abstractNumId w:val="5"/>
  </w:num>
  <w:num w:numId="3">
    <w:abstractNumId w:val="2"/>
  </w:num>
  <w:num w:numId="4">
    <w:abstractNumId w:val="8"/>
  </w:num>
  <w:num w:numId="5">
    <w:abstractNumId w:val="6"/>
  </w:num>
  <w:num w:numId="6">
    <w:abstractNumId w:val="4"/>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71"/>
    <w:rsid w:val="00033ED5"/>
    <w:rsid w:val="00074990"/>
    <w:rsid w:val="00232B2E"/>
    <w:rsid w:val="0043217D"/>
    <w:rsid w:val="004419C7"/>
    <w:rsid w:val="006B20CC"/>
    <w:rsid w:val="007218E8"/>
    <w:rsid w:val="00722DA7"/>
    <w:rsid w:val="00745127"/>
    <w:rsid w:val="007E6FBE"/>
    <w:rsid w:val="00987109"/>
    <w:rsid w:val="00B628D2"/>
    <w:rsid w:val="00CB0B71"/>
    <w:rsid w:val="00F87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8DC73E8-F705-4304-B640-1DD1732C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character" w:customStyle="1" w:styleId="PuestoCar">
    <w:name w:val="Puesto Car"/>
    <w:aliases w:val="Cita textual Car"/>
    <w:basedOn w:val="Fuentedeprrafopredeter"/>
    <w:uiPriority w:val="10"/>
    <w:rsid w:val="007A0983"/>
    <w:rPr>
      <w:rFonts w:eastAsiaTheme="minorEastAsia"/>
      <w:b/>
      <w:sz w:val="72"/>
      <w:szCs w:val="72"/>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iputados.gob.mx/LeyesBiblio/pdf/LGDNNA.pdf" TargetMode="External"/><Relationship Id="rId3" Type="http://schemas.openxmlformats.org/officeDocument/2006/relationships/numbering" Target="numbering.xml"/><Relationship Id="rId21" Type="http://schemas.openxmlformats.org/officeDocument/2006/relationships/hyperlink" Target="http://www.diputados.gob.mx/documentos/N_Acta_Nacimiento.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ecogem.gob.mx/constancia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cedulaprofesional.sep.gob.mx/cedula/presidencia/indexAvanzada.action" TargetMode="External"/><Relationship Id="rId10" Type="http://schemas.openxmlformats.org/officeDocument/2006/relationships/image" Target="media/image2.png"/><Relationship Id="rId19" Type="http://schemas.openxmlformats.org/officeDocument/2006/relationships/hyperlink" Target="https://ipomex.org.mx/ipomex/"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ne.mx/wp-content/uploads/2022/10/DERFEABCCREDENCIAL2022.pdf" TargetMode="External"/><Relationship Id="rId27" Type="http://schemas.openxmlformats.org/officeDocument/2006/relationships/hyperlink" Target="http://consultatucedula.mx/"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Ut87J1hctkf8kyD5E+RLCOYzg==">CgMxLjAyCGguZ2pkZ3hzMgloLjMwajB6bGwyCWguMWZvYjl0ZTIJaC4zem55c2g3MgloLjJldDkycDAyCWguMXQzaDVzZjIOaC5vbXBzNm4yMGR2YnEyCWguMjZpbjFyZzIIaC5sbnhiejk4AHIhMUFvMmN2VEZwMmtPQUFDZHgyZnRLNHEteVFobEdpSFNi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A2B6A1-3852-4269-B694-C1A9A631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55</Pages>
  <Words>12870</Words>
  <Characters>70785</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7</cp:revision>
  <cp:lastPrinted>2025-08-14T22:01:00Z</cp:lastPrinted>
  <dcterms:created xsi:type="dcterms:W3CDTF">2025-08-05T17:27:00Z</dcterms:created>
  <dcterms:modified xsi:type="dcterms:W3CDTF">2025-08-20T22:47:00Z</dcterms:modified>
</cp:coreProperties>
</file>