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C13D0" w14:textId="24B53DDE" w:rsidR="00317504" w:rsidRPr="00F444C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sidR="00BE026B">
        <w:rPr>
          <w:rFonts w:ascii="Palatino Linotype" w:hAnsi="Palatino Linotype" w:cs="Palatino Linotype"/>
          <w:color w:val="000000"/>
          <w:lang w:val="es-ES_tradnl"/>
        </w:rPr>
        <w:t xml:space="preserve">dos de julio de dos mil veinticinco. </w:t>
      </w:r>
    </w:p>
    <w:p w14:paraId="39F0FA44"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7326A08F" w14:textId="597618A5" w:rsidR="00BE026B" w:rsidRPr="00BE026B" w:rsidRDefault="00317504" w:rsidP="00317504">
      <w:pPr>
        <w:spacing w:line="360" w:lineRule="auto"/>
        <w:contextualSpacing/>
        <w:jc w:val="both"/>
        <w:rPr>
          <w:rFonts w:ascii="Palatino Linotype" w:hAnsi="Palatino Linotype" w:cs="Palatino Linotype"/>
          <w:bCs/>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electrónico formado con motivo del recurso de revisión número </w:t>
      </w:r>
      <w:bookmarkStart w:id="0" w:name="_GoBack"/>
      <w:r w:rsidR="00FF3D07">
        <w:rPr>
          <w:rFonts w:ascii="Palatino Linotype" w:hAnsi="Palatino Linotype" w:cs="Palatino Linotype"/>
          <w:b/>
          <w:color w:val="000000"/>
          <w:lang w:val="es-ES_tradnl"/>
        </w:rPr>
        <w:t>0</w:t>
      </w:r>
      <w:r w:rsidR="00BE026B">
        <w:rPr>
          <w:rFonts w:ascii="Palatino Linotype" w:hAnsi="Palatino Linotype" w:cs="Palatino Linotype"/>
          <w:b/>
          <w:color w:val="000000"/>
          <w:lang w:val="es-ES_tradnl"/>
        </w:rPr>
        <w:t>2185/INFOEM/IP/RR/2025</w:t>
      </w:r>
      <w:bookmarkEnd w:id="0"/>
      <w:r w:rsidR="00BE026B">
        <w:rPr>
          <w:rFonts w:ascii="Palatino Linotype" w:hAnsi="Palatino Linotype" w:cs="Palatino Linotype"/>
          <w:b/>
          <w:color w:val="000000"/>
          <w:lang w:val="es-ES_tradnl"/>
        </w:rPr>
        <w:t xml:space="preserve">, </w:t>
      </w:r>
      <w:r w:rsidR="00BE026B">
        <w:rPr>
          <w:rFonts w:ascii="Palatino Linotype" w:hAnsi="Palatino Linotype" w:cs="Palatino Linotype"/>
          <w:bCs/>
          <w:color w:val="000000"/>
          <w:lang w:val="es-ES_tradnl"/>
        </w:rPr>
        <w:t xml:space="preserve">interpuesto por la </w:t>
      </w:r>
      <w:r w:rsidR="00BE026B">
        <w:rPr>
          <w:rFonts w:ascii="Palatino Linotype" w:hAnsi="Palatino Linotype" w:cs="Palatino Linotype"/>
          <w:b/>
          <w:color w:val="000000"/>
          <w:lang w:val="es-ES_tradnl"/>
        </w:rPr>
        <w:t xml:space="preserve">C. </w:t>
      </w:r>
      <w:r w:rsidR="00980E54">
        <w:rPr>
          <w:rFonts w:ascii="Palatino Linotype" w:hAnsi="Palatino Linotype" w:cs="Palatino Linotype"/>
          <w:b/>
          <w:color w:val="000000"/>
          <w:lang w:val="es-ES_tradnl"/>
        </w:rPr>
        <w:t>XXXXXXXXXXXXXXXXXXXXXXXX</w:t>
      </w:r>
      <w:r w:rsidR="00BE026B">
        <w:rPr>
          <w:rFonts w:ascii="Palatino Linotype" w:hAnsi="Palatino Linotype" w:cs="Palatino Linotype"/>
          <w:b/>
          <w:color w:val="000000"/>
          <w:lang w:val="es-ES_tradnl"/>
        </w:rPr>
        <w:t xml:space="preserve">, </w:t>
      </w:r>
      <w:r w:rsidR="00BE026B">
        <w:rPr>
          <w:rFonts w:ascii="Palatino Linotype" w:hAnsi="Palatino Linotype" w:cs="Palatino Linotype"/>
          <w:bCs/>
          <w:color w:val="000000"/>
          <w:lang w:val="es-ES_tradnl"/>
        </w:rPr>
        <w:t xml:space="preserve">en lo sucesivo </w:t>
      </w:r>
      <w:r w:rsidR="00BE026B">
        <w:rPr>
          <w:rFonts w:ascii="Palatino Linotype" w:hAnsi="Palatino Linotype" w:cs="Palatino Linotype"/>
          <w:b/>
          <w:color w:val="000000"/>
          <w:lang w:val="es-ES_tradnl"/>
        </w:rPr>
        <w:t xml:space="preserve">La Recurrente, </w:t>
      </w:r>
      <w:r w:rsidR="00BE026B">
        <w:rPr>
          <w:rFonts w:ascii="Palatino Linotype" w:hAnsi="Palatino Linotype" w:cs="Palatino Linotype"/>
          <w:bCs/>
          <w:color w:val="000000"/>
          <w:lang w:val="es-ES_tradnl"/>
        </w:rPr>
        <w:t xml:space="preserve">en contra de la respuesta del </w:t>
      </w:r>
      <w:r w:rsidR="00BE026B">
        <w:rPr>
          <w:rFonts w:ascii="Palatino Linotype" w:hAnsi="Palatino Linotype" w:cs="Palatino Linotype"/>
          <w:b/>
          <w:color w:val="000000"/>
          <w:lang w:val="es-ES_tradnl"/>
        </w:rPr>
        <w:t xml:space="preserve">Sistema de Autopistas, Aeropuertos, Servicios Conexos y Auxiliares del Estado de México, </w:t>
      </w:r>
      <w:r w:rsidR="00BE026B">
        <w:rPr>
          <w:rFonts w:ascii="Palatino Linotype" w:hAnsi="Palatino Linotype" w:cs="Palatino Linotype"/>
          <w:bCs/>
          <w:color w:val="000000"/>
          <w:lang w:val="es-ES_tradnl"/>
        </w:rPr>
        <w:t xml:space="preserve">en lo subsecuente </w:t>
      </w:r>
      <w:r w:rsidR="00BE026B">
        <w:rPr>
          <w:rFonts w:ascii="Palatino Linotype" w:hAnsi="Palatino Linotype" w:cs="Palatino Linotype"/>
          <w:b/>
          <w:color w:val="000000"/>
          <w:lang w:val="es-ES_tradnl"/>
        </w:rPr>
        <w:t xml:space="preserve">El Sujeto Obligado, </w:t>
      </w:r>
      <w:r w:rsidR="00BE026B">
        <w:rPr>
          <w:rFonts w:ascii="Palatino Linotype" w:hAnsi="Palatino Linotype" w:cs="Palatino Linotype"/>
          <w:bCs/>
          <w:color w:val="000000"/>
          <w:lang w:val="es-ES_tradnl"/>
        </w:rPr>
        <w:t xml:space="preserve">se procede a dictar la presente resolución. </w:t>
      </w:r>
    </w:p>
    <w:p w14:paraId="2CB7A4AA" w14:textId="77777777" w:rsidR="00BE026B" w:rsidRPr="00BE026B" w:rsidRDefault="00BE026B" w:rsidP="00317504">
      <w:pPr>
        <w:spacing w:line="360" w:lineRule="auto"/>
        <w:contextualSpacing/>
        <w:jc w:val="both"/>
        <w:rPr>
          <w:rFonts w:ascii="Palatino Linotype" w:hAnsi="Palatino Linotype" w:cs="Palatino Linotype"/>
          <w:b/>
          <w:color w:val="000000"/>
          <w:lang w:val="es-ES_tradnl"/>
        </w:rPr>
      </w:pPr>
    </w:p>
    <w:p w14:paraId="5E203993" w14:textId="77777777" w:rsidR="00BE026B" w:rsidRDefault="00BE026B" w:rsidP="00317504">
      <w:pPr>
        <w:spacing w:line="360" w:lineRule="auto"/>
        <w:contextualSpacing/>
        <w:jc w:val="both"/>
        <w:rPr>
          <w:rFonts w:ascii="Palatino Linotype" w:hAnsi="Palatino Linotype" w:cs="Palatino Linotype"/>
          <w:b/>
          <w:color w:val="000000"/>
          <w:lang w:val="es-ES_tradnl"/>
        </w:rPr>
      </w:pPr>
    </w:p>
    <w:p w14:paraId="3F9D4746" w14:textId="77777777" w:rsidR="00317504" w:rsidRPr="00F444C4" w:rsidRDefault="00317504" w:rsidP="00317504">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0FC422CC" w14:textId="77777777" w:rsidR="00317504" w:rsidRPr="00F444C4" w:rsidRDefault="00317504" w:rsidP="00317504">
      <w:pPr>
        <w:spacing w:line="360" w:lineRule="auto"/>
        <w:contextualSpacing/>
        <w:jc w:val="both"/>
        <w:rPr>
          <w:rFonts w:ascii="Palatino Linotype" w:hAnsi="Palatino Linotype" w:cs="Palatino Linotype"/>
          <w:color w:val="000000"/>
          <w:lang w:val="es-ES_tradnl"/>
        </w:rPr>
      </w:pPr>
    </w:p>
    <w:p w14:paraId="7277A1D5" w14:textId="77777777" w:rsidR="00317504" w:rsidRPr="00F444C4" w:rsidRDefault="00317504" w:rsidP="00317504">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0DC5F388" w14:textId="60C205ED" w:rsidR="00BE026B" w:rsidRDefault="00317504" w:rsidP="00317504">
      <w:pPr>
        <w:spacing w:line="360" w:lineRule="auto"/>
        <w:contextualSpacing/>
        <w:jc w:val="both"/>
        <w:rPr>
          <w:rFonts w:ascii="Palatino Linotype" w:hAnsi="Palatino Linotype" w:cs="Palatino Linotype"/>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w:t>
      </w:r>
      <w:r w:rsidR="00BE026B">
        <w:rPr>
          <w:rFonts w:ascii="Palatino Linotype" w:hAnsi="Palatino Linotype" w:cs="Palatino Linotype"/>
          <w:b/>
          <w:bCs/>
          <w:color w:val="000000"/>
          <w:lang w:val="es-ES_tradnl"/>
        </w:rPr>
        <w:t xml:space="preserve">veintitrés de enero de dos mil veinticinco, La Recurrente </w:t>
      </w:r>
      <w:r w:rsidR="00BE026B" w:rsidRPr="00F444C4">
        <w:rPr>
          <w:rFonts w:ascii="Palatino Linotype" w:hAnsi="Palatino Linotype" w:cs="Palatino Linotype"/>
          <w:color w:val="000000"/>
          <w:lang w:val="es-ES_tradnl"/>
        </w:rPr>
        <w:t>presentó mediante el Sistema de Acceso a la Información Mexiquense (</w:t>
      </w:r>
      <w:r w:rsidR="00BE026B" w:rsidRPr="005A57E6">
        <w:rPr>
          <w:rFonts w:ascii="Palatino Linotype" w:hAnsi="Palatino Linotype" w:cs="Palatino Linotype"/>
          <w:b/>
          <w:color w:val="000000"/>
          <w:lang w:val="es-ES_tradnl"/>
        </w:rPr>
        <w:t>SAIMEX</w:t>
      </w:r>
      <w:r w:rsidR="00BE026B" w:rsidRPr="00F444C4">
        <w:rPr>
          <w:rFonts w:ascii="Palatino Linotype" w:hAnsi="Palatino Linotype" w:cs="Palatino Linotype"/>
          <w:color w:val="000000"/>
          <w:lang w:val="es-ES_tradnl"/>
        </w:rPr>
        <w:t xml:space="preserve">), solicitud de información registrada con el número de </w:t>
      </w:r>
      <w:r w:rsidR="00BE026B" w:rsidRPr="00F444C4">
        <w:rPr>
          <w:rFonts w:ascii="Palatino Linotype" w:hAnsi="Palatino Linotype" w:cs="Palatino Linotype"/>
          <w:lang w:val="es-ES_tradnl"/>
        </w:rPr>
        <w:t>expediente</w:t>
      </w:r>
      <w:r w:rsidR="00BE026B">
        <w:rPr>
          <w:rFonts w:ascii="Palatino Linotype" w:hAnsi="Palatino Linotype" w:cs="Palatino Linotype"/>
          <w:lang w:val="es-ES_tradnl"/>
        </w:rPr>
        <w:t xml:space="preserve"> </w:t>
      </w:r>
      <w:r w:rsidR="00BE026B">
        <w:rPr>
          <w:rFonts w:ascii="Palatino Linotype" w:hAnsi="Palatino Linotype" w:cs="Palatino Linotype"/>
          <w:b/>
          <w:bCs/>
          <w:lang w:val="es-ES_tradnl"/>
        </w:rPr>
        <w:t xml:space="preserve">00005/SAASCAEM/IP/2025, </w:t>
      </w:r>
      <w:r w:rsidR="00BE026B">
        <w:rPr>
          <w:rFonts w:ascii="Palatino Linotype" w:hAnsi="Palatino Linotype" w:cs="Palatino Linotype"/>
          <w:lang w:val="es-ES_tradnl"/>
        </w:rPr>
        <w:t>mediante la cual solicitó información en el tenor siguiente:</w:t>
      </w:r>
    </w:p>
    <w:p w14:paraId="1E745260" w14:textId="4AE3343B" w:rsidR="00BE026B" w:rsidRPr="00BE026B" w:rsidRDefault="00BE026B" w:rsidP="00BE026B">
      <w:pPr>
        <w:pStyle w:val="Style1"/>
        <w:rPr>
          <w:b/>
          <w:bCs/>
        </w:rPr>
      </w:pPr>
      <w:r>
        <w:t>“</w:t>
      </w:r>
      <w:r w:rsidRPr="00BE026B">
        <w:t xml:space="preserve">Solicito respetuosamente se me proporcione copia del Estudio de Impacto Urbano que la empresa </w:t>
      </w:r>
      <w:proofErr w:type="spellStart"/>
      <w:r w:rsidRPr="00BE026B">
        <w:t>Anesa</w:t>
      </w:r>
      <w:proofErr w:type="spellEnd"/>
      <w:r w:rsidRPr="00BE026B">
        <w:t xml:space="preserve"> Holding S.A. de C.V. debió someter a dictamen ante la Secretaría de Desarrollo Urbano y Vivienda de la Ciudad de México (SEDUVI) con motivo de la construcción de la obra denominada </w:t>
      </w:r>
      <w:proofErr w:type="spellStart"/>
      <w:r w:rsidRPr="00BE026B">
        <w:t>Macrolibramiento</w:t>
      </w:r>
      <w:proofErr w:type="spellEnd"/>
      <w:r w:rsidRPr="00BE026B">
        <w:t xml:space="preserve"> Mexiquense, así como el dictamen emitido por esta Secretaría como resultado de dicho análisis. El </w:t>
      </w:r>
      <w:proofErr w:type="spellStart"/>
      <w:r w:rsidRPr="00BE026B">
        <w:lastRenderedPageBreak/>
        <w:t>Macrolibramiento</w:t>
      </w:r>
      <w:proofErr w:type="spellEnd"/>
      <w:r w:rsidRPr="00BE026B">
        <w:t xml:space="preserve"> Mexiquense es una obra que actualmente se construye sobre Calzada de las Armas en la zona limítrofe del municipio de Naucalpan y la </w:t>
      </w:r>
      <w:proofErr w:type="spellStart"/>
      <w:r w:rsidRPr="00BE026B">
        <w:t>Alcaldia</w:t>
      </w:r>
      <w:proofErr w:type="spellEnd"/>
      <w:r w:rsidRPr="00BE026B">
        <w:t xml:space="preserve"> Azcapotzalco</w:t>
      </w:r>
      <w:r>
        <w:t xml:space="preserve">” </w:t>
      </w:r>
      <w:r>
        <w:rPr>
          <w:b/>
          <w:bCs/>
        </w:rPr>
        <w:t>(Sic)</w:t>
      </w:r>
    </w:p>
    <w:p w14:paraId="7AC3EFAF" w14:textId="0B8E2B01" w:rsidR="00317504" w:rsidRDefault="00317504" w:rsidP="00317504">
      <w:pPr>
        <w:spacing w:line="360" w:lineRule="auto"/>
        <w:contextualSpacing/>
        <w:jc w:val="both"/>
        <w:rPr>
          <w:rFonts w:ascii="Palatino Linotype" w:hAnsi="Palatino Linotype" w:cs="Palatino Linotype"/>
          <w:color w:val="000000"/>
          <w:lang w:val="es-ES_tradnl"/>
        </w:rPr>
      </w:pPr>
      <w:r w:rsidRPr="00BE026B">
        <w:rPr>
          <w:rFonts w:ascii="Palatino Linotype" w:hAnsi="Palatino Linotype" w:cs="Palatino Linotype"/>
          <w:b/>
          <w:bCs/>
          <w:color w:val="000000"/>
          <w:lang w:val="es-ES_tradnl"/>
        </w:rPr>
        <w:t>Modalidad de entrega:</w:t>
      </w:r>
      <w:r w:rsidRPr="00F444C4">
        <w:rPr>
          <w:rFonts w:ascii="Palatino Linotype" w:hAnsi="Palatino Linotype" w:cs="Palatino Linotype"/>
          <w:color w:val="000000"/>
          <w:lang w:val="es-ES_tradnl"/>
        </w:rPr>
        <w:t xml:space="preserve"> </w:t>
      </w:r>
      <w:r w:rsidRPr="00BE026B">
        <w:rPr>
          <w:rFonts w:ascii="Palatino Linotype" w:hAnsi="Palatino Linotype" w:cs="Palatino Linotype"/>
          <w:bCs/>
          <w:color w:val="000000"/>
          <w:lang w:val="es-ES_tradnl"/>
        </w:rPr>
        <w:t>A través del SAIMEX</w:t>
      </w:r>
      <w:r w:rsidR="00BE026B">
        <w:rPr>
          <w:rFonts w:ascii="Palatino Linotype" w:hAnsi="Palatino Linotype" w:cs="Palatino Linotype"/>
          <w:bCs/>
          <w:color w:val="000000"/>
          <w:lang w:val="es-ES_tradnl"/>
        </w:rPr>
        <w:t xml:space="preserve">. </w:t>
      </w:r>
    </w:p>
    <w:p w14:paraId="49CF0F2D" w14:textId="77777777" w:rsidR="00317504" w:rsidRPr="00306B1E" w:rsidRDefault="00317504" w:rsidP="00317504">
      <w:pPr>
        <w:spacing w:line="360" w:lineRule="auto"/>
        <w:contextualSpacing/>
        <w:jc w:val="both"/>
        <w:rPr>
          <w:rFonts w:ascii="Palatino Linotype" w:hAnsi="Palatino Linotype" w:cs="Palatino Linotype"/>
          <w:b/>
          <w:color w:val="000000"/>
          <w:lang w:val="es-ES_tradnl"/>
        </w:rPr>
      </w:pPr>
    </w:p>
    <w:p w14:paraId="0EC664BE" w14:textId="77777777" w:rsidR="00BE026B" w:rsidRDefault="00BE026B" w:rsidP="00BE026B">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t xml:space="preserve">SEGUNDO. </w:t>
      </w:r>
      <w:r>
        <w:rPr>
          <w:rFonts w:ascii="Palatino Linotype" w:hAnsi="Palatino Linotype" w:cs="Arial"/>
          <w:b/>
          <w:sz w:val="28"/>
        </w:rPr>
        <w:t xml:space="preserve">De la prórroga del Sujeto Obligado. </w:t>
      </w:r>
    </w:p>
    <w:p w14:paraId="6C13812C" w14:textId="14D9A71F" w:rsidR="00BE026B" w:rsidRPr="001D3E11" w:rsidRDefault="00BE026B" w:rsidP="00BE026B">
      <w:pPr>
        <w:spacing w:before="240" w:line="360" w:lineRule="auto"/>
        <w:jc w:val="both"/>
        <w:rPr>
          <w:rFonts w:ascii="Palatino Linotype" w:hAnsi="Palatino Linotype" w:cs="Arial"/>
          <w:b/>
          <w:bCs/>
        </w:rPr>
      </w:pPr>
      <w:r w:rsidRPr="00441692">
        <w:rPr>
          <w:rFonts w:ascii="Palatino Linotype" w:hAnsi="Palatino Linotype" w:cs="Arial"/>
        </w:rPr>
        <w:t>De las constancias que obra</w:t>
      </w:r>
      <w:r>
        <w:rPr>
          <w:rFonts w:ascii="Palatino Linotype" w:hAnsi="Palatino Linotype" w:cs="Arial"/>
        </w:rPr>
        <w:t>n</w:t>
      </w:r>
      <w:r w:rsidRPr="00441692">
        <w:rPr>
          <w:rFonts w:ascii="Palatino Linotype" w:hAnsi="Palatino Linotype" w:cs="Arial"/>
        </w:rPr>
        <w:t xml:space="preserve"> en </w:t>
      </w:r>
      <w:r>
        <w:rPr>
          <w:rFonts w:ascii="Palatino Linotype" w:hAnsi="Palatino Linotype" w:cs="Arial"/>
        </w:rPr>
        <w:t xml:space="preserve">los expedientes electrónicos del </w:t>
      </w:r>
      <w:r>
        <w:rPr>
          <w:rFonts w:ascii="Palatino Linotype" w:hAnsi="Palatino Linotype" w:cs="Arial"/>
          <w:b/>
        </w:rPr>
        <w:t xml:space="preserve">SAIMEX, </w:t>
      </w:r>
      <w:r>
        <w:rPr>
          <w:rFonts w:ascii="Palatino Linotype" w:hAnsi="Palatino Linotype" w:cs="Arial"/>
        </w:rPr>
        <w:t xml:space="preserve">se advierte que en fecha </w:t>
      </w:r>
      <w:r>
        <w:rPr>
          <w:rFonts w:ascii="Palatino Linotype" w:hAnsi="Palatino Linotype" w:cs="Arial"/>
          <w:b/>
          <w:bCs/>
        </w:rPr>
        <w:t xml:space="preserve">doce de febrero de dos mil veinticinco, El Sujeto Obligado </w:t>
      </w:r>
      <w:r>
        <w:rPr>
          <w:rFonts w:ascii="Palatino Linotype" w:hAnsi="Palatino Linotype" w:cs="Arial"/>
        </w:rPr>
        <w:t xml:space="preserve">solicitó prórroga de siete días para recabar la información solicitada y dar cumplimiento a lo requerido por </w:t>
      </w:r>
      <w:r>
        <w:rPr>
          <w:rFonts w:ascii="Palatino Linotype" w:hAnsi="Palatino Linotype" w:cs="Arial"/>
          <w:b/>
          <w:bCs/>
        </w:rPr>
        <w:t xml:space="preserve">La Recurrente, </w:t>
      </w:r>
      <w:r>
        <w:rPr>
          <w:rFonts w:ascii="Palatino Linotype" w:hAnsi="Palatino Linotype" w:cs="Arial"/>
        </w:rPr>
        <w:t xml:space="preserve">advirtiendo que dicha prórroga </w:t>
      </w:r>
      <w:r>
        <w:rPr>
          <w:rFonts w:ascii="Palatino Linotype" w:hAnsi="Palatino Linotype" w:cs="Arial"/>
          <w:b/>
          <w:bCs/>
        </w:rPr>
        <w:t xml:space="preserve">NO </w:t>
      </w:r>
      <w:r>
        <w:rPr>
          <w:rFonts w:ascii="Palatino Linotype" w:hAnsi="Palatino Linotype" w:cs="Arial"/>
        </w:rPr>
        <w:t xml:space="preserve">cumple con lo </w:t>
      </w:r>
      <w:r>
        <w:rPr>
          <w:rFonts w:ascii="Palatino Linotype" w:hAnsi="Palatino Linotype"/>
        </w:rPr>
        <w:t xml:space="preserve">establecido </w:t>
      </w:r>
      <w:r w:rsidRPr="00441692">
        <w:rPr>
          <w:rFonts w:ascii="Palatino Linotype" w:hAnsi="Palatino Linotype"/>
        </w:rPr>
        <w:t xml:space="preserve">en el artículo 49, fracción II, así como en el artículo 163 segundo párrafo, de la </w:t>
      </w:r>
      <w:r w:rsidRPr="00441692">
        <w:rPr>
          <w:rFonts w:ascii="Palatino Linotype" w:hAnsi="Palatino Linotype" w:cs="Arial"/>
        </w:rPr>
        <w:t>Ley de Transparencia y Acceso a la Información Pública del Estado de México y Municipios.</w:t>
      </w:r>
    </w:p>
    <w:p w14:paraId="11D48CC7" w14:textId="77777777" w:rsidR="00BE026B" w:rsidRPr="00BE026B" w:rsidRDefault="00BE026B" w:rsidP="00317504">
      <w:pPr>
        <w:spacing w:line="360" w:lineRule="auto"/>
        <w:contextualSpacing/>
        <w:jc w:val="both"/>
        <w:rPr>
          <w:rFonts w:ascii="Palatino Linotype" w:hAnsi="Palatino Linotype" w:cs="Palatino Linotype"/>
          <w:color w:val="000000"/>
        </w:rPr>
      </w:pPr>
    </w:p>
    <w:p w14:paraId="5C023212" w14:textId="77777777" w:rsidR="00BE026B" w:rsidRDefault="00BE026B" w:rsidP="00BE026B">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0DC84170" w14:textId="722E49A5" w:rsidR="00BE026B" w:rsidRDefault="00BE026B" w:rsidP="00BE026B">
      <w:pPr>
        <w:spacing w:before="240" w:line="360" w:lineRule="auto"/>
        <w:jc w:val="both"/>
        <w:rPr>
          <w:rFonts w:ascii="Palatino Linotype" w:hAnsi="Palatino Linotype" w:cs="Arial"/>
        </w:rPr>
      </w:pPr>
      <w:r>
        <w:rPr>
          <w:rFonts w:ascii="Palatino Linotype" w:hAnsi="Palatino Linotype" w:cs="Arial"/>
        </w:rPr>
        <w:t xml:space="preserve">En el expediente electrónico </w:t>
      </w:r>
      <w:r>
        <w:rPr>
          <w:rFonts w:ascii="Palatino Linotype" w:hAnsi="Palatino Linotype" w:cs="Arial"/>
          <w:b/>
        </w:rPr>
        <w:t xml:space="preserve">SAIMEX, </w:t>
      </w:r>
      <w:r>
        <w:rPr>
          <w:rFonts w:ascii="Palatino Linotype" w:hAnsi="Palatino Linotype" w:cs="Arial"/>
        </w:rPr>
        <w:t xml:space="preserve">se aprecia que el </w:t>
      </w:r>
      <w:r>
        <w:rPr>
          <w:rFonts w:ascii="Palatino Linotype" w:hAnsi="Palatino Linotype" w:cs="Arial"/>
          <w:b/>
          <w:bCs/>
        </w:rPr>
        <w:t xml:space="preserve">veinticinco de febrero de dos mil veinticinco, El Sujeto Obligado </w:t>
      </w:r>
      <w:r w:rsidR="00902A5E">
        <w:rPr>
          <w:rFonts w:ascii="Palatino Linotype" w:hAnsi="Palatino Linotype" w:cs="Arial"/>
        </w:rPr>
        <w:t>dio respuesta a la solicitud de información en los siguientes términos:</w:t>
      </w:r>
    </w:p>
    <w:p w14:paraId="582C9C61" w14:textId="1A80A57F" w:rsidR="00902A5E" w:rsidRDefault="00902A5E" w:rsidP="00902A5E">
      <w:pPr>
        <w:pStyle w:val="Citas"/>
      </w:pPr>
      <w:r>
        <w:t>“</w:t>
      </w:r>
      <w:r w:rsidRPr="00902A5E">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875EAB4" w14:textId="67A95A1C" w:rsidR="00902A5E" w:rsidRPr="00902A5E" w:rsidRDefault="00902A5E" w:rsidP="00902A5E">
      <w:pPr>
        <w:pStyle w:val="Citas"/>
        <w:rPr>
          <w:b/>
          <w:bCs/>
        </w:rPr>
      </w:pPr>
      <w:r w:rsidRPr="00902A5E">
        <w:lastRenderedPageBreak/>
        <w:t xml:space="preserve">Oficio Núm. 220C0201000500S/065/2025 Naucalpan de Juárez, México 25 de febrero de 2025 Solicitud de Información: 00005/SAASCAEM/IP/2025 Solicitante se Información Presente: En atención a su solicitud de información con número de folio 00005/AASCAEM/IP/2025, ingresada el pasado 23 de enero de 2025, a través del Sistema de Acceso a la Información Mexiquense (SAIMEX); en la cual se solicita lo siguiente: “Solicito respetuosamente se me proporcione copia del Estudio de Impacto Urbano que la empresa </w:t>
      </w:r>
      <w:proofErr w:type="spellStart"/>
      <w:r w:rsidRPr="00902A5E">
        <w:t>Anesa</w:t>
      </w:r>
      <w:proofErr w:type="spellEnd"/>
      <w:r w:rsidRPr="00902A5E">
        <w:t xml:space="preserve"> Holding S.A. de C.V. debió someter a dictamen ante la Secretaría de Desarrollo Urbano y Vivienda de la Ciudad de México (SEDUVI) con motivo de la construcción de la obra denominada </w:t>
      </w:r>
      <w:proofErr w:type="spellStart"/>
      <w:r w:rsidRPr="00902A5E">
        <w:t>Macrolibramiento</w:t>
      </w:r>
      <w:proofErr w:type="spellEnd"/>
      <w:r w:rsidRPr="00902A5E">
        <w:t xml:space="preserve"> Mexiquense, así como el dictamen emitido por esta Secretaría como resultado de dicho análisis. El </w:t>
      </w:r>
      <w:proofErr w:type="spellStart"/>
      <w:r w:rsidRPr="00902A5E">
        <w:t>Macrolibramiento</w:t>
      </w:r>
      <w:proofErr w:type="spellEnd"/>
      <w:r w:rsidRPr="00902A5E">
        <w:t xml:space="preserve"> Mexiquense es una obra que actualmente se construye sobre Calzada de las Armas en la zona limítrofe del municipio de Naucalpan y la </w:t>
      </w:r>
      <w:proofErr w:type="spellStart"/>
      <w:r w:rsidRPr="00902A5E">
        <w:t>Alcaldia</w:t>
      </w:r>
      <w:proofErr w:type="spellEnd"/>
      <w:r w:rsidRPr="00902A5E">
        <w:t xml:space="preserve"> Azcapotzalco.” Sic. Por lo que antecede, se anexa al presente la respuesta emitida por la Dirección de Proyectos y Control de Obras del Sistema de Autopistas, Aeropuertos, Servicios Conexos y Auxiliares del Estado de México (SAASCAEM), mediante el oficio número 220C0201010000L/211/2025. Lo anterior, se sustenta en los artículos 1, 4, 6, 16, y 17 de la Ley General de Transparencia y Acceso a la Información Pública; 2 fracción II, 3 fracción XXXIX, 4, 7, 11, 12 Párrafo Segundo, 24 fracciones XI y XIX, 50, 51, 52, 53 fracciones II, V, VI y XII, 58, 59 fracciones I, II y III, 162 de la Ley de Transparencia y Acceso a la Información Pública del Estado de México y Municipios. Adicional a lo anterior, se notifica que en términos de los artículos 176, 177, 178 y 179 de la ley de Transparencia y Acceso a la Información Pública del Estado de México y Municipios, usted puede hacer valer su derecho y cuenta con 15 días hábiles siguientes a la fecha de la notificación de la respuesta, para interponer un recurso de revisión de manera directa o por medios electrónicos. Sin más por el momento, </w:t>
      </w:r>
      <w:proofErr w:type="spellStart"/>
      <w:r w:rsidRPr="00902A5E">
        <w:t>envio</w:t>
      </w:r>
      <w:proofErr w:type="spellEnd"/>
      <w:r w:rsidRPr="00902A5E">
        <w:t xml:space="preserve"> un cordial </w:t>
      </w:r>
      <w:r w:rsidRPr="00902A5E">
        <w:lastRenderedPageBreak/>
        <w:t>saludo. Atentamente Lic. Saida Gisela Mendoza Soria Jefa de la Unidad de Apoyo Técnico e Informática y Titular de Transparencia</w:t>
      </w:r>
      <w:r>
        <w:t xml:space="preserve">” </w:t>
      </w:r>
      <w:r>
        <w:rPr>
          <w:b/>
          <w:bCs/>
        </w:rPr>
        <w:t>(Sic)</w:t>
      </w:r>
    </w:p>
    <w:p w14:paraId="0C3C0A90" w14:textId="47E55E49" w:rsidR="00902A5E" w:rsidRPr="00902A5E" w:rsidRDefault="00BE026B" w:rsidP="00BE026B">
      <w:pPr>
        <w:spacing w:before="240" w:line="360" w:lineRule="auto"/>
        <w:jc w:val="both"/>
        <w:rPr>
          <w:rFonts w:ascii="Palatino Linotype" w:hAnsi="Palatino Linotype" w:cs="Arial"/>
        </w:rPr>
      </w:pPr>
      <w:r>
        <w:rPr>
          <w:rFonts w:ascii="Palatino Linotype" w:hAnsi="Palatino Linotype" w:cs="Arial"/>
        </w:rPr>
        <w:t xml:space="preserve">Adicionalmente, </w:t>
      </w:r>
      <w:r>
        <w:rPr>
          <w:rFonts w:ascii="Palatino Linotype" w:hAnsi="Palatino Linotype" w:cs="Arial"/>
          <w:b/>
          <w:bCs/>
        </w:rPr>
        <w:t xml:space="preserve">El Sujeto Obligado </w:t>
      </w:r>
      <w:r>
        <w:rPr>
          <w:rFonts w:ascii="Palatino Linotype" w:hAnsi="Palatino Linotype" w:cs="Arial"/>
        </w:rPr>
        <w:t xml:space="preserve">adjuntó los documentos electrónicos </w:t>
      </w:r>
      <w:r>
        <w:rPr>
          <w:rFonts w:ascii="Palatino Linotype" w:hAnsi="Palatino Linotype" w:cs="Arial"/>
          <w:b/>
          <w:bCs/>
        </w:rPr>
        <w:t>“</w:t>
      </w:r>
      <w:r w:rsidR="00902A5E">
        <w:rPr>
          <w:rFonts w:ascii="Palatino Linotype" w:hAnsi="Palatino Linotype" w:cs="Arial"/>
          <w:b/>
          <w:bCs/>
        </w:rPr>
        <w:t>SOLICITUD SAIMEX 0005 (3) (2).</w:t>
      </w:r>
      <w:proofErr w:type="spellStart"/>
      <w:r w:rsidR="00902A5E">
        <w:rPr>
          <w:rFonts w:ascii="Palatino Linotype" w:hAnsi="Palatino Linotype" w:cs="Arial"/>
          <w:b/>
          <w:bCs/>
        </w:rPr>
        <w:t>pdf</w:t>
      </w:r>
      <w:proofErr w:type="spellEnd"/>
      <w:r w:rsidR="00902A5E">
        <w:rPr>
          <w:rFonts w:ascii="Palatino Linotype" w:hAnsi="Palatino Linotype" w:cs="Arial"/>
          <w:b/>
          <w:bCs/>
        </w:rPr>
        <w:t xml:space="preserve">” </w:t>
      </w:r>
      <w:r w:rsidR="00902A5E">
        <w:rPr>
          <w:rFonts w:ascii="Palatino Linotype" w:hAnsi="Palatino Linotype" w:cs="Arial"/>
        </w:rPr>
        <w:t xml:space="preserve">y </w:t>
      </w:r>
      <w:r w:rsidR="00902A5E">
        <w:rPr>
          <w:rFonts w:ascii="Palatino Linotype" w:hAnsi="Palatino Linotype" w:cs="Arial"/>
          <w:b/>
          <w:bCs/>
        </w:rPr>
        <w:t>“</w:t>
      </w:r>
      <w:proofErr w:type="spellStart"/>
      <w:r w:rsidR="00902A5E">
        <w:rPr>
          <w:rFonts w:ascii="Palatino Linotype" w:hAnsi="Palatino Linotype" w:cs="Arial"/>
          <w:b/>
          <w:bCs/>
        </w:rPr>
        <w:t>resp</w:t>
      </w:r>
      <w:proofErr w:type="spellEnd"/>
      <w:r w:rsidR="00902A5E">
        <w:rPr>
          <w:rFonts w:ascii="Palatino Linotype" w:hAnsi="Palatino Linotype" w:cs="Arial"/>
          <w:b/>
          <w:bCs/>
        </w:rPr>
        <w:t xml:space="preserve"> sol 5.pdf”, </w:t>
      </w:r>
      <w:r w:rsidR="00902A5E">
        <w:rPr>
          <w:rFonts w:ascii="Palatino Linotype" w:hAnsi="Palatino Linotype" w:cs="Arial"/>
        </w:rPr>
        <w:t xml:space="preserve">cuyo contenido será materia de análisis en el considerando respectivo. </w:t>
      </w:r>
    </w:p>
    <w:p w14:paraId="73104C25" w14:textId="77777777" w:rsidR="00902A5E" w:rsidRDefault="00902A5E" w:rsidP="00BE026B">
      <w:pPr>
        <w:spacing w:before="240" w:line="360" w:lineRule="auto"/>
        <w:jc w:val="both"/>
        <w:rPr>
          <w:rFonts w:ascii="Palatino Linotype" w:hAnsi="Palatino Linotype" w:cs="Arial"/>
          <w:b/>
          <w:bCs/>
        </w:rPr>
      </w:pPr>
    </w:p>
    <w:p w14:paraId="3A22691C" w14:textId="77777777" w:rsidR="00BE026B" w:rsidRDefault="00BE026B" w:rsidP="00BE026B">
      <w:pPr>
        <w:spacing w:before="240" w:line="360" w:lineRule="auto"/>
        <w:rPr>
          <w:rFonts w:ascii="Palatino Linotype" w:hAnsi="Palatino Linotype" w:cs="Arial"/>
          <w:b/>
          <w:sz w:val="28"/>
        </w:rPr>
      </w:pPr>
      <w:r>
        <w:rPr>
          <w:rFonts w:ascii="Palatino Linotype" w:hAnsi="Palatino Linotype" w:cs="Arial"/>
          <w:b/>
          <w:sz w:val="28"/>
        </w:rPr>
        <w:t xml:space="preserve">CUARTO. </w:t>
      </w:r>
      <w:r>
        <w:rPr>
          <w:rFonts w:ascii="Palatino Linotype" w:hAnsi="Palatino Linotype"/>
          <w:b/>
          <w:sz w:val="28"/>
        </w:rPr>
        <w:t>Del recurso de revisión.</w:t>
      </w:r>
    </w:p>
    <w:p w14:paraId="688230B6" w14:textId="5AEC0CE4" w:rsidR="00902A5E" w:rsidRPr="00902A5E" w:rsidRDefault="00BE026B" w:rsidP="00BE026B">
      <w:pPr>
        <w:spacing w:before="240" w:line="360" w:lineRule="auto"/>
        <w:jc w:val="both"/>
        <w:rPr>
          <w:rFonts w:ascii="Palatino Linotype" w:hAnsi="Palatino Linotype" w:cs="Arial"/>
        </w:rPr>
      </w:pPr>
      <w:r w:rsidRPr="0096643B">
        <w:rPr>
          <w:rFonts w:ascii="Palatino Linotype" w:hAnsi="Palatino Linotype" w:cs="Arial"/>
        </w:rPr>
        <w:t>Inconforme c</w:t>
      </w:r>
      <w:r>
        <w:rPr>
          <w:rFonts w:ascii="Palatino Linotype" w:hAnsi="Palatino Linotype" w:cs="Arial"/>
        </w:rPr>
        <w:t xml:space="preserve">on la respuesta por </w:t>
      </w:r>
      <w:r>
        <w:rPr>
          <w:rFonts w:ascii="Palatino Linotype" w:hAnsi="Palatino Linotype" w:cs="Arial"/>
          <w:b/>
        </w:rPr>
        <w:t xml:space="preserve">El Sujeto Obligado, La Recurrente </w:t>
      </w:r>
      <w:r>
        <w:rPr>
          <w:rFonts w:ascii="Palatino Linotype" w:hAnsi="Palatino Linotype" w:cs="Arial"/>
        </w:rPr>
        <w:t xml:space="preserve">interpuso recurso de revisión, en fecha </w:t>
      </w:r>
      <w:r w:rsidR="00902A5E">
        <w:rPr>
          <w:rFonts w:ascii="Palatino Linotype" w:hAnsi="Palatino Linotype" w:cs="Arial"/>
          <w:b/>
          <w:bCs/>
        </w:rPr>
        <w:t xml:space="preserve">veintisiete de febrero de dos mil veinticinco, </w:t>
      </w:r>
      <w:r w:rsidR="00902A5E">
        <w:rPr>
          <w:rFonts w:ascii="Palatino Linotype" w:hAnsi="Palatino Linotype" w:cs="Arial"/>
        </w:rPr>
        <w:t xml:space="preserve">el cual fue registrado en el sistema electrónico con el expediente </w:t>
      </w:r>
      <w:r w:rsidR="00902A5E">
        <w:rPr>
          <w:rFonts w:ascii="Palatino Linotype" w:hAnsi="Palatino Linotype" w:cs="Arial"/>
          <w:b/>
          <w:bCs/>
        </w:rPr>
        <w:t xml:space="preserve">02185/INFOEM/IP/RR/2025, </w:t>
      </w:r>
      <w:r w:rsidR="00902A5E">
        <w:rPr>
          <w:rFonts w:ascii="Palatino Linotype" w:hAnsi="Palatino Linotype" w:cs="Arial"/>
        </w:rPr>
        <w:t xml:space="preserve">en el cual arguye las siguientes manifestaciones: </w:t>
      </w:r>
    </w:p>
    <w:p w14:paraId="5A03639B" w14:textId="77777777" w:rsidR="00BE026B" w:rsidRDefault="00BE026B" w:rsidP="00BE026B">
      <w:pPr>
        <w:spacing w:before="240" w:line="360" w:lineRule="auto"/>
        <w:jc w:val="both"/>
        <w:rPr>
          <w:rFonts w:ascii="Palatino Linotype" w:hAnsi="Palatino Linotype" w:cs="Arial"/>
          <w:b/>
        </w:rPr>
      </w:pPr>
      <w:r>
        <w:rPr>
          <w:rFonts w:ascii="Palatino Linotype" w:hAnsi="Palatino Linotype" w:cs="Arial"/>
          <w:b/>
        </w:rPr>
        <w:t>Acto Impugnado:</w:t>
      </w:r>
    </w:p>
    <w:p w14:paraId="4F112A51" w14:textId="18F7303A" w:rsidR="00BE026B" w:rsidRPr="00CE3EB5" w:rsidRDefault="00BE026B" w:rsidP="00BE026B">
      <w:pPr>
        <w:pStyle w:val="Citas"/>
        <w:rPr>
          <w:b/>
          <w:bCs/>
          <w:sz w:val="24"/>
        </w:rPr>
      </w:pPr>
      <w:r w:rsidRPr="00C16092">
        <w:t>“</w:t>
      </w:r>
      <w:r w:rsidR="00902A5E" w:rsidRPr="00902A5E">
        <w:t>El documento que anexan para contestar la petición es inválido y no corresponde a lo que estoy preguntando</w:t>
      </w:r>
      <w:r w:rsidRPr="00C16092">
        <w:t>”</w:t>
      </w:r>
      <w:r>
        <w:t xml:space="preserve"> </w:t>
      </w:r>
      <w:r>
        <w:rPr>
          <w:b/>
          <w:bCs/>
        </w:rPr>
        <w:t>(Sic)</w:t>
      </w:r>
    </w:p>
    <w:p w14:paraId="60914CAD" w14:textId="77777777" w:rsidR="00BE026B" w:rsidRDefault="00BE026B" w:rsidP="00BE026B">
      <w:pPr>
        <w:spacing w:before="240" w:line="360" w:lineRule="auto"/>
        <w:jc w:val="both"/>
        <w:rPr>
          <w:rFonts w:ascii="Palatino Linotype" w:hAnsi="Palatino Linotype" w:cs="Arial"/>
          <w:b/>
        </w:rPr>
      </w:pPr>
      <w:r>
        <w:rPr>
          <w:rFonts w:ascii="Palatino Linotype" w:hAnsi="Palatino Linotype" w:cs="Arial"/>
          <w:b/>
        </w:rPr>
        <w:t>Razones o motivos de la inconformidad:</w:t>
      </w:r>
    </w:p>
    <w:p w14:paraId="41376E3A" w14:textId="26E91ECB" w:rsidR="00BE026B" w:rsidRPr="00CE3EB5" w:rsidRDefault="00BE026B" w:rsidP="00BE026B">
      <w:pPr>
        <w:pStyle w:val="Citas"/>
        <w:rPr>
          <w:b/>
          <w:bCs/>
        </w:rPr>
      </w:pPr>
      <w:r w:rsidRPr="00C16092">
        <w:t>“</w:t>
      </w:r>
      <w:r w:rsidR="00902A5E" w:rsidRPr="00902A5E">
        <w:t xml:space="preserve">La información que se pide es </w:t>
      </w:r>
      <w:proofErr w:type="spellStart"/>
      <w:r w:rsidR="00902A5E" w:rsidRPr="00902A5E">
        <w:t>es</w:t>
      </w:r>
      <w:proofErr w:type="spellEnd"/>
      <w:r w:rsidR="00902A5E" w:rsidRPr="00902A5E">
        <w:t xml:space="preserve"> Estudio de Impacto Urbano y el dictamen de la autoridad ante la que se presenta de la obra denominada </w:t>
      </w:r>
      <w:proofErr w:type="spellStart"/>
      <w:r w:rsidR="00902A5E" w:rsidRPr="00902A5E">
        <w:t>Macrolibramiento</w:t>
      </w:r>
      <w:proofErr w:type="spellEnd"/>
      <w:r w:rsidR="00902A5E" w:rsidRPr="00902A5E">
        <w:t xml:space="preserve"> Mexiquense. Lo que me contestan es un oficio que ya ha perdido validez</w:t>
      </w:r>
      <w:r w:rsidRPr="00C16092">
        <w:t>”</w:t>
      </w:r>
      <w:r>
        <w:t xml:space="preserve"> </w:t>
      </w:r>
      <w:r>
        <w:rPr>
          <w:b/>
          <w:bCs/>
        </w:rPr>
        <w:t>(Sic)</w:t>
      </w:r>
    </w:p>
    <w:p w14:paraId="068C77B2" w14:textId="77777777" w:rsidR="00BE026B" w:rsidRDefault="00BE026B" w:rsidP="00BE026B">
      <w:pPr>
        <w:spacing w:before="240" w:line="360" w:lineRule="auto"/>
        <w:jc w:val="both"/>
        <w:rPr>
          <w:rFonts w:ascii="Palatino Linotype" w:hAnsi="Palatino Linotype" w:cs="Arial"/>
          <w:b/>
          <w:sz w:val="28"/>
        </w:rPr>
      </w:pPr>
    </w:p>
    <w:p w14:paraId="55D8AC39" w14:textId="77777777" w:rsidR="00BE026B" w:rsidRDefault="00BE026B" w:rsidP="00BE026B">
      <w:pPr>
        <w:spacing w:before="240" w:line="360" w:lineRule="auto"/>
        <w:jc w:val="both"/>
        <w:rPr>
          <w:rFonts w:ascii="Palatino Linotype" w:hAnsi="Palatino Linotype" w:cs="Arial"/>
          <w:b/>
        </w:rPr>
      </w:pPr>
      <w:r>
        <w:rPr>
          <w:rFonts w:ascii="Palatino Linotype" w:hAnsi="Palatino Linotype" w:cs="Arial"/>
          <w:b/>
          <w:sz w:val="28"/>
        </w:rPr>
        <w:lastRenderedPageBreak/>
        <w:t>QUINTO</w:t>
      </w:r>
      <w:r w:rsidRPr="008551ED">
        <w:rPr>
          <w:rFonts w:ascii="Palatino Linotype" w:hAnsi="Palatino Linotype" w:cs="Arial"/>
          <w:b/>
        </w:rPr>
        <w:t xml:space="preserve">. </w:t>
      </w:r>
      <w:r w:rsidRPr="0087163A">
        <w:rPr>
          <w:rFonts w:ascii="Palatino Linotype" w:hAnsi="Palatino Linotype" w:cs="Arial"/>
          <w:b/>
          <w:sz w:val="28"/>
          <w:szCs w:val="28"/>
        </w:rPr>
        <w:t>Del turno del recurso de revisión.</w:t>
      </w:r>
    </w:p>
    <w:p w14:paraId="7453E843" w14:textId="6FDF17F0" w:rsidR="00BE026B" w:rsidRDefault="00BE026B" w:rsidP="00BE026B">
      <w:pPr>
        <w:spacing w:before="240" w:line="360" w:lineRule="auto"/>
        <w:jc w:val="both"/>
        <w:rPr>
          <w:rFonts w:ascii="Palatino Linotype" w:hAnsi="Palatino Linotype" w:cs="Arial"/>
        </w:rPr>
      </w:pPr>
      <w:r>
        <w:rPr>
          <w:rFonts w:ascii="Palatino Linotype" w:hAnsi="Palatino Linotype" w:cs="Arial"/>
        </w:rPr>
        <w:t xml:space="preserve">Medio de impugnación que le fue turnado al Comisionado presidente </w:t>
      </w:r>
      <w:r>
        <w:rPr>
          <w:rFonts w:ascii="Palatino Linotype" w:hAnsi="Palatino Linotype" w:cs="Arial"/>
          <w:b/>
        </w:rPr>
        <w:t xml:space="preserve">José Martínez Vilchis, </w:t>
      </w:r>
      <w:r>
        <w:rPr>
          <w:rFonts w:ascii="Palatino Linotype" w:hAnsi="Palatino Linotype" w:cs="Arial"/>
        </w:rPr>
        <w:t xml:space="preserve">por medio del sistema electrónico en términos del arábigo 185 fracción I de la Ley de Transparencia y Acceso a la información Pública del Estado de México y Municipios, del cual recayó acuerdo de admisión en fecha </w:t>
      </w:r>
      <w:r w:rsidR="00902A5E">
        <w:rPr>
          <w:rFonts w:ascii="Palatino Linotype" w:hAnsi="Palatino Linotype" w:cs="Arial"/>
          <w:b/>
          <w:bCs/>
        </w:rPr>
        <w:t xml:space="preserve">cinco de marzo de dos mil veinticinco, </w:t>
      </w:r>
      <w:r>
        <w:rPr>
          <w:rFonts w:ascii="Palatino Linotype" w:hAnsi="Palatino Linotype" w:cs="Arial"/>
        </w:rPr>
        <w:t>determinándose en él, un plazo de siete días para que las partes manifestaran lo que a su derecho corresponda en términos del numeral ya citado.</w:t>
      </w:r>
    </w:p>
    <w:p w14:paraId="52023F36" w14:textId="77777777" w:rsidR="00BE026B" w:rsidRDefault="00BE026B" w:rsidP="00BE026B">
      <w:pPr>
        <w:spacing w:before="240" w:line="360" w:lineRule="auto"/>
        <w:jc w:val="both"/>
        <w:rPr>
          <w:rFonts w:ascii="Palatino Linotype" w:hAnsi="Palatino Linotype" w:cs="Arial"/>
        </w:rPr>
      </w:pPr>
    </w:p>
    <w:p w14:paraId="3B3FD19C" w14:textId="77777777" w:rsidR="00BE026B" w:rsidRDefault="00BE026B" w:rsidP="00BE026B">
      <w:pPr>
        <w:pStyle w:val="Prrafodelista"/>
        <w:ind w:left="0"/>
        <w:rPr>
          <w:rFonts w:cs="Arial"/>
          <w:b/>
        </w:rPr>
      </w:pPr>
      <w:r>
        <w:rPr>
          <w:rFonts w:cs="Arial"/>
          <w:b/>
          <w:sz w:val="28"/>
        </w:rPr>
        <w:t>SEXTO</w:t>
      </w:r>
      <w:r w:rsidRPr="00AC0CCC">
        <w:rPr>
          <w:rFonts w:cs="Arial"/>
          <w:b/>
          <w:sz w:val="28"/>
          <w:szCs w:val="28"/>
        </w:rPr>
        <w:t xml:space="preserve">. </w:t>
      </w:r>
      <w:r w:rsidRPr="0087163A">
        <w:rPr>
          <w:rFonts w:cs="Arial"/>
          <w:b/>
          <w:sz w:val="28"/>
          <w:szCs w:val="28"/>
        </w:rPr>
        <w:t>De la etapa de instrucción.</w:t>
      </w:r>
    </w:p>
    <w:p w14:paraId="74856E8E" w14:textId="6D6A0C40" w:rsidR="00902A5E" w:rsidRPr="00902A5E" w:rsidRDefault="00BE026B" w:rsidP="00BE026B">
      <w:pPr>
        <w:spacing w:line="360" w:lineRule="auto"/>
        <w:jc w:val="both"/>
        <w:rPr>
          <w:rFonts w:ascii="Palatino Linotype" w:hAnsi="Palatino Linotype" w:cs="Arial"/>
          <w:b/>
          <w:bCs/>
        </w:rPr>
      </w:pPr>
      <w:r>
        <w:rPr>
          <w:rFonts w:ascii="Palatino Linotype" w:hAnsi="Palatino Linotype" w:cs="Arial"/>
        </w:rPr>
        <w:t>Así, en la etapa de instrucción, de las constancias que obran en los expedientes electrónicos de los recursos de revisión se advierte que</w:t>
      </w:r>
      <w:r w:rsidR="00902A5E">
        <w:rPr>
          <w:rFonts w:ascii="Palatino Linotype" w:hAnsi="Palatino Linotype" w:cs="Arial"/>
        </w:rPr>
        <w:t xml:space="preserve"> en fecha </w:t>
      </w:r>
      <w:r w:rsidR="00902A5E">
        <w:rPr>
          <w:rFonts w:ascii="Palatino Linotype" w:hAnsi="Palatino Linotype" w:cs="Arial"/>
          <w:b/>
          <w:bCs/>
        </w:rPr>
        <w:t xml:space="preserve">cinco de marzo de dos mil veinticinco, El Sujeto Obligado </w:t>
      </w:r>
      <w:r w:rsidR="00902A5E">
        <w:rPr>
          <w:rFonts w:ascii="Palatino Linotype" w:hAnsi="Palatino Linotype" w:cs="Arial"/>
        </w:rPr>
        <w:t xml:space="preserve">rindió su informe justificado, mismo que fue puesto a la vista el </w:t>
      </w:r>
      <w:r w:rsidR="00902A5E">
        <w:rPr>
          <w:rFonts w:ascii="Palatino Linotype" w:hAnsi="Palatino Linotype" w:cs="Arial"/>
          <w:b/>
          <w:bCs/>
        </w:rPr>
        <w:t xml:space="preserve">dieciocho de marzo de los corrientes. </w:t>
      </w:r>
    </w:p>
    <w:p w14:paraId="68A405E4" w14:textId="77777777" w:rsidR="00BE026B" w:rsidRDefault="00BE026B" w:rsidP="00BE026B">
      <w:pPr>
        <w:spacing w:line="360" w:lineRule="auto"/>
        <w:jc w:val="both"/>
        <w:rPr>
          <w:rFonts w:ascii="Palatino Linotype" w:hAnsi="Palatino Linotype" w:cs="Arial"/>
          <w:bCs/>
        </w:rPr>
      </w:pPr>
    </w:p>
    <w:p w14:paraId="7782E22D" w14:textId="0286A50F" w:rsidR="00BE026B" w:rsidRDefault="00BE026B" w:rsidP="00BE026B">
      <w:pPr>
        <w:spacing w:line="360" w:lineRule="auto"/>
        <w:jc w:val="both"/>
        <w:rPr>
          <w:rFonts w:ascii="Palatino Linotype" w:hAnsi="Palatino Linotype" w:cs="Arial"/>
        </w:rPr>
      </w:pPr>
      <w:r>
        <w:rPr>
          <w:rFonts w:ascii="Palatino Linotype" w:hAnsi="Palatino Linotype" w:cs="Arial"/>
          <w:bCs/>
        </w:rPr>
        <w:t xml:space="preserve">Por lo cual se decretó el cierre de instrucción con fecha </w:t>
      </w:r>
      <w:r w:rsidR="00902A5E">
        <w:rPr>
          <w:rFonts w:ascii="Palatino Linotype" w:hAnsi="Palatino Linotype" w:cs="Arial"/>
          <w:b/>
        </w:rPr>
        <w:t xml:space="preserve">veinticuatro de marzo de dos mil veinticinco, </w:t>
      </w:r>
      <w:r>
        <w:rPr>
          <w:rFonts w:ascii="Palatino Linotype" w:hAnsi="Palatino Linotype" w:cs="Arial"/>
        </w:rPr>
        <w:t xml:space="preserve">en términos del artículo 185 Fracción VI de la Ley de Transparencia y Acceso a la Información Pública del Estado de México y Municipios, iniciando el término legal para dictar resolución definitiva del asunto. </w:t>
      </w:r>
    </w:p>
    <w:p w14:paraId="2C026CED" w14:textId="77777777" w:rsidR="00BE026B" w:rsidRDefault="00BE026B" w:rsidP="00317504">
      <w:pPr>
        <w:spacing w:line="360" w:lineRule="auto"/>
        <w:contextualSpacing/>
        <w:jc w:val="both"/>
        <w:rPr>
          <w:rFonts w:ascii="Palatino Linotype" w:hAnsi="Palatino Linotype" w:cs="Palatino Linotype"/>
          <w:color w:val="000000"/>
        </w:rPr>
      </w:pPr>
    </w:p>
    <w:p w14:paraId="0AF57CCE" w14:textId="08B35CB4" w:rsidR="00902A5E" w:rsidRPr="007D5B87" w:rsidRDefault="00902A5E" w:rsidP="00902A5E">
      <w:pPr>
        <w:spacing w:line="360" w:lineRule="auto"/>
        <w:jc w:val="both"/>
        <w:rPr>
          <w:rFonts w:ascii="Palatino Linotype" w:hAnsi="Palatino Linotype" w:cs="Arial"/>
        </w:rPr>
      </w:pPr>
      <w:bookmarkStart w:id="1" w:name="_Hlk197597279"/>
      <w:r w:rsidRPr="007D5B87">
        <w:rPr>
          <w:rFonts w:ascii="Palatino Linotype" w:hAnsi="Palatino Linotype" w:cs="Arial"/>
        </w:rPr>
        <w:t xml:space="preserve">El día </w:t>
      </w:r>
      <w:r>
        <w:rPr>
          <w:rFonts w:ascii="Palatino Linotype" w:hAnsi="Palatino Linotype" w:cs="Arial"/>
          <w:b/>
          <w:bCs/>
        </w:rPr>
        <w:t xml:space="preserve">treinta de abril del año en curso, </w:t>
      </w:r>
      <w:r w:rsidRPr="007D5B87">
        <w:rPr>
          <w:rFonts w:ascii="Palatino Linotype" w:hAnsi="Palatino Linotype" w:cs="Arial"/>
        </w:rPr>
        <w:t xml:space="preserve">con fundamento en el artículo 181, párrafo tercero, de la Ley de Transparencia y Acceso a la Información Pública del Estado de México y Municipios, se amplió por un periodo de quince días, el plazo para resolver el </w:t>
      </w:r>
      <w:r w:rsidRPr="007D5B87">
        <w:rPr>
          <w:rFonts w:ascii="Palatino Linotype" w:hAnsi="Palatino Linotype" w:cs="Arial"/>
        </w:rPr>
        <w:lastRenderedPageBreak/>
        <w:t xml:space="preserve">citado medio de impugnación, con el fin de contar con los elementos suficientes para proponer al Pleno de este Instituto la resolución que en derecho corresponda. </w:t>
      </w:r>
    </w:p>
    <w:bookmarkEnd w:id="1"/>
    <w:p w14:paraId="267A481E" w14:textId="77777777" w:rsidR="00902A5E" w:rsidRDefault="00902A5E" w:rsidP="00317504">
      <w:pPr>
        <w:spacing w:line="360" w:lineRule="auto"/>
        <w:contextualSpacing/>
        <w:jc w:val="both"/>
        <w:rPr>
          <w:rFonts w:ascii="Palatino Linotype" w:hAnsi="Palatino Linotype" w:cs="Palatino Linotype"/>
          <w:color w:val="000000"/>
        </w:rPr>
      </w:pPr>
    </w:p>
    <w:p w14:paraId="372A1A61" w14:textId="77777777" w:rsidR="00902A5E" w:rsidRPr="005D0901" w:rsidRDefault="00902A5E" w:rsidP="00902A5E">
      <w:pPr>
        <w:spacing w:before="240" w:line="360" w:lineRule="auto"/>
        <w:jc w:val="center"/>
        <w:rPr>
          <w:rFonts w:ascii="Palatino Linotype" w:hAnsi="Palatino Linotype" w:cs="Arial"/>
          <w:b/>
        </w:rPr>
      </w:pPr>
      <w:r w:rsidRPr="005D0901">
        <w:rPr>
          <w:rFonts w:ascii="Palatino Linotype" w:hAnsi="Palatino Linotype" w:cs="Arial"/>
          <w:b/>
        </w:rPr>
        <w:t xml:space="preserve">C O N S I D E R A N D O </w:t>
      </w:r>
    </w:p>
    <w:p w14:paraId="6542DCCB" w14:textId="77777777" w:rsidR="00902A5E" w:rsidRDefault="00902A5E" w:rsidP="00902A5E">
      <w:pPr>
        <w:spacing w:before="240" w:line="360" w:lineRule="auto"/>
        <w:jc w:val="both"/>
        <w:rPr>
          <w:rFonts w:ascii="Palatino Linotype" w:hAnsi="Palatino Linotype" w:cs="Arial"/>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11D449E" w14:textId="77777777" w:rsidR="00902A5E" w:rsidRPr="008A2022" w:rsidRDefault="00902A5E" w:rsidP="00902A5E">
      <w:pPr>
        <w:spacing w:line="360" w:lineRule="auto"/>
        <w:jc w:val="both"/>
        <w:rPr>
          <w:rFonts w:ascii="Palatino Linotype" w:hAnsi="Palatino Linotype"/>
        </w:rPr>
      </w:pPr>
      <w:r w:rsidRPr="008A2022">
        <w:rPr>
          <w:rFonts w:ascii="Palatino Linotype" w:hAnsi="Palatino Linotype"/>
        </w:rPr>
        <w:t xml:space="preserve">Este Instituto de Transparencia, Acceso a la Información Pública y Protección de Datos Personales del </w:t>
      </w:r>
      <w:r w:rsidRPr="00E33551">
        <w:rPr>
          <w:rFonts w:ascii="Palatino Linotype" w:hAnsi="Palatino Linotype"/>
        </w:rPr>
        <w:t>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w:t>
      </w:r>
      <w:r w:rsidRPr="008A2022">
        <w:rPr>
          <w:rFonts w:ascii="Palatino Linotype" w:hAnsi="Palatino Linotype"/>
        </w:rPr>
        <w:t xml:space="preserve"> Pública y Protección de Datos Personales del Estado de México y Municipios</w:t>
      </w:r>
      <w:r>
        <w:rPr>
          <w:rFonts w:ascii="Palatino Linotype" w:hAnsi="Palatino Linotype"/>
        </w:rPr>
        <w:t xml:space="preserve">. </w:t>
      </w:r>
    </w:p>
    <w:p w14:paraId="6ADE3850" w14:textId="77777777" w:rsidR="00902A5E" w:rsidRDefault="00902A5E" w:rsidP="00902A5E">
      <w:pPr>
        <w:pStyle w:val="Prrafodelista"/>
        <w:autoSpaceDE w:val="0"/>
        <w:autoSpaceDN w:val="0"/>
        <w:adjustRightInd w:val="0"/>
        <w:spacing w:before="240" w:after="160"/>
        <w:ind w:left="0"/>
        <w:rPr>
          <w:rFonts w:cs="Arial"/>
          <w:bCs/>
          <w:lang w:val="es-MX"/>
        </w:rPr>
      </w:pPr>
    </w:p>
    <w:p w14:paraId="6A2349E0" w14:textId="77777777" w:rsidR="00902A5E" w:rsidRDefault="00902A5E" w:rsidP="00902A5E">
      <w:pPr>
        <w:pStyle w:val="Prrafodelista"/>
        <w:autoSpaceDE w:val="0"/>
        <w:autoSpaceDN w:val="0"/>
        <w:adjustRightInd w:val="0"/>
        <w:spacing w:before="240" w:after="160"/>
        <w:ind w:left="0"/>
        <w:rPr>
          <w:rFonts w:cs="Arial"/>
          <w:b/>
        </w:rPr>
      </w:pPr>
      <w:r w:rsidRPr="00C43323">
        <w:rPr>
          <w:rFonts w:cs="Arial"/>
          <w:b/>
          <w:sz w:val="28"/>
        </w:rPr>
        <w:t>SEGUNDO</w:t>
      </w:r>
      <w:r w:rsidRPr="00D24A52">
        <w:rPr>
          <w:rFonts w:cs="Arial"/>
          <w:b/>
        </w:rPr>
        <w:t xml:space="preserve">. </w:t>
      </w:r>
      <w:r w:rsidRPr="0087163A">
        <w:rPr>
          <w:rFonts w:cs="Arial"/>
          <w:b/>
          <w:sz w:val="28"/>
          <w:szCs w:val="28"/>
        </w:rPr>
        <w:t>Sobre los alcances del recurso de revisión.</w:t>
      </w:r>
      <w:r>
        <w:rPr>
          <w:rFonts w:cs="Arial"/>
          <w:b/>
        </w:rPr>
        <w:t xml:space="preserve"> </w:t>
      </w:r>
    </w:p>
    <w:p w14:paraId="66D5F71B" w14:textId="77777777" w:rsidR="00902A5E" w:rsidRDefault="00902A5E" w:rsidP="00902A5E">
      <w:pPr>
        <w:pStyle w:val="Prrafodelista"/>
        <w:autoSpaceDE w:val="0"/>
        <w:autoSpaceDN w:val="0"/>
        <w:adjustRightInd w:val="0"/>
        <w:spacing w:before="240" w:after="160"/>
        <w:ind w:left="0"/>
        <w:rPr>
          <w:rFonts w:cs="Arial"/>
        </w:rPr>
      </w:pPr>
      <w:r>
        <w:rPr>
          <w:rFonts w:cs="Arial"/>
        </w:rPr>
        <w:t xml:space="preserve">Derivado de la impugnación realizada, es preciso e importante señalar que el recurso de revisión inmerso en la Ley de Transparencia vigente en la entidad, </w:t>
      </w:r>
      <w:r w:rsidRPr="00B10F60">
        <w:rPr>
          <w:rFonts w:cs="Arial"/>
        </w:rPr>
        <w:t>tiene el fin y alcance que señalan los numerales 176, 179, 181 párrafo cuarto, 194 y 195 y demás aplicables de la Ley de Transparencia y Acceso a la Información Pública del Estado</w:t>
      </w:r>
      <w:r>
        <w:rPr>
          <w:rFonts w:cs="Arial"/>
        </w:rPr>
        <w:t xml:space="preserve"> de México y </w:t>
      </w:r>
      <w:r>
        <w:rPr>
          <w:rFonts w:cs="Arial"/>
        </w:rPr>
        <w:lastRenderedPageBreak/>
        <w:t xml:space="preserve">Municipios vigente, el cual </w:t>
      </w:r>
      <w:r w:rsidRPr="00B10F60">
        <w:rPr>
          <w:rFonts w:cs="Arial"/>
        </w:rPr>
        <w:t xml:space="preserve">será analizado conforme a </w:t>
      </w:r>
      <w:r>
        <w:rPr>
          <w:rFonts w:cs="Arial"/>
        </w:rPr>
        <w:t xml:space="preserve">las actuaciones que obren en el expediente electrónico, con la finalidad de </w:t>
      </w:r>
      <w:r w:rsidRPr="00B10F60">
        <w:rPr>
          <w:rFonts w:cs="Arial"/>
        </w:rPr>
        <w:t>repara</w:t>
      </w:r>
      <w:r>
        <w:rPr>
          <w:rFonts w:cs="Arial"/>
        </w:rPr>
        <w:t>r</w:t>
      </w:r>
      <w:r w:rsidRPr="00B10F60">
        <w:rPr>
          <w:rFonts w:cs="Arial"/>
        </w:rPr>
        <w:t xml:space="preserve"> cualquier posible afectación al derecho de acceso a la información pública</w:t>
      </w:r>
      <w:r>
        <w:rPr>
          <w:rFonts w:cs="Arial"/>
        </w:rPr>
        <w:t xml:space="preserve"> y</w:t>
      </w:r>
      <w:r w:rsidRPr="00B10F60">
        <w:rPr>
          <w:rFonts w:cs="Arial"/>
        </w:rPr>
        <w:t xml:space="preserve"> garantizando el principio rector de máxima publicidad.</w:t>
      </w:r>
    </w:p>
    <w:p w14:paraId="3975B3C1" w14:textId="77777777" w:rsidR="00902A5E" w:rsidRDefault="00902A5E" w:rsidP="00902A5E">
      <w:pPr>
        <w:pStyle w:val="Prrafodelista"/>
        <w:autoSpaceDE w:val="0"/>
        <w:autoSpaceDN w:val="0"/>
        <w:adjustRightInd w:val="0"/>
        <w:spacing w:before="240" w:after="160"/>
        <w:ind w:left="0"/>
        <w:rPr>
          <w:rFonts w:cs="Arial"/>
        </w:rPr>
      </w:pPr>
    </w:p>
    <w:p w14:paraId="737DD0FF" w14:textId="77777777" w:rsidR="00902A5E" w:rsidRPr="008B21BA" w:rsidRDefault="00902A5E" w:rsidP="00902A5E">
      <w:pPr>
        <w:spacing w:line="360" w:lineRule="auto"/>
        <w:jc w:val="both"/>
        <w:rPr>
          <w:rFonts w:ascii="Palatino Linotype" w:hAnsi="Palatino Linotype" w:cs="Arial"/>
          <w:b/>
          <w:sz w:val="28"/>
          <w:szCs w:val="28"/>
        </w:rPr>
      </w:pPr>
      <w:r w:rsidRPr="008B21BA">
        <w:rPr>
          <w:rFonts w:ascii="Palatino Linotype" w:hAnsi="Palatino Linotype" w:cs="Arial"/>
          <w:b/>
          <w:sz w:val="28"/>
          <w:szCs w:val="28"/>
        </w:rPr>
        <w:t>TERCERO. De las causas de improcedencia.</w:t>
      </w:r>
    </w:p>
    <w:p w14:paraId="3CC7B754" w14:textId="77777777" w:rsidR="00902A5E" w:rsidRPr="008B21BA" w:rsidRDefault="00902A5E" w:rsidP="00902A5E">
      <w:pPr>
        <w:autoSpaceDE w:val="0"/>
        <w:autoSpaceDN w:val="0"/>
        <w:adjustRightInd w:val="0"/>
        <w:spacing w:line="360" w:lineRule="auto"/>
        <w:jc w:val="both"/>
        <w:rPr>
          <w:rFonts w:ascii="Palatino Linotype" w:hAnsi="Palatino Linotype" w:cs="Arial"/>
        </w:rPr>
      </w:pPr>
      <w:r w:rsidRPr="008B21B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4D0F28C" w14:textId="77777777" w:rsidR="00902A5E" w:rsidRPr="008B21BA" w:rsidRDefault="00902A5E" w:rsidP="00902A5E">
      <w:pPr>
        <w:widowControl w:val="0"/>
        <w:autoSpaceDE w:val="0"/>
        <w:autoSpaceDN w:val="0"/>
        <w:adjustRightInd w:val="0"/>
        <w:spacing w:line="360" w:lineRule="auto"/>
        <w:jc w:val="both"/>
        <w:rPr>
          <w:rFonts w:ascii="Palatino Linotype" w:hAnsi="Palatino Linotype" w:cs="Arial"/>
        </w:rPr>
      </w:pPr>
      <w:r w:rsidRPr="008B21BA">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sidRPr="008B21BA">
        <w:rPr>
          <w:rFonts w:ascii="Palatino Linotype" w:hAnsi="Palatino Linotype" w:cs="Arial"/>
        </w:rPr>
        <w:lastRenderedPageBreak/>
        <w:t>sobreseimiento con tales fines</w:t>
      </w:r>
      <w:r w:rsidRPr="008B21BA">
        <w:rPr>
          <w:rFonts w:ascii="Palatino Linotype" w:hAnsi="Palatino Linotype" w:cs="Arial"/>
          <w:vertAlign w:val="superscript"/>
        </w:rPr>
        <w:footnoteReference w:id="1"/>
      </w:r>
      <w:r w:rsidRPr="008B21BA">
        <w:rPr>
          <w:rFonts w:ascii="Palatino Linotype" w:hAnsi="Palatino Linotype" w:cs="Arial"/>
        </w:rPr>
        <w:t xml:space="preserve">. </w:t>
      </w:r>
    </w:p>
    <w:p w14:paraId="6EF5C750" w14:textId="77777777" w:rsidR="00902A5E" w:rsidRPr="008B21BA" w:rsidRDefault="00902A5E" w:rsidP="00902A5E">
      <w:pPr>
        <w:widowControl w:val="0"/>
        <w:autoSpaceDE w:val="0"/>
        <w:autoSpaceDN w:val="0"/>
        <w:adjustRightInd w:val="0"/>
        <w:spacing w:line="360" w:lineRule="auto"/>
        <w:jc w:val="both"/>
        <w:rPr>
          <w:rFonts w:ascii="Palatino Linotype" w:hAnsi="Palatino Linotype" w:cs="Arial"/>
        </w:rPr>
      </w:pPr>
      <w:r w:rsidRPr="008B21BA">
        <w:rPr>
          <w:rFonts w:ascii="Palatino Linotype" w:hAnsi="Palatino Linotype" w:cs="Arial"/>
        </w:rPr>
        <w:t>Así las cosas, del análisis de los expedientes electrónicos no se advierte ninguna causa de improcedencia que se actualice ni mucho menos alguna hecha valer por alguna de las partes, procediendo al estudio del fondo del asunto, en los siguientes términos.</w:t>
      </w:r>
    </w:p>
    <w:p w14:paraId="65EC3BD3" w14:textId="77777777" w:rsidR="00902A5E" w:rsidRDefault="00902A5E" w:rsidP="00902A5E">
      <w:pPr>
        <w:tabs>
          <w:tab w:val="left" w:pos="709"/>
        </w:tabs>
        <w:spacing w:before="240" w:line="360" w:lineRule="auto"/>
        <w:ind w:right="51"/>
        <w:jc w:val="both"/>
        <w:rPr>
          <w:rFonts w:ascii="Palatino Linotype" w:hAnsi="Palatino Linotype"/>
          <w:b/>
          <w:sz w:val="28"/>
          <w:szCs w:val="28"/>
        </w:rPr>
      </w:pPr>
    </w:p>
    <w:p w14:paraId="32BFFFEB" w14:textId="77777777" w:rsidR="00902A5E" w:rsidRPr="009A0D0A" w:rsidRDefault="00902A5E" w:rsidP="00902A5E">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0AC9B44A" w14:textId="77777777" w:rsidR="00902A5E" w:rsidRDefault="00902A5E" w:rsidP="00902A5E">
      <w:pPr>
        <w:pStyle w:val="Prrafodelista"/>
        <w:autoSpaceDE w:val="0"/>
        <w:autoSpaceDN w:val="0"/>
        <w:adjustRightInd w:val="0"/>
        <w:spacing w:before="240" w:after="160"/>
        <w:ind w:left="0"/>
        <w:rPr>
          <w:rFonts w:cs="Arial"/>
        </w:rPr>
      </w:pPr>
      <w:r>
        <w:rPr>
          <w:rFonts w:cs="Arial"/>
        </w:rPr>
        <w:t>El</w:t>
      </w:r>
      <w:r w:rsidRPr="00E42C3F">
        <w:rPr>
          <w:rFonts w:cs="Arial"/>
        </w:rPr>
        <w:t xml:space="preserve"> </w:t>
      </w:r>
      <w:r>
        <w:rPr>
          <w:rFonts w:cs="Arial"/>
        </w:rPr>
        <w:t xml:space="preserve">análisis del </w:t>
      </w:r>
      <w:r w:rsidRPr="00E42C3F">
        <w:rPr>
          <w:rFonts w:cs="Arial"/>
        </w:rPr>
        <w:t xml:space="preserve"> presente recurso, </w:t>
      </w:r>
      <w:r>
        <w:rPr>
          <w:rFonts w:cs="Arial"/>
        </w:rPr>
        <w:t>se basará en e</w:t>
      </w:r>
      <w:r w:rsidRPr="00E42C3F">
        <w:rPr>
          <w:rFonts w:cs="Arial"/>
        </w:rPr>
        <w:t xml:space="preserve">l contenido íntegro </w:t>
      </w:r>
      <w:r>
        <w:rPr>
          <w:rFonts w:cs="Arial"/>
        </w:rPr>
        <w:t>de las actuaciones que obran en el expediente electrónico,</w:t>
      </w:r>
      <w:r w:rsidRPr="00E42C3F">
        <w:rPr>
          <w:rFonts w:cs="Arial"/>
        </w:rPr>
        <w:t xml:space="preserve"> para así estar en posibilidad este Órgano Colegiado de dictar el fallo cor</w:t>
      </w:r>
      <w:r>
        <w:rPr>
          <w:rFonts w:cs="Arial"/>
        </w:rPr>
        <w:t xml:space="preserve">respondiente conforme a derecho, tomando en consideración los elementos aportados por las partes </w:t>
      </w:r>
      <w:r w:rsidRPr="00E42C3F">
        <w:rPr>
          <w:rFonts w:cs="Arial"/>
        </w:rPr>
        <w:t xml:space="preserve">y </w:t>
      </w:r>
      <w:r>
        <w:rPr>
          <w:rFonts w:cs="Arial"/>
        </w:rPr>
        <w:t>respetando</w:t>
      </w:r>
      <w:r w:rsidRPr="00E42C3F">
        <w:rPr>
          <w:rFonts w:cs="Arial"/>
        </w:rPr>
        <w:t xml:space="preserve"> en todo momento </w:t>
      </w:r>
      <w:r w:rsidRPr="008C0974">
        <w:rPr>
          <w:rFonts w:cs="Arial"/>
        </w:rPr>
        <w:t xml:space="preserve">al principio de máxima publicidad consagrado en nuestra Constitución Federal, Local </w:t>
      </w:r>
      <w:r w:rsidRPr="00AE4E9C">
        <w:rPr>
          <w:rFonts w:cs="Arial"/>
        </w:rPr>
        <w:t xml:space="preserve">y demás leyes aplicables en la materia, así como en los tratados internacionales en los </w:t>
      </w:r>
      <w:r>
        <w:rPr>
          <w:rFonts w:cs="Arial"/>
        </w:rPr>
        <w:t>q</w:t>
      </w:r>
      <w:r w:rsidRPr="00AE4E9C">
        <w:rPr>
          <w:rFonts w:cs="Arial"/>
        </w:rPr>
        <w:t>ue el Estado Mexicano sea parte, en concordancia con el párrafo tercero del artículo 1 de la Constitución Federal y el diverso 8 de la Ley de Transparencia local.</w:t>
      </w:r>
      <w:r>
        <w:rPr>
          <w:rFonts w:cs="Arial"/>
        </w:rPr>
        <w:t xml:space="preserve"> </w:t>
      </w:r>
    </w:p>
    <w:p w14:paraId="77162D28" w14:textId="77777777" w:rsidR="00902A5E" w:rsidRPr="002869E1" w:rsidRDefault="00902A5E" w:rsidP="00902A5E">
      <w:pPr>
        <w:spacing w:line="360" w:lineRule="auto"/>
        <w:jc w:val="both"/>
        <w:rPr>
          <w:rFonts w:ascii="Palatino Linotype" w:hAnsi="Palatino Linotype"/>
          <w:lang w:eastAsia="es-ES"/>
        </w:rPr>
      </w:pPr>
      <w:r w:rsidRPr="002869E1">
        <w:rPr>
          <w:rFonts w:ascii="Palatino Linotype" w:hAnsi="Palatino Linotype" w:cs="Arial"/>
        </w:rPr>
        <w:lastRenderedPageBreak/>
        <w:t xml:space="preserve">En este tenor, es necesario subrayar que </w:t>
      </w:r>
      <w:r w:rsidRPr="002869E1">
        <w:rPr>
          <w:rFonts w:ascii="Palatino Linotype" w:hAnsi="Palatino Linotype"/>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8CF532A" w14:textId="77777777" w:rsidR="00902A5E" w:rsidRPr="006010FE" w:rsidRDefault="00902A5E" w:rsidP="00902A5E">
      <w:pPr>
        <w:spacing w:before="240" w:line="360" w:lineRule="auto"/>
        <w:ind w:left="851" w:right="851"/>
        <w:jc w:val="both"/>
        <w:rPr>
          <w:rFonts w:ascii="Palatino Linotype" w:hAnsi="Palatino Linotype"/>
          <w:i/>
          <w:lang w:eastAsia="es-ES"/>
        </w:rPr>
      </w:pPr>
      <w:r>
        <w:rPr>
          <w:rFonts w:ascii="Palatino Linotype" w:hAnsi="Palatino Linotype"/>
          <w:b/>
          <w:i/>
          <w:lang w:eastAsia="es-ES"/>
        </w:rPr>
        <w:t>“</w:t>
      </w:r>
      <w:r w:rsidRPr="006010FE">
        <w:rPr>
          <w:rFonts w:ascii="Palatino Linotype" w:hAnsi="Palatino Linotype"/>
          <w:b/>
          <w:i/>
          <w:lang w:eastAsia="es-ES"/>
        </w:rPr>
        <w:t>Artículo 4.</w:t>
      </w:r>
      <w:r w:rsidRPr="006010FE">
        <w:rPr>
          <w:rFonts w:ascii="Palatino Linotype" w:hAnsi="Palatino Linotype"/>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4B64102"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E8BFE5"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Los sujetos obligados deben poner en práctica, políticas y programas de acceso a la información que se apeguen a criterios de publicidad, veracidad, oportunidad, precisión y suficiencia en beneficio de los solicitantes.</w:t>
      </w:r>
    </w:p>
    <w:p w14:paraId="521689AF"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b/>
          <w:i/>
          <w:lang w:eastAsia="es-ES"/>
        </w:rPr>
        <w:lastRenderedPageBreak/>
        <w:t>Artículo 12.</w:t>
      </w:r>
      <w:r w:rsidRPr="006010FE">
        <w:rPr>
          <w:rFonts w:ascii="Palatino Linotype" w:hAnsi="Palatino Linotype"/>
          <w:i/>
          <w:lang w:eastAsia="es-ES"/>
        </w:rPr>
        <w:t xml:space="preserve"> Quienes generen, recopilen, administren, manejen, procesen, archiven o conserven información pública serán responsables de la misma en los términos de las disposiciones jurídicas aplicables.</w:t>
      </w:r>
    </w:p>
    <w:p w14:paraId="45ACE214"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469FB80"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w:t>
      </w:r>
    </w:p>
    <w:p w14:paraId="40E215FF" w14:textId="77777777" w:rsidR="00902A5E" w:rsidRPr="006010FE" w:rsidRDefault="00902A5E" w:rsidP="00902A5E">
      <w:pPr>
        <w:spacing w:before="240" w:line="360" w:lineRule="auto"/>
        <w:ind w:left="851" w:right="851"/>
        <w:jc w:val="both"/>
        <w:rPr>
          <w:rFonts w:ascii="Palatino Linotype" w:hAnsi="Palatino Linotype"/>
          <w:b/>
          <w:i/>
          <w:lang w:eastAsia="es-ES"/>
        </w:rPr>
      </w:pPr>
      <w:r w:rsidRPr="006010FE">
        <w:rPr>
          <w:rFonts w:ascii="Palatino Linotype" w:hAnsi="Palatino Linotype"/>
          <w:b/>
          <w:i/>
          <w:lang w:eastAsia="es-ES"/>
        </w:rPr>
        <w:t xml:space="preserve">Artículo 24. </w:t>
      </w:r>
    </w:p>
    <w:p w14:paraId="3C72AFD4"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w:t>
      </w:r>
    </w:p>
    <w:p w14:paraId="16D029D7"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Los sujetos obligados solo proporcionarán la información pública que generen, administren o posean en el ejercicio de sus atribuciones.”</w:t>
      </w:r>
    </w:p>
    <w:p w14:paraId="4AE1DE11"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i/>
          <w:lang w:eastAsia="es-ES"/>
        </w:rPr>
        <w:t>(…)</w:t>
      </w:r>
    </w:p>
    <w:p w14:paraId="56111E85" w14:textId="77777777" w:rsidR="00902A5E" w:rsidRPr="006010FE" w:rsidRDefault="00902A5E" w:rsidP="00902A5E">
      <w:pPr>
        <w:spacing w:before="240" w:line="360" w:lineRule="auto"/>
        <w:ind w:left="851" w:right="851"/>
        <w:jc w:val="both"/>
        <w:rPr>
          <w:rFonts w:ascii="Palatino Linotype" w:hAnsi="Palatino Linotype"/>
          <w:i/>
          <w:lang w:eastAsia="es-ES"/>
        </w:rPr>
      </w:pPr>
      <w:r w:rsidRPr="006010FE">
        <w:rPr>
          <w:rFonts w:ascii="Palatino Linotype" w:hAnsi="Palatino Linotype"/>
          <w:b/>
          <w:i/>
          <w:lang w:eastAsia="es-ES"/>
        </w:rPr>
        <w:t>Artículo 160.</w:t>
      </w:r>
      <w:r w:rsidRPr="006010FE">
        <w:rPr>
          <w:rFonts w:ascii="Palatino Linotype" w:hAnsi="Palatino Linotype"/>
          <w:i/>
          <w:lang w:eastAsia="es-ES"/>
        </w:rPr>
        <w:t xml:space="preserve"> Los sujetos obligados deberán otorgar acceso a los documentos que se </w:t>
      </w:r>
      <w:r>
        <w:rPr>
          <w:rFonts w:ascii="Palatino Linotype" w:hAnsi="Palatino Linotype"/>
          <w:b/>
          <w:i/>
          <w:lang w:eastAsia="es-ES"/>
        </w:rPr>
        <w:t xml:space="preserve"> </w:t>
      </w:r>
      <w:r w:rsidRPr="006010FE">
        <w:rPr>
          <w:rFonts w:ascii="Palatino Linotype" w:hAnsi="Palatino Linotype"/>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9CCC72E" w14:textId="77777777" w:rsidR="00902A5E" w:rsidRDefault="00902A5E" w:rsidP="00902A5E">
      <w:pPr>
        <w:spacing w:before="240" w:line="360" w:lineRule="auto"/>
        <w:ind w:left="851" w:right="851"/>
        <w:jc w:val="both"/>
        <w:rPr>
          <w:rFonts w:ascii="Palatino Linotype" w:hAnsi="Palatino Linotype"/>
          <w:b/>
          <w:i/>
          <w:lang w:eastAsia="es-ES"/>
        </w:rPr>
      </w:pPr>
      <w:r w:rsidRPr="006010FE">
        <w:rPr>
          <w:rFonts w:ascii="Palatino Linotype" w:hAnsi="Palatino Linotype"/>
          <w:i/>
          <w:lang w:eastAsia="es-ES"/>
        </w:rPr>
        <w:lastRenderedPageBreak/>
        <w:t>En caso que la información solicitada consista en bases de datos se deberá privilegiar la entrega de la misma en formatos abiertos.</w:t>
      </w:r>
      <w:r>
        <w:rPr>
          <w:rFonts w:ascii="Palatino Linotype" w:hAnsi="Palatino Linotype"/>
          <w:i/>
          <w:lang w:eastAsia="es-ES"/>
        </w:rPr>
        <w:t>”</w:t>
      </w:r>
      <w:r>
        <w:rPr>
          <w:rFonts w:ascii="Palatino Linotype" w:hAnsi="Palatino Linotype"/>
          <w:b/>
          <w:i/>
          <w:lang w:eastAsia="es-ES"/>
        </w:rPr>
        <w:t>[Sic]</w:t>
      </w:r>
    </w:p>
    <w:p w14:paraId="70021B01" w14:textId="77777777" w:rsidR="00902A5E" w:rsidRDefault="00902A5E" w:rsidP="00902A5E">
      <w:pPr>
        <w:spacing w:line="360" w:lineRule="auto"/>
        <w:jc w:val="both"/>
        <w:rPr>
          <w:rFonts w:ascii="Palatino Linotype" w:hAnsi="Palatino Linotype"/>
          <w:lang w:eastAsia="es-ES"/>
        </w:rPr>
      </w:pPr>
    </w:p>
    <w:p w14:paraId="1BD2F9C4" w14:textId="77777777" w:rsidR="00902A5E" w:rsidRPr="006010FE" w:rsidRDefault="00902A5E" w:rsidP="00902A5E">
      <w:pPr>
        <w:spacing w:line="360" w:lineRule="auto"/>
        <w:jc w:val="both"/>
        <w:rPr>
          <w:rFonts w:ascii="Palatino Linotype" w:hAnsi="Palatino Linotype"/>
          <w:lang w:eastAsia="es-ES"/>
        </w:rPr>
      </w:pPr>
      <w:r w:rsidRPr="006010FE">
        <w:rPr>
          <w:rFonts w:ascii="Palatino Linotype" w:hAnsi="Palatino Linotype"/>
          <w:lang w:eastAsia="es-ES"/>
        </w:rPr>
        <w:t>As</w:t>
      </w:r>
      <w:r>
        <w:rPr>
          <w:rFonts w:ascii="Palatino Linotype" w:hAnsi="Palatino Linotype"/>
          <w:lang w:eastAsia="es-ES"/>
        </w:rPr>
        <w:t xml:space="preserve">í que la obligación de los </w:t>
      </w:r>
      <w:r w:rsidRPr="006E4CCA">
        <w:rPr>
          <w:rFonts w:ascii="Palatino Linotype" w:hAnsi="Palatino Linotype"/>
          <w:b/>
          <w:lang w:eastAsia="es-ES"/>
        </w:rPr>
        <w:t>Sujetos Obligados</w:t>
      </w:r>
      <w:r w:rsidRPr="006010FE">
        <w:rPr>
          <w:rFonts w:ascii="Palatino Linotype" w:hAnsi="Palatino Linotype"/>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lang w:eastAsia="es-ES"/>
        </w:rPr>
        <w:t>de la Ley local en la materia, que se reproduce de la siguiente forma</w:t>
      </w:r>
      <w:r w:rsidRPr="006010FE">
        <w:rPr>
          <w:rFonts w:ascii="Palatino Linotype" w:hAnsi="Palatino Linotype"/>
          <w:lang w:eastAsia="es-ES"/>
        </w:rPr>
        <w:t>:</w:t>
      </w:r>
    </w:p>
    <w:p w14:paraId="07C4862F" w14:textId="77777777" w:rsidR="00902A5E" w:rsidRDefault="00902A5E" w:rsidP="00902A5E">
      <w:pPr>
        <w:spacing w:before="240" w:line="360" w:lineRule="auto"/>
        <w:ind w:left="851" w:right="851"/>
        <w:jc w:val="both"/>
        <w:rPr>
          <w:rFonts w:ascii="Palatino Linotype" w:hAnsi="Palatino Linotype" w:cs="Arial"/>
          <w:b/>
          <w:i/>
          <w:lang w:eastAsia="es-ES"/>
        </w:rPr>
      </w:pPr>
      <w:r w:rsidRPr="006E4CCA">
        <w:rPr>
          <w:rFonts w:ascii="Palatino Linotype"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lang w:eastAsia="es-ES"/>
        </w:rPr>
        <w:t>[Sic]</w:t>
      </w:r>
    </w:p>
    <w:p w14:paraId="424312C6" w14:textId="77777777" w:rsidR="00902A5E" w:rsidRDefault="00902A5E" w:rsidP="00317504">
      <w:pPr>
        <w:spacing w:line="360" w:lineRule="auto"/>
        <w:contextualSpacing/>
        <w:jc w:val="both"/>
        <w:rPr>
          <w:rFonts w:ascii="Palatino Linotype" w:hAnsi="Palatino Linotype" w:cs="Palatino Linotype"/>
          <w:color w:val="000000"/>
        </w:rPr>
      </w:pPr>
    </w:p>
    <w:p w14:paraId="4E9CDB0C" w14:textId="5AFE7A1C" w:rsidR="00902A5E" w:rsidRDefault="00902A5E" w:rsidP="00902A5E">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Una vez sentado lo anterior, de una interpretación armónica a la solicitud de información </w:t>
      </w:r>
      <w:r>
        <w:rPr>
          <w:rFonts w:ascii="Palatino Linotype" w:hAnsi="Palatino Linotype" w:cs="Arial"/>
          <w:b/>
          <w:bCs/>
        </w:rPr>
        <w:t xml:space="preserve">00005/SAASCAEM/IP/2025, </w:t>
      </w:r>
      <w:r>
        <w:rPr>
          <w:rFonts w:ascii="Palatino Linotype" w:hAnsi="Palatino Linotype" w:cs="Arial"/>
        </w:rPr>
        <w:t xml:space="preserve">se desprenden las siguientes consideraciones: </w:t>
      </w:r>
    </w:p>
    <w:p w14:paraId="728C29BB" w14:textId="77777777" w:rsidR="00902A5E" w:rsidRPr="004C0F85" w:rsidRDefault="00902A5E" w:rsidP="00902A5E">
      <w:pPr>
        <w:pStyle w:val="Prrafodelista"/>
        <w:numPr>
          <w:ilvl w:val="0"/>
          <w:numId w:val="21"/>
        </w:numPr>
        <w:autoSpaceDE w:val="0"/>
        <w:autoSpaceDN w:val="0"/>
        <w:adjustRightInd w:val="0"/>
        <w:rPr>
          <w:rFonts w:cs="Arial"/>
        </w:rPr>
      </w:pPr>
      <w:r w:rsidRPr="004C0F85">
        <w:rPr>
          <w:rFonts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4C0F85">
        <w:rPr>
          <w:rFonts w:cs="Arial"/>
          <w:b/>
          <w:bCs/>
        </w:rPr>
        <w:t>Sujetos Obligados.</w:t>
      </w:r>
    </w:p>
    <w:p w14:paraId="0629EAFD" w14:textId="77777777" w:rsidR="00902A5E" w:rsidRPr="00F95FBD" w:rsidRDefault="00902A5E" w:rsidP="00902A5E">
      <w:pPr>
        <w:pStyle w:val="Prrafodelista"/>
        <w:autoSpaceDE w:val="0"/>
        <w:autoSpaceDN w:val="0"/>
        <w:adjustRightInd w:val="0"/>
        <w:ind w:left="720"/>
        <w:rPr>
          <w:rFonts w:cs="Arial"/>
        </w:rPr>
      </w:pPr>
    </w:p>
    <w:p w14:paraId="51509A77" w14:textId="1ADC8F79" w:rsidR="00902A5E" w:rsidRDefault="00902A5E" w:rsidP="00902A5E">
      <w:pPr>
        <w:pStyle w:val="Prrafodelista"/>
        <w:numPr>
          <w:ilvl w:val="0"/>
          <w:numId w:val="20"/>
        </w:numPr>
        <w:autoSpaceDE w:val="0"/>
        <w:autoSpaceDN w:val="0"/>
        <w:adjustRightInd w:val="0"/>
        <w:rPr>
          <w:rFonts w:cs="Arial"/>
        </w:rPr>
      </w:pPr>
      <w:r>
        <w:rPr>
          <w:rFonts w:cs="Arial"/>
        </w:rPr>
        <w:t xml:space="preserve">Que fueron formulados </w:t>
      </w:r>
      <w:r>
        <w:rPr>
          <w:rFonts w:cs="Arial"/>
          <w:b/>
          <w:bCs/>
        </w:rPr>
        <w:t xml:space="preserve">2 -dos- </w:t>
      </w:r>
      <w:r>
        <w:rPr>
          <w:rFonts w:cs="Arial"/>
        </w:rPr>
        <w:t xml:space="preserve">requerimientos, </w:t>
      </w:r>
      <w:r w:rsidR="00427BD2">
        <w:rPr>
          <w:rFonts w:cs="Arial"/>
        </w:rPr>
        <w:t xml:space="preserve">respecto de los cuales no fue fijado un parámetro de inicio y conclusión para efectos de búsqueda de la información, debiendo de ser fijados a la fecha en que se ejerció el derecho de </w:t>
      </w:r>
      <w:r w:rsidR="00427BD2">
        <w:rPr>
          <w:rFonts w:cs="Arial"/>
        </w:rPr>
        <w:lastRenderedPageBreak/>
        <w:t xml:space="preserve">acceso a la información pública, es decir, al veintitrés de enero de dos mil veinticinco. </w:t>
      </w:r>
    </w:p>
    <w:p w14:paraId="1901D468" w14:textId="77777777" w:rsidR="00902A5E" w:rsidRPr="00902A5E" w:rsidRDefault="00902A5E" w:rsidP="00317504">
      <w:pPr>
        <w:spacing w:line="360" w:lineRule="auto"/>
        <w:contextualSpacing/>
        <w:jc w:val="both"/>
        <w:rPr>
          <w:rFonts w:ascii="Palatino Linotype" w:hAnsi="Palatino Linotype" w:cs="Palatino Linotype"/>
          <w:color w:val="000000"/>
          <w:lang w:val="es-ES"/>
        </w:rPr>
      </w:pPr>
    </w:p>
    <w:p w14:paraId="476C5AE1" w14:textId="77777777" w:rsidR="00427BD2" w:rsidRPr="0051062B" w:rsidRDefault="00427BD2" w:rsidP="00427BD2">
      <w:pPr>
        <w:spacing w:before="240" w:line="360" w:lineRule="auto"/>
        <w:jc w:val="both"/>
        <w:rPr>
          <w:rFonts w:ascii="Palatino Linotype" w:hAnsi="Palatino Linotype"/>
        </w:rPr>
      </w:pPr>
      <w:r w:rsidRPr="00A44FBE">
        <w:rPr>
          <w:rFonts w:ascii="Palatino Linotype" w:hAnsi="Palatino Linotype"/>
        </w:rPr>
        <w:t xml:space="preserve">Dichas precisiones, con fundamento </w:t>
      </w:r>
      <w:r w:rsidRPr="0051062B">
        <w:rPr>
          <w:rFonts w:ascii="Palatino Linotype" w:hAnsi="Palatino Linotype"/>
        </w:rPr>
        <w:t xml:space="preserve">en los artículos 13 y 181 cuarto párrafo de la Ley en materia, los cuales a la letra rezan: </w:t>
      </w:r>
    </w:p>
    <w:p w14:paraId="22E74D6E" w14:textId="77777777" w:rsidR="00427BD2" w:rsidRPr="0051062B" w:rsidRDefault="00427BD2" w:rsidP="00427BD2">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E922777" w14:textId="77777777" w:rsidR="00427BD2" w:rsidRPr="0051062B" w:rsidRDefault="00427BD2" w:rsidP="00427BD2">
      <w:pPr>
        <w:pStyle w:val="Citas"/>
        <w:rPr>
          <w:b/>
        </w:rPr>
      </w:pPr>
      <w:r w:rsidRPr="0051062B">
        <w:rPr>
          <w:b/>
        </w:rPr>
        <w:t xml:space="preserve">Artículo 181. … </w:t>
      </w:r>
    </w:p>
    <w:p w14:paraId="6800C40A" w14:textId="77777777" w:rsidR="00427BD2" w:rsidRDefault="00427BD2" w:rsidP="00427BD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06D9C3D" w14:textId="77777777" w:rsidR="00427BD2" w:rsidRDefault="00427BD2" w:rsidP="00427BD2">
      <w:pPr>
        <w:autoSpaceDE w:val="0"/>
        <w:autoSpaceDN w:val="0"/>
        <w:adjustRightInd w:val="0"/>
        <w:spacing w:line="360" w:lineRule="auto"/>
        <w:jc w:val="both"/>
        <w:rPr>
          <w:rFonts w:ascii="Palatino Linotype" w:hAnsi="Palatino Linotype" w:cs="Arial"/>
        </w:rPr>
      </w:pPr>
    </w:p>
    <w:p w14:paraId="080F7328" w14:textId="77777777" w:rsidR="00427BD2" w:rsidRDefault="00427BD2" w:rsidP="00427BD2">
      <w:pPr>
        <w:spacing w:before="240" w:line="360" w:lineRule="auto"/>
        <w:jc w:val="both"/>
        <w:rPr>
          <w:rFonts w:ascii="Palatino Linotype" w:hAnsi="Palatino Linotype"/>
        </w:rPr>
      </w:pPr>
      <w:r>
        <w:rPr>
          <w:rFonts w:ascii="Palatino Linotype" w:hAnsi="Palatino Linotype"/>
        </w:rPr>
        <w:t xml:space="preserve">Bajo estas líneas argumentativas, al retomar y delimitar los requerimientos formulados por el ahora </w:t>
      </w:r>
      <w:r>
        <w:rPr>
          <w:rFonts w:ascii="Palatino Linotype" w:hAnsi="Palatino Linotype"/>
          <w:b/>
          <w:bCs/>
        </w:rPr>
        <w:t xml:space="preserve">Recurrente, </w:t>
      </w:r>
      <w:r>
        <w:rPr>
          <w:rFonts w:ascii="Palatino Linotype" w:hAnsi="Palatino Linotype"/>
        </w:rPr>
        <w:t xml:space="preserve">de manera objetiva se precisa que versa en conocer la siguiente información: </w:t>
      </w:r>
    </w:p>
    <w:p w14:paraId="42EBE320" w14:textId="09A9DCE0" w:rsidR="00902A5E" w:rsidRPr="00BC27DE" w:rsidRDefault="00BC27DE" w:rsidP="00317504">
      <w:pPr>
        <w:spacing w:line="360" w:lineRule="auto"/>
        <w:contextualSpacing/>
        <w:jc w:val="both"/>
        <w:rPr>
          <w:rFonts w:ascii="Palatino Linotype" w:hAnsi="Palatino Linotype" w:cs="Palatino Linotype"/>
          <w:b/>
          <w:bCs/>
          <w:color w:val="000000"/>
        </w:rPr>
      </w:pPr>
      <w:r>
        <w:rPr>
          <w:rFonts w:ascii="Palatino Linotype" w:hAnsi="Palatino Linotype" w:cs="Palatino Linotype"/>
          <w:b/>
          <w:bCs/>
          <w:color w:val="000000"/>
        </w:rPr>
        <w:t xml:space="preserve">De la obra macro libramiento mexiquense que se construye sobre calzada de las armas en la zona limítrofe del municipio de Naucalpan y la Alcaldía Azcapotzalco: </w:t>
      </w:r>
    </w:p>
    <w:p w14:paraId="1E47AD9A" w14:textId="77777777" w:rsidR="00902A5E" w:rsidRDefault="00902A5E" w:rsidP="00317504">
      <w:pPr>
        <w:spacing w:line="360" w:lineRule="auto"/>
        <w:contextualSpacing/>
        <w:jc w:val="both"/>
        <w:rPr>
          <w:rFonts w:ascii="Palatino Linotype" w:hAnsi="Palatino Linotype" w:cs="Palatino Linotype"/>
          <w:color w:val="000000"/>
        </w:rPr>
      </w:pPr>
    </w:p>
    <w:p w14:paraId="0E047A1D" w14:textId="41257724" w:rsidR="00902A5E" w:rsidRDefault="00CC4D93" w:rsidP="00BC27DE">
      <w:pPr>
        <w:pStyle w:val="Prrafodelista"/>
        <w:numPr>
          <w:ilvl w:val="0"/>
          <w:numId w:val="22"/>
        </w:numPr>
        <w:contextualSpacing/>
        <w:rPr>
          <w:rFonts w:cs="Palatino Linotype"/>
          <w:color w:val="000000"/>
        </w:rPr>
      </w:pPr>
      <w:r>
        <w:rPr>
          <w:rFonts w:cs="Palatino Linotype"/>
          <w:color w:val="000000"/>
        </w:rPr>
        <w:t xml:space="preserve">Estudio de impacto urbano que la empresa </w:t>
      </w:r>
      <w:proofErr w:type="spellStart"/>
      <w:r>
        <w:rPr>
          <w:rFonts w:cs="Palatino Linotype"/>
          <w:color w:val="000000"/>
        </w:rPr>
        <w:t>Anesa</w:t>
      </w:r>
      <w:proofErr w:type="spellEnd"/>
      <w:r>
        <w:rPr>
          <w:rFonts w:cs="Palatino Linotype"/>
          <w:color w:val="000000"/>
        </w:rPr>
        <w:t xml:space="preserve"> Holding S.A. de C.V. debió presentar para su dictamen ante la Secretaría de Desarrollo Urbano y Vivienda de la Ciudad de México. </w:t>
      </w:r>
    </w:p>
    <w:p w14:paraId="3E585D66" w14:textId="219A8ABD" w:rsidR="00CC4D93" w:rsidRPr="00BC27DE" w:rsidRDefault="00CC4D93" w:rsidP="00BC27DE">
      <w:pPr>
        <w:pStyle w:val="Prrafodelista"/>
        <w:numPr>
          <w:ilvl w:val="0"/>
          <w:numId w:val="22"/>
        </w:numPr>
        <w:contextualSpacing/>
        <w:rPr>
          <w:rFonts w:cs="Palatino Linotype"/>
          <w:color w:val="000000"/>
        </w:rPr>
      </w:pPr>
      <w:r>
        <w:rPr>
          <w:rFonts w:cs="Palatino Linotype"/>
          <w:color w:val="000000"/>
        </w:rPr>
        <w:lastRenderedPageBreak/>
        <w:t xml:space="preserve">Dictamen emitido con motivo de la presentación del documento referido en el punto 1. </w:t>
      </w:r>
    </w:p>
    <w:p w14:paraId="2E10E02D" w14:textId="77777777" w:rsidR="00BE026B" w:rsidRDefault="00BE026B" w:rsidP="00317504">
      <w:pPr>
        <w:keepNext/>
        <w:keepLines/>
        <w:spacing w:line="360" w:lineRule="auto"/>
        <w:jc w:val="both"/>
        <w:outlineLvl w:val="1"/>
        <w:rPr>
          <w:rFonts w:ascii="Palatino Linotype" w:hAnsi="Palatino Linotype"/>
          <w:b/>
          <w:color w:val="000000" w:themeColor="text1"/>
          <w:sz w:val="26"/>
          <w:szCs w:val="26"/>
          <w:lang w:val="es-ES_tradnl"/>
        </w:rPr>
      </w:pPr>
    </w:p>
    <w:p w14:paraId="04DF93CA" w14:textId="77239F3F" w:rsidR="00317504"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Por lo que atento a la solicitud de información </w:t>
      </w:r>
      <w:r w:rsidR="00CC4D93">
        <w:rPr>
          <w:rFonts w:ascii="Palatino Linotype" w:hAnsi="Palatino Linotype" w:cs="Palatino Linotype"/>
          <w:b/>
          <w:bCs/>
          <w:color w:val="000000"/>
          <w:lang w:val="es-ES_tradnl"/>
        </w:rPr>
        <w:t>E</w:t>
      </w:r>
      <w:r w:rsidRPr="00CC4D93">
        <w:rPr>
          <w:rFonts w:ascii="Palatino Linotype" w:hAnsi="Palatino Linotype" w:cs="Palatino Linotype"/>
          <w:b/>
          <w:bCs/>
          <w:color w:val="000000"/>
          <w:lang w:val="es-ES_tradnl"/>
        </w:rPr>
        <w:t>l Sujeto Obligado</w:t>
      </w:r>
      <w:r w:rsidRPr="00F444C4">
        <w:rPr>
          <w:rFonts w:ascii="Palatino Linotype" w:hAnsi="Palatino Linotype" w:cs="Palatino Linotype"/>
          <w:color w:val="000000"/>
          <w:lang w:val="es-ES_tradnl"/>
        </w:rPr>
        <w:t xml:space="preserve"> hizo entrega de</w:t>
      </w:r>
      <w:r>
        <w:rPr>
          <w:rFonts w:ascii="Palatino Linotype" w:hAnsi="Palatino Linotype" w:cs="Palatino Linotype"/>
          <w:color w:val="000000"/>
          <w:lang w:val="es-ES_tradnl"/>
        </w:rPr>
        <w:t xml:space="preserve"> los </w:t>
      </w:r>
      <w:r w:rsidRPr="00F444C4">
        <w:rPr>
          <w:rFonts w:ascii="Palatino Linotype" w:hAnsi="Palatino Linotype" w:cs="Palatino Linotype"/>
          <w:color w:val="000000"/>
          <w:lang w:val="es-ES_tradnl"/>
        </w:rPr>
        <w:t>siguient</w:t>
      </w:r>
      <w:r>
        <w:rPr>
          <w:rFonts w:ascii="Palatino Linotype" w:hAnsi="Palatino Linotype" w:cs="Palatino Linotype"/>
          <w:color w:val="000000"/>
          <w:lang w:val="es-ES_tradnl"/>
        </w:rPr>
        <w:t>es</w:t>
      </w:r>
      <w:r w:rsidRPr="00F444C4">
        <w:rPr>
          <w:rFonts w:ascii="Palatino Linotype" w:hAnsi="Palatino Linotype" w:cs="Palatino Linotype"/>
          <w:color w:val="000000"/>
          <w:lang w:val="es-ES_tradnl"/>
        </w:rPr>
        <w:t xml:space="preserve"> archivo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electrónico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w:t>
      </w:r>
    </w:p>
    <w:p w14:paraId="406EFB7C" w14:textId="77777777" w:rsidR="00CC4D93" w:rsidRDefault="00CC4D93" w:rsidP="00317504">
      <w:pPr>
        <w:spacing w:line="360" w:lineRule="auto"/>
        <w:contextualSpacing/>
        <w:jc w:val="both"/>
        <w:rPr>
          <w:rFonts w:ascii="Palatino Linotype" w:hAnsi="Palatino Linotype" w:cs="Palatino Linotype"/>
          <w:color w:val="000000"/>
          <w:lang w:val="es-ES_tradnl"/>
        </w:rPr>
      </w:pPr>
    </w:p>
    <w:p w14:paraId="68E49BB7" w14:textId="6C732D3E" w:rsidR="00CC4D93" w:rsidRPr="0088661F" w:rsidRDefault="00CC4D93" w:rsidP="00CC4D93">
      <w:pPr>
        <w:pStyle w:val="Prrafodelista"/>
        <w:numPr>
          <w:ilvl w:val="0"/>
          <w:numId w:val="23"/>
        </w:numPr>
        <w:ind w:left="714" w:hanging="357"/>
        <w:contextualSpacing/>
        <w:rPr>
          <w:rFonts w:cs="Palatino Linotype"/>
          <w:b/>
          <w:bCs/>
          <w:color w:val="000000"/>
          <w:lang w:val="es-ES_tradnl"/>
        </w:rPr>
      </w:pPr>
      <w:r w:rsidRPr="00CC4D93">
        <w:rPr>
          <w:rFonts w:cs="Palatino Linotype"/>
          <w:b/>
          <w:bCs/>
          <w:color w:val="000000"/>
          <w:lang w:val="es-ES_tradnl"/>
        </w:rPr>
        <w:t>“SOLICITUD SAIMEX 0005 (3) (2).pdf”:</w:t>
      </w:r>
      <w:r>
        <w:rPr>
          <w:rFonts w:cs="Palatino Linotype"/>
          <w:b/>
          <w:bCs/>
          <w:color w:val="000000"/>
          <w:lang w:val="es-ES_tradnl"/>
        </w:rPr>
        <w:t xml:space="preserve"> </w:t>
      </w:r>
      <w:r>
        <w:rPr>
          <w:rFonts w:cs="Palatino Linotype"/>
          <w:color w:val="000000"/>
          <w:lang w:val="es-ES_tradnl"/>
        </w:rPr>
        <w:t xml:space="preserve">Compila lo siguiente: </w:t>
      </w:r>
    </w:p>
    <w:p w14:paraId="1DDAFB22" w14:textId="77777777" w:rsidR="0088661F" w:rsidRPr="0088661F" w:rsidRDefault="0088661F" w:rsidP="00BB733A">
      <w:pPr>
        <w:pStyle w:val="Prrafodelista"/>
        <w:numPr>
          <w:ilvl w:val="0"/>
          <w:numId w:val="24"/>
        </w:numPr>
        <w:contextualSpacing/>
        <w:rPr>
          <w:i/>
        </w:rPr>
      </w:pPr>
      <w:r w:rsidRPr="0088661F">
        <w:rPr>
          <w:rFonts w:cs="Palatino Linotype"/>
          <w:color w:val="000000"/>
          <w:lang w:val="es-ES_tradnl"/>
        </w:rPr>
        <w:t xml:space="preserve">Oficio número </w:t>
      </w:r>
      <w:r w:rsidRPr="0088661F">
        <w:rPr>
          <w:rFonts w:cs="Palatino Linotype"/>
          <w:b/>
          <w:bCs/>
          <w:color w:val="000000"/>
          <w:lang w:val="es-ES_tradnl"/>
        </w:rPr>
        <w:t xml:space="preserve">220C0201010000L/211/2025 </w:t>
      </w:r>
      <w:r w:rsidRPr="0088661F">
        <w:rPr>
          <w:rFonts w:cs="Palatino Linotype"/>
          <w:color w:val="000000"/>
          <w:lang w:val="es-ES_tradnl"/>
        </w:rPr>
        <w:t xml:space="preserve">signado por el director de proyectos y control de obras, dirigido a la jefa de la unidad de apoyo técnico e informática y titular de transparencia, de fecha diecinueve de febrero de dos mil veinticinco, en términos generales </w:t>
      </w:r>
      <w:r w:rsidRPr="0088661F">
        <w:rPr>
          <w:rFonts w:cs="Arial"/>
          <w:bCs/>
        </w:rPr>
        <w:t>manifiesta que el proyecto no presenta ausencia de trámites ante la SEDUVI debido a que después de la firma del Título de concesión la SAASCAEM en conjunto con la concesionaria iniciaron las gestiones para contar con la liberación y/o autorización de las Dependencias gubernamentales de la Ciudad de México y del Estado de México.</w:t>
      </w:r>
      <w:r>
        <w:rPr>
          <w:rFonts w:cs="Arial"/>
          <w:bCs/>
        </w:rPr>
        <w:t xml:space="preserve"> </w:t>
      </w:r>
    </w:p>
    <w:p w14:paraId="598D0AAE" w14:textId="1CBF5884" w:rsidR="0088661F" w:rsidRDefault="0088661F" w:rsidP="0088661F">
      <w:pPr>
        <w:pStyle w:val="Prrafodelista"/>
        <w:ind w:left="1074"/>
        <w:contextualSpacing/>
        <w:rPr>
          <w:rFonts w:cs="Arial"/>
          <w:bCs/>
        </w:rPr>
      </w:pPr>
      <w:r>
        <w:rPr>
          <w:rFonts w:cs="Arial"/>
          <w:bCs/>
        </w:rPr>
        <w:t>Asimismo, refiere que se consultó con la alcaldía de Azcapotzalco y se presentaron todos los estudios, planos y el programa de la obra desde diciembre de 2023 obteniendo la autorización y opinión favorable mediante oficio ALCALDIA-AZCA-DGODUS/DDU/-2024-2940 de fecha cinco de septiembre de dos mil veinticuatro, estableciendo además que la vialidad no es considerada como primaria por lo que no se omitió ni se incumplió algún ordenamiento.</w:t>
      </w:r>
    </w:p>
    <w:p w14:paraId="7AD1B155" w14:textId="77777777" w:rsidR="0088661F" w:rsidRPr="0088661F" w:rsidRDefault="0088661F" w:rsidP="0088661F">
      <w:pPr>
        <w:pStyle w:val="Prrafodelista"/>
        <w:ind w:left="1074"/>
        <w:contextualSpacing/>
        <w:rPr>
          <w:i/>
        </w:rPr>
      </w:pPr>
    </w:p>
    <w:p w14:paraId="0E6E51BC" w14:textId="2CC06DE9" w:rsidR="0088661F" w:rsidRPr="0088661F" w:rsidRDefault="0088661F" w:rsidP="0088661F">
      <w:pPr>
        <w:pStyle w:val="Prrafodelista"/>
        <w:numPr>
          <w:ilvl w:val="0"/>
          <w:numId w:val="24"/>
        </w:numPr>
        <w:contextualSpacing/>
        <w:rPr>
          <w:rFonts w:cs="Palatino Linotype"/>
          <w:color w:val="000000"/>
          <w:lang w:val="es-ES_tradnl"/>
        </w:rPr>
      </w:pPr>
      <w:r>
        <w:rPr>
          <w:rFonts w:cs="Palatino Linotype"/>
          <w:color w:val="000000"/>
        </w:rPr>
        <w:lastRenderedPageBreak/>
        <w:t xml:space="preserve">Oficio número </w:t>
      </w:r>
      <w:r>
        <w:rPr>
          <w:rFonts w:cs="Palatino Linotype"/>
          <w:b/>
          <w:bCs/>
          <w:color w:val="000000"/>
        </w:rPr>
        <w:t xml:space="preserve">ALCALDÍA-AZCA/DGODUS/DDU/-2024-2940 </w:t>
      </w:r>
      <w:r>
        <w:rPr>
          <w:rFonts w:cs="Palatino Linotype"/>
          <w:color w:val="000000"/>
        </w:rPr>
        <w:t xml:space="preserve">signado por la </w:t>
      </w:r>
      <w:r w:rsidR="002A5B70">
        <w:rPr>
          <w:rFonts w:cs="Palatino Linotype"/>
          <w:color w:val="000000"/>
        </w:rPr>
        <w:t xml:space="preserve">directora general de obras, desarrollo urbano y sustentabilidad, dirigido al director de proyectos y control de obras de </w:t>
      </w:r>
      <w:r w:rsidR="002A5B70" w:rsidRPr="006816A6">
        <w:rPr>
          <w:rFonts w:cs="Palatino Linotype"/>
          <w:b/>
          <w:bCs/>
          <w:color w:val="000000"/>
        </w:rPr>
        <w:t>SAASCAEM,</w:t>
      </w:r>
      <w:r w:rsidR="002A5B70">
        <w:rPr>
          <w:rFonts w:cs="Palatino Linotype"/>
          <w:color w:val="000000"/>
        </w:rPr>
        <w:t xml:space="preserve"> de fecha cinco de septiembre de dos mil veinticuatro, en lo medular informa la emisión de opinión favorable condicionada para iniciar la construcción del proyecto, para iniciar construcción el 30 de septiembre de 2024 y concluyendo al periodo de la administración, por lo que deberá de ser actualizada con la autoridad en turno. </w:t>
      </w:r>
    </w:p>
    <w:p w14:paraId="6C52E64E" w14:textId="77777777" w:rsidR="00CC4D93" w:rsidRDefault="00CC4D93" w:rsidP="00CC4D93">
      <w:pPr>
        <w:pStyle w:val="Prrafodelista"/>
        <w:ind w:left="714"/>
        <w:contextualSpacing/>
        <w:rPr>
          <w:rFonts w:cs="Palatino Linotype"/>
          <w:b/>
          <w:bCs/>
          <w:color w:val="000000"/>
          <w:lang w:val="es-ES_tradnl"/>
        </w:rPr>
      </w:pPr>
    </w:p>
    <w:p w14:paraId="4B22B978" w14:textId="2F8294B5" w:rsidR="00CC4D93" w:rsidRPr="00CC4D93" w:rsidRDefault="00CC4D93" w:rsidP="00CC4D93">
      <w:pPr>
        <w:pStyle w:val="Prrafodelista"/>
        <w:numPr>
          <w:ilvl w:val="0"/>
          <w:numId w:val="23"/>
        </w:numPr>
        <w:ind w:left="714" w:hanging="357"/>
        <w:contextualSpacing/>
        <w:rPr>
          <w:rFonts w:cs="Palatino Linotype"/>
          <w:b/>
          <w:bCs/>
          <w:color w:val="000000"/>
          <w:lang w:val="es-ES_tradnl"/>
        </w:rPr>
      </w:pPr>
      <w:r w:rsidRPr="00CC4D93">
        <w:rPr>
          <w:rFonts w:cs="Palatino Linotype"/>
          <w:b/>
          <w:bCs/>
          <w:color w:val="000000"/>
          <w:lang w:val="es-ES_tradnl"/>
        </w:rPr>
        <w:t>“</w:t>
      </w:r>
      <w:proofErr w:type="spellStart"/>
      <w:r w:rsidRPr="00CC4D93">
        <w:rPr>
          <w:rFonts w:cs="Palatino Linotype"/>
          <w:b/>
          <w:bCs/>
          <w:color w:val="000000"/>
          <w:lang w:val="es-ES_tradnl"/>
        </w:rPr>
        <w:t>resp</w:t>
      </w:r>
      <w:proofErr w:type="spellEnd"/>
      <w:r w:rsidRPr="00CC4D93">
        <w:rPr>
          <w:rFonts w:cs="Palatino Linotype"/>
          <w:b/>
          <w:bCs/>
          <w:color w:val="000000"/>
          <w:lang w:val="es-ES_tradnl"/>
        </w:rPr>
        <w:t xml:space="preserve"> sol 5.pdf”: </w:t>
      </w:r>
      <w:r>
        <w:rPr>
          <w:rFonts w:cs="Palatino Linotype"/>
          <w:color w:val="000000"/>
          <w:lang w:val="es-ES_tradnl"/>
        </w:rPr>
        <w:t xml:space="preserve">Oficio número </w:t>
      </w:r>
      <w:r w:rsidR="0088661F">
        <w:rPr>
          <w:rFonts w:cs="Palatino Linotype"/>
          <w:b/>
          <w:bCs/>
          <w:color w:val="000000"/>
          <w:lang w:val="es-ES_tradnl"/>
        </w:rPr>
        <w:t xml:space="preserve">220C0201000500S/065/2025 </w:t>
      </w:r>
      <w:r w:rsidR="0088661F">
        <w:rPr>
          <w:rFonts w:cs="Palatino Linotype"/>
          <w:color w:val="000000"/>
          <w:lang w:val="es-ES_tradnl"/>
        </w:rPr>
        <w:t xml:space="preserve">signado por la jefa de la unidad de apoyo técnico e informática, dirigido al solicitante de información, de fecha veinticinco de febrero de dos mil veinticinco, refiere adjuntar oficio de respuesta emitido por la dirección de proyectos y control de obras. </w:t>
      </w:r>
    </w:p>
    <w:p w14:paraId="3E3E4C18" w14:textId="77777777" w:rsidR="00CC4D93" w:rsidRDefault="00CC4D93" w:rsidP="00317504">
      <w:pPr>
        <w:spacing w:line="360" w:lineRule="auto"/>
        <w:contextualSpacing/>
        <w:jc w:val="both"/>
        <w:rPr>
          <w:rFonts w:ascii="Palatino Linotype" w:hAnsi="Palatino Linotype" w:cs="Palatino Linotype"/>
          <w:color w:val="000000"/>
          <w:lang w:val="es-ES_tradnl"/>
        </w:rPr>
      </w:pPr>
    </w:p>
    <w:p w14:paraId="12075B32" w14:textId="49CED5E1" w:rsidR="002A5B70" w:rsidRDefault="00317504" w:rsidP="00317504">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Ante la respuesta emitida por </w:t>
      </w:r>
      <w:r w:rsidR="002A5B70">
        <w:rPr>
          <w:rFonts w:ascii="Palatino Linotype" w:hAnsi="Palatino Linotype" w:cs="Palatino Linotype"/>
          <w:b/>
          <w:bCs/>
          <w:color w:val="000000"/>
          <w:lang w:val="es-ES_tradnl"/>
        </w:rPr>
        <w:t>E</w:t>
      </w:r>
      <w:r w:rsidRPr="002A5B70">
        <w:rPr>
          <w:rFonts w:ascii="Palatino Linotype" w:hAnsi="Palatino Linotype" w:cs="Palatino Linotype"/>
          <w:b/>
          <w:bCs/>
          <w:color w:val="000000"/>
          <w:lang w:val="es-ES_tradnl"/>
        </w:rPr>
        <w:t xml:space="preserve">l Sujeto Obligado, </w:t>
      </w:r>
      <w:r w:rsidR="002A5B70">
        <w:rPr>
          <w:rFonts w:ascii="Palatino Linotype" w:hAnsi="Palatino Linotype" w:cs="Palatino Linotype"/>
          <w:b/>
          <w:bCs/>
          <w:color w:val="000000"/>
          <w:lang w:val="es-ES_tradnl"/>
        </w:rPr>
        <w:t>La</w:t>
      </w:r>
      <w:r w:rsidRPr="002A5B70">
        <w:rPr>
          <w:rFonts w:ascii="Palatino Linotype" w:hAnsi="Palatino Linotype" w:cs="Palatino Linotype"/>
          <w:b/>
          <w:bCs/>
          <w:color w:val="000000"/>
          <w:lang w:val="es-ES_tradnl"/>
        </w:rPr>
        <w:t xml:space="preserve"> Recurrente</w:t>
      </w:r>
      <w:r w:rsidRPr="00F444C4">
        <w:rPr>
          <w:rFonts w:ascii="Palatino Linotype" w:hAnsi="Palatino Linotype" w:cs="Palatino Linotype"/>
          <w:color w:val="000000"/>
          <w:lang w:val="es-ES_tradnl"/>
        </w:rPr>
        <w:t xml:space="preserve"> consideró que su derecho a la información pública había sido </w:t>
      </w:r>
      <w:r w:rsidR="002A5B70">
        <w:rPr>
          <w:rFonts w:ascii="Palatino Linotype" w:hAnsi="Palatino Linotype" w:cs="Palatino Linotype"/>
          <w:color w:val="000000"/>
          <w:lang w:val="es-ES_tradnl"/>
        </w:rPr>
        <w:t xml:space="preserve">restringido, por lo que interpuso el recurso de revisión al rubro citado, señalando las siguientes manifestaciones: </w:t>
      </w:r>
    </w:p>
    <w:p w14:paraId="2CC05459" w14:textId="77777777" w:rsidR="002A5B70" w:rsidRDefault="002A5B70" w:rsidP="002A5B70">
      <w:pPr>
        <w:spacing w:before="240" w:line="360" w:lineRule="auto"/>
        <w:jc w:val="both"/>
        <w:rPr>
          <w:rFonts w:ascii="Palatino Linotype" w:hAnsi="Palatino Linotype" w:cs="Arial"/>
          <w:b/>
        </w:rPr>
      </w:pPr>
      <w:r>
        <w:rPr>
          <w:rFonts w:ascii="Palatino Linotype" w:hAnsi="Palatino Linotype" w:cs="Arial"/>
          <w:b/>
        </w:rPr>
        <w:t>Acto Impugnado:</w:t>
      </w:r>
    </w:p>
    <w:p w14:paraId="6970A8C8" w14:textId="77777777" w:rsidR="002A5B70" w:rsidRPr="00CE3EB5" w:rsidRDefault="002A5B70" w:rsidP="002A5B70">
      <w:pPr>
        <w:pStyle w:val="Citas"/>
        <w:rPr>
          <w:b/>
          <w:bCs/>
          <w:sz w:val="24"/>
        </w:rPr>
      </w:pPr>
      <w:r w:rsidRPr="00C16092">
        <w:t>“</w:t>
      </w:r>
      <w:r w:rsidRPr="00902A5E">
        <w:t>El documento que anexan para contestar la petición es inválido y no corresponde a lo que estoy preguntando</w:t>
      </w:r>
      <w:r w:rsidRPr="00C16092">
        <w:t>”</w:t>
      </w:r>
      <w:r>
        <w:t xml:space="preserve"> </w:t>
      </w:r>
      <w:r>
        <w:rPr>
          <w:b/>
          <w:bCs/>
        </w:rPr>
        <w:t>(Sic)</w:t>
      </w:r>
    </w:p>
    <w:p w14:paraId="2207E151" w14:textId="77777777" w:rsidR="002A5B70" w:rsidRDefault="002A5B70" w:rsidP="002A5B70">
      <w:pPr>
        <w:spacing w:before="240" w:line="360" w:lineRule="auto"/>
        <w:jc w:val="both"/>
        <w:rPr>
          <w:rFonts w:ascii="Palatino Linotype" w:hAnsi="Palatino Linotype" w:cs="Arial"/>
          <w:b/>
        </w:rPr>
      </w:pPr>
      <w:r>
        <w:rPr>
          <w:rFonts w:ascii="Palatino Linotype" w:hAnsi="Palatino Linotype" w:cs="Arial"/>
          <w:b/>
        </w:rPr>
        <w:t>Razones o motivos de la inconformidad:</w:t>
      </w:r>
    </w:p>
    <w:p w14:paraId="235BA00B" w14:textId="77777777" w:rsidR="002A5B70" w:rsidRPr="00CE3EB5" w:rsidRDefault="002A5B70" w:rsidP="002A5B70">
      <w:pPr>
        <w:pStyle w:val="Citas"/>
        <w:rPr>
          <w:b/>
          <w:bCs/>
        </w:rPr>
      </w:pPr>
      <w:r w:rsidRPr="00C16092">
        <w:lastRenderedPageBreak/>
        <w:t>“</w:t>
      </w:r>
      <w:r w:rsidRPr="00902A5E">
        <w:t xml:space="preserve">La información que se pide es </w:t>
      </w:r>
      <w:proofErr w:type="spellStart"/>
      <w:r w:rsidRPr="00902A5E">
        <w:t>es</w:t>
      </w:r>
      <w:proofErr w:type="spellEnd"/>
      <w:r w:rsidRPr="00902A5E">
        <w:t xml:space="preserve"> Estudio de Impacto Urbano y el dictamen de la autoridad ante la que se presenta de la obra denominada </w:t>
      </w:r>
      <w:proofErr w:type="spellStart"/>
      <w:r w:rsidRPr="00902A5E">
        <w:t>Macrolibramiento</w:t>
      </w:r>
      <w:proofErr w:type="spellEnd"/>
      <w:r w:rsidRPr="00902A5E">
        <w:t xml:space="preserve"> Mexiquense. Lo que me contestan es un oficio que ya ha perdido validez</w:t>
      </w:r>
      <w:r w:rsidRPr="00C16092">
        <w:t>”</w:t>
      </w:r>
      <w:r>
        <w:t xml:space="preserve"> </w:t>
      </w:r>
      <w:r>
        <w:rPr>
          <w:b/>
          <w:bCs/>
        </w:rPr>
        <w:t>(Sic)</w:t>
      </w:r>
    </w:p>
    <w:p w14:paraId="783C7249" w14:textId="77777777" w:rsidR="002A5B70" w:rsidRDefault="002A5B70" w:rsidP="00317504">
      <w:pPr>
        <w:spacing w:line="360" w:lineRule="auto"/>
        <w:contextualSpacing/>
        <w:jc w:val="both"/>
        <w:rPr>
          <w:rFonts w:ascii="Palatino Linotype" w:hAnsi="Palatino Linotype" w:cs="Palatino Linotype"/>
          <w:color w:val="000000"/>
        </w:rPr>
      </w:pPr>
    </w:p>
    <w:p w14:paraId="6631396C" w14:textId="77777777" w:rsidR="002A5B70" w:rsidRPr="005F6EEA" w:rsidRDefault="002A5B70" w:rsidP="002A5B70">
      <w:pPr>
        <w:pStyle w:val="infoemcitas"/>
        <w:tabs>
          <w:tab w:val="left" w:pos="7655"/>
        </w:tabs>
        <w:ind w:left="0" w:right="0"/>
        <w:rPr>
          <w:rFonts w:cs="Arial"/>
          <w:i w:val="0"/>
          <w:color w:val="000000"/>
          <w:sz w:val="24"/>
          <w:lang w:eastAsia="es-MX"/>
        </w:rPr>
      </w:pPr>
      <w:r w:rsidRPr="005F6EEA">
        <w:rPr>
          <w:i w:val="0"/>
          <w:sz w:val="24"/>
          <w:szCs w:val="24"/>
        </w:rPr>
        <w:t xml:space="preserve">Así las cosas, hasta aquí lo expuesto, resulta inconcuso que </w:t>
      </w:r>
      <w:r w:rsidRPr="005F6EEA">
        <w:rPr>
          <w:bCs/>
          <w:i w:val="0"/>
          <w:sz w:val="24"/>
          <w:szCs w:val="24"/>
        </w:rPr>
        <w:t>el acto impugnado y los motivos de inconformidad expuestos por</w:t>
      </w:r>
      <w:r w:rsidRPr="005F6EEA">
        <w:rPr>
          <w:rFonts w:cs="Arial"/>
          <w:i w:val="0"/>
          <w:color w:val="000000"/>
          <w:sz w:val="24"/>
          <w:lang w:eastAsia="es-MX"/>
        </w:rPr>
        <w:t xml:space="preserve"> </w:t>
      </w:r>
      <w:r w:rsidRPr="005F6EEA">
        <w:rPr>
          <w:rFonts w:cs="Arial"/>
          <w:b/>
          <w:i w:val="0"/>
          <w:color w:val="000000"/>
          <w:sz w:val="24"/>
          <w:lang w:eastAsia="es-MX"/>
        </w:rPr>
        <w:t xml:space="preserve">El Recurrente, </w:t>
      </w:r>
      <w:r w:rsidRPr="005F6EEA">
        <w:rPr>
          <w:rFonts w:cs="Arial"/>
          <w:i w:val="0"/>
          <w:color w:val="000000"/>
          <w:sz w:val="24"/>
          <w:lang w:eastAsia="es-MX"/>
        </w:rPr>
        <w:t xml:space="preserve">son susceptibles de actualizar la hipótesis prevista en el artículo 179 fracción I de la Ley de Transparencia y Acceso a la Información Pública del Estado de México y Municipios, cuyo contenido literal es el siguiente: </w:t>
      </w:r>
    </w:p>
    <w:p w14:paraId="0974D621" w14:textId="77777777" w:rsidR="002A5B70" w:rsidRPr="005F6EEA" w:rsidRDefault="002A5B70" w:rsidP="002A5B70">
      <w:pPr>
        <w:pStyle w:val="Citas"/>
      </w:pPr>
      <w:r w:rsidRPr="005F6EEA">
        <w:t xml:space="preserve"> “Artículo 179. El recurso de revisión es un medio de protección que la Ley otorga a los particulares, para hacer valer su derecho de acceso a la información pública, y procederá en contra de las siguientes causas:</w:t>
      </w:r>
    </w:p>
    <w:p w14:paraId="6247670F" w14:textId="77777777" w:rsidR="002A5B70" w:rsidRPr="00930214" w:rsidRDefault="002A5B70" w:rsidP="002A5B70">
      <w:pPr>
        <w:pStyle w:val="Citas"/>
        <w:rPr>
          <w:b/>
          <w:bCs/>
        </w:rPr>
      </w:pPr>
      <w:r w:rsidRPr="005F6EEA">
        <w:t>I. La negativa a la información solicitada;</w:t>
      </w:r>
      <w:r>
        <w:t xml:space="preserve">” </w:t>
      </w:r>
      <w:r>
        <w:rPr>
          <w:b/>
          <w:bCs/>
        </w:rPr>
        <w:t>(Sic)</w:t>
      </w:r>
    </w:p>
    <w:p w14:paraId="5879DCB4" w14:textId="77777777" w:rsidR="002A5B70" w:rsidRDefault="002A5B70" w:rsidP="00317504">
      <w:pPr>
        <w:spacing w:line="360" w:lineRule="auto"/>
        <w:contextualSpacing/>
        <w:jc w:val="both"/>
        <w:rPr>
          <w:rFonts w:ascii="Palatino Linotype" w:hAnsi="Palatino Linotype" w:cs="Palatino Linotype"/>
          <w:color w:val="000000"/>
        </w:rPr>
      </w:pPr>
    </w:p>
    <w:p w14:paraId="70A3C4E7" w14:textId="48CB2237" w:rsidR="002A5B70" w:rsidRDefault="00317504" w:rsidP="00C2080B">
      <w:pPr>
        <w:spacing w:line="360" w:lineRule="auto"/>
        <w:jc w:val="both"/>
        <w:rPr>
          <w:rFonts w:ascii="Palatino Linotype" w:hAnsi="Palatino Linotype" w:cs="Calibri"/>
          <w:lang w:val="es-ES_tradnl"/>
        </w:rPr>
      </w:pPr>
      <w:r>
        <w:rPr>
          <w:rFonts w:ascii="Palatino Linotype" w:hAnsi="Palatino Linotype" w:cs="Calibri"/>
          <w:lang w:val="es-ES_tradnl"/>
        </w:rPr>
        <w:t>De lo anterior en aras de no vulnerar el derecho al acceso a la información</w:t>
      </w:r>
      <w:r w:rsidR="002A5B70">
        <w:rPr>
          <w:rFonts w:ascii="Palatino Linotype" w:hAnsi="Palatino Linotype" w:cs="Calibri"/>
          <w:lang w:val="es-ES_tradnl"/>
        </w:rPr>
        <w:t xml:space="preserve">, </w:t>
      </w:r>
      <w:r w:rsidR="002A5B70" w:rsidRPr="002A5B70">
        <w:rPr>
          <w:rFonts w:ascii="Palatino Linotype" w:hAnsi="Palatino Linotype" w:cs="Calibri"/>
          <w:b/>
          <w:bCs/>
          <w:lang w:val="es-ES_tradnl"/>
        </w:rPr>
        <w:t>E</w:t>
      </w:r>
      <w:r w:rsidRPr="002A5B70">
        <w:rPr>
          <w:rFonts w:ascii="Palatino Linotype" w:hAnsi="Palatino Linotype" w:cs="Calibri"/>
          <w:b/>
          <w:bCs/>
          <w:lang w:val="es-ES_tradnl"/>
        </w:rPr>
        <w:t>l Sujeto Obligado</w:t>
      </w:r>
      <w:r w:rsidR="002A5B70">
        <w:rPr>
          <w:rFonts w:ascii="Palatino Linotype" w:hAnsi="Palatino Linotype" w:cs="Calibri"/>
          <w:b/>
          <w:bCs/>
          <w:lang w:val="es-ES_tradnl"/>
        </w:rPr>
        <w:t xml:space="preserve"> </w:t>
      </w:r>
      <w:r w:rsidR="002A5B70">
        <w:rPr>
          <w:rFonts w:ascii="Palatino Linotype" w:hAnsi="Palatino Linotype" w:cs="Calibri"/>
          <w:lang w:val="es-ES_tradnl"/>
        </w:rPr>
        <w:t>rindió su informe justificado en los siguientes términos:</w:t>
      </w:r>
    </w:p>
    <w:p w14:paraId="10B7B863" w14:textId="137FF181" w:rsidR="002A5B70" w:rsidRPr="002A5B70" w:rsidRDefault="002A5B70" w:rsidP="006D338B">
      <w:pPr>
        <w:pStyle w:val="Prrafodelista"/>
        <w:numPr>
          <w:ilvl w:val="0"/>
          <w:numId w:val="25"/>
        </w:numPr>
        <w:ind w:left="284" w:hanging="295"/>
        <w:rPr>
          <w:rFonts w:cs="Calibri"/>
          <w:b/>
          <w:bCs/>
          <w:lang w:val="es-ES_tradnl"/>
        </w:rPr>
      </w:pPr>
      <w:r>
        <w:rPr>
          <w:rFonts w:cs="Calibri"/>
          <w:b/>
          <w:bCs/>
          <w:lang w:val="es-ES_tradnl"/>
        </w:rPr>
        <w:t xml:space="preserve">“ANEXOS DEL INF JUSTIFICADO.zip”: </w:t>
      </w:r>
      <w:r>
        <w:rPr>
          <w:rFonts w:cs="Calibri"/>
          <w:lang w:val="es-ES_tradnl"/>
        </w:rPr>
        <w:t>Compila lo</w:t>
      </w:r>
      <w:r w:rsidR="00E2115D">
        <w:rPr>
          <w:rFonts w:cs="Calibri"/>
          <w:lang w:val="es-ES_tradnl"/>
        </w:rPr>
        <w:t>s siguientes documentos:</w:t>
      </w:r>
    </w:p>
    <w:p w14:paraId="37732D41" w14:textId="102574B9" w:rsidR="00E2115D" w:rsidRPr="006D338B" w:rsidRDefault="00E2115D" w:rsidP="006D338B">
      <w:pPr>
        <w:pStyle w:val="Prrafodelista"/>
        <w:numPr>
          <w:ilvl w:val="0"/>
          <w:numId w:val="27"/>
        </w:numPr>
        <w:rPr>
          <w:rFonts w:cs="Arial"/>
          <w:bCs/>
          <w:i/>
        </w:rPr>
      </w:pPr>
      <w:r w:rsidRPr="006D338B">
        <w:rPr>
          <w:rFonts w:cs="Calibri"/>
          <w:b/>
          <w:bCs/>
          <w:lang w:val="es-ES_tradnl"/>
        </w:rPr>
        <w:t xml:space="preserve">“3ra </w:t>
      </w:r>
      <w:proofErr w:type="spellStart"/>
      <w:r w:rsidRPr="006D338B">
        <w:rPr>
          <w:rFonts w:cs="Calibri"/>
          <w:b/>
          <w:bCs/>
          <w:lang w:val="es-ES_tradnl"/>
        </w:rPr>
        <w:t>sesion</w:t>
      </w:r>
      <w:proofErr w:type="spellEnd"/>
      <w:r w:rsidRPr="006D338B">
        <w:rPr>
          <w:rFonts w:cs="Calibri"/>
          <w:b/>
          <w:bCs/>
          <w:lang w:val="es-ES_tradnl"/>
        </w:rPr>
        <w:t xml:space="preserve"> </w:t>
      </w:r>
      <w:proofErr w:type="spellStart"/>
      <w:r w:rsidRPr="006D338B">
        <w:rPr>
          <w:rFonts w:cs="Calibri"/>
          <w:b/>
          <w:bCs/>
          <w:lang w:val="es-ES_tradnl"/>
        </w:rPr>
        <w:t>ext</w:t>
      </w:r>
      <w:proofErr w:type="spellEnd"/>
      <w:r w:rsidRPr="006D338B">
        <w:rPr>
          <w:rFonts w:cs="Calibri"/>
          <w:b/>
          <w:bCs/>
          <w:lang w:val="es-ES_tradnl"/>
        </w:rPr>
        <w:t xml:space="preserve"> </w:t>
      </w:r>
      <w:proofErr w:type="spellStart"/>
      <w:r w:rsidRPr="006D338B">
        <w:rPr>
          <w:rFonts w:cs="Calibri"/>
          <w:b/>
          <w:bCs/>
          <w:lang w:val="es-ES_tradnl"/>
        </w:rPr>
        <w:t>transp</w:t>
      </w:r>
      <w:proofErr w:type="spellEnd"/>
      <w:r w:rsidRPr="006D338B">
        <w:rPr>
          <w:rFonts w:cs="Calibri"/>
          <w:b/>
          <w:bCs/>
          <w:lang w:val="es-ES_tradnl"/>
        </w:rPr>
        <w:t xml:space="preserve"> 2025.pdf”: </w:t>
      </w:r>
      <w:r w:rsidRPr="006D338B">
        <w:rPr>
          <w:rFonts w:cs="Arial"/>
          <w:bCs/>
        </w:rPr>
        <w:t xml:space="preserve">Documento que consta de cinco fojas en el que se advierte la tercera sesión extraordinaria de fecha doce de febrero de dos mil veinticinco del comité de transparencia con número de acuerdo </w:t>
      </w:r>
      <w:r w:rsidRPr="006D338B">
        <w:rPr>
          <w:rFonts w:cs="Arial"/>
          <w:b/>
        </w:rPr>
        <w:t>ACT/SAACAEM/EXT/COMT/3/2025</w:t>
      </w:r>
      <w:r w:rsidRPr="006D338B">
        <w:rPr>
          <w:rFonts w:cs="Arial"/>
          <w:bCs/>
        </w:rPr>
        <w:t xml:space="preserve"> por medio del cual se aprueba la prórroga para dar contestación a la solicitud de información</w:t>
      </w:r>
      <w:r w:rsidRPr="006D338B">
        <w:rPr>
          <w:rFonts w:ascii="Verdana" w:hAnsi="Verdana"/>
          <w:b/>
          <w:bCs/>
          <w:color w:val="FF0000"/>
        </w:rPr>
        <w:t xml:space="preserve"> </w:t>
      </w:r>
      <w:r w:rsidRPr="006D338B">
        <w:rPr>
          <w:b/>
          <w:bCs/>
        </w:rPr>
        <w:t>00004/SAASCAEM/IP/2025</w:t>
      </w:r>
      <w:r w:rsidRPr="006D338B">
        <w:rPr>
          <w:rFonts w:cs="Arial"/>
          <w:bCs/>
        </w:rPr>
        <w:t>.</w:t>
      </w:r>
    </w:p>
    <w:p w14:paraId="0EC1AF6A" w14:textId="77777777" w:rsidR="00E2115D" w:rsidRPr="00E2115D" w:rsidRDefault="00E2115D" w:rsidP="00E2115D">
      <w:pPr>
        <w:rPr>
          <w:rFonts w:cs="Calibri"/>
          <w:b/>
          <w:bCs/>
          <w:lang w:val="es-ES_tradnl"/>
        </w:rPr>
      </w:pPr>
    </w:p>
    <w:p w14:paraId="35B172A4" w14:textId="78073847" w:rsidR="00E2115D" w:rsidRPr="006D338B" w:rsidRDefault="00E2115D" w:rsidP="006D338B">
      <w:pPr>
        <w:pStyle w:val="Prrafodelista"/>
        <w:numPr>
          <w:ilvl w:val="0"/>
          <w:numId w:val="27"/>
        </w:numPr>
        <w:rPr>
          <w:rFonts w:cs="Calibri"/>
          <w:b/>
          <w:bCs/>
          <w:lang w:val="es-ES_tradnl"/>
        </w:rPr>
      </w:pPr>
      <w:r w:rsidRPr="006D338B">
        <w:rPr>
          <w:rFonts w:cs="Calibri"/>
          <w:b/>
          <w:bCs/>
          <w:lang w:val="es-ES_tradnl"/>
        </w:rPr>
        <w:t xml:space="preserve">“ANEXO 1.pdf”: </w:t>
      </w:r>
      <w:r w:rsidR="006D338B">
        <w:rPr>
          <w:rFonts w:cs="Calibri"/>
          <w:lang w:val="es-ES_tradnl"/>
        </w:rPr>
        <w:t>A su vez c</w:t>
      </w:r>
      <w:r w:rsidR="006816A6" w:rsidRPr="006D338B">
        <w:rPr>
          <w:rFonts w:cs="Calibri"/>
          <w:lang w:val="es-ES_tradnl"/>
        </w:rPr>
        <w:t>ompila lo siguiente:</w:t>
      </w:r>
    </w:p>
    <w:p w14:paraId="1DF3F03B" w14:textId="669B44FC" w:rsidR="006816A6" w:rsidRDefault="006816A6" w:rsidP="006D338B">
      <w:pPr>
        <w:pStyle w:val="Prrafodelista"/>
        <w:numPr>
          <w:ilvl w:val="1"/>
          <w:numId w:val="27"/>
        </w:numPr>
        <w:rPr>
          <w:rFonts w:cs="Calibri"/>
          <w:lang w:val="es-ES_tradnl"/>
        </w:rPr>
      </w:pPr>
      <w:r>
        <w:rPr>
          <w:rFonts w:cs="Calibri"/>
          <w:lang w:val="es-ES_tradnl"/>
        </w:rPr>
        <w:t xml:space="preserve">Correo electrónico dirigido al director de proyectos y control de obras, de fecha veintitrés de enero de dos mil veinticinco, en lo medular le requiere rendir elementos para integrar la respuesta. </w:t>
      </w:r>
    </w:p>
    <w:p w14:paraId="53A466F7" w14:textId="4471E7C6" w:rsidR="006816A6" w:rsidRDefault="006816A6" w:rsidP="006D338B">
      <w:pPr>
        <w:pStyle w:val="Prrafodelista"/>
        <w:numPr>
          <w:ilvl w:val="1"/>
          <w:numId w:val="27"/>
        </w:numPr>
        <w:rPr>
          <w:rFonts w:cs="Calibri"/>
          <w:lang w:val="es-ES_tradnl"/>
        </w:rPr>
      </w:pPr>
      <w:r>
        <w:rPr>
          <w:rFonts w:cs="Calibri"/>
          <w:lang w:val="es-ES_tradnl"/>
        </w:rPr>
        <w:t xml:space="preserve">Acuse de solicitud de información número </w:t>
      </w:r>
      <w:r>
        <w:rPr>
          <w:rFonts w:cs="Calibri"/>
          <w:b/>
          <w:bCs/>
          <w:lang w:val="es-ES_tradnl"/>
        </w:rPr>
        <w:t xml:space="preserve">00005/SAASCAEM/IP/2025, </w:t>
      </w:r>
      <w:r>
        <w:rPr>
          <w:rFonts w:cs="Calibri"/>
          <w:lang w:val="es-ES_tradnl"/>
        </w:rPr>
        <w:t xml:space="preserve">refleja diversos apartados tales como datos del solicitante, información requerida, modalidad de entrega, plazo de respuesta, entre otros. </w:t>
      </w:r>
    </w:p>
    <w:p w14:paraId="48D92C78" w14:textId="56123A79" w:rsidR="006816A6" w:rsidRDefault="006816A6" w:rsidP="006D338B">
      <w:pPr>
        <w:pStyle w:val="Prrafodelista"/>
        <w:numPr>
          <w:ilvl w:val="1"/>
          <w:numId w:val="27"/>
        </w:numPr>
        <w:rPr>
          <w:rFonts w:cs="Calibri"/>
          <w:lang w:val="es-ES_tradnl"/>
        </w:rPr>
      </w:pPr>
      <w:r>
        <w:rPr>
          <w:rFonts w:cs="Calibri"/>
          <w:lang w:val="es-ES_tradnl"/>
        </w:rPr>
        <w:t xml:space="preserve">Oficio número </w:t>
      </w:r>
      <w:r>
        <w:rPr>
          <w:rFonts w:cs="Calibri"/>
          <w:b/>
          <w:bCs/>
          <w:lang w:val="es-ES_tradnl"/>
        </w:rPr>
        <w:t xml:space="preserve">220C0201010000L/150/2025 </w:t>
      </w:r>
      <w:r>
        <w:rPr>
          <w:rFonts w:cs="Calibri"/>
          <w:lang w:val="es-ES_tradnl"/>
        </w:rPr>
        <w:t xml:space="preserve">signado por el director de proyectos y control de obras, dirigido a la titular de la unidad de transparencia, de fecha siete de febrero de dos mil veinticinco, en términos generales requiere de una </w:t>
      </w:r>
      <w:r w:rsidR="008D01FD">
        <w:rPr>
          <w:rFonts w:cs="Calibri"/>
          <w:lang w:val="es-ES_tradnl"/>
        </w:rPr>
        <w:t>prórroga para dar respuesta a la solicitud de información</w:t>
      </w:r>
      <w:r w:rsidR="00F94C61">
        <w:rPr>
          <w:rFonts w:cs="Calibri"/>
          <w:lang w:val="es-ES_tradnl"/>
        </w:rPr>
        <w:t xml:space="preserve">. </w:t>
      </w:r>
    </w:p>
    <w:p w14:paraId="641D3535" w14:textId="761AB555" w:rsidR="008D01FD" w:rsidRDefault="008D01FD" w:rsidP="006D338B">
      <w:pPr>
        <w:pStyle w:val="Prrafodelista"/>
        <w:numPr>
          <w:ilvl w:val="1"/>
          <w:numId w:val="27"/>
        </w:numPr>
        <w:rPr>
          <w:rFonts w:cs="Calibri"/>
          <w:lang w:val="es-ES_tradnl"/>
        </w:rPr>
      </w:pPr>
      <w:r>
        <w:rPr>
          <w:rFonts w:cs="Calibri"/>
          <w:lang w:val="es-ES_tradnl"/>
        </w:rPr>
        <w:t xml:space="preserve">Oficio número </w:t>
      </w:r>
      <w:r>
        <w:rPr>
          <w:rFonts w:cs="Calibri"/>
          <w:b/>
          <w:bCs/>
          <w:lang w:val="es-ES_tradnl"/>
        </w:rPr>
        <w:t xml:space="preserve">220C0201010000L/211/2025 </w:t>
      </w:r>
      <w:r>
        <w:rPr>
          <w:rFonts w:cs="Calibri"/>
          <w:lang w:val="es-ES_tradnl"/>
        </w:rPr>
        <w:t xml:space="preserve">cuyo contenido fue descrito con antelación. </w:t>
      </w:r>
    </w:p>
    <w:p w14:paraId="7D943A38" w14:textId="79AB7277" w:rsidR="008D01FD" w:rsidRDefault="008D01FD" w:rsidP="006D338B">
      <w:pPr>
        <w:pStyle w:val="Prrafodelista"/>
        <w:numPr>
          <w:ilvl w:val="1"/>
          <w:numId w:val="27"/>
        </w:numPr>
        <w:rPr>
          <w:rFonts w:cs="Palatino Linotype"/>
          <w:color w:val="000000"/>
        </w:rPr>
      </w:pPr>
      <w:r>
        <w:rPr>
          <w:rFonts w:cs="Calibri"/>
          <w:lang w:val="es-ES_tradnl"/>
        </w:rPr>
        <w:t xml:space="preserve">Oficio </w:t>
      </w:r>
      <w:r>
        <w:rPr>
          <w:rFonts w:cs="Palatino Linotype"/>
          <w:b/>
          <w:bCs/>
          <w:color w:val="000000"/>
        </w:rPr>
        <w:t xml:space="preserve">ALCALDÍA-AZCA/DGODUS/DDU/-2024-2940 </w:t>
      </w:r>
      <w:r>
        <w:rPr>
          <w:rFonts w:cs="Palatino Linotype"/>
          <w:color w:val="000000"/>
        </w:rPr>
        <w:t xml:space="preserve">cuyo contenido fue descrito con antelación. </w:t>
      </w:r>
    </w:p>
    <w:p w14:paraId="7386C407" w14:textId="41533159" w:rsidR="008D01FD" w:rsidRDefault="008D01FD" w:rsidP="006D338B">
      <w:pPr>
        <w:pStyle w:val="Prrafodelista"/>
        <w:numPr>
          <w:ilvl w:val="1"/>
          <w:numId w:val="27"/>
        </w:numPr>
        <w:rPr>
          <w:rFonts w:cs="Palatino Linotype"/>
          <w:color w:val="000000"/>
          <w:lang w:val="es-ES_tradnl"/>
        </w:rPr>
      </w:pPr>
      <w:r>
        <w:rPr>
          <w:rFonts w:cs="Calibri"/>
          <w:lang w:val="es-ES_tradnl"/>
        </w:rPr>
        <w:t xml:space="preserve">Oficio </w:t>
      </w:r>
      <w:r>
        <w:rPr>
          <w:rFonts w:cs="Palatino Linotype"/>
          <w:b/>
          <w:bCs/>
          <w:color w:val="000000"/>
          <w:lang w:val="es-ES_tradnl"/>
        </w:rPr>
        <w:t xml:space="preserve">220C0201000500S/065/2025 </w:t>
      </w:r>
      <w:r>
        <w:rPr>
          <w:rFonts w:cs="Palatino Linotype"/>
          <w:color w:val="000000"/>
          <w:lang w:val="es-ES_tradnl"/>
        </w:rPr>
        <w:t xml:space="preserve">cuyo contenido fue descrito con antelación. </w:t>
      </w:r>
    </w:p>
    <w:p w14:paraId="5194F58D" w14:textId="2F98EF63" w:rsidR="008D01FD" w:rsidRDefault="008D01FD" w:rsidP="006D338B">
      <w:pPr>
        <w:pStyle w:val="Prrafodelista"/>
        <w:numPr>
          <w:ilvl w:val="1"/>
          <w:numId w:val="27"/>
        </w:numPr>
        <w:rPr>
          <w:rFonts w:cs="Calibri"/>
          <w:lang w:val="es-ES_tradnl"/>
        </w:rPr>
      </w:pPr>
      <w:r>
        <w:rPr>
          <w:rFonts w:cs="Calibri"/>
          <w:lang w:val="es-ES_tradnl"/>
        </w:rPr>
        <w:t xml:space="preserve">Oficio </w:t>
      </w:r>
      <w:r>
        <w:rPr>
          <w:rFonts w:cs="Calibri"/>
          <w:b/>
          <w:bCs/>
          <w:lang w:val="es-ES_tradnl"/>
        </w:rPr>
        <w:t xml:space="preserve">220C0201000500S/073/2025 </w:t>
      </w:r>
      <w:r>
        <w:rPr>
          <w:rFonts w:cs="Calibri"/>
          <w:lang w:val="es-ES_tradnl"/>
        </w:rPr>
        <w:t>signado por la jefa de la unidad de apoyo técnico e informática, dirigido al director de proyectos y control de obras, de fecha veintisiete de febrero de dos mil veinticinco, en lo general le requiere rendir elementos para integrar el informe justificado.</w:t>
      </w:r>
    </w:p>
    <w:p w14:paraId="66D006A0" w14:textId="19246A74" w:rsidR="008D01FD" w:rsidRPr="008D01FD" w:rsidRDefault="008D01FD" w:rsidP="006D338B">
      <w:pPr>
        <w:pStyle w:val="Prrafodelista"/>
        <w:numPr>
          <w:ilvl w:val="1"/>
          <w:numId w:val="27"/>
        </w:numPr>
        <w:rPr>
          <w:rFonts w:cs="Palatino Linotype"/>
          <w:b/>
          <w:bCs/>
          <w:color w:val="000000"/>
          <w:lang w:val="es-ES_tradnl"/>
        </w:rPr>
      </w:pPr>
      <w:r>
        <w:rPr>
          <w:rFonts w:cs="Calibri"/>
          <w:lang w:val="es-ES_tradnl"/>
        </w:rPr>
        <w:lastRenderedPageBreak/>
        <w:t xml:space="preserve">Formato de recurso de revisión </w:t>
      </w:r>
      <w:r>
        <w:rPr>
          <w:rFonts w:cs="Calibri"/>
          <w:b/>
          <w:bCs/>
          <w:lang w:val="es-ES_tradnl"/>
        </w:rPr>
        <w:t xml:space="preserve">02185/INFOEM/IP/RR/2025, </w:t>
      </w:r>
      <w:r>
        <w:rPr>
          <w:rFonts w:cs="Calibri"/>
          <w:lang w:val="es-ES_tradnl"/>
        </w:rPr>
        <w:t>en lo medular refleja diversos apartados tales como datos del solicitante, datos del acto de impugnación, folio del recurso de revisión, entre otros</w:t>
      </w:r>
    </w:p>
    <w:p w14:paraId="6C116D32" w14:textId="77777777" w:rsidR="008D01FD" w:rsidRPr="008D01FD" w:rsidRDefault="008D01FD" w:rsidP="006816A6">
      <w:pPr>
        <w:pStyle w:val="Prrafodelista"/>
        <w:ind w:left="1074"/>
        <w:rPr>
          <w:rFonts w:cs="Calibri"/>
          <w:lang w:val="es-ES_tradnl"/>
        </w:rPr>
      </w:pPr>
    </w:p>
    <w:p w14:paraId="4AC81AF0" w14:textId="77777777" w:rsidR="00E2115D" w:rsidRDefault="00E2115D" w:rsidP="00E2115D">
      <w:pPr>
        <w:pStyle w:val="Prrafodelista"/>
        <w:ind w:left="1074"/>
        <w:rPr>
          <w:rFonts w:cs="Calibri"/>
          <w:b/>
          <w:bCs/>
          <w:lang w:val="es-ES_tradnl"/>
        </w:rPr>
      </w:pPr>
    </w:p>
    <w:p w14:paraId="6EBD5324" w14:textId="200C060F" w:rsidR="00E2115D" w:rsidRPr="006D338B" w:rsidRDefault="00E2115D" w:rsidP="006D338B">
      <w:pPr>
        <w:pStyle w:val="Prrafodelista"/>
        <w:numPr>
          <w:ilvl w:val="0"/>
          <w:numId w:val="27"/>
        </w:numPr>
        <w:rPr>
          <w:rFonts w:cs="Calibri"/>
          <w:b/>
          <w:bCs/>
          <w:lang w:val="es-ES_tradnl"/>
        </w:rPr>
      </w:pPr>
      <w:r w:rsidRPr="006D338B">
        <w:rPr>
          <w:rFonts w:cs="Calibri"/>
          <w:b/>
          <w:bCs/>
          <w:lang w:val="es-ES_tradnl"/>
        </w:rPr>
        <w:t xml:space="preserve">“CONVOCATORIA 3.pdf”: </w:t>
      </w:r>
      <w:r w:rsidR="006D338B">
        <w:rPr>
          <w:rFonts w:cs="Calibri"/>
          <w:lang w:val="es-ES_tradnl"/>
        </w:rPr>
        <w:t>A su vez c</w:t>
      </w:r>
      <w:r w:rsidRPr="006D338B">
        <w:rPr>
          <w:rFonts w:cs="Calibri"/>
          <w:lang w:val="es-ES_tradnl"/>
        </w:rPr>
        <w:t>ompila lo siguiente:</w:t>
      </w:r>
    </w:p>
    <w:p w14:paraId="7E3B56E7" w14:textId="78538592" w:rsidR="00E2115D" w:rsidRDefault="00E2115D" w:rsidP="006D338B">
      <w:pPr>
        <w:pStyle w:val="Prrafodelista"/>
        <w:numPr>
          <w:ilvl w:val="1"/>
          <w:numId w:val="27"/>
        </w:numPr>
        <w:rPr>
          <w:rFonts w:cs="Calibri"/>
          <w:lang w:val="es-ES_tradnl"/>
        </w:rPr>
      </w:pPr>
      <w:r>
        <w:rPr>
          <w:rFonts w:cs="Calibri"/>
          <w:lang w:val="es-ES_tradnl"/>
        </w:rPr>
        <w:t xml:space="preserve">Oficio número </w:t>
      </w:r>
      <w:r>
        <w:rPr>
          <w:rFonts w:cs="Calibri"/>
          <w:b/>
          <w:bCs/>
          <w:lang w:val="es-ES_tradnl"/>
        </w:rPr>
        <w:t xml:space="preserve">220C0201000500S/034/2025 </w:t>
      </w:r>
      <w:r>
        <w:rPr>
          <w:rFonts w:cs="Calibri"/>
          <w:lang w:val="es-ES_tradnl"/>
        </w:rPr>
        <w:t>signado por la jefa de la unidad de apoyo técnico e informática, dirigido a los integrantes del comité de transparencia, de fecha once de febrero de dos mil veinticinco, en términos generales los convoca a la tercera sesión extraordinaria del año 2025.</w:t>
      </w:r>
    </w:p>
    <w:p w14:paraId="7EC7CAD4" w14:textId="37383CF5" w:rsidR="00E2115D" w:rsidRPr="00E2115D" w:rsidRDefault="00E2115D" w:rsidP="006D338B">
      <w:pPr>
        <w:pStyle w:val="Prrafodelista"/>
        <w:numPr>
          <w:ilvl w:val="1"/>
          <w:numId w:val="27"/>
        </w:numPr>
        <w:rPr>
          <w:rFonts w:cs="Calibri"/>
          <w:lang w:val="es-ES_tradnl"/>
        </w:rPr>
      </w:pPr>
      <w:r>
        <w:rPr>
          <w:rFonts w:cs="Calibri"/>
          <w:lang w:val="es-ES_tradnl"/>
        </w:rPr>
        <w:t>Orden del día relativo a la tercera sesión extraordinaria del comité de transparencia del año 2025.</w:t>
      </w:r>
    </w:p>
    <w:p w14:paraId="6702B8F8" w14:textId="77777777" w:rsidR="00E2115D" w:rsidRPr="00E2115D" w:rsidRDefault="00E2115D" w:rsidP="00E2115D">
      <w:pPr>
        <w:pStyle w:val="Prrafodelista"/>
        <w:rPr>
          <w:rFonts w:cs="Calibri"/>
          <w:b/>
          <w:bCs/>
          <w:lang w:val="es-ES_tradnl"/>
        </w:rPr>
      </w:pPr>
    </w:p>
    <w:p w14:paraId="15BBF716" w14:textId="77777777" w:rsidR="00E2115D" w:rsidRDefault="00E2115D" w:rsidP="00E2115D">
      <w:pPr>
        <w:pStyle w:val="Prrafodelista"/>
        <w:ind w:left="1074"/>
        <w:rPr>
          <w:rFonts w:cs="Calibri"/>
          <w:b/>
          <w:bCs/>
          <w:lang w:val="es-ES_tradnl"/>
        </w:rPr>
      </w:pPr>
    </w:p>
    <w:p w14:paraId="7803BE8F" w14:textId="49A37498" w:rsidR="00E2115D" w:rsidRPr="006D338B" w:rsidRDefault="00E2115D" w:rsidP="006D338B">
      <w:pPr>
        <w:pStyle w:val="Prrafodelista"/>
        <w:numPr>
          <w:ilvl w:val="0"/>
          <w:numId w:val="27"/>
        </w:numPr>
        <w:rPr>
          <w:rFonts w:cs="Calibri"/>
          <w:b/>
          <w:bCs/>
          <w:lang w:val="es-ES_tradnl"/>
        </w:rPr>
      </w:pPr>
      <w:r w:rsidRPr="006D338B">
        <w:rPr>
          <w:rFonts w:cs="Calibri"/>
          <w:b/>
          <w:bCs/>
          <w:lang w:val="es-ES_tradnl"/>
        </w:rPr>
        <w:t xml:space="preserve">“INF JUSTIFICADO REC REV 02185”: </w:t>
      </w:r>
      <w:r w:rsidR="006D338B">
        <w:rPr>
          <w:rFonts w:cs="Calibri"/>
          <w:lang w:val="es-ES_tradnl"/>
        </w:rPr>
        <w:t>A su vez c</w:t>
      </w:r>
      <w:r w:rsidR="004A0B15" w:rsidRPr="006D338B">
        <w:rPr>
          <w:rFonts w:cs="Calibri"/>
          <w:lang w:val="es-ES_tradnl"/>
        </w:rPr>
        <w:t>ompila lo siguiente:</w:t>
      </w:r>
    </w:p>
    <w:p w14:paraId="6A30B632" w14:textId="44F93BDF" w:rsidR="004A0B15" w:rsidRDefault="004A0B15" w:rsidP="006D338B">
      <w:pPr>
        <w:pStyle w:val="Prrafodelista"/>
        <w:numPr>
          <w:ilvl w:val="1"/>
          <w:numId w:val="27"/>
        </w:numPr>
        <w:rPr>
          <w:rFonts w:cs="Calibri"/>
          <w:lang w:val="es-ES_tradnl"/>
        </w:rPr>
      </w:pPr>
      <w:r>
        <w:rPr>
          <w:rFonts w:cs="Calibri"/>
          <w:lang w:val="es-ES_tradnl"/>
        </w:rPr>
        <w:t xml:space="preserve">Oficio número </w:t>
      </w:r>
      <w:r>
        <w:rPr>
          <w:rFonts w:cs="Calibri"/>
          <w:b/>
          <w:bCs/>
          <w:lang w:val="es-ES_tradnl"/>
        </w:rPr>
        <w:t xml:space="preserve">220C0201000500S/084/2025 </w:t>
      </w:r>
      <w:r>
        <w:rPr>
          <w:rFonts w:cs="Calibri"/>
          <w:lang w:val="es-ES_tradnl"/>
        </w:rPr>
        <w:t xml:space="preserve">signado por la jefa de la unidad de apoyo técnico e informática, dirigido al comisionado ponente, de fecha cinco de marzo de dos mil veinticinco, refiere adjuntar diversos documentos relativos al trámite interno del medio de impugnación. </w:t>
      </w:r>
    </w:p>
    <w:p w14:paraId="68AB42EF" w14:textId="2088CAEB" w:rsidR="008E262C" w:rsidRDefault="004A0B15" w:rsidP="006D338B">
      <w:pPr>
        <w:pStyle w:val="Prrafodelista"/>
        <w:numPr>
          <w:ilvl w:val="1"/>
          <w:numId w:val="27"/>
        </w:numPr>
        <w:rPr>
          <w:rFonts w:cs="Calibri"/>
          <w:lang w:val="es-ES_tradnl"/>
        </w:rPr>
      </w:pPr>
      <w:r>
        <w:rPr>
          <w:rFonts w:cs="Calibri"/>
          <w:lang w:val="es-ES_tradnl"/>
        </w:rPr>
        <w:t xml:space="preserve">Oficio número </w:t>
      </w:r>
      <w:r>
        <w:rPr>
          <w:rFonts w:cs="Calibri"/>
          <w:b/>
          <w:bCs/>
          <w:lang w:val="es-ES_tradnl"/>
        </w:rPr>
        <w:t xml:space="preserve">220C0201010000L/276/2025 </w:t>
      </w:r>
      <w:r>
        <w:rPr>
          <w:rFonts w:cs="Calibri"/>
          <w:lang w:val="es-ES_tradnl"/>
        </w:rPr>
        <w:t xml:space="preserve">signado por el director de proyectos y control de obras, dirigido a la titular de la unidad de transparencia, de fecha cuatro de marzo de dos mil veinticinco, </w:t>
      </w:r>
      <w:r w:rsidR="008E262C">
        <w:rPr>
          <w:rFonts w:cs="Calibri"/>
          <w:lang w:val="es-ES_tradnl"/>
        </w:rPr>
        <w:t xml:space="preserve">en términos generales expone </w:t>
      </w:r>
      <w:r w:rsidR="006D338B">
        <w:rPr>
          <w:rFonts w:cs="Calibri"/>
          <w:lang w:val="es-ES_tradnl"/>
        </w:rPr>
        <w:t xml:space="preserve">que el documento remitido mediante respuesta </w:t>
      </w:r>
      <w:r w:rsidR="006D338B">
        <w:rPr>
          <w:rFonts w:cs="Calibri"/>
          <w:lang w:val="es-ES_tradnl"/>
        </w:rPr>
        <w:lastRenderedPageBreak/>
        <w:t xml:space="preserve">primigenia no carece de validez; que cuando se realizaron las gestiones para iniciar los trabajos la vialidad no era considerada como primaria; que remitió la información que obra en sus archivos conforme al numeral 12 de la ley de transparencia local. </w:t>
      </w:r>
    </w:p>
    <w:p w14:paraId="5C3B67EA" w14:textId="77777777" w:rsidR="00E2115D" w:rsidRDefault="00E2115D" w:rsidP="00E2115D">
      <w:pPr>
        <w:pStyle w:val="Prrafodelista"/>
        <w:ind w:left="1074"/>
        <w:rPr>
          <w:rFonts w:cs="Calibri"/>
          <w:b/>
          <w:bCs/>
          <w:lang w:val="es-ES_tradnl"/>
        </w:rPr>
      </w:pPr>
    </w:p>
    <w:p w14:paraId="23201013" w14:textId="5AE09419" w:rsidR="00E2115D" w:rsidRPr="006D338B" w:rsidRDefault="00E2115D" w:rsidP="006D338B">
      <w:pPr>
        <w:pStyle w:val="Prrafodelista"/>
        <w:numPr>
          <w:ilvl w:val="0"/>
          <w:numId w:val="27"/>
        </w:numPr>
        <w:rPr>
          <w:rFonts w:cs="Calibri"/>
          <w:b/>
          <w:bCs/>
          <w:lang w:val="es-ES_tradnl"/>
        </w:rPr>
      </w:pPr>
      <w:r w:rsidRPr="006D338B">
        <w:rPr>
          <w:rFonts w:cs="Calibri"/>
          <w:b/>
          <w:bCs/>
          <w:lang w:val="es-ES_tradnl"/>
        </w:rPr>
        <w:t xml:space="preserve">“REC REV 02185”: </w:t>
      </w:r>
      <w:r w:rsidR="006D338B">
        <w:rPr>
          <w:rFonts w:cs="Calibri"/>
          <w:lang w:val="es-ES_tradnl"/>
        </w:rPr>
        <w:t>A su vez c</w:t>
      </w:r>
      <w:r w:rsidRPr="006D338B">
        <w:rPr>
          <w:rFonts w:cs="Calibri"/>
          <w:lang w:val="es-ES_tradnl"/>
        </w:rPr>
        <w:t>ompila lo siguiente:</w:t>
      </w:r>
    </w:p>
    <w:p w14:paraId="38F96387" w14:textId="7C7BBC58" w:rsidR="00E2115D" w:rsidRDefault="00E2115D" w:rsidP="006D338B">
      <w:pPr>
        <w:pStyle w:val="Prrafodelista"/>
        <w:numPr>
          <w:ilvl w:val="1"/>
          <w:numId w:val="27"/>
        </w:numPr>
        <w:rPr>
          <w:rFonts w:cs="Calibri"/>
          <w:lang w:val="es-ES_tradnl"/>
        </w:rPr>
      </w:pPr>
      <w:r>
        <w:rPr>
          <w:rFonts w:cs="Calibri"/>
          <w:lang w:val="es-ES_tradnl"/>
        </w:rPr>
        <w:t xml:space="preserve">Oficio </w:t>
      </w:r>
      <w:r>
        <w:rPr>
          <w:rFonts w:cs="Calibri"/>
          <w:b/>
          <w:bCs/>
          <w:lang w:val="es-ES_tradnl"/>
        </w:rPr>
        <w:t>220C0201</w:t>
      </w:r>
      <w:r w:rsidR="004A0B15">
        <w:rPr>
          <w:rFonts w:cs="Calibri"/>
          <w:b/>
          <w:bCs/>
          <w:lang w:val="es-ES_tradnl"/>
        </w:rPr>
        <w:t xml:space="preserve">000500S/073/2025 </w:t>
      </w:r>
      <w:r w:rsidR="004A0B15">
        <w:rPr>
          <w:rFonts w:cs="Calibri"/>
          <w:lang w:val="es-ES_tradnl"/>
        </w:rPr>
        <w:t xml:space="preserve">signado por la jefa de la unidad de apoyo técnico e informática, dirigido al director de proyectos y control de obras, de fecha veintisiete de febrero de dos mil veinticinco, en lo general le requiere rendir elementos para integrar el informe justificado. </w:t>
      </w:r>
    </w:p>
    <w:p w14:paraId="2838A458" w14:textId="31F565D8" w:rsidR="004A0B15" w:rsidRPr="004A0B15" w:rsidRDefault="004A0B15" w:rsidP="006D338B">
      <w:pPr>
        <w:pStyle w:val="Prrafodelista"/>
        <w:numPr>
          <w:ilvl w:val="1"/>
          <w:numId w:val="27"/>
        </w:numPr>
        <w:rPr>
          <w:rFonts w:cs="Calibri"/>
          <w:lang w:val="es-ES_tradnl"/>
        </w:rPr>
      </w:pPr>
      <w:r>
        <w:rPr>
          <w:rFonts w:cs="Calibri"/>
          <w:lang w:val="es-ES_tradnl"/>
        </w:rPr>
        <w:t xml:space="preserve">Formato del recurso de revisión </w:t>
      </w:r>
      <w:r>
        <w:rPr>
          <w:rFonts w:cs="Calibri"/>
          <w:b/>
          <w:bCs/>
          <w:lang w:val="es-ES_tradnl"/>
        </w:rPr>
        <w:t xml:space="preserve">02185/INFOEM/IP/RR/2025, </w:t>
      </w:r>
      <w:r>
        <w:rPr>
          <w:rFonts w:cs="Calibri"/>
          <w:lang w:val="es-ES_tradnl"/>
        </w:rPr>
        <w:t xml:space="preserve">en lo medular refleja diversos apartados tales como datos del solicitante, datos del acto de impugnación, folio del recurso de revisión, entre otros. </w:t>
      </w:r>
    </w:p>
    <w:p w14:paraId="06C396FE" w14:textId="19D5C529" w:rsidR="00E2115D" w:rsidRPr="00E2115D" w:rsidRDefault="00E2115D" w:rsidP="00E2115D">
      <w:pPr>
        <w:pStyle w:val="Prrafodelista"/>
        <w:rPr>
          <w:rFonts w:cs="Calibri"/>
          <w:b/>
          <w:bCs/>
          <w:lang w:val="es-ES_tradnl"/>
        </w:rPr>
      </w:pPr>
    </w:p>
    <w:p w14:paraId="21C88AB9" w14:textId="7D706532" w:rsidR="00317504" w:rsidRPr="00A502B3" w:rsidRDefault="00317504" w:rsidP="00317504">
      <w:pPr>
        <w:spacing w:line="360" w:lineRule="auto"/>
        <w:jc w:val="both"/>
        <w:rPr>
          <w:rFonts w:ascii="Palatino Linotype" w:eastAsia="Palatino Linotype" w:hAnsi="Palatino Linotype" w:cs="Palatino Linotype"/>
        </w:rPr>
      </w:pPr>
      <w:r w:rsidRPr="00A502B3">
        <w:rPr>
          <w:rFonts w:ascii="Palatino Linotype" w:eastAsia="Palatino Linotype" w:hAnsi="Palatino Linotype" w:cs="Palatino Linotype"/>
        </w:rPr>
        <w:t xml:space="preserve">En ese orden de ideas, la Ley de Transparencia y Acceso a la Información Pública del Estado de México y Municipios, prevé en su artículo 23, fracción </w:t>
      </w:r>
      <w:r w:rsidR="00BB665D">
        <w:rPr>
          <w:rFonts w:ascii="Palatino Linotype" w:eastAsia="Palatino Linotype" w:hAnsi="Palatino Linotype" w:cs="Palatino Linotype"/>
        </w:rPr>
        <w:t>I</w:t>
      </w:r>
      <w:r w:rsidRPr="00A502B3">
        <w:rPr>
          <w:rFonts w:ascii="Palatino Linotype" w:eastAsia="Palatino Linotype" w:hAnsi="Palatino Linotype" w:cs="Palatino Linotype"/>
        </w:rPr>
        <w:t>, lo siguiente:</w:t>
      </w:r>
    </w:p>
    <w:p w14:paraId="257E8EAF" w14:textId="5F905187" w:rsidR="00317504" w:rsidRPr="00A502B3" w:rsidRDefault="00BB665D" w:rsidP="00BB665D">
      <w:pPr>
        <w:pStyle w:val="Citas"/>
      </w:pPr>
      <w:r>
        <w:rPr>
          <w:b/>
        </w:rPr>
        <w:t>“</w:t>
      </w:r>
      <w:r w:rsidR="00317504" w:rsidRPr="00A502B3">
        <w:rPr>
          <w:b/>
        </w:rPr>
        <w:t>Artículo 23.</w:t>
      </w:r>
      <w:r w:rsidR="00317504" w:rsidRPr="00A502B3">
        <w:t xml:space="preserve"> Son sujetos obligados a transparentar y permitir el acceso a su información y proteger los datos personales que obren en su poder:</w:t>
      </w:r>
    </w:p>
    <w:p w14:paraId="64B48EF2" w14:textId="5BCABBF0" w:rsidR="00BB665D" w:rsidRDefault="00BB665D" w:rsidP="00BB665D">
      <w:pPr>
        <w:pStyle w:val="Citas"/>
      </w:pPr>
      <w:r>
        <w:t>I. El Poder Ejecutivo del Estado de México, las dependencias, organismos auxiliares, órganos, entidades, fideicomisos y fondos públicos, así como la Fiscalía General de Justicia del Estado de</w:t>
      </w:r>
    </w:p>
    <w:p w14:paraId="3F5BBD05" w14:textId="1BA5CE36" w:rsidR="00317504" w:rsidRDefault="00BB665D" w:rsidP="00BB665D">
      <w:pPr>
        <w:pStyle w:val="Citas"/>
      </w:pPr>
      <w:r>
        <w:t>México;</w:t>
      </w:r>
      <w:r w:rsidRPr="00A502B3">
        <w:t xml:space="preserve"> </w:t>
      </w:r>
      <w:r w:rsidR="00317504" w:rsidRPr="00A502B3">
        <w:t>(…)</w:t>
      </w:r>
      <w:r>
        <w:t>”</w:t>
      </w:r>
    </w:p>
    <w:p w14:paraId="3D6F4B93" w14:textId="77777777" w:rsidR="00317504" w:rsidRPr="00316A30" w:rsidRDefault="00317504" w:rsidP="00317504">
      <w:pPr>
        <w:pStyle w:val="Fundamentos"/>
        <w:spacing w:line="360" w:lineRule="auto"/>
        <w:rPr>
          <w:szCs w:val="22"/>
        </w:rPr>
      </w:pPr>
    </w:p>
    <w:p w14:paraId="71B30950" w14:textId="77777777" w:rsidR="00317504" w:rsidRDefault="00317504" w:rsidP="00317504">
      <w:pPr>
        <w:spacing w:line="360" w:lineRule="auto"/>
        <w:jc w:val="both"/>
        <w:rPr>
          <w:rFonts w:ascii="Palatino Linotype" w:hAnsi="Palatino Linotype"/>
        </w:rPr>
      </w:pPr>
      <w:r w:rsidRPr="00A502B3">
        <w:rPr>
          <w:rFonts w:ascii="Palatino Linotype" w:hAnsi="Palatino Linotype"/>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C7923C4" w14:textId="77777777" w:rsidR="00317504" w:rsidRPr="00A502B3" w:rsidRDefault="00317504" w:rsidP="0031750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E5E1103" w14:textId="77777777" w:rsidR="00317504" w:rsidRDefault="00317504" w:rsidP="00317504">
      <w:pPr>
        <w:spacing w:line="360" w:lineRule="auto"/>
        <w:jc w:val="both"/>
        <w:rPr>
          <w:rFonts w:ascii="Palatino Linotype" w:hAnsi="Palatino Linotype"/>
        </w:rPr>
      </w:pPr>
      <w:r w:rsidRPr="00A502B3">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09BF6ED8" w14:textId="77777777" w:rsidR="00317504" w:rsidRDefault="00317504" w:rsidP="00317504">
      <w:pPr>
        <w:spacing w:line="360" w:lineRule="auto"/>
        <w:jc w:val="both"/>
        <w:rPr>
          <w:rFonts w:ascii="Palatino Linotype" w:hAnsi="Palatino Linotype"/>
        </w:rPr>
      </w:pPr>
    </w:p>
    <w:p w14:paraId="100C0447" w14:textId="77777777" w:rsidR="006C4B8D" w:rsidRDefault="00317504" w:rsidP="006C4B8D">
      <w:pPr>
        <w:spacing w:line="360" w:lineRule="auto"/>
        <w:jc w:val="both"/>
        <w:rPr>
          <w:rFonts w:ascii="Palatino Linotype" w:hAnsi="Palatino Linotype" w:cs="Arial"/>
          <w:color w:val="000000"/>
        </w:rPr>
      </w:pPr>
      <w:r>
        <w:rPr>
          <w:rFonts w:ascii="Palatino Linotype" w:hAnsi="Palatino Linotype"/>
        </w:rPr>
        <w:t xml:space="preserve">Por lo que resulta procedente </w:t>
      </w:r>
      <w:r w:rsidR="006C4B8D">
        <w:rPr>
          <w:rFonts w:ascii="Palatino Linotype" w:hAnsi="Palatino Linotype"/>
        </w:rPr>
        <w:t xml:space="preserve">contextualizar lo solicitado con el fin de establecer que el </w:t>
      </w:r>
      <w:proofErr w:type="spellStart"/>
      <w:r w:rsidR="006C4B8D">
        <w:rPr>
          <w:rFonts w:ascii="Palatino Linotype" w:hAnsi="Palatino Linotype"/>
        </w:rPr>
        <w:t>Macrolibramiento</w:t>
      </w:r>
      <w:proofErr w:type="spellEnd"/>
      <w:r w:rsidR="006C4B8D">
        <w:rPr>
          <w:rFonts w:ascii="Palatino Linotype" w:hAnsi="Palatino Linotype"/>
        </w:rPr>
        <w:t xml:space="preserve"> Mexiquense </w:t>
      </w:r>
      <w:r w:rsidR="006C4B8D" w:rsidRPr="006C4B8D">
        <w:rPr>
          <w:rFonts w:ascii="Palatino Linotype" w:hAnsi="Palatino Linotype" w:cs="Arial"/>
          <w:color w:val="000000"/>
        </w:rPr>
        <w:t>está compue</w:t>
      </w:r>
      <w:r w:rsidR="00130497">
        <w:rPr>
          <w:rFonts w:ascii="Palatino Linotype" w:hAnsi="Palatino Linotype" w:cs="Arial"/>
          <w:color w:val="000000"/>
        </w:rPr>
        <w:t>sta por una troncal de 15.25 km</w:t>
      </w:r>
      <w:r w:rsidR="006C4B8D" w:rsidRPr="006C4B8D">
        <w:rPr>
          <w:rFonts w:ascii="Palatino Linotype" w:hAnsi="Palatino Linotype" w:cs="Arial"/>
          <w:color w:val="000000"/>
        </w:rPr>
        <w:t xml:space="preserve"> en dos secciones del km. 0+000 al 7+300 con 6 carriles, 3 por sentido; y del 7+300 al 15+250,</w:t>
      </w:r>
      <w:r w:rsidR="00130497">
        <w:rPr>
          <w:rFonts w:ascii="Palatino Linotype" w:hAnsi="Palatino Linotype" w:cs="Arial"/>
          <w:color w:val="000000"/>
        </w:rPr>
        <w:t xml:space="preserve"> con 4 carriles, 2 por sentido </w:t>
      </w:r>
      <w:r w:rsidR="006C4B8D" w:rsidRPr="006C4B8D">
        <w:rPr>
          <w:rFonts w:ascii="Palatino Linotype" w:hAnsi="Palatino Linotype" w:cs="Arial"/>
          <w:color w:val="000000"/>
        </w:rPr>
        <w:t xml:space="preserve">(Tlalnepantla de Baz, Alcaldía </w:t>
      </w:r>
      <w:proofErr w:type="spellStart"/>
      <w:r w:rsidR="006C4B8D" w:rsidRPr="006C4B8D">
        <w:rPr>
          <w:rFonts w:ascii="Palatino Linotype" w:hAnsi="Palatino Linotype" w:cs="Arial"/>
          <w:color w:val="000000"/>
        </w:rPr>
        <w:t>Atzcapotzalco</w:t>
      </w:r>
      <w:proofErr w:type="spellEnd"/>
      <w:r w:rsidR="006C4B8D" w:rsidRPr="006C4B8D">
        <w:rPr>
          <w:rFonts w:ascii="Palatino Linotype" w:hAnsi="Palatino Linotype" w:cs="Arial"/>
          <w:color w:val="000000"/>
        </w:rPr>
        <w:t xml:space="preserve"> y Gustavo A. Madero CDMX y Ecatepec de Morelos). La estructura de la autopista está compuesta por 8.6 kilómetros a nivel y 6.65 km. en viaducto elevado sobre el Río de Los Remedios.</w:t>
      </w:r>
    </w:p>
    <w:p w14:paraId="380CC6EC" w14:textId="77777777" w:rsidR="006C4B8D" w:rsidRPr="006C4B8D" w:rsidRDefault="006C4B8D" w:rsidP="006C4B8D">
      <w:pPr>
        <w:spacing w:line="360" w:lineRule="auto"/>
        <w:jc w:val="both"/>
        <w:rPr>
          <w:rFonts w:ascii="Palatino Linotype" w:hAnsi="Palatino Linotype"/>
        </w:rPr>
      </w:pPr>
    </w:p>
    <w:p w14:paraId="5D382F3D" w14:textId="77777777" w:rsidR="004C4F1C" w:rsidRPr="004C4F1C" w:rsidRDefault="006C4B8D" w:rsidP="004C4F1C">
      <w:pPr>
        <w:pStyle w:val="text-align-justify"/>
        <w:spacing w:before="0" w:beforeAutospacing="0" w:line="360" w:lineRule="auto"/>
        <w:jc w:val="both"/>
        <w:rPr>
          <w:rFonts w:ascii="Arial" w:hAnsi="Arial" w:cs="Arial"/>
          <w:color w:val="000000"/>
        </w:rPr>
      </w:pPr>
      <w:r w:rsidRPr="006C4B8D">
        <w:rPr>
          <w:rFonts w:ascii="Palatino Linotype" w:hAnsi="Palatino Linotype" w:cs="Arial"/>
          <w:color w:val="000000"/>
        </w:rPr>
        <w:t xml:space="preserve">Es una vialidad de altas especificaciones ubicada en el norte del Valle de México y que se desarrollada en gran parte de su recorrido adyacente al Río de los Remedios, intercomunica actualmente las zonas Oeste y Este del Valle de México, desde puente de Vigas en Tlalnepantla, conectando con la Autopista México – Pachuca y hasta la Av. Gran </w:t>
      </w:r>
      <w:r w:rsidRPr="006C4B8D">
        <w:rPr>
          <w:rFonts w:ascii="Palatino Linotype" w:hAnsi="Palatino Linotype" w:cs="Arial"/>
          <w:color w:val="000000"/>
        </w:rPr>
        <w:lastRenderedPageBreak/>
        <w:t>Canal con la incorporación del tramo 4. Asimismo, como un valor agregado se habilitó adecuadamente el cauce del río de Los Remedios para permitir un mejor flujo de sus caudales, evitando el riesgo de desbordamientos y consecuentes inundaciones a las zonas urbanas adyacentes a las primeras tres etapas que ya operan en 4 tramos</w:t>
      </w:r>
      <w:r>
        <w:rPr>
          <w:rFonts w:ascii="Arial" w:hAnsi="Arial" w:cs="Arial"/>
          <w:color w:val="000000"/>
        </w:rPr>
        <w:t>.</w:t>
      </w:r>
      <w:r>
        <w:rPr>
          <w:rStyle w:val="Refdenotaalpie"/>
          <w:rFonts w:ascii="Arial" w:hAnsi="Arial" w:cs="Arial"/>
          <w:color w:val="000000"/>
        </w:rPr>
        <w:footnoteReference w:id="2"/>
      </w:r>
    </w:p>
    <w:p w14:paraId="4F791964" w14:textId="4E6A1061" w:rsidR="00A444A2" w:rsidRDefault="00130497" w:rsidP="00A444A2">
      <w:pPr>
        <w:spacing w:line="360" w:lineRule="auto"/>
        <w:jc w:val="both"/>
        <w:rPr>
          <w:rFonts w:ascii="Palatino Linotype" w:hAnsi="Palatino Linotype"/>
        </w:rPr>
      </w:pPr>
      <w:r>
        <w:rPr>
          <w:rFonts w:ascii="Palatino Linotype" w:hAnsi="Palatino Linotype"/>
        </w:rPr>
        <w:t>Conforme el sitio oficial de</w:t>
      </w:r>
      <w:r w:rsidR="003C08BE">
        <w:rPr>
          <w:rFonts w:ascii="Palatino Linotype" w:hAnsi="Palatino Linotype"/>
        </w:rPr>
        <w:t xml:space="preserve"> la </w:t>
      </w:r>
      <w:r w:rsidR="00F94C61">
        <w:rPr>
          <w:rFonts w:ascii="Palatino Linotype" w:hAnsi="Palatino Linotype"/>
        </w:rPr>
        <w:t>secretaria</w:t>
      </w:r>
      <w:r w:rsidR="003C08BE">
        <w:rPr>
          <w:rFonts w:ascii="Palatino Linotype" w:hAnsi="Palatino Linotype"/>
        </w:rPr>
        <w:t xml:space="preserve"> de Movilidad con relación al </w:t>
      </w:r>
      <w:r>
        <w:rPr>
          <w:rFonts w:ascii="Palatino Linotype" w:hAnsi="Palatino Linotype"/>
        </w:rPr>
        <w:t>Sistema de Autopistas, Aeropuertos, Servicios Conexos y Auxiliares del Estado de México los datos de inicio de operación de la etapa 1 y 2 comenzaron en fecha diez de enero de 2011, la etapa 3 en marzo de 2013 y la etapa 4.1 el veintiséis de agosto de 2022, sirva de sustento la imagen ilustrativa</w:t>
      </w:r>
      <w:r w:rsidR="00BB665D">
        <w:rPr>
          <w:rFonts w:ascii="Palatino Linotype" w:hAnsi="Palatino Linotype"/>
        </w:rPr>
        <w:t>:</w:t>
      </w:r>
    </w:p>
    <w:p w14:paraId="3B412C6E" w14:textId="2A45016C" w:rsidR="00BB665D" w:rsidRDefault="00BB665D" w:rsidP="00A444A2">
      <w:pPr>
        <w:spacing w:line="360" w:lineRule="auto"/>
        <w:jc w:val="both"/>
        <w:rPr>
          <w:rFonts w:ascii="Palatino Linotype" w:hAnsi="Palatino Linotype"/>
        </w:rPr>
      </w:pPr>
      <w:r w:rsidRPr="00130497">
        <w:rPr>
          <w:rFonts w:ascii="Palatino Linotype" w:hAnsi="Palatino Linotype"/>
          <w:i/>
          <w:noProof/>
          <w:sz w:val="22"/>
          <w:szCs w:val="22"/>
        </w:rPr>
        <w:drawing>
          <wp:anchor distT="0" distB="0" distL="114300" distR="114300" simplePos="0" relativeHeight="251669504" behindDoc="0" locked="0" layoutInCell="1" allowOverlap="1" wp14:anchorId="69CF72FF" wp14:editId="64AA6365">
            <wp:simplePos x="0" y="0"/>
            <wp:positionH relativeFrom="page">
              <wp:align>center</wp:align>
            </wp:positionH>
            <wp:positionV relativeFrom="paragraph">
              <wp:posOffset>97790</wp:posOffset>
            </wp:positionV>
            <wp:extent cx="3016885" cy="2131060"/>
            <wp:effectExtent l="19050" t="19050" r="12065" b="21590"/>
            <wp:wrapThrough wrapText="bothSides">
              <wp:wrapPolygon edited="0">
                <wp:start x="-136" y="-193"/>
                <wp:lineTo x="-136" y="21626"/>
                <wp:lineTo x="21550" y="21626"/>
                <wp:lineTo x="21550" y="-193"/>
                <wp:lineTo x="-136" y="-193"/>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16885" cy="2131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8C7480" w14:textId="11F07557" w:rsidR="00BB665D" w:rsidRDefault="00BB665D" w:rsidP="00A444A2">
      <w:pPr>
        <w:spacing w:line="360" w:lineRule="auto"/>
        <w:jc w:val="both"/>
        <w:rPr>
          <w:rFonts w:ascii="Palatino Linotype" w:hAnsi="Palatino Linotype"/>
        </w:rPr>
      </w:pPr>
    </w:p>
    <w:p w14:paraId="73CFF02F" w14:textId="284CEDA1" w:rsidR="00317504" w:rsidRPr="00323C50" w:rsidRDefault="00317504" w:rsidP="00323C50">
      <w:pPr>
        <w:spacing w:line="360" w:lineRule="auto"/>
        <w:jc w:val="center"/>
        <w:rPr>
          <w:rFonts w:ascii="Palatino Linotype" w:hAnsi="Palatino Linotype"/>
          <w:i/>
          <w:sz w:val="22"/>
          <w:szCs w:val="22"/>
        </w:rPr>
      </w:pPr>
    </w:p>
    <w:p w14:paraId="0B3E39A2" w14:textId="77777777" w:rsidR="004C4F1C" w:rsidRDefault="004C4F1C" w:rsidP="00317504">
      <w:pPr>
        <w:spacing w:line="360" w:lineRule="auto"/>
        <w:jc w:val="both"/>
        <w:rPr>
          <w:rFonts w:ascii="Palatino Linotype" w:hAnsi="Palatino Linotype"/>
        </w:rPr>
      </w:pPr>
    </w:p>
    <w:p w14:paraId="6A9D5BC7" w14:textId="77777777" w:rsidR="00BB665D" w:rsidRDefault="00BB665D" w:rsidP="00317504">
      <w:pPr>
        <w:spacing w:line="360" w:lineRule="auto"/>
        <w:jc w:val="both"/>
        <w:rPr>
          <w:rFonts w:ascii="Palatino Linotype" w:hAnsi="Palatino Linotype"/>
        </w:rPr>
      </w:pPr>
    </w:p>
    <w:p w14:paraId="19201322" w14:textId="77777777" w:rsidR="00BB665D" w:rsidRDefault="00BB665D" w:rsidP="00317504">
      <w:pPr>
        <w:spacing w:line="360" w:lineRule="auto"/>
        <w:jc w:val="both"/>
        <w:rPr>
          <w:rFonts w:ascii="Palatino Linotype" w:hAnsi="Palatino Linotype"/>
        </w:rPr>
      </w:pPr>
    </w:p>
    <w:p w14:paraId="2CEF3EAD" w14:textId="77777777" w:rsidR="00BB665D" w:rsidRDefault="00BB665D" w:rsidP="00317504">
      <w:pPr>
        <w:spacing w:line="360" w:lineRule="auto"/>
        <w:jc w:val="both"/>
        <w:rPr>
          <w:rFonts w:ascii="Palatino Linotype" w:hAnsi="Palatino Linotype"/>
        </w:rPr>
      </w:pPr>
    </w:p>
    <w:p w14:paraId="380AF670" w14:textId="77777777" w:rsidR="00463BA6" w:rsidRDefault="00463BA6" w:rsidP="00317504">
      <w:pPr>
        <w:spacing w:line="360" w:lineRule="auto"/>
        <w:jc w:val="both"/>
        <w:rPr>
          <w:rFonts w:ascii="Palatino Linotype" w:hAnsi="Palatino Linotype"/>
        </w:rPr>
      </w:pPr>
    </w:p>
    <w:p w14:paraId="6D35A762" w14:textId="2D89A694" w:rsidR="003C08BE" w:rsidRDefault="00317504" w:rsidP="00317504">
      <w:pPr>
        <w:spacing w:line="360" w:lineRule="auto"/>
        <w:jc w:val="both"/>
        <w:rPr>
          <w:rFonts w:ascii="Palatino Linotype" w:hAnsi="Palatino Linotype"/>
        </w:rPr>
      </w:pPr>
      <w:r>
        <w:rPr>
          <w:rFonts w:ascii="Palatino Linotype" w:hAnsi="Palatino Linotype"/>
        </w:rPr>
        <w:t xml:space="preserve">Ahora bien, </w:t>
      </w:r>
      <w:r w:rsidR="003C08BE">
        <w:rPr>
          <w:rFonts w:ascii="Palatino Linotype" w:hAnsi="Palatino Linotype"/>
        </w:rPr>
        <w:t xml:space="preserve">la </w:t>
      </w:r>
      <w:r w:rsidR="00BB665D">
        <w:rPr>
          <w:rFonts w:ascii="Palatino Linotype" w:hAnsi="Palatino Linotype"/>
        </w:rPr>
        <w:t>secretaria</w:t>
      </w:r>
      <w:r w:rsidR="003C08BE">
        <w:rPr>
          <w:rFonts w:ascii="Palatino Linotype" w:hAnsi="Palatino Linotype"/>
        </w:rPr>
        <w:t xml:space="preserve"> de Movilidad concesiono el diseño, la construcción, operación, explotación, conservación y mantenimiento de la autopista denominada </w:t>
      </w:r>
      <w:r w:rsidR="00BB665D">
        <w:rPr>
          <w:rFonts w:ascii="Palatino Linotype" w:hAnsi="Palatino Linotype"/>
        </w:rPr>
        <w:t>macro libramiento</w:t>
      </w:r>
      <w:r w:rsidR="003C08BE">
        <w:rPr>
          <w:rFonts w:ascii="Palatino Linotype" w:hAnsi="Palatino Linotype"/>
        </w:rPr>
        <w:t xml:space="preserve"> mexiquense ubicada en los municipios de Tlalnepantla de Baz y Ecatepec de Morelos en el Estado de México y en la demarcación territorial Gustavo A. Madero en la </w:t>
      </w:r>
      <w:r w:rsidR="003C08BE">
        <w:rPr>
          <w:rFonts w:ascii="Palatino Linotype" w:hAnsi="Palatino Linotype"/>
        </w:rPr>
        <w:lastRenderedPageBreak/>
        <w:t>Ciudad de México</w:t>
      </w:r>
      <w:r w:rsidR="003C08BE">
        <w:rPr>
          <w:rStyle w:val="Refdenotaalpie"/>
          <w:rFonts w:ascii="Palatino Linotype" w:hAnsi="Palatino Linotype"/>
          <w:color w:val="000000"/>
        </w:rPr>
        <w:footnoteReference w:id="3"/>
      </w:r>
      <w:r w:rsidR="003C08BE">
        <w:rPr>
          <w:rFonts w:ascii="Palatino Linotype" w:hAnsi="Palatino Linotype"/>
        </w:rPr>
        <w:t xml:space="preserve"> en fecha diez de noviembre de 2021 a la Sociedad denominada </w:t>
      </w:r>
      <w:proofErr w:type="spellStart"/>
      <w:r w:rsidR="003C08BE">
        <w:rPr>
          <w:rFonts w:ascii="Palatino Linotype" w:hAnsi="Palatino Linotype"/>
        </w:rPr>
        <w:t>Anesa</w:t>
      </w:r>
      <w:proofErr w:type="spellEnd"/>
      <w:r w:rsidR="003C08BE">
        <w:rPr>
          <w:rFonts w:ascii="Palatino Linotype" w:hAnsi="Palatino Linotype"/>
        </w:rPr>
        <w:t xml:space="preserve"> Holding S.A de C.V.</w:t>
      </w:r>
    </w:p>
    <w:p w14:paraId="3E6348E5" w14:textId="745EF4FD" w:rsidR="003C08BE" w:rsidRDefault="003C08BE" w:rsidP="00317504">
      <w:pPr>
        <w:spacing w:line="360" w:lineRule="auto"/>
        <w:jc w:val="both"/>
        <w:rPr>
          <w:rFonts w:ascii="Palatino Linotype" w:hAnsi="Palatino Linotype"/>
        </w:rPr>
      </w:pPr>
    </w:p>
    <w:p w14:paraId="01F0616C" w14:textId="54D78F50" w:rsidR="00824993" w:rsidRDefault="00223691" w:rsidP="00317504">
      <w:pPr>
        <w:spacing w:line="360" w:lineRule="auto"/>
        <w:jc w:val="both"/>
        <w:rPr>
          <w:rFonts w:ascii="Palatino Linotype" w:hAnsi="Palatino Linotype"/>
        </w:rPr>
      </w:pPr>
      <w:r>
        <w:rPr>
          <w:rFonts w:ascii="Palatino Linotype" w:hAnsi="Palatino Linotype"/>
        </w:rPr>
        <w:t xml:space="preserve">Del que </w:t>
      </w:r>
      <w:r w:rsidR="007E5779">
        <w:rPr>
          <w:rFonts w:ascii="Palatino Linotype" w:hAnsi="Palatino Linotype"/>
        </w:rPr>
        <w:t xml:space="preserve">este Instituto destaca lo siguiente; </w:t>
      </w:r>
    </w:p>
    <w:p w14:paraId="03A0800D" w14:textId="250E92FA" w:rsidR="00463BA6" w:rsidRDefault="00463BA6" w:rsidP="00317504">
      <w:pPr>
        <w:spacing w:line="360" w:lineRule="auto"/>
        <w:jc w:val="both"/>
        <w:rPr>
          <w:rFonts w:ascii="Palatino Linotype" w:hAnsi="Palatino Linotype"/>
        </w:rPr>
      </w:pPr>
      <w:r w:rsidRPr="003C08BE">
        <w:rPr>
          <w:rFonts w:ascii="Palatino Linotype" w:hAnsi="Palatino Linotype"/>
          <w:noProof/>
        </w:rPr>
        <w:drawing>
          <wp:anchor distT="0" distB="0" distL="114300" distR="114300" simplePos="0" relativeHeight="251670528" behindDoc="0" locked="0" layoutInCell="1" allowOverlap="1" wp14:anchorId="5B6C7C9A" wp14:editId="3B2959E9">
            <wp:simplePos x="0" y="0"/>
            <wp:positionH relativeFrom="page">
              <wp:align>center</wp:align>
            </wp:positionH>
            <wp:positionV relativeFrom="paragraph">
              <wp:posOffset>306119</wp:posOffset>
            </wp:positionV>
            <wp:extent cx="4253837" cy="636251"/>
            <wp:effectExtent l="19050" t="19050" r="13970" b="12065"/>
            <wp:wrapThrough wrapText="bothSides">
              <wp:wrapPolygon edited="0">
                <wp:start x="-97" y="-647"/>
                <wp:lineTo x="-97" y="21363"/>
                <wp:lineTo x="21574" y="21363"/>
                <wp:lineTo x="21574" y="-647"/>
                <wp:lineTo x="-97" y="-647"/>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53837" cy="6362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D612BE" w14:textId="6189C6DE" w:rsidR="003C08BE" w:rsidRDefault="003C08BE" w:rsidP="00223691">
      <w:pPr>
        <w:spacing w:line="360" w:lineRule="auto"/>
        <w:jc w:val="center"/>
        <w:rPr>
          <w:rFonts w:ascii="Palatino Linotype" w:hAnsi="Palatino Linotype"/>
        </w:rPr>
      </w:pPr>
    </w:p>
    <w:p w14:paraId="189A112B" w14:textId="53663829" w:rsidR="00223691" w:rsidRPr="007E5779" w:rsidRDefault="00463BA6" w:rsidP="007E5779">
      <w:pPr>
        <w:spacing w:line="360" w:lineRule="auto"/>
        <w:jc w:val="center"/>
        <w:rPr>
          <w:rFonts w:ascii="Palatino Linotype" w:hAnsi="Palatino Linotype"/>
        </w:rPr>
      </w:pPr>
      <w:r w:rsidRPr="00223691">
        <w:rPr>
          <w:rFonts w:ascii="Palatino Linotype" w:hAnsi="Palatino Linotype"/>
          <w:noProof/>
        </w:rPr>
        <w:drawing>
          <wp:anchor distT="0" distB="0" distL="114300" distR="114300" simplePos="0" relativeHeight="251671552" behindDoc="0" locked="0" layoutInCell="1" allowOverlap="1" wp14:anchorId="7C15E9AF" wp14:editId="4C7A8672">
            <wp:simplePos x="0" y="0"/>
            <wp:positionH relativeFrom="page">
              <wp:align>center</wp:align>
            </wp:positionH>
            <wp:positionV relativeFrom="paragraph">
              <wp:posOffset>644965</wp:posOffset>
            </wp:positionV>
            <wp:extent cx="4206774" cy="3075940"/>
            <wp:effectExtent l="19050" t="19050" r="22860" b="10160"/>
            <wp:wrapThrough wrapText="bothSides">
              <wp:wrapPolygon edited="0">
                <wp:start x="-98" y="-134"/>
                <wp:lineTo x="-98" y="21538"/>
                <wp:lineTo x="21620" y="21538"/>
                <wp:lineTo x="21620" y="-134"/>
                <wp:lineTo x="-98" y="-13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06774" cy="3075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B3E55C" w14:textId="77777777" w:rsidR="00463BA6" w:rsidRDefault="00463BA6" w:rsidP="00223691">
      <w:pPr>
        <w:spacing w:line="360" w:lineRule="auto"/>
        <w:jc w:val="center"/>
        <w:rPr>
          <w:rFonts w:ascii="Palatino Linotype" w:hAnsi="Palatino Linotype"/>
          <w:color w:val="000000"/>
        </w:rPr>
      </w:pPr>
    </w:p>
    <w:p w14:paraId="2B4F592D" w14:textId="77777777" w:rsidR="00463BA6" w:rsidRDefault="00463BA6" w:rsidP="00223691">
      <w:pPr>
        <w:spacing w:line="360" w:lineRule="auto"/>
        <w:jc w:val="center"/>
        <w:rPr>
          <w:rFonts w:ascii="Palatino Linotype" w:hAnsi="Palatino Linotype"/>
          <w:color w:val="000000"/>
        </w:rPr>
      </w:pPr>
    </w:p>
    <w:p w14:paraId="53B63F49" w14:textId="77777777" w:rsidR="00463BA6" w:rsidRDefault="00463BA6" w:rsidP="00223691">
      <w:pPr>
        <w:spacing w:line="360" w:lineRule="auto"/>
        <w:jc w:val="center"/>
        <w:rPr>
          <w:rFonts w:ascii="Palatino Linotype" w:hAnsi="Palatino Linotype"/>
          <w:color w:val="000000"/>
        </w:rPr>
      </w:pPr>
    </w:p>
    <w:p w14:paraId="699158B0" w14:textId="514107EC" w:rsidR="00223691" w:rsidRDefault="00223691" w:rsidP="00223691">
      <w:pPr>
        <w:spacing w:line="360" w:lineRule="auto"/>
        <w:jc w:val="center"/>
        <w:rPr>
          <w:rFonts w:ascii="Palatino Linotype" w:hAnsi="Palatino Linotype"/>
          <w:color w:val="000000"/>
        </w:rPr>
      </w:pPr>
    </w:p>
    <w:p w14:paraId="73AFDF72" w14:textId="77777777" w:rsidR="00463BA6" w:rsidRDefault="00463BA6" w:rsidP="00223691">
      <w:pPr>
        <w:spacing w:line="360" w:lineRule="auto"/>
        <w:jc w:val="center"/>
        <w:rPr>
          <w:rFonts w:ascii="Palatino Linotype" w:hAnsi="Palatino Linotype"/>
          <w:color w:val="000000"/>
        </w:rPr>
      </w:pPr>
    </w:p>
    <w:p w14:paraId="33CF954F" w14:textId="77777777" w:rsidR="00463BA6" w:rsidRDefault="00463BA6" w:rsidP="00223691">
      <w:pPr>
        <w:spacing w:line="360" w:lineRule="auto"/>
        <w:jc w:val="center"/>
        <w:rPr>
          <w:rFonts w:ascii="Palatino Linotype" w:hAnsi="Palatino Linotype"/>
          <w:color w:val="000000"/>
        </w:rPr>
      </w:pPr>
    </w:p>
    <w:p w14:paraId="32E97E56" w14:textId="77777777" w:rsidR="00463BA6" w:rsidRDefault="00463BA6" w:rsidP="00223691">
      <w:pPr>
        <w:spacing w:line="360" w:lineRule="auto"/>
        <w:jc w:val="center"/>
        <w:rPr>
          <w:rFonts w:ascii="Palatino Linotype" w:hAnsi="Palatino Linotype"/>
          <w:color w:val="000000"/>
        </w:rPr>
      </w:pPr>
    </w:p>
    <w:p w14:paraId="239225A3" w14:textId="77777777" w:rsidR="00463BA6" w:rsidRDefault="00463BA6" w:rsidP="00223691">
      <w:pPr>
        <w:spacing w:line="360" w:lineRule="auto"/>
        <w:jc w:val="center"/>
        <w:rPr>
          <w:rFonts w:ascii="Palatino Linotype" w:hAnsi="Palatino Linotype"/>
          <w:color w:val="000000"/>
        </w:rPr>
      </w:pPr>
    </w:p>
    <w:p w14:paraId="6D003098" w14:textId="77777777" w:rsidR="00463BA6" w:rsidRDefault="00463BA6" w:rsidP="00223691">
      <w:pPr>
        <w:spacing w:line="360" w:lineRule="auto"/>
        <w:jc w:val="center"/>
        <w:rPr>
          <w:rFonts w:ascii="Palatino Linotype" w:hAnsi="Palatino Linotype"/>
          <w:color w:val="000000"/>
        </w:rPr>
      </w:pPr>
    </w:p>
    <w:p w14:paraId="4C423E54" w14:textId="77777777" w:rsidR="00463BA6" w:rsidRDefault="00463BA6" w:rsidP="00223691">
      <w:pPr>
        <w:spacing w:line="360" w:lineRule="auto"/>
        <w:jc w:val="center"/>
        <w:rPr>
          <w:rFonts w:ascii="Palatino Linotype" w:hAnsi="Palatino Linotype"/>
          <w:color w:val="000000"/>
        </w:rPr>
      </w:pPr>
    </w:p>
    <w:p w14:paraId="42B57EC2" w14:textId="77777777" w:rsidR="00463BA6" w:rsidRDefault="00463BA6" w:rsidP="00223691">
      <w:pPr>
        <w:spacing w:line="360" w:lineRule="auto"/>
        <w:jc w:val="center"/>
        <w:rPr>
          <w:rFonts w:ascii="Palatino Linotype" w:hAnsi="Palatino Linotype"/>
          <w:color w:val="000000"/>
        </w:rPr>
      </w:pPr>
    </w:p>
    <w:p w14:paraId="12C20086" w14:textId="77777777" w:rsidR="00463BA6" w:rsidRDefault="00463BA6" w:rsidP="00223691">
      <w:pPr>
        <w:spacing w:line="360" w:lineRule="auto"/>
        <w:jc w:val="center"/>
        <w:rPr>
          <w:rFonts w:ascii="Palatino Linotype" w:hAnsi="Palatino Linotype"/>
          <w:color w:val="000000"/>
        </w:rPr>
      </w:pPr>
    </w:p>
    <w:p w14:paraId="48F78CF4" w14:textId="77777777" w:rsidR="00463BA6" w:rsidRDefault="00463BA6" w:rsidP="00223691">
      <w:pPr>
        <w:spacing w:line="360" w:lineRule="auto"/>
        <w:jc w:val="center"/>
        <w:rPr>
          <w:rFonts w:ascii="Palatino Linotype" w:hAnsi="Palatino Linotype"/>
          <w:color w:val="000000"/>
        </w:rPr>
      </w:pPr>
    </w:p>
    <w:p w14:paraId="5079A605" w14:textId="77777777" w:rsidR="00463BA6" w:rsidRDefault="00463BA6" w:rsidP="00223691">
      <w:pPr>
        <w:spacing w:line="360" w:lineRule="auto"/>
        <w:jc w:val="center"/>
        <w:rPr>
          <w:rFonts w:ascii="Palatino Linotype" w:hAnsi="Palatino Linotype"/>
          <w:color w:val="000000"/>
        </w:rPr>
      </w:pPr>
    </w:p>
    <w:p w14:paraId="50955EE5" w14:textId="7BA2F019" w:rsidR="00463BA6" w:rsidRDefault="00463BA6" w:rsidP="00223691">
      <w:pPr>
        <w:spacing w:line="360" w:lineRule="auto"/>
        <w:jc w:val="center"/>
        <w:rPr>
          <w:rFonts w:ascii="Palatino Linotype" w:hAnsi="Palatino Linotype"/>
          <w:color w:val="000000"/>
        </w:rPr>
      </w:pPr>
      <w:r w:rsidRPr="00223691">
        <w:rPr>
          <w:rFonts w:ascii="Palatino Linotype" w:hAnsi="Palatino Linotype"/>
          <w:noProof/>
          <w:color w:val="000000"/>
        </w:rPr>
        <w:lastRenderedPageBreak/>
        <w:drawing>
          <wp:anchor distT="0" distB="0" distL="114300" distR="114300" simplePos="0" relativeHeight="251673600" behindDoc="0" locked="0" layoutInCell="1" allowOverlap="1" wp14:anchorId="34E1FA73" wp14:editId="705C2BB3">
            <wp:simplePos x="0" y="0"/>
            <wp:positionH relativeFrom="page">
              <wp:align>center</wp:align>
            </wp:positionH>
            <wp:positionV relativeFrom="paragraph">
              <wp:posOffset>19490</wp:posOffset>
            </wp:positionV>
            <wp:extent cx="3755390" cy="2661163"/>
            <wp:effectExtent l="19050" t="19050" r="16510" b="25400"/>
            <wp:wrapThrough wrapText="bothSides">
              <wp:wrapPolygon edited="0">
                <wp:start x="-110" y="-155"/>
                <wp:lineTo x="-110" y="21652"/>
                <wp:lineTo x="21585" y="21652"/>
                <wp:lineTo x="21585" y="-155"/>
                <wp:lineTo x="-110" y="-155"/>
              </wp:wrapPolygon>
            </wp:wrapThrough>
            <wp:docPr id="5" name="Imagen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close-up of a document&#10;&#10;AI-generated content may be incorrect."/>
                    <pic:cNvPicPr/>
                  </pic:nvPicPr>
                  <pic:blipFill rotWithShape="1">
                    <a:blip r:embed="rId11">
                      <a:extLst>
                        <a:ext uri="{28A0092B-C50C-407E-A947-70E740481C1C}">
                          <a14:useLocalDpi xmlns:a14="http://schemas.microsoft.com/office/drawing/2010/main" val="0"/>
                        </a:ext>
                      </a:extLst>
                    </a:blip>
                    <a:srcRect t="6430"/>
                    <a:stretch/>
                  </pic:blipFill>
                  <pic:spPr bwMode="auto">
                    <a:xfrm>
                      <a:off x="0" y="0"/>
                      <a:ext cx="3755390" cy="266116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AB500" w14:textId="45276E0D" w:rsidR="00463BA6" w:rsidRDefault="00463BA6" w:rsidP="00223691">
      <w:pPr>
        <w:spacing w:line="360" w:lineRule="auto"/>
        <w:jc w:val="center"/>
        <w:rPr>
          <w:rFonts w:ascii="Palatino Linotype" w:hAnsi="Palatino Linotype"/>
          <w:color w:val="000000"/>
        </w:rPr>
      </w:pPr>
    </w:p>
    <w:p w14:paraId="0AF44D92" w14:textId="55AB1A8A" w:rsidR="00463BA6" w:rsidRDefault="00463BA6" w:rsidP="00223691">
      <w:pPr>
        <w:spacing w:line="360" w:lineRule="auto"/>
        <w:jc w:val="center"/>
        <w:rPr>
          <w:rFonts w:ascii="Palatino Linotype" w:hAnsi="Palatino Linotype"/>
          <w:color w:val="000000"/>
        </w:rPr>
      </w:pPr>
    </w:p>
    <w:p w14:paraId="044E9BBD" w14:textId="239F19AF" w:rsidR="00463BA6" w:rsidRDefault="00463BA6" w:rsidP="00223691">
      <w:pPr>
        <w:spacing w:line="360" w:lineRule="auto"/>
        <w:jc w:val="center"/>
        <w:rPr>
          <w:rFonts w:ascii="Palatino Linotype" w:hAnsi="Palatino Linotype"/>
          <w:color w:val="000000"/>
        </w:rPr>
      </w:pPr>
    </w:p>
    <w:p w14:paraId="1EDE9312" w14:textId="196B4816" w:rsidR="00463BA6" w:rsidRDefault="00463BA6" w:rsidP="00223691">
      <w:pPr>
        <w:spacing w:line="360" w:lineRule="auto"/>
        <w:jc w:val="center"/>
        <w:rPr>
          <w:rFonts w:ascii="Palatino Linotype" w:hAnsi="Palatino Linotype"/>
          <w:color w:val="000000"/>
        </w:rPr>
      </w:pPr>
    </w:p>
    <w:p w14:paraId="77482AA5" w14:textId="77777777" w:rsidR="00463BA6" w:rsidRDefault="00463BA6" w:rsidP="00223691">
      <w:pPr>
        <w:spacing w:line="360" w:lineRule="auto"/>
        <w:jc w:val="center"/>
        <w:rPr>
          <w:rFonts w:ascii="Palatino Linotype" w:hAnsi="Palatino Linotype"/>
          <w:color w:val="000000"/>
        </w:rPr>
      </w:pPr>
    </w:p>
    <w:p w14:paraId="550E14C6" w14:textId="77777777" w:rsidR="00463BA6" w:rsidRDefault="00463BA6" w:rsidP="00223691">
      <w:pPr>
        <w:spacing w:line="360" w:lineRule="auto"/>
        <w:jc w:val="center"/>
        <w:rPr>
          <w:rFonts w:ascii="Palatino Linotype" w:hAnsi="Palatino Linotype"/>
          <w:color w:val="000000"/>
        </w:rPr>
      </w:pPr>
    </w:p>
    <w:p w14:paraId="61AB020E" w14:textId="4E68A191" w:rsidR="00463BA6" w:rsidRDefault="00463BA6" w:rsidP="00223691">
      <w:pPr>
        <w:spacing w:line="360" w:lineRule="auto"/>
        <w:jc w:val="center"/>
        <w:rPr>
          <w:rFonts w:ascii="Palatino Linotype" w:hAnsi="Palatino Linotype"/>
          <w:color w:val="000000"/>
        </w:rPr>
      </w:pPr>
    </w:p>
    <w:p w14:paraId="1A02FB53" w14:textId="77777777" w:rsidR="00463BA6" w:rsidRDefault="00463BA6" w:rsidP="00223691">
      <w:pPr>
        <w:spacing w:line="360" w:lineRule="auto"/>
        <w:jc w:val="center"/>
        <w:rPr>
          <w:rFonts w:ascii="Palatino Linotype" w:hAnsi="Palatino Linotype"/>
          <w:color w:val="000000"/>
        </w:rPr>
      </w:pPr>
    </w:p>
    <w:p w14:paraId="17858978" w14:textId="24D01683" w:rsidR="00463BA6" w:rsidRDefault="00463BA6" w:rsidP="00223691">
      <w:pPr>
        <w:spacing w:line="360" w:lineRule="auto"/>
        <w:jc w:val="center"/>
        <w:rPr>
          <w:rFonts w:ascii="Palatino Linotype" w:hAnsi="Palatino Linotype"/>
          <w:color w:val="000000"/>
        </w:rPr>
      </w:pPr>
      <w:r w:rsidRPr="00223691">
        <w:rPr>
          <w:rFonts w:ascii="Palatino Linotype" w:hAnsi="Palatino Linotype"/>
          <w:noProof/>
          <w:color w:val="000000"/>
        </w:rPr>
        <w:drawing>
          <wp:anchor distT="0" distB="0" distL="114300" distR="114300" simplePos="0" relativeHeight="251674624" behindDoc="0" locked="0" layoutInCell="1" allowOverlap="1" wp14:anchorId="4EB6D647" wp14:editId="396F46C6">
            <wp:simplePos x="0" y="0"/>
            <wp:positionH relativeFrom="page">
              <wp:align>center</wp:align>
            </wp:positionH>
            <wp:positionV relativeFrom="paragraph">
              <wp:posOffset>41715</wp:posOffset>
            </wp:positionV>
            <wp:extent cx="3837547" cy="1988517"/>
            <wp:effectExtent l="19050" t="19050" r="10795" b="12065"/>
            <wp:wrapThrough wrapText="bothSides">
              <wp:wrapPolygon edited="0">
                <wp:start x="-107" y="-207"/>
                <wp:lineTo x="-107" y="21524"/>
                <wp:lineTo x="21554" y="21524"/>
                <wp:lineTo x="21554" y="-207"/>
                <wp:lineTo x="-107" y="-207"/>
              </wp:wrapPolygon>
            </wp:wrapThrough>
            <wp:docPr id="6" name="Imagen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close-up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837547" cy="19885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802FF8" w14:textId="695F169B" w:rsidR="00463BA6" w:rsidRDefault="00463BA6" w:rsidP="00223691">
      <w:pPr>
        <w:spacing w:line="360" w:lineRule="auto"/>
        <w:jc w:val="center"/>
        <w:rPr>
          <w:rFonts w:ascii="Palatino Linotype" w:hAnsi="Palatino Linotype"/>
          <w:color w:val="000000"/>
        </w:rPr>
      </w:pPr>
    </w:p>
    <w:p w14:paraId="42A98387" w14:textId="77777777" w:rsidR="00463BA6" w:rsidRDefault="00463BA6" w:rsidP="00223691">
      <w:pPr>
        <w:spacing w:line="360" w:lineRule="auto"/>
        <w:jc w:val="center"/>
        <w:rPr>
          <w:rFonts w:ascii="Palatino Linotype" w:hAnsi="Palatino Linotype"/>
          <w:color w:val="000000"/>
        </w:rPr>
      </w:pPr>
    </w:p>
    <w:p w14:paraId="188C93B1" w14:textId="77777777" w:rsidR="00463BA6" w:rsidRDefault="00463BA6" w:rsidP="00223691">
      <w:pPr>
        <w:spacing w:line="360" w:lineRule="auto"/>
        <w:jc w:val="center"/>
        <w:rPr>
          <w:rFonts w:ascii="Palatino Linotype" w:hAnsi="Palatino Linotype"/>
          <w:color w:val="000000"/>
        </w:rPr>
      </w:pPr>
    </w:p>
    <w:p w14:paraId="072E3F50" w14:textId="1E755CB8" w:rsidR="00463BA6" w:rsidRDefault="00463BA6" w:rsidP="00223691">
      <w:pPr>
        <w:spacing w:line="360" w:lineRule="auto"/>
        <w:jc w:val="center"/>
        <w:rPr>
          <w:rFonts w:ascii="Palatino Linotype" w:hAnsi="Palatino Linotype"/>
          <w:color w:val="000000"/>
        </w:rPr>
      </w:pPr>
    </w:p>
    <w:p w14:paraId="66BE1EC9" w14:textId="2F15D3A9" w:rsidR="00463BA6" w:rsidRDefault="00463BA6" w:rsidP="00223691">
      <w:pPr>
        <w:spacing w:line="360" w:lineRule="auto"/>
        <w:jc w:val="center"/>
        <w:rPr>
          <w:rFonts w:ascii="Palatino Linotype" w:hAnsi="Palatino Linotype"/>
          <w:color w:val="000000"/>
        </w:rPr>
      </w:pPr>
    </w:p>
    <w:p w14:paraId="45E859DE" w14:textId="199A87F9" w:rsidR="00463BA6" w:rsidRDefault="00463BA6" w:rsidP="00223691">
      <w:pPr>
        <w:spacing w:line="360" w:lineRule="auto"/>
        <w:jc w:val="center"/>
        <w:rPr>
          <w:rFonts w:ascii="Palatino Linotype" w:hAnsi="Palatino Linotype"/>
          <w:color w:val="000000"/>
        </w:rPr>
      </w:pPr>
    </w:p>
    <w:p w14:paraId="272117F7" w14:textId="7FF328C6" w:rsidR="00463BA6" w:rsidRDefault="00463BA6" w:rsidP="00223691">
      <w:pPr>
        <w:spacing w:line="360" w:lineRule="auto"/>
        <w:jc w:val="center"/>
        <w:rPr>
          <w:rFonts w:ascii="Palatino Linotype" w:hAnsi="Palatino Linotype"/>
          <w:color w:val="000000"/>
        </w:rPr>
      </w:pPr>
      <w:r w:rsidRPr="00223691">
        <w:rPr>
          <w:rFonts w:ascii="Palatino Linotype" w:hAnsi="Palatino Linotype"/>
          <w:noProof/>
          <w:color w:val="000000"/>
        </w:rPr>
        <w:drawing>
          <wp:anchor distT="0" distB="0" distL="114300" distR="114300" simplePos="0" relativeHeight="251675648" behindDoc="0" locked="0" layoutInCell="1" allowOverlap="1" wp14:anchorId="67E6B6E6" wp14:editId="2E70266C">
            <wp:simplePos x="0" y="0"/>
            <wp:positionH relativeFrom="page">
              <wp:align>center</wp:align>
            </wp:positionH>
            <wp:positionV relativeFrom="paragraph">
              <wp:posOffset>104531</wp:posOffset>
            </wp:positionV>
            <wp:extent cx="3808675" cy="1410970"/>
            <wp:effectExtent l="19050" t="19050" r="20955" b="17780"/>
            <wp:wrapThrough wrapText="bothSides">
              <wp:wrapPolygon edited="0">
                <wp:start x="-108" y="-292"/>
                <wp:lineTo x="-108" y="21581"/>
                <wp:lineTo x="21611" y="21581"/>
                <wp:lineTo x="21611" y="-292"/>
                <wp:lineTo x="-108" y="-292"/>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08675" cy="1410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7ABEF6" w14:textId="1DC620D5" w:rsidR="00463BA6" w:rsidRDefault="00463BA6" w:rsidP="00223691">
      <w:pPr>
        <w:spacing w:line="360" w:lineRule="auto"/>
        <w:jc w:val="center"/>
        <w:rPr>
          <w:rFonts w:ascii="Palatino Linotype" w:hAnsi="Palatino Linotype"/>
          <w:color w:val="000000"/>
        </w:rPr>
      </w:pPr>
    </w:p>
    <w:p w14:paraId="386CD489" w14:textId="77777777" w:rsidR="00463BA6" w:rsidRDefault="00463BA6" w:rsidP="00223691">
      <w:pPr>
        <w:spacing w:line="360" w:lineRule="auto"/>
        <w:jc w:val="center"/>
        <w:rPr>
          <w:rFonts w:ascii="Palatino Linotype" w:hAnsi="Palatino Linotype"/>
          <w:color w:val="000000"/>
        </w:rPr>
      </w:pPr>
    </w:p>
    <w:p w14:paraId="3B02F5F8" w14:textId="77777777" w:rsidR="00463BA6" w:rsidRDefault="00463BA6" w:rsidP="00223691">
      <w:pPr>
        <w:spacing w:line="360" w:lineRule="auto"/>
        <w:jc w:val="center"/>
        <w:rPr>
          <w:rFonts w:ascii="Palatino Linotype" w:hAnsi="Palatino Linotype"/>
          <w:color w:val="000000"/>
        </w:rPr>
      </w:pPr>
    </w:p>
    <w:p w14:paraId="08044F60" w14:textId="2C074D9F" w:rsidR="00223691" w:rsidRDefault="00223691" w:rsidP="00223691">
      <w:pPr>
        <w:spacing w:line="360" w:lineRule="auto"/>
        <w:jc w:val="center"/>
        <w:rPr>
          <w:rFonts w:ascii="Palatino Linotype" w:hAnsi="Palatino Linotype"/>
          <w:color w:val="000000"/>
        </w:rPr>
      </w:pPr>
    </w:p>
    <w:p w14:paraId="2865DDE2" w14:textId="06B0B2A1" w:rsidR="00223691" w:rsidRDefault="00223691" w:rsidP="00223691">
      <w:pPr>
        <w:spacing w:line="360" w:lineRule="auto"/>
        <w:jc w:val="center"/>
        <w:rPr>
          <w:rFonts w:ascii="Palatino Linotype" w:hAnsi="Palatino Linotype"/>
          <w:color w:val="000000"/>
        </w:rPr>
      </w:pPr>
    </w:p>
    <w:p w14:paraId="66FDEFEE" w14:textId="77777777" w:rsidR="00824993" w:rsidRDefault="00824993" w:rsidP="00317504">
      <w:pPr>
        <w:spacing w:line="360" w:lineRule="auto"/>
        <w:jc w:val="both"/>
        <w:rPr>
          <w:rFonts w:ascii="Palatino Linotype" w:hAnsi="Palatino Linotype"/>
          <w:color w:val="000000"/>
        </w:rPr>
      </w:pPr>
    </w:p>
    <w:p w14:paraId="36EA6C95" w14:textId="77777777" w:rsidR="00824993" w:rsidRDefault="00824993" w:rsidP="00317504">
      <w:pPr>
        <w:spacing w:line="360" w:lineRule="auto"/>
        <w:jc w:val="both"/>
        <w:rPr>
          <w:rFonts w:ascii="Palatino Linotype" w:hAnsi="Palatino Linotype"/>
          <w:color w:val="000000"/>
        </w:rPr>
      </w:pPr>
    </w:p>
    <w:p w14:paraId="1FDE9697" w14:textId="4067D128" w:rsidR="000140B2" w:rsidRDefault="00955846" w:rsidP="00317504">
      <w:pPr>
        <w:spacing w:line="360" w:lineRule="auto"/>
        <w:jc w:val="both"/>
        <w:rPr>
          <w:rFonts w:ascii="Palatino Linotype" w:hAnsi="Palatino Linotype"/>
        </w:rPr>
      </w:pPr>
      <w:r w:rsidRPr="000140B2">
        <w:rPr>
          <w:rFonts w:ascii="Palatino Linotype" w:hAnsi="Palatino Linotype"/>
          <w:color w:val="000000"/>
        </w:rPr>
        <w:t xml:space="preserve">De lo anterior, </w:t>
      </w:r>
      <w:r w:rsidR="000140B2">
        <w:rPr>
          <w:rFonts w:ascii="Palatino Linotype" w:hAnsi="Palatino Linotype"/>
          <w:color w:val="000000"/>
        </w:rPr>
        <w:t>debe comprenderse entonces</w:t>
      </w:r>
      <w:r w:rsidR="000A0B73" w:rsidRPr="000140B2">
        <w:rPr>
          <w:rFonts w:ascii="Palatino Linotype" w:hAnsi="Palatino Linotype"/>
          <w:color w:val="000000"/>
        </w:rPr>
        <w:t xml:space="preserve"> que la </w:t>
      </w:r>
      <w:r w:rsidR="000140B2" w:rsidRPr="000140B2">
        <w:rPr>
          <w:rFonts w:ascii="Palatino Linotype" w:hAnsi="Palatino Linotype"/>
          <w:color w:val="000000"/>
        </w:rPr>
        <w:t>concesión es</w:t>
      </w:r>
      <w:r w:rsidR="000A0B73" w:rsidRPr="000140B2">
        <w:rPr>
          <w:rFonts w:ascii="Palatino Linotype" w:hAnsi="Palatino Linotype"/>
          <w:color w:val="000000"/>
        </w:rPr>
        <w:t xml:space="preserve"> el acto administrativo por medio del cual el titular del poder Ejecutivo por conducto de la </w:t>
      </w:r>
      <w:r w:rsidR="00F94C61" w:rsidRPr="000140B2">
        <w:rPr>
          <w:rFonts w:ascii="Palatino Linotype" w:hAnsi="Palatino Linotype"/>
          <w:color w:val="000000"/>
        </w:rPr>
        <w:t>secretaria</w:t>
      </w:r>
      <w:r w:rsidR="000A0B73" w:rsidRPr="000140B2">
        <w:rPr>
          <w:rFonts w:ascii="Palatino Linotype" w:hAnsi="Palatino Linotype"/>
          <w:color w:val="000000"/>
        </w:rPr>
        <w:t xml:space="preserve"> </w:t>
      </w:r>
      <w:r w:rsidR="000A0B73" w:rsidRPr="000140B2">
        <w:rPr>
          <w:rFonts w:ascii="Palatino Linotype" w:hAnsi="Palatino Linotype"/>
        </w:rPr>
        <w:t>autoriza a las personas físicas o jurídicas, para prestar un servicio público de transporte, en los términos y condiciones que la propia ley señala</w:t>
      </w:r>
      <w:r w:rsidR="000140B2">
        <w:rPr>
          <w:rFonts w:ascii="Palatino Linotype" w:hAnsi="Palatino Linotype"/>
        </w:rPr>
        <w:t>.</w:t>
      </w:r>
    </w:p>
    <w:p w14:paraId="7A1F7617" w14:textId="77777777" w:rsidR="000140B2" w:rsidRDefault="000140B2" w:rsidP="00317504">
      <w:pPr>
        <w:spacing w:line="360" w:lineRule="auto"/>
        <w:jc w:val="both"/>
        <w:rPr>
          <w:rFonts w:ascii="Palatino Linotype" w:hAnsi="Palatino Linotype"/>
        </w:rPr>
      </w:pPr>
    </w:p>
    <w:p w14:paraId="361511B1" w14:textId="2EA1A4C4" w:rsidR="000A0B73" w:rsidRPr="00323C50" w:rsidRDefault="000140B2" w:rsidP="00317504">
      <w:pPr>
        <w:spacing w:line="360" w:lineRule="auto"/>
        <w:jc w:val="both"/>
        <w:rPr>
          <w:rFonts w:ascii="Palatino Linotype" w:hAnsi="Palatino Linotype"/>
        </w:rPr>
      </w:pPr>
      <w:r>
        <w:rPr>
          <w:rFonts w:ascii="Palatino Linotype" w:hAnsi="Palatino Linotype"/>
        </w:rPr>
        <w:t>De manera complementaria,</w:t>
      </w:r>
      <w:r w:rsidR="000A0B73">
        <w:rPr>
          <w:rFonts w:ascii="Palatino Linotype" w:hAnsi="Palatino Linotype"/>
        </w:rPr>
        <w:t xml:space="preserve"> resulta preciso establecer que el Sistema Integral de Movilidad se compone de la Infraestructura Vial Primaria y Secundaria </w:t>
      </w:r>
      <w:r w:rsidR="00FF1FEF">
        <w:rPr>
          <w:rFonts w:ascii="Palatino Linotype" w:hAnsi="Palatino Linotype"/>
        </w:rPr>
        <w:t xml:space="preserve">siendo la infraestructura vial primaria aquella a cargo del Estado y la infraestructura vial secundaria la que </w:t>
      </w:r>
      <w:r w:rsidR="00941CEC">
        <w:rPr>
          <w:rFonts w:ascii="Palatino Linotype" w:hAnsi="Palatino Linotype"/>
        </w:rPr>
        <w:t>está</w:t>
      </w:r>
      <w:r w:rsidR="00FF1FEF">
        <w:rPr>
          <w:rFonts w:ascii="Palatino Linotype" w:hAnsi="Palatino Linotype"/>
        </w:rPr>
        <w:t xml:space="preserve"> a cargo de los municipios, conforme lo siguiente; </w:t>
      </w:r>
    </w:p>
    <w:p w14:paraId="61547C5B" w14:textId="6B1F3576" w:rsidR="00824993" w:rsidRPr="00955846" w:rsidRDefault="000140B2" w:rsidP="000140B2">
      <w:pPr>
        <w:pStyle w:val="Citas"/>
        <w:rPr>
          <w:color w:val="000000"/>
        </w:rPr>
      </w:pPr>
      <w:r>
        <w:rPr>
          <w:b/>
        </w:rPr>
        <w:t>“</w:t>
      </w:r>
      <w:r w:rsidR="00955846" w:rsidRPr="007E5779">
        <w:rPr>
          <w:b/>
        </w:rPr>
        <w:t>Artículo 2.</w:t>
      </w:r>
      <w:r w:rsidR="00955846" w:rsidRPr="00955846">
        <w:t xml:space="preserve"> Definiciones. Para la aplicación, interpretación y efectos de esta Ley, se entiende por:</w:t>
      </w:r>
    </w:p>
    <w:p w14:paraId="01338CB9" w14:textId="77777777" w:rsidR="00955846" w:rsidRDefault="00955846" w:rsidP="000140B2">
      <w:pPr>
        <w:pStyle w:val="Citas"/>
      </w:pPr>
      <w:r w:rsidRPr="007E5779">
        <w:rPr>
          <w:b/>
        </w:rPr>
        <w:t>V. Concesión:</w:t>
      </w:r>
      <w:r w:rsidRPr="00955846">
        <w:t xml:space="preserve"> Al acto administrativo por el cual el titular del Poder Ejecutivo del Estado, por conducto de la Secretaría, autoriza a las personas físicas o jurídicas, para prestar un servicio público de transporte, en los términos y condiciones que la propia ley señala.</w:t>
      </w:r>
    </w:p>
    <w:p w14:paraId="4AFFC08D" w14:textId="77777777" w:rsidR="00955846" w:rsidRPr="00955846" w:rsidRDefault="00955846" w:rsidP="000140B2">
      <w:pPr>
        <w:pStyle w:val="Citas"/>
      </w:pPr>
      <w:r w:rsidRPr="007E5779">
        <w:rPr>
          <w:b/>
        </w:rPr>
        <w:t>Artículo 16. Sistema Integral de Movilidad</w:t>
      </w:r>
      <w:r w:rsidRPr="00955846">
        <w:t>. Los elementos del Sistema Integral de Movilidad, se clasifican en:</w:t>
      </w:r>
    </w:p>
    <w:p w14:paraId="508ABC2F" w14:textId="77777777" w:rsidR="00955846" w:rsidRPr="00955846" w:rsidRDefault="00955846" w:rsidP="000140B2">
      <w:pPr>
        <w:pStyle w:val="Citas"/>
        <w:rPr>
          <w:b/>
        </w:rPr>
      </w:pPr>
      <w:r w:rsidRPr="00955846">
        <w:rPr>
          <w:b/>
        </w:rPr>
        <w:t xml:space="preserve">Infraestructura vial: </w:t>
      </w:r>
    </w:p>
    <w:p w14:paraId="7562448B" w14:textId="77777777" w:rsidR="00955846" w:rsidRPr="00955846" w:rsidRDefault="00955846" w:rsidP="000140B2">
      <w:pPr>
        <w:pStyle w:val="Citas"/>
      </w:pPr>
      <w:r w:rsidRPr="00955846">
        <w:t xml:space="preserve">a) </w:t>
      </w:r>
      <w:r w:rsidRPr="00955846">
        <w:rPr>
          <w:b/>
        </w:rPr>
        <w:t>Primaria</w:t>
      </w:r>
      <w:r w:rsidRPr="00955846">
        <w:t xml:space="preserve">: Estará a cargo del Estado, podrá ser de cuota, libre de peaje o de uso restringido. </w:t>
      </w:r>
    </w:p>
    <w:p w14:paraId="55EC70CC" w14:textId="5B46E7CC" w:rsidR="00955846" w:rsidRPr="000140B2" w:rsidRDefault="00955846" w:rsidP="000140B2">
      <w:pPr>
        <w:pStyle w:val="Citas"/>
        <w:rPr>
          <w:b/>
          <w:bCs/>
        </w:rPr>
      </w:pPr>
      <w:r w:rsidRPr="00955846">
        <w:lastRenderedPageBreak/>
        <w:t xml:space="preserve">b) </w:t>
      </w:r>
      <w:r w:rsidRPr="00955846">
        <w:rPr>
          <w:b/>
        </w:rPr>
        <w:t>Local</w:t>
      </w:r>
      <w:r w:rsidRPr="00955846">
        <w:t>: Aquella que no sea considerada vial primaria y estará a cargo de los municipios.</w:t>
      </w:r>
      <w:r w:rsidR="000140B2">
        <w:t xml:space="preserve">” </w:t>
      </w:r>
      <w:r w:rsidR="000140B2">
        <w:rPr>
          <w:b/>
          <w:bCs/>
        </w:rPr>
        <w:t>(Sic)</w:t>
      </w:r>
    </w:p>
    <w:p w14:paraId="6AB015F4" w14:textId="6B50288C" w:rsidR="00955846" w:rsidRPr="00AE5BF9" w:rsidRDefault="00AE5BF9" w:rsidP="00AE5BF9">
      <w:pPr>
        <w:spacing w:line="360" w:lineRule="auto"/>
        <w:rPr>
          <w:rFonts w:ascii="Palatino Linotype" w:hAnsi="Palatino Linotype"/>
          <w:iCs/>
        </w:rPr>
      </w:pPr>
      <w:r w:rsidRPr="00AE5BF9">
        <w:rPr>
          <w:rFonts w:ascii="Palatino Linotype" w:hAnsi="Palatino Linotype"/>
          <w:iCs/>
        </w:rPr>
        <w:t>Ahora bien, el estudio de impacto urbano es un análisis técnico que evalúa como un proyecto de construcción o desarrollo puede afectar el entorno urbano, incluyendo:</w:t>
      </w:r>
    </w:p>
    <w:p w14:paraId="47CABDE0" w14:textId="4DC0A3D3" w:rsidR="00AE5BF9" w:rsidRPr="00AE5BF9" w:rsidRDefault="00AE5BF9" w:rsidP="00AE5BF9">
      <w:pPr>
        <w:pStyle w:val="Prrafodelista"/>
        <w:numPr>
          <w:ilvl w:val="0"/>
          <w:numId w:val="24"/>
        </w:numPr>
        <w:rPr>
          <w:iCs/>
        </w:rPr>
      </w:pPr>
      <w:r w:rsidRPr="00F94C61">
        <w:rPr>
          <w:b/>
          <w:bCs/>
          <w:iCs/>
        </w:rPr>
        <w:t>Infraestructura:</w:t>
      </w:r>
      <w:r w:rsidRPr="00AE5BF9">
        <w:rPr>
          <w:iCs/>
        </w:rPr>
        <w:t xml:space="preserve"> Evalúa la capacidad de la infraestructura existente (agua, drenaje, electricidad, otros) para soportar la demanda adicional generada por el proyecto.</w:t>
      </w:r>
    </w:p>
    <w:p w14:paraId="21C91CC4" w14:textId="54B8C617" w:rsidR="00AE5BF9" w:rsidRPr="00AE5BF9" w:rsidRDefault="00AE5BF9" w:rsidP="00AE5BF9">
      <w:pPr>
        <w:pStyle w:val="Prrafodelista"/>
        <w:numPr>
          <w:ilvl w:val="0"/>
          <w:numId w:val="24"/>
        </w:numPr>
        <w:rPr>
          <w:iCs/>
        </w:rPr>
      </w:pPr>
      <w:r w:rsidRPr="00AE5BF9">
        <w:rPr>
          <w:iCs/>
        </w:rPr>
        <w:t>Movilidad: Se impacta el impacto en el tráfico vehicular, accesibilidad, estacionamiento.</w:t>
      </w:r>
    </w:p>
    <w:p w14:paraId="4FCCA8EC" w14:textId="7D5CCF3C" w:rsidR="00AE5BF9" w:rsidRPr="00AE5BF9" w:rsidRDefault="00AE5BF9" w:rsidP="00AE5BF9">
      <w:pPr>
        <w:pStyle w:val="Prrafodelista"/>
        <w:numPr>
          <w:ilvl w:val="0"/>
          <w:numId w:val="24"/>
        </w:numPr>
        <w:rPr>
          <w:iCs/>
        </w:rPr>
      </w:pPr>
      <w:r w:rsidRPr="00AE5BF9">
        <w:rPr>
          <w:iCs/>
        </w:rPr>
        <w:t xml:space="preserve">Medio Ambiente: Impactos en la calidad de aire, agua, suelo, ruido, otros </w:t>
      </w:r>
    </w:p>
    <w:p w14:paraId="2B5577F5" w14:textId="182C4028" w:rsidR="00AE5BF9" w:rsidRPr="00AE5BF9" w:rsidRDefault="00AE5BF9" w:rsidP="00AE5BF9">
      <w:pPr>
        <w:pStyle w:val="Prrafodelista"/>
        <w:numPr>
          <w:ilvl w:val="0"/>
          <w:numId w:val="24"/>
        </w:numPr>
        <w:rPr>
          <w:iCs/>
        </w:rPr>
      </w:pPr>
      <w:r w:rsidRPr="00AE5BF9">
        <w:rPr>
          <w:iCs/>
        </w:rPr>
        <w:t>Social: Se analiza el impacto en la población, incluyendo aspectos como densidad poblacional, oferta de servicios públicos, impacto en la vivienda, calidad de vida.</w:t>
      </w:r>
    </w:p>
    <w:p w14:paraId="590F6132" w14:textId="77A1CBAF" w:rsidR="00AE5BF9" w:rsidRPr="00AE5BF9" w:rsidRDefault="00AE5BF9" w:rsidP="00AE5BF9">
      <w:pPr>
        <w:pStyle w:val="Prrafodelista"/>
        <w:numPr>
          <w:ilvl w:val="0"/>
          <w:numId w:val="24"/>
        </w:numPr>
        <w:rPr>
          <w:iCs/>
        </w:rPr>
      </w:pPr>
      <w:r w:rsidRPr="00AE5BF9">
        <w:rPr>
          <w:iCs/>
        </w:rPr>
        <w:t xml:space="preserve">Patrimonio cultural: Se evalúa el impacto en sitios históricos y elementos arquitectónicos relevantes proponiendo medidas para su conservación. </w:t>
      </w:r>
    </w:p>
    <w:p w14:paraId="63469A02" w14:textId="5EA7D691" w:rsidR="00F94C61" w:rsidRDefault="00F94C61" w:rsidP="00317504">
      <w:pPr>
        <w:spacing w:line="360" w:lineRule="auto"/>
        <w:jc w:val="both"/>
        <w:rPr>
          <w:rFonts w:ascii="Palatino Linotype" w:eastAsia="Calibri" w:hAnsi="Palatino Linotype" w:cs="Arial"/>
          <w:color w:val="000000" w:themeColor="text1"/>
        </w:rPr>
      </w:pPr>
    </w:p>
    <w:p w14:paraId="69C0A4F6" w14:textId="25755B1B" w:rsidR="00F94C61" w:rsidRPr="00F94C61" w:rsidRDefault="00F94C61" w:rsidP="00F94C61">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Por su parte, el dictamen de impacto urbano tiene por objetivo </w:t>
      </w:r>
      <w:r w:rsidRPr="00F94C61">
        <w:rPr>
          <w:rFonts w:ascii="Palatino Linotype" w:eastAsia="Calibri" w:hAnsi="Palatino Linotype" w:cs="Arial"/>
          <w:color w:val="000000" w:themeColor="text1"/>
        </w:rPr>
        <w:t>evaluar y dictaminar las posibles influencias o alteraciones causadas al entorno urbano</w:t>
      </w:r>
      <w:r>
        <w:rPr>
          <w:rFonts w:ascii="Palatino Linotype" w:eastAsia="Calibri" w:hAnsi="Palatino Linotype" w:cs="Arial"/>
          <w:color w:val="000000" w:themeColor="text1"/>
        </w:rPr>
        <w:t xml:space="preserve"> </w:t>
      </w:r>
      <w:r w:rsidRPr="00F94C61">
        <w:rPr>
          <w:rFonts w:ascii="Palatino Linotype" w:eastAsia="Calibri" w:hAnsi="Palatino Linotype" w:cs="Arial"/>
          <w:color w:val="000000" w:themeColor="text1"/>
        </w:rPr>
        <w:t>ambiental por algún proyecto público o privado en el área donde se pretenda realizar, con el fin de establecer</w:t>
      </w:r>
    </w:p>
    <w:p w14:paraId="365134D6" w14:textId="63D11F07" w:rsidR="00F94C61" w:rsidRDefault="00F94C61" w:rsidP="00F94C61">
      <w:pPr>
        <w:spacing w:line="360" w:lineRule="auto"/>
        <w:jc w:val="both"/>
        <w:rPr>
          <w:rFonts w:ascii="Palatino Linotype" w:eastAsia="Calibri" w:hAnsi="Palatino Linotype" w:cs="Arial"/>
          <w:color w:val="000000" w:themeColor="text1"/>
        </w:rPr>
      </w:pPr>
      <w:r w:rsidRPr="00F94C61">
        <w:rPr>
          <w:rFonts w:ascii="Palatino Linotype" w:eastAsia="Calibri" w:hAnsi="Palatino Linotype" w:cs="Arial"/>
          <w:color w:val="000000" w:themeColor="text1"/>
        </w:rPr>
        <w:t>las medidas adecuadas para la prevención, integración y/o compensación, considerando que la</w:t>
      </w:r>
      <w:r>
        <w:rPr>
          <w:rFonts w:ascii="Palatino Linotype" w:eastAsia="Calibri" w:hAnsi="Palatino Linotype" w:cs="Arial"/>
          <w:color w:val="000000" w:themeColor="text1"/>
        </w:rPr>
        <w:t xml:space="preserve"> </w:t>
      </w:r>
      <w:r w:rsidRPr="00F94C61">
        <w:rPr>
          <w:rFonts w:ascii="Palatino Linotype" w:eastAsia="Calibri" w:hAnsi="Palatino Linotype" w:cs="Arial"/>
          <w:color w:val="000000" w:themeColor="text1"/>
        </w:rPr>
        <w:t>programación de la ejecución sea correspondiente con el avance de obra.</w:t>
      </w:r>
    </w:p>
    <w:p w14:paraId="664BC4A6" w14:textId="77777777" w:rsidR="00F94C61" w:rsidRDefault="00F94C61" w:rsidP="00F94C61">
      <w:pPr>
        <w:spacing w:line="360" w:lineRule="auto"/>
        <w:jc w:val="both"/>
        <w:rPr>
          <w:rFonts w:ascii="Palatino Linotype" w:eastAsia="Calibri" w:hAnsi="Palatino Linotype" w:cs="Arial"/>
          <w:color w:val="000000" w:themeColor="text1"/>
        </w:rPr>
      </w:pPr>
    </w:p>
    <w:p w14:paraId="217A46AD" w14:textId="4B3F6741" w:rsidR="00C15B7D" w:rsidRDefault="00C15B7D" w:rsidP="00F94C61">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lastRenderedPageBreak/>
        <w:t>Visto de esta forma, el dictamen de estudio de impacto urbano expedido por la Secretaría de Desarrollo Urbano y Vivienda de la Ciudad de México se encuentra sujeto a la siguiente mecánica:</w:t>
      </w:r>
    </w:p>
    <w:p w14:paraId="5963A04F" w14:textId="77777777" w:rsidR="00C15B7D" w:rsidRDefault="00C15B7D" w:rsidP="00F94C61">
      <w:pPr>
        <w:spacing w:line="360" w:lineRule="auto"/>
        <w:jc w:val="both"/>
        <w:rPr>
          <w:rFonts w:ascii="Palatino Linotype" w:eastAsia="Calibri" w:hAnsi="Palatino Linotype" w:cs="Arial"/>
          <w:color w:val="000000" w:themeColor="text1"/>
        </w:rPr>
      </w:pPr>
    </w:p>
    <w:p w14:paraId="3BD6B5AE" w14:textId="51D27DD2" w:rsidR="00C15B7D" w:rsidRDefault="00C15B7D" w:rsidP="00F94C61">
      <w:pPr>
        <w:spacing w:line="360" w:lineRule="auto"/>
        <w:jc w:val="both"/>
        <w:rPr>
          <w:rFonts w:ascii="Palatino Linotype" w:eastAsia="Calibri" w:hAnsi="Palatino Linotype" w:cs="Arial"/>
          <w:color w:val="000000" w:themeColor="text1"/>
        </w:rPr>
      </w:pPr>
      <w:r w:rsidRPr="00C15B7D">
        <w:rPr>
          <w:rFonts w:ascii="Palatino Linotype" w:eastAsia="Calibri" w:hAnsi="Palatino Linotype" w:cs="Arial"/>
          <w:noProof/>
          <w:color w:val="000000" w:themeColor="text1"/>
        </w:rPr>
        <w:drawing>
          <wp:anchor distT="0" distB="0" distL="114300" distR="114300" simplePos="0" relativeHeight="251676672" behindDoc="0" locked="0" layoutInCell="1" allowOverlap="1" wp14:anchorId="64542542" wp14:editId="04870FA7">
            <wp:simplePos x="0" y="0"/>
            <wp:positionH relativeFrom="page">
              <wp:align>center</wp:align>
            </wp:positionH>
            <wp:positionV relativeFrom="paragraph">
              <wp:posOffset>19050</wp:posOffset>
            </wp:positionV>
            <wp:extent cx="5939790" cy="3426460"/>
            <wp:effectExtent l="19050" t="19050" r="22860" b="21590"/>
            <wp:wrapThrough wrapText="bothSides">
              <wp:wrapPolygon edited="0">
                <wp:start x="-69" y="-120"/>
                <wp:lineTo x="-69" y="21616"/>
                <wp:lineTo x="21614" y="21616"/>
                <wp:lineTo x="21614" y="-120"/>
                <wp:lineTo x="-69" y="-120"/>
              </wp:wrapPolygon>
            </wp:wrapThrough>
            <wp:docPr id="61491541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15418" name="Picture 1" descr="A diagram of a diagra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7515" cy="3431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981AE5" w14:textId="77777777" w:rsidR="00FF1FEF" w:rsidRPr="00FF1FEF" w:rsidRDefault="00FF1FEF" w:rsidP="00FF1FEF">
      <w:pPr>
        <w:rPr>
          <w:rFonts w:eastAsia="Calibri" w:cs="Arial"/>
          <w:i/>
          <w:color w:val="000000" w:themeColor="text1"/>
          <w:sz w:val="22"/>
          <w:szCs w:val="22"/>
        </w:rPr>
      </w:pPr>
    </w:p>
    <w:p w14:paraId="7EA20AAB" w14:textId="2DC1A352" w:rsidR="00BE24BE" w:rsidRDefault="00C15B7D" w:rsidP="00951E67">
      <w:pPr>
        <w:spacing w:line="360" w:lineRule="auto"/>
        <w:jc w:val="both"/>
        <w:rPr>
          <w:rFonts w:ascii="Palatino Linotype" w:hAnsi="Palatino Linotype"/>
        </w:rPr>
      </w:pPr>
      <w:r>
        <w:rPr>
          <w:rFonts w:ascii="Palatino Linotype" w:hAnsi="Palatino Linotype" w:cs="Calibri"/>
          <w:lang w:val="es-ES_tradnl"/>
        </w:rPr>
        <w:t>Una vez sentado lo anterior</w:t>
      </w:r>
      <w:r w:rsidR="000A6E81">
        <w:rPr>
          <w:rFonts w:ascii="Palatino Linotype" w:hAnsi="Palatino Linotype" w:cs="Calibri"/>
          <w:lang w:val="es-ES_tradnl"/>
        </w:rPr>
        <w:t>,</w:t>
      </w:r>
      <w:r w:rsidR="00AF0558">
        <w:rPr>
          <w:rFonts w:ascii="Palatino Linotype" w:hAnsi="Palatino Linotype" w:cs="Calibri"/>
          <w:lang w:val="es-ES_tradnl"/>
        </w:rPr>
        <w:t xml:space="preserve"> conforme lo establecido por el Reglamento Interno del Sistema de Autopistas, Aeropuertos, Servicios Conexos y Auxiliares del Estado de México </w:t>
      </w:r>
      <w:r w:rsidR="00BE24BE">
        <w:rPr>
          <w:rFonts w:ascii="Palatino Linotype" w:hAnsi="Palatino Linotype" w:cs="Calibri"/>
          <w:lang w:val="es-ES_tradnl"/>
        </w:rPr>
        <w:t xml:space="preserve">en sus artículos 9, 10, 14, 15 y 17 a efecto de advertir que el Sistema de Autopistas, Aeropuertos, Servicios Conexos y Auxiliares del Estado de México le corresponde entre sus atribuciones el análisis de proyectos para obtener las concesiones y será mediante la Dirección General que coordinará </w:t>
      </w:r>
      <w:r w:rsidR="00BE24BE">
        <w:rPr>
          <w:rFonts w:ascii="Palatino Linotype" w:hAnsi="Palatino Linotype"/>
        </w:rPr>
        <w:t>las</w:t>
      </w:r>
      <w:r w:rsidR="00BE24BE" w:rsidRPr="00BE24BE">
        <w:rPr>
          <w:rFonts w:ascii="Palatino Linotype" w:hAnsi="Palatino Linotype"/>
        </w:rPr>
        <w:t xml:space="preserve"> investigaciones y estudios que permitan al Gobierno del Estado sustentar las solicitudes de concesiones</w:t>
      </w:r>
      <w:r w:rsidR="000A6E81">
        <w:rPr>
          <w:rFonts w:ascii="Palatino Linotype" w:hAnsi="Palatino Linotype" w:cs="Calibri"/>
          <w:lang w:val="es-ES_tradnl"/>
        </w:rPr>
        <w:t xml:space="preserve">, </w:t>
      </w:r>
      <w:r w:rsidR="000A6E81" w:rsidRPr="00BE24BE">
        <w:rPr>
          <w:rFonts w:ascii="Palatino Linotype" w:hAnsi="Palatino Linotype"/>
        </w:rPr>
        <w:t>proponer</w:t>
      </w:r>
      <w:r w:rsidR="00BE24BE" w:rsidRPr="00BE24BE">
        <w:rPr>
          <w:rFonts w:ascii="Palatino Linotype" w:hAnsi="Palatino Linotype"/>
        </w:rPr>
        <w:t xml:space="preserve"> al Consejo </w:t>
      </w:r>
      <w:r w:rsidR="00BE24BE" w:rsidRPr="00BE24BE">
        <w:rPr>
          <w:rFonts w:ascii="Palatino Linotype" w:hAnsi="Palatino Linotype"/>
        </w:rPr>
        <w:lastRenderedPageBreak/>
        <w:t>mecanismos orientados a obtener concesiones</w:t>
      </w:r>
      <w:r w:rsidR="000A6E81">
        <w:rPr>
          <w:rFonts w:ascii="Palatino Linotype" w:hAnsi="Palatino Linotype" w:cs="Calibri"/>
          <w:lang w:val="es-ES_tradnl"/>
        </w:rPr>
        <w:t xml:space="preserve"> así como s</w:t>
      </w:r>
      <w:r w:rsidR="000A6E81" w:rsidRPr="00BE24BE">
        <w:rPr>
          <w:rFonts w:ascii="Palatino Linotype" w:hAnsi="Palatino Linotype"/>
        </w:rPr>
        <w:t>someter</w:t>
      </w:r>
      <w:r w:rsidR="00BE24BE" w:rsidRPr="00BE24BE">
        <w:rPr>
          <w:rFonts w:ascii="Palatino Linotype" w:hAnsi="Palatino Linotype"/>
        </w:rPr>
        <w:t xml:space="preserve"> a consideración de la Secretaría, la imposición de sanciones a los concesionarios de la infraes</w:t>
      </w:r>
      <w:r w:rsidR="000A6E81">
        <w:rPr>
          <w:rFonts w:ascii="Palatino Linotype" w:hAnsi="Palatino Linotype"/>
        </w:rPr>
        <w:t>tructura vial primaria de cuota.</w:t>
      </w:r>
    </w:p>
    <w:p w14:paraId="29804339" w14:textId="77777777" w:rsidR="000A6E81" w:rsidRDefault="000A6E81" w:rsidP="00951E67">
      <w:pPr>
        <w:spacing w:line="360" w:lineRule="auto"/>
        <w:jc w:val="both"/>
        <w:rPr>
          <w:rFonts w:ascii="Palatino Linotype" w:hAnsi="Palatino Linotype"/>
        </w:rPr>
      </w:pPr>
    </w:p>
    <w:p w14:paraId="389FBA59" w14:textId="1E6470A0" w:rsidR="000A6E81" w:rsidRDefault="000A6E81" w:rsidP="00951E67">
      <w:pPr>
        <w:spacing w:line="360" w:lineRule="auto"/>
        <w:jc w:val="both"/>
        <w:rPr>
          <w:rFonts w:ascii="Palatino Linotype" w:hAnsi="Palatino Linotype"/>
        </w:rPr>
      </w:pPr>
      <w:r>
        <w:rPr>
          <w:rFonts w:ascii="Palatino Linotype" w:hAnsi="Palatino Linotype"/>
        </w:rPr>
        <w:t>Por lo que le co</w:t>
      </w:r>
      <w:r w:rsidRPr="000A6E81">
        <w:rPr>
          <w:rFonts w:ascii="Palatino Linotype" w:hAnsi="Palatino Linotype"/>
        </w:rPr>
        <w:t>rresponde</w:t>
      </w:r>
      <w:r>
        <w:rPr>
          <w:rFonts w:ascii="Palatino Linotype" w:hAnsi="Palatino Linotype"/>
        </w:rPr>
        <w:t>rá</w:t>
      </w:r>
      <w:r w:rsidRPr="000A6E81">
        <w:rPr>
          <w:rFonts w:ascii="Palatino Linotype" w:hAnsi="Palatino Linotype"/>
        </w:rPr>
        <w:t xml:space="preserve"> a la Dirección de Proyectos y Control de Obras</w:t>
      </w:r>
      <w:r>
        <w:rPr>
          <w:rFonts w:ascii="Palatino Linotype" w:hAnsi="Palatino Linotype" w:cs="Calibri"/>
          <w:lang w:val="es-ES_tradnl"/>
        </w:rPr>
        <w:t xml:space="preserve"> </w:t>
      </w:r>
      <w:r w:rsidRPr="000A6E81">
        <w:rPr>
          <w:rFonts w:ascii="Palatino Linotype" w:hAnsi="Palatino Linotype"/>
        </w:rPr>
        <w:t>realizar investigaciones y estudios que permitan al Gobierno del Estado, sustentar las solicitudes de concesiones o permisos ante las autoridades federales para la construcción</w:t>
      </w:r>
      <w:r>
        <w:rPr>
          <w:rFonts w:ascii="Palatino Linotype" w:hAnsi="Palatino Linotype"/>
        </w:rPr>
        <w:t xml:space="preserve"> </w:t>
      </w:r>
      <w:r w:rsidRPr="000A6E81">
        <w:rPr>
          <w:rFonts w:ascii="Palatino Linotype" w:hAnsi="Palatino Linotype"/>
        </w:rPr>
        <w:t xml:space="preserve">vialidades de cuota en territorio </w:t>
      </w:r>
      <w:r w:rsidR="00C15B7D" w:rsidRPr="000A6E81">
        <w:rPr>
          <w:rFonts w:ascii="Palatino Linotype" w:hAnsi="Palatino Linotype"/>
        </w:rPr>
        <w:t>estatal,</w:t>
      </w:r>
      <w:r>
        <w:rPr>
          <w:rFonts w:ascii="Palatino Linotype" w:hAnsi="Palatino Linotype"/>
        </w:rPr>
        <w:t xml:space="preserve"> así como p</w:t>
      </w:r>
      <w:r w:rsidRPr="000A6E81">
        <w:rPr>
          <w:rFonts w:ascii="Palatino Linotype" w:hAnsi="Palatino Linotype"/>
        </w:rPr>
        <w:t>articipar en el ámbito de su competencia en la entrega y recepción de las obras realizadas por contrato, así como las ejecutadas por infraestructura vial de cuota</w:t>
      </w:r>
      <w:r>
        <w:rPr>
          <w:rFonts w:ascii="Palatino Linotype" w:hAnsi="Palatino Linotype"/>
        </w:rPr>
        <w:t>.</w:t>
      </w:r>
    </w:p>
    <w:p w14:paraId="62BCBD99" w14:textId="77777777" w:rsidR="000A6E81" w:rsidRDefault="000A6E81" w:rsidP="00951E67">
      <w:pPr>
        <w:spacing w:line="360" w:lineRule="auto"/>
        <w:jc w:val="both"/>
        <w:rPr>
          <w:rFonts w:ascii="Palatino Linotype" w:hAnsi="Palatino Linotype"/>
        </w:rPr>
      </w:pPr>
    </w:p>
    <w:p w14:paraId="7DC28B8B" w14:textId="794B36E7" w:rsidR="000A6E81" w:rsidRPr="000A6E81" w:rsidRDefault="000A6E81" w:rsidP="000A6E81">
      <w:pPr>
        <w:spacing w:line="360" w:lineRule="auto"/>
        <w:jc w:val="both"/>
        <w:rPr>
          <w:rFonts w:ascii="Palatino Linotype" w:hAnsi="Palatino Linotype"/>
        </w:rPr>
      </w:pPr>
      <w:r>
        <w:rPr>
          <w:rFonts w:ascii="Palatino Linotype" w:hAnsi="Palatino Linotype"/>
        </w:rPr>
        <w:t>En este sentido le c</w:t>
      </w:r>
      <w:r w:rsidRPr="000A6E81">
        <w:rPr>
          <w:rFonts w:ascii="Palatino Linotype" w:hAnsi="Palatino Linotype"/>
        </w:rPr>
        <w:t xml:space="preserve">orresponde a la Dirección </w:t>
      </w:r>
      <w:r>
        <w:rPr>
          <w:rFonts w:ascii="Palatino Linotype" w:hAnsi="Palatino Linotype"/>
        </w:rPr>
        <w:t>de Operación revisar y sancionar</w:t>
      </w:r>
      <w:r w:rsidRPr="000A6E81">
        <w:rPr>
          <w:rFonts w:ascii="Palatino Linotype" w:hAnsi="Palatino Linotype"/>
        </w:rPr>
        <w:t xml:space="preserve"> a los </w:t>
      </w:r>
      <w:r w:rsidR="00C15B7D" w:rsidRPr="000A6E81">
        <w:rPr>
          <w:rFonts w:ascii="Palatino Linotype" w:hAnsi="Palatino Linotype"/>
        </w:rPr>
        <w:t>concesionarios,</w:t>
      </w:r>
      <w:r>
        <w:rPr>
          <w:rFonts w:ascii="Palatino Linotype" w:hAnsi="Palatino Linotype"/>
        </w:rPr>
        <w:t xml:space="preserve"> así como p</w:t>
      </w:r>
      <w:r w:rsidRPr="000A6E81">
        <w:rPr>
          <w:rFonts w:ascii="Palatino Linotype" w:hAnsi="Palatino Linotype"/>
        </w:rPr>
        <w:t>roponer y ejecutar acciones para salvaguardar el derecho de vía existente de las autopistas estatales en operación</w:t>
      </w:r>
      <w:r>
        <w:rPr>
          <w:rFonts w:ascii="Palatino Linotype" w:hAnsi="Palatino Linotype"/>
        </w:rPr>
        <w:t>, finalmente le c</w:t>
      </w:r>
      <w:r w:rsidRPr="000A6E81">
        <w:rPr>
          <w:rFonts w:ascii="Palatino Linotype" w:hAnsi="Palatino Linotype"/>
        </w:rPr>
        <w:t>orresponde a la</w:t>
      </w:r>
      <w:r>
        <w:rPr>
          <w:rFonts w:ascii="Palatino Linotype" w:hAnsi="Palatino Linotype"/>
        </w:rPr>
        <w:t xml:space="preserve"> Unidad de Apoyo Administrativo la recaudación administración de</w:t>
      </w:r>
      <w:r w:rsidRPr="000A6E81">
        <w:rPr>
          <w:rFonts w:ascii="Palatino Linotype" w:hAnsi="Palatino Linotype"/>
        </w:rPr>
        <w:t xml:space="preserve"> los ingresos que se deriven de la suscripción de convenios, acuerd</w:t>
      </w:r>
      <w:r>
        <w:rPr>
          <w:rFonts w:ascii="Palatino Linotype" w:hAnsi="Palatino Linotype"/>
        </w:rPr>
        <w:t xml:space="preserve">os o declaratorias de concesión, conforme lo siguiente; </w:t>
      </w:r>
    </w:p>
    <w:p w14:paraId="2B704218" w14:textId="2200B541" w:rsidR="00AF0558" w:rsidRPr="00AF0558" w:rsidRDefault="004B77B1" w:rsidP="004B77B1">
      <w:pPr>
        <w:pStyle w:val="Citas"/>
      </w:pPr>
      <w:r>
        <w:t>“</w:t>
      </w:r>
      <w:r w:rsidR="00AF0558" w:rsidRPr="00AF0558">
        <w:t>Artículo 9.- Corresponde al Consejo el ejercicio de las atribuciones siguientes:</w:t>
      </w:r>
    </w:p>
    <w:p w14:paraId="0CA44A18" w14:textId="77777777" w:rsidR="00AF0558" w:rsidRPr="00AF0558" w:rsidRDefault="00AF0558" w:rsidP="004B77B1">
      <w:pPr>
        <w:pStyle w:val="Citas"/>
        <w:rPr>
          <w:rFonts w:cs="Calibri"/>
          <w:lang w:val="es-ES_tradnl"/>
        </w:rPr>
      </w:pPr>
      <w:r w:rsidRPr="00AF0558">
        <w:t xml:space="preserve">II. </w:t>
      </w:r>
      <w:r w:rsidRPr="00AF0558">
        <w:rPr>
          <w:u w:val="single"/>
        </w:rPr>
        <w:t>Analizar los proyectos de solicitud ante las autoridades federales, a fin de obtener concesiones</w:t>
      </w:r>
      <w:r w:rsidRPr="00AF0558">
        <w:t xml:space="preserve"> o permisos para la administración, operación explotación y, en su caso, construcción de aeródromos, rampas de despegue y aterrizaje de aerostatos, aeronaves ultraligeras u otras análogas, con o sin motor, aeropistas, helipuertos, aeropuertos y </w:t>
      </w:r>
      <w:r w:rsidRPr="00AF0558">
        <w:lastRenderedPageBreak/>
        <w:t>vialidades de cuota en territorio estatal, bajo criterios de capacidad jurídica, administrativa y financiera</w:t>
      </w:r>
    </w:p>
    <w:p w14:paraId="4A3E1672" w14:textId="77777777" w:rsidR="00AF0558" w:rsidRPr="00AF0558" w:rsidRDefault="00AF0558" w:rsidP="004B77B1">
      <w:pPr>
        <w:pStyle w:val="Citas"/>
      </w:pPr>
      <w:r w:rsidRPr="00AF0558">
        <w:t>Artículo 10.- Al frente de la Dirección General habrá un Director</w:t>
      </w:r>
      <w:r w:rsidR="00BE24BE" w:rsidRPr="00BE24BE">
        <w:t xml:space="preserve"> General, a quien le corresponde además de las señaladas en el Decreto, las atribuciones siguientes:</w:t>
      </w:r>
    </w:p>
    <w:p w14:paraId="4AEFF51F" w14:textId="7EE4B3D4" w:rsidR="00AF0558" w:rsidRPr="00AF0558" w:rsidRDefault="004B77B1" w:rsidP="004B77B1">
      <w:pPr>
        <w:pStyle w:val="Citas"/>
        <w:rPr>
          <w:rFonts w:cs="Calibri"/>
          <w:lang w:val="es-ES_tradnl"/>
        </w:rPr>
      </w:pPr>
      <w:r>
        <w:t>(…)</w:t>
      </w:r>
    </w:p>
    <w:p w14:paraId="729B7AB4" w14:textId="77777777" w:rsidR="00AF0558" w:rsidRDefault="00AF0558" w:rsidP="004B77B1">
      <w:pPr>
        <w:pStyle w:val="Citas"/>
      </w:pPr>
      <w:r w:rsidRPr="00AF0558">
        <w:t>IV. Coordinar investigaciones y estudios que permitan al Gobierno del Estado sustentar las solicitudes de concesiones o permisos ante las autoridades federales en materia aeroportuaria, así como en lo que respecta a la administración, operación, explotación, construcción, rehabilitación, conservación y mantenimiento de aeródromos, aeropuertos, rampas de despegue y aterrizaje de aerostatos, aeropistas, helipuertos y vialidades de cuota, en territorio estatal.</w:t>
      </w:r>
    </w:p>
    <w:p w14:paraId="51BF406E" w14:textId="5688B89B" w:rsidR="00AF0558" w:rsidRPr="00AF0558" w:rsidRDefault="004B77B1" w:rsidP="004B77B1">
      <w:pPr>
        <w:pStyle w:val="Citas"/>
        <w:rPr>
          <w:rFonts w:cs="Calibri"/>
          <w:lang w:val="es-ES_tradnl"/>
        </w:rPr>
      </w:pPr>
      <w:r>
        <w:rPr>
          <w:rFonts w:cs="Calibri"/>
          <w:lang w:val="es-ES_tradnl"/>
        </w:rPr>
        <w:t>(…)</w:t>
      </w:r>
    </w:p>
    <w:p w14:paraId="31178B50" w14:textId="77777777" w:rsidR="00AF0558" w:rsidRPr="00AF0558" w:rsidRDefault="00AF0558" w:rsidP="004B77B1">
      <w:pPr>
        <w:pStyle w:val="Citas"/>
        <w:rPr>
          <w:rFonts w:cs="Calibri"/>
          <w:lang w:val="es-ES_tradnl"/>
        </w:rPr>
      </w:pPr>
      <w:r w:rsidRPr="00AF0558">
        <w:t>VIII. Informar a la Secretaría sobre la caducidad de concesiones.</w:t>
      </w:r>
    </w:p>
    <w:p w14:paraId="6F483D3F" w14:textId="3C54D4DB" w:rsidR="00AF0558" w:rsidRPr="00AF0558" w:rsidRDefault="004B77B1" w:rsidP="004B77B1">
      <w:pPr>
        <w:pStyle w:val="Citas"/>
        <w:rPr>
          <w:rFonts w:cs="Calibri"/>
          <w:lang w:val="es-ES_tradnl"/>
        </w:rPr>
      </w:pPr>
      <w:r>
        <w:rPr>
          <w:rFonts w:cs="Calibri"/>
          <w:lang w:val="es-ES_tradnl"/>
        </w:rPr>
        <w:t>(…)</w:t>
      </w:r>
    </w:p>
    <w:p w14:paraId="41629B23" w14:textId="77777777" w:rsidR="00AF0558" w:rsidRPr="00AF0558" w:rsidRDefault="00AF0558" w:rsidP="004B77B1">
      <w:pPr>
        <w:pStyle w:val="Citas"/>
        <w:rPr>
          <w:rFonts w:cs="Calibri"/>
          <w:lang w:val="es-ES_tradnl"/>
        </w:rPr>
      </w:pPr>
      <w:r w:rsidRPr="00AF0558">
        <w:t>XIV. Proponer al Consejo mecanismos orientados a obtener concesiones o permisos para la administración, operación y explotación de aeródromos, rampas de despegue y aterrizaje de aerostatos, aeronaves ultraligeras con o sin motor u otras análogas, aeropistas, helipuertos, aeropuertos o construcción de aeropuertos en territorio estatal.</w:t>
      </w:r>
    </w:p>
    <w:p w14:paraId="7EE6744A" w14:textId="24FF7FF6" w:rsidR="00AF0558" w:rsidRPr="00AF0558" w:rsidRDefault="004B77B1" w:rsidP="004B77B1">
      <w:pPr>
        <w:pStyle w:val="Citas"/>
        <w:rPr>
          <w:rFonts w:cs="Calibri"/>
          <w:lang w:val="es-ES_tradnl"/>
        </w:rPr>
      </w:pPr>
      <w:r>
        <w:rPr>
          <w:rFonts w:cs="Calibri"/>
          <w:lang w:val="es-ES_tradnl"/>
        </w:rPr>
        <w:t>(…)</w:t>
      </w:r>
    </w:p>
    <w:p w14:paraId="6A082E45" w14:textId="77777777" w:rsidR="00AF0558" w:rsidRPr="00AF0558" w:rsidRDefault="00AF0558" w:rsidP="004B77B1">
      <w:pPr>
        <w:pStyle w:val="Citas"/>
        <w:rPr>
          <w:rFonts w:cs="Calibri"/>
          <w:lang w:val="es-ES_tradnl"/>
        </w:rPr>
      </w:pPr>
      <w:r w:rsidRPr="00AF0558">
        <w:t>XVI. Proponer a la Secretaría la procedencia de la ampliación, cancelación, terminación, rescisión, revocación y reversión de las concesiones</w:t>
      </w:r>
    </w:p>
    <w:p w14:paraId="56E402C7" w14:textId="3FC2445E" w:rsidR="00AF0558" w:rsidRPr="00AF0558" w:rsidRDefault="004B77B1" w:rsidP="004B77B1">
      <w:pPr>
        <w:pStyle w:val="Citas"/>
      </w:pPr>
      <w:r>
        <w:lastRenderedPageBreak/>
        <w:t>(…)</w:t>
      </w:r>
    </w:p>
    <w:p w14:paraId="044B73D9" w14:textId="77777777" w:rsidR="00AF0558" w:rsidRPr="00AF0558" w:rsidRDefault="00AF0558" w:rsidP="004B77B1">
      <w:pPr>
        <w:pStyle w:val="Citas"/>
      </w:pPr>
      <w:r w:rsidRPr="00AF0558">
        <w:t>XXI. Someter a consideración de la Secretaría, la imposición de sanciones a los concesionarios de la infraestructura vial primaria de cuota.</w:t>
      </w:r>
    </w:p>
    <w:p w14:paraId="11228990" w14:textId="77777777" w:rsidR="00AF0558" w:rsidRPr="00AF0558" w:rsidRDefault="00AF0558" w:rsidP="004B77B1">
      <w:pPr>
        <w:pStyle w:val="Citas"/>
        <w:rPr>
          <w:rFonts w:cs="Calibri"/>
          <w:lang w:val="es-ES_tradnl"/>
        </w:rPr>
      </w:pPr>
      <w:r w:rsidRPr="00AF0558">
        <w:t>Artículo 14.- Corresponde a la Dirección de Proyectos y Control de Obras:</w:t>
      </w:r>
    </w:p>
    <w:p w14:paraId="75041F5E" w14:textId="2F6016EE" w:rsidR="00AF0558" w:rsidRPr="00AF0558" w:rsidRDefault="004B77B1" w:rsidP="004B77B1">
      <w:pPr>
        <w:pStyle w:val="Citas"/>
        <w:rPr>
          <w:rFonts w:cs="Calibri"/>
          <w:lang w:val="es-ES_tradnl"/>
        </w:rPr>
      </w:pPr>
      <w:r>
        <w:rPr>
          <w:rFonts w:cs="Calibri"/>
          <w:lang w:val="es-ES_tradnl"/>
        </w:rPr>
        <w:t>(…)</w:t>
      </w:r>
    </w:p>
    <w:p w14:paraId="3A3452FC" w14:textId="77777777" w:rsidR="00AF0558" w:rsidRPr="00AF0558" w:rsidRDefault="00AF0558" w:rsidP="004B77B1">
      <w:pPr>
        <w:pStyle w:val="Citas"/>
        <w:rPr>
          <w:rFonts w:cs="Calibri"/>
          <w:lang w:val="es-ES_tradnl"/>
        </w:rPr>
      </w:pPr>
      <w:r w:rsidRPr="00AF0558">
        <w:t>III. Realizar convenios de ampliación o modificación del plazo de las concesiones o permisos para la construcción, rehabilitación, mantenimiento y conservación de aeródromos, rampas de despegue y aterrizaje de aerostatos, aeronaves ultraligeras u otras análogas, aeropistas, helipuertos, aeropuertos y vialidades de cuota, previa autorización del Director General.</w:t>
      </w:r>
    </w:p>
    <w:p w14:paraId="04604E83" w14:textId="00A73360" w:rsidR="00AF0558" w:rsidRPr="00AF0558" w:rsidRDefault="004B77B1" w:rsidP="004B77B1">
      <w:pPr>
        <w:pStyle w:val="Citas"/>
        <w:rPr>
          <w:rFonts w:cs="Calibri"/>
          <w:lang w:val="es-ES_tradnl"/>
        </w:rPr>
      </w:pPr>
      <w:r>
        <w:rPr>
          <w:rFonts w:cs="Calibri"/>
          <w:lang w:val="es-ES_tradnl"/>
        </w:rPr>
        <w:t>(…)</w:t>
      </w:r>
    </w:p>
    <w:p w14:paraId="7DB0BD92" w14:textId="77777777" w:rsidR="00AF0558" w:rsidRPr="00AF0558" w:rsidRDefault="00AF0558" w:rsidP="004B77B1">
      <w:pPr>
        <w:pStyle w:val="Citas"/>
        <w:rPr>
          <w:rFonts w:cs="Calibri"/>
          <w:lang w:val="es-ES_tradnl"/>
        </w:rPr>
      </w:pPr>
      <w:r w:rsidRPr="00AF0558">
        <w:t xml:space="preserve">VII. Realizar investigaciones y estudios que permitan al Gobierno del Estado, sustentar las solicitudes de concesiones o permisos ante las autoridades federales para la construcción, administración, operación y explotación de aeródromos, rampas de despegue y aterrizaje de aerostatos, aeronaves ultraligeras u otras análogas, aeropistas, helipuertos, aeropuertos </w:t>
      </w:r>
      <w:r w:rsidRPr="00BE24BE">
        <w:t>y vialidades de cuota en territorio estatal</w:t>
      </w:r>
      <w:r w:rsidRPr="00AF0558">
        <w:t>.</w:t>
      </w:r>
    </w:p>
    <w:p w14:paraId="00657CE9" w14:textId="62693C75" w:rsidR="00BE24BE" w:rsidRPr="00BE24BE" w:rsidRDefault="004B77B1" w:rsidP="004B77B1">
      <w:pPr>
        <w:pStyle w:val="Citas"/>
      </w:pPr>
      <w:r>
        <w:t>(…)</w:t>
      </w:r>
    </w:p>
    <w:p w14:paraId="5075954A" w14:textId="77777777" w:rsidR="00AF0558" w:rsidRPr="00BE24BE" w:rsidRDefault="00BE24BE" w:rsidP="004B77B1">
      <w:pPr>
        <w:pStyle w:val="Citas"/>
        <w:rPr>
          <w:rFonts w:cs="Calibri"/>
          <w:lang w:val="es-ES_tradnl"/>
        </w:rPr>
      </w:pPr>
      <w:r w:rsidRPr="00BE24BE">
        <w:t>XI. Participar en el ámbito de su competencia en la entrega y recepción de las obras realizadas por contrato, así como las ejecutadas por el otorgamiento de concesiones o permisos de aeródromos, rampas de despegue y aterrizaje de aerostatos, aeronaves ultraligeras u otras análogas, aeropistas, helipuertos e infraestructura vial de cuota.</w:t>
      </w:r>
    </w:p>
    <w:p w14:paraId="287A12FF" w14:textId="77777777" w:rsidR="00BE24BE" w:rsidRPr="00BE24BE" w:rsidRDefault="00BE24BE" w:rsidP="004B77B1">
      <w:pPr>
        <w:pStyle w:val="Citas"/>
      </w:pPr>
      <w:r w:rsidRPr="00BE24BE">
        <w:lastRenderedPageBreak/>
        <w:t>Artículo 15.- Corresponde a la Dirección de Operación:</w:t>
      </w:r>
    </w:p>
    <w:p w14:paraId="6E379501" w14:textId="44F09888" w:rsidR="00BE24BE" w:rsidRPr="00BE24BE" w:rsidRDefault="004B77B1" w:rsidP="004B77B1">
      <w:pPr>
        <w:pStyle w:val="Citas"/>
        <w:rPr>
          <w:rFonts w:cs="Calibri"/>
          <w:lang w:val="es-ES_tradnl"/>
        </w:rPr>
      </w:pPr>
      <w:r>
        <w:t>(…)</w:t>
      </w:r>
    </w:p>
    <w:p w14:paraId="655C356E" w14:textId="77777777" w:rsidR="00BE24BE" w:rsidRDefault="00BE24BE" w:rsidP="004B77B1">
      <w:pPr>
        <w:pStyle w:val="Citas"/>
      </w:pPr>
      <w:r w:rsidRPr="00BE24BE">
        <w:t>V. Revisar y sancionar, a los concesionarios o permisionarios a cargo de aeródromos, rampas de despegue y aterrizaje de aerostatos, aeronaves ultraligeras u otras análogas, aeropistas, helipuertos y autopistas estatales en operación, que incumplan con las condiciones operativas, a fin de determinar las medidas correctivas necesarias, así como vigilar su cumplimiento y ejecución conforme a la normatividad aplicable en la materia, para mantener en óptimas condiciones su infraestructura.</w:t>
      </w:r>
    </w:p>
    <w:p w14:paraId="7690918A" w14:textId="77777777" w:rsidR="004B77B1" w:rsidRPr="00BE24BE" w:rsidRDefault="004B77B1" w:rsidP="004B77B1">
      <w:pPr>
        <w:pStyle w:val="Citas"/>
        <w:rPr>
          <w:rFonts w:cs="Calibri"/>
          <w:lang w:val="es-ES_tradnl"/>
        </w:rPr>
      </w:pPr>
      <w:r>
        <w:t>(…)</w:t>
      </w:r>
    </w:p>
    <w:p w14:paraId="07C0910E" w14:textId="77777777" w:rsidR="00BE24BE" w:rsidRDefault="00BE24BE" w:rsidP="004B77B1">
      <w:pPr>
        <w:pStyle w:val="Citas"/>
      </w:pPr>
      <w:r w:rsidRPr="00BE24BE">
        <w:t>IX. Proponer y ejecutar acciones para salvaguardar el derecho de vía existente de las autopistas estatales en operación, verificar su correcta preservación, utilización y explotación por parte de los concesionarios y permisionarios, e identificar y regularizar los accesos no autorizados por el Organismo</w:t>
      </w:r>
    </w:p>
    <w:p w14:paraId="232C453C" w14:textId="77777777" w:rsidR="004B77B1" w:rsidRPr="00BE24BE" w:rsidRDefault="004B77B1" w:rsidP="004B77B1">
      <w:pPr>
        <w:pStyle w:val="Citas"/>
        <w:rPr>
          <w:rFonts w:cs="Calibri"/>
          <w:lang w:val="es-ES_tradnl"/>
        </w:rPr>
      </w:pPr>
      <w:r>
        <w:t>(…)</w:t>
      </w:r>
    </w:p>
    <w:p w14:paraId="1356CBFC" w14:textId="77777777" w:rsidR="00BE24BE" w:rsidRPr="00BE24BE" w:rsidRDefault="00BE24BE" w:rsidP="004B77B1">
      <w:pPr>
        <w:pStyle w:val="Citas"/>
      </w:pPr>
      <w:r w:rsidRPr="00BE24BE">
        <w:t xml:space="preserve">XII. </w:t>
      </w:r>
      <w:r w:rsidRPr="000A6E81">
        <w:t>Revisar las propuestas de los concesionarios referentes a los ajustes tarifarios de peaje de las autopistas estatales en operación</w:t>
      </w:r>
      <w:r w:rsidRPr="00BE24BE">
        <w:t>, que permitan la prestación de los servicios en condiciones satisfactorias de calidad, competitividad, seguridad y permanencia, y someter a consideración del Director General la procedencia de su autorización, en términos de lo establecido en los títulos de concesión; así como vigilar su correcta aplicación.</w:t>
      </w:r>
    </w:p>
    <w:p w14:paraId="7468CA10" w14:textId="77777777" w:rsidR="004B77B1" w:rsidRPr="00BE24BE" w:rsidRDefault="004B77B1" w:rsidP="004B77B1">
      <w:pPr>
        <w:pStyle w:val="Citas"/>
        <w:rPr>
          <w:rFonts w:cs="Calibri"/>
          <w:lang w:val="es-ES_tradnl"/>
        </w:rPr>
      </w:pPr>
      <w:r>
        <w:t>(…)</w:t>
      </w:r>
    </w:p>
    <w:p w14:paraId="35197E70" w14:textId="77777777" w:rsidR="00BE24BE" w:rsidRPr="00BE24BE" w:rsidRDefault="00BE24BE" w:rsidP="004B77B1">
      <w:pPr>
        <w:pStyle w:val="Citas"/>
      </w:pPr>
      <w:r w:rsidRPr="00BE24BE">
        <w:lastRenderedPageBreak/>
        <w:t>Artículo 17.- Corresponde a la Unidad de Apoyo Administrativo:</w:t>
      </w:r>
    </w:p>
    <w:p w14:paraId="2E145037" w14:textId="00480A24" w:rsidR="00BE24BE" w:rsidRPr="004B77B1" w:rsidRDefault="00BE24BE" w:rsidP="004B77B1">
      <w:pPr>
        <w:pStyle w:val="Citas"/>
        <w:rPr>
          <w:b/>
          <w:bCs/>
        </w:rPr>
      </w:pPr>
      <w:r w:rsidRPr="00BE24BE">
        <w:t>I. Recaudar y administrar los ingresos que se deriven de la suscripción de convenios, acuerdos o declaratorias de concesión; los relativos a las transferencias otorgadas a favor del Sistema en el marco del Sistema Nacional o estatal de coordinación fiscal, o los que reciba por cualquier otro concepto; así como el importe de sanciones por actualización o penas incluidas en los contratos debidamente firmados entre los concesionarios y la autoridad competente.</w:t>
      </w:r>
      <w:r w:rsidR="004B77B1">
        <w:t xml:space="preserve">” </w:t>
      </w:r>
      <w:r w:rsidR="004B77B1">
        <w:rPr>
          <w:b/>
          <w:bCs/>
        </w:rPr>
        <w:t>(Sic)</w:t>
      </w:r>
    </w:p>
    <w:p w14:paraId="6C7E1059" w14:textId="72B4CF72" w:rsidR="000A6E81" w:rsidRPr="004B77B1" w:rsidRDefault="000A6E81" w:rsidP="000A6E81">
      <w:pPr>
        <w:spacing w:line="360" w:lineRule="auto"/>
        <w:jc w:val="both"/>
        <w:rPr>
          <w:rFonts w:ascii="Palatino Linotype" w:hAnsi="Palatino Linotype" w:cs="Calibri"/>
          <w:lang w:val="es-ES_tradnl"/>
        </w:rPr>
      </w:pPr>
      <w:r w:rsidRPr="004B77B1">
        <w:rPr>
          <w:rFonts w:ascii="Palatino Linotype" w:hAnsi="Palatino Linotype" w:cs="Calibri"/>
          <w:lang w:val="es-ES_tradnl"/>
        </w:rPr>
        <w:t xml:space="preserve">Por lo que, no se encuentra entre las atribuciones del Sistema de Autopistas, Aeropuertos, Servicios Conexos y Auxiliares del Estado de México la formulación o generación de los </w:t>
      </w:r>
      <w:r w:rsidR="004B77B1" w:rsidRPr="004B77B1">
        <w:rPr>
          <w:rFonts w:ascii="Palatino Linotype" w:hAnsi="Palatino Linotype" w:cs="Calibri"/>
          <w:lang w:val="es-ES_tradnl"/>
        </w:rPr>
        <w:t>dictámenes de impacto urbano</w:t>
      </w:r>
      <w:r w:rsidR="00C15B7D">
        <w:rPr>
          <w:rFonts w:ascii="Palatino Linotype" w:hAnsi="Palatino Linotype" w:cs="Calibri"/>
          <w:lang w:val="es-ES_tradnl"/>
        </w:rPr>
        <w:t xml:space="preserve"> o incluso la recepción del estudio respectivo. </w:t>
      </w:r>
    </w:p>
    <w:p w14:paraId="3B46147A" w14:textId="77777777" w:rsidR="000A6E81" w:rsidRDefault="000A6E81" w:rsidP="00951E67">
      <w:pPr>
        <w:spacing w:line="360" w:lineRule="auto"/>
        <w:jc w:val="both"/>
        <w:rPr>
          <w:rFonts w:ascii="Palatino Linotype" w:hAnsi="Palatino Linotype" w:cs="Calibri"/>
          <w:lang w:val="es-ES_tradnl"/>
        </w:rPr>
      </w:pPr>
    </w:p>
    <w:p w14:paraId="114A1358" w14:textId="642F1C5F" w:rsidR="00861C75" w:rsidRDefault="00951E67" w:rsidP="00951E67">
      <w:pPr>
        <w:spacing w:line="360" w:lineRule="auto"/>
        <w:jc w:val="both"/>
        <w:rPr>
          <w:rFonts w:ascii="Palatino Linotype" w:hAnsi="Palatino Linotype"/>
          <w:color w:val="000000"/>
        </w:rPr>
      </w:pPr>
      <w:r>
        <w:rPr>
          <w:rFonts w:ascii="Palatino Linotype" w:hAnsi="Palatino Linotype" w:cs="Calibri"/>
          <w:lang w:val="es-ES_tradnl"/>
        </w:rPr>
        <w:t xml:space="preserve">En este sentido este Instituto debe advertir que </w:t>
      </w:r>
      <w:r w:rsidR="007311B6">
        <w:rPr>
          <w:rFonts w:ascii="Palatino Linotype" w:hAnsi="Palatino Linotype" w:cs="Calibri"/>
          <w:lang w:val="es-ES_tradnl"/>
        </w:rPr>
        <w:t xml:space="preserve">los </w:t>
      </w:r>
      <w:r>
        <w:rPr>
          <w:rFonts w:ascii="Palatino Linotype" w:hAnsi="Palatino Linotype" w:cs="Calibri"/>
          <w:lang w:val="es-ES_tradnl"/>
        </w:rPr>
        <w:t>requerimiento</w:t>
      </w:r>
      <w:r w:rsidR="007311B6">
        <w:rPr>
          <w:rFonts w:ascii="Palatino Linotype" w:hAnsi="Palatino Linotype" w:cs="Calibri"/>
          <w:lang w:val="es-ES_tradnl"/>
        </w:rPr>
        <w:t>s</w:t>
      </w:r>
      <w:r>
        <w:rPr>
          <w:rFonts w:ascii="Palatino Linotype" w:hAnsi="Palatino Linotype" w:cs="Calibri"/>
          <w:lang w:val="es-ES_tradnl"/>
        </w:rPr>
        <w:t xml:space="preserve"> </w:t>
      </w:r>
      <w:r w:rsidRPr="004B77B1">
        <w:rPr>
          <w:rFonts w:ascii="Palatino Linotype" w:hAnsi="Palatino Linotype" w:cs="Calibri"/>
          <w:i/>
          <w:iCs/>
          <w:lang w:val="es-ES_tradnl"/>
        </w:rPr>
        <w:t>“</w:t>
      </w:r>
      <w:r w:rsidR="004B77B1" w:rsidRPr="004B77B1">
        <w:rPr>
          <w:rFonts w:ascii="Palatino Linotype" w:hAnsi="Palatino Linotype" w:cs="Calibri"/>
          <w:i/>
          <w:iCs/>
          <w:lang w:val="es-ES_tradnl"/>
        </w:rPr>
        <w:t>…</w:t>
      </w:r>
      <w:r w:rsidR="004B77B1" w:rsidRPr="004B77B1">
        <w:rPr>
          <w:rFonts w:ascii="Palatino Linotype" w:hAnsi="Palatino Linotype"/>
          <w:i/>
          <w:iCs/>
        </w:rPr>
        <w:t xml:space="preserve">Estudio de Impacto Urbano que la empresa </w:t>
      </w:r>
      <w:proofErr w:type="spellStart"/>
      <w:r w:rsidR="004B77B1" w:rsidRPr="004B77B1">
        <w:rPr>
          <w:rFonts w:ascii="Palatino Linotype" w:hAnsi="Palatino Linotype"/>
          <w:i/>
          <w:iCs/>
        </w:rPr>
        <w:t>Anesa</w:t>
      </w:r>
      <w:proofErr w:type="spellEnd"/>
      <w:r w:rsidR="004B77B1" w:rsidRPr="004B77B1">
        <w:rPr>
          <w:rFonts w:ascii="Palatino Linotype" w:hAnsi="Palatino Linotype"/>
          <w:i/>
          <w:iCs/>
        </w:rPr>
        <w:t xml:space="preserve"> Holding S.A. de C.V. debió someter a dictamen ante la Secretaría de Desarrollo Urbano y Vivienda de la Ciudad de México (SEDUVI) con motivo de la construcción de la obra denominada </w:t>
      </w:r>
      <w:proofErr w:type="spellStart"/>
      <w:r w:rsidR="004B77B1" w:rsidRPr="004B77B1">
        <w:rPr>
          <w:rFonts w:ascii="Palatino Linotype" w:hAnsi="Palatino Linotype"/>
          <w:i/>
          <w:iCs/>
        </w:rPr>
        <w:t>Macrolibramiento</w:t>
      </w:r>
      <w:proofErr w:type="spellEnd"/>
      <w:r w:rsidR="004B77B1" w:rsidRPr="004B77B1">
        <w:rPr>
          <w:rFonts w:ascii="Palatino Linotype" w:hAnsi="Palatino Linotype"/>
          <w:i/>
          <w:iCs/>
        </w:rPr>
        <w:t xml:space="preserve"> Mexiquense, así como el dictamen emitido por esta Secretaría como resultado de dicho análisis”</w:t>
      </w:r>
      <w:r w:rsidR="004B77B1">
        <w:rPr>
          <w:rFonts w:ascii="Palatino Linotype" w:hAnsi="Palatino Linotype"/>
          <w:i/>
          <w:iCs/>
        </w:rPr>
        <w:t xml:space="preserve"> </w:t>
      </w:r>
      <w:r w:rsidR="004B77B1">
        <w:rPr>
          <w:rFonts w:ascii="Palatino Linotype" w:hAnsi="Palatino Linotype"/>
        </w:rPr>
        <w:t xml:space="preserve">se encuentra dirigida a obtener información presentada ante la Secretaría de Desarrollo Urbano y Vivienda de la Ciudad de México, actualizándose una notoria incompetencia </w:t>
      </w:r>
      <w:r w:rsidR="00434AB7">
        <w:rPr>
          <w:rFonts w:ascii="Palatino Linotype" w:hAnsi="Palatino Linotype"/>
          <w:color w:val="000000"/>
        </w:rPr>
        <w:t xml:space="preserve">pues no se encuentra dentro de sus competencia generar, poseer o administrar información presentada ante la Secretaria de </w:t>
      </w:r>
      <w:r w:rsidR="00861C75">
        <w:rPr>
          <w:rFonts w:ascii="Palatino Linotype" w:hAnsi="Palatino Linotype"/>
        </w:rPr>
        <w:t xml:space="preserve">Desarrollo Urbano y Vivienda de la Ciudad de México; así como generar, poseer o administrar el multicitado dictamen en materia de impacto urbano. </w:t>
      </w:r>
    </w:p>
    <w:p w14:paraId="3F247E05" w14:textId="77777777" w:rsidR="00861C75" w:rsidRDefault="00861C75" w:rsidP="00951E67">
      <w:pPr>
        <w:spacing w:line="360" w:lineRule="auto"/>
        <w:jc w:val="both"/>
        <w:rPr>
          <w:rFonts w:ascii="Palatino Linotype" w:hAnsi="Palatino Linotype"/>
          <w:color w:val="000000"/>
        </w:rPr>
      </w:pPr>
    </w:p>
    <w:p w14:paraId="3D475731" w14:textId="77777777" w:rsidR="00434AB7" w:rsidRPr="008865BE" w:rsidRDefault="00434AB7" w:rsidP="00434AB7">
      <w:pPr>
        <w:spacing w:line="360" w:lineRule="auto"/>
        <w:ind w:right="39"/>
        <w:jc w:val="both"/>
        <w:rPr>
          <w:rFonts w:ascii="Palatino Linotype" w:eastAsia="Palatino Linotype" w:hAnsi="Palatino Linotype" w:cs="Palatino Linotype"/>
          <w:bCs/>
        </w:rPr>
      </w:pPr>
      <w:r w:rsidRPr="008865BE">
        <w:rPr>
          <w:rFonts w:ascii="Palatino Linotype" w:hAnsi="Palatino Linotype" w:cs="Arial"/>
        </w:rPr>
        <w:lastRenderedPageBreak/>
        <w:t>De lo anterior, e</w:t>
      </w:r>
      <w:r w:rsidRPr="008865BE">
        <w:rPr>
          <w:rFonts w:ascii="Palatino Linotype" w:eastAsia="Palatino Linotype" w:hAnsi="Palatino Linotype" w:cs="Palatino Linotype"/>
          <w:bCs/>
        </w:rPr>
        <w:t>l Pleno del Instituto realizó una interpretación a lo dispuesto en los artículos 49 fracción II y 167 de la Ley de la materia y se emitió el criterio reiterado 01/19, en el que se estableció lo siguiente:</w:t>
      </w:r>
    </w:p>
    <w:p w14:paraId="74E8C405" w14:textId="4379DD96" w:rsidR="00434AB7" w:rsidRPr="00F402A1" w:rsidRDefault="00861C75" w:rsidP="00861C75">
      <w:pPr>
        <w:pStyle w:val="Citas"/>
        <w:rPr>
          <w:b/>
          <w:bCs/>
        </w:rPr>
      </w:pPr>
      <w:r w:rsidRPr="00F402A1">
        <w:rPr>
          <w:b/>
          <w:bCs/>
        </w:rPr>
        <w:t>“</w:t>
      </w:r>
      <w:r w:rsidR="00434AB7" w:rsidRPr="00F402A1">
        <w:rPr>
          <w:b/>
          <w:bCs/>
        </w:rPr>
        <w:t>DECLARATORIA DE INCOMPETENCIA DEL SUJETO OBLIGADO. SUPUESTO PARA CONFIRMARLA POR ACUERDO DEL COMITÉ DE TRANSPARENCIA.</w:t>
      </w:r>
    </w:p>
    <w:p w14:paraId="20B4F020" w14:textId="6DC02EFB" w:rsidR="00434AB7" w:rsidRPr="00F402A1" w:rsidRDefault="00434AB7" w:rsidP="00861C75">
      <w:pPr>
        <w:pStyle w:val="Citas"/>
        <w:rPr>
          <w:b/>
        </w:rPr>
      </w:pPr>
      <w:r w:rsidRPr="00F402A1">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F402A1">
        <w:rPr>
          <w:bCs/>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w:t>
      </w:r>
      <w:r w:rsidR="00F402A1">
        <w:rPr>
          <w:bCs/>
        </w:rPr>
        <w:t xml:space="preserve">d” </w:t>
      </w:r>
      <w:r w:rsidR="00F402A1">
        <w:rPr>
          <w:b/>
        </w:rPr>
        <w:t>(Sic)</w:t>
      </w:r>
    </w:p>
    <w:p w14:paraId="586CBC49" w14:textId="77777777" w:rsidR="00434AB7" w:rsidRPr="008865BE" w:rsidRDefault="00434AB7" w:rsidP="00434AB7">
      <w:pPr>
        <w:spacing w:line="360" w:lineRule="auto"/>
        <w:ind w:right="39"/>
        <w:jc w:val="both"/>
        <w:rPr>
          <w:rFonts w:ascii="Palatino Linotype" w:eastAsia="Palatino Linotype" w:hAnsi="Palatino Linotype" w:cs="Palatino Linotype"/>
          <w:bCs/>
        </w:rPr>
      </w:pPr>
    </w:p>
    <w:p w14:paraId="5E80335B" w14:textId="17D315DD" w:rsidR="00434AB7" w:rsidRPr="008865BE" w:rsidRDefault="00434AB7" w:rsidP="00434AB7">
      <w:pPr>
        <w:spacing w:line="360" w:lineRule="auto"/>
        <w:ind w:right="39"/>
        <w:jc w:val="both"/>
        <w:rPr>
          <w:rFonts w:ascii="Palatino Linotype" w:eastAsia="Palatino Linotype" w:hAnsi="Palatino Linotype" w:cs="Palatino Linotype"/>
          <w:bCs/>
        </w:rPr>
      </w:pPr>
      <w:r w:rsidRPr="008865BE">
        <w:rPr>
          <w:rFonts w:ascii="Palatino Linotype" w:eastAsia="Palatino Linotype" w:hAnsi="Palatino Linotype" w:cs="Palatino Linotype"/>
          <w:bCs/>
        </w:rPr>
        <w:t xml:space="preserve">Asimismo, se determinó viable adoptar el criterio con clave de control </w:t>
      </w:r>
      <w:r w:rsidR="00AF0558">
        <w:rPr>
          <w:rFonts w:ascii="Palatino Linotype" w:eastAsia="Palatino Linotype" w:hAnsi="Palatino Linotype" w:cs="Palatino Linotype"/>
          <w:bCs/>
        </w:rPr>
        <w:t xml:space="preserve">orientador </w:t>
      </w:r>
      <w:r w:rsidRPr="00F402A1">
        <w:rPr>
          <w:rFonts w:ascii="Palatino Linotype" w:eastAsia="Palatino Linotype" w:hAnsi="Palatino Linotype" w:cs="Palatino Linotype"/>
          <w:b/>
        </w:rPr>
        <w:t>SO/002/2020</w:t>
      </w:r>
      <w:r w:rsidRPr="008865BE">
        <w:rPr>
          <w:rFonts w:ascii="Palatino Linotype" w:eastAsia="Palatino Linotype" w:hAnsi="Palatino Linotype" w:cs="Palatino Linotype"/>
          <w:bCs/>
        </w:rPr>
        <w:t xml:space="preserve"> emitido por el </w:t>
      </w:r>
      <w:r w:rsidR="00861C75">
        <w:rPr>
          <w:rFonts w:ascii="Palatino Linotype" w:eastAsia="Palatino Linotype" w:hAnsi="Palatino Linotype" w:cs="Palatino Linotype"/>
          <w:bCs/>
        </w:rPr>
        <w:t xml:space="preserve">entonces </w:t>
      </w:r>
      <w:r w:rsidRPr="008865BE">
        <w:rPr>
          <w:rFonts w:ascii="Palatino Linotype" w:eastAsia="Palatino Linotype" w:hAnsi="Palatino Linotype" w:cs="Palatino Linotype"/>
          <w:bCs/>
        </w:rPr>
        <w:t>Instituto Nacional de Transparencia, Acceso a la Información y Protección de Datos Personales (INAI), que a la letra estipula lo siguiente:</w:t>
      </w:r>
    </w:p>
    <w:p w14:paraId="36CA88C8" w14:textId="77777777" w:rsidR="00F402A1" w:rsidRDefault="00F402A1" w:rsidP="00F402A1">
      <w:pPr>
        <w:pStyle w:val="Citas"/>
      </w:pPr>
      <w:r>
        <w:rPr>
          <w:b/>
          <w:bCs/>
        </w:rPr>
        <w:lastRenderedPageBreak/>
        <w:t>“</w:t>
      </w:r>
      <w:r w:rsidRPr="00F402A1">
        <w:rPr>
          <w:b/>
          <w:bCs/>
        </w:rPr>
        <w:t>DECLARACIÓN DE INCOMPETENCIA POR PARTE DEL COMITÉ, CUANDO NO SEA NOTORIA O MANIFIESTA.</w:t>
      </w:r>
      <w:r w:rsidRPr="00AF0558">
        <w:t xml:space="preserve">  </w:t>
      </w:r>
    </w:p>
    <w:p w14:paraId="773F070B" w14:textId="414BDD48" w:rsidR="00434AB7" w:rsidRPr="00F402A1" w:rsidRDefault="00434AB7" w:rsidP="00F402A1">
      <w:pPr>
        <w:pStyle w:val="Citas"/>
        <w:rPr>
          <w:b/>
          <w:bCs/>
        </w:rPr>
      </w:pPr>
      <w:r w:rsidRPr="00F402A1">
        <w:t>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r w:rsidR="00F402A1" w:rsidRPr="00F402A1">
        <w:t>”</w:t>
      </w:r>
      <w:r w:rsidR="00F402A1">
        <w:t xml:space="preserve"> </w:t>
      </w:r>
      <w:r w:rsidR="00F402A1">
        <w:rPr>
          <w:b/>
          <w:bCs/>
        </w:rPr>
        <w:t>(Sic)</w:t>
      </w:r>
    </w:p>
    <w:p w14:paraId="47FE1ACB" w14:textId="77777777" w:rsidR="00434AB7" w:rsidRPr="008865BE" w:rsidRDefault="00434AB7" w:rsidP="00434AB7">
      <w:pPr>
        <w:spacing w:line="360" w:lineRule="auto"/>
        <w:ind w:right="39"/>
        <w:jc w:val="both"/>
        <w:rPr>
          <w:rFonts w:ascii="Palatino Linotype" w:eastAsia="Palatino Linotype" w:hAnsi="Palatino Linotype" w:cs="Palatino Linotype"/>
          <w:bCs/>
        </w:rPr>
      </w:pPr>
    </w:p>
    <w:p w14:paraId="7A56C9DD" w14:textId="77777777" w:rsidR="00434AB7" w:rsidRPr="00F402A1" w:rsidRDefault="00434AB7" w:rsidP="00434AB7">
      <w:pPr>
        <w:spacing w:line="360" w:lineRule="auto"/>
        <w:ind w:right="39"/>
        <w:jc w:val="both"/>
        <w:rPr>
          <w:rFonts w:ascii="Palatino Linotype" w:eastAsia="Palatino Linotype" w:hAnsi="Palatino Linotype" w:cs="Palatino Linotype"/>
          <w:bCs/>
        </w:rPr>
      </w:pPr>
      <w:r w:rsidRPr="00F402A1">
        <w:rPr>
          <w:rFonts w:ascii="Palatino Linotype" w:eastAsia="Palatino Linotype" w:hAnsi="Palatino Linotype" w:cs="Palatino Linotype"/>
          <w:bCs/>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6E8B279B" w14:textId="77777777" w:rsidR="00AF0558" w:rsidRPr="000F3A58" w:rsidRDefault="00AF0558" w:rsidP="00434AB7">
      <w:pPr>
        <w:spacing w:line="360" w:lineRule="auto"/>
        <w:ind w:right="39"/>
        <w:jc w:val="both"/>
        <w:rPr>
          <w:rFonts w:ascii="Palatino Linotype" w:eastAsia="Palatino Linotype" w:hAnsi="Palatino Linotype" w:cs="Palatino Linotype"/>
          <w:b/>
        </w:rPr>
      </w:pPr>
    </w:p>
    <w:p w14:paraId="6B7B5D1E" w14:textId="77777777" w:rsidR="00AF0558" w:rsidRPr="00F402A1" w:rsidRDefault="00434AB7" w:rsidP="00892A06">
      <w:pPr>
        <w:spacing w:line="360" w:lineRule="auto"/>
        <w:ind w:right="39"/>
        <w:jc w:val="both"/>
        <w:rPr>
          <w:rFonts w:ascii="Palatino Linotype" w:eastAsia="Palatino Linotype" w:hAnsi="Palatino Linotype" w:cs="Palatino Linotype"/>
          <w:lang w:val="es-ES"/>
        </w:rPr>
      </w:pPr>
      <w:r w:rsidRPr="00F402A1">
        <w:rPr>
          <w:rFonts w:ascii="Palatino Linotype" w:eastAsia="Palatino Linotype" w:hAnsi="Palatino Linotype" w:cs="Palatino Linotype"/>
          <w:lang w:val="es-ES"/>
        </w:rPr>
        <w:t xml:space="preserve">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 por lo que precisado lo anterior se deben dejar a salvo los derechos del recurrente para realizar una nueva solicitud de información al </w:t>
      </w:r>
      <w:r w:rsidRPr="00F402A1">
        <w:rPr>
          <w:rFonts w:ascii="Palatino Linotype" w:eastAsia="Palatino Linotype" w:hAnsi="Palatino Linotype" w:cs="Palatino Linotype"/>
          <w:b/>
          <w:bCs/>
          <w:u w:val="single"/>
          <w:lang w:val="es-ES"/>
        </w:rPr>
        <w:t>Sujeto Obligado</w:t>
      </w:r>
      <w:r w:rsidRPr="00F402A1">
        <w:rPr>
          <w:rFonts w:ascii="Palatino Linotype" w:eastAsia="Palatino Linotype" w:hAnsi="Palatino Linotype" w:cs="Palatino Linotype"/>
          <w:lang w:val="es-ES"/>
        </w:rPr>
        <w:t xml:space="preserve"> que administra, genera o posee la información requerida. </w:t>
      </w:r>
    </w:p>
    <w:p w14:paraId="76B032D1" w14:textId="77777777" w:rsidR="00892A06" w:rsidRDefault="00892A06" w:rsidP="00892A06">
      <w:pPr>
        <w:spacing w:line="360" w:lineRule="auto"/>
        <w:ind w:right="39"/>
        <w:jc w:val="both"/>
        <w:rPr>
          <w:rFonts w:ascii="Palatino Linotype" w:eastAsia="Palatino Linotype" w:hAnsi="Palatino Linotype" w:cs="Palatino Linotype"/>
          <w:lang w:val="es-ES"/>
        </w:rPr>
      </w:pPr>
    </w:p>
    <w:p w14:paraId="4B30F5E3" w14:textId="1C554746" w:rsidR="00F402A1" w:rsidRDefault="00892A06" w:rsidP="00037326">
      <w:pPr>
        <w:spacing w:line="360" w:lineRule="auto"/>
        <w:jc w:val="both"/>
        <w:rPr>
          <w:rFonts w:ascii="Palatino Linotype" w:hAnsi="Palatino Linotype"/>
        </w:rPr>
      </w:pPr>
      <w:r w:rsidRPr="00E13FA9">
        <w:rPr>
          <w:rFonts w:ascii="Palatino Linotype" w:hAnsi="Palatino Linotype"/>
        </w:rPr>
        <w:t>Sin pasar por desapercibido por este Instituto que se debe deja a salvo los derechos del Recurrente a efecto de que pueda presentar nuevamente la solicitud de información de ser el caso ante el Sujeto Obligado competente; debiendo presentar dicha solici</w:t>
      </w:r>
      <w:r>
        <w:rPr>
          <w:rFonts w:ascii="Palatino Linotype" w:hAnsi="Palatino Linotype"/>
        </w:rPr>
        <w:t xml:space="preserve">tud de información a través de </w:t>
      </w:r>
      <w:r w:rsidR="00F402A1">
        <w:rPr>
          <w:rFonts w:ascii="Palatino Linotype" w:hAnsi="Palatino Linotype"/>
        </w:rPr>
        <w:t xml:space="preserve">la plataforma destinada para tal efecto. </w:t>
      </w:r>
    </w:p>
    <w:p w14:paraId="6A27FC36" w14:textId="77777777" w:rsidR="00F402A1" w:rsidRDefault="00F402A1" w:rsidP="00037326">
      <w:pPr>
        <w:spacing w:line="360" w:lineRule="auto"/>
        <w:jc w:val="both"/>
        <w:rPr>
          <w:rFonts w:ascii="Palatino Linotype" w:hAnsi="Palatino Linotype"/>
        </w:rPr>
      </w:pPr>
    </w:p>
    <w:p w14:paraId="0AA56F3A" w14:textId="31B8FB44" w:rsidR="00892A06"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r w:rsidRPr="002302A4">
        <w:rPr>
          <w:rFonts w:ascii="Palatino Linotype" w:eastAsia="Palatino Linotype" w:hAnsi="Palatino Linotype" w:cs="Palatino Linotype"/>
        </w:rPr>
        <w:t xml:space="preserve">En mérito de lo expuesto en líneas anteriores, este Instituto considera que los motivos de inconformidad planteados por la parte </w:t>
      </w:r>
      <w:r w:rsidRPr="002302A4">
        <w:rPr>
          <w:rFonts w:ascii="Palatino Linotype" w:eastAsia="Palatino Linotype" w:hAnsi="Palatino Linotype" w:cs="Palatino Linotype"/>
          <w:b/>
        </w:rPr>
        <w:t>Recurrente</w:t>
      </w:r>
      <w:r w:rsidRPr="002302A4">
        <w:rPr>
          <w:rFonts w:ascii="Palatino Linotype" w:eastAsia="Palatino Linotype" w:hAnsi="Palatino Linotype" w:cs="Palatino Linotype"/>
        </w:rPr>
        <w:t xml:space="preserve"> resultan infundados; por ello </w:t>
      </w:r>
      <w:r w:rsidRPr="002302A4">
        <w:rPr>
          <w:rFonts w:ascii="Palatino Linotype" w:eastAsia="Palatino Linotype" w:hAnsi="Palatino Linotype" w:cs="Palatino Linotype"/>
          <w:b/>
        </w:rPr>
        <w:t xml:space="preserve">con fundamento en la segunda fracción del artículo 186 </w:t>
      </w:r>
      <w:r w:rsidRPr="002302A4">
        <w:rPr>
          <w:rFonts w:ascii="Palatino Linotype" w:eastAsia="Palatino Linotype" w:hAnsi="Palatino Linotype" w:cs="Palatino Linotype"/>
        </w:rPr>
        <w:t xml:space="preserve">de la Ley de Transparencia y Acceso a la Información Pública del Estado de México y Municipios, se </w:t>
      </w:r>
      <w:r w:rsidRPr="002302A4">
        <w:rPr>
          <w:rFonts w:ascii="Palatino Linotype" w:eastAsia="Palatino Linotype" w:hAnsi="Palatino Linotype" w:cs="Palatino Linotype"/>
          <w:b/>
        </w:rPr>
        <w:t xml:space="preserve">CONFIRMA </w:t>
      </w:r>
      <w:r w:rsidRPr="002302A4">
        <w:rPr>
          <w:rFonts w:ascii="Palatino Linotype" w:eastAsia="Palatino Linotype" w:hAnsi="Palatino Linotype" w:cs="Palatino Linotype"/>
        </w:rPr>
        <w:t xml:space="preserve">la respuesta proporcionada a la solicitud de información número </w:t>
      </w:r>
      <w:r w:rsidRPr="002302A4">
        <w:rPr>
          <w:rFonts w:ascii="Palatino Linotype" w:hAnsi="Palatino Linotype"/>
          <w:color w:val="000000"/>
        </w:rPr>
        <w:t> </w:t>
      </w:r>
      <w:bookmarkStart w:id="2" w:name="_Hlk201249089"/>
      <w:r w:rsidR="00F402A1">
        <w:rPr>
          <w:rFonts w:ascii="Palatino Linotype" w:hAnsi="Palatino Linotype"/>
          <w:b/>
          <w:bCs/>
        </w:rPr>
        <w:t>00005/SAASCAEM/IP/2025</w:t>
      </w:r>
      <w:bookmarkEnd w:id="2"/>
      <w:r w:rsidRPr="002302A4">
        <w:rPr>
          <w:rFonts w:ascii="Palatino Linotype" w:eastAsia="Palatino Linotype" w:hAnsi="Palatino Linotype" w:cs="Palatino Linotype"/>
        </w:rPr>
        <w:t>,</w:t>
      </w:r>
      <w:r w:rsidRPr="002302A4">
        <w:rPr>
          <w:rFonts w:ascii="Palatino Linotype" w:eastAsia="Palatino Linotype" w:hAnsi="Palatino Linotype" w:cs="Palatino Linotype"/>
          <w:b/>
        </w:rPr>
        <w:t xml:space="preserve"> </w:t>
      </w:r>
      <w:r w:rsidRPr="002302A4">
        <w:rPr>
          <w:rFonts w:ascii="Palatino Linotype" w:eastAsia="Palatino Linotype" w:hAnsi="Palatino Linotype" w:cs="Palatino Linotype"/>
        </w:rPr>
        <w:t>que ha sido materia del presente estudio.</w:t>
      </w:r>
    </w:p>
    <w:p w14:paraId="07A8BB39" w14:textId="77777777" w:rsidR="00037326" w:rsidRPr="002302A4" w:rsidRDefault="00037326" w:rsidP="00892A06">
      <w:pPr>
        <w:pBdr>
          <w:top w:val="nil"/>
          <w:left w:val="nil"/>
          <w:bottom w:val="nil"/>
          <w:right w:val="nil"/>
          <w:between w:val="nil"/>
        </w:pBdr>
        <w:spacing w:line="360" w:lineRule="auto"/>
        <w:jc w:val="both"/>
        <w:rPr>
          <w:rFonts w:ascii="Palatino Linotype" w:eastAsia="Palatino Linotype" w:hAnsi="Palatino Linotype" w:cs="Palatino Linotype"/>
        </w:rPr>
      </w:pPr>
    </w:p>
    <w:p w14:paraId="6F232131" w14:textId="77777777" w:rsidR="00892A06" w:rsidRPr="002302A4"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r w:rsidRPr="002302A4">
        <w:rPr>
          <w:rFonts w:ascii="Palatino Linotype" w:eastAsia="Palatino Linotype" w:hAnsi="Palatino Linotype" w:cs="Palatino Linotype"/>
        </w:rPr>
        <w:t>Por lo antes expuesto y fundado es de resolverse y,</w:t>
      </w:r>
    </w:p>
    <w:p w14:paraId="31BD4A70" w14:textId="77777777" w:rsidR="00892A06" w:rsidRPr="00E644F2"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p>
    <w:p w14:paraId="45DD8B6B" w14:textId="77777777" w:rsidR="00892A06" w:rsidRDefault="00892A06" w:rsidP="00892A06">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E644F2">
        <w:rPr>
          <w:rFonts w:ascii="Palatino Linotype" w:eastAsia="Palatino Linotype" w:hAnsi="Palatino Linotype" w:cs="Palatino Linotype"/>
          <w:b/>
          <w:sz w:val="28"/>
          <w:szCs w:val="28"/>
        </w:rPr>
        <w:t>S E    R E S U E L V E</w:t>
      </w:r>
    </w:p>
    <w:p w14:paraId="5F3A74D1" w14:textId="258E6C1F" w:rsidR="00037326" w:rsidRPr="00E644F2" w:rsidRDefault="00037326" w:rsidP="00892A06">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p>
    <w:p w14:paraId="60A053CF" w14:textId="6BA486CA" w:rsidR="00892A06" w:rsidRPr="00E644F2"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PRIMERO</w:t>
      </w:r>
      <w:r w:rsidRPr="00E644F2">
        <w:rPr>
          <w:rFonts w:ascii="Palatino Linotype" w:eastAsia="Palatino Linotype" w:hAnsi="Palatino Linotype" w:cs="Palatino Linotype"/>
          <w:b/>
        </w:rPr>
        <w:t>.</w:t>
      </w:r>
      <w:r w:rsidRPr="00E644F2">
        <w:rPr>
          <w:rFonts w:ascii="Palatino Linotype" w:eastAsia="Palatino Linotype" w:hAnsi="Palatino Linotype" w:cs="Palatino Linotype"/>
        </w:rPr>
        <w:t xml:space="preserve"> Se</w:t>
      </w:r>
      <w:r>
        <w:rPr>
          <w:rFonts w:ascii="Palatino Linotype" w:eastAsia="Palatino Linotype" w:hAnsi="Palatino Linotype" w:cs="Palatino Linotype"/>
        </w:rPr>
        <w:t xml:space="preserve"> </w:t>
      </w:r>
      <w:r w:rsidR="00195816">
        <w:rPr>
          <w:rFonts w:ascii="Palatino Linotype" w:eastAsia="Palatino Linotype" w:hAnsi="Palatino Linotype" w:cs="Palatino Linotype"/>
          <w:b/>
        </w:rPr>
        <w:t xml:space="preserve"> CONFIRMA </w:t>
      </w:r>
      <w:r w:rsidRPr="00E644F2">
        <w:rPr>
          <w:rFonts w:ascii="Palatino Linotype" w:eastAsia="Palatino Linotype" w:hAnsi="Palatino Linotype" w:cs="Palatino Linotype"/>
        </w:rPr>
        <w:t xml:space="preserve">respuesta entregada por el </w:t>
      </w:r>
      <w:r w:rsidRPr="00E644F2">
        <w:rPr>
          <w:rFonts w:ascii="Palatino Linotype" w:eastAsia="Palatino Linotype" w:hAnsi="Palatino Linotype" w:cs="Palatino Linotype"/>
          <w:b/>
        </w:rPr>
        <w:t xml:space="preserve">Sujeto Obligado </w:t>
      </w:r>
      <w:r w:rsidRPr="00E644F2">
        <w:rPr>
          <w:rFonts w:ascii="Palatino Linotype" w:eastAsia="Palatino Linotype" w:hAnsi="Palatino Linotype" w:cs="Palatino Linotype"/>
        </w:rPr>
        <w:t>a la solicitud de información</w:t>
      </w:r>
      <w:r>
        <w:rPr>
          <w:rFonts w:ascii="Palatino Linotype" w:hAnsi="Palatino Linotype"/>
          <w:b/>
          <w:bCs/>
        </w:rPr>
        <w:t xml:space="preserve"> </w:t>
      </w:r>
      <w:r w:rsidR="00F402A1">
        <w:rPr>
          <w:rFonts w:ascii="Palatino Linotype" w:hAnsi="Palatino Linotype"/>
          <w:b/>
          <w:bCs/>
        </w:rPr>
        <w:t>00005/SAASCAEM/IP/2025</w:t>
      </w:r>
      <w:r w:rsidRPr="000F676A">
        <w:rPr>
          <w:rFonts w:ascii="Palatino Linotype" w:eastAsia="Palatino Linotype" w:hAnsi="Palatino Linotype" w:cs="Palatino Linotype"/>
        </w:rPr>
        <w:t>,</w:t>
      </w:r>
      <w:r>
        <w:rPr>
          <w:rFonts w:ascii="Palatino Linotype" w:eastAsia="Palatino Linotype" w:hAnsi="Palatino Linotype" w:cs="Palatino Linotype"/>
        </w:rPr>
        <w:t xml:space="preserve"> por resultar in</w:t>
      </w:r>
      <w:r w:rsidRPr="00E644F2">
        <w:rPr>
          <w:rFonts w:ascii="Palatino Linotype" w:eastAsia="Palatino Linotype" w:hAnsi="Palatino Linotype" w:cs="Palatino Linotype"/>
        </w:rPr>
        <w:t xml:space="preserve">fundados los motivos de inconformidad argüidos por la parte </w:t>
      </w:r>
      <w:r w:rsidRPr="00E644F2">
        <w:rPr>
          <w:rFonts w:ascii="Palatino Linotype" w:eastAsia="Palatino Linotype" w:hAnsi="Palatino Linotype" w:cs="Palatino Linotype"/>
          <w:b/>
        </w:rPr>
        <w:t>Recurrente</w:t>
      </w:r>
      <w:r w:rsidRPr="00E644F2">
        <w:rPr>
          <w:rFonts w:ascii="Palatino Linotype" w:eastAsia="Palatino Linotype" w:hAnsi="Palatino Linotype" w:cs="Palatino Linotype"/>
        </w:rPr>
        <w:t>, en términos del considerando</w:t>
      </w:r>
      <w:r w:rsidR="00037326">
        <w:rPr>
          <w:rFonts w:ascii="Palatino Linotype" w:eastAsia="Palatino Linotype" w:hAnsi="Palatino Linotype" w:cs="Palatino Linotype"/>
          <w:b/>
        </w:rPr>
        <w:t xml:space="preserve"> CUAR</w:t>
      </w:r>
      <w:r>
        <w:rPr>
          <w:rFonts w:ascii="Palatino Linotype" w:eastAsia="Palatino Linotype" w:hAnsi="Palatino Linotype" w:cs="Palatino Linotype"/>
          <w:b/>
        </w:rPr>
        <w:t>TO</w:t>
      </w:r>
      <w:r w:rsidRPr="00E644F2">
        <w:rPr>
          <w:rFonts w:ascii="Palatino Linotype" w:eastAsia="Palatino Linotype" w:hAnsi="Palatino Linotype" w:cs="Palatino Linotype"/>
          <w:b/>
        </w:rPr>
        <w:t xml:space="preserve"> </w:t>
      </w:r>
      <w:r w:rsidRPr="00E644F2">
        <w:rPr>
          <w:rFonts w:ascii="Palatino Linotype" w:eastAsia="Palatino Linotype" w:hAnsi="Palatino Linotype" w:cs="Palatino Linotype"/>
        </w:rPr>
        <w:t xml:space="preserve">de la presente resolución. </w:t>
      </w:r>
    </w:p>
    <w:p w14:paraId="01BC1CE5" w14:textId="77777777" w:rsidR="00892A06" w:rsidRPr="00E644F2" w:rsidRDefault="00892A06" w:rsidP="00892A06">
      <w:pPr>
        <w:pBdr>
          <w:top w:val="nil"/>
          <w:left w:val="nil"/>
          <w:bottom w:val="nil"/>
          <w:right w:val="nil"/>
          <w:between w:val="nil"/>
        </w:pBdr>
        <w:spacing w:line="360" w:lineRule="auto"/>
        <w:jc w:val="both"/>
        <w:rPr>
          <w:rFonts w:ascii="Palatino Linotype" w:eastAsia="Palatino Linotype" w:hAnsi="Palatino Linotype" w:cs="Palatino Linotype"/>
          <w:sz w:val="21"/>
          <w:szCs w:val="21"/>
        </w:rPr>
      </w:pPr>
    </w:p>
    <w:p w14:paraId="28AD37DD" w14:textId="77777777" w:rsidR="00892A06" w:rsidRPr="002F7755" w:rsidRDefault="00892A06" w:rsidP="00892A06">
      <w:pPr>
        <w:pBdr>
          <w:top w:val="nil"/>
          <w:left w:val="nil"/>
          <w:bottom w:val="nil"/>
          <w:right w:val="nil"/>
          <w:between w:val="nil"/>
        </w:pBdr>
        <w:spacing w:line="360" w:lineRule="auto"/>
        <w:jc w:val="both"/>
        <w:rPr>
          <w:rFonts w:ascii="Palatino Linotype" w:hAnsi="Palatino Linotype" w:cs="Arial"/>
          <w:i/>
          <w:szCs w:val="23"/>
        </w:rPr>
      </w:pPr>
      <w:r>
        <w:rPr>
          <w:rFonts w:ascii="Palatino Linotype" w:eastAsia="Palatino Linotype" w:hAnsi="Palatino Linotype" w:cs="Palatino Linotype"/>
          <w:b/>
          <w:sz w:val="26"/>
          <w:szCs w:val="26"/>
        </w:rPr>
        <w:lastRenderedPageBreak/>
        <w:t>SEGUNDO</w:t>
      </w:r>
      <w:r w:rsidRPr="00E644F2">
        <w:rPr>
          <w:rFonts w:ascii="Palatino Linotype" w:eastAsia="Palatino Linotype" w:hAnsi="Palatino Linotype" w:cs="Palatino Linotype"/>
          <w:b/>
        </w:rPr>
        <w:t>.</w:t>
      </w:r>
      <w:r>
        <w:rPr>
          <w:rFonts w:ascii="Palatino Linotype" w:eastAsia="Palatino Linotype" w:hAnsi="Palatino Linotype" w:cs="Palatino Linotype"/>
          <w:b/>
        </w:rPr>
        <w:t xml:space="preserve"> </w:t>
      </w:r>
      <w:r w:rsidRPr="00401E50">
        <w:rPr>
          <w:rFonts w:ascii="Palatino Linotype" w:hAnsi="Palatino Linotype" w:cs="Arial"/>
          <w:b/>
        </w:rPr>
        <w:t>Notifíquese</w:t>
      </w:r>
      <w:r w:rsidRPr="00401E50">
        <w:rPr>
          <w:rFonts w:ascii="Palatino Linotype" w:eastAsia="Palatino Linotype" w:hAnsi="Palatino Linotype" w:cs="Palatino Linotype"/>
          <w:b/>
        </w:rPr>
        <w:t xml:space="preserve">, </w:t>
      </w:r>
      <w:r w:rsidRPr="00401E50">
        <w:rPr>
          <w:rFonts w:ascii="Palatino Linotype" w:eastAsia="Palatino Linotype" w:hAnsi="Palatino Linotype" w:cs="Palatino Linotype"/>
        </w:rPr>
        <w:t>vía Sistema de Acceso a la Información Mexiquense (</w:t>
      </w:r>
      <w:r w:rsidRPr="00136959">
        <w:rPr>
          <w:rFonts w:ascii="Palatino Linotype" w:eastAsia="Palatino Linotype" w:hAnsi="Palatino Linotype" w:cs="Palatino Linotype"/>
          <w:b/>
        </w:rPr>
        <w:t>SAIMEX),</w:t>
      </w:r>
      <w:r w:rsidRPr="00401E50">
        <w:rPr>
          <w:rFonts w:ascii="Palatino Linotype" w:eastAsia="Palatino Linotype" w:hAnsi="Palatino Linotype" w:cs="Palatino Linotype"/>
        </w:rPr>
        <w:t xml:space="preserve"> la presente resolución al Titular de la Unidad de Transparencia del </w:t>
      </w:r>
      <w:r w:rsidRPr="00401E50">
        <w:rPr>
          <w:rFonts w:ascii="Palatino Linotype" w:eastAsia="Palatino Linotype" w:hAnsi="Palatino Linotype" w:cs="Palatino Linotype"/>
          <w:b/>
        </w:rPr>
        <w:t>SUJETO OBLIGADO</w:t>
      </w:r>
    </w:p>
    <w:p w14:paraId="1844D562" w14:textId="77777777" w:rsidR="00892A06" w:rsidRDefault="00892A06" w:rsidP="00892A06">
      <w:pPr>
        <w:spacing w:line="360" w:lineRule="auto"/>
        <w:jc w:val="both"/>
        <w:rPr>
          <w:rFonts w:ascii="Palatino Linotype" w:hAnsi="Palatino Linotype" w:cs="Arial"/>
          <w:lang w:eastAsia="es-ES"/>
        </w:rPr>
      </w:pPr>
    </w:p>
    <w:p w14:paraId="23BACEA5" w14:textId="77777777" w:rsidR="00317504" w:rsidRPr="00037326" w:rsidRDefault="00892A06" w:rsidP="00317504">
      <w:pPr>
        <w:spacing w:line="360" w:lineRule="auto"/>
        <w:jc w:val="both"/>
        <w:rPr>
          <w:rFonts w:ascii="Palatino Linotype" w:hAnsi="Palatino Linotype" w:cs="Arial"/>
          <w:lang w:val="es-ES" w:eastAsia="es-ES"/>
        </w:rPr>
      </w:pPr>
      <w:r>
        <w:rPr>
          <w:rFonts w:ascii="Palatino Linotype" w:eastAsia="Palatino Linotype" w:hAnsi="Palatino Linotype" w:cs="Palatino Linotype"/>
          <w:b/>
          <w:sz w:val="26"/>
          <w:szCs w:val="26"/>
        </w:rPr>
        <w:t>TERCERO</w:t>
      </w:r>
      <w:r w:rsidRPr="00E644F2">
        <w:rPr>
          <w:rFonts w:ascii="Palatino Linotype" w:eastAsia="Palatino Linotype" w:hAnsi="Palatino Linotype" w:cs="Palatino Linotype"/>
          <w:b/>
        </w:rPr>
        <w:t xml:space="preserve">. </w:t>
      </w:r>
      <w:r w:rsidRPr="0055610A">
        <w:rPr>
          <w:rFonts w:ascii="Palatino Linotype" w:hAnsi="Palatino Linotype" w:cs="Arial"/>
          <w:b/>
          <w:lang w:val="es-ES" w:eastAsia="es-ES"/>
        </w:rPr>
        <w:t>Notifíquese</w:t>
      </w:r>
      <w:r w:rsidRPr="0055610A">
        <w:rPr>
          <w:rFonts w:ascii="Palatino Linotype" w:hAnsi="Palatino Linotype" w:cs="Arial"/>
          <w:lang w:val="es-ES" w:eastAsia="es-ES"/>
        </w:rPr>
        <w:t xml:space="preserve"> </w:t>
      </w:r>
      <w:r w:rsidRPr="0055610A">
        <w:rPr>
          <w:rFonts w:ascii="Palatino Linotype" w:hAnsi="Palatino Linotype" w:cs="Arial"/>
          <w:b/>
          <w:lang w:val="es-ES" w:eastAsia="es-ES"/>
        </w:rPr>
        <w:t>a la Recurrente</w:t>
      </w:r>
      <w:r w:rsidRPr="0055610A">
        <w:rPr>
          <w:rFonts w:ascii="Palatino Linotype" w:hAnsi="Palatino Linotype" w:cs="Arial"/>
          <w:lang w:val="es-ES" w:eastAsia="es-ES"/>
        </w:rPr>
        <w:t xml:space="preserve"> a través del</w:t>
      </w:r>
      <w:r>
        <w:rPr>
          <w:rFonts w:ascii="Palatino Linotype" w:hAnsi="Palatino Linotype" w:cs="Arial"/>
          <w:lang w:val="es-ES" w:eastAsia="es-ES"/>
        </w:rPr>
        <w:t xml:space="preserve"> </w:t>
      </w:r>
      <w:r w:rsidRPr="00401E50">
        <w:rPr>
          <w:rFonts w:ascii="Palatino Linotype" w:eastAsia="Palatino Linotype" w:hAnsi="Palatino Linotype" w:cs="Palatino Linotype"/>
        </w:rPr>
        <w:t>Sistema de Acceso a la Información Mexiquense</w:t>
      </w:r>
      <w:r w:rsidRPr="0055610A">
        <w:rPr>
          <w:rFonts w:ascii="Palatino Linotype" w:hAnsi="Palatino Linotype" w:cs="Arial"/>
          <w:lang w:val="es-ES" w:eastAsia="es-ES"/>
        </w:rPr>
        <w:t xml:space="preserve"> </w:t>
      </w:r>
      <w:r>
        <w:rPr>
          <w:rFonts w:ascii="Palatino Linotype" w:hAnsi="Palatino Linotype" w:cs="Arial"/>
          <w:lang w:val="es-ES" w:eastAsia="es-ES"/>
        </w:rPr>
        <w:t>(</w:t>
      </w:r>
      <w:r w:rsidRPr="0050100B">
        <w:rPr>
          <w:rFonts w:ascii="Palatino Linotype" w:hAnsi="Palatino Linotype" w:cs="Arial"/>
          <w:b/>
          <w:lang w:val="es-ES" w:eastAsia="es-ES"/>
        </w:rPr>
        <w:t>SAIMEX),</w:t>
      </w:r>
      <w:r w:rsidRPr="0055610A">
        <w:rPr>
          <w:rFonts w:ascii="Palatino Linotype" w:hAnsi="Palatino Linotype" w:cs="Arial"/>
          <w:lang w:val="es-ES" w:eastAsia="es-ES"/>
        </w:rPr>
        <w:t xml:space="preserve">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w:t>
      </w:r>
      <w:r>
        <w:rPr>
          <w:rFonts w:ascii="Palatino Linotype" w:hAnsi="Palatino Linotype" w:cs="Arial"/>
          <w:lang w:val="es-ES" w:eastAsia="es-ES"/>
        </w:rPr>
        <w:t>l Estado de México y Municipios.</w:t>
      </w:r>
    </w:p>
    <w:p w14:paraId="509652B4" w14:textId="77777777" w:rsidR="00317504" w:rsidRPr="00F76430" w:rsidRDefault="00317504" w:rsidP="00317504">
      <w:pPr>
        <w:spacing w:line="360" w:lineRule="auto"/>
        <w:jc w:val="both"/>
        <w:rPr>
          <w:rFonts w:ascii="Palatino Linotype" w:hAnsi="Palatino Linotype"/>
          <w:color w:val="222222"/>
          <w:shd w:val="clear" w:color="auto" w:fill="FFFFFF"/>
          <w:lang w:eastAsia="es-ES"/>
        </w:rPr>
      </w:pPr>
    </w:p>
    <w:p w14:paraId="7D7463A0" w14:textId="331D4259" w:rsidR="00A0235B" w:rsidRPr="00547212" w:rsidRDefault="00A0235B" w:rsidP="00A0235B">
      <w:pPr>
        <w:spacing w:line="360" w:lineRule="auto"/>
        <w:contextualSpacing/>
        <w:jc w:val="both"/>
        <w:rPr>
          <w:rFonts w:ascii="Palatino Linotype" w:eastAsia="MS Mincho" w:hAnsi="Palatino Linotype"/>
          <w:lang w:val="es-ES"/>
        </w:rPr>
      </w:pPr>
      <w:r w:rsidRPr="00547212">
        <w:rPr>
          <w:rFonts w:ascii="Palatino Linotype" w:eastAsia="MS Mincho" w:hAnsi="Palatino Linotype"/>
          <w:lang w:val="es-ES"/>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9F29DB" w:rsidRPr="00547212">
        <w:rPr>
          <w:rFonts w:ascii="Palatino Linotype" w:eastAsia="MS Mincho" w:hAnsi="Palatino Linotype"/>
          <w:lang w:val="es-ES"/>
        </w:rPr>
        <w:t>MARTÍNEZ, LUIS GUSTAVO PARRA NORIEGA  Y GUADALUPE RAMÍREZ PEÑA</w:t>
      </w:r>
      <w:r w:rsidR="009F29DB">
        <w:rPr>
          <w:rFonts w:ascii="Palatino Linotype" w:eastAsia="MS Mincho" w:hAnsi="Palatino Linotype"/>
          <w:lang w:val="es-ES"/>
        </w:rPr>
        <w:t xml:space="preserve"> (AUSENCIA JUSTIFICADA) </w:t>
      </w:r>
      <w:r w:rsidR="009F29DB" w:rsidRPr="00547212">
        <w:rPr>
          <w:rFonts w:ascii="Palatino Linotype" w:eastAsia="MS Mincho" w:hAnsi="Palatino Linotype"/>
          <w:lang w:val="es-ES"/>
        </w:rPr>
        <w:t xml:space="preserve"> </w:t>
      </w:r>
      <w:r w:rsidRPr="00547212">
        <w:rPr>
          <w:rFonts w:ascii="Palatino Linotype" w:eastAsia="MS Mincho" w:hAnsi="Palatino Linotype"/>
          <w:lang w:val="es-ES"/>
        </w:rPr>
        <w:t xml:space="preserve">EN LA </w:t>
      </w:r>
      <w:r>
        <w:rPr>
          <w:rFonts w:ascii="Palatino Linotype" w:eastAsia="MS Mincho" w:hAnsi="Palatino Linotype"/>
          <w:lang w:val="es-ES"/>
        </w:rPr>
        <w:t xml:space="preserve">VIGÉSIMA CUARTA SESIÓN ORDINARIA CELEBRADA EL DOS DE JULIO DE DOS MIL VEINTICINCO, ANTE EL </w:t>
      </w:r>
      <w:r w:rsidRPr="00547212">
        <w:rPr>
          <w:rFonts w:ascii="Palatino Linotype" w:eastAsia="MS Mincho" w:hAnsi="Palatino Linotype"/>
          <w:lang w:val="es-ES"/>
        </w:rPr>
        <w:t xml:space="preserve">SECRETARIO TÉCNICO DEL PLENO, ALEXIS TAPIA RAMÍREZ. </w:t>
      </w:r>
    </w:p>
    <w:p w14:paraId="751EDC6B" w14:textId="77777777" w:rsidR="00A0235B" w:rsidRDefault="00A0235B" w:rsidP="00A0235B">
      <w:pPr>
        <w:spacing w:line="360" w:lineRule="auto"/>
        <w:contextualSpacing/>
        <w:jc w:val="both"/>
        <w:rPr>
          <w:rFonts w:ascii="Palatino Linotype" w:eastAsia="MS Mincho" w:hAnsi="Palatino Linotype"/>
          <w:bCs/>
          <w:sz w:val="20"/>
          <w:szCs w:val="20"/>
          <w:lang w:val="es-ES"/>
        </w:rPr>
      </w:pPr>
    </w:p>
    <w:p w14:paraId="3BFAF945" w14:textId="77777777" w:rsidR="00A0235B" w:rsidRPr="00547212" w:rsidRDefault="00A0235B" w:rsidP="00A0235B">
      <w:pPr>
        <w:spacing w:line="360" w:lineRule="auto"/>
        <w:contextualSpacing/>
        <w:jc w:val="both"/>
        <w:rPr>
          <w:rFonts w:ascii="Palatino Linotype" w:eastAsia="MS Mincho" w:hAnsi="Palatino Linotype"/>
          <w:bCs/>
          <w:sz w:val="20"/>
          <w:szCs w:val="20"/>
          <w:lang w:val="es-ES"/>
        </w:rPr>
      </w:pPr>
      <w:r w:rsidRPr="00547212">
        <w:rPr>
          <w:rFonts w:ascii="Palatino Linotype" w:eastAsia="MS Mincho" w:hAnsi="Palatino Linotype"/>
          <w:bCs/>
          <w:sz w:val="20"/>
          <w:szCs w:val="20"/>
          <w:lang w:val="es-ES"/>
        </w:rPr>
        <w:t>CCR/JCMA</w:t>
      </w:r>
    </w:p>
    <w:p w14:paraId="1D3DE0F0" w14:textId="14505EB9" w:rsidR="00317504" w:rsidRPr="00A0235B" w:rsidRDefault="00A0235B" w:rsidP="00317504">
      <w:pPr>
        <w:spacing w:line="360" w:lineRule="auto"/>
        <w:jc w:val="both"/>
        <w:rPr>
          <w:rFonts w:ascii="Palatino Linotype" w:hAnsi="Palatino Linotype" w:cs="Calibri"/>
        </w:rPr>
      </w:pPr>
      <w:r>
        <w:rPr>
          <w:rFonts w:ascii="Palatino Linotype" w:hAnsi="Palatino Linotype" w:cs="Calibri"/>
          <w:noProof/>
        </w:rPr>
        <mc:AlternateContent>
          <mc:Choice Requires="wps">
            <w:drawing>
              <wp:anchor distT="0" distB="0" distL="114300" distR="114300" simplePos="0" relativeHeight="251677696" behindDoc="0" locked="0" layoutInCell="1" allowOverlap="1" wp14:anchorId="6A4EA723" wp14:editId="2E64244E">
                <wp:simplePos x="0" y="0"/>
                <wp:positionH relativeFrom="column">
                  <wp:posOffset>-121920</wp:posOffset>
                </wp:positionH>
                <wp:positionV relativeFrom="paragraph">
                  <wp:posOffset>264160</wp:posOffset>
                </wp:positionV>
                <wp:extent cx="5943600" cy="4076700"/>
                <wp:effectExtent l="0" t="0" r="19050" b="19050"/>
                <wp:wrapNone/>
                <wp:docPr id="96496039" name="Straight Connector 1"/>
                <wp:cNvGraphicFramePr/>
                <a:graphic xmlns:a="http://schemas.openxmlformats.org/drawingml/2006/main">
                  <a:graphicData uri="http://schemas.microsoft.com/office/word/2010/wordprocessingShape">
                    <wps:wsp>
                      <wps:cNvCnPr/>
                      <wps:spPr>
                        <a:xfrm>
                          <a:off x="0" y="0"/>
                          <a:ext cx="5943600" cy="407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4D6F7"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6pt,20.8pt" to="458.4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" strokecolor="#5b9bd5 [3204]" strokeweight=".5pt">
                <v:stroke joinstyle="miter"/>
              </v:line>
            </w:pict>
          </mc:Fallback>
        </mc:AlternateContent>
      </w:r>
    </w:p>
    <w:p w14:paraId="69EB20EA" w14:textId="77777777" w:rsidR="00317504" w:rsidRPr="00F444C4" w:rsidRDefault="00317504" w:rsidP="00317504">
      <w:pPr>
        <w:spacing w:line="360" w:lineRule="auto"/>
        <w:jc w:val="both"/>
        <w:rPr>
          <w:rFonts w:ascii="Palatino Linotype" w:hAnsi="Palatino Linotype" w:cs="Calibri"/>
          <w:lang w:val="es-ES_tradnl"/>
        </w:rPr>
      </w:pPr>
    </w:p>
    <w:p w14:paraId="7C5AA704" w14:textId="77777777" w:rsidR="00317504" w:rsidRPr="00F444C4" w:rsidRDefault="00317504" w:rsidP="00317504">
      <w:pPr>
        <w:spacing w:line="360" w:lineRule="auto"/>
        <w:jc w:val="both"/>
        <w:rPr>
          <w:rFonts w:ascii="Palatino Linotype" w:hAnsi="Palatino Linotype" w:cs="Calibri"/>
          <w:lang w:val="es-ES_tradnl"/>
        </w:rPr>
      </w:pPr>
    </w:p>
    <w:p w14:paraId="3CC647E1" w14:textId="77777777" w:rsidR="00317504" w:rsidRDefault="00317504" w:rsidP="00317504"/>
    <w:p w14:paraId="1DC04D4B" w14:textId="77777777" w:rsidR="00317504" w:rsidRDefault="00317504" w:rsidP="00317504"/>
    <w:p w14:paraId="756205D1" w14:textId="77777777" w:rsidR="00317504" w:rsidRDefault="00317504" w:rsidP="00317504"/>
    <w:p w14:paraId="4C861F62" w14:textId="77777777" w:rsidR="00317504" w:rsidRDefault="00317504" w:rsidP="00317504"/>
    <w:p w14:paraId="506EC133" w14:textId="77777777" w:rsidR="00317504" w:rsidRPr="00706006" w:rsidRDefault="00317504" w:rsidP="00317504"/>
    <w:p w14:paraId="43F6B01F" w14:textId="77777777" w:rsidR="004C4B7C" w:rsidRDefault="004C4B7C"/>
    <w:p w14:paraId="667BAF4A" w14:textId="77777777" w:rsidR="00C15B7D" w:rsidRDefault="00C15B7D"/>
    <w:p w14:paraId="5B11A7A0" w14:textId="77777777" w:rsidR="00C15B7D" w:rsidRDefault="00C15B7D"/>
    <w:p w14:paraId="1216EF61" w14:textId="77777777" w:rsidR="00C15B7D" w:rsidRDefault="00C15B7D"/>
    <w:p w14:paraId="7266D147" w14:textId="77777777" w:rsidR="00C15B7D" w:rsidRDefault="00C15B7D"/>
    <w:p w14:paraId="1F8F31F9" w14:textId="77777777" w:rsidR="00C15B7D" w:rsidRDefault="00C15B7D"/>
    <w:p w14:paraId="7A958262" w14:textId="77777777" w:rsidR="00C15B7D" w:rsidRDefault="00C15B7D"/>
    <w:p w14:paraId="2EB993C6" w14:textId="77777777" w:rsidR="00C15B7D" w:rsidRDefault="00C15B7D"/>
    <w:p w14:paraId="25AA895B" w14:textId="77777777" w:rsidR="00C15B7D" w:rsidRDefault="00C15B7D"/>
    <w:p w14:paraId="0F8F30C7" w14:textId="77777777" w:rsidR="00C15B7D" w:rsidRDefault="00C15B7D"/>
    <w:p w14:paraId="091D2263" w14:textId="77777777" w:rsidR="00C15B7D" w:rsidRDefault="00C15B7D"/>
    <w:p w14:paraId="1179F9B6" w14:textId="77777777" w:rsidR="00C15B7D" w:rsidRDefault="00C15B7D"/>
    <w:p w14:paraId="77016ED1" w14:textId="77777777" w:rsidR="00C15B7D" w:rsidRDefault="00C15B7D"/>
    <w:p w14:paraId="1AECD6EF" w14:textId="77777777" w:rsidR="00C15B7D" w:rsidRDefault="00C15B7D"/>
    <w:p w14:paraId="578A3269" w14:textId="77777777" w:rsidR="00C15B7D" w:rsidRDefault="00C15B7D"/>
    <w:p w14:paraId="44DB842C" w14:textId="77777777" w:rsidR="00C15B7D" w:rsidRDefault="00C15B7D"/>
    <w:p w14:paraId="72C54AD2" w14:textId="77777777" w:rsidR="00C15B7D" w:rsidRDefault="00C15B7D"/>
    <w:sectPr w:rsidR="00C15B7D" w:rsidSect="00FF3D07">
      <w:headerReference w:type="even" r:id="rId15"/>
      <w:headerReference w:type="default" r:id="rId16"/>
      <w:footerReference w:type="default" r:id="rId17"/>
      <w:headerReference w:type="first" r:id="rId18"/>
      <w:footerReference w:type="first" r:id="rId19"/>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AB1B7" w14:textId="77777777" w:rsidR="00BB57C0" w:rsidRDefault="00BB57C0" w:rsidP="00317504">
      <w:r>
        <w:separator/>
      </w:r>
    </w:p>
  </w:endnote>
  <w:endnote w:type="continuationSeparator" w:id="0">
    <w:p w14:paraId="0488CB0F" w14:textId="77777777" w:rsidR="00BB57C0" w:rsidRDefault="00BB57C0" w:rsidP="0031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0694" w14:textId="77777777" w:rsidR="00AF0558" w:rsidRPr="00871A91" w:rsidRDefault="00AF0558" w:rsidP="00FF3D0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80E5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80E54">
      <w:rPr>
        <w:rFonts w:ascii="Palatino Linotype" w:hAnsi="Palatino Linotype"/>
        <w:b/>
        <w:bCs/>
        <w:noProof/>
        <w:sz w:val="20"/>
      </w:rPr>
      <w:t>35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DC99D" w14:textId="77777777" w:rsidR="00AF0558" w:rsidRPr="00871A91" w:rsidRDefault="00AF0558" w:rsidP="00FF3D0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80E5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80E54">
      <w:rPr>
        <w:rFonts w:ascii="Palatino Linotype" w:hAnsi="Palatino Linotype"/>
        <w:b/>
        <w:bCs/>
        <w:noProof/>
        <w:sz w:val="20"/>
      </w:rPr>
      <w:t>35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296CE" w14:textId="77777777" w:rsidR="00BB57C0" w:rsidRDefault="00BB57C0" w:rsidP="00317504">
      <w:r>
        <w:separator/>
      </w:r>
    </w:p>
  </w:footnote>
  <w:footnote w:type="continuationSeparator" w:id="0">
    <w:p w14:paraId="415D48CE" w14:textId="77777777" w:rsidR="00BB57C0" w:rsidRDefault="00BB57C0" w:rsidP="00317504">
      <w:r>
        <w:continuationSeparator/>
      </w:r>
    </w:p>
  </w:footnote>
  <w:footnote w:id="1">
    <w:p w14:paraId="195C7279" w14:textId="77777777" w:rsidR="00902A5E" w:rsidRPr="005552A8" w:rsidRDefault="00902A5E" w:rsidP="00902A5E">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A044AE" w14:textId="77777777" w:rsidR="00902A5E" w:rsidRPr="005552A8" w:rsidRDefault="00902A5E" w:rsidP="00902A5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28E8288" w14:textId="77777777" w:rsidR="00AF0558" w:rsidRPr="006C4B8D" w:rsidRDefault="00AF0558">
      <w:pPr>
        <w:pStyle w:val="Textonotapie"/>
        <w:rPr>
          <w:rFonts w:ascii="Palatino Linotype" w:hAnsi="Palatino Linotype"/>
        </w:rPr>
      </w:pPr>
      <w:r w:rsidRPr="006C4B8D">
        <w:rPr>
          <w:rStyle w:val="Refdenotaalpie"/>
          <w:rFonts w:ascii="Palatino Linotype" w:hAnsi="Palatino Linotype"/>
        </w:rPr>
        <w:footnoteRef/>
      </w:r>
      <w:r w:rsidRPr="006C4B8D">
        <w:rPr>
          <w:rFonts w:ascii="Palatino Linotype" w:hAnsi="Palatino Linotype"/>
        </w:rPr>
        <w:t xml:space="preserve"> </w:t>
      </w:r>
      <w:hyperlink r:id="rId3" w:history="1">
        <w:r w:rsidRPr="006C4B8D">
          <w:rPr>
            <w:rStyle w:val="Hipervnculo"/>
            <w:rFonts w:ascii="Palatino Linotype" w:hAnsi="Palatino Linotype"/>
          </w:rPr>
          <w:t>http://saascaem.edomex.gob.mx/macrolibramiento-mexiquense</w:t>
        </w:r>
      </w:hyperlink>
      <w:r w:rsidRPr="006C4B8D">
        <w:rPr>
          <w:rFonts w:ascii="Palatino Linotype" w:hAnsi="Palatino Linotype"/>
        </w:rPr>
        <w:t xml:space="preserve"> </w:t>
      </w:r>
    </w:p>
  </w:footnote>
  <w:footnote w:id="3">
    <w:p w14:paraId="6032952A" w14:textId="46545A52" w:rsidR="00AF0558" w:rsidRDefault="00AF0558">
      <w:pPr>
        <w:pStyle w:val="Textonotapie"/>
      </w:pPr>
      <w:r>
        <w:rPr>
          <w:rStyle w:val="Refdenotaalpie"/>
        </w:rPr>
        <w:footnoteRef/>
      </w:r>
      <w:r>
        <w:t xml:space="preserve"> </w:t>
      </w:r>
      <w:hyperlink r:id="rId4" w:history="1">
        <w:r w:rsidR="00F94C61" w:rsidRPr="00AC3FA9">
          <w:rPr>
            <w:rStyle w:val="Hipervnculo"/>
            <w:rFonts w:ascii="Palatino Linotype" w:hAnsi="Palatino Linotype"/>
            <w:sz w:val="18"/>
            <w:szCs w:val="18"/>
          </w:rPr>
          <w:t>http://saascaem.edomex.gob.mx/sites/saascaem.edomex.gob.mx/files/files/TITULOS%20DE%20CONCESI%C3%93N/MACROLIB/T%C3%ADtulo%20de%20Concesi%C3%B3n%20Macrolibramiento%20M..pdf</w:t>
        </w:r>
      </w:hyperlink>
      <w:r w:rsidR="00F94C61">
        <w:rPr>
          <w:rFonts w:ascii="Palatino Linotype" w:hAnsi="Palatino Linotype"/>
          <w:sz w:val="18"/>
          <w:szCs w:val="18"/>
        </w:rPr>
        <w:t xml:space="preserve"> </w:t>
      </w:r>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94402" w14:textId="77777777" w:rsidR="00AF0558" w:rsidRDefault="00980E54">
    <w:pPr>
      <w:pStyle w:val="Encabezado"/>
    </w:pPr>
    <w:r>
      <w:rPr>
        <w:noProof/>
        <w:lang w:val="es-MX" w:eastAsia="es-MX"/>
      </w:rPr>
      <w:pict w14:anchorId="31680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F0558" w:rsidRPr="00B17577" w14:paraId="35385207" w14:textId="77777777" w:rsidTr="00FF3D07">
      <w:trPr>
        <w:trHeight w:val="184"/>
      </w:trPr>
      <w:tc>
        <w:tcPr>
          <w:tcW w:w="5103" w:type="dxa"/>
          <w:hideMark/>
        </w:tcPr>
        <w:p w14:paraId="6B22C173" w14:textId="77777777" w:rsidR="00AF0558" w:rsidRPr="00F70BDE" w:rsidRDefault="00AF0558" w:rsidP="00FF3D07">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2F644859" w14:textId="49630186" w:rsidR="00AF0558" w:rsidRPr="00F70BDE" w:rsidRDefault="00AF0558" w:rsidP="00FF3D07">
          <w:pPr>
            <w:spacing w:after="120"/>
            <w:ind w:right="71"/>
            <w:jc w:val="right"/>
            <w:rPr>
              <w:rFonts w:ascii="Palatino Linotype" w:hAnsi="Palatino Linotype" w:cs="Arial"/>
              <w:b/>
            </w:rPr>
          </w:pPr>
          <w:r w:rsidRPr="00F70BDE">
            <w:rPr>
              <w:rFonts w:ascii="Palatino Linotype" w:hAnsi="Palatino Linotype" w:cs="Arial"/>
              <w:b/>
              <w:bCs/>
            </w:rPr>
            <w:t>0</w:t>
          </w:r>
          <w:r w:rsidR="00BE026B">
            <w:rPr>
              <w:rFonts w:ascii="Palatino Linotype" w:hAnsi="Palatino Linotype" w:cs="Arial"/>
              <w:b/>
              <w:bCs/>
            </w:rPr>
            <w:t>2185</w:t>
          </w:r>
          <w:r>
            <w:rPr>
              <w:rFonts w:ascii="Palatino Linotype" w:hAnsi="Palatino Linotype" w:cs="Arial"/>
              <w:b/>
              <w:bCs/>
            </w:rPr>
            <w:t>/INFOEM/IP/RR/2025</w:t>
          </w:r>
        </w:p>
      </w:tc>
    </w:tr>
    <w:tr w:rsidR="00AF0558" w14:paraId="12FBA3D6" w14:textId="77777777" w:rsidTr="00FF3D07">
      <w:trPr>
        <w:trHeight w:val="196"/>
      </w:trPr>
      <w:tc>
        <w:tcPr>
          <w:tcW w:w="5103" w:type="dxa"/>
          <w:hideMark/>
        </w:tcPr>
        <w:p w14:paraId="4CAFAC43" w14:textId="77777777" w:rsidR="00AF0558" w:rsidRPr="00F70BDE" w:rsidRDefault="00AF0558" w:rsidP="00FF3D07">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0A705864" w14:textId="77777777" w:rsidR="00AF0558" w:rsidRPr="00F70BDE" w:rsidRDefault="00AF0558" w:rsidP="00FF3D07">
          <w:pPr>
            <w:spacing w:after="120"/>
            <w:ind w:left="-81" w:right="71"/>
            <w:jc w:val="right"/>
            <w:rPr>
              <w:rFonts w:ascii="Palatino Linotype" w:hAnsi="Palatino Linotype" w:cs="Arial"/>
            </w:rPr>
          </w:pPr>
          <w:r w:rsidRPr="00FF3D07">
            <w:rPr>
              <w:rFonts w:ascii="Palatino Linotype" w:hAnsi="Palatino Linotype"/>
              <w:b/>
              <w:bCs/>
              <w:color w:val="000000"/>
            </w:rPr>
            <w:t>Sistema de Autopistas, Aeropuertos, Servicios Conexos y Auxiliares del Estado de México</w:t>
          </w:r>
        </w:p>
      </w:tc>
    </w:tr>
    <w:tr w:rsidR="00AF0558" w:rsidRPr="00F63239" w14:paraId="31BF9966" w14:textId="77777777" w:rsidTr="00FF3D07">
      <w:trPr>
        <w:trHeight w:val="277"/>
      </w:trPr>
      <w:tc>
        <w:tcPr>
          <w:tcW w:w="5103" w:type="dxa"/>
          <w:hideMark/>
        </w:tcPr>
        <w:p w14:paraId="5AC9025C" w14:textId="77777777" w:rsidR="00AF0558" w:rsidRPr="00F70BDE" w:rsidRDefault="00AF0558" w:rsidP="00FF3D07">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6C6C7769" w14:textId="77777777" w:rsidR="00AF0558" w:rsidRPr="00F70BDE" w:rsidRDefault="00AF0558" w:rsidP="00FF3D07">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182DD7E1" w14:textId="77777777" w:rsidR="00AF0558" w:rsidRPr="00F70BDE" w:rsidRDefault="00AF0558" w:rsidP="00FF3D07">
          <w:pPr>
            <w:spacing w:after="120"/>
            <w:ind w:left="-486" w:right="71" w:firstLine="567"/>
            <w:jc w:val="right"/>
            <w:rPr>
              <w:rFonts w:ascii="Palatino Linotype" w:hAnsi="Palatino Linotype" w:cs="Arial"/>
            </w:rPr>
          </w:pPr>
        </w:p>
      </w:tc>
    </w:tr>
  </w:tbl>
  <w:p w14:paraId="1E6C9C8C" w14:textId="77777777" w:rsidR="00AF0558" w:rsidRPr="00871A91" w:rsidRDefault="00980E54">
    <w:pPr>
      <w:pStyle w:val="Encabezado"/>
      <w:rPr>
        <w:sz w:val="2"/>
      </w:rPr>
    </w:pPr>
    <w:r>
      <w:rPr>
        <w:noProof/>
        <w:lang w:val="es-MX" w:eastAsia="es-MX"/>
      </w:rPr>
      <w:pict w14:anchorId="7E010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AF055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F0558" w:rsidRPr="00F70BDE" w14:paraId="71875EFE" w14:textId="77777777" w:rsidTr="00FF3D07">
      <w:trPr>
        <w:trHeight w:val="227"/>
      </w:trPr>
      <w:tc>
        <w:tcPr>
          <w:tcW w:w="5103" w:type="dxa"/>
          <w:hideMark/>
        </w:tcPr>
        <w:p w14:paraId="28E0820C" w14:textId="77777777" w:rsidR="00AF0558" w:rsidRPr="00F70BDE" w:rsidRDefault="00AF0558" w:rsidP="00FF3D07">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47E9DB1A" w14:textId="68F653F5" w:rsidR="00AF0558" w:rsidRPr="00F70BDE" w:rsidRDefault="00AF0558" w:rsidP="00FF3D07">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sidR="00BE026B">
            <w:rPr>
              <w:rFonts w:ascii="Palatino Linotype" w:hAnsi="Palatino Linotype" w:cs="Arial"/>
              <w:b/>
              <w:bCs/>
            </w:rPr>
            <w:t>2185</w:t>
          </w:r>
          <w:r>
            <w:rPr>
              <w:rFonts w:ascii="Palatino Linotype" w:hAnsi="Palatino Linotype" w:cs="Arial"/>
              <w:b/>
              <w:bCs/>
            </w:rPr>
            <w:t>/INFOEM/IP/RR/2025</w:t>
          </w:r>
        </w:p>
      </w:tc>
    </w:tr>
    <w:tr w:rsidR="00AF0558" w:rsidRPr="00F70BDE" w14:paraId="14A28831" w14:textId="77777777" w:rsidTr="00FF3D07">
      <w:trPr>
        <w:trHeight w:val="227"/>
      </w:trPr>
      <w:tc>
        <w:tcPr>
          <w:tcW w:w="5103" w:type="dxa"/>
        </w:tcPr>
        <w:p w14:paraId="71541B59" w14:textId="77777777" w:rsidR="00AF0558" w:rsidRPr="00F70BDE" w:rsidRDefault="00AF0558" w:rsidP="00FF3D07">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42AA26E2" w14:textId="5A22FD4A" w:rsidR="00AF0558" w:rsidRPr="00F70BDE" w:rsidRDefault="00980E54" w:rsidP="00FF3D07">
          <w:pPr>
            <w:spacing w:after="120"/>
            <w:ind w:left="-486" w:right="68" w:firstLine="558"/>
            <w:jc w:val="right"/>
            <w:rPr>
              <w:rFonts w:ascii="Palatino Linotype" w:hAnsi="Palatino Linotype" w:cs="Arial"/>
              <w:b/>
              <w:bCs/>
            </w:rPr>
          </w:pPr>
          <w:r>
            <w:rPr>
              <w:rFonts w:ascii="Palatino Linotype" w:hAnsi="Palatino Linotype" w:cs="Arial"/>
              <w:b/>
              <w:bCs/>
            </w:rPr>
            <w:t>XXXXXXXXXXXXX</w:t>
          </w:r>
        </w:p>
      </w:tc>
    </w:tr>
    <w:tr w:rsidR="00AF0558" w:rsidRPr="00F70BDE" w14:paraId="4A928764" w14:textId="77777777" w:rsidTr="00FF3D07">
      <w:trPr>
        <w:trHeight w:val="242"/>
      </w:trPr>
      <w:tc>
        <w:tcPr>
          <w:tcW w:w="5103" w:type="dxa"/>
          <w:hideMark/>
        </w:tcPr>
        <w:p w14:paraId="3A4F7C58" w14:textId="77777777" w:rsidR="00AF0558" w:rsidRPr="00F70BDE" w:rsidRDefault="00AF0558" w:rsidP="00FF3D07">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16620CD2" w14:textId="77777777" w:rsidR="00AF0558" w:rsidRPr="00FF3D07" w:rsidRDefault="00AF0558" w:rsidP="00FF3D07">
          <w:pPr>
            <w:spacing w:after="120"/>
            <w:ind w:left="-70" w:right="68"/>
            <w:jc w:val="right"/>
            <w:rPr>
              <w:rFonts w:ascii="Palatino Linotype" w:hAnsi="Palatino Linotype" w:cs="Arial"/>
            </w:rPr>
          </w:pPr>
          <w:r w:rsidRPr="00FF3D07">
            <w:rPr>
              <w:rFonts w:ascii="Palatino Linotype" w:hAnsi="Palatino Linotype"/>
              <w:b/>
              <w:bCs/>
              <w:color w:val="000000"/>
            </w:rPr>
            <w:t>Sistema de Autopistas, Aeropuertos, Servicios Conexos y Auxiliares del Estado de México</w:t>
          </w:r>
        </w:p>
      </w:tc>
    </w:tr>
    <w:tr w:rsidR="00AF0558" w:rsidRPr="00F70BDE" w14:paraId="4B29716A" w14:textId="77777777" w:rsidTr="00FF3D07">
      <w:trPr>
        <w:trHeight w:val="342"/>
      </w:trPr>
      <w:tc>
        <w:tcPr>
          <w:tcW w:w="5103" w:type="dxa"/>
          <w:hideMark/>
        </w:tcPr>
        <w:p w14:paraId="7260DC85" w14:textId="77777777" w:rsidR="00AF0558" w:rsidRPr="00F70BDE" w:rsidRDefault="00AF0558" w:rsidP="00FF3D07">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08F8C851" w14:textId="77777777" w:rsidR="00AF0558" w:rsidRPr="00F70BDE" w:rsidRDefault="00AF0558" w:rsidP="00FF3D07">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0FF0CCDF" w14:textId="77777777" w:rsidR="00AF0558" w:rsidRPr="00871A91" w:rsidRDefault="00AF0558">
    <w:pPr>
      <w:pStyle w:val="Encabezado"/>
      <w:rPr>
        <w:sz w:val="2"/>
      </w:rPr>
    </w:pPr>
    <w:r>
      <w:rPr>
        <w:noProof/>
        <w:lang w:val="es-MX" w:eastAsia="es-MX"/>
      </w:rPr>
      <w:drawing>
        <wp:anchor distT="0" distB="0" distL="114300" distR="114300" simplePos="0" relativeHeight="251656704" behindDoc="1" locked="0" layoutInCell="0" allowOverlap="1" wp14:anchorId="08C39BC0" wp14:editId="533AB857">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D0F27"/>
    <w:multiLevelType w:val="hybridMultilevel"/>
    <w:tmpl w:val="622EE3AA"/>
    <w:lvl w:ilvl="0" w:tplc="8C96DE5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3EB48AA"/>
    <w:multiLevelType w:val="hybridMultilevel"/>
    <w:tmpl w:val="B3EE4E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FC25E1"/>
    <w:multiLevelType w:val="hybridMultilevel"/>
    <w:tmpl w:val="CED69C1C"/>
    <w:lvl w:ilvl="0" w:tplc="ADAAF18A">
      <w:start w:val="1"/>
      <w:numFmt w:val="lowerLetter"/>
      <w:lvlText w:val="%1."/>
      <w:lvlJc w:val="left"/>
      <w:pPr>
        <w:ind w:left="1080" w:hanging="360"/>
      </w:pPr>
      <w:rPr>
        <w:rFonts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D623DE"/>
    <w:multiLevelType w:val="hybridMultilevel"/>
    <w:tmpl w:val="2F8EBF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A579EC"/>
    <w:multiLevelType w:val="hybridMultilevel"/>
    <w:tmpl w:val="CEA88A5C"/>
    <w:lvl w:ilvl="0" w:tplc="F1AAA0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8655B0B"/>
    <w:multiLevelType w:val="hybridMultilevel"/>
    <w:tmpl w:val="B5006C70"/>
    <w:lvl w:ilvl="0" w:tplc="75C8FA8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29E91D0C"/>
    <w:multiLevelType w:val="hybridMultilevel"/>
    <w:tmpl w:val="1F4E727C"/>
    <w:lvl w:ilvl="0" w:tplc="52CCC550">
      <w:start w:val="1"/>
      <w:numFmt w:val="upperRoman"/>
      <w:lvlText w:val="%1."/>
      <w:lvlJc w:val="left"/>
      <w:pPr>
        <w:ind w:left="2100" w:hanging="720"/>
      </w:pPr>
      <w:rPr>
        <w:rFonts w:hint="default"/>
      </w:rPr>
    </w:lvl>
    <w:lvl w:ilvl="1" w:tplc="080A0019" w:tentative="1">
      <w:start w:val="1"/>
      <w:numFmt w:val="lowerLetter"/>
      <w:lvlText w:val="%2."/>
      <w:lvlJc w:val="left"/>
      <w:pPr>
        <w:ind w:left="2460" w:hanging="360"/>
      </w:pPr>
    </w:lvl>
    <w:lvl w:ilvl="2" w:tplc="080A001B" w:tentative="1">
      <w:start w:val="1"/>
      <w:numFmt w:val="lowerRoman"/>
      <w:lvlText w:val="%3."/>
      <w:lvlJc w:val="right"/>
      <w:pPr>
        <w:ind w:left="3180" w:hanging="180"/>
      </w:pPr>
    </w:lvl>
    <w:lvl w:ilvl="3" w:tplc="080A000F" w:tentative="1">
      <w:start w:val="1"/>
      <w:numFmt w:val="decimal"/>
      <w:lvlText w:val="%4."/>
      <w:lvlJc w:val="left"/>
      <w:pPr>
        <w:ind w:left="3900" w:hanging="360"/>
      </w:pPr>
    </w:lvl>
    <w:lvl w:ilvl="4" w:tplc="080A0019" w:tentative="1">
      <w:start w:val="1"/>
      <w:numFmt w:val="lowerLetter"/>
      <w:lvlText w:val="%5."/>
      <w:lvlJc w:val="left"/>
      <w:pPr>
        <w:ind w:left="4620" w:hanging="360"/>
      </w:pPr>
    </w:lvl>
    <w:lvl w:ilvl="5" w:tplc="080A001B" w:tentative="1">
      <w:start w:val="1"/>
      <w:numFmt w:val="lowerRoman"/>
      <w:lvlText w:val="%6."/>
      <w:lvlJc w:val="right"/>
      <w:pPr>
        <w:ind w:left="5340" w:hanging="180"/>
      </w:pPr>
    </w:lvl>
    <w:lvl w:ilvl="6" w:tplc="080A000F" w:tentative="1">
      <w:start w:val="1"/>
      <w:numFmt w:val="decimal"/>
      <w:lvlText w:val="%7."/>
      <w:lvlJc w:val="left"/>
      <w:pPr>
        <w:ind w:left="6060" w:hanging="360"/>
      </w:pPr>
    </w:lvl>
    <w:lvl w:ilvl="7" w:tplc="080A0019" w:tentative="1">
      <w:start w:val="1"/>
      <w:numFmt w:val="lowerLetter"/>
      <w:lvlText w:val="%8."/>
      <w:lvlJc w:val="left"/>
      <w:pPr>
        <w:ind w:left="6780" w:hanging="360"/>
      </w:pPr>
    </w:lvl>
    <w:lvl w:ilvl="8" w:tplc="080A001B" w:tentative="1">
      <w:start w:val="1"/>
      <w:numFmt w:val="lowerRoman"/>
      <w:lvlText w:val="%9."/>
      <w:lvlJc w:val="right"/>
      <w:pPr>
        <w:ind w:left="7500" w:hanging="180"/>
      </w:pPr>
    </w:lvl>
  </w:abstractNum>
  <w:abstractNum w:abstractNumId="7" w15:restartNumberingAfterBreak="0">
    <w:nsid w:val="2B4D7548"/>
    <w:multiLevelType w:val="hybridMultilevel"/>
    <w:tmpl w:val="56EAD1E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1A1E5C"/>
    <w:multiLevelType w:val="hybridMultilevel"/>
    <w:tmpl w:val="AB14B0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8641AE"/>
    <w:multiLevelType w:val="hybridMultilevel"/>
    <w:tmpl w:val="CA26D26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B0E33C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9E6B3B"/>
    <w:multiLevelType w:val="hybridMultilevel"/>
    <w:tmpl w:val="F062671A"/>
    <w:lvl w:ilvl="0" w:tplc="BB88C208">
      <w:start w:val="1"/>
      <w:numFmt w:val="upperRoman"/>
      <w:lvlText w:val="%1."/>
      <w:lvlJc w:val="right"/>
      <w:pPr>
        <w:ind w:left="720" w:hanging="360"/>
      </w:pPr>
      <w:rPr>
        <w:b/>
        <w:bCs w:val="0"/>
        <w:i w:val="0"/>
        <w:iCs/>
      </w:rPr>
    </w:lvl>
    <w:lvl w:ilvl="1" w:tplc="7ED42D98">
      <w:numFmt w:val="bullet"/>
      <w:lvlText w:val="-"/>
      <w:lvlJc w:val="left"/>
      <w:pPr>
        <w:ind w:left="1440" w:hanging="360"/>
      </w:pPr>
      <w:rPr>
        <w:rFonts w:ascii="Palatino Linotype" w:eastAsia="Times New Roman" w:hAnsi="Palatino Linotype" w:cs="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231A02"/>
    <w:multiLevelType w:val="hybridMultilevel"/>
    <w:tmpl w:val="9014D9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832C5"/>
    <w:multiLevelType w:val="multilevel"/>
    <w:tmpl w:val="CB1C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E467BF"/>
    <w:multiLevelType w:val="hybridMultilevel"/>
    <w:tmpl w:val="F716B2E0"/>
    <w:lvl w:ilvl="0" w:tplc="8DE2A8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555C050E"/>
    <w:multiLevelType w:val="hybridMultilevel"/>
    <w:tmpl w:val="61AEAE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400452"/>
    <w:multiLevelType w:val="hybridMultilevel"/>
    <w:tmpl w:val="2F16AC4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AC3C1C20">
      <w:start w:val="1"/>
      <w:numFmt w:val="bullet"/>
      <w:lvlText w:val="-"/>
      <w:lvlJc w:val="left"/>
      <w:pPr>
        <w:ind w:left="2340" w:hanging="360"/>
      </w:pPr>
      <w:rPr>
        <w:rFonts w:ascii="Palatino Linotype" w:eastAsia="Times New Roman" w:hAnsi="Palatino Linotype" w:cs="Arial" w:hint="default"/>
      </w:rPr>
    </w:lvl>
    <w:lvl w:ilvl="3" w:tplc="78F4B8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37819E4"/>
    <w:multiLevelType w:val="hybridMultilevel"/>
    <w:tmpl w:val="F1D65D8A"/>
    <w:lvl w:ilvl="0" w:tplc="96826910">
      <w:start w:val="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7204728"/>
    <w:multiLevelType w:val="hybridMultilevel"/>
    <w:tmpl w:val="2A9618AE"/>
    <w:lvl w:ilvl="0" w:tplc="080A0013">
      <w:start w:val="1"/>
      <w:numFmt w:val="upperRoman"/>
      <w:lvlText w:val="%1."/>
      <w:lvlJc w:val="right"/>
      <w:pPr>
        <w:ind w:left="1794" w:hanging="360"/>
      </w:pPr>
    </w:lvl>
    <w:lvl w:ilvl="1" w:tplc="080A0019" w:tentative="1">
      <w:start w:val="1"/>
      <w:numFmt w:val="lowerLetter"/>
      <w:lvlText w:val="%2."/>
      <w:lvlJc w:val="left"/>
      <w:pPr>
        <w:ind w:left="2514" w:hanging="360"/>
      </w:pPr>
    </w:lvl>
    <w:lvl w:ilvl="2" w:tplc="080A001B" w:tentative="1">
      <w:start w:val="1"/>
      <w:numFmt w:val="lowerRoman"/>
      <w:lvlText w:val="%3."/>
      <w:lvlJc w:val="right"/>
      <w:pPr>
        <w:ind w:left="3234" w:hanging="180"/>
      </w:pPr>
    </w:lvl>
    <w:lvl w:ilvl="3" w:tplc="080A000F" w:tentative="1">
      <w:start w:val="1"/>
      <w:numFmt w:val="decimal"/>
      <w:lvlText w:val="%4."/>
      <w:lvlJc w:val="left"/>
      <w:pPr>
        <w:ind w:left="3954" w:hanging="360"/>
      </w:pPr>
    </w:lvl>
    <w:lvl w:ilvl="4" w:tplc="080A0019" w:tentative="1">
      <w:start w:val="1"/>
      <w:numFmt w:val="lowerLetter"/>
      <w:lvlText w:val="%5."/>
      <w:lvlJc w:val="left"/>
      <w:pPr>
        <w:ind w:left="4674" w:hanging="360"/>
      </w:pPr>
    </w:lvl>
    <w:lvl w:ilvl="5" w:tplc="080A001B" w:tentative="1">
      <w:start w:val="1"/>
      <w:numFmt w:val="lowerRoman"/>
      <w:lvlText w:val="%6."/>
      <w:lvlJc w:val="right"/>
      <w:pPr>
        <w:ind w:left="5394" w:hanging="180"/>
      </w:pPr>
    </w:lvl>
    <w:lvl w:ilvl="6" w:tplc="080A000F" w:tentative="1">
      <w:start w:val="1"/>
      <w:numFmt w:val="decimal"/>
      <w:lvlText w:val="%7."/>
      <w:lvlJc w:val="left"/>
      <w:pPr>
        <w:ind w:left="6114" w:hanging="360"/>
      </w:pPr>
    </w:lvl>
    <w:lvl w:ilvl="7" w:tplc="080A0019" w:tentative="1">
      <w:start w:val="1"/>
      <w:numFmt w:val="lowerLetter"/>
      <w:lvlText w:val="%8."/>
      <w:lvlJc w:val="left"/>
      <w:pPr>
        <w:ind w:left="6834" w:hanging="360"/>
      </w:pPr>
    </w:lvl>
    <w:lvl w:ilvl="8" w:tplc="080A001B" w:tentative="1">
      <w:start w:val="1"/>
      <w:numFmt w:val="lowerRoman"/>
      <w:lvlText w:val="%9."/>
      <w:lvlJc w:val="right"/>
      <w:pPr>
        <w:ind w:left="7554" w:hanging="180"/>
      </w:pPr>
    </w:lvl>
  </w:abstractNum>
  <w:abstractNum w:abstractNumId="20" w15:restartNumberingAfterBreak="0">
    <w:nsid w:val="776B0AFC"/>
    <w:multiLevelType w:val="hybridMultilevel"/>
    <w:tmpl w:val="41AE4552"/>
    <w:lvl w:ilvl="0" w:tplc="52A0369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9630E9"/>
    <w:multiLevelType w:val="hybridMultilevel"/>
    <w:tmpl w:val="B0AE7C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3618C1E4">
      <w:start w:val="1"/>
      <w:numFmt w:val="upperRoman"/>
      <w:lvlText w:val="%3."/>
      <w:lvlJc w:val="right"/>
      <w:pPr>
        <w:ind w:left="2340" w:hanging="360"/>
      </w:pPr>
      <w:rPr>
        <w:i w:val="0"/>
        <w:iCs/>
      </w:rPr>
    </w:lvl>
    <w:lvl w:ilvl="3" w:tplc="78F4B8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366F4F"/>
    <w:multiLevelType w:val="hybridMultilevel"/>
    <w:tmpl w:val="798A3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D70FF9"/>
    <w:multiLevelType w:val="hybridMultilevel"/>
    <w:tmpl w:val="4C2EF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E23749"/>
    <w:multiLevelType w:val="hybridMultilevel"/>
    <w:tmpl w:val="913873BE"/>
    <w:lvl w:ilvl="0" w:tplc="1B5274F0">
      <w:start w:val="1"/>
      <w:numFmt w:val="bullet"/>
      <w:lvlText w:val=""/>
      <w:lvlJc w:val="left"/>
      <w:pPr>
        <w:ind w:left="720" w:hanging="360"/>
      </w:pPr>
      <w:rPr>
        <w:rFonts w:ascii="Symbol" w:eastAsia="Times New Roman"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087C12"/>
    <w:multiLevelType w:val="hybridMultilevel"/>
    <w:tmpl w:val="6B3402CA"/>
    <w:lvl w:ilvl="0" w:tplc="080A0001">
      <w:start w:val="1"/>
      <w:numFmt w:val="bullet"/>
      <w:lvlText w:val=""/>
      <w:lvlJc w:val="left"/>
      <w:pPr>
        <w:ind w:left="1074" w:hanging="360"/>
      </w:pPr>
      <w:rPr>
        <w:rFonts w:ascii="Symbol" w:hAnsi="Symbol" w:hint="default"/>
      </w:rPr>
    </w:lvl>
    <w:lvl w:ilvl="1" w:tplc="080A0003" w:tentative="1">
      <w:start w:val="1"/>
      <w:numFmt w:val="bullet"/>
      <w:lvlText w:val="o"/>
      <w:lvlJc w:val="left"/>
      <w:pPr>
        <w:ind w:left="1794" w:hanging="360"/>
      </w:pPr>
      <w:rPr>
        <w:rFonts w:ascii="Courier New" w:hAnsi="Courier New" w:cs="Courier New" w:hint="default"/>
      </w:rPr>
    </w:lvl>
    <w:lvl w:ilvl="2" w:tplc="080A0005">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cs="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cs="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26" w15:restartNumberingAfterBreak="0">
    <w:nsid w:val="7F053D48"/>
    <w:multiLevelType w:val="hybridMultilevel"/>
    <w:tmpl w:val="88C09FD6"/>
    <w:lvl w:ilvl="0" w:tplc="85209A1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0"/>
  </w:num>
  <w:num w:numId="2">
    <w:abstractNumId w:val="0"/>
  </w:num>
  <w:num w:numId="3">
    <w:abstractNumId w:val="26"/>
  </w:num>
  <w:num w:numId="4">
    <w:abstractNumId w:val="6"/>
  </w:num>
  <w:num w:numId="5">
    <w:abstractNumId w:val="18"/>
  </w:num>
  <w:num w:numId="6">
    <w:abstractNumId w:val="4"/>
  </w:num>
  <w:num w:numId="7">
    <w:abstractNumId w:val="9"/>
  </w:num>
  <w:num w:numId="8">
    <w:abstractNumId w:val="17"/>
  </w:num>
  <w:num w:numId="9">
    <w:abstractNumId w:val="5"/>
  </w:num>
  <w:num w:numId="10">
    <w:abstractNumId w:val="2"/>
  </w:num>
  <w:num w:numId="11">
    <w:abstractNumId w:val="12"/>
  </w:num>
  <w:num w:numId="12">
    <w:abstractNumId w:val="21"/>
  </w:num>
  <w:num w:numId="13">
    <w:abstractNumId w:val="24"/>
  </w:num>
  <w:num w:numId="14">
    <w:abstractNumId w:val="7"/>
  </w:num>
  <w:num w:numId="15">
    <w:abstractNumId w:val="1"/>
  </w:num>
  <w:num w:numId="16">
    <w:abstractNumId w:val="3"/>
  </w:num>
  <w:num w:numId="17">
    <w:abstractNumId w:val="11"/>
  </w:num>
  <w:num w:numId="18">
    <w:abstractNumId w:val="13"/>
  </w:num>
  <w:num w:numId="19">
    <w:abstractNumId w:val="15"/>
  </w:num>
  <w:num w:numId="20">
    <w:abstractNumId w:val="16"/>
  </w:num>
  <w:num w:numId="21">
    <w:abstractNumId w:val="22"/>
  </w:num>
  <w:num w:numId="22">
    <w:abstractNumId w:val="8"/>
  </w:num>
  <w:num w:numId="23">
    <w:abstractNumId w:val="14"/>
  </w:num>
  <w:num w:numId="24">
    <w:abstractNumId w:val="25"/>
  </w:num>
  <w:num w:numId="25">
    <w:abstractNumId w:val="23"/>
  </w:num>
  <w:num w:numId="26">
    <w:abstractNumId w:val="1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504"/>
    <w:rsid w:val="0001358B"/>
    <w:rsid w:val="000140B2"/>
    <w:rsid w:val="00037326"/>
    <w:rsid w:val="000750AC"/>
    <w:rsid w:val="000A0B73"/>
    <w:rsid w:val="000A6E81"/>
    <w:rsid w:val="000C4F13"/>
    <w:rsid w:val="000D6E8F"/>
    <w:rsid w:val="000F5153"/>
    <w:rsid w:val="00110972"/>
    <w:rsid w:val="00112D01"/>
    <w:rsid w:val="00130497"/>
    <w:rsid w:val="001542DE"/>
    <w:rsid w:val="001763E5"/>
    <w:rsid w:val="00195816"/>
    <w:rsid w:val="001C371A"/>
    <w:rsid w:val="001C6C07"/>
    <w:rsid w:val="001E67FA"/>
    <w:rsid w:val="00223691"/>
    <w:rsid w:val="00261982"/>
    <w:rsid w:val="002A5B70"/>
    <w:rsid w:val="002D3ADE"/>
    <w:rsid w:val="002F3C20"/>
    <w:rsid w:val="00317504"/>
    <w:rsid w:val="00323C50"/>
    <w:rsid w:val="003C08BE"/>
    <w:rsid w:val="003F49FE"/>
    <w:rsid w:val="00405FE4"/>
    <w:rsid w:val="00427BD2"/>
    <w:rsid w:val="00434AB7"/>
    <w:rsid w:val="00440856"/>
    <w:rsid w:val="00442F7B"/>
    <w:rsid w:val="00463BA6"/>
    <w:rsid w:val="004A0B15"/>
    <w:rsid w:val="004B77B1"/>
    <w:rsid w:val="004C1127"/>
    <w:rsid w:val="004C4B7C"/>
    <w:rsid w:val="004C4F1C"/>
    <w:rsid w:val="00526718"/>
    <w:rsid w:val="0053610B"/>
    <w:rsid w:val="005451B6"/>
    <w:rsid w:val="0056080C"/>
    <w:rsid w:val="0067667D"/>
    <w:rsid w:val="006816A6"/>
    <w:rsid w:val="006818ED"/>
    <w:rsid w:val="006838DA"/>
    <w:rsid w:val="006C4B8D"/>
    <w:rsid w:val="006D338B"/>
    <w:rsid w:val="006D4D94"/>
    <w:rsid w:val="006E1387"/>
    <w:rsid w:val="00701E1B"/>
    <w:rsid w:val="007311B6"/>
    <w:rsid w:val="00731D16"/>
    <w:rsid w:val="00740E74"/>
    <w:rsid w:val="00764D16"/>
    <w:rsid w:val="0079198D"/>
    <w:rsid w:val="007C4EAD"/>
    <w:rsid w:val="007D69E5"/>
    <w:rsid w:val="007E5779"/>
    <w:rsid w:val="0080306B"/>
    <w:rsid w:val="00824993"/>
    <w:rsid w:val="00861C75"/>
    <w:rsid w:val="008646DE"/>
    <w:rsid w:val="008655FD"/>
    <w:rsid w:val="00884EA4"/>
    <w:rsid w:val="0088661F"/>
    <w:rsid w:val="00892A06"/>
    <w:rsid w:val="008A44F9"/>
    <w:rsid w:val="008D01FD"/>
    <w:rsid w:val="008E262C"/>
    <w:rsid w:val="008F791D"/>
    <w:rsid w:val="00902A5E"/>
    <w:rsid w:val="00905B3D"/>
    <w:rsid w:val="00930F5B"/>
    <w:rsid w:val="00937661"/>
    <w:rsid w:val="009378AB"/>
    <w:rsid w:val="00941CEC"/>
    <w:rsid w:val="00951E67"/>
    <w:rsid w:val="00955846"/>
    <w:rsid w:val="00980E54"/>
    <w:rsid w:val="009838DE"/>
    <w:rsid w:val="009F2385"/>
    <w:rsid w:val="009F29DB"/>
    <w:rsid w:val="00A0235B"/>
    <w:rsid w:val="00A354D5"/>
    <w:rsid w:val="00A444A2"/>
    <w:rsid w:val="00AE21C2"/>
    <w:rsid w:val="00AE5BF9"/>
    <w:rsid w:val="00AF0558"/>
    <w:rsid w:val="00B65C67"/>
    <w:rsid w:val="00B833A5"/>
    <w:rsid w:val="00BB57C0"/>
    <w:rsid w:val="00BB665D"/>
    <w:rsid w:val="00BC268B"/>
    <w:rsid w:val="00BC27DE"/>
    <w:rsid w:val="00BE026B"/>
    <w:rsid w:val="00BE0BF7"/>
    <w:rsid w:val="00BE24BE"/>
    <w:rsid w:val="00C15B7D"/>
    <w:rsid w:val="00C2080B"/>
    <w:rsid w:val="00C27872"/>
    <w:rsid w:val="00C30265"/>
    <w:rsid w:val="00C41F1C"/>
    <w:rsid w:val="00C7136A"/>
    <w:rsid w:val="00CC4D93"/>
    <w:rsid w:val="00CD3EFB"/>
    <w:rsid w:val="00CE1803"/>
    <w:rsid w:val="00D27BB6"/>
    <w:rsid w:val="00D67CD8"/>
    <w:rsid w:val="00D76CB4"/>
    <w:rsid w:val="00DA0427"/>
    <w:rsid w:val="00E177D8"/>
    <w:rsid w:val="00E2115D"/>
    <w:rsid w:val="00E26453"/>
    <w:rsid w:val="00E344CF"/>
    <w:rsid w:val="00E602D3"/>
    <w:rsid w:val="00EE0342"/>
    <w:rsid w:val="00F402A1"/>
    <w:rsid w:val="00F94C61"/>
    <w:rsid w:val="00FE5C58"/>
    <w:rsid w:val="00FF1FEF"/>
    <w:rsid w:val="00FF3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F1D8"/>
  <w15:chartTrackingRefBased/>
  <w15:docId w15:val="{51030A75-723D-48F8-8EA9-39144C7B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50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7504"/>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31750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7504"/>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317504"/>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17504"/>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7504"/>
    <w:rPr>
      <w:rFonts w:ascii="Palatino Linotype" w:eastAsia="Times New Roman" w:hAnsi="Palatino Linotype" w:cs="Times New Roman"/>
      <w:sz w:val="24"/>
      <w:szCs w:val="24"/>
      <w:lang w:val="es-ES" w:eastAsia="es-ES"/>
    </w:rPr>
  </w:style>
  <w:style w:type="paragraph" w:customStyle="1" w:styleId="Fundamentos">
    <w:name w:val="Fundamentos"/>
    <w:basedOn w:val="Normal"/>
    <w:qFormat/>
    <w:rsid w:val="00317504"/>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ctr">
    <w:name w:val="ctr"/>
    <w:basedOn w:val="Fuentedeprrafopredeter"/>
    <w:rsid w:val="00317504"/>
  </w:style>
  <w:style w:type="character" w:styleId="Hipervnculo">
    <w:name w:val="Hyperlink"/>
    <w:basedOn w:val="Fuentedeprrafopredeter"/>
    <w:uiPriority w:val="99"/>
    <w:unhideWhenUsed/>
    <w:rsid w:val="00FF3D07"/>
    <w:rPr>
      <w:color w:val="0000FF"/>
      <w:u w:val="single"/>
    </w:rPr>
  </w:style>
  <w:style w:type="paragraph" w:customStyle="1" w:styleId="text-align-justify">
    <w:name w:val="text-align-justify"/>
    <w:basedOn w:val="Normal"/>
    <w:rsid w:val="006C4B8D"/>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4B8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4B8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C4B8D"/>
    <w:rPr>
      <w:vertAlign w:val="superscript"/>
    </w:rPr>
  </w:style>
  <w:style w:type="paragraph" w:styleId="Revisin">
    <w:name w:val="Revision"/>
    <w:hidden/>
    <w:uiPriority w:val="99"/>
    <w:semiHidden/>
    <w:rsid w:val="004C1127"/>
    <w:pPr>
      <w:spacing w:after="0" w:line="240" w:lineRule="auto"/>
    </w:pPr>
    <w:rPr>
      <w:rFonts w:ascii="Times New Roman" w:eastAsia="Times New Roman" w:hAnsi="Times New Roman" w:cs="Times New Roman"/>
      <w:sz w:val="24"/>
      <w:szCs w:val="24"/>
      <w:lang w:eastAsia="es-MX"/>
    </w:rPr>
  </w:style>
  <w:style w:type="paragraph" w:customStyle="1" w:styleId="INFOEM">
    <w:name w:val="INFOEM"/>
    <w:basedOn w:val="Normal"/>
    <w:link w:val="INFOEMChar"/>
    <w:qFormat/>
    <w:rsid w:val="00BE026B"/>
    <w:pPr>
      <w:spacing w:line="360" w:lineRule="auto"/>
      <w:contextualSpacing/>
      <w:jc w:val="both"/>
    </w:pPr>
    <w:rPr>
      <w:rFonts w:ascii="Palatino Linotype" w:hAnsi="Palatino Linotype" w:cs="Palatino Linotype"/>
      <w:color w:val="000000"/>
      <w:lang w:val="es-ES_tradnl"/>
    </w:rPr>
  </w:style>
  <w:style w:type="character" w:customStyle="1" w:styleId="INFOEMChar">
    <w:name w:val="INFOEM Char"/>
    <w:basedOn w:val="Fuentedeprrafopredeter"/>
    <w:link w:val="INFOEM"/>
    <w:rsid w:val="00BE026B"/>
    <w:rPr>
      <w:rFonts w:ascii="Palatino Linotype" w:eastAsia="Times New Roman" w:hAnsi="Palatino Linotype" w:cs="Palatino Linotype"/>
      <w:color w:val="000000"/>
      <w:sz w:val="24"/>
      <w:szCs w:val="24"/>
      <w:lang w:val="es-ES_tradnl" w:eastAsia="es-MX"/>
    </w:rPr>
  </w:style>
  <w:style w:type="paragraph" w:customStyle="1" w:styleId="Style1">
    <w:name w:val="Style1"/>
    <w:basedOn w:val="INFOEM"/>
    <w:qFormat/>
    <w:rsid w:val="00BE026B"/>
    <w:pPr>
      <w:spacing w:before="240" w:after="160"/>
      <w:ind w:left="851" w:right="851"/>
    </w:pPr>
    <w:rPr>
      <w:i/>
      <w:sz w:val="22"/>
    </w:rPr>
  </w:style>
  <w:style w:type="paragraph" w:customStyle="1" w:styleId="Citas">
    <w:name w:val="Citas"/>
    <w:basedOn w:val="Normal"/>
    <w:qFormat/>
    <w:rsid w:val="00BE026B"/>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apple-converted-space">
    <w:name w:val="apple-converted-space"/>
    <w:basedOn w:val="Fuentedeprrafopredeter"/>
    <w:rsid w:val="00902A5E"/>
  </w:style>
  <w:style w:type="paragraph" w:customStyle="1" w:styleId="infoemcitas">
    <w:name w:val="infoem citas"/>
    <w:basedOn w:val="Normal"/>
    <w:qFormat/>
    <w:rsid w:val="002A5B70"/>
    <w:pPr>
      <w:spacing w:before="240" w:after="160" w:line="360" w:lineRule="auto"/>
      <w:ind w:left="851" w:right="851"/>
      <w:jc w:val="both"/>
    </w:pPr>
    <w:rPr>
      <w:rFonts w:ascii="Palatino Linotype" w:eastAsiaTheme="minorHAnsi" w:hAnsi="Palatino Linotype" w:cstheme="minorBidi"/>
      <w:i/>
      <w:sz w:val="22"/>
      <w:szCs w:val="22"/>
      <w:lang w:eastAsia="en-US"/>
    </w:rPr>
  </w:style>
  <w:style w:type="character" w:styleId="Hipervnculovisitado">
    <w:name w:val="FollowedHyperlink"/>
    <w:basedOn w:val="Fuentedeprrafopredeter"/>
    <w:uiPriority w:val="99"/>
    <w:semiHidden/>
    <w:unhideWhenUsed/>
    <w:rsid w:val="00BB665D"/>
    <w:rPr>
      <w:color w:val="954F72" w:themeColor="followedHyperlink"/>
      <w:u w:val="single"/>
    </w:rPr>
  </w:style>
  <w:style w:type="character" w:customStyle="1" w:styleId="UnresolvedMention">
    <w:name w:val="Unresolved Mention"/>
    <w:basedOn w:val="Fuentedeprrafopredeter"/>
    <w:uiPriority w:val="99"/>
    <w:semiHidden/>
    <w:unhideWhenUsed/>
    <w:rsid w:val="00F94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313376">
      <w:bodyDiv w:val="1"/>
      <w:marLeft w:val="0"/>
      <w:marRight w:val="0"/>
      <w:marTop w:val="0"/>
      <w:marBottom w:val="0"/>
      <w:divBdr>
        <w:top w:val="none" w:sz="0" w:space="0" w:color="auto"/>
        <w:left w:val="none" w:sz="0" w:space="0" w:color="auto"/>
        <w:bottom w:val="none" w:sz="0" w:space="0" w:color="auto"/>
        <w:right w:val="none" w:sz="0" w:space="0" w:color="auto"/>
      </w:divBdr>
    </w:div>
    <w:div w:id="713116352">
      <w:bodyDiv w:val="1"/>
      <w:marLeft w:val="0"/>
      <w:marRight w:val="0"/>
      <w:marTop w:val="0"/>
      <w:marBottom w:val="0"/>
      <w:divBdr>
        <w:top w:val="none" w:sz="0" w:space="0" w:color="auto"/>
        <w:left w:val="none" w:sz="0" w:space="0" w:color="auto"/>
        <w:bottom w:val="none" w:sz="0" w:space="0" w:color="auto"/>
        <w:right w:val="none" w:sz="0" w:space="0" w:color="auto"/>
      </w:divBdr>
    </w:div>
    <w:div w:id="720640816">
      <w:bodyDiv w:val="1"/>
      <w:marLeft w:val="0"/>
      <w:marRight w:val="0"/>
      <w:marTop w:val="0"/>
      <w:marBottom w:val="0"/>
      <w:divBdr>
        <w:top w:val="none" w:sz="0" w:space="0" w:color="auto"/>
        <w:left w:val="none" w:sz="0" w:space="0" w:color="auto"/>
        <w:bottom w:val="none" w:sz="0" w:space="0" w:color="auto"/>
        <w:right w:val="none" w:sz="0" w:space="0" w:color="auto"/>
      </w:divBdr>
    </w:div>
    <w:div w:id="1837106953">
      <w:bodyDiv w:val="1"/>
      <w:marLeft w:val="0"/>
      <w:marRight w:val="0"/>
      <w:marTop w:val="0"/>
      <w:marBottom w:val="0"/>
      <w:divBdr>
        <w:top w:val="none" w:sz="0" w:space="0" w:color="auto"/>
        <w:left w:val="none" w:sz="0" w:space="0" w:color="auto"/>
        <w:bottom w:val="none" w:sz="0" w:space="0" w:color="auto"/>
        <w:right w:val="none" w:sz="0" w:space="0" w:color="auto"/>
      </w:divBdr>
    </w:div>
    <w:div w:id="1914468594">
      <w:bodyDiv w:val="1"/>
      <w:marLeft w:val="0"/>
      <w:marRight w:val="0"/>
      <w:marTop w:val="0"/>
      <w:marBottom w:val="0"/>
      <w:divBdr>
        <w:top w:val="none" w:sz="0" w:space="0" w:color="auto"/>
        <w:left w:val="none" w:sz="0" w:space="0" w:color="auto"/>
        <w:bottom w:val="none" w:sz="0" w:space="0" w:color="auto"/>
        <w:right w:val="none" w:sz="0" w:space="0" w:color="auto"/>
      </w:divBdr>
    </w:div>
    <w:div w:id="2049722702">
      <w:bodyDiv w:val="1"/>
      <w:marLeft w:val="0"/>
      <w:marRight w:val="0"/>
      <w:marTop w:val="0"/>
      <w:marBottom w:val="0"/>
      <w:divBdr>
        <w:top w:val="none" w:sz="0" w:space="0" w:color="auto"/>
        <w:left w:val="none" w:sz="0" w:space="0" w:color="auto"/>
        <w:bottom w:val="none" w:sz="0" w:space="0" w:color="auto"/>
        <w:right w:val="none" w:sz="0" w:space="0" w:color="auto"/>
      </w:divBdr>
    </w:div>
    <w:div w:id="2137605570">
      <w:bodyDiv w:val="1"/>
      <w:marLeft w:val="0"/>
      <w:marRight w:val="0"/>
      <w:marTop w:val="0"/>
      <w:marBottom w:val="0"/>
      <w:divBdr>
        <w:top w:val="none" w:sz="0" w:space="0" w:color="auto"/>
        <w:left w:val="none" w:sz="0" w:space="0" w:color="auto"/>
        <w:bottom w:val="none" w:sz="0" w:space="0" w:color="auto"/>
        <w:right w:val="none" w:sz="0" w:space="0" w:color="auto"/>
      </w:divBdr>
    </w:div>
    <w:div w:id="21436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aascaem.edomex.gob.mx/macrolibramiento-mexiquense"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aascaem.edomex.gob.mx/sites/saascaem.edomex.gob.mx/files/files/TITULOS%20DE%20CONCESI%C3%93N/MACROLIB/T%C3%ADtulo%20de%20Concesi%C3%B3n%20Macrolibramiento%20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F2FF-EB91-476D-BB51-BF8075A2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35</Pages>
  <Words>6643</Words>
  <Characters>36542</Characters>
  <Application>Microsoft Office Word</Application>
  <DocSecurity>0</DocSecurity>
  <Lines>304</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 Inc.</Company>
  <LinksUpToDate>false</LinksUpToDate>
  <CharactersWithSpaces>43099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8</cp:revision>
  <dcterms:created xsi:type="dcterms:W3CDTF">2025-05-08T21:40:00Z</dcterms:created>
  <dcterms:modified xsi:type="dcterms:W3CDTF">2025-07-15T17:13:00Z</dcterms:modified>
</cp:coreProperties>
</file>