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4F7DB"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Pr="005F79C9">
        <w:rPr>
          <w:rFonts w:eastAsia="Palatino Linotype" w:cs="Palatino Linotype"/>
          <w:b/>
          <w:bCs/>
          <w:color w:val="000000"/>
          <w:szCs w:val="24"/>
        </w:rPr>
        <w:t>veintidós de octubre de dos mil veinticinco</w:t>
      </w:r>
      <w:r w:rsidRPr="005F79C9">
        <w:rPr>
          <w:rFonts w:eastAsia="Palatino Linotype" w:cs="Palatino Linotype"/>
          <w:color w:val="000000"/>
          <w:szCs w:val="24"/>
        </w:rPr>
        <w:t>.</w:t>
      </w:r>
    </w:p>
    <w:p w14:paraId="07F57A08"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p>
    <w:p w14:paraId="6F5746D7"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b/>
          <w:color w:val="000000"/>
          <w:szCs w:val="24"/>
        </w:rPr>
        <w:t>VISTO</w:t>
      </w:r>
      <w:r w:rsidRPr="005F79C9">
        <w:rPr>
          <w:rFonts w:eastAsia="Palatino Linotype" w:cs="Palatino Linotype"/>
          <w:color w:val="000000"/>
          <w:szCs w:val="24"/>
        </w:rPr>
        <w:t xml:space="preserve"> el expediente electrónico formado con motivo del recurso de revisión número </w:t>
      </w:r>
      <w:r w:rsidRPr="005F79C9">
        <w:rPr>
          <w:rFonts w:eastAsia="Palatino Linotype" w:cs="Palatino Linotype"/>
          <w:b/>
          <w:color w:val="000000"/>
          <w:szCs w:val="24"/>
        </w:rPr>
        <w:t>10970/INFOEM/IP/RR/2025</w:t>
      </w:r>
      <w:r w:rsidRPr="005F79C9">
        <w:rPr>
          <w:rFonts w:eastAsia="Palatino Linotype" w:cs="Palatino Linotype"/>
          <w:color w:val="000000"/>
          <w:szCs w:val="24"/>
        </w:rPr>
        <w:t>, interpuesto por</w:t>
      </w:r>
      <w:r w:rsidRPr="005F79C9">
        <w:rPr>
          <w:rFonts w:cs="Arial"/>
          <w:b/>
          <w:szCs w:val="24"/>
        </w:rPr>
        <w:t xml:space="preserve"> un parti</w:t>
      </w:r>
      <w:bookmarkStart w:id="0" w:name="_GoBack"/>
      <w:bookmarkEnd w:id="0"/>
      <w:r w:rsidRPr="005F79C9">
        <w:rPr>
          <w:rFonts w:cs="Arial"/>
          <w:b/>
          <w:szCs w:val="24"/>
        </w:rPr>
        <w:t xml:space="preserve">cular que no proporciono nombre o seudónimo para ser identificado </w:t>
      </w:r>
      <w:r w:rsidRPr="005F79C9">
        <w:rPr>
          <w:rFonts w:eastAsia="Palatino Linotype" w:cs="Palatino Linotype"/>
          <w:color w:val="000000"/>
          <w:szCs w:val="24"/>
        </w:rPr>
        <w:t xml:space="preserve">en lo sucesivo el </w:t>
      </w:r>
      <w:r w:rsidRPr="005F79C9">
        <w:rPr>
          <w:rFonts w:eastAsia="Palatino Linotype" w:cs="Palatino Linotype"/>
          <w:b/>
          <w:color w:val="000000"/>
          <w:szCs w:val="24"/>
        </w:rPr>
        <w:t>Recurrente</w:t>
      </w:r>
      <w:r w:rsidRPr="005F79C9">
        <w:rPr>
          <w:rFonts w:eastAsia="Palatino Linotype" w:cs="Palatino Linotype"/>
          <w:color w:val="000000"/>
          <w:szCs w:val="24"/>
        </w:rPr>
        <w:t>, en contra de la respuesta del</w:t>
      </w:r>
      <w:r w:rsidRPr="005F79C9">
        <w:rPr>
          <w:rFonts w:eastAsia="Palatino Linotype" w:cs="Palatino Linotype"/>
          <w:b/>
          <w:color w:val="000000"/>
          <w:szCs w:val="24"/>
        </w:rPr>
        <w:t xml:space="preserve"> </w:t>
      </w:r>
      <w:r w:rsidRPr="005F79C9">
        <w:rPr>
          <w:b/>
          <w:bCs/>
          <w:color w:val="000000"/>
          <w:szCs w:val="24"/>
        </w:rPr>
        <w:t>Instituto Municipal de Cultura Física y Deporte de Tenango del Valle</w:t>
      </w:r>
      <w:r w:rsidRPr="005F79C9">
        <w:rPr>
          <w:rFonts w:eastAsia="Palatino Linotype" w:cs="Palatino Linotype"/>
          <w:color w:val="000000"/>
          <w:szCs w:val="24"/>
        </w:rPr>
        <w:t>, en lo subsecuente</w:t>
      </w:r>
      <w:r w:rsidRPr="005F79C9">
        <w:rPr>
          <w:rFonts w:eastAsia="Palatino Linotype" w:cs="Palatino Linotype"/>
          <w:b/>
          <w:color w:val="000000"/>
          <w:szCs w:val="24"/>
        </w:rPr>
        <w:t xml:space="preserve"> </w:t>
      </w:r>
      <w:r w:rsidRPr="005F79C9">
        <w:rPr>
          <w:rFonts w:eastAsia="Palatino Linotype" w:cs="Palatino Linotype"/>
          <w:color w:val="000000"/>
          <w:szCs w:val="24"/>
        </w:rPr>
        <w:t>el</w:t>
      </w:r>
      <w:r w:rsidRPr="005F79C9">
        <w:rPr>
          <w:rFonts w:eastAsia="Palatino Linotype" w:cs="Palatino Linotype"/>
          <w:b/>
          <w:color w:val="000000"/>
          <w:szCs w:val="24"/>
        </w:rPr>
        <w:t xml:space="preserve"> Sujeto Obligado, </w:t>
      </w:r>
      <w:r w:rsidRPr="005F79C9">
        <w:rPr>
          <w:rFonts w:eastAsia="Palatino Linotype" w:cs="Palatino Linotype"/>
          <w:color w:val="000000"/>
          <w:szCs w:val="24"/>
        </w:rPr>
        <w:t>se procede a dictar la presente resolución.</w:t>
      </w:r>
    </w:p>
    <w:p w14:paraId="168E8DA8" w14:textId="77777777" w:rsidR="00491E39" w:rsidRPr="005F79C9" w:rsidRDefault="00491E39" w:rsidP="00A868F0">
      <w:pPr>
        <w:pBdr>
          <w:top w:val="nil"/>
          <w:left w:val="nil"/>
          <w:bottom w:val="nil"/>
          <w:right w:val="nil"/>
          <w:between w:val="nil"/>
        </w:pBdr>
        <w:contextualSpacing/>
        <w:rPr>
          <w:rFonts w:eastAsia="Palatino Linotype" w:cs="Palatino Linotype"/>
          <w:color w:val="000000"/>
          <w:szCs w:val="24"/>
        </w:rPr>
      </w:pPr>
    </w:p>
    <w:p w14:paraId="0245A051" w14:textId="77777777" w:rsidR="00A868F0" w:rsidRPr="005F79C9" w:rsidRDefault="00A868F0" w:rsidP="00A868F0">
      <w:pPr>
        <w:pStyle w:val="Ttulo1"/>
        <w:jc w:val="center"/>
        <w:rPr>
          <w:rFonts w:ascii="Palatino Linotype" w:eastAsia="Palatino Linotype" w:hAnsi="Palatino Linotype"/>
          <w:b/>
          <w:bCs/>
          <w:color w:val="auto"/>
          <w:sz w:val="28"/>
          <w:szCs w:val="28"/>
        </w:rPr>
      </w:pPr>
      <w:r w:rsidRPr="005F79C9">
        <w:rPr>
          <w:rFonts w:ascii="Palatino Linotype" w:eastAsia="Palatino Linotype" w:hAnsi="Palatino Linotype"/>
          <w:b/>
          <w:bCs/>
          <w:color w:val="auto"/>
          <w:sz w:val="28"/>
          <w:szCs w:val="28"/>
        </w:rPr>
        <w:t>A N T E C E D E N T E S</w:t>
      </w:r>
    </w:p>
    <w:p w14:paraId="442400CB" w14:textId="77777777" w:rsidR="00A868F0" w:rsidRPr="005F79C9" w:rsidRDefault="00A868F0" w:rsidP="00A868F0">
      <w:pPr>
        <w:pBdr>
          <w:top w:val="nil"/>
          <w:left w:val="nil"/>
          <w:bottom w:val="nil"/>
          <w:right w:val="nil"/>
          <w:between w:val="nil"/>
        </w:pBdr>
        <w:contextualSpacing/>
        <w:rPr>
          <w:rFonts w:eastAsia="Palatino Linotype" w:cs="Palatino Linotype"/>
          <w:b/>
          <w:bCs/>
          <w:szCs w:val="24"/>
        </w:rPr>
      </w:pPr>
    </w:p>
    <w:p w14:paraId="343F3C86" w14:textId="77777777" w:rsidR="00A868F0" w:rsidRPr="005F79C9" w:rsidRDefault="00A868F0" w:rsidP="00A868F0">
      <w:pPr>
        <w:pStyle w:val="Ttulo2"/>
        <w:rPr>
          <w:rFonts w:eastAsia="Palatino Linotype"/>
          <w:b/>
          <w:bCs/>
        </w:rPr>
      </w:pPr>
      <w:r w:rsidRPr="005F79C9">
        <w:rPr>
          <w:rFonts w:ascii="Palatino Linotype" w:eastAsia="Palatino Linotype" w:hAnsi="Palatino Linotype"/>
          <w:b/>
          <w:bCs/>
          <w:color w:val="auto"/>
          <w:sz w:val="24"/>
          <w:szCs w:val="24"/>
        </w:rPr>
        <w:t>PRIMERO. De la Solicitud de Información</w:t>
      </w:r>
      <w:r w:rsidRPr="005F79C9">
        <w:rPr>
          <w:rFonts w:eastAsia="Palatino Linotype"/>
          <w:b/>
          <w:bCs/>
        </w:rPr>
        <w:t>.</w:t>
      </w:r>
    </w:p>
    <w:p w14:paraId="7901A3D0"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t xml:space="preserve">Con fecha veintinueve de agosto de dos mil veinticinco, el Recurrente presentó mediante el Sistema de Acceso a la Información Mexiquense (SAIMEX), solicitud de información registrada con el número de </w:t>
      </w:r>
      <w:r w:rsidRPr="005F79C9">
        <w:rPr>
          <w:rFonts w:eastAsia="Palatino Linotype" w:cs="Palatino Linotype"/>
          <w:szCs w:val="24"/>
        </w:rPr>
        <w:t>expediente</w:t>
      </w:r>
      <w:r w:rsidRPr="005F79C9">
        <w:rPr>
          <w:b/>
          <w:bCs/>
        </w:rPr>
        <w:t> 00008/IMCUFIDETENAVA/IP/2025</w:t>
      </w:r>
      <w:r w:rsidRPr="005F79C9">
        <w:rPr>
          <w:rFonts w:eastAsia="Palatino Linotype" w:cs="Palatino Linotype"/>
          <w:szCs w:val="24"/>
        </w:rPr>
        <w:t>,</w:t>
      </w:r>
      <w:r w:rsidRPr="005F79C9">
        <w:rPr>
          <w:rFonts w:eastAsia="Palatino Linotype" w:cs="Palatino Linotype"/>
          <w:b/>
          <w:szCs w:val="24"/>
        </w:rPr>
        <w:t xml:space="preserve"> </w:t>
      </w:r>
      <w:r w:rsidRPr="005F79C9">
        <w:rPr>
          <w:rFonts w:eastAsia="Palatino Linotype" w:cs="Palatino Linotype"/>
          <w:color w:val="000000"/>
          <w:szCs w:val="24"/>
        </w:rPr>
        <w:t>mediante la cual solicitó información en el tenor siguiente:</w:t>
      </w:r>
    </w:p>
    <w:p w14:paraId="4EF6592C" w14:textId="77777777" w:rsidR="00A868F0" w:rsidRPr="005F79C9" w:rsidRDefault="00A868F0" w:rsidP="00A868F0">
      <w:pPr>
        <w:pStyle w:val="Fundamentos"/>
        <w:spacing w:line="360" w:lineRule="auto"/>
        <w:rPr>
          <w:sz w:val="24"/>
        </w:rPr>
      </w:pPr>
      <w:r w:rsidRPr="005F79C9">
        <w:rPr>
          <w:sz w:val="24"/>
        </w:rPr>
        <w:t>“Solicito versión pública de los recibos de nómina de todos los servidores públicos del IMCUFIDE de Tenango del Valle, de la segunda quincena de julio de 2025”  (Sic)</w:t>
      </w:r>
    </w:p>
    <w:p w14:paraId="5BC7DB81"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p>
    <w:p w14:paraId="1D3CBAA2" w14:textId="77777777" w:rsidR="00A868F0" w:rsidRPr="005F79C9" w:rsidRDefault="00A868F0" w:rsidP="00A868F0">
      <w:pPr>
        <w:pBdr>
          <w:top w:val="nil"/>
          <w:left w:val="nil"/>
          <w:bottom w:val="nil"/>
          <w:right w:val="nil"/>
          <w:between w:val="nil"/>
        </w:pBdr>
        <w:contextualSpacing/>
        <w:rPr>
          <w:rFonts w:eastAsia="Palatino Linotype" w:cs="Palatino Linotype"/>
          <w:b/>
          <w:color w:val="000000"/>
          <w:szCs w:val="24"/>
        </w:rPr>
      </w:pPr>
      <w:r w:rsidRPr="005F79C9">
        <w:rPr>
          <w:rFonts w:eastAsia="Palatino Linotype" w:cs="Palatino Linotype"/>
          <w:color w:val="000000"/>
          <w:szCs w:val="24"/>
        </w:rPr>
        <w:t xml:space="preserve">Modalidad de entrega: </w:t>
      </w:r>
      <w:r w:rsidRPr="005F79C9">
        <w:rPr>
          <w:rFonts w:eastAsia="Palatino Linotype" w:cs="Palatino Linotype"/>
          <w:b/>
          <w:color w:val="000000"/>
          <w:szCs w:val="24"/>
        </w:rPr>
        <w:t>A través del SAIMEX</w:t>
      </w:r>
      <w:r w:rsidRPr="005F79C9">
        <w:rPr>
          <w:rFonts w:eastAsia="Palatino Linotype" w:cs="Palatino Linotype"/>
          <w:color w:val="000000"/>
          <w:szCs w:val="24"/>
        </w:rPr>
        <w:t>.</w:t>
      </w:r>
    </w:p>
    <w:p w14:paraId="3DD0995E"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p>
    <w:p w14:paraId="06986DB0" w14:textId="77777777" w:rsidR="00A868F0" w:rsidRPr="005F79C9" w:rsidRDefault="00A868F0" w:rsidP="00A868F0">
      <w:pPr>
        <w:numPr>
          <w:ilvl w:val="0"/>
          <w:numId w:val="11"/>
        </w:numPr>
        <w:spacing w:before="100" w:beforeAutospacing="1" w:after="100" w:afterAutospacing="1" w:line="240" w:lineRule="auto"/>
        <w:rPr>
          <w:rFonts w:ascii="Arial" w:eastAsia="Times New Roman" w:hAnsi="Arial" w:cs="Arial"/>
          <w:color w:val="333333"/>
          <w:sz w:val="27"/>
          <w:szCs w:val="27"/>
          <w:lang w:val="es-MX"/>
        </w:rPr>
      </w:pPr>
      <w:r w:rsidRPr="005F79C9">
        <w:rPr>
          <w:rFonts w:eastAsia="Palatino Linotype" w:cs="Palatino Linotype"/>
          <w:color w:val="000000"/>
          <w:szCs w:val="24"/>
        </w:rPr>
        <w:t>Así mismo el Recurrente anexo el documento denominado “</w:t>
      </w:r>
      <w:r w:rsidRPr="005F79C9">
        <w:rPr>
          <w:rFonts w:cs="Arial"/>
          <w:b/>
          <w:bCs/>
          <w:i/>
          <w:color w:val="333333"/>
          <w:sz w:val="22"/>
        </w:rPr>
        <w:t xml:space="preserve">Disposiciones normativas para que el titular de la Unidad de Transparencia se oriente y me haga entrega de la información que le” </w:t>
      </w:r>
      <w:r w:rsidRPr="005F79C9">
        <w:rPr>
          <w:rFonts w:cs="Arial"/>
          <w:bCs/>
          <w:color w:val="333333"/>
          <w:sz w:val="22"/>
        </w:rPr>
        <w:t xml:space="preserve">del que se advierte </w:t>
      </w:r>
      <w:proofErr w:type="spellStart"/>
      <w:r w:rsidRPr="005F79C9">
        <w:rPr>
          <w:rFonts w:cs="Arial"/>
          <w:bCs/>
          <w:color w:val="333333"/>
          <w:sz w:val="22"/>
        </w:rPr>
        <w:t>esta</w:t>
      </w:r>
      <w:proofErr w:type="spellEnd"/>
      <w:r w:rsidRPr="005F79C9">
        <w:rPr>
          <w:rFonts w:cs="Arial"/>
          <w:bCs/>
          <w:color w:val="333333"/>
          <w:sz w:val="22"/>
        </w:rPr>
        <w:t xml:space="preserve"> integrado de tres fojas en formato PDF que contiene los artículos 3 fracciones XXI y XLV, 132 fracción I, 133, 137, 143 fracción I, 51, 52 y 53 de la Ley de Transparencia Local. </w:t>
      </w:r>
    </w:p>
    <w:p w14:paraId="20B4B7CE" w14:textId="77777777" w:rsidR="00A868F0" w:rsidRPr="005F79C9" w:rsidRDefault="00A868F0" w:rsidP="00A868F0">
      <w:pPr>
        <w:pStyle w:val="Ttulo2"/>
        <w:rPr>
          <w:rFonts w:ascii="Palatino Linotype" w:eastAsia="Palatino Linotype" w:hAnsi="Palatino Linotype"/>
          <w:b/>
          <w:bCs/>
          <w:color w:val="auto"/>
          <w:sz w:val="28"/>
          <w:szCs w:val="28"/>
        </w:rPr>
      </w:pPr>
      <w:r w:rsidRPr="005F79C9">
        <w:rPr>
          <w:rFonts w:ascii="Palatino Linotype" w:eastAsia="Palatino Linotype" w:hAnsi="Palatino Linotype"/>
          <w:b/>
          <w:bCs/>
          <w:color w:val="auto"/>
          <w:sz w:val="28"/>
          <w:szCs w:val="28"/>
        </w:rPr>
        <w:t>SEGUNDO. De la respuesta del Sujeto Obligado.</w:t>
      </w:r>
    </w:p>
    <w:p w14:paraId="4FFC1C85" w14:textId="77777777" w:rsidR="00A868F0" w:rsidRPr="005F79C9" w:rsidRDefault="00A868F0" w:rsidP="00A868F0">
      <w:pPr>
        <w:pBdr>
          <w:top w:val="nil"/>
          <w:left w:val="nil"/>
          <w:bottom w:val="nil"/>
          <w:right w:val="nil"/>
          <w:between w:val="nil"/>
        </w:pBdr>
        <w:contextualSpacing/>
        <w:rPr>
          <w:rFonts w:cs="Arial"/>
          <w:b/>
          <w:bCs/>
          <w:szCs w:val="24"/>
        </w:rPr>
      </w:pPr>
      <w:r w:rsidRPr="005F79C9">
        <w:rPr>
          <w:rFonts w:eastAsia="Palatino Linotype" w:cs="Palatino Linotype"/>
          <w:color w:val="000000"/>
          <w:szCs w:val="24"/>
        </w:rPr>
        <w:t>De las constancias que obran en el expediente electrónico, se observa que el día dieciocho de septiembre de dos mil veinticinco, el Sujeto Obligado dio respuesta a la solicitud de información anexando el documento electrónico denominado “</w:t>
      </w:r>
      <w:r w:rsidRPr="005F79C9">
        <w:rPr>
          <w:rFonts w:cs="Arial"/>
          <w:b/>
          <w:bCs/>
          <w:i/>
          <w:szCs w:val="24"/>
        </w:rPr>
        <w:t>Solicitud 00008.docx</w:t>
      </w:r>
      <w:r w:rsidRPr="005F79C9">
        <w:rPr>
          <w:rFonts w:cs="Arial"/>
          <w:b/>
          <w:bCs/>
          <w:szCs w:val="24"/>
        </w:rPr>
        <w:t xml:space="preserve">” </w:t>
      </w:r>
      <w:r w:rsidRPr="005F79C9">
        <w:rPr>
          <w:rFonts w:cs="Arial"/>
          <w:szCs w:val="24"/>
        </w:rPr>
        <w:t xml:space="preserve">el cual será analizado en el considerando respectivo. </w:t>
      </w:r>
    </w:p>
    <w:p w14:paraId="15DF0D7C"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p>
    <w:p w14:paraId="2915087E" w14:textId="77777777" w:rsidR="00A868F0" w:rsidRPr="005F79C9" w:rsidRDefault="00A868F0" w:rsidP="00A868F0">
      <w:pPr>
        <w:pStyle w:val="Ttulo2"/>
        <w:rPr>
          <w:rFonts w:ascii="Palatino Linotype" w:eastAsia="Palatino Linotype" w:hAnsi="Palatino Linotype"/>
          <w:color w:val="auto"/>
          <w:sz w:val="28"/>
          <w:szCs w:val="28"/>
        </w:rPr>
      </w:pPr>
      <w:r w:rsidRPr="005F79C9">
        <w:rPr>
          <w:rFonts w:ascii="Palatino Linotype" w:eastAsia="Palatino Linotype" w:hAnsi="Palatino Linotype"/>
          <w:b/>
          <w:bCs/>
          <w:color w:val="auto"/>
          <w:sz w:val="28"/>
          <w:szCs w:val="28"/>
        </w:rPr>
        <w:t>TERCERO. Del recurso de revisión</w:t>
      </w:r>
      <w:r w:rsidRPr="005F79C9">
        <w:rPr>
          <w:rFonts w:ascii="Palatino Linotype" w:eastAsia="Palatino Linotype" w:hAnsi="Palatino Linotype"/>
          <w:color w:val="auto"/>
          <w:sz w:val="28"/>
          <w:szCs w:val="28"/>
        </w:rPr>
        <w:t>.</w:t>
      </w:r>
    </w:p>
    <w:p w14:paraId="26F39753"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t xml:space="preserve">Inconforme con la respuesta emitida por el Sujeto Obligado, el Recurrente interpuso el presente recurso de revisión el día </w:t>
      </w:r>
      <w:r w:rsidRPr="005F79C9">
        <w:rPr>
          <w:rFonts w:eastAsia="Palatino Linotype" w:cs="Palatino Linotype"/>
          <w:b/>
          <w:color w:val="000000"/>
          <w:szCs w:val="24"/>
        </w:rPr>
        <w:t>veinticuatro de septiembre de dos mil veinticinco</w:t>
      </w:r>
      <w:r w:rsidRPr="005F79C9">
        <w:rPr>
          <w:rFonts w:eastAsia="Palatino Linotype" w:cs="Palatino Linotype"/>
          <w:color w:val="000000"/>
          <w:szCs w:val="24"/>
        </w:rPr>
        <w:t xml:space="preserve">, el cual se registró con el expediente número </w:t>
      </w:r>
      <w:r w:rsidRPr="005F79C9">
        <w:rPr>
          <w:rFonts w:eastAsia="Palatino Linotype" w:cs="Palatino Linotype"/>
          <w:b/>
          <w:color w:val="000000"/>
          <w:szCs w:val="24"/>
        </w:rPr>
        <w:t>10970/INFOEM/IP/RR/2025</w:t>
      </w:r>
      <w:r w:rsidRPr="005F79C9">
        <w:rPr>
          <w:rFonts w:eastAsia="Palatino Linotype" w:cs="Palatino Linotype"/>
          <w:color w:val="000000"/>
          <w:szCs w:val="24"/>
        </w:rPr>
        <w:t>, manifestando lo siguiente:</w:t>
      </w:r>
    </w:p>
    <w:p w14:paraId="6A0124EA" w14:textId="77777777" w:rsidR="00A868F0" w:rsidRPr="005F79C9" w:rsidRDefault="00A868F0" w:rsidP="00A868F0">
      <w:pPr>
        <w:contextualSpacing/>
        <w:rPr>
          <w:rFonts w:eastAsia="Palatino Linotype" w:cs="Palatino Linotype"/>
          <w:b/>
        </w:rPr>
      </w:pPr>
      <w:r w:rsidRPr="005F79C9">
        <w:rPr>
          <w:rFonts w:eastAsia="Palatino Linotype" w:cs="Palatino Linotype"/>
          <w:b/>
        </w:rPr>
        <w:t xml:space="preserve">Acto Impugnado </w:t>
      </w:r>
    </w:p>
    <w:p w14:paraId="48F21613" w14:textId="77777777" w:rsidR="00A868F0" w:rsidRPr="005F79C9" w:rsidRDefault="00A868F0" w:rsidP="00A868F0">
      <w:pPr>
        <w:pStyle w:val="Fundamentos"/>
        <w:rPr>
          <w:b/>
          <w:sz w:val="24"/>
        </w:rPr>
      </w:pPr>
      <w:r w:rsidRPr="005F79C9">
        <w:rPr>
          <w:color w:val="auto"/>
          <w:sz w:val="24"/>
        </w:rPr>
        <w:t>“</w:t>
      </w:r>
      <w:r w:rsidRPr="005F79C9">
        <w:rPr>
          <w:sz w:val="24"/>
        </w:rPr>
        <w:t>Respuesta otorgada” (Sic)</w:t>
      </w:r>
    </w:p>
    <w:p w14:paraId="0A45B46B" w14:textId="77777777" w:rsidR="00A868F0" w:rsidRPr="005F79C9" w:rsidRDefault="00A868F0" w:rsidP="00A868F0">
      <w:pPr>
        <w:contextualSpacing/>
        <w:rPr>
          <w:rFonts w:eastAsia="Palatino Linotype" w:cs="Palatino Linotype"/>
          <w:b/>
          <w:szCs w:val="24"/>
        </w:rPr>
      </w:pPr>
    </w:p>
    <w:p w14:paraId="2F27145C" w14:textId="77777777" w:rsidR="00A868F0" w:rsidRPr="005F79C9" w:rsidRDefault="00A868F0" w:rsidP="00A868F0">
      <w:pPr>
        <w:contextualSpacing/>
        <w:rPr>
          <w:rFonts w:eastAsia="Palatino Linotype" w:cs="Palatino Linotype"/>
          <w:szCs w:val="24"/>
        </w:rPr>
      </w:pPr>
      <w:r w:rsidRPr="005F79C9">
        <w:rPr>
          <w:rFonts w:eastAsia="Palatino Linotype" w:cs="Palatino Linotype"/>
          <w:b/>
          <w:szCs w:val="24"/>
        </w:rPr>
        <w:t xml:space="preserve"> Razones o Motivos de Inconformidad</w:t>
      </w:r>
      <w:r w:rsidRPr="005F79C9">
        <w:rPr>
          <w:rFonts w:eastAsia="Palatino Linotype" w:cs="Palatino Linotype"/>
          <w:szCs w:val="24"/>
        </w:rPr>
        <w:t>:</w:t>
      </w:r>
    </w:p>
    <w:p w14:paraId="0944DCB3" w14:textId="77777777" w:rsidR="00A868F0" w:rsidRPr="005F79C9" w:rsidRDefault="00A868F0" w:rsidP="00A868F0">
      <w:pPr>
        <w:pStyle w:val="Fundamentos"/>
        <w:rPr>
          <w:b/>
          <w:szCs w:val="22"/>
        </w:rPr>
      </w:pPr>
      <w:r w:rsidRPr="005F79C9">
        <w:rPr>
          <w:color w:val="auto"/>
          <w:sz w:val="24"/>
        </w:rPr>
        <w:t>“</w:t>
      </w:r>
      <w:r w:rsidRPr="005F79C9">
        <w:rPr>
          <w:sz w:val="24"/>
        </w:rPr>
        <w:t xml:space="preserve">El responsable de la Unidad de Transparencia del IMCUFIDE de Tenango del Valle no entrega la versión pública de la información que pido, porque NO TIENE IDEA DE SUS FUNCIONES Y ATRIBUCIONES como titular de esa área, DESCONOCE ABSOLUTAMENTE LAS LEYES QUE LE APLICAN A GARANTIZAR EL </w:t>
      </w:r>
      <w:r w:rsidRPr="005F79C9">
        <w:rPr>
          <w:sz w:val="24"/>
        </w:rPr>
        <w:lastRenderedPageBreak/>
        <w:t>RESPETO A LOS DERECHOS CONSTITUCIONALES DE ACCESO A LA INFORMACIÓN Y PROTECCIÓN DE DATOS PERSONALES. ES ABSOLUTAMENTE IGNORANTE DE SU CARGO. por lo anterior el Órgano Garante deberá de ordenar se me haga entrega de la información que pido con las formalidades de ley aplicables al caso, DEBIENDO TAMBIÉN DAR VISTA AL ÓRGANO DE CONTROL INTERNO CORRESPONDIENTE POR LAS RESPONSABILIDADES ADMINISTRATIVAS POR EL TITULAR Y/O RESPONSABLE DE LA UNIDAD DE TRANPSRAENCIA DEL IMCUFIDE DE TENANGO DEL VALLE, DE CONFORMIDAD CON EL ARTÍCULO 222 DE LA VIGENTE LEY DE TRANPSRAENCIA DEL ESTADO DE MÉXICO.”</w:t>
      </w:r>
      <w:r w:rsidRPr="005F79C9">
        <w:rPr>
          <w:szCs w:val="22"/>
        </w:rPr>
        <w:t xml:space="preserve"> Sic)</w:t>
      </w:r>
    </w:p>
    <w:p w14:paraId="31D3793F"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p>
    <w:p w14:paraId="18DF44E6" w14:textId="77777777" w:rsidR="00A868F0" w:rsidRPr="005F79C9" w:rsidRDefault="00A868F0" w:rsidP="00A868F0">
      <w:pPr>
        <w:pStyle w:val="Ttulo2"/>
        <w:rPr>
          <w:rFonts w:ascii="Palatino Linotype" w:eastAsia="Palatino Linotype" w:hAnsi="Palatino Linotype"/>
          <w:b/>
          <w:bCs/>
          <w:color w:val="auto"/>
          <w:sz w:val="28"/>
          <w:szCs w:val="28"/>
        </w:rPr>
      </w:pPr>
      <w:r w:rsidRPr="005F79C9">
        <w:rPr>
          <w:rFonts w:ascii="Palatino Linotype" w:eastAsia="Palatino Linotype" w:hAnsi="Palatino Linotype"/>
          <w:b/>
          <w:bCs/>
          <w:color w:val="auto"/>
          <w:sz w:val="28"/>
          <w:szCs w:val="28"/>
        </w:rPr>
        <w:t>CUARTO. Del turno y admisión del recurso de revisión.</w:t>
      </w:r>
    </w:p>
    <w:p w14:paraId="4862EB52"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t xml:space="preserve">Medio de impugnación que le fue turnado al </w:t>
      </w:r>
      <w:r w:rsidRPr="005F79C9">
        <w:rPr>
          <w:rFonts w:eastAsia="Palatino Linotype" w:cs="Palatino Linotype"/>
          <w:b/>
          <w:color w:val="000000"/>
          <w:szCs w:val="24"/>
        </w:rPr>
        <w:t>Comisionado Presidente José Martínez Vilchis</w:t>
      </w:r>
      <w:r w:rsidRPr="005F79C9">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5F79C9">
        <w:rPr>
          <w:rFonts w:eastAsia="Palatino Linotype" w:cs="Palatino Linotype"/>
          <w:b/>
          <w:bCs/>
          <w:color w:val="000000"/>
          <w:szCs w:val="24"/>
        </w:rPr>
        <w:t xml:space="preserve"> veintinueve de septiembre de dos mil veinticinco</w:t>
      </w:r>
      <w:r w:rsidRPr="005F79C9">
        <w:rPr>
          <w:rFonts w:eastAsia="Palatino Linotype" w:cs="Palatino Linotype"/>
          <w:color w:val="000000"/>
          <w:szCs w:val="24"/>
        </w:rPr>
        <w:t xml:space="preserve">, </w:t>
      </w:r>
      <w:r w:rsidRPr="005F79C9">
        <w:rPr>
          <w:rFonts w:eastAsia="Palatino Linotype" w:cs="Palatino Linotype"/>
          <w:szCs w:val="24"/>
        </w:rPr>
        <w:t>otorgándose</w:t>
      </w:r>
      <w:r w:rsidRPr="005F79C9">
        <w:rPr>
          <w:rFonts w:eastAsia="Palatino Linotype" w:cs="Palatino Linotype"/>
          <w:color w:val="000000"/>
          <w:szCs w:val="24"/>
        </w:rPr>
        <w:t xml:space="preserve"> en él un plazo de siete días para que las partes manifestaran lo que a su derecho corresponda en términos del numeral ya citado.</w:t>
      </w:r>
    </w:p>
    <w:p w14:paraId="15EA725F"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p>
    <w:p w14:paraId="5E326839" w14:textId="77777777" w:rsidR="00A868F0" w:rsidRPr="005F79C9" w:rsidRDefault="00A868F0" w:rsidP="00A868F0">
      <w:pPr>
        <w:pStyle w:val="Ttulo2"/>
        <w:rPr>
          <w:rFonts w:ascii="Palatino Linotype" w:eastAsia="Palatino Linotype" w:hAnsi="Palatino Linotype"/>
          <w:b/>
          <w:bCs/>
          <w:color w:val="auto"/>
          <w:sz w:val="28"/>
          <w:szCs w:val="28"/>
        </w:rPr>
      </w:pPr>
      <w:r w:rsidRPr="005F79C9">
        <w:rPr>
          <w:rFonts w:ascii="Palatino Linotype" w:eastAsia="Palatino Linotype" w:hAnsi="Palatino Linotype"/>
          <w:b/>
          <w:bCs/>
          <w:color w:val="auto"/>
          <w:sz w:val="28"/>
          <w:szCs w:val="28"/>
        </w:rPr>
        <w:t>QUINTO. De la etapa de instrucción.</w:t>
      </w:r>
    </w:p>
    <w:p w14:paraId="4ED53802"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t xml:space="preserve">Una vez abierta la etapa de instrucción, el Sujeto Obligado fue omiso para rendir su informe justificado. Por su parte, el Recurrente no realizó manifestaciones, vertió alegatos ni presentó pruebas que a su derecho convinieran. </w:t>
      </w:r>
    </w:p>
    <w:p w14:paraId="64D294BE"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p>
    <w:p w14:paraId="7DA12C10" w14:textId="77777777" w:rsidR="00A868F0" w:rsidRPr="005F79C9" w:rsidRDefault="00A868F0" w:rsidP="00A868F0">
      <w:pPr>
        <w:pStyle w:val="Ttulo2"/>
        <w:rPr>
          <w:rFonts w:ascii="Palatino Linotype" w:eastAsia="Palatino Linotype" w:hAnsi="Palatino Linotype"/>
          <w:b/>
          <w:bCs/>
          <w:color w:val="auto"/>
          <w:sz w:val="28"/>
          <w:szCs w:val="28"/>
        </w:rPr>
      </w:pPr>
      <w:r w:rsidRPr="005F79C9">
        <w:rPr>
          <w:rFonts w:ascii="Palatino Linotype" w:eastAsia="Palatino Linotype" w:hAnsi="Palatino Linotype"/>
          <w:b/>
          <w:bCs/>
          <w:color w:val="auto"/>
          <w:sz w:val="28"/>
          <w:szCs w:val="28"/>
        </w:rPr>
        <w:lastRenderedPageBreak/>
        <w:t>SEXTO. Del cierre de instrucción.</w:t>
      </w:r>
    </w:p>
    <w:p w14:paraId="2B24695C"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t>Así, una vez transcurrido el término legal, se decretó el cierre de instrucción en fecha</w:t>
      </w:r>
      <w:r w:rsidRPr="005F79C9">
        <w:rPr>
          <w:rFonts w:eastAsia="Palatino Linotype" w:cs="Palatino Linotype"/>
          <w:b/>
          <w:color w:val="000000"/>
          <w:szCs w:val="24"/>
        </w:rPr>
        <w:t xml:space="preserve"> catorce de octubre de dos mil veinticuatro</w:t>
      </w:r>
      <w:r w:rsidRPr="005F79C9">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2EEAB887" w14:textId="77777777" w:rsidR="00A868F0" w:rsidRPr="005F79C9" w:rsidRDefault="00A868F0" w:rsidP="00A868F0">
      <w:pPr>
        <w:pBdr>
          <w:top w:val="nil"/>
          <w:left w:val="nil"/>
          <w:bottom w:val="nil"/>
          <w:right w:val="nil"/>
          <w:between w:val="nil"/>
        </w:pBdr>
        <w:contextualSpacing/>
        <w:rPr>
          <w:rFonts w:eastAsiaTheme="minorHAnsi" w:cstheme="minorBidi"/>
          <w:szCs w:val="24"/>
          <w:lang w:eastAsia="en-US"/>
        </w:rPr>
      </w:pPr>
    </w:p>
    <w:p w14:paraId="7DB5DF2B" w14:textId="77777777" w:rsidR="00A868F0" w:rsidRPr="005F79C9" w:rsidRDefault="00A868F0" w:rsidP="00A868F0">
      <w:pPr>
        <w:pStyle w:val="Ttulo1"/>
        <w:jc w:val="center"/>
        <w:rPr>
          <w:rFonts w:ascii="Palatino Linotype" w:eastAsia="Palatino Linotype" w:hAnsi="Palatino Linotype"/>
          <w:b/>
          <w:bCs/>
          <w:color w:val="auto"/>
          <w:sz w:val="28"/>
          <w:szCs w:val="28"/>
        </w:rPr>
      </w:pPr>
      <w:r w:rsidRPr="005F79C9">
        <w:rPr>
          <w:rFonts w:ascii="Palatino Linotype" w:eastAsia="Palatino Linotype" w:hAnsi="Palatino Linotype"/>
          <w:b/>
          <w:bCs/>
          <w:color w:val="auto"/>
          <w:sz w:val="28"/>
          <w:szCs w:val="28"/>
        </w:rPr>
        <w:t>C O N S I D E R A N D O</w:t>
      </w:r>
    </w:p>
    <w:p w14:paraId="453F6371" w14:textId="77777777" w:rsidR="00A868F0" w:rsidRPr="005F79C9" w:rsidRDefault="00A868F0" w:rsidP="00A868F0"/>
    <w:p w14:paraId="2BD6B267" w14:textId="77777777" w:rsidR="00A868F0" w:rsidRPr="005F79C9" w:rsidRDefault="00A868F0" w:rsidP="00A868F0">
      <w:pPr>
        <w:pStyle w:val="Ttulo2"/>
        <w:rPr>
          <w:rFonts w:ascii="Palatino Linotype" w:eastAsia="Palatino Linotype" w:hAnsi="Palatino Linotype"/>
          <w:b/>
          <w:bCs/>
          <w:color w:val="auto"/>
          <w:sz w:val="28"/>
          <w:szCs w:val="28"/>
        </w:rPr>
      </w:pPr>
      <w:r w:rsidRPr="005F79C9">
        <w:rPr>
          <w:rFonts w:ascii="Palatino Linotype" w:eastAsia="Palatino Linotype" w:hAnsi="Palatino Linotype"/>
          <w:b/>
          <w:bCs/>
          <w:color w:val="auto"/>
          <w:sz w:val="28"/>
          <w:szCs w:val="28"/>
        </w:rPr>
        <w:t>PRIMERO. De la competencia.</w:t>
      </w:r>
    </w:p>
    <w:p w14:paraId="6686F6C7"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2B61691"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p>
    <w:p w14:paraId="7E8CB68D" w14:textId="77777777" w:rsidR="00A868F0" w:rsidRPr="005F79C9" w:rsidRDefault="00A868F0" w:rsidP="00A868F0">
      <w:pPr>
        <w:pStyle w:val="Ttulo2"/>
        <w:rPr>
          <w:rFonts w:ascii="Palatino Linotype" w:eastAsia="Palatino Linotype" w:hAnsi="Palatino Linotype"/>
          <w:b/>
          <w:bCs/>
          <w:color w:val="auto"/>
          <w:sz w:val="28"/>
          <w:szCs w:val="28"/>
        </w:rPr>
      </w:pPr>
      <w:r w:rsidRPr="005F79C9">
        <w:rPr>
          <w:rFonts w:ascii="Palatino Linotype" w:eastAsia="Palatino Linotype" w:hAnsi="Palatino Linotype"/>
          <w:b/>
          <w:bCs/>
          <w:color w:val="auto"/>
          <w:sz w:val="28"/>
          <w:szCs w:val="28"/>
        </w:rPr>
        <w:lastRenderedPageBreak/>
        <w:t xml:space="preserve">SEGUNDO. Sobre los alcances del recurso de revisión. </w:t>
      </w:r>
    </w:p>
    <w:p w14:paraId="7744456B" w14:textId="77777777" w:rsidR="00A868F0" w:rsidRPr="005F79C9" w:rsidRDefault="00A868F0" w:rsidP="00A868F0">
      <w:r w:rsidRPr="005F79C9">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1280000" w14:textId="77777777" w:rsidR="00A868F0" w:rsidRPr="005F79C9" w:rsidRDefault="00A868F0" w:rsidP="00A868F0"/>
    <w:p w14:paraId="4694C9A8" w14:textId="77777777" w:rsidR="00A868F0" w:rsidRPr="005F79C9" w:rsidRDefault="00A868F0" w:rsidP="00A868F0">
      <w:pPr>
        <w:autoSpaceDE w:val="0"/>
        <w:autoSpaceDN w:val="0"/>
        <w:adjustRightInd w:val="0"/>
        <w:spacing w:before="240" w:line="240" w:lineRule="auto"/>
        <w:rPr>
          <w:rFonts w:eastAsia="Times New Roman" w:cs="Arial"/>
          <w:b/>
          <w:szCs w:val="24"/>
          <w:lang w:val="es-ES" w:eastAsia="es-ES"/>
        </w:rPr>
      </w:pPr>
      <w:r w:rsidRPr="005F79C9">
        <w:rPr>
          <w:rFonts w:cs="Arial"/>
          <w:b/>
          <w:sz w:val="28"/>
        </w:rPr>
        <w:t xml:space="preserve">TERCERO. </w:t>
      </w:r>
      <w:r w:rsidRPr="005F79C9">
        <w:rPr>
          <w:rFonts w:eastAsia="Times New Roman" w:cs="Arial"/>
          <w:b/>
          <w:sz w:val="28"/>
          <w:szCs w:val="28"/>
          <w:lang w:val="es-ES" w:eastAsia="es-ES"/>
        </w:rPr>
        <w:t>Cuestiones de previo y especial pronunciamiento</w:t>
      </w:r>
    </w:p>
    <w:p w14:paraId="5508FAB6" w14:textId="77777777" w:rsidR="00A868F0" w:rsidRPr="005F79C9" w:rsidRDefault="00A868F0" w:rsidP="00A868F0">
      <w:pPr>
        <w:autoSpaceDE w:val="0"/>
        <w:autoSpaceDN w:val="0"/>
        <w:adjustRightInd w:val="0"/>
        <w:spacing w:before="240"/>
        <w:rPr>
          <w:rFonts w:eastAsia="Times New Roman" w:cs="Times New Roman"/>
          <w:szCs w:val="24"/>
        </w:rPr>
      </w:pPr>
      <w:r w:rsidRPr="005F79C9">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5486F94C" w14:textId="77777777" w:rsidR="00A868F0" w:rsidRPr="005F79C9" w:rsidRDefault="00A868F0" w:rsidP="00A868F0">
      <w:pPr>
        <w:autoSpaceDE w:val="0"/>
        <w:autoSpaceDN w:val="0"/>
        <w:adjustRightInd w:val="0"/>
        <w:spacing w:before="240"/>
        <w:ind w:left="360" w:firstLine="348"/>
        <w:rPr>
          <w:rFonts w:eastAsia="Times New Roman" w:cs="Times New Roman"/>
          <w:i/>
          <w:sz w:val="22"/>
        </w:rPr>
      </w:pPr>
      <w:r w:rsidRPr="005F79C9">
        <w:rPr>
          <w:rFonts w:eastAsia="Times New Roman" w:cs="Times New Roman"/>
          <w:i/>
          <w:sz w:val="22"/>
        </w:rPr>
        <w:t>“Artículo 180. El recurso de revisión contendrá:</w:t>
      </w:r>
    </w:p>
    <w:p w14:paraId="5916C900" w14:textId="77777777" w:rsidR="00A868F0" w:rsidRPr="005F79C9" w:rsidRDefault="00A868F0" w:rsidP="00A868F0">
      <w:pPr>
        <w:numPr>
          <w:ilvl w:val="0"/>
          <w:numId w:val="1"/>
        </w:numPr>
        <w:autoSpaceDE w:val="0"/>
        <w:autoSpaceDN w:val="0"/>
        <w:adjustRightInd w:val="0"/>
        <w:spacing w:before="240"/>
        <w:rPr>
          <w:rFonts w:eastAsia="Times New Roman" w:cs="Times New Roman"/>
          <w:i/>
          <w:sz w:val="22"/>
          <w:lang w:val="es-ES" w:eastAsia="es-ES"/>
        </w:rPr>
      </w:pPr>
      <w:r w:rsidRPr="005F79C9">
        <w:rPr>
          <w:rFonts w:eastAsia="Times New Roman" w:cs="Times New Roman"/>
          <w:i/>
          <w:sz w:val="22"/>
          <w:lang w:val="es-ES" w:eastAsia="es-ES"/>
        </w:rPr>
        <w:t>EL sujeto obligado ante la cual se presentó la solicitud;</w:t>
      </w:r>
    </w:p>
    <w:p w14:paraId="5A29F085" w14:textId="77777777" w:rsidR="00A868F0" w:rsidRPr="005F79C9" w:rsidRDefault="00A868F0" w:rsidP="00A868F0">
      <w:pPr>
        <w:numPr>
          <w:ilvl w:val="0"/>
          <w:numId w:val="1"/>
        </w:numPr>
        <w:autoSpaceDE w:val="0"/>
        <w:autoSpaceDN w:val="0"/>
        <w:adjustRightInd w:val="0"/>
        <w:spacing w:before="240"/>
        <w:rPr>
          <w:rFonts w:eastAsia="Times New Roman" w:cs="Times New Roman"/>
          <w:i/>
          <w:sz w:val="22"/>
          <w:lang w:val="es-ES" w:eastAsia="es-ES"/>
        </w:rPr>
      </w:pPr>
      <w:r w:rsidRPr="005F79C9">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15FD1142" w14:textId="77777777" w:rsidR="00A868F0" w:rsidRPr="005F79C9" w:rsidRDefault="00A868F0" w:rsidP="00A868F0">
      <w:pPr>
        <w:numPr>
          <w:ilvl w:val="0"/>
          <w:numId w:val="1"/>
        </w:numPr>
        <w:autoSpaceDE w:val="0"/>
        <w:autoSpaceDN w:val="0"/>
        <w:adjustRightInd w:val="0"/>
        <w:spacing w:before="240"/>
        <w:rPr>
          <w:rFonts w:eastAsia="Times New Roman" w:cs="Times New Roman"/>
          <w:i/>
          <w:sz w:val="22"/>
          <w:lang w:val="es-ES" w:eastAsia="es-ES"/>
        </w:rPr>
      </w:pPr>
      <w:r w:rsidRPr="005F79C9">
        <w:rPr>
          <w:rFonts w:eastAsia="Times New Roman" w:cs="Times New Roman"/>
          <w:i/>
          <w:sz w:val="22"/>
          <w:lang w:val="es-ES" w:eastAsia="es-ES"/>
        </w:rPr>
        <w:t>El número de folio de respuesta de la solicitud de acceso;</w:t>
      </w:r>
    </w:p>
    <w:p w14:paraId="288BDCE1" w14:textId="77777777" w:rsidR="00A868F0" w:rsidRPr="005F79C9" w:rsidRDefault="00A868F0" w:rsidP="00A868F0">
      <w:pPr>
        <w:autoSpaceDE w:val="0"/>
        <w:autoSpaceDN w:val="0"/>
        <w:adjustRightInd w:val="0"/>
        <w:spacing w:before="240"/>
        <w:ind w:left="1080"/>
        <w:rPr>
          <w:rFonts w:eastAsia="Times New Roman" w:cs="Times New Roman"/>
          <w:i/>
          <w:sz w:val="22"/>
        </w:rPr>
      </w:pPr>
      <w:r w:rsidRPr="005F79C9">
        <w:rPr>
          <w:rFonts w:eastAsia="Times New Roman" w:cs="Times New Roman"/>
          <w:i/>
          <w:sz w:val="22"/>
        </w:rPr>
        <w:t>IV. La fecha en que fue notificada la respuesta al solicitante o tuvo conocimiento del acto reclamado, o de presentación de la solicitud, en caso de falta de respuesta;</w:t>
      </w:r>
    </w:p>
    <w:p w14:paraId="18A57DA8" w14:textId="77777777" w:rsidR="00A868F0" w:rsidRPr="005F79C9" w:rsidRDefault="00A868F0" w:rsidP="00A868F0">
      <w:pPr>
        <w:autoSpaceDE w:val="0"/>
        <w:autoSpaceDN w:val="0"/>
        <w:adjustRightInd w:val="0"/>
        <w:spacing w:before="240"/>
        <w:ind w:left="732" w:firstLine="348"/>
        <w:rPr>
          <w:rFonts w:eastAsia="Times New Roman" w:cs="Times New Roman"/>
          <w:i/>
          <w:sz w:val="22"/>
        </w:rPr>
      </w:pPr>
      <w:r w:rsidRPr="005F79C9">
        <w:rPr>
          <w:rFonts w:eastAsia="Times New Roman" w:cs="Times New Roman"/>
          <w:i/>
          <w:sz w:val="22"/>
        </w:rPr>
        <w:lastRenderedPageBreak/>
        <w:t>V. El acto que se recurre;</w:t>
      </w:r>
    </w:p>
    <w:p w14:paraId="1FD2484F" w14:textId="77777777" w:rsidR="00A868F0" w:rsidRPr="005F79C9" w:rsidRDefault="00A868F0" w:rsidP="00A868F0">
      <w:pPr>
        <w:autoSpaceDE w:val="0"/>
        <w:autoSpaceDN w:val="0"/>
        <w:adjustRightInd w:val="0"/>
        <w:spacing w:before="240"/>
        <w:ind w:left="732" w:firstLine="348"/>
        <w:rPr>
          <w:rFonts w:eastAsia="Times New Roman" w:cs="Times New Roman"/>
          <w:i/>
          <w:sz w:val="22"/>
        </w:rPr>
      </w:pPr>
      <w:r w:rsidRPr="005F79C9">
        <w:rPr>
          <w:rFonts w:eastAsia="Times New Roman" w:cs="Times New Roman"/>
          <w:i/>
          <w:sz w:val="22"/>
        </w:rPr>
        <w:t>VI. Las razones o motivos de inconformidad;</w:t>
      </w:r>
    </w:p>
    <w:p w14:paraId="612CD3F7" w14:textId="77777777" w:rsidR="00A868F0" w:rsidRPr="005F79C9" w:rsidRDefault="00A868F0" w:rsidP="00A868F0">
      <w:pPr>
        <w:autoSpaceDE w:val="0"/>
        <w:autoSpaceDN w:val="0"/>
        <w:adjustRightInd w:val="0"/>
        <w:spacing w:before="240"/>
        <w:ind w:left="1080"/>
        <w:rPr>
          <w:rFonts w:eastAsia="Times New Roman" w:cs="Times New Roman"/>
          <w:i/>
          <w:sz w:val="22"/>
        </w:rPr>
      </w:pPr>
      <w:r w:rsidRPr="005F79C9">
        <w:rPr>
          <w:rFonts w:eastAsia="Times New Roman" w:cs="Times New Roman"/>
          <w:i/>
          <w:sz w:val="22"/>
        </w:rPr>
        <w:t>VII. La copia de la respuesta que se impugna y, en su caso, de la notificación correspondiente, en el caso de respuesta de la solicitud; y</w:t>
      </w:r>
    </w:p>
    <w:p w14:paraId="0FCC9FB2" w14:textId="77777777" w:rsidR="00A868F0" w:rsidRPr="005F79C9" w:rsidRDefault="00A868F0" w:rsidP="00A868F0">
      <w:pPr>
        <w:autoSpaceDE w:val="0"/>
        <w:autoSpaceDN w:val="0"/>
        <w:adjustRightInd w:val="0"/>
        <w:spacing w:before="240"/>
        <w:ind w:left="732" w:firstLine="348"/>
        <w:rPr>
          <w:rFonts w:eastAsia="Times New Roman" w:cs="Times New Roman"/>
          <w:i/>
          <w:sz w:val="22"/>
        </w:rPr>
      </w:pPr>
      <w:r w:rsidRPr="005F79C9">
        <w:rPr>
          <w:rFonts w:eastAsia="Times New Roman" w:cs="Times New Roman"/>
          <w:i/>
          <w:sz w:val="22"/>
        </w:rPr>
        <w:t>VIII. Firma del recurrente, en su caso, cuando se presente por escrito, requisito sin el cual se dará trámite al recurso.</w:t>
      </w:r>
    </w:p>
    <w:p w14:paraId="381737E5" w14:textId="77777777" w:rsidR="00A868F0" w:rsidRPr="005F79C9" w:rsidRDefault="00A868F0" w:rsidP="00A868F0">
      <w:pPr>
        <w:autoSpaceDE w:val="0"/>
        <w:autoSpaceDN w:val="0"/>
        <w:adjustRightInd w:val="0"/>
        <w:spacing w:before="240"/>
        <w:ind w:left="1080"/>
        <w:rPr>
          <w:rFonts w:eastAsia="Times New Roman" w:cs="Times New Roman"/>
          <w:i/>
          <w:sz w:val="22"/>
        </w:rPr>
      </w:pPr>
      <w:r w:rsidRPr="005F79C9">
        <w:rPr>
          <w:rFonts w:eastAsia="Times New Roman" w:cs="Times New Roman"/>
          <w:i/>
          <w:sz w:val="22"/>
        </w:rPr>
        <w:t>Adicionalmente, se podrán anexar las pruebas y demás elementos que considere procedentes someter a juicio del Instituto.</w:t>
      </w:r>
    </w:p>
    <w:p w14:paraId="6DC829ED" w14:textId="77777777" w:rsidR="00A868F0" w:rsidRPr="005F79C9" w:rsidRDefault="00A868F0" w:rsidP="00A868F0">
      <w:pPr>
        <w:autoSpaceDE w:val="0"/>
        <w:autoSpaceDN w:val="0"/>
        <w:adjustRightInd w:val="0"/>
        <w:spacing w:before="240"/>
        <w:ind w:left="732" w:firstLine="348"/>
        <w:rPr>
          <w:rFonts w:eastAsia="Times New Roman" w:cs="Times New Roman"/>
          <w:i/>
          <w:sz w:val="22"/>
        </w:rPr>
      </w:pPr>
      <w:r w:rsidRPr="005F79C9">
        <w:rPr>
          <w:rFonts w:eastAsia="Times New Roman" w:cs="Times New Roman"/>
          <w:i/>
          <w:sz w:val="22"/>
        </w:rPr>
        <w:t>En ningún caso será necesario que el particular ratifique el recurso de revisión interpuesto.</w:t>
      </w:r>
    </w:p>
    <w:p w14:paraId="32FD4BDB" w14:textId="77777777" w:rsidR="00A868F0" w:rsidRPr="005F79C9" w:rsidRDefault="00A868F0" w:rsidP="00A868F0">
      <w:pPr>
        <w:autoSpaceDE w:val="0"/>
        <w:autoSpaceDN w:val="0"/>
        <w:adjustRightInd w:val="0"/>
        <w:spacing w:before="240"/>
        <w:ind w:left="1080"/>
        <w:rPr>
          <w:rFonts w:eastAsia="Times New Roman" w:cs="Times New Roman"/>
          <w:b/>
          <w:i/>
          <w:sz w:val="22"/>
          <w:u w:val="single"/>
        </w:rPr>
      </w:pPr>
      <w:r w:rsidRPr="005F79C9">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3A53D39F" w14:textId="77777777" w:rsidR="00A868F0" w:rsidRPr="005F79C9" w:rsidRDefault="00A868F0" w:rsidP="00A868F0">
      <w:pPr>
        <w:autoSpaceDE w:val="0"/>
        <w:autoSpaceDN w:val="0"/>
        <w:adjustRightInd w:val="0"/>
        <w:spacing w:before="240"/>
        <w:ind w:left="1080"/>
        <w:rPr>
          <w:rFonts w:eastAsia="Times New Roman" w:cs="Times New Roman"/>
          <w:b/>
          <w:i/>
          <w:sz w:val="22"/>
          <w:u w:val="single"/>
        </w:rPr>
      </w:pPr>
    </w:p>
    <w:p w14:paraId="3CEA440B" w14:textId="77777777" w:rsidR="00A868F0" w:rsidRPr="005F79C9" w:rsidRDefault="00A868F0" w:rsidP="00A868F0">
      <w:pPr>
        <w:rPr>
          <w:rFonts w:eastAsia="Times New Roman" w:cs="Arial"/>
          <w:szCs w:val="24"/>
          <w:lang w:val="es-ES" w:eastAsia="es-ES"/>
        </w:rPr>
      </w:pPr>
      <w:r w:rsidRPr="005F79C9">
        <w:rPr>
          <w:rFonts w:eastAsia="Times New Roman" w:cs="Segoe UI"/>
          <w:szCs w:val="24"/>
          <w:lang w:val="es-ES" w:eastAsia="es-ES"/>
        </w:rPr>
        <w:t xml:space="preserve">Cabe señalar que </w:t>
      </w:r>
      <w:r w:rsidRPr="005F79C9">
        <w:rPr>
          <w:rFonts w:eastAsia="Times New Roman" w:cs="Segoe UI"/>
          <w:b/>
          <w:szCs w:val="24"/>
          <w:lang w:val="es-ES" w:eastAsia="es-ES"/>
        </w:rPr>
        <w:t>El Recurrente</w:t>
      </w:r>
      <w:r w:rsidRPr="005F79C9">
        <w:rPr>
          <w:rFonts w:eastAsia="Times New Roman" w:cs="Segoe UI"/>
          <w:szCs w:val="24"/>
          <w:lang w:val="es-ES" w:eastAsia="es-ES"/>
        </w:rPr>
        <w:t xml:space="preserve"> </w:t>
      </w:r>
      <w:r w:rsidRPr="005F79C9">
        <w:rPr>
          <w:rFonts w:eastAsia="Times New Roman" w:cs="Segoe UI"/>
          <w:b/>
          <w:szCs w:val="24"/>
          <w:lang w:val="es-ES" w:eastAsia="es-ES"/>
        </w:rPr>
        <w:t>ejerció de manera anónima su derecho de acceso a la información pública</w:t>
      </w:r>
      <w:r w:rsidRPr="005F79C9">
        <w:rPr>
          <w:rFonts w:eastAsia="Times New Roman" w:cs="Times New Roman"/>
          <w:b/>
          <w:szCs w:val="24"/>
          <w:lang w:val="es-ES" w:eastAsia="es-ES"/>
        </w:rPr>
        <w:t>,</w:t>
      </w:r>
      <w:r w:rsidRPr="005F79C9">
        <w:rPr>
          <w:rFonts w:eastAsia="Times New Roman" w:cs="Times New Roman"/>
          <w:szCs w:val="24"/>
          <w:lang w:val="es-ES" w:eastAsia="es-ES"/>
        </w:rPr>
        <w:t xml:space="preserve"> sin embargo, no es motivo para desechar las </w:t>
      </w:r>
      <w:r w:rsidRPr="005F79C9">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2412634" w14:textId="77777777" w:rsidR="00A868F0" w:rsidRPr="005F79C9" w:rsidRDefault="00A868F0" w:rsidP="00A868F0">
      <w:pPr>
        <w:spacing w:before="240"/>
        <w:ind w:left="851" w:right="851"/>
        <w:rPr>
          <w:rFonts w:eastAsia="Times New Roman" w:cs="Arial"/>
          <w:b/>
          <w:i/>
          <w:sz w:val="22"/>
          <w:lang w:val="es-ES" w:eastAsia="es-ES"/>
        </w:rPr>
      </w:pPr>
      <w:r w:rsidRPr="005F79C9">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F79C9">
        <w:rPr>
          <w:rFonts w:eastAsia="Times New Roman" w:cs="Arial"/>
          <w:b/>
          <w:i/>
          <w:sz w:val="22"/>
          <w:lang w:val="es-ES" w:eastAsia="es-ES"/>
        </w:rPr>
        <w:t>[Sic]</w:t>
      </w:r>
    </w:p>
    <w:p w14:paraId="186341F4" w14:textId="77777777" w:rsidR="00A868F0" w:rsidRPr="005F79C9" w:rsidRDefault="00A868F0" w:rsidP="00A868F0">
      <w:pPr>
        <w:spacing w:before="240"/>
        <w:ind w:left="851" w:right="851"/>
        <w:rPr>
          <w:rFonts w:eastAsia="Times New Roman" w:cs="Arial"/>
          <w:b/>
          <w:i/>
          <w:sz w:val="22"/>
          <w:lang w:val="es-ES" w:eastAsia="es-ES"/>
        </w:rPr>
      </w:pPr>
    </w:p>
    <w:p w14:paraId="32E5F5CD" w14:textId="77777777" w:rsidR="00A868F0" w:rsidRPr="005F79C9" w:rsidRDefault="00A868F0" w:rsidP="00A868F0">
      <w:pPr>
        <w:rPr>
          <w:rFonts w:eastAsia="Times New Roman" w:cs="Times New Roman"/>
          <w:szCs w:val="24"/>
          <w:lang w:val="es-ES" w:eastAsia="es-ES"/>
        </w:rPr>
      </w:pPr>
      <w:r w:rsidRPr="005F79C9">
        <w:rPr>
          <w:rFonts w:eastAsia="Times New Roman" w:cs="Times New Roman"/>
          <w:szCs w:val="24"/>
          <w:lang w:val="es-ES" w:eastAsia="es-ES"/>
        </w:rPr>
        <w:lastRenderedPageBreak/>
        <w:t xml:space="preserve">Robusteciendo lo anterior se encuentra lo dispuesto en el artículo 5 párrafos </w:t>
      </w:r>
      <w:r w:rsidRPr="005F79C9">
        <w:rPr>
          <w:rFonts w:eastAsia="Times New Roman" w:cs="Arial"/>
          <w:szCs w:val="24"/>
          <w:lang w:val="es-ES" w:eastAsia="es-ES"/>
        </w:rPr>
        <w:t>vigésimo, vigésimo primero</w:t>
      </w:r>
      <w:r w:rsidRPr="005F79C9">
        <w:rPr>
          <w:rFonts w:eastAsia="Times New Roman" w:cs="Arial"/>
          <w:szCs w:val="24"/>
          <w:lang w:eastAsia="es-ES"/>
        </w:rPr>
        <w:t xml:space="preserve"> y vigésimo segundo</w:t>
      </w:r>
      <w:r w:rsidRPr="005F79C9">
        <w:rPr>
          <w:rFonts w:eastAsia="Times New Roman" w:cs="Times New Roman"/>
          <w:szCs w:val="24"/>
          <w:lang w:val="es-ES" w:eastAsia="es-ES"/>
        </w:rPr>
        <w:t>, de la Constitución Política del Estado Libre y Soberano de México, se establece lo siguiente:</w:t>
      </w:r>
    </w:p>
    <w:p w14:paraId="3B1380E1" w14:textId="77777777" w:rsidR="00A868F0" w:rsidRPr="005F79C9" w:rsidRDefault="00A868F0" w:rsidP="00A868F0">
      <w:pPr>
        <w:spacing w:before="240"/>
        <w:ind w:left="851" w:right="851"/>
        <w:rPr>
          <w:rFonts w:eastAsia="Times New Roman" w:cs="Times New Roman"/>
          <w:b/>
          <w:i/>
          <w:sz w:val="22"/>
          <w:u w:val="single"/>
          <w:lang w:val="es-ES" w:eastAsia="es-ES"/>
        </w:rPr>
      </w:pPr>
      <w:r w:rsidRPr="005F79C9">
        <w:rPr>
          <w:rFonts w:eastAsia="Times New Roman" w:cs="Times New Roman"/>
          <w:b/>
          <w:i/>
          <w:sz w:val="22"/>
          <w:u w:val="single"/>
          <w:lang w:val="es-ES" w:eastAsia="es-ES"/>
        </w:rPr>
        <w:t>Constitución Política del Estado Libre y Soberano de México</w:t>
      </w:r>
    </w:p>
    <w:p w14:paraId="7644158C" w14:textId="77777777" w:rsidR="00A868F0" w:rsidRPr="005F79C9" w:rsidRDefault="00A868F0" w:rsidP="00A868F0">
      <w:pPr>
        <w:spacing w:before="240"/>
        <w:ind w:left="851" w:right="851"/>
        <w:rPr>
          <w:rFonts w:eastAsia="Times New Roman" w:cs="Times New Roman"/>
          <w:i/>
          <w:sz w:val="22"/>
          <w:lang w:val="es-ES" w:eastAsia="es-ES"/>
        </w:rPr>
      </w:pPr>
      <w:r w:rsidRPr="005F79C9">
        <w:rPr>
          <w:rFonts w:eastAsia="Times New Roman" w:cs="Times New Roman"/>
          <w:i/>
          <w:sz w:val="22"/>
          <w:lang w:val="es-ES" w:eastAsia="es-ES"/>
        </w:rPr>
        <w:t>“</w:t>
      </w:r>
      <w:r w:rsidRPr="005F79C9">
        <w:rPr>
          <w:rFonts w:eastAsia="Times New Roman" w:cs="Times New Roman"/>
          <w:b/>
          <w:i/>
          <w:sz w:val="22"/>
          <w:lang w:val="es-ES" w:eastAsia="es-ES"/>
        </w:rPr>
        <w:t>Artículo 5</w:t>
      </w:r>
      <w:r w:rsidRPr="005F79C9">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CFB8596" w14:textId="77777777" w:rsidR="00A868F0" w:rsidRPr="005F79C9" w:rsidRDefault="00A868F0" w:rsidP="00A868F0">
      <w:pPr>
        <w:spacing w:before="240"/>
        <w:ind w:left="851" w:right="851"/>
        <w:rPr>
          <w:rFonts w:eastAsia="Times New Roman" w:cs="Times New Roman"/>
          <w:i/>
          <w:sz w:val="22"/>
          <w:lang w:val="es-ES" w:eastAsia="es-ES"/>
        </w:rPr>
      </w:pPr>
      <w:r w:rsidRPr="005F79C9">
        <w:rPr>
          <w:rFonts w:eastAsia="Times New Roman" w:cs="Times New Roman"/>
          <w:i/>
          <w:sz w:val="22"/>
          <w:lang w:val="es-ES" w:eastAsia="es-ES"/>
        </w:rPr>
        <w:t>(…)</w:t>
      </w:r>
    </w:p>
    <w:p w14:paraId="48408A5B" w14:textId="77777777" w:rsidR="00A868F0" w:rsidRPr="005F79C9" w:rsidRDefault="00A868F0" w:rsidP="00A868F0">
      <w:pPr>
        <w:spacing w:before="240"/>
        <w:ind w:left="851" w:right="851"/>
        <w:rPr>
          <w:rFonts w:eastAsia="Times New Roman" w:cs="Times New Roman"/>
          <w:b/>
          <w:i/>
          <w:sz w:val="22"/>
          <w:lang w:val="es-ES" w:eastAsia="es-ES"/>
        </w:rPr>
      </w:pPr>
      <w:proofErr w:type="gramStart"/>
      <w:r w:rsidRPr="005F79C9">
        <w:rPr>
          <w:rFonts w:eastAsia="Times New Roman" w:cs="Times New Roman"/>
          <w:i/>
          <w:sz w:val="22"/>
          <w:lang w:val="es-ES" w:eastAsia="es-ES"/>
        </w:rPr>
        <w:t>transparencia</w:t>
      </w:r>
      <w:proofErr w:type="gramEnd"/>
      <w:r w:rsidRPr="005F79C9">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5F79C9">
        <w:rPr>
          <w:rFonts w:eastAsia="Times New Roman" w:cs="Times New Roman"/>
          <w:b/>
          <w:i/>
          <w:sz w:val="22"/>
          <w:lang w:val="es-ES" w:eastAsia="es-ES"/>
        </w:rPr>
        <w:t>[Sic]</w:t>
      </w:r>
    </w:p>
    <w:p w14:paraId="6F08AE1B" w14:textId="77777777" w:rsidR="00A868F0" w:rsidRPr="005F79C9" w:rsidRDefault="00A868F0" w:rsidP="00A868F0">
      <w:pPr>
        <w:autoSpaceDE w:val="0"/>
        <w:autoSpaceDN w:val="0"/>
        <w:adjustRightInd w:val="0"/>
        <w:spacing w:before="240"/>
        <w:rPr>
          <w:rFonts w:eastAsia="Times New Roman" w:cs="Arial"/>
          <w:szCs w:val="24"/>
          <w:lang w:val="es-ES"/>
        </w:rPr>
      </w:pPr>
      <w:r w:rsidRPr="005F79C9">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F79C9">
        <w:rPr>
          <w:rFonts w:eastAsia="Times New Roman" w:cs="Times New Roman"/>
          <w:b/>
          <w:szCs w:val="24"/>
          <w:u w:val="single"/>
          <w:lang w:val="es-ES" w:eastAsia="es-ES"/>
        </w:rPr>
        <w:t>incluso, la solicitud de acceso a la información pueda ser anónima</w:t>
      </w:r>
      <w:r w:rsidRPr="005F79C9">
        <w:rPr>
          <w:rFonts w:eastAsia="Times New Roman" w:cs="Times New Roman"/>
          <w:szCs w:val="24"/>
          <w:lang w:val="es-ES" w:eastAsia="es-ES"/>
        </w:rPr>
        <w:t xml:space="preserve"> o no contener un nombre que identifique al solicitante o que permita tener certeza sobre su identidad. </w:t>
      </w:r>
      <w:r w:rsidRPr="005F79C9">
        <w:rPr>
          <w:rFonts w:eastAsia="Times New Roman" w:cs="Arial"/>
          <w:szCs w:val="24"/>
          <w:lang w:val="es-ES"/>
        </w:rPr>
        <w:t xml:space="preserve">En conclusión, se cubrieron los requisitos de procedencia y </w:t>
      </w:r>
      <w:proofErr w:type="spellStart"/>
      <w:r w:rsidRPr="005F79C9">
        <w:rPr>
          <w:rFonts w:eastAsia="Times New Roman" w:cs="Arial"/>
          <w:szCs w:val="24"/>
          <w:lang w:val="es-ES"/>
        </w:rPr>
        <w:t>procedibilidad</w:t>
      </w:r>
      <w:proofErr w:type="spellEnd"/>
      <w:r w:rsidRPr="005F79C9">
        <w:rPr>
          <w:rFonts w:eastAsia="Times New Roman" w:cs="Arial"/>
          <w:szCs w:val="24"/>
          <w:lang w:val="es-ES"/>
        </w:rPr>
        <w:t xml:space="preserve"> y conforme a las constancias que obran en el expediente.</w:t>
      </w:r>
    </w:p>
    <w:p w14:paraId="3B0C34F9" w14:textId="77777777" w:rsidR="00A868F0" w:rsidRPr="005F79C9" w:rsidRDefault="00A868F0" w:rsidP="00A868F0">
      <w:pPr>
        <w:autoSpaceDE w:val="0"/>
        <w:autoSpaceDN w:val="0"/>
        <w:adjustRightInd w:val="0"/>
        <w:spacing w:before="240"/>
        <w:rPr>
          <w:rFonts w:ascii="Times New Roman" w:eastAsia="Times New Roman" w:hAnsi="Times New Roman" w:cs="Arial"/>
          <w:b/>
          <w:sz w:val="28"/>
          <w:szCs w:val="24"/>
          <w:lang w:val="es-ES" w:eastAsia="es-ES"/>
        </w:rPr>
      </w:pPr>
    </w:p>
    <w:p w14:paraId="5E591556" w14:textId="77777777" w:rsidR="00A868F0" w:rsidRPr="005F79C9" w:rsidRDefault="00A868F0" w:rsidP="00A868F0">
      <w:pPr>
        <w:pStyle w:val="Prrafodelista"/>
        <w:autoSpaceDE w:val="0"/>
        <w:autoSpaceDN w:val="0"/>
        <w:adjustRightInd w:val="0"/>
        <w:spacing w:before="240" w:after="160"/>
        <w:ind w:left="0"/>
        <w:rPr>
          <w:rFonts w:cs="Arial"/>
          <w:b/>
          <w:sz w:val="28"/>
        </w:rPr>
      </w:pPr>
      <w:r w:rsidRPr="005F79C9">
        <w:rPr>
          <w:rFonts w:cs="Arial"/>
          <w:b/>
          <w:sz w:val="28"/>
        </w:rPr>
        <w:t>CUARTO. De las causas de improcedencia.</w:t>
      </w:r>
    </w:p>
    <w:p w14:paraId="1A947F21" w14:textId="77777777" w:rsidR="00A868F0" w:rsidRPr="005F79C9" w:rsidRDefault="00A868F0" w:rsidP="00A868F0">
      <w:pPr>
        <w:pStyle w:val="Prrafodelista"/>
        <w:autoSpaceDE w:val="0"/>
        <w:autoSpaceDN w:val="0"/>
        <w:adjustRightInd w:val="0"/>
        <w:ind w:left="0"/>
        <w:rPr>
          <w:rFonts w:cs="Arial"/>
        </w:rPr>
      </w:pPr>
      <w:r w:rsidRPr="005F79C9">
        <w:rPr>
          <w:rFonts w:cs="Arial"/>
        </w:rPr>
        <w:t xml:space="preserve">En el procedimiento de acceso a la información y de los medios de impugnación de la materia, se advierten diversos supuestos de </w:t>
      </w:r>
      <w:proofErr w:type="spellStart"/>
      <w:r w:rsidRPr="005F79C9">
        <w:rPr>
          <w:rFonts w:cs="Arial"/>
        </w:rPr>
        <w:t>procedibilidad</w:t>
      </w:r>
      <w:proofErr w:type="spellEnd"/>
      <w:r w:rsidRPr="005F79C9">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DDDC444" w14:textId="77777777" w:rsidR="007D3F63" w:rsidRPr="005F79C9" w:rsidRDefault="007D3F63" w:rsidP="00A868F0">
      <w:pPr>
        <w:pStyle w:val="Prrafodelista"/>
        <w:autoSpaceDE w:val="0"/>
        <w:autoSpaceDN w:val="0"/>
        <w:adjustRightInd w:val="0"/>
        <w:ind w:left="0"/>
        <w:rPr>
          <w:rFonts w:cs="Arial"/>
        </w:rPr>
      </w:pPr>
    </w:p>
    <w:p w14:paraId="4FBF5625" w14:textId="77777777" w:rsidR="00A868F0" w:rsidRPr="005F79C9" w:rsidRDefault="00A868F0" w:rsidP="00A868F0">
      <w:pPr>
        <w:pStyle w:val="Prrafodelista"/>
        <w:autoSpaceDE w:val="0"/>
        <w:autoSpaceDN w:val="0"/>
        <w:adjustRightInd w:val="0"/>
        <w:ind w:left="0"/>
        <w:rPr>
          <w:rFonts w:cs="Arial"/>
        </w:rPr>
      </w:pPr>
      <w:r w:rsidRPr="005F79C9">
        <w:rPr>
          <w:rFonts w:cs="Arial"/>
        </w:rPr>
        <w:t xml:space="preserve">De lo anterior, el estudio de las causas de improcedencia que se hagan valer por las partes o que se advierta de oficio por este </w:t>
      </w:r>
      <w:proofErr w:type="spellStart"/>
      <w:r w:rsidRPr="005F79C9">
        <w:rPr>
          <w:rFonts w:cs="Arial"/>
        </w:rPr>
        <w:t>Resolutor</w:t>
      </w:r>
      <w:proofErr w:type="spellEnd"/>
      <w:r w:rsidRPr="005F79C9">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F79C9">
        <w:rPr>
          <w:rStyle w:val="Refdenotaalpie"/>
          <w:rFonts w:cs="Arial"/>
        </w:rPr>
        <w:footnoteReference w:id="1"/>
      </w:r>
      <w:r w:rsidRPr="005F79C9">
        <w:rPr>
          <w:rFonts w:cs="Arial"/>
        </w:rPr>
        <w:t>.</w:t>
      </w:r>
    </w:p>
    <w:p w14:paraId="7A58A36D" w14:textId="77777777" w:rsidR="00A868F0" w:rsidRPr="005F79C9" w:rsidRDefault="00A868F0" w:rsidP="00A868F0">
      <w:pPr>
        <w:pStyle w:val="Prrafodelista"/>
        <w:autoSpaceDE w:val="0"/>
        <w:autoSpaceDN w:val="0"/>
        <w:adjustRightInd w:val="0"/>
        <w:ind w:left="0"/>
        <w:rPr>
          <w:rFonts w:cs="Arial"/>
        </w:rPr>
      </w:pPr>
    </w:p>
    <w:p w14:paraId="35829292" w14:textId="77777777" w:rsidR="00A868F0" w:rsidRPr="005F79C9" w:rsidRDefault="00A868F0" w:rsidP="00A868F0">
      <w:pPr>
        <w:pStyle w:val="Prrafodelista"/>
        <w:autoSpaceDE w:val="0"/>
        <w:autoSpaceDN w:val="0"/>
        <w:adjustRightInd w:val="0"/>
        <w:ind w:left="0"/>
        <w:rPr>
          <w:rFonts w:cs="Arial"/>
        </w:rPr>
      </w:pPr>
      <w:r w:rsidRPr="005F79C9">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D3DBC2F" w14:textId="77777777" w:rsidR="00A868F0" w:rsidRPr="005F79C9" w:rsidRDefault="00A868F0" w:rsidP="00A868F0">
      <w:pPr>
        <w:pStyle w:val="Prrafodelista"/>
        <w:autoSpaceDE w:val="0"/>
        <w:autoSpaceDN w:val="0"/>
        <w:adjustRightInd w:val="0"/>
        <w:ind w:left="0"/>
        <w:rPr>
          <w:rFonts w:cs="Arial"/>
        </w:rPr>
      </w:pPr>
    </w:p>
    <w:p w14:paraId="74694C69" w14:textId="77777777" w:rsidR="00A868F0" w:rsidRPr="005F79C9" w:rsidRDefault="00A868F0" w:rsidP="00A868F0">
      <w:pPr>
        <w:pStyle w:val="Ttulo2"/>
        <w:rPr>
          <w:rFonts w:ascii="Palatino Linotype" w:eastAsia="Palatino Linotype" w:hAnsi="Palatino Linotype"/>
          <w:b/>
          <w:bCs/>
          <w:color w:val="auto"/>
          <w:sz w:val="28"/>
          <w:szCs w:val="28"/>
        </w:rPr>
      </w:pPr>
      <w:r w:rsidRPr="005F79C9">
        <w:rPr>
          <w:rFonts w:ascii="Palatino Linotype" w:eastAsia="Palatino Linotype" w:hAnsi="Palatino Linotype"/>
          <w:b/>
          <w:bCs/>
          <w:color w:val="auto"/>
          <w:sz w:val="28"/>
          <w:szCs w:val="28"/>
        </w:rPr>
        <w:t>QUINTO. Estudio y resolución del asunto.</w:t>
      </w:r>
    </w:p>
    <w:p w14:paraId="06A5435F"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D16444B"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p>
    <w:p w14:paraId="2A46AE3D"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lastRenderedPageBreak/>
        <w:t>Por tanto, es conveniente recordar que el hoy Recurrente requirió del Sujeto Obligado, de la actual administración, lo siguiente:</w:t>
      </w:r>
    </w:p>
    <w:p w14:paraId="74972E74" w14:textId="77777777" w:rsidR="00A868F0" w:rsidRPr="005F79C9" w:rsidRDefault="007D3F63" w:rsidP="007D3F63">
      <w:pPr>
        <w:pStyle w:val="Prrafodelista"/>
        <w:numPr>
          <w:ilvl w:val="0"/>
          <w:numId w:val="12"/>
        </w:num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En versión pública los recibos de nómina de los servidores públicos adscritos al Sujeto Obligado de la segunda quincena de julio de dos mil veinticinco.</w:t>
      </w:r>
    </w:p>
    <w:p w14:paraId="66DDFF3D" w14:textId="77777777" w:rsidR="00A868F0" w:rsidRPr="005F79C9" w:rsidRDefault="00A868F0" w:rsidP="00A868F0">
      <w:pPr>
        <w:pBdr>
          <w:top w:val="nil"/>
          <w:left w:val="nil"/>
          <w:bottom w:val="nil"/>
          <w:right w:val="nil"/>
          <w:between w:val="nil"/>
        </w:pBdr>
        <w:contextualSpacing/>
      </w:pPr>
      <w:r w:rsidRPr="005F79C9">
        <w:rPr>
          <w:rFonts w:eastAsia="Palatino Linotype" w:cs="Palatino Linotype"/>
          <w:color w:val="000000"/>
          <w:szCs w:val="24"/>
        </w:rPr>
        <w:t>Por lo que atento a la solicitud de información el Sujeto Obligado</w:t>
      </w:r>
      <w:r w:rsidRPr="005F79C9">
        <w:t xml:space="preserve"> emitió su respuesta por medio de</w:t>
      </w:r>
      <w:r w:rsidR="007D3F63" w:rsidRPr="005F79C9">
        <w:t>l archivo electrónico denominado</w:t>
      </w:r>
      <w:r w:rsidRPr="005F79C9">
        <w:t xml:space="preserve">; </w:t>
      </w:r>
    </w:p>
    <w:p w14:paraId="6D95C4F6" w14:textId="77777777" w:rsidR="007D3F63" w:rsidRPr="005F79C9" w:rsidRDefault="007D3F63" w:rsidP="000C6ABD">
      <w:pPr>
        <w:pStyle w:val="Prrafodelista"/>
        <w:numPr>
          <w:ilvl w:val="0"/>
          <w:numId w:val="11"/>
        </w:numPr>
        <w:rPr>
          <w:rFonts w:eastAsia="Times New Roman" w:cs="Arial"/>
          <w:b/>
          <w:bCs/>
          <w:color w:val="333333"/>
          <w:szCs w:val="24"/>
          <w:lang w:val="es-MX"/>
        </w:rPr>
      </w:pPr>
      <w:r w:rsidRPr="005F79C9">
        <w:rPr>
          <w:rFonts w:cs="Arial"/>
          <w:b/>
          <w:bCs/>
          <w:color w:val="333333"/>
          <w:szCs w:val="24"/>
        </w:rPr>
        <w:t xml:space="preserve">Solicitud 00008.docx: </w:t>
      </w:r>
      <w:r w:rsidRPr="005F79C9">
        <w:rPr>
          <w:rFonts w:cs="Arial"/>
          <w:bCs/>
          <w:color w:val="333333"/>
          <w:szCs w:val="24"/>
        </w:rPr>
        <w:t>Soporte documental que con</w:t>
      </w:r>
      <w:r w:rsidR="000C6ABD" w:rsidRPr="005F79C9">
        <w:rPr>
          <w:rFonts w:cs="Arial"/>
          <w:bCs/>
          <w:color w:val="333333"/>
          <w:szCs w:val="24"/>
        </w:rPr>
        <w:t xml:space="preserve">sta de dos fojas en formato WORD </w:t>
      </w:r>
      <w:r w:rsidRPr="005F79C9">
        <w:rPr>
          <w:rFonts w:cs="Arial"/>
          <w:bCs/>
          <w:color w:val="333333"/>
          <w:szCs w:val="24"/>
        </w:rPr>
        <w:t xml:space="preserve">de fecha dieciocho de septiembre de dos mil veinticinco por medio del cual </w:t>
      </w:r>
      <w:r w:rsidR="000C6ABD" w:rsidRPr="005F79C9">
        <w:rPr>
          <w:rFonts w:cs="Arial"/>
          <w:bCs/>
          <w:color w:val="333333"/>
          <w:szCs w:val="24"/>
        </w:rPr>
        <w:t xml:space="preserve">el Titular de la Unidad de Transparencia manifiesta que puede darle acceso a los recibos de nómina de los trabajadores pero no a sus datos personales por lo que </w:t>
      </w:r>
      <w:r w:rsidR="000C6ABD" w:rsidRPr="005F79C9">
        <w:rPr>
          <w:rFonts w:cs="Arial"/>
          <w:bCs/>
          <w:color w:val="333333"/>
          <w:szCs w:val="24"/>
          <w:u w:val="single"/>
        </w:rPr>
        <w:t xml:space="preserve">refiere que en el caso de  solicitar </w:t>
      </w:r>
      <w:r w:rsidR="000C6ABD" w:rsidRPr="005F79C9">
        <w:rPr>
          <w:rFonts w:cs="Arial"/>
          <w:szCs w:val="24"/>
          <w:u w:val="single"/>
        </w:rPr>
        <w:t xml:space="preserve">los recibos de nómina deberá hacerlo sin datos personales por lo que tendría que volver a </w:t>
      </w:r>
      <w:r w:rsidR="00DA53CE" w:rsidRPr="005F79C9">
        <w:rPr>
          <w:rFonts w:cs="Arial"/>
          <w:szCs w:val="24"/>
          <w:u w:val="single"/>
        </w:rPr>
        <w:t xml:space="preserve">mandar solicitud especificando </w:t>
      </w:r>
      <w:r w:rsidR="000C6ABD" w:rsidRPr="005F79C9">
        <w:rPr>
          <w:rFonts w:cs="Arial"/>
          <w:szCs w:val="24"/>
          <w:u w:val="single"/>
        </w:rPr>
        <w:t>lo anterior.</w:t>
      </w:r>
    </w:p>
    <w:p w14:paraId="25B21099" w14:textId="77777777" w:rsidR="007D3F63" w:rsidRPr="005F79C9" w:rsidRDefault="007D3F63" w:rsidP="007D3F63">
      <w:pPr>
        <w:rPr>
          <w:rFonts w:ascii="Arial" w:hAnsi="Arial" w:cs="Arial"/>
          <w:b/>
          <w:bCs/>
          <w:color w:val="333333"/>
          <w:sz w:val="15"/>
          <w:szCs w:val="15"/>
        </w:rPr>
      </w:pPr>
    </w:p>
    <w:p w14:paraId="3B33818B" w14:textId="77777777" w:rsidR="00A868F0" w:rsidRPr="005F79C9" w:rsidRDefault="00A868F0" w:rsidP="00A868F0"/>
    <w:p w14:paraId="41FD81AB" w14:textId="77777777" w:rsidR="00A868F0" w:rsidRPr="005F79C9" w:rsidRDefault="00A868F0" w:rsidP="00A868F0">
      <w:pPr>
        <w:pBdr>
          <w:top w:val="nil"/>
          <w:left w:val="nil"/>
          <w:bottom w:val="nil"/>
          <w:right w:val="nil"/>
          <w:between w:val="nil"/>
        </w:pBdr>
        <w:contextualSpacing/>
        <w:rPr>
          <w:rFonts w:eastAsia="Palatino Linotype" w:cs="Palatino Linotype"/>
          <w:color w:val="000000"/>
          <w:szCs w:val="24"/>
        </w:rPr>
      </w:pPr>
      <w:r w:rsidRPr="005F79C9">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w:t>
      </w:r>
      <w:r w:rsidR="000C6ABD" w:rsidRPr="005F79C9">
        <w:rPr>
          <w:rFonts w:eastAsia="Palatino Linotype" w:cs="Palatino Linotype"/>
          <w:color w:val="000000"/>
          <w:szCs w:val="24"/>
        </w:rPr>
        <w:t>acto impugnado</w:t>
      </w:r>
      <w:r w:rsidRPr="005F79C9">
        <w:rPr>
          <w:rFonts w:eastAsia="Palatino Linotype" w:cs="Palatino Linotype"/>
          <w:color w:val="000000"/>
          <w:szCs w:val="24"/>
        </w:rPr>
        <w:t xml:space="preserve"> </w:t>
      </w:r>
      <w:r w:rsidRPr="005F79C9">
        <w:rPr>
          <w:rFonts w:eastAsia="Palatino Linotype" w:cs="Palatino Linotype"/>
          <w:i/>
          <w:iCs/>
          <w:color w:val="000000"/>
          <w:szCs w:val="24"/>
        </w:rPr>
        <w:t>“</w:t>
      </w:r>
      <w:r w:rsidR="000C6ABD" w:rsidRPr="005F79C9">
        <w:rPr>
          <w:i/>
          <w:color w:val="000000"/>
          <w:szCs w:val="24"/>
        </w:rPr>
        <w:t>Respuesta otorgada</w:t>
      </w:r>
      <w:r w:rsidRPr="005F79C9">
        <w:rPr>
          <w:i/>
          <w:iCs/>
          <w:color w:val="000000"/>
          <w:szCs w:val="24"/>
        </w:rPr>
        <w:t xml:space="preserve">” </w:t>
      </w:r>
      <w:r w:rsidRPr="005F79C9">
        <w:rPr>
          <w:color w:val="000000"/>
          <w:szCs w:val="24"/>
        </w:rPr>
        <w:t xml:space="preserve"> y como razones o motivos de inconformidad </w:t>
      </w:r>
      <w:r w:rsidRPr="005F79C9">
        <w:rPr>
          <w:i/>
          <w:color w:val="000000"/>
          <w:szCs w:val="24"/>
        </w:rPr>
        <w:t>“</w:t>
      </w:r>
      <w:r w:rsidR="000C6ABD" w:rsidRPr="005F79C9">
        <w:rPr>
          <w:i/>
          <w:color w:val="000000"/>
          <w:szCs w:val="24"/>
        </w:rPr>
        <w:t xml:space="preserve">El responsable de la Unidad de Transparencia del IMCUFIDE de Tenango del Valle </w:t>
      </w:r>
      <w:r w:rsidR="000C6ABD" w:rsidRPr="005F79C9">
        <w:rPr>
          <w:i/>
          <w:color w:val="000000"/>
          <w:szCs w:val="24"/>
          <w:u w:val="single"/>
        </w:rPr>
        <w:t>no entrega la versión pública de la información que pido</w:t>
      </w:r>
      <w:r w:rsidR="000C6ABD" w:rsidRPr="005F79C9">
        <w:rPr>
          <w:i/>
          <w:color w:val="000000"/>
          <w:szCs w:val="24"/>
        </w:rPr>
        <w:t xml:space="preserve">, porque NO TIENE IDEA DE SUS FUNCIONES Y ATRIBUCIONES como titular de esa área, DESCONOCE ABSOLUTAMENTE LAS LEYES QUE LE APLICAN A GARANTIZAR EL RESPETO A LOS DERECHOS CONSTITUCIONALES DE ACCESO A LA INFORMACIÓN Y PROTECCIÓN DE DATOS PERSONALES. ES ABSOLUTAMENTE </w:t>
      </w:r>
      <w:r w:rsidR="000C6ABD" w:rsidRPr="005F79C9">
        <w:rPr>
          <w:i/>
          <w:color w:val="000000"/>
          <w:szCs w:val="24"/>
        </w:rPr>
        <w:lastRenderedPageBreak/>
        <w:t>IGNORANTE DE SU CARGO. por lo anterior el Órgano Garante deberá de ordenar se me haga entrega de la información que pido con las formalidades de ley aplicables al caso, DEBIENDO TAMBIÉN DAR VISTA AL ÓRGANO DE CONTROL INTERNO CORRESPONDIENTE POR LAS RESPONSABILIDADES ADMINISTRATIVAS POR EL TITULAR Y/O RESPONSABLE DE LA UNIDAD DE TRANPSRAENCIA DEL IMCUFIDE DE TENANGO DEL VALLE, DE CONFORMIDAD CON EL ARTÍCULO 222 DE LA VIGENTE LEY DE TRANPSRAENCIA DEL ESTADO DE MÉXICO</w:t>
      </w:r>
      <w:r w:rsidR="000C6ABD" w:rsidRPr="005F79C9">
        <w:rPr>
          <w:rFonts w:ascii="Verdana" w:hAnsi="Verdana"/>
          <w:color w:val="000000"/>
          <w:sz w:val="14"/>
          <w:szCs w:val="14"/>
        </w:rPr>
        <w:t>.</w:t>
      </w:r>
      <w:r w:rsidRPr="005F79C9">
        <w:rPr>
          <w:i/>
          <w:iCs/>
          <w:color w:val="000000"/>
          <w:szCs w:val="24"/>
        </w:rPr>
        <w:t xml:space="preserve">” </w:t>
      </w:r>
      <w:r w:rsidRPr="005F79C9">
        <w:rPr>
          <w:rFonts w:eastAsia="Palatino Linotype" w:cs="Palatino Linotype"/>
          <w:color w:val="000000"/>
          <w:szCs w:val="24"/>
        </w:rPr>
        <w:t xml:space="preserve">en este sentido el Recurrente considero que el Sujeto Obligado no le dio cuenta </w:t>
      </w:r>
      <w:r w:rsidR="001D301E" w:rsidRPr="005F79C9">
        <w:rPr>
          <w:rFonts w:eastAsia="Palatino Linotype" w:cs="Palatino Linotype"/>
          <w:color w:val="000000"/>
          <w:szCs w:val="24"/>
        </w:rPr>
        <w:t>de los recibos de nómina de la segunda quincena de julio del dos mil veinticinco del personal adscrito al Sujeto Obligado.</w:t>
      </w:r>
    </w:p>
    <w:p w14:paraId="35646499" w14:textId="77777777" w:rsidR="001D301E" w:rsidRPr="005F79C9" w:rsidRDefault="001D301E" w:rsidP="00A868F0">
      <w:pPr>
        <w:pBdr>
          <w:top w:val="nil"/>
          <w:left w:val="nil"/>
          <w:bottom w:val="nil"/>
          <w:right w:val="nil"/>
          <w:between w:val="nil"/>
        </w:pBdr>
        <w:contextualSpacing/>
      </w:pPr>
    </w:p>
    <w:p w14:paraId="67741580" w14:textId="77777777" w:rsidR="00A868F0" w:rsidRPr="005F79C9" w:rsidRDefault="00A868F0" w:rsidP="00A868F0">
      <w:pPr>
        <w:rPr>
          <w:rFonts w:eastAsia="Times New Roman" w:cs="Times New Roman"/>
          <w:szCs w:val="24"/>
          <w:lang w:eastAsia="es-ES"/>
        </w:rPr>
      </w:pPr>
      <w:r w:rsidRPr="005F79C9">
        <w:rPr>
          <w:rFonts w:cs="Arial"/>
          <w:szCs w:val="24"/>
        </w:rPr>
        <w:t xml:space="preserve">En este tenor, es necesario subrayar que </w:t>
      </w:r>
      <w:r w:rsidRPr="005F79C9">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B69BA1F"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b/>
          <w:i/>
          <w:lang w:eastAsia="es-ES"/>
        </w:rPr>
        <w:t>“</w:t>
      </w:r>
      <w:r w:rsidRPr="005F79C9">
        <w:rPr>
          <w:rFonts w:eastAsia="Times New Roman" w:cs="Times New Roman"/>
          <w:b/>
          <w:i/>
          <w:sz w:val="22"/>
          <w:lang w:eastAsia="es-ES"/>
        </w:rPr>
        <w:t>Artículo 4.</w:t>
      </w:r>
      <w:r w:rsidRPr="005F79C9">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16234F"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5F79C9">
        <w:rPr>
          <w:rFonts w:eastAsia="Times New Roman" w:cs="Times New Roman"/>
          <w:i/>
          <w:sz w:val="22"/>
          <w:lang w:eastAsia="es-ES"/>
        </w:rPr>
        <w:lastRenderedPageBreak/>
        <w:t>reservada temporalmente por razones de interés público, en los términos de las causas legítimas y estrictamente necesarias previstas por esta Ley.</w:t>
      </w:r>
    </w:p>
    <w:p w14:paraId="365564D7"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050A6F77"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b/>
          <w:i/>
          <w:sz w:val="22"/>
          <w:lang w:eastAsia="es-ES"/>
        </w:rPr>
        <w:t>Artículo 12.</w:t>
      </w:r>
      <w:r w:rsidRPr="005F79C9">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7C62D628"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BEC9FE"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i/>
          <w:sz w:val="22"/>
          <w:lang w:eastAsia="es-ES"/>
        </w:rPr>
        <w:t>(…)</w:t>
      </w:r>
    </w:p>
    <w:p w14:paraId="10581315" w14:textId="77777777" w:rsidR="00A868F0" w:rsidRPr="005F79C9" w:rsidRDefault="00A868F0" w:rsidP="00A868F0">
      <w:pPr>
        <w:spacing w:before="240"/>
        <w:ind w:left="851" w:right="851"/>
        <w:rPr>
          <w:rFonts w:eastAsia="Times New Roman" w:cs="Times New Roman"/>
          <w:b/>
          <w:i/>
          <w:sz w:val="22"/>
          <w:lang w:eastAsia="es-ES"/>
        </w:rPr>
      </w:pPr>
      <w:r w:rsidRPr="005F79C9">
        <w:rPr>
          <w:rFonts w:eastAsia="Times New Roman" w:cs="Times New Roman"/>
          <w:b/>
          <w:i/>
          <w:sz w:val="22"/>
          <w:lang w:eastAsia="es-ES"/>
        </w:rPr>
        <w:t xml:space="preserve">Artículo 24. </w:t>
      </w:r>
    </w:p>
    <w:p w14:paraId="1DE0BF35"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i/>
          <w:sz w:val="22"/>
          <w:lang w:eastAsia="es-ES"/>
        </w:rPr>
        <w:t>(…)</w:t>
      </w:r>
    </w:p>
    <w:p w14:paraId="52141F08"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i/>
          <w:sz w:val="22"/>
          <w:lang w:eastAsia="es-ES"/>
        </w:rPr>
        <w:t>Los sujetos obligados solo proporcionarán la información pública que generen, administren o posean en el ejercicio de sus atribuciones.”</w:t>
      </w:r>
    </w:p>
    <w:p w14:paraId="68F75A62"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i/>
          <w:sz w:val="22"/>
          <w:lang w:eastAsia="es-ES"/>
        </w:rPr>
        <w:t>(…)</w:t>
      </w:r>
    </w:p>
    <w:p w14:paraId="745351B1" w14:textId="77777777" w:rsidR="00A868F0" w:rsidRPr="005F79C9" w:rsidRDefault="00A868F0" w:rsidP="00A868F0">
      <w:pPr>
        <w:spacing w:before="240"/>
        <w:ind w:left="851" w:right="851"/>
        <w:rPr>
          <w:rFonts w:eastAsia="Times New Roman" w:cs="Times New Roman"/>
          <w:i/>
          <w:sz w:val="22"/>
          <w:lang w:eastAsia="es-ES"/>
        </w:rPr>
      </w:pPr>
      <w:r w:rsidRPr="005F79C9">
        <w:rPr>
          <w:rFonts w:eastAsia="Times New Roman" w:cs="Times New Roman"/>
          <w:b/>
          <w:i/>
          <w:sz w:val="22"/>
          <w:lang w:eastAsia="es-ES"/>
        </w:rPr>
        <w:t>Artículo 160.</w:t>
      </w:r>
      <w:r w:rsidRPr="005F79C9">
        <w:rPr>
          <w:rFonts w:eastAsia="Times New Roman" w:cs="Times New Roman"/>
          <w:i/>
          <w:sz w:val="22"/>
          <w:lang w:eastAsia="es-ES"/>
        </w:rPr>
        <w:t xml:space="preserve"> Los sujetos obligados deberán otorgar acceso a los documentos que se </w:t>
      </w:r>
      <w:r w:rsidRPr="005F79C9">
        <w:rPr>
          <w:rFonts w:eastAsia="Times New Roman" w:cs="Times New Roman"/>
          <w:b/>
          <w:i/>
          <w:sz w:val="22"/>
          <w:lang w:eastAsia="es-ES"/>
        </w:rPr>
        <w:t xml:space="preserve"> </w:t>
      </w:r>
      <w:r w:rsidRPr="005F79C9">
        <w:rPr>
          <w:rFonts w:eastAsia="Times New Roman" w:cs="Times New Roman"/>
          <w:i/>
          <w:sz w:val="22"/>
          <w:lang w:eastAsia="es-ES"/>
        </w:rPr>
        <w:t xml:space="preserve">encuentren en sus archivos o que estén obligados a documentar de acuerdo con sus </w:t>
      </w:r>
      <w:r w:rsidRPr="005F79C9">
        <w:rPr>
          <w:rFonts w:eastAsia="Times New Roman" w:cs="Times New Roman"/>
          <w:i/>
          <w:sz w:val="22"/>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3B71E950" w14:textId="77777777" w:rsidR="00A868F0" w:rsidRPr="005F79C9" w:rsidRDefault="00A868F0" w:rsidP="00A868F0">
      <w:pPr>
        <w:spacing w:before="240"/>
        <w:ind w:left="851" w:right="851"/>
        <w:rPr>
          <w:rFonts w:eastAsia="Times New Roman" w:cs="Times New Roman"/>
          <w:b/>
          <w:i/>
          <w:sz w:val="22"/>
          <w:lang w:eastAsia="es-ES"/>
        </w:rPr>
      </w:pPr>
      <w:r w:rsidRPr="005F79C9">
        <w:rPr>
          <w:rFonts w:eastAsia="Times New Roman" w:cs="Times New Roman"/>
          <w:i/>
          <w:sz w:val="22"/>
          <w:lang w:eastAsia="es-ES"/>
        </w:rPr>
        <w:t>En caso que la información solicitada consista en bases de datos se deberá privilegiar la entrega de la misma en formatos abiertos.”</w:t>
      </w:r>
      <w:r w:rsidRPr="005F79C9">
        <w:rPr>
          <w:rFonts w:eastAsia="Times New Roman" w:cs="Times New Roman"/>
          <w:b/>
          <w:i/>
          <w:sz w:val="22"/>
          <w:lang w:eastAsia="es-ES"/>
        </w:rPr>
        <w:t>[Sic]</w:t>
      </w:r>
    </w:p>
    <w:p w14:paraId="1C107F33" w14:textId="77777777" w:rsidR="00A868F0" w:rsidRPr="005F79C9" w:rsidRDefault="00A868F0" w:rsidP="00A868F0">
      <w:pPr>
        <w:rPr>
          <w:rFonts w:eastAsia="Times New Roman" w:cs="Times New Roman"/>
          <w:szCs w:val="24"/>
          <w:lang w:eastAsia="es-ES"/>
        </w:rPr>
      </w:pPr>
    </w:p>
    <w:p w14:paraId="3FEC98E6" w14:textId="77777777" w:rsidR="00A868F0" w:rsidRPr="005F79C9" w:rsidRDefault="00A868F0" w:rsidP="00A868F0">
      <w:pPr>
        <w:rPr>
          <w:rFonts w:eastAsia="Times New Roman" w:cs="Times New Roman"/>
          <w:szCs w:val="24"/>
          <w:lang w:eastAsia="es-ES"/>
        </w:rPr>
      </w:pPr>
      <w:r w:rsidRPr="005F79C9">
        <w:rPr>
          <w:rFonts w:eastAsia="Times New Roman" w:cs="Times New Roman"/>
          <w:szCs w:val="24"/>
          <w:lang w:eastAsia="es-ES"/>
        </w:rPr>
        <w:t xml:space="preserve">Así que la obligación de los </w:t>
      </w:r>
      <w:r w:rsidRPr="005F79C9">
        <w:rPr>
          <w:rFonts w:eastAsia="Times New Roman" w:cs="Times New Roman"/>
          <w:b/>
          <w:szCs w:val="24"/>
          <w:lang w:eastAsia="es-ES"/>
        </w:rPr>
        <w:t>Sujetos Obligados</w:t>
      </w:r>
      <w:r w:rsidRPr="005F79C9">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F79C9">
        <w:rPr>
          <w:rFonts w:eastAsia="Times New Roman" w:cs="Times New Roman"/>
          <w:bCs/>
          <w:szCs w:val="24"/>
          <w:lang w:eastAsia="es-ES"/>
        </w:rPr>
        <w:t>de la Ley local en la materia, que se reproduce de la siguiente forma</w:t>
      </w:r>
      <w:r w:rsidRPr="005F79C9">
        <w:rPr>
          <w:rFonts w:eastAsia="Times New Roman" w:cs="Times New Roman"/>
          <w:szCs w:val="24"/>
          <w:lang w:eastAsia="es-ES"/>
        </w:rPr>
        <w:t>:</w:t>
      </w:r>
    </w:p>
    <w:p w14:paraId="72B2936E" w14:textId="77777777" w:rsidR="00A868F0" w:rsidRPr="005F79C9" w:rsidRDefault="00A868F0" w:rsidP="00A868F0">
      <w:pPr>
        <w:spacing w:before="240"/>
        <w:ind w:left="851" w:right="851"/>
        <w:rPr>
          <w:rFonts w:eastAsia="Times New Roman" w:cs="Arial"/>
          <w:b/>
          <w:i/>
          <w:sz w:val="22"/>
          <w:lang w:eastAsia="es-ES"/>
        </w:rPr>
      </w:pPr>
      <w:r w:rsidRPr="005F79C9">
        <w:rPr>
          <w:rFonts w:eastAsia="Times New Roman" w:cs="Arial"/>
          <w:i/>
          <w:sz w:val="22"/>
          <w:lang w:eastAsia="es-ES"/>
        </w:rPr>
        <w:t>“</w:t>
      </w:r>
      <w:r w:rsidRPr="005F79C9">
        <w:rPr>
          <w:rFonts w:eastAsia="Times New Roman" w:cs="Arial"/>
          <w:b/>
          <w:i/>
          <w:sz w:val="22"/>
          <w:lang w:eastAsia="es-ES"/>
        </w:rPr>
        <w:t>Artículo 166</w:t>
      </w:r>
      <w:r w:rsidRPr="005F79C9">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5F79C9">
        <w:rPr>
          <w:rFonts w:eastAsia="Times New Roman" w:cs="Arial"/>
          <w:b/>
          <w:i/>
          <w:sz w:val="22"/>
          <w:lang w:eastAsia="es-ES"/>
        </w:rPr>
        <w:t>[Sic]</w:t>
      </w:r>
    </w:p>
    <w:p w14:paraId="47CEE809" w14:textId="77777777" w:rsidR="00A868F0" w:rsidRPr="005F79C9" w:rsidRDefault="00A868F0" w:rsidP="00A868F0">
      <w:pPr>
        <w:pBdr>
          <w:top w:val="nil"/>
          <w:left w:val="nil"/>
          <w:bottom w:val="nil"/>
          <w:right w:val="nil"/>
          <w:between w:val="nil"/>
        </w:pBdr>
        <w:contextualSpacing/>
      </w:pPr>
    </w:p>
    <w:p w14:paraId="67A86B85" w14:textId="77777777" w:rsidR="001D301E" w:rsidRPr="005F79C9" w:rsidRDefault="00A868F0" w:rsidP="001D301E">
      <w:pPr>
        <w:pBdr>
          <w:top w:val="nil"/>
          <w:left w:val="nil"/>
          <w:bottom w:val="nil"/>
          <w:right w:val="nil"/>
          <w:between w:val="nil"/>
        </w:pBdr>
        <w:contextualSpacing/>
      </w:pPr>
      <w:r w:rsidRPr="005F79C9">
        <w:t xml:space="preserve">Por lo que, se debe traer a efecto de establecer si la respuesta brindada por el Sujeto Obligado colma el derecho al acceso a la información del Recurrente se debe de traer a colación </w:t>
      </w:r>
      <w:r w:rsidR="001D301E" w:rsidRPr="005F79C9">
        <w:t xml:space="preserve"> los artículos 2 y 6 del Reglamento Interno del Instituto Municipal de Cultura Física y Deporte de Tenango del Valle a efecto de advertir que le corresponde a la Coordinación de Administración y Finanzas las relaciones laborales así como la vigilancia de la aplicación normativa correspondiente, conforme lo siguiente; </w:t>
      </w:r>
    </w:p>
    <w:p w14:paraId="4331CDBE" w14:textId="77777777" w:rsidR="001D301E" w:rsidRPr="005F79C9" w:rsidRDefault="001D301E" w:rsidP="001D301E">
      <w:pPr>
        <w:pBdr>
          <w:top w:val="nil"/>
          <w:left w:val="nil"/>
          <w:bottom w:val="nil"/>
          <w:right w:val="nil"/>
          <w:between w:val="nil"/>
        </w:pBdr>
        <w:ind w:left="708"/>
        <w:contextualSpacing/>
        <w:rPr>
          <w:i/>
          <w:sz w:val="22"/>
        </w:rPr>
      </w:pPr>
      <w:r w:rsidRPr="005F79C9">
        <w:rPr>
          <w:b/>
          <w:i/>
          <w:sz w:val="22"/>
        </w:rPr>
        <w:t>Artículo 2.</w:t>
      </w:r>
      <w:r w:rsidRPr="005F79C9">
        <w:rPr>
          <w:i/>
          <w:sz w:val="22"/>
        </w:rPr>
        <w:t xml:space="preserve"> Para el despacho de los asuntos de su competencia, el Instituto contara con las unidades administrativas básicas siguientes: </w:t>
      </w:r>
    </w:p>
    <w:p w14:paraId="68AED899" w14:textId="77777777" w:rsidR="001D301E" w:rsidRPr="005F79C9" w:rsidRDefault="001D301E" w:rsidP="001D301E">
      <w:pPr>
        <w:pStyle w:val="Prrafodelista"/>
        <w:numPr>
          <w:ilvl w:val="0"/>
          <w:numId w:val="13"/>
        </w:numPr>
        <w:pBdr>
          <w:top w:val="nil"/>
          <w:left w:val="nil"/>
          <w:bottom w:val="nil"/>
          <w:right w:val="nil"/>
          <w:between w:val="nil"/>
        </w:pBdr>
        <w:rPr>
          <w:i/>
          <w:sz w:val="22"/>
        </w:rPr>
      </w:pPr>
      <w:r w:rsidRPr="005F79C9">
        <w:rPr>
          <w:i/>
          <w:sz w:val="22"/>
        </w:rPr>
        <w:t xml:space="preserve">Junta Directiva; </w:t>
      </w:r>
    </w:p>
    <w:p w14:paraId="16B858F9" w14:textId="77777777" w:rsidR="001D301E" w:rsidRPr="005F79C9" w:rsidRDefault="001D301E" w:rsidP="001D301E">
      <w:pPr>
        <w:pStyle w:val="Prrafodelista"/>
        <w:numPr>
          <w:ilvl w:val="0"/>
          <w:numId w:val="13"/>
        </w:numPr>
        <w:pBdr>
          <w:top w:val="nil"/>
          <w:left w:val="nil"/>
          <w:bottom w:val="nil"/>
          <w:right w:val="nil"/>
          <w:between w:val="nil"/>
        </w:pBdr>
        <w:rPr>
          <w:i/>
          <w:sz w:val="22"/>
        </w:rPr>
      </w:pPr>
      <w:r w:rsidRPr="005F79C9">
        <w:rPr>
          <w:i/>
          <w:sz w:val="22"/>
        </w:rPr>
        <w:lastRenderedPageBreak/>
        <w:t xml:space="preserve">Dirección; </w:t>
      </w:r>
    </w:p>
    <w:p w14:paraId="393A17CF" w14:textId="77777777" w:rsidR="001D301E" w:rsidRPr="005F79C9" w:rsidRDefault="001D301E" w:rsidP="001D301E">
      <w:pPr>
        <w:pStyle w:val="Prrafodelista"/>
        <w:numPr>
          <w:ilvl w:val="0"/>
          <w:numId w:val="13"/>
        </w:numPr>
        <w:pBdr>
          <w:top w:val="nil"/>
          <w:left w:val="nil"/>
          <w:bottom w:val="nil"/>
          <w:right w:val="nil"/>
          <w:between w:val="nil"/>
        </w:pBdr>
        <w:rPr>
          <w:i/>
          <w:sz w:val="22"/>
        </w:rPr>
      </w:pPr>
      <w:r w:rsidRPr="005F79C9">
        <w:rPr>
          <w:i/>
          <w:sz w:val="22"/>
        </w:rPr>
        <w:t xml:space="preserve">Administración y finanzas; </w:t>
      </w:r>
    </w:p>
    <w:p w14:paraId="04B02164" w14:textId="77777777" w:rsidR="001D301E" w:rsidRPr="005F79C9" w:rsidRDefault="001D301E" w:rsidP="001D301E">
      <w:pPr>
        <w:pStyle w:val="Prrafodelista"/>
        <w:numPr>
          <w:ilvl w:val="0"/>
          <w:numId w:val="13"/>
        </w:numPr>
        <w:pBdr>
          <w:top w:val="nil"/>
          <w:left w:val="nil"/>
          <w:bottom w:val="nil"/>
          <w:right w:val="nil"/>
          <w:between w:val="nil"/>
        </w:pBdr>
        <w:rPr>
          <w:i/>
          <w:sz w:val="22"/>
        </w:rPr>
      </w:pPr>
      <w:r w:rsidRPr="005F79C9">
        <w:rPr>
          <w:i/>
          <w:sz w:val="22"/>
        </w:rPr>
        <w:t xml:space="preserve"> Coordinación de fomento al deporte; </w:t>
      </w:r>
    </w:p>
    <w:p w14:paraId="73FDADDA" w14:textId="77777777" w:rsidR="001D301E" w:rsidRPr="005F79C9" w:rsidRDefault="001D301E" w:rsidP="001D301E">
      <w:pPr>
        <w:pStyle w:val="Prrafodelista"/>
        <w:numPr>
          <w:ilvl w:val="0"/>
          <w:numId w:val="13"/>
        </w:numPr>
        <w:pBdr>
          <w:top w:val="nil"/>
          <w:left w:val="nil"/>
          <w:bottom w:val="nil"/>
          <w:right w:val="nil"/>
          <w:between w:val="nil"/>
        </w:pBdr>
        <w:rPr>
          <w:i/>
          <w:sz w:val="22"/>
        </w:rPr>
      </w:pPr>
      <w:r w:rsidRPr="005F79C9">
        <w:rPr>
          <w:i/>
          <w:sz w:val="22"/>
        </w:rPr>
        <w:t xml:space="preserve"> Coordinación de infraestructura y mantenimiento;</w:t>
      </w:r>
    </w:p>
    <w:p w14:paraId="66036AB2" w14:textId="77777777" w:rsidR="001D301E" w:rsidRPr="005F79C9" w:rsidRDefault="001D301E" w:rsidP="001D301E">
      <w:pPr>
        <w:pStyle w:val="Prrafodelista"/>
        <w:numPr>
          <w:ilvl w:val="0"/>
          <w:numId w:val="13"/>
        </w:numPr>
        <w:pBdr>
          <w:top w:val="nil"/>
          <w:left w:val="nil"/>
          <w:bottom w:val="nil"/>
          <w:right w:val="nil"/>
          <w:between w:val="nil"/>
        </w:pBdr>
        <w:rPr>
          <w:i/>
          <w:sz w:val="22"/>
        </w:rPr>
      </w:pPr>
      <w:r w:rsidRPr="005F79C9">
        <w:rPr>
          <w:i/>
          <w:sz w:val="22"/>
        </w:rPr>
        <w:t xml:space="preserve"> Coordinación de trasparencia.</w:t>
      </w:r>
    </w:p>
    <w:p w14:paraId="2C211B16" w14:textId="77777777" w:rsidR="001D301E" w:rsidRPr="005F79C9" w:rsidRDefault="001D301E" w:rsidP="001D301E">
      <w:pPr>
        <w:pBdr>
          <w:top w:val="nil"/>
          <w:left w:val="nil"/>
          <w:bottom w:val="nil"/>
          <w:right w:val="nil"/>
          <w:between w:val="nil"/>
        </w:pBdr>
        <w:ind w:firstLine="708"/>
        <w:contextualSpacing/>
      </w:pPr>
    </w:p>
    <w:p w14:paraId="0D18EE77" w14:textId="77777777" w:rsidR="001D301E" w:rsidRPr="005F79C9" w:rsidRDefault="001D301E" w:rsidP="001D301E">
      <w:pPr>
        <w:pBdr>
          <w:top w:val="nil"/>
          <w:left w:val="nil"/>
          <w:bottom w:val="nil"/>
          <w:right w:val="nil"/>
          <w:between w:val="nil"/>
        </w:pBdr>
        <w:ind w:firstLine="708"/>
        <w:contextualSpacing/>
        <w:rPr>
          <w:i/>
          <w:sz w:val="22"/>
        </w:rPr>
      </w:pPr>
      <w:r w:rsidRPr="005F79C9">
        <w:rPr>
          <w:b/>
          <w:i/>
          <w:sz w:val="22"/>
        </w:rPr>
        <w:t>Artículo 6.</w:t>
      </w:r>
      <w:r w:rsidRPr="005F79C9">
        <w:rPr>
          <w:i/>
          <w:sz w:val="22"/>
        </w:rPr>
        <w:t xml:space="preserve"> Corresponde a la coordinación de finanzas las atribuciones siguientes:</w:t>
      </w:r>
    </w:p>
    <w:p w14:paraId="10810C0C" w14:textId="77777777" w:rsidR="001D301E" w:rsidRPr="005F79C9" w:rsidRDefault="001D301E" w:rsidP="001D301E">
      <w:pPr>
        <w:pBdr>
          <w:top w:val="nil"/>
          <w:left w:val="nil"/>
          <w:bottom w:val="nil"/>
          <w:right w:val="nil"/>
          <w:between w:val="nil"/>
        </w:pBdr>
        <w:ind w:left="708"/>
        <w:contextualSpacing/>
        <w:rPr>
          <w:i/>
          <w:sz w:val="22"/>
        </w:rPr>
      </w:pPr>
      <w:r w:rsidRPr="005F79C9">
        <w:rPr>
          <w:i/>
          <w:sz w:val="22"/>
        </w:rPr>
        <w:t>….</w:t>
      </w:r>
    </w:p>
    <w:p w14:paraId="41B7E068" w14:textId="77777777" w:rsidR="001D301E" w:rsidRPr="005F79C9" w:rsidRDefault="001D301E" w:rsidP="001D301E">
      <w:pPr>
        <w:pBdr>
          <w:top w:val="nil"/>
          <w:left w:val="nil"/>
          <w:bottom w:val="nil"/>
          <w:right w:val="nil"/>
          <w:between w:val="nil"/>
        </w:pBdr>
        <w:ind w:left="708"/>
        <w:contextualSpacing/>
        <w:rPr>
          <w:i/>
          <w:sz w:val="22"/>
        </w:rPr>
      </w:pPr>
      <w:r w:rsidRPr="005F79C9">
        <w:rPr>
          <w:i/>
          <w:sz w:val="22"/>
        </w:rPr>
        <w:t>VI. Conducir las relaciones laborales del instituto y vigilancia la aplicación de la normativa;</w:t>
      </w:r>
    </w:p>
    <w:p w14:paraId="4628CA86" w14:textId="77777777" w:rsidR="001D301E" w:rsidRPr="005F79C9" w:rsidRDefault="001D301E" w:rsidP="001D301E">
      <w:pPr>
        <w:pBdr>
          <w:top w:val="nil"/>
          <w:left w:val="nil"/>
          <w:bottom w:val="nil"/>
          <w:right w:val="nil"/>
          <w:between w:val="nil"/>
        </w:pBdr>
        <w:contextualSpacing/>
      </w:pPr>
    </w:p>
    <w:p w14:paraId="25EE613B" w14:textId="77777777" w:rsidR="001D301E" w:rsidRPr="005F79C9" w:rsidRDefault="001D301E" w:rsidP="001D301E">
      <w:pPr>
        <w:pBdr>
          <w:top w:val="nil"/>
          <w:left w:val="nil"/>
          <w:bottom w:val="nil"/>
          <w:right w:val="nil"/>
          <w:between w:val="nil"/>
        </w:pBdr>
        <w:contextualSpacing/>
        <w:rPr>
          <w:bCs/>
          <w:iCs/>
          <w:szCs w:val="24"/>
          <w:lang w:val="es-ES"/>
        </w:rPr>
      </w:pPr>
      <w:r w:rsidRPr="005F79C9">
        <w:rPr>
          <w:bCs/>
          <w:iCs/>
          <w:szCs w:val="24"/>
          <w:lang w:val="es-ES"/>
        </w:rPr>
        <w:t xml:space="preserve">De lo anterior, es de precisarse que entonces en términos de las atribuciones de la Coordinación de Finanzas es la unidad administrativa </w:t>
      </w:r>
      <w:r w:rsidR="003C76BF" w:rsidRPr="005F79C9">
        <w:rPr>
          <w:bCs/>
          <w:iCs/>
          <w:szCs w:val="24"/>
          <w:lang w:val="es-ES"/>
        </w:rPr>
        <w:t>que de manera enunciativa más no limitativa</w:t>
      </w:r>
      <w:r w:rsidRPr="005F79C9">
        <w:rPr>
          <w:bCs/>
          <w:iCs/>
          <w:szCs w:val="24"/>
          <w:lang w:val="es-ES"/>
        </w:rPr>
        <w:t xml:space="preserve"> podría generar, poseer y administrar la información correspondiente a los recibos de nómina sin embargo este Instituto advierte que el Titular de la Unidad de Transparencia fue omiso en turnar la solicitud a dicha área </w:t>
      </w:r>
      <w:r w:rsidR="00390440" w:rsidRPr="005F79C9">
        <w:rPr>
          <w:bCs/>
          <w:iCs/>
          <w:szCs w:val="24"/>
          <w:lang w:val="es-ES"/>
        </w:rPr>
        <w:t>en términos de lo establecido por el artículo 162 de la Ley de Transparencia Local.</w:t>
      </w:r>
    </w:p>
    <w:p w14:paraId="4514D326" w14:textId="77777777" w:rsidR="006B7C86" w:rsidRPr="005F79C9" w:rsidRDefault="006B7C86" w:rsidP="001D301E">
      <w:pPr>
        <w:pBdr>
          <w:top w:val="nil"/>
          <w:left w:val="nil"/>
          <w:bottom w:val="nil"/>
          <w:right w:val="nil"/>
          <w:between w:val="nil"/>
        </w:pBdr>
        <w:contextualSpacing/>
        <w:rPr>
          <w:bCs/>
          <w:iCs/>
          <w:szCs w:val="24"/>
          <w:lang w:val="es-ES"/>
        </w:rPr>
      </w:pPr>
    </w:p>
    <w:p w14:paraId="4AF533EB" w14:textId="77777777" w:rsidR="006B7C86" w:rsidRPr="005F79C9" w:rsidRDefault="006B7C86" w:rsidP="006B7C86">
      <w:pPr>
        <w:ind w:right="39"/>
        <w:rPr>
          <w:szCs w:val="24"/>
        </w:rPr>
      </w:pPr>
      <w:r w:rsidRPr="005F79C9">
        <w:rPr>
          <w:rFonts w:cs="Palatino Linotype"/>
          <w:color w:val="000000"/>
          <w:szCs w:val="24"/>
        </w:rPr>
        <w:t xml:space="preserve">En este sentido, es de recordarse que </w:t>
      </w:r>
      <w:r w:rsidRPr="005F79C9">
        <w:rPr>
          <w:color w:val="000000" w:themeColor="text1"/>
          <w:szCs w:val="24"/>
        </w:rPr>
        <w:t xml:space="preserve">los Sujetos Obligados contarán con un área denominada </w:t>
      </w:r>
      <w:r w:rsidRPr="005F79C9">
        <w:rPr>
          <w:b/>
          <w:bCs/>
          <w:color w:val="000000" w:themeColor="text1"/>
          <w:szCs w:val="24"/>
        </w:rPr>
        <w:t>Unidad de Transparencia</w:t>
      </w:r>
      <w:r w:rsidRPr="005F79C9">
        <w:rPr>
          <w:color w:val="000000" w:themeColor="text1"/>
          <w:szCs w:val="24"/>
          <w:vertAlign w:val="superscript"/>
        </w:rPr>
        <w:footnoteReference w:id="2"/>
      </w:r>
      <w:r w:rsidRPr="005F79C9">
        <w:rPr>
          <w:color w:val="000000" w:themeColor="text1"/>
          <w:szCs w:val="24"/>
        </w:rPr>
        <w:t xml:space="preserve">, la cual será presidida por un Titular, quien fungirá como enlace entre éstos y los solicitantes. Dicha Unidad </w:t>
      </w:r>
      <w:r w:rsidRPr="005F79C9">
        <w:rPr>
          <w:b/>
          <w:bCs/>
          <w:color w:val="000000" w:themeColor="text1"/>
          <w:szCs w:val="24"/>
        </w:rPr>
        <w:t>será la encargada de tramitar internamente la solicitud de información</w:t>
      </w:r>
      <w:r w:rsidRPr="005F79C9">
        <w:rPr>
          <w:color w:val="000000" w:themeColor="text1"/>
          <w:szCs w:val="24"/>
        </w:rPr>
        <w:t xml:space="preserve"> y tendrá la alta responsabilidad de verificar, en cada caso, que la misma no sea confidencial o reservada. Asimismo, contará </w:t>
      </w:r>
      <w:r w:rsidRPr="005F79C9">
        <w:rPr>
          <w:color w:val="000000" w:themeColor="text1"/>
          <w:szCs w:val="24"/>
        </w:rPr>
        <w:lastRenderedPageBreak/>
        <w:t xml:space="preserve">con las facultades internas necesarias para </w:t>
      </w:r>
      <w:r w:rsidRPr="005F79C9">
        <w:rPr>
          <w:b/>
          <w:bCs/>
          <w:color w:val="000000" w:themeColor="text1"/>
          <w:szCs w:val="24"/>
        </w:rPr>
        <w:t>gestionar la atención a las solicitudes de información.</w:t>
      </w:r>
    </w:p>
    <w:p w14:paraId="3BD5936A" w14:textId="77777777" w:rsidR="006B7C86" w:rsidRPr="005F79C9" w:rsidRDefault="006B7C86" w:rsidP="006B7C86">
      <w:pPr>
        <w:pStyle w:val="Prrafodelista"/>
        <w:ind w:left="0"/>
        <w:rPr>
          <w:szCs w:val="24"/>
        </w:rPr>
      </w:pPr>
    </w:p>
    <w:p w14:paraId="0B852992" w14:textId="77777777" w:rsidR="006B7C86" w:rsidRPr="005F79C9" w:rsidRDefault="006B7C86" w:rsidP="006B7C86">
      <w:pPr>
        <w:pStyle w:val="Prrafodelista"/>
        <w:ind w:left="0"/>
        <w:rPr>
          <w:rFonts w:eastAsia="MS Mincho"/>
          <w:color w:val="000000"/>
        </w:rPr>
      </w:pPr>
      <w:r w:rsidRPr="005F79C9">
        <w:rPr>
          <w:szCs w:val="24"/>
        </w:rPr>
        <w:t xml:space="preserve">De tal </w:t>
      </w:r>
      <w:r w:rsidRPr="005F79C9">
        <w:rPr>
          <w:rFonts w:eastAsia="MS Mincho"/>
          <w:color w:val="000000"/>
          <w:szCs w:val="24"/>
        </w:rPr>
        <w:t xml:space="preserve">manera que cada una de las áreas administrativas del </w:t>
      </w:r>
      <w:r w:rsidRPr="005F79C9">
        <w:rPr>
          <w:rFonts w:eastAsia="MS Mincho"/>
          <w:b/>
          <w:bCs/>
          <w:color w:val="000000"/>
          <w:szCs w:val="24"/>
        </w:rPr>
        <w:t>SUJETO OBLIGADO</w:t>
      </w:r>
      <w:r w:rsidRPr="005F79C9">
        <w:rPr>
          <w:rFonts w:eastAsia="MS Mincho"/>
          <w:color w:val="000000"/>
          <w:szCs w:val="24"/>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  en tal sentido al no cumplir con la obligación de turnar la solicitud de información a las unidades administrativas  que podrían poseer, generar o administrar la información </w:t>
      </w:r>
      <w:r w:rsidRPr="005F79C9">
        <w:rPr>
          <w:rFonts w:eastAsia="Palatino Linotype" w:cs="Palatino Linotype"/>
          <w:color w:val="000000"/>
          <w:szCs w:val="24"/>
        </w:rPr>
        <w:t>ocasiona que para el presente caso no se cumpliera con el principio de búsqueda exhaustiva de la información requerida, cuyo alcance se encuentra establecido en el Criterio Reiterado 02/19 emitido por el Pleno de este Organismo Garante, a saber:</w:t>
      </w:r>
    </w:p>
    <w:p w14:paraId="0E987446" w14:textId="77777777" w:rsidR="006B7C86" w:rsidRPr="005F79C9" w:rsidRDefault="006B7C86" w:rsidP="006B7C86">
      <w:pPr>
        <w:spacing w:line="276" w:lineRule="auto"/>
        <w:ind w:left="567" w:right="706"/>
        <w:rPr>
          <w:rFonts w:eastAsia="Palatino Linotype" w:cs="Palatino Linotype"/>
          <w:i/>
          <w:color w:val="000000"/>
        </w:rPr>
      </w:pPr>
      <w:r w:rsidRPr="005F79C9">
        <w:rPr>
          <w:rFonts w:eastAsia="Palatino Linotype" w:cs="Palatino Linotype"/>
          <w:b/>
          <w:i/>
          <w:color w:val="000000"/>
        </w:rPr>
        <w:t>“</w:t>
      </w:r>
      <w:r w:rsidRPr="005F79C9">
        <w:rPr>
          <w:rFonts w:eastAsia="Palatino Linotype" w:cs="Palatino Linotype"/>
          <w:b/>
          <w:i/>
          <w:color w:val="000000"/>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5F79C9">
        <w:rPr>
          <w:rFonts w:eastAsia="Palatino Linotype" w:cs="Palatino Linotype"/>
          <w:i/>
          <w:color w:val="000000"/>
          <w:sz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w:t>
      </w:r>
      <w:r w:rsidRPr="005F79C9">
        <w:rPr>
          <w:rFonts w:eastAsia="Palatino Linotype" w:cs="Palatino Linotype"/>
          <w:i/>
          <w:color w:val="000000"/>
          <w:sz w:val="22"/>
        </w:rPr>
        <w:lastRenderedPageBreak/>
        <w:t>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9B157AE" w14:textId="77777777" w:rsidR="006B7C86" w:rsidRPr="005F79C9" w:rsidRDefault="006B7C86" w:rsidP="006B7C86">
      <w:pPr>
        <w:pBdr>
          <w:top w:val="nil"/>
          <w:left w:val="nil"/>
          <w:bottom w:val="nil"/>
          <w:right w:val="nil"/>
          <w:between w:val="nil"/>
        </w:pBdr>
        <w:rPr>
          <w:rFonts w:eastAsia="Palatino Linotype" w:cs="Palatino Linotype"/>
          <w:color w:val="000000"/>
          <w:szCs w:val="24"/>
        </w:rPr>
      </w:pPr>
    </w:p>
    <w:p w14:paraId="737D752A" w14:textId="77777777" w:rsidR="006B7C86" w:rsidRPr="005F79C9" w:rsidRDefault="006B7C86" w:rsidP="006B7C86">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14:paraId="2F04CCFC" w14:textId="77777777" w:rsidR="006B7C86" w:rsidRPr="005F79C9" w:rsidRDefault="006B7C86" w:rsidP="006B7C86">
      <w:pPr>
        <w:pBdr>
          <w:top w:val="nil"/>
          <w:left w:val="nil"/>
          <w:bottom w:val="nil"/>
          <w:right w:val="nil"/>
          <w:between w:val="nil"/>
        </w:pBdr>
        <w:ind w:left="851" w:right="851"/>
        <w:rPr>
          <w:rFonts w:eastAsia="Palatino Linotype" w:cs="Palatino Linotype"/>
          <w:i/>
          <w:color w:val="000000"/>
          <w:sz w:val="22"/>
        </w:rPr>
      </w:pPr>
      <w:r w:rsidRPr="005F79C9">
        <w:rPr>
          <w:rFonts w:eastAsia="Palatino Linotype" w:cs="Palatino Linotype"/>
          <w:b/>
          <w:i/>
          <w:color w:val="000000"/>
          <w:sz w:val="22"/>
        </w:rPr>
        <w:t xml:space="preserve">“Congruencia y exhaustividad. Sus alcances para garantizar el derecho de acceso a la información. </w:t>
      </w:r>
      <w:r w:rsidRPr="005F79C9">
        <w:rPr>
          <w:rFonts w:eastAsia="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F79C9">
        <w:rPr>
          <w:rFonts w:eastAsia="Palatino Linotype" w:cs="Palatino Linotype"/>
          <w:b/>
          <w:i/>
          <w:color w:val="000000"/>
          <w:sz w:val="22"/>
        </w:rPr>
        <w:t>la congruencia implica que exista concordancia entre el requerimiento formulado por el particular y la respuesta proporcionada por el sujeto obligado</w:t>
      </w:r>
      <w:r w:rsidRPr="005F79C9">
        <w:rPr>
          <w:rFonts w:eastAsia="Palatino Linotype" w:cs="Palatino Linotype"/>
          <w:i/>
          <w:color w:val="000000"/>
          <w:sz w:val="22"/>
        </w:rPr>
        <w:t xml:space="preserve">; mientras que </w:t>
      </w:r>
      <w:r w:rsidRPr="005F79C9">
        <w:rPr>
          <w:rFonts w:eastAsia="Palatino Linotype" w:cs="Palatino Linotype"/>
          <w:b/>
          <w:i/>
          <w:color w:val="000000"/>
          <w:sz w:val="22"/>
        </w:rPr>
        <w:t>la exhaustividad significa que dicha respuesta se refiera expresamente a cada uno de los puntos solicitados</w:t>
      </w:r>
      <w:r w:rsidRPr="005F79C9">
        <w:rPr>
          <w:rFonts w:eastAsia="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638BBC8" w14:textId="77777777" w:rsidR="006B7C86" w:rsidRPr="005F79C9" w:rsidRDefault="006B7C86" w:rsidP="00A868F0">
      <w:pPr>
        <w:contextualSpacing/>
        <w:rPr>
          <w:bCs/>
          <w:iCs/>
          <w:szCs w:val="24"/>
          <w:lang w:val="es-ES"/>
        </w:rPr>
      </w:pPr>
    </w:p>
    <w:p w14:paraId="2988D880" w14:textId="77777777" w:rsidR="00A868F0" w:rsidRPr="005F79C9" w:rsidRDefault="00A868F0" w:rsidP="00A868F0">
      <w:pPr>
        <w:contextualSpacing/>
        <w:rPr>
          <w:b/>
          <w:bCs/>
          <w:iCs/>
          <w:szCs w:val="24"/>
          <w:lang w:val="es-ES"/>
        </w:rPr>
      </w:pPr>
      <w:r w:rsidRPr="005F79C9">
        <w:rPr>
          <w:bCs/>
          <w:iCs/>
          <w:szCs w:val="24"/>
          <w:lang w:val="es-ES"/>
        </w:rPr>
        <w:t xml:space="preserve">En este contexto, el Anexo IV.2 Clasificación por objeto del gasto, del Manual para la Planeación, Programación y Presupuesto de Egresos Municipal, establece que los </w:t>
      </w:r>
      <w:r w:rsidRPr="005F79C9">
        <w:rPr>
          <w:bCs/>
          <w:iCs/>
          <w:szCs w:val="24"/>
          <w:lang w:val="es-ES"/>
        </w:rPr>
        <w:lastRenderedPageBreak/>
        <w:t xml:space="preserve">Presupuestos de Egresos Municipales, se tendrán que generar, conforme al “Clasificador por Objeto del Gasto”, el cual se conforma de diversos capítulos, entre los cuales, se encuentra el </w:t>
      </w:r>
      <w:r w:rsidRPr="005F79C9">
        <w:rPr>
          <w:b/>
          <w:bCs/>
          <w:iCs/>
          <w:szCs w:val="24"/>
          <w:lang w:val="es-ES"/>
        </w:rPr>
        <w:t>1000 Servicios Personales</w:t>
      </w:r>
      <w:r w:rsidRPr="005F79C9">
        <w:rPr>
          <w:bCs/>
          <w:iCs/>
          <w:szCs w:val="24"/>
          <w:lang w:val="es-ES"/>
        </w:rPr>
        <w:t>,</w:t>
      </w:r>
      <w:r w:rsidRPr="005F79C9">
        <w:rPr>
          <w:b/>
          <w:bCs/>
          <w:iCs/>
          <w:szCs w:val="24"/>
          <w:lang w:val="es-ES"/>
        </w:rPr>
        <w:t xml:space="preserve"> que agrupa las remuneraciones del personal al servicio de los entes públicos, tales como el sueldo, salarios, dietas, honorarios, prestaciones, obligaciones laborales, entre otras.</w:t>
      </w:r>
    </w:p>
    <w:p w14:paraId="01E66F1C" w14:textId="77777777" w:rsidR="00A868F0" w:rsidRPr="005F79C9" w:rsidRDefault="00A868F0" w:rsidP="00A868F0">
      <w:pPr>
        <w:contextualSpacing/>
        <w:rPr>
          <w:bCs/>
          <w:szCs w:val="24"/>
          <w:lang w:val="es-ES"/>
        </w:rPr>
      </w:pPr>
    </w:p>
    <w:p w14:paraId="00413907" w14:textId="77777777" w:rsidR="00A868F0" w:rsidRPr="005F79C9" w:rsidRDefault="00A868F0" w:rsidP="00A868F0">
      <w:pPr>
        <w:ind w:right="-28"/>
        <w:rPr>
          <w:rFonts w:eastAsia="Palatino Linotype" w:cs="Palatino Linotype"/>
          <w:szCs w:val="24"/>
        </w:rPr>
      </w:pPr>
      <w:r w:rsidRPr="005F79C9">
        <w:rPr>
          <w:rFonts w:eastAsia="Palatino Linotype" w:cs="Palatino Linotype"/>
          <w:szCs w:val="24"/>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14:paraId="61356955"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b/>
          <w:i/>
          <w:sz w:val="22"/>
        </w:rPr>
        <w:t>“Artículo 92.</w:t>
      </w:r>
      <w:r w:rsidRPr="005F79C9">
        <w:rPr>
          <w:rFonts w:eastAsia="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16BDA9"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b/>
          <w:i/>
          <w:sz w:val="22"/>
        </w:rPr>
        <w:t>(…)</w:t>
      </w:r>
    </w:p>
    <w:p w14:paraId="5876D987"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b/>
          <w:i/>
          <w:sz w:val="22"/>
        </w:rPr>
        <w:t xml:space="preserve">VIII. La remuneración bruta y neta de todos los servidores públicos de base o de confianza, </w:t>
      </w:r>
      <w:r w:rsidRPr="005F79C9">
        <w:rPr>
          <w:rFonts w:eastAsia="Palatino Linotype" w:cs="Palatino Linotype"/>
          <w:i/>
          <w:sz w:val="22"/>
        </w:rPr>
        <w:t>de todas las percepciones, incluyendo sueldos, prestaciones, gratificaciones, primas, comisiones, dietas, bonos, estímulos, ingresos y sistemas de compensación, señalando la periodicidad de dicha remuneración;</w:t>
      </w:r>
    </w:p>
    <w:p w14:paraId="628407C7"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b/>
          <w:i/>
          <w:sz w:val="22"/>
        </w:rPr>
        <w:t>(…)</w:t>
      </w:r>
      <w:r w:rsidRPr="005F79C9">
        <w:rPr>
          <w:rFonts w:eastAsia="Palatino Linotype" w:cs="Palatino Linotype"/>
          <w:i/>
          <w:sz w:val="22"/>
        </w:rPr>
        <w:t xml:space="preserve">”  </w:t>
      </w:r>
    </w:p>
    <w:p w14:paraId="7E2B412B" w14:textId="77777777" w:rsidR="00A868F0" w:rsidRPr="005F79C9" w:rsidRDefault="00A868F0" w:rsidP="00A868F0">
      <w:pPr>
        <w:ind w:right="-592"/>
        <w:rPr>
          <w:rFonts w:eastAsia="Palatino Linotype" w:cs="Palatino Linotype"/>
          <w:i/>
          <w:szCs w:val="24"/>
        </w:rPr>
      </w:pPr>
    </w:p>
    <w:p w14:paraId="5C7013B1" w14:textId="77777777" w:rsidR="00A868F0" w:rsidRPr="005F79C9" w:rsidRDefault="00A868F0" w:rsidP="00A868F0">
      <w:pPr>
        <w:ind w:right="-28"/>
        <w:rPr>
          <w:rFonts w:eastAsia="Palatino Linotype" w:cs="Palatino Linotype"/>
          <w:szCs w:val="24"/>
        </w:rPr>
      </w:pPr>
      <w:r w:rsidRPr="005F79C9">
        <w:rPr>
          <w:rFonts w:eastAsia="Palatino Linotype" w:cs="Palatino Linotype"/>
          <w:szCs w:val="24"/>
        </w:rPr>
        <w:t xml:space="preserve">Por otra parte, la Ley del Trabajo de los Servidores Públicos del Estado y Municipios, en su artículo 220 K, establece los documentos que tiene la obligación de conservar el </w:t>
      </w:r>
      <w:r w:rsidRPr="005F79C9">
        <w:rPr>
          <w:rFonts w:eastAsia="Palatino Linotype" w:cs="Palatino Linotype"/>
          <w:b/>
          <w:szCs w:val="24"/>
        </w:rPr>
        <w:t>SUJETO OBLIGADO</w:t>
      </w:r>
      <w:r w:rsidRPr="005F79C9">
        <w:rPr>
          <w:rFonts w:eastAsia="Palatino Linotype" w:cs="Palatino Linotype"/>
          <w:szCs w:val="24"/>
        </w:rPr>
        <w:t xml:space="preserve">, entre los que se encuentran los recibos de pagos: </w:t>
      </w:r>
    </w:p>
    <w:p w14:paraId="52B05DEB"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i/>
          <w:sz w:val="22"/>
        </w:rPr>
        <w:t>“</w:t>
      </w:r>
      <w:r w:rsidRPr="005F79C9">
        <w:rPr>
          <w:rFonts w:eastAsia="Palatino Linotype" w:cs="Palatino Linotype"/>
          <w:b/>
          <w:i/>
          <w:sz w:val="22"/>
        </w:rPr>
        <w:t>ARTÍCULO 220 K.-</w:t>
      </w:r>
      <w:r w:rsidRPr="005F79C9">
        <w:rPr>
          <w:rFonts w:eastAsia="Palatino Linotype" w:cs="Palatino Linotype"/>
          <w:i/>
          <w:sz w:val="22"/>
        </w:rPr>
        <w:t xml:space="preserve"> La institución o dependencia pública tiene la obligación de conservar y exhibir en el proceso los documentos que a continuación se precisan: </w:t>
      </w:r>
    </w:p>
    <w:p w14:paraId="530FDA6F"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i/>
          <w:sz w:val="22"/>
        </w:rPr>
        <w:t xml:space="preserve">I. Contratos, Nombramientos o Formato Único de Movimientos de Personal, cuando no exista Convenio de condiciones generales de trabajo aplicable; </w:t>
      </w:r>
    </w:p>
    <w:p w14:paraId="223BBAE7"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b/>
          <w:i/>
          <w:sz w:val="22"/>
        </w:rPr>
        <w:t>II. Recibos de pagos de salarios</w:t>
      </w:r>
      <w:r w:rsidRPr="005F79C9">
        <w:rPr>
          <w:rFonts w:eastAsia="Palatino Linotype" w:cs="Palatino Linotype"/>
          <w:i/>
          <w:sz w:val="22"/>
        </w:rPr>
        <w:t xml:space="preserve"> o las constancias documentales del pago de salario cuando sea por depósito o mediante información electrónica; </w:t>
      </w:r>
    </w:p>
    <w:p w14:paraId="687DFCF1"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i/>
          <w:sz w:val="22"/>
        </w:rPr>
        <w:t xml:space="preserve">III. Controles de asistencia o la información magnética o electrónica de asistencia de los servidores públicos; </w:t>
      </w:r>
    </w:p>
    <w:p w14:paraId="445D9F43"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i/>
          <w:sz w:val="22"/>
        </w:rPr>
        <w:t xml:space="preserve">IV. Recibos o las constancias de depósito o del medio de información magnética o electrónica que sean utilizadas para el pago de salarios, prima vacacional, aguinaldo y demás prestaciones establecidas en la presente ley; y </w:t>
      </w:r>
    </w:p>
    <w:p w14:paraId="56B3B4E4"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i/>
          <w:sz w:val="22"/>
        </w:rPr>
        <w:t>V. Los demás que señalen las leyes.</w:t>
      </w:r>
    </w:p>
    <w:p w14:paraId="472F69B7" w14:textId="77777777" w:rsidR="00A868F0" w:rsidRPr="005F79C9" w:rsidRDefault="00A868F0" w:rsidP="00A868F0">
      <w:pPr>
        <w:ind w:left="567" w:right="539"/>
        <w:rPr>
          <w:rFonts w:eastAsia="Palatino Linotype" w:cs="Palatino Linotype"/>
          <w:i/>
          <w:sz w:val="22"/>
        </w:rPr>
      </w:pPr>
      <w:r w:rsidRPr="005F79C9">
        <w:rPr>
          <w:rFonts w:eastAsia="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00F777FD" w14:textId="77777777" w:rsidR="000D74BE" w:rsidRPr="005F79C9" w:rsidRDefault="000D74BE" w:rsidP="00A868F0">
      <w:pPr>
        <w:tabs>
          <w:tab w:val="left" w:pos="709"/>
        </w:tabs>
        <w:rPr>
          <w:szCs w:val="24"/>
        </w:rPr>
      </w:pPr>
    </w:p>
    <w:p w14:paraId="30C2C49B" w14:textId="77777777" w:rsidR="00A868F0" w:rsidRPr="005F79C9" w:rsidRDefault="000D74BE" w:rsidP="00A868F0">
      <w:pPr>
        <w:tabs>
          <w:tab w:val="left" w:pos="709"/>
        </w:tabs>
        <w:rPr>
          <w:szCs w:val="24"/>
        </w:rPr>
      </w:pPr>
      <w:r w:rsidRPr="005F79C9">
        <w:rPr>
          <w:szCs w:val="24"/>
        </w:rPr>
        <w:lastRenderedPageBreak/>
        <w:t xml:space="preserve">Ahora bien, respecto el pronunciamiento del Titular de la Unidad de Transparencia los recibos de nómina requeridos por el Recurrente si contienen datos que dada su naturaleza deben de resguardarse sin embargo también lo es que pudo haber generado en el ámbito de sus atribuciones una versión pública a efecto de satisfacer el derecho al acceso a la información del Recurrente, por lo que a continuación se profundiza respecto la información susceptible de ser clasificada como confidencial; </w:t>
      </w:r>
    </w:p>
    <w:p w14:paraId="3AFD41C8" w14:textId="77777777" w:rsidR="00A868F0" w:rsidRPr="005F79C9" w:rsidRDefault="00A868F0" w:rsidP="00A868F0">
      <w:pPr>
        <w:pStyle w:val="Ttulo3"/>
        <w:numPr>
          <w:ilvl w:val="0"/>
          <w:numId w:val="5"/>
        </w:numPr>
        <w:tabs>
          <w:tab w:val="num" w:pos="360"/>
        </w:tabs>
        <w:ind w:left="720" w:hanging="360"/>
        <w:rPr>
          <w:rFonts w:eastAsia="Palatino Linotype" w:cs="Palatino Linotype"/>
          <w:b/>
          <w:color w:val="000000"/>
        </w:rPr>
      </w:pPr>
      <w:r w:rsidRPr="005F79C9">
        <w:rPr>
          <w:rFonts w:eastAsia="Palatino Linotype" w:cs="Palatino Linotype"/>
          <w:b/>
          <w:color w:val="000000"/>
        </w:rPr>
        <w:t>Clave Única de Registro de Población (CURP).</w:t>
      </w:r>
    </w:p>
    <w:p w14:paraId="20D161F9" w14:textId="77777777" w:rsidR="00A868F0" w:rsidRPr="005F79C9" w:rsidRDefault="00A868F0" w:rsidP="00A868F0">
      <w:pPr>
        <w:pBdr>
          <w:top w:val="nil"/>
          <w:left w:val="nil"/>
          <w:bottom w:val="nil"/>
          <w:right w:val="nil"/>
          <w:between w:val="nil"/>
        </w:pBdr>
        <w:tabs>
          <w:tab w:val="left" w:pos="709"/>
        </w:tabs>
        <w:ind w:right="49"/>
        <w:rPr>
          <w:rFonts w:eastAsia="Palatino Linotype" w:cs="Palatino Linotype"/>
          <w:color w:val="000000"/>
          <w:szCs w:val="24"/>
        </w:rPr>
      </w:pPr>
      <w:r w:rsidRPr="005F79C9">
        <w:rPr>
          <w:rFonts w:eastAsia="Palatino Linotype" w:cs="Palatino Linotype"/>
          <w:color w:val="000000"/>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1BA85431" w14:textId="77777777" w:rsidR="00A868F0" w:rsidRPr="005F79C9" w:rsidRDefault="00A868F0" w:rsidP="00A868F0">
      <w:pPr>
        <w:tabs>
          <w:tab w:val="left" w:pos="851"/>
        </w:tabs>
        <w:ind w:right="49"/>
        <w:jc w:val="center"/>
        <w:rPr>
          <w:rFonts w:eastAsia="Palatino Linotype" w:cs="Palatino Linotype"/>
        </w:rPr>
      </w:pPr>
      <w:r w:rsidRPr="005F79C9">
        <w:rPr>
          <w:noProof/>
          <w:lang w:val="es-MX"/>
        </w:rPr>
        <w:drawing>
          <wp:inline distT="0" distB="0" distL="0" distR="0" wp14:anchorId="3FA1480A" wp14:editId="29557ACE">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7"/>
                    <a:srcRect l="25748" t="8269" r="41254" b="18081"/>
                    <a:stretch>
                      <a:fillRect/>
                    </a:stretch>
                  </pic:blipFill>
                  <pic:spPr>
                    <a:xfrm>
                      <a:off x="0" y="0"/>
                      <a:ext cx="4636055" cy="3275682"/>
                    </a:xfrm>
                    <a:prstGeom prst="rect">
                      <a:avLst/>
                    </a:prstGeom>
                    <a:ln/>
                  </pic:spPr>
                </pic:pic>
              </a:graphicData>
            </a:graphic>
          </wp:inline>
        </w:drawing>
      </w:r>
    </w:p>
    <w:p w14:paraId="23B2A143" w14:textId="77777777" w:rsidR="00A868F0" w:rsidRPr="005F79C9" w:rsidRDefault="00A868F0" w:rsidP="00A868F0">
      <w:pPr>
        <w:tabs>
          <w:tab w:val="left" w:pos="851"/>
        </w:tabs>
        <w:ind w:right="49"/>
        <w:rPr>
          <w:rFonts w:eastAsia="Palatino Linotype" w:cs="Palatino Linotype"/>
        </w:rPr>
      </w:pPr>
    </w:p>
    <w:p w14:paraId="16E1496E" w14:textId="77777777" w:rsidR="00A868F0" w:rsidRPr="005F79C9" w:rsidRDefault="00A868F0" w:rsidP="00A868F0">
      <w:pPr>
        <w:pBdr>
          <w:top w:val="nil"/>
          <w:left w:val="nil"/>
          <w:bottom w:val="nil"/>
          <w:right w:val="nil"/>
          <w:between w:val="nil"/>
        </w:pBdr>
        <w:tabs>
          <w:tab w:val="left" w:pos="567"/>
        </w:tabs>
        <w:ind w:right="49"/>
        <w:rPr>
          <w:rFonts w:eastAsia="Palatino Linotype" w:cs="Palatino Linotype"/>
          <w:color w:val="000000"/>
          <w:szCs w:val="24"/>
        </w:rPr>
      </w:pPr>
      <w:r w:rsidRPr="005F79C9">
        <w:rPr>
          <w:rFonts w:eastAsia="Palatino Linotype" w:cs="Palatino Linotype"/>
          <w:color w:val="000000"/>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5BCABC61" w14:textId="77777777" w:rsidR="00A868F0" w:rsidRPr="005F79C9" w:rsidRDefault="00A868F0" w:rsidP="00A868F0">
      <w:pPr>
        <w:tabs>
          <w:tab w:val="left" w:pos="0"/>
          <w:tab w:val="left" w:pos="426"/>
        </w:tabs>
        <w:ind w:right="49"/>
        <w:rPr>
          <w:rFonts w:eastAsia="Palatino Linotype" w:cs="Palatino Linotype"/>
        </w:rPr>
      </w:pPr>
    </w:p>
    <w:p w14:paraId="0BA9B0A8" w14:textId="77777777" w:rsidR="00A868F0" w:rsidRPr="005F79C9" w:rsidRDefault="00A868F0" w:rsidP="00A868F0">
      <w:pPr>
        <w:pBdr>
          <w:top w:val="nil"/>
          <w:left w:val="nil"/>
          <w:bottom w:val="nil"/>
          <w:right w:val="nil"/>
          <w:between w:val="nil"/>
        </w:pBdr>
        <w:tabs>
          <w:tab w:val="left" w:pos="0"/>
          <w:tab w:val="left" w:pos="426"/>
        </w:tabs>
        <w:ind w:right="49"/>
        <w:rPr>
          <w:rFonts w:eastAsia="Palatino Linotype" w:cs="Palatino Linotype"/>
          <w:color w:val="000000"/>
          <w:szCs w:val="24"/>
        </w:rPr>
      </w:pPr>
      <w:r w:rsidRPr="005F79C9">
        <w:rPr>
          <w:rFonts w:eastAsia="Palatino Linotype" w:cs="Palatino Linotype"/>
          <w:color w:val="000000"/>
          <w:szCs w:val="24"/>
        </w:rPr>
        <w:t xml:space="preserve">Entre las características de la CURP, se encuentra: </w:t>
      </w:r>
    </w:p>
    <w:p w14:paraId="07EAC13A" w14:textId="77777777" w:rsidR="00A868F0" w:rsidRPr="005F79C9" w:rsidRDefault="00A868F0" w:rsidP="00A868F0">
      <w:pPr>
        <w:tabs>
          <w:tab w:val="left" w:pos="426"/>
          <w:tab w:val="left" w:pos="567"/>
        </w:tabs>
        <w:ind w:left="567" w:right="567"/>
        <w:rPr>
          <w:rFonts w:eastAsia="Palatino Linotype" w:cs="Palatino Linotype"/>
          <w:szCs w:val="24"/>
        </w:rPr>
      </w:pPr>
      <w:r w:rsidRPr="005F79C9">
        <w:rPr>
          <w:rFonts w:eastAsia="Palatino Linotype" w:cs="Palatino Linotype"/>
          <w:b/>
          <w:szCs w:val="24"/>
        </w:rPr>
        <w:t xml:space="preserve">Composición. </w:t>
      </w:r>
      <w:r w:rsidRPr="005F79C9">
        <w:rPr>
          <w:rFonts w:eastAsia="Palatino Linotype" w:cs="Palatino Linotype"/>
          <w:szCs w:val="24"/>
        </w:rPr>
        <w:t>Alfanumérica.</w:t>
      </w:r>
    </w:p>
    <w:p w14:paraId="54037748" w14:textId="77777777" w:rsidR="00A868F0" w:rsidRPr="005F79C9" w:rsidRDefault="00A868F0" w:rsidP="00A868F0">
      <w:pPr>
        <w:tabs>
          <w:tab w:val="left" w:pos="426"/>
          <w:tab w:val="left" w:pos="567"/>
        </w:tabs>
        <w:ind w:left="567" w:right="567"/>
        <w:rPr>
          <w:rFonts w:eastAsia="Palatino Linotype" w:cs="Palatino Linotype"/>
          <w:szCs w:val="24"/>
        </w:rPr>
      </w:pPr>
      <w:r w:rsidRPr="005F79C9">
        <w:rPr>
          <w:rFonts w:eastAsia="Palatino Linotype" w:cs="Palatino Linotype"/>
          <w:b/>
          <w:szCs w:val="24"/>
        </w:rPr>
        <w:t xml:space="preserve">Longitud. </w:t>
      </w:r>
      <w:r w:rsidRPr="005F79C9">
        <w:rPr>
          <w:rFonts w:eastAsia="Palatino Linotype" w:cs="Palatino Linotype"/>
          <w:szCs w:val="24"/>
        </w:rPr>
        <w:t xml:space="preserve"> 18 caracteres.</w:t>
      </w:r>
    </w:p>
    <w:p w14:paraId="2403DB40" w14:textId="77777777" w:rsidR="00A868F0" w:rsidRPr="005F79C9" w:rsidRDefault="00A868F0" w:rsidP="00A868F0">
      <w:pPr>
        <w:tabs>
          <w:tab w:val="left" w:pos="426"/>
          <w:tab w:val="left" w:pos="567"/>
        </w:tabs>
        <w:ind w:left="567" w:right="567"/>
        <w:rPr>
          <w:rFonts w:eastAsia="Palatino Linotype" w:cs="Palatino Linotype"/>
          <w:szCs w:val="24"/>
        </w:rPr>
      </w:pPr>
      <w:r w:rsidRPr="005F79C9">
        <w:rPr>
          <w:rFonts w:eastAsia="Palatino Linotype" w:cs="Palatino Linotype"/>
          <w:b/>
          <w:szCs w:val="24"/>
        </w:rPr>
        <w:t xml:space="preserve">Naturaleza. </w:t>
      </w:r>
      <w:r w:rsidRPr="005F79C9">
        <w:rPr>
          <w:rFonts w:eastAsia="Palatino Linotype" w:cs="Palatino Linotype"/>
          <w:szCs w:val="24"/>
        </w:rPr>
        <w:t>Biunívoca.</w:t>
      </w:r>
    </w:p>
    <w:p w14:paraId="42FEF4C6" w14:textId="77777777" w:rsidR="00A868F0" w:rsidRPr="005F79C9" w:rsidRDefault="00A868F0" w:rsidP="00A868F0">
      <w:pPr>
        <w:tabs>
          <w:tab w:val="left" w:pos="426"/>
          <w:tab w:val="left" w:pos="567"/>
        </w:tabs>
        <w:ind w:left="567" w:right="567"/>
        <w:rPr>
          <w:rFonts w:eastAsia="Palatino Linotype" w:cs="Palatino Linotype"/>
          <w:szCs w:val="24"/>
        </w:rPr>
      </w:pPr>
      <w:r w:rsidRPr="005F79C9">
        <w:rPr>
          <w:rFonts w:eastAsia="Palatino Linotype" w:cs="Palatino Linotype"/>
          <w:b/>
          <w:szCs w:val="24"/>
        </w:rPr>
        <w:t xml:space="preserve">Universalidad. </w:t>
      </w:r>
      <w:r w:rsidRPr="005F79C9">
        <w:rPr>
          <w:rFonts w:eastAsia="Palatino Linotype" w:cs="Palatino Linotype"/>
          <w:szCs w:val="24"/>
        </w:rPr>
        <w:t>Se asigna a todas las personas que conforman la población.</w:t>
      </w:r>
    </w:p>
    <w:p w14:paraId="4A01378E" w14:textId="77777777" w:rsidR="00A868F0" w:rsidRPr="005F79C9" w:rsidRDefault="00A868F0" w:rsidP="00A868F0">
      <w:pPr>
        <w:tabs>
          <w:tab w:val="left" w:pos="426"/>
          <w:tab w:val="left" w:pos="567"/>
        </w:tabs>
        <w:ind w:left="567" w:right="567"/>
        <w:rPr>
          <w:rFonts w:eastAsia="Palatino Linotype" w:cs="Palatino Linotype"/>
          <w:b/>
          <w:szCs w:val="24"/>
        </w:rPr>
      </w:pPr>
      <w:r w:rsidRPr="005F79C9">
        <w:rPr>
          <w:rFonts w:eastAsia="Palatino Linotype" w:cs="Palatino Linotype"/>
          <w:b/>
          <w:szCs w:val="24"/>
        </w:rPr>
        <w:t xml:space="preserve">Verificabilidad. </w:t>
      </w:r>
      <w:r w:rsidRPr="005F79C9">
        <w:rPr>
          <w:rFonts w:eastAsia="Palatino Linotype" w:cs="Palatino Linotype"/>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5F79C9">
        <w:rPr>
          <w:rFonts w:eastAsia="Palatino Linotype" w:cs="Palatino Linotype"/>
          <w:b/>
          <w:szCs w:val="24"/>
        </w:rPr>
        <w:t xml:space="preserve">  </w:t>
      </w:r>
    </w:p>
    <w:p w14:paraId="2BBD2472" w14:textId="77777777" w:rsidR="00A868F0" w:rsidRPr="005F79C9" w:rsidRDefault="00A868F0" w:rsidP="00A868F0">
      <w:pPr>
        <w:pBdr>
          <w:top w:val="nil"/>
          <w:left w:val="nil"/>
          <w:bottom w:val="nil"/>
          <w:right w:val="nil"/>
          <w:between w:val="nil"/>
        </w:pBdr>
        <w:tabs>
          <w:tab w:val="left" w:pos="567"/>
        </w:tabs>
        <w:ind w:right="49"/>
        <w:rPr>
          <w:rFonts w:eastAsia="Palatino Linotype" w:cs="Palatino Linotype"/>
          <w:b/>
          <w:sz w:val="28"/>
          <w:szCs w:val="28"/>
          <w:u w:val="single"/>
        </w:rPr>
      </w:pPr>
    </w:p>
    <w:p w14:paraId="122BE56F" w14:textId="77777777" w:rsidR="00A868F0" w:rsidRPr="005F79C9" w:rsidRDefault="00A868F0" w:rsidP="00A868F0">
      <w:pPr>
        <w:pBdr>
          <w:top w:val="nil"/>
          <w:left w:val="nil"/>
          <w:bottom w:val="nil"/>
          <w:right w:val="nil"/>
          <w:between w:val="nil"/>
        </w:pBdr>
        <w:tabs>
          <w:tab w:val="left" w:pos="567"/>
        </w:tabs>
        <w:ind w:right="49"/>
        <w:rPr>
          <w:rFonts w:eastAsia="Palatino Linotype" w:cs="Palatino Linotype"/>
          <w:i/>
          <w:color w:val="000000"/>
          <w:szCs w:val="24"/>
        </w:rPr>
      </w:pPr>
      <w:r w:rsidRPr="005F79C9">
        <w:rPr>
          <w:rFonts w:eastAsia="Palatino Linotype" w:cs="Palatino Linotype"/>
          <w:color w:val="000000"/>
          <w:szCs w:val="24"/>
        </w:rPr>
        <w:t xml:space="preserve">Del mismo modo, los Lineamientos en comento señalan </w:t>
      </w:r>
      <w:r w:rsidR="00DA53CE" w:rsidRPr="005F79C9">
        <w:rPr>
          <w:rFonts w:eastAsia="Palatino Linotype" w:cs="Palatino Linotype"/>
          <w:color w:val="000000"/>
          <w:szCs w:val="24"/>
        </w:rPr>
        <w:t xml:space="preserve">en su artículo Décimo Tercero, </w:t>
      </w:r>
      <w:r w:rsidRPr="005F79C9">
        <w:rPr>
          <w:rFonts w:eastAsia="Palatino Linotype" w:cs="Palatino Linotype"/>
          <w:color w:val="000000"/>
          <w:szCs w:val="24"/>
        </w:rPr>
        <w:t xml:space="preserve">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390D99C2" w14:textId="77777777" w:rsidR="00A868F0" w:rsidRPr="005F79C9" w:rsidRDefault="00A868F0" w:rsidP="00A868F0">
      <w:pPr>
        <w:tabs>
          <w:tab w:val="left" w:pos="567"/>
        </w:tabs>
        <w:ind w:right="49"/>
        <w:rPr>
          <w:rFonts w:eastAsia="Palatino Linotype" w:cs="Palatino Linotype"/>
          <w:i/>
          <w:szCs w:val="24"/>
        </w:rPr>
      </w:pPr>
    </w:p>
    <w:p w14:paraId="59D0776C" w14:textId="77777777" w:rsidR="00A868F0" w:rsidRPr="005F79C9" w:rsidRDefault="00A868F0" w:rsidP="00A868F0">
      <w:pPr>
        <w:pBdr>
          <w:top w:val="nil"/>
          <w:left w:val="nil"/>
          <w:bottom w:val="nil"/>
          <w:right w:val="nil"/>
          <w:between w:val="nil"/>
        </w:pBdr>
        <w:tabs>
          <w:tab w:val="left" w:pos="567"/>
        </w:tabs>
        <w:ind w:right="49"/>
        <w:rPr>
          <w:rFonts w:eastAsia="Palatino Linotype" w:cs="Palatino Linotype"/>
          <w:color w:val="000000"/>
          <w:szCs w:val="24"/>
        </w:rPr>
      </w:pPr>
      <w:r w:rsidRPr="005F79C9">
        <w:rPr>
          <w:rFonts w:eastAsia="Palatino Linotype" w:cs="Palatino Linotype"/>
          <w:color w:val="000000"/>
          <w:szCs w:val="24"/>
        </w:rPr>
        <w:lastRenderedPageBreak/>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2D82632C" w14:textId="77777777" w:rsidR="00A868F0" w:rsidRPr="005F79C9" w:rsidRDefault="00A868F0" w:rsidP="00A868F0">
      <w:pPr>
        <w:pBdr>
          <w:top w:val="nil"/>
          <w:left w:val="nil"/>
          <w:bottom w:val="nil"/>
          <w:right w:val="nil"/>
          <w:between w:val="nil"/>
        </w:pBdr>
        <w:tabs>
          <w:tab w:val="left" w:pos="567"/>
        </w:tabs>
        <w:ind w:right="49"/>
        <w:rPr>
          <w:rFonts w:eastAsia="Palatino Linotype" w:cs="Palatino Linotype"/>
          <w:color w:val="000000"/>
          <w:szCs w:val="24"/>
        </w:rPr>
      </w:pPr>
    </w:p>
    <w:p w14:paraId="7E2348E7" w14:textId="77777777" w:rsidR="00A868F0" w:rsidRPr="005F79C9" w:rsidRDefault="00A868F0" w:rsidP="00A868F0">
      <w:pPr>
        <w:pBdr>
          <w:top w:val="nil"/>
          <w:left w:val="nil"/>
          <w:bottom w:val="nil"/>
          <w:right w:val="nil"/>
          <w:between w:val="nil"/>
        </w:pBdr>
        <w:tabs>
          <w:tab w:val="left" w:pos="567"/>
        </w:tabs>
        <w:ind w:right="49"/>
        <w:rPr>
          <w:rFonts w:eastAsia="Palatino Linotype" w:cs="Palatino Linotype"/>
          <w:color w:val="000000"/>
          <w:szCs w:val="24"/>
        </w:rPr>
      </w:pPr>
      <w:r w:rsidRPr="005F79C9">
        <w:rPr>
          <w:rFonts w:eastAsia="Palatino Linotype" w:cs="Palatino Linotype"/>
          <w:color w:val="000000"/>
          <w:szCs w:val="24"/>
        </w:rPr>
        <w:t xml:space="preserve">Ante ello, resulta aplicable el Criterio 18/17 emitido por el Instituto Nacional de Transparencia, Acceso a la Información y Protección de Datos Personales, que a la literalidad señala: </w:t>
      </w:r>
    </w:p>
    <w:p w14:paraId="2AB0AF6B" w14:textId="77777777" w:rsidR="00A868F0" w:rsidRPr="005F79C9" w:rsidRDefault="00A868F0" w:rsidP="00A868F0">
      <w:pPr>
        <w:pBdr>
          <w:top w:val="nil"/>
          <w:left w:val="nil"/>
          <w:bottom w:val="nil"/>
          <w:right w:val="nil"/>
          <w:between w:val="nil"/>
        </w:pBdr>
        <w:tabs>
          <w:tab w:val="left" w:pos="567"/>
        </w:tabs>
        <w:ind w:left="567" w:right="822"/>
        <w:rPr>
          <w:rFonts w:eastAsia="Palatino Linotype" w:cs="Palatino Linotype"/>
          <w:i/>
          <w:color w:val="000000"/>
          <w:sz w:val="22"/>
        </w:rPr>
      </w:pPr>
      <w:r w:rsidRPr="005F79C9">
        <w:rPr>
          <w:rFonts w:eastAsia="Palatino Linotype" w:cs="Palatino Linotype"/>
          <w:i/>
          <w:color w:val="000000"/>
        </w:rPr>
        <w:t>“</w:t>
      </w:r>
      <w:r w:rsidRPr="005F79C9">
        <w:rPr>
          <w:rFonts w:eastAsia="Palatino Linotype" w:cs="Palatino Linotype"/>
          <w:b/>
          <w:i/>
          <w:color w:val="000000"/>
          <w:sz w:val="22"/>
        </w:rPr>
        <w:t xml:space="preserve">Clave Única de Registro de Población (CURP). </w:t>
      </w:r>
      <w:r w:rsidRPr="005F79C9">
        <w:rPr>
          <w:rFonts w:eastAsia="Palatino Linotype" w:cs="Palatino Linotype"/>
          <w:i/>
          <w:color w:val="000000"/>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57466C1E" w14:textId="77777777" w:rsidR="000D74BE" w:rsidRPr="005F79C9" w:rsidRDefault="000D74BE" w:rsidP="00A868F0">
      <w:pPr>
        <w:pBdr>
          <w:top w:val="nil"/>
          <w:left w:val="nil"/>
          <w:bottom w:val="nil"/>
          <w:right w:val="nil"/>
          <w:between w:val="nil"/>
        </w:pBdr>
        <w:tabs>
          <w:tab w:val="left" w:pos="567"/>
        </w:tabs>
        <w:ind w:left="567" w:right="822"/>
        <w:rPr>
          <w:rFonts w:eastAsia="Palatino Linotype" w:cs="Palatino Linotype"/>
          <w:color w:val="000000"/>
          <w:sz w:val="22"/>
        </w:rPr>
      </w:pPr>
    </w:p>
    <w:p w14:paraId="43AEA958" w14:textId="77777777" w:rsidR="00A868F0" w:rsidRPr="005F79C9" w:rsidRDefault="00A868F0" w:rsidP="00A868F0">
      <w:pPr>
        <w:pStyle w:val="Ttulo3"/>
        <w:rPr>
          <w:rFonts w:eastAsia="Palatino Linotype" w:cs="Palatino Linotype"/>
          <w:b/>
          <w:color w:val="000000"/>
        </w:rPr>
      </w:pPr>
      <w:bookmarkStart w:id="1" w:name="_heading=h.3rdcrjn" w:colFirst="0" w:colLast="0"/>
      <w:bookmarkEnd w:id="1"/>
      <w:r w:rsidRPr="005F79C9">
        <w:rPr>
          <w:rFonts w:eastAsia="Palatino Linotype" w:cs="Palatino Linotype"/>
          <w:b/>
          <w:color w:val="000000"/>
        </w:rPr>
        <w:t xml:space="preserve">II. Clave </w:t>
      </w:r>
      <w:proofErr w:type="spellStart"/>
      <w:r w:rsidRPr="005F79C9">
        <w:rPr>
          <w:rFonts w:eastAsia="Palatino Linotype" w:cs="Palatino Linotype"/>
          <w:b/>
          <w:color w:val="000000"/>
        </w:rPr>
        <w:t>ISSEMyM</w:t>
      </w:r>
      <w:proofErr w:type="spellEnd"/>
    </w:p>
    <w:p w14:paraId="1EA364C5"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D5D9E33"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p>
    <w:p w14:paraId="0B8AF30E"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lastRenderedPageBreak/>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C9B228C" w14:textId="77777777" w:rsidR="00A868F0" w:rsidRPr="005F79C9" w:rsidRDefault="00A868F0" w:rsidP="00A868F0">
      <w:pPr>
        <w:pBdr>
          <w:top w:val="nil"/>
          <w:left w:val="nil"/>
          <w:bottom w:val="nil"/>
          <w:right w:val="nil"/>
          <w:between w:val="nil"/>
        </w:pBdr>
        <w:ind w:left="720"/>
        <w:rPr>
          <w:rFonts w:eastAsia="Palatino Linotype" w:cs="Palatino Linotype"/>
          <w:color w:val="000000"/>
          <w:szCs w:val="24"/>
        </w:rPr>
      </w:pPr>
    </w:p>
    <w:p w14:paraId="1689331F"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87AF338" w14:textId="77777777" w:rsidR="00A868F0" w:rsidRPr="005F79C9" w:rsidRDefault="00A868F0" w:rsidP="00A868F0">
      <w:pPr>
        <w:pBdr>
          <w:top w:val="nil"/>
          <w:left w:val="nil"/>
          <w:bottom w:val="nil"/>
          <w:right w:val="nil"/>
          <w:between w:val="nil"/>
        </w:pBdr>
        <w:ind w:left="720"/>
        <w:rPr>
          <w:rFonts w:eastAsia="Palatino Linotype" w:cs="Palatino Linotype"/>
          <w:color w:val="000000"/>
          <w:szCs w:val="24"/>
        </w:rPr>
      </w:pPr>
    </w:p>
    <w:p w14:paraId="0FD185B6" w14:textId="77777777" w:rsidR="00A868F0" w:rsidRPr="005F79C9" w:rsidRDefault="00A868F0" w:rsidP="00A868F0">
      <w:pPr>
        <w:pStyle w:val="Ttulo3"/>
        <w:rPr>
          <w:rFonts w:eastAsia="Palatino Linotype" w:cs="Palatino Linotype"/>
          <w:b/>
          <w:color w:val="000000"/>
        </w:rPr>
      </w:pPr>
      <w:bookmarkStart w:id="2" w:name="_heading=h.26in1rg" w:colFirst="0" w:colLast="0"/>
      <w:bookmarkEnd w:id="2"/>
      <w:r w:rsidRPr="005F79C9">
        <w:rPr>
          <w:rFonts w:eastAsia="Palatino Linotype" w:cs="Palatino Linotype"/>
          <w:b/>
          <w:color w:val="000000"/>
        </w:rPr>
        <w:t>III. NÚMERO DE EMPLEADO.</w:t>
      </w:r>
    </w:p>
    <w:p w14:paraId="74034CD7"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 xml:space="preserve">El número de empleado de los servidores públicos del Ayuntamiento son asignados por el Departamento de Recursos Humanos o equivalente y se trata de un código identificador para uso exclusivo del empleado que, de vincularse y relacionarse al RFC </w:t>
      </w:r>
      <w:r w:rsidRPr="005F79C9">
        <w:rPr>
          <w:rFonts w:eastAsia="Palatino Linotype" w:cs="Palatino Linotype"/>
          <w:color w:val="000000"/>
          <w:szCs w:val="24"/>
        </w:rPr>
        <w:lastRenderedPageBreak/>
        <w:t>lo hace identificable plenamente y, con los mismos se puede tener acceso a diversa información, inclusive con sus datos personales.</w:t>
      </w:r>
    </w:p>
    <w:p w14:paraId="3DA7B703"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p>
    <w:p w14:paraId="6624BEEF" w14:textId="77777777" w:rsidR="00A868F0" w:rsidRPr="005F79C9" w:rsidRDefault="00A868F0" w:rsidP="00A868F0">
      <w:pPr>
        <w:pBdr>
          <w:top w:val="nil"/>
          <w:left w:val="nil"/>
          <w:bottom w:val="nil"/>
          <w:right w:val="nil"/>
          <w:between w:val="nil"/>
        </w:pBdr>
        <w:rPr>
          <w:rFonts w:eastAsia="Palatino Linotype" w:cs="Palatino Linotype"/>
          <w:color w:val="000000"/>
        </w:rPr>
      </w:pPr>
      <w:r w:rsidRPr="005F79C9">
        <w:rPr>
          <w:rFonts w:eastAsia="Palatino Linotype" w:cs="Palatino Linotype"/>
          <w:color w:val="000000"/>
          <w:szCs w:val="24"/>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r w:rsidRPr="005F79C9">
        <w:rPr>
          <w:rFonts w:eastAsia="Palatino Linotype" w:cs="Palatino Linotype"/>
          <w:color w:val="000000"/>
        </w:rPr>
        <w:t xml:space="preserve">); </w:t>
      </w:r>
    </w:p>
    <w:p w14:paraId="2ABDD6A7" w14:textId="77777777" w:rsidR="00A868F0" w:rsidRPr="005F79C9" w:rsidRDefault="00A868F0" w:rsidP="00A868F0">
      <w:pPr>
        <w:pBdr>
          <w:top w:val="nil"/>
          <w:left w:val="nil"/>
          <w:bottom w:val="nil"/>
          <w:right w:val="nil"/>
          <w:between w:val="nil"/>
        </w:pBdr>
        <w:ind w:left="567" w:right="822"/>
        <w:rPr>
          <w:rFonts w:eastAsia="Palatino Linotype" w:cs="Palatino Linotype"/>
          <w:i/>
          <w:color w:val="000000"/>
          <w:sz w:val="22"/>
        </w:rPr>
      </w:pPr>
      <w:r w:rsidRPr="005F79C9">
        <w:rPr>
          <w:rFonts w:eastAsia="Palatino Linotype" w:cs="Palatino Linotype"/>
          <w:b/>
          <w:i/>
          <w:color w:val="000000"/>
          <w:sz w:val="22"/>
        </w:rPr>
        <w:t>Número de empleado.</w:t>
      </w:r>
      <w:r w:rsidRPr="005F79C9">
        <w:rPr>
          <w:rFonts w:eastAsia="Palatino Linotype" w:cs="Palatino Linotype"/>
          <w:i/>
          <w:color w:val="000000"/>
          <w:sz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4FE099DC"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p>
    <w:p w14:paraId="767B7AEA"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7A2755B8" w14:textId="77777777" w:rsidR="00215F49" w:rsidRPr="005F79C9" w:rsidRDefault="00215F49" w:rsidP="00A868F0">
      <w:pPr>
        <w:pBdr>
          <w:top w:val="nil"/>
          <w:left w:val="nil"/>
          <w:bottom w:val="nil"/>
          <w:right w:val="nil"/>
          <w:between w:val="nil"/>
        </w:pBdr>
        <w:rPr>
          <w:rFonts w:eastAsia="Palatino Linotype" w:cs="Palatino Linotype"/>
          <w:color w:val="000000"/>
        </w:rPr>
      </w:pPr>
    </w:p>
    <w:p w14:paraId="521077A4" w14:textId="77777777" w:rsidR="00A868F0" w:rsidRPr="005F79C9" w:rsidRDefault="00A868F0" w:rsidP="00A868F0">
      <w:pPr>
        <w:pStyle w:val="Ttulo3"/>
        <w:rPr>
          <w:rFonts w:eastAsia="Palatino Linotype" w:cs="Palatino Linotype"/>
          <w:b/>
        </w:rPr>
      </w:pPr>
      <w:bookmarkStart w:id="3" w:name="_heading=h.lnxbz9" w:colFirst="0" w:colLast="0"/>
      <w:bookmarkEnd w:id="3"/>
      <w:r w:rsidRPr="005F79C9">
        <w:rPr>
          <w:rFonts w:eastAsia="Palatino Linotype" w:cs="Palatino Linotype"/>
          <w:b/>
          <w:color w:val="000000"/>
        </w:rPr>
        <w:t>IV. Registro Federal de Contribuyentes (RFC)</w:t>
      </w:r>
    </w:p>
    <w:p w14:paraId="5CCABBE6"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89740EB"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p>
    <w:p w14:paraId="0DA25376"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lastRenderedPageBreak/>
        <w:t xml:space="preserve">De acuerdo a lo establecido en el artículo en comento, esta clave se compone de trece caracteres alfanuméricos, con datos obtenidos de los apellidos, nombre (s), fecha de nacimiento del titular, más una </w:t>
      </w:r>
      <w:proofErr w:type="spellStart"/>
      <w:r w:rsidRPr="005F79C9">
        <w:rPr>
          <w:rFonts w:eastAsia="Palatino Linotype" w:cs="Palatino Linotype"/>
          <w:color w:val="000000"/>
          <w:szCs w:val="24"/>
        </w:rPr>
        <w:t>homoclave</w:t>
      </w:r>
      <w:proofErr w:type="spellEnd"/>
      <w:r w:rsidRPr="005F79C9">
        <w:rPr>
          <w:rFonts w:eastAsia="Palatino Linotype" w:cs="Palatino Linotype"/>
          <w:color w:val="000000"/>
          <w:szCs w:val="24"/>
        </w:rPr>
        <w:t xml:space="preserve"> que establece el sistema automático del Servicio de Administración Tributaria.</w:t>
      </w:r>
    </w:p>
    <w:p w14:paraId="27689269"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p>
    <w:p w14:paraId="71C596FD"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43E67BD" w14:textId="77777777" w:rsidR="00A868F0" w:rsidRPr="005F79C9" w:rsidRDefault="00A868F0" w:rsidP="00A868F0">
      <w:pPr>
        <w:pBdr>
          <w:top w:val="nil"/>
          <w:left w:val="nil"/>
          <w:bottom w:val="nil"/>
          <w:right w:val="nil"/>
          <w:between w:val="nil"/>
        </w:pBdr>
        <w:ind w:left="720"/>
        <w:rPr>
          <w:rFonts w:eastAsia="Palatino Linotype" w:cs="Palatino Linotype"/>
          <w:color w:val="000000"/>
          <w:szCs w:val="24"/>
        </w:rPr>
      </w:pPr>
    </w:p>
    <w:p w14:paraId="291E9301"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5F79C9">
        <w:rPr>
          <w:rFonts w:eastAsia="Palatino Linotype" w:cs="Palatino Linotype"/>
          <w:color w:val="000000"/>
          <w:szCs w:val="24"/>
        </w:rPr>
        <w:t>involucradas</w:t>
      </w:r>
      <w:proofErr w:type="gramEnd"/>
      <w:r w:rsidRPr="005F79C9">
        <w:rPr>
          <w:rFonts w:eastAsia="Palatino Linotype" w:cs="Palatino Linotype"/>
          <w:color w:val="000000"/>
          <w:szCs w:val="24"/>
        </w:rPr>
        <w:t>, en el pago de estos.</w:t>
      </w:r>
    </w:p>
    <w:p w14:paraId="14FA62EF" w14:textId="77777777" w:rsidR="00215F49" w:rsidRPr="005F79C9" w:rsidRDefault="00215F49" w:rsidP="00A868F0">
      <w:pPr>
        <w:pBdr>
          <w:top w:val="nil"/>
          <w:left w:val="nil"/>
          <w:bottom w:val="nil"/>
          <w:right w:val="nil"/>
          <w:between w:val="nil"/>
        </w:pBdr>
        <w:rPr>
          <w:rFonts w:eastAsia="Palatino Linotype" w:cs="Palatino Linotype"/>
          <w:color w:val="000000"/>
          <w:szCs w:val="24"/>
        </w:rPr>
      </w:pPr>
    </w:p>
    <w:p w14:paraId="64B22EEF"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Lo anterior, resulta congruente con el Criterio 19/17 emitido por el Instituto Nacional de Transparencia, Acceso a la Información y Protección de Datos Personales, en el cual se señala lo siguiente:</w:t>
      </w:r>
    </w:p>
    <w:p w14:paraId="22BF64F0" w14:textId="77777777" w:rsidR="00A868F0" w:rsidRPr="005F79C9" w:rsidRDefault="00A868F0" w:rsidP="00A868F0">
      <w:pPr>
        <w:ind w:left="567"/>
        <w:rPr>
          <w:rFonts w:eastAsia="Palatino Linotype" w:cs="Palatino Linotype"/>
          <w:b/>
          <w:i/>
          <w:sz w:val="22"/>
        </w:rPr>
      </w:pPr>
      <w:r w:rsidRPr="005F79C9">
        <w:rPr>
          <w:rFonts w:eastAsia="Palatino Linotype" w:cs="Palatino Linotype"/>
          <w:b/>
          <w:i/>
          <w:sz w:val="22"/>
        </w:rPr>
        <w:t xml:space="preserve">Registro Federal de Contribuyentes (RFC) de personas físicas. </w:t>
      </w:r>
    </w:p>
    <w:p w14:paraId="2390040F" w14:textId="77777777" w:rsidR="00A868F0" w:rsidRPr="005F79C9" w:rsidRDefault="00A868F0" w:rsidP="00A868F0">
      <w:pPr>
        <w:pBdr>
          <w:top w:val="nil"/>
          <w:left w:val="nil"/>
          <w:bottom w:val="nil"/>
          <w:right w:val="nil"/>
          <w:between w:val="nil"/>
        </w:pBdr>
        <w:ind w:left="567" w:right="567"/>
        <w:rPr>
          <w:rFonts w:eastAsia="Palatino Linotype" w:cs="Palatino Linotype"/>
          <w:i/>
          <w:color w:val="000000"/>
          <w:sz w:val="22"/>
        </w:rPr>
      </w:pPr>
      <w:r w:rsidRPr="005F79C9">
        <w:rPr>
          <w:rFonts w:eastAsia="Palatino Linotype" w:cs="Palatino Linotype"/>
          <w:i/>
          <w:color w:val="000000"/>
          <w:sz w:val="22"/>
        </w:rPr>
        <w:lastRenderedPageBreak/>
        <w:t xml:space="preserve">El RFC es una clave de carácter fiscal, </w:t>
      </w:r>
      <w:proofErr w:type="gramStart"/>
      <w:r w:rsidRPr="005F79C9">
        <w:rPr>
          <w:rFonts w:eastAsia="Palatino Linotype" w:cs="Palatino Linotype"/>
          <w:i/>
          <w:color w:val="000000"/>
          <w:sz w:val="22"/>
        </w:rPr>
        <w:t>única</w:t>
      </w:r>
      <w:proofErr w:type="gramEnd"/>
      <w:r w:rsidRPr="005F79C9">
        <w:rPr>
          <w:rFonts w:eastAsia="Palatino Linotype" w:cs="Palatino Linotype"/>
          <w:i/>
          <w:color w:val="000000"/>
          <w:sz w:val="22"/>
        </w:rPr>
        <w:t xml:space="preserve"> e irrepetible, que permite identificar al titular, su edad y fecha de nacimiento, por lo que es un dato personal de carácter confidencial.</w:t>
      </w:r>
    </w:p>
    <w:p w14:paraId="66F8881E" w14:textId="77777777" w:rsidR="00A868F0" w:rsidRPr="005F79C9" w:rsidRDefault="00A868F0" w:rsidP="00A868F0">
      <w:pPr>
        <w:pBdr>
          <w:top w:val="nil"/>
          <w:left w:val="nil"/>
          <w:bottom w:val="nil"/>
          <w:right w:val="nil"/>
          <w:between w:val="nil"/>
        </w:pBdr>
        <w:ind w:left="567" w:right="567"/>
        <w:rPr>
          <w:rFonts w:eastAsia="Palatino Linotype" w:cs="Palatino Linotype"/>
          <w:color w:val="000000"/>
        </w:rPr>
      </w:pPr>
    </w:p>
    <w:p w14:paraId="678ACA7A"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b/>
          <w:color w:val="000000"/>
          <w:szCs w:val="24"/>
        </w:rPr>
        <w:t>De tal suerte, el Registro Federal de Contribuyentes de las personas físicas no guarda relación con la transparencia de los recursos públicos</w:t>
      </w:r>
      <w:r w:rsidRPr="005F79C9">
        <w:rPr>
          <w:rFonts w:eastAsia="Palatino Linotype" w:cs="Palatino Linotype"/>
          <w:color w:val="000000"/>
          <w:szCs w:val="24"/>
        </w:rPr>
        <w:t>, así como tampoco con el desempeño laboral que pueda tener una persona.</w:t>
      </w:r>
    </w:p>
    <w:p w14:paraId="52869385"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p>
    <w:p w14:paraId="0FD6300F" w14:textId="77777777" w:rsidR="00A868F0" w:rsidRPr="005F79C9" w:rsidRDefault="00A868F0" w:rsidP="00A868F0">
      <w:pPr>
        <w:pStyle w:val="Ttulo3"/>
        <w:rPr>
          <w:rFonts w:eastAsia="Palatino Linotype" w:cs="Palatino Linotype"/>
          <w:b/>
          <w:color w:val="000000"/>
        </w:rPr>
      </w:pPr>
      <w:bookmarkStart w:id="4" w:name="_heading=h.35nkun2" w:colFirst="0" w:colLast="0"/>
      <w:bookmarkEnd w:id="4"/>
      <w:r w:rsidRPr="005F79C9">
        <w:rPr>
          <w:rFonts w:eastAsia="Palatino Linotype" w:cs="Palatino Linotype"/>
          <w:b/>
          <w:color w:val="000000"/>
        </w:rPr>
        <w:t>V. Deducciones personales</w:t>
      </w:r>
    </w:p>
    <w:p w14:paraId="26FE61A7"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 xml:space="preserve">Es necesario precisar que existen deducciones que se generan con motivo de una decisión libre y voluntaria de los servidores públicos, como son: créditos personales, </w:t>
      </w:r>
      <w:r w:rsidRPr="005F79C9">
        <w:rPr>
          <w:rFonts w:eastAsia="Palatino Linotype" w:cs="Palatino Linotype"/>
          <w:b/>
          <w:color w:val="000000"/>
          <w:szCs w:val="24"/>
          <w:u w:val="single"/>
        </w:rPr>
        <w:t>cuotas sindicales y fondo de resistencia del Sindicato Único de Trabajadores de los Poderes, Municipios e Institución Descentralizadas del Estado de México</w:t>
      </w:r>
      <w:r w:rsidRPr="005F79C9">
        <w:rPr>
          <w:rFonts w:eastAsia="Palatino Linotype" w:cs="Palatino Linotype"/>
          <w:color w:val="000000"/>
          <w:szCs w:val="24"/>
        </w:rPr>
        <w:t>, seguro de vida, accidentes y enfermedades.</w:t>
      </w:r>
    </w:p>
    <w:p w14:paraId="07F511F9"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p>
    <w:p w14:paraId="5FBF29D0"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 xml:space="preserve">Asimismo, hay otras que se generan con motivo de una sentencia judicial, como es la pensión alimenticia que periódicamente se retira de la cuenta de un empleado, a efecto de que sea entregado a un tercero.  </w:t>
      </w:r>
    </w:p>
    <w:p w14:paraId="43B3FEC8" w14:textId="77777777" w:rsidR="00A868F0" w:rsidRPr="005F79C9" w:rsidRDefault="00A868F0" w:rsidP="00A868F0">
      <w:pPr>
        <w:pBdr>
          <w:top w:val="nil"/>
          <w:left w:val="nil"/>
          <w:bottom w:val="nil"/>
          <w:right w:val="nil"/>
          <w:between w:val="nil"/>
        </w:pBdr>
        <w:ind w:left="720"/>
        <w:rPr>
          <w:rFonts w:eastAsia="Palatino Linotype" w:cs="Palatino Linotype"/>
          <w:color w:val="000000"/>
          <w:szCs w:val="24"/>
        </w:rPr>
      </w:pPr>
    </w:p>
    <w:p w14:paraId="6B421FE9"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w:t>
      </w:r>
      <w:r w:rsidRPr="005F79C9">
        <w:rPr>
          <w:rFonts w:eastAsia="Palatino Linotype" w:cs="Palatino Linotype"/>
          <w:color w:val="000000"/>
          <w:szCs w:val="24"/>
        </w:rPr>
        <w:lastRenderedPageBreak/>
        <w:t xml:space="preserve">se trata del libre ejercicio del servidor público para disponer de un ingreso que forma parte de su patrimonio. </w:t>
      </w:r>
    </w:p>
    <w:p w14:paraId="62CF2501" w14:textId="77777777" w:rsidR="00A868F0" w:rsidRPr="005F79C9" w:rsidRDefault="00A868F0" w:rsidP="00A868F0">
      <w:pPr>
        <w:pBdr>
          <w:top w:val="nil"/>
          <w:left w:val="nil"/>
          <w:bottom w:val="nil"/>
          <w:right w:val="nil"/>
          <w:between w:val="nil"/>
        </w:pBdr>
        <w:ind w:left="720"/>
        <w:rPr>
          <w:rFonts w:eastAsia="Palatino Linotype" w:cs="Palatino Linotype"/>
          <w:color w:val="000000"/>
          <w:szCs w:val="24"/>
        </w:rPr>
      </w:pPr>
    </w:p>
    <w:p w14:paraId="3FCB7ED7"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Así, dichas deducciones reflejan el destino que un servidor público da a su patrimonio, lo que se aleja de la transparencia y rendición de cuentas.</w:t>
      </w:r>
      <w:bookmarkStart w:id="5" w:name="_heading=h.1ksv4uv" w:colFirst="0" w:colLast="0"/>
      <w:bookmarkEnd w:id="5"/>
      <w:r w:rsidRPr="005F79C9">
        <w:rPr>
          <w:rFonts w:eastAsia="Palatino Linotype" w:cs="Palatino Linotype"/>
          <w:color w:val="000000"/>
          <w:szCs w:val="24"/>
        </w:rPr>
        <w:t xml:space="preserve"> Hasta este punto, se considera que la información relacionada con los siguientes puntos actualiza una causal de confidencialidad, toda vez que identifica o hace identificable a su titular.</w:t>
      </w:r>
    </w:p>
    <w:p w14:paraId="7CCDD206" w14:textId="77777777" w:rsidR="00A868F0" w:rsidRPr="005F79C9" w:rsidRDefault="00A868F0" w:rsidP="00A868F0">
      <w:pPr>
        <w:numPr>
          <w:ilvl w:val="0"/>
          <w:numId w:val="3"/>
        </w:numPr>
        <w:pBdr>
          <w:top w:val="nil"/>
          <w:left w:val="nil"/>
          <w:bottom w:val="nil"/>
          <w:right w:val="nil"/>
          <w:between w:val="nil"/>
        </w:pBdr>
        <w:rPr>
          <w:rFonts w:eastAsia="Palatino Linotype" w:cs="Palatino Linotype"/>
          <w:color w:val="000000"/>
        </w:rPr>
      </w:pPr>
      <w:r w:rsidRPr="005F79C9">
        <w:rPr>
          <w:rFonts w:eastAsia="Palatino Linotype" w:cs="Palatino Linotype"/>
          <w:color w:val="000000"/>
        </w:rPr>
        <w:t>Clave Única de Registro de Población (CURP)</w:t>
      </w:r>
    </w:p>
    <w:p w14:paraId="7EFF1ACD" w14:textId="77777777" w:rsidR="00A868F0" w:rsidRPr="005F79C9" w:rsidRDefault="00A868F0" w:rsidP="00A868F0">
      <w:pPr>
        <w:numPr>
          <w:ilvl w:val="0"/>
          <w:numId w:val="3"/>
        </w:numPr>
        <w:pBdr>
          <w:top w:val="nil"/>
          <w:left w:val="nil"/>
          <w:bottom w:val="nil"/>
          <w:right w:val="nil"/>
          <w:between w:val="nil"/>
        </w:pBdr>
        <w:rPr>
          <w:rFonts w:eastAsia="Palatino Linotype" w:cs="Palatino Linotype"/>
          <w:color w:val="000000"/>
        </w:rPr>
      </w:pPr>
      <w:r w:rsidRPr="005F79C9">
        <w:rPr>
          <w:rFonts w:eastAsia="Palatino Linotype" w:cs="Palatino Linotype"/>
          <w:color w:val="000000"/>
        </w:rPr>
        <w:t xml:space="preserve">Clave </w:t>
      </w:r>
      <w:proofErr w:type="spellStart"/>
      <w:r w:rsidRPr="005F79C9">
        <w:rPr>
          <w:rFonts w:eastAsia="Palatino Linotype" w:cs="Palatino Linotype"/>
          <w:color w:val="000000"/>
        </w:rPr>
        <w:t>ISSEMyM</w:t>
      </w:r>
      <w:proofErr w:type="spellEnd"/>
    </w:p>
    <w:p w14:paraId="1BB41699" w14:textId="77777777" w:rsidR="00A868F0" w:rsidRPr="005F79C9" w:rsidRDefault="00A868F0" w:rsidP="00A868F0">
      <w:pPr>
        <w:numPr>
          <w:ilvl w:val="0"/>
          <w:numId w:val="3"/>
        </w:numPr>
        <w:pBdr>
          <w:top w:val="nil"/>
          <w:left w:val="nil"/>
          <w:bottom w:val="nil"/>
          <w:right w:val="nil"/>
          <w:between w:val="nil"/>
        </w:pBdr>
        <w:rPr>
          <w:rFonts w:eastAsia="Palatino Linotype" w:cs="Palatino Linotype"/>
          <w:color w:val="000000"/>
        </w:rPr>
      </w:pPr>
      <w:r w:rsidRPr="005F79C9">
        <w:rPr>
          <w:rFonts w:eastAsia="Palatino Linotype" w:cs="Palatino Linotype"/>
          <w:color w:val="000000"/>
        </w:rPr>
        <w:t>Registro Federal de Contribuyentes (RFC)</w:t>
      </w:r>
    </w:p>
    <w:p w14:paraId="66D3A340" w14:textId="77777777" w:rsidR="00A868F0" w:rsidRPr="005F79C9" w:rsidRDefault="00A868F0" w:rsidP="00A868F0">
      <w:pPr>
        <w:numPr>
          <w:ilvl w:val="0"/>
          <w:numId w:val="3"/>
        </w:numPr>
        <w:pBdr>
          <w:top w:val="nil"/>
          <w:left w:val="nil"/>
          <w:bottom w:val="nil"/>
          <w:right w:val="nil"/>
          <w:between w:val="nil"/>
        </w:pBdr>
        <w:rPr>
          <w:rFonts w:eastAsia="Palatino Linotype" w:cs="Palatino Linotype"/>
          <w:color w:val="000000"/>
        </w:rPr>
      </w:pPr>
      <w:r w:rsidRPr="005F79C9">
        <w:rPr>
          <w:rFonts w:eastAsia="Palatino Linotype" w:cs="Palatino Linotype"/>
          <w:color w:val="000000"/>
        </w:rPr>
        <w:t xml:space="preserve">Deducciones personales </w:t>
      </w:r>
    </w:p>
    <w:p w14:paraId="602ACCE1" w14:textId="77777777" w:rsidR="00A868F0" w:rsidRPr="005F79C9" w:rsidRDefault="00A868F0" w:rsidP="00A868F0">
      <w:pPr>
        <w:numPr>
          <w:ilvl w:val="0"/>
          <w:numId w:val="3"/>
        </w:numPr>
        <w:pBdr>
          <w:top w:val="nil"/>
          <w:left w:val="nil"/>
          <w:bottom w:val="nil"/>
          <w:right w:val="nil"/>
          <w:between w:val="nil"/>
        </w:pBdr>
        <w:rPr>
          <w:rFonts w:eastAsia="Palatino Linotype" w:cs="Palatino Linotype"/>
          <w:color w:val="000000"/>
        </w:rPr>
      </w:pPr>
      <w:r w:rsidRPr="005F79C9">
        <w:rPr>
          <w:rFonts w:eastAsia="Palatino Linotype" w:cs="Palatino Linotype"/>
          <w:color w:val="000000"/>
        </w:rPr>
        <w:t xml:space="preserve">Número de empleado </w:t>
      </w:r>
      <w:r w:rsidRPr="005F79C9">
        <w:rPr>
          <w:rFonts w:eastAsia="Palatino Linotype" w:cs="Palatino Linotype"/>
          <w:b/>
          <w:color w:val="000000"/>
        </w:rPr>
        <w:t>(sólo en el caso de que contenga datos personales o se relacione con los mismos, de lo contrario es información pública)</w:t>
      </w:r>
    </w:p>
    <w:p w14:paraId="6502AC87" w14:textId="77777777" w:rsidR="00A868F0" w:rsidRPr="005F79C9" w:rsidRDefault="00A868F0" w:rsidP="00A868F0">
      <w:pPr>
        <w:pBdr>
          <w:top w:val="nil"/>
          <w:left w:val="nil"/>
          <w:bottom w:val="nil"/>
          <w:right w:val="nil"/>
          <w:between w:val="nil"/>
        </w:pBdr>
        <w:rPr>
          <w:rFonts w:eastAsia="Palatino Linotype" w:cs="Palatino Linotype"/>
          <w:color w:val="000000"/>
        </w:rPr>
      </w:pPr>
    </w:p>
    <w:p w14:paraId="32A19A40" w14:textId="77777777" w:rsidR="00A868F0" w:rsidRPr="005F79C9" w:rsidRDefault="00A868F0" w:rsidP="00A868F0">
      <w:pPr>
        <w:pBdr>
          <w:top w:val="nil"/>
          <w:left w:val="nil"/>
          <w:bottom w:val="nil"/>
          <w:right w:val="nil"/>
          <w:between w:val="nil"/>
        </w:pBdr>
        <w:rPr>
          <w:rFonts w:eastAsia="Palatino Linotype" w:cs="Palatino Linotype"/>
          <w:color w:val="000000"/>
          <w:szCs w:val="24"/>
        </w:rPr>
      </w:pPr>
      <w:r w:rsidRPr="005F79C9">
        <w:rPr>
          <w:rFonts w:eastAsia="Palatino Linotype" w:cs="Palatino Linotype"/>
          <w:color w:val="000000"/>
          <w:szCs w:val="24"/>
        </w:rPr>
        <w:t>Es decir, los datos personales enlistados constituyen datos personales confidenciales al actualizar el supuesto normativo del artículo 143, fracción I de la Ley de Transparencia y Acceso a la Información Pública del</w:t>
      </w:r>
      <w:r w:rsidR="00215F49" w:rsidRPr="005F79C9">
        <w:rPr>
          <w:rFonts w:eastAsia="Palatino Linotype" w:cs="Palatino Linotype"/>
          <w:color w:val="000000"/>
          <w:szCs w:val="24"/>
        </w:rPr>
        <w:t xml:space="preserve"> Estado de México y Municipios. </w:t>
      </w:r>
      <w:r w:rsidRPr="005F79C9">
        <w:rPr>
          <w:rFonts w:eastAsia="Palatino Linotype" w:cs="Palatino Linotype"/>
          <w:color w:val="000000"/>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7CA74F9B" w14:textId="77777777" w:rsidR="00A868F0" w:rsidRPr="005F79C9" w:rsidRDefault="00A868F0" w:rsidP="00A868F0">
      <w:pPr>
        <w:pBdr>
          <w:top w:val="nil"/>
          <w:left w:val="nil"/>
          <w:bottom w:val="nil"/>
          <w:right w:val="nil"/>
          <w:between w:val="nil"/>
        </w:pBdr>
        <w:ind w:left="864" w:right="864"/>
      </w:pPr>
    </w:p>
    <w:p w14:paraId="39A5DCA7" w14:textId="77777777" w:rsidR="00A868F0" w:rsidRPr="005F79C9" w:rsidRDefault="00A868F0" w:rsidP="00A868F0">
      <w:pPr>
        <w:pBdr>
          <w:top w:val="nil"/>
          <w:left w:val="nil"/>
          <w:bottom w:val="nil"/>
          <w:right w:val="nil"/>
          <w:between w:val="nil"/>
        </w:pBdr>
        <w:rPr>
          <w:rFonts w:eastAsia="Palatino Linotype" w:cs="Palatino Linotype"/>
          <w:color w:val="000000"/>
          <w:szCs w:val="24"/>
          <w:u w:val="single"/>
        </w:rPr>
      </w:pPr>
      <w:r w:rsidRPr="005F79C9">
        <w:rPr>
          <w:rFonts w:eastAsia="Palatino Linotype" w:cs="Palatino Linotype"/>
          <w:color w:val="000000"/>
          <w:szCs w:val="24"/>
        </w:rPr>
        <w:t xml:space="preserve">Ahora bien, existe algunas </w:t>
      </w:r>
      <w:r w:rsidRPr="005F79C9">
        <w:rPr>
          <w:rFonts w:eastAsia="Palatino Linotype" w:cs="Palatino Linotype"/>
          <w:color w:val="000000"/>
          <w:szCs w:val="24"/>
          <w:u w:val="single"/>
        </w:rPr>
        <w:t>deducciones que no forman parte del supuesto normativo del artículo 143, fracción I de la Ley de Transparencia y Acceso a la Información Pública del Estado de México y Municipios, conforme lo siguiente:</w:t>
      </w:r>
      <w:bookmarkStart w:id="6" w:name="_heading=h.44sinio" w:colFirst="0" w:colLast="0"/>
      <w:bookmarkEnd w:id="6"/>
    </w:p>
    <w:p w14:paraId="2B0EC983" w14:textId="77777777" w:rsidR="00A868F0" w:rsidRPr="005F79C9" w:rsidRDefault="00A868F0" w:rsidP="00A868F0">
      <w:pPr>
        <w:pBdr>
          <w:top w:val="nil"/>
          <w:left w:val="nil"/>
          <w:bottom w:val="nil"/>
          <w:right w:val="nil"/>
          <w:between w:val="nil"/>
        </w:pBdr>
        <w:rPr>
          <w:rFonts w:eastAsia="Palatino Linotype" w:cs="Palatino Linotype"/>
          <w:color w:val="000000"/>
          <w:szCs w:val="24"/>
          <w:u w:val="single"/>
        </w:rPr>
      </w:pPr>
    </w:p>
    <w:p w14:paraId="71556E12" w14:textId="77777777" w:rsidR="00A868F0" w:rsidRPr="005F79C9" w:rsidRDefault="00A868F0" w:rsidP="00A868F0">
      <w:pPr>
        <w:pStyle w:val="Prrafodelista"/>
        <w:ind w:left="0"/>
        <w:rPr>
          <w:rFonts w:cs="Arial"/>
          <w:b/>
        </w:rPr>
      </w:pPr>
      <w:r w:rsidRPr="005F79C9">
        <w:rPr>
          <w:rFonts w:cs="Arial"/>
          <w:b/>
        </w:rPr>
        <w:t>Deducciones que no son personales.</w:t>
      </w:r>
    </w:p>
    <w:p w14:paraId="756C8D51" w14:textId="77777777" w:rsidR="00A868F0" w:rsidRPr="005F79C9" w:rsidRDefault="00A868F0" w:rsidP="00A868F0">
      <w:pPr>
        <w:pStyle w:val="Prrafodelista"/>
        <w:ind w:left="0"/>
        <w:rPr>
          <w:rFonts w:cs="Arial"/>
        </w:rPr>
      </w:pPr>
      <w:r w:rsidRPr="005F79C9">
        <w:rPr>
          <w:rFonts w:cs="Arial"/>
        </w:rPr>
        <w:t>La Ley del Trabajo de los Servidores Públicos del Estado y Municipios</w:t>
      </w:r>
      <w:r w:rsidRPr="005F79C9">
        <w:rPr>
          <w:rStyle w:val="Refdenotaalpie"/>
        </w:rPr>
        <w:footnoteReference w:id="3"/>
      </w:r>
      <w:r w:rsidRPr="005F79C9">
        <w:rPr>
          <w:rFonts w:cs="Arial"/>
        </w:rPr>
        <w:t xml:space="preserve"> en el artículo 84 </w:t>
      </w:r>
      <w:proofErr w:type="gramStart"/>
      <w:r w:rsidRPr="005F79C9">
        <w:rPr>
          <w:rFonts w:cs="Arial"/>
        </w:rPr>
        <w:t>establece</w:t>
      </w:r>
      <w:proofErr w:type="gramEnd"/>
      <w:r w:rsidRPr="005F79C9">
        <w:rPr>
          <w:rFonts w:cs="Arial"/>
        </w:rPr>
        <w:t xml:space="preserve"> lo siguiente:</w:t>
      </w:r>
    </w:p>
    <w:p w14:paraId="6076421A" w14:textId="77777777" w:rsidR="00A868F0" w:rsidRPr="005F79C9" w:rsidRDefault="00A868F0" w:rsidP="00A868F0">
      <w:pPr>
        <w:pStyle w:val="Prrafodelista"/>
        <w:ind w:left="567" w:right="822"/>
        <w:rPr>
          <w:i/>
          <w:sz w:val="22"/>
        </w:rPr>
      </w:pPr>
      <w:r w:rsidRPr="005F79C9">
        <w:rPr>
          <w:i/>
          <w:sz w:val="22"/>
        </w:rPr>
        <w:t xml:space="preserve">ARTÍCULO 84. Sólo podrán hacerse retenciones, descuentos o deducciones al sueldo de los servidores públicos por concepto de: </w:t>
      </w:r>
    </w:p>
    <w:p w14:paraId="33D2CC04" w14:textId="77777777" w:rsidR="00A868F0" w:rsidRPr="005F79C9" w:rsidRDefault="00A868F0" w:rsidP="00A868F0">
      <w:pPr>
        <w:pStyle w:val="Prrafodelista"/>
        <w:ind w:left="567" w:right="822"/>
        <w:rPr>
          <w:b/>
          <w:i/>
          <w:sz w:val="22"/>
        </w:rPr>
      </w:pPr>
      <w:r w:rsidRPr="005F79C9">
        <w:rPr>
          <w:b/>
          <w:i/>
          <w:sz w:val="22"/>
        </w:rPr>
        <w:t>I. Gravámenes fiscales relacionados con el sueldo;</w:t>
      </w:r>
    </w:p>
    <w:p w14:paraId="38E996DC" w14:textId="77777777" w:rsidR="00A868F0" w:rsidRPr="005F79C9" w:rsidRDefault="00A868F0" w:rsidP="00A868F0">
      <w:pPr>
        <w:pStyle w:val="Prrafodelista"/>
        <w:ind w:left="567" w:right="822"/>
        <w:rPr>
          <w:i/>
          <w:sz w:val="22"/>
        </w:rPr>
      </w:pPr>
      <w:r w:rsidRPr="005F79C9">
        <w:rPr>
          <w:i/>
          <w:sz w:val="22"/>
        </w:rPr>
        <w:t xml:space="preserve">II. Deudas contraídas con las instituciones públicas o dependencias por concepto de anticipos de sueldo, pagos hechos con exceso, errores o pérdidas debidamente comprobados; </w:t>
      </w:r>
    </w:p>
    <w:p w14:paraId="744D54DA" w14:textId="77777777" w:rsidR="00A868F0" w:rsidRPr="005F79C9" w:rsidRDefault="00A868F0" w:rsidP="00A868F0">
      <w:pPr>
        <w:pStyle w:val="Prrafodelista"/>
        <w:ind w:left="567" w:right="822"/>
        <w:rPr>
          <w:i/>
          <w:sz w:val="22"/>
        </w:rPr>
      </w:pPr>
      <w:r w:rsidRPr="005F79C9">
        <w:rPr>
          <w:i/>
          <w:sz w:val="22"/>
        </w:rPr>
        <w:t xml:space="preserve">III. Cuotas sindicales; </w:t>
      </w:r>
    </w:p>
    <w:p w14:paraId="55BD34B7" w14:textId="77777777" w:rsidR="00A868F0" w:rsidRPr="005F79C9" w:rsidRDefault="00A868F0" w:rsidP="00A868F0">
      <w:pPr>
        <w:pStyle w:val="Prrafodelista"/>
        <w:ind w:left="567" w:right="822"/>
        <w:rPr>
          <w:b/>
          <w:i/>
          <w:sz w:val="22"/>
        </w:rPr>
      </w:pPr>
      <w:r w:rsidRPr="005F79C9">
        <w:rPr>
          <w:b/>
          <w:i/>
          <w:sz w:val="22"/>
        </w:rPr>
        <w:t xml:space="preserve">IV. Cuotas de aportación a fondos para la constitución de cooperativas y de cajas de ahorro, siempre que el servidor público hubiese manifestado previamente, de manera expresa, su conformidad; </w:t>
      </w:r>
    </w:p>
    <w:p w14:paraId="569C44B1" w14:textId="77777777" w:rsidR="00A868F0" w:rsidRPr="005F79C9" w:rsidRDefault="00A868F0" w:rsidP="00A868F0">
      <w:pPr>
        <w:pStyle w:val="Prrafodelista"/>
        <w:ind w:left="567" w:right="822"/>
        <w:rPr>
          <w:b/>
          <w:i/>
          <w:sz w:val="22"/>
        </w:rPr>
      </w:pPr>
      <w:r w:rsidRPr="005F79C9">
        <w:rPr>
          <w:b/>
          <w:i/>
          <w:sz w:val="22"/>
        </w:rPr>
        <w:t xml:space="preserve">V. Descuentos ordenados por el Instituto de Seguridad Social del Estado de México y Municipios, con motivo de cuotas y obligaciones contraídas con éste por los servidores públicos; </w:t>
      </w:r>
    </w:p>
    <w:p w14:paraId="44042FF0" w14:textId="77777777" w:rsidR="00A868F0" w:rsidRPr="005F79C9" w:rsidRDefault="00A868F0" w:rsidP="00A868F0">
      <w:pPr>
        <w:pStyle w:val="Prrafodelista"/>
        <w:ind w:left="567" w:right="822"/>
        <w:rPr>
          <w:i/>
          <w:sz w:val="22"/>
        </w:rPr>
      </w:pPr>
      <w:r w:rsidRPr="005F79C9">
        <w:rPr>
          <w:i/>
          <w:sz w:val="22"/>
        </w:rPr>
        <w:t xml:space="preserve">VI. Obligaciones a cargo del servidor público con las que haya consentido, derivadas de la adquisición o del uso de habitaciones consideradas como de interés social; </w:t>
      </w:r>
    </w:p>
    <w:p w14:paraId="6FAFEAC4" w14:textId="77777777" w:rsidR="00A868F0" w:rsidRPr="005F79C9" w:rsidRDefault="00A868F0" w:rsidP="00A868F0">
      <w:pPr>
        <w:pStyle w:val="Prrafodelista"/>
        <w:ind w:left="567" w:right="822"/>
        <w:rPr>
          <w:i/>
          <w:sz w:val="22"/>
        </w:rPr>
      </w:pPr>
      <w:r w:rsidRPr="005F79C9">
        <w:rPr>
          <w:i/>
          <w:sz w:val="22"/>
        </w:rPr>
        <w:t xml:space="preserve">VII. Faltas de puntualidad o de asistencia injustificadas; </w:t>
      </w:r>
    </w:p>
    <w:p w14:paraId="4ACE6693" w14:textId="77777777" w:rsidR="00A868F0" w:rsidRPr="005F79C9" w:rsidRDefault="00A868F0" w:rsidP="00A868F0">
      <w:pPr>
        <w:pStyle w:val="Prrafodelista"/>
        <w:ind w:left="567" w:right="822"/>
        <w:rPr>
          <w:i/>
          <w:sz w:val="22"/>
        </w:rPr>
      </w:pPr>
      <w:r w:rsidRPr="005F79C9">
        <w:rPr>
          <w:i/>
          <w:sz w:val="22"/>
        </w:rPr>
        <w:t xml:space="preserve">VIII. Pensiones alimenticias ordenadas por la autoridad judicial; o </w:t>
      </w:r>
    </w:p>
    <w:p w14:paraId="6B41FB87" w14:textId="77777777" w:rsidR="00A868F0" w:rsidRPr="005F79C9" w:rsidRDefault="00A868F0" w:rsidP="00A868F0">
      <w:pPr>
        <w:pStyle w:val="Prrafodelista"/>
        <w:ind w:left="567" w:right="822"/>
        <w:rPr>
          <w:i/>
          <w:sz w:val="22"/>
        </w:rPr>
      </w:pPr>
      <w:r w:rsidRPr="005F79C9">
        <w:rPr>
          <w:i/>
          <w:sz w:val="22"/>
        </w:rPr>
        <w:t>IX. Cualquier otro convenido con instituciones de servicios y aceptado por el servidor público.</w:t>
      </w:r>
    </w:p>
    <w:p w14:paraId="5D5B59FC" w14:textId="77777777" w:rsidR="00A868F0" w:rsidRPr="005F79C9" w:rsidRDefault="00A868F0" w:rsidP="00A868F0">
      <w:pPr>
        <w:ind w:right="822"/>
        <w:rPr>
          <w:rFonts w:cs="Arial"/>
          <w:i/>
        </w:rPr>
      </w:pPr>
    </w:p>
    <w:p w14:paraId="149800C6" w14:textId="77777777" w:rsidR="00A868F0" w:rsidRPr="005F79C9" w:rsidRDefault="00A868F0" w:rsidP="00A868F0">
      <w:pPr>
        <w:pStyle w:val="Prrafodelista"/>
        <w:ind w:left="0"/>
        <w:rPr>
          <w:rFonts w:cs="Arial"/>
        </w:rPr>
      </w:pPr>
      <w:r w:rsidRPr="005F79C9">
        <w:rPr>
          <w:rFonts w:cs="Arial"/>
        </w:rPr>
        <w:lastRenderedPageBreak/>
        <w:t xml:space="preserve">Dentro de las retenciones, descuentos o deducciones de sueldo se contemplan los gravámenes fiscales, Cuotas de aportación a fondos para la constitución de cooperativas y de cajas de ahorro, así como descuentos ordenados por el </w:t>
      </w:r>
      <w:proofErr w:type="spellStart"/>
      <w:r w:rsidRPr="005F79C9">
        <w:rPr>
          <w:rFonts w:cs="Arial"/>
        </w:rPr>
        <w:t>ISSEMyM</w:t>
      </w:r>
      <w:proofErr w:type="spellEnd"/>
      <w:r w:rsidRPr="005F79C9">
        <w:rPr>
          <w:rFonts w:cs="Arial"/>
        </w:rPr>
        <w:t xml:space="preserve"> por motivo de cuotas y obligaciones contraídas por los servidores públicos. </w:t>
      </w:r>
      <w:r w:rsidRPr="005F79C9">
        <w:rPr>
          <w:rFonts w:cs="Arial"/>
          <w:b/>
        </w:rPr>
        <w:t>Estos mencionados son de carácter público</w:t>
      </w:r>
      <w:r w:rsidRPr="005F79C9">
        <w:rPr>
          <w:rFonts w:cs="Arial"/>
        </w:rPr>
        <w:t>, toda vez que se consideran descuentos que por ley se deben realizar a los servidores públicos contrario a las deducciones personales que son por voluntad de cada servidor público.</w:t>
      </w:r>
    </w:p>
    <w:p w14:paraId="266278CF" w14:textId="77777777" w:rsidR="00A868F0" w:rsidRPr="005F79C9" w:rsidRDefault="00A868F0" w:rsidP="00A868F0">
      <w:pPr>
        <w:rPr>
          <w:rFonts w:cs="Arial"/>
        </w:rPr>
      </w:pPr>
    </w:p>
    <w:p w14:paraId="2AC15E9D" w14:textId="77777777" w:rsidR="00A868F0" w:rsidRPr="005F79C9" w:rsidRDefault="00A868F0" w:rsidP="00A868F0">
      <w:pPr>
        <w:pStyle w:val="Prrafodelista"/>
        <w:numPr>
          <w:ilvl w:val="0"/>
          <w:numId w:val="4"/>
        </w:numPr>
        <w:rPr>
          <w:rFonts w:cs="Arial"/>
          <w:b/>
        </w:rPr>
      </w:pPr>
      <w:r w:rsidRPr="005F79C9">
        <w:rPr>
          <w:rFonts w:cs="Arial"/>
          <w:b/>
        </w:rPr>
        <w:t>Seguro de Capitalización Individualizado.</w:t>
      </w:r>
    </w:p>
    <w:p w14:paraId="57577677" w14:textId="77777777" w:rsidR="00A868F0" w:rsidRPr="005F79C9" w:rsidRDefault="00A868F0" w:rsidP="00A868F0">
      <w:pPr>
        <w:pStyle w:val="Prrafodelista"/>
        <w:ind w:left="0"/>
        <w:rPr>
          <w:rFonts w:cs="Arial"/>
        </w:rPr>
      </w:pPr>
      <w:r w:rsidRPr="005F79C9">
        <w:rPr>
          <w:rFonts w:cs="Arial"/>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51688D5E" w14:textId="77777777" w:rsidR="00A868F0" w:rsidRPr="005F79C9" w:rsidRDefault="00A868F0" w:rsidP="00A868F0">
      <w:pPr>
        <w:pStyle w:val="Prrafodelista"/>
        <w:rPr>
          <w:rFonts w:cs="Arial"/>
        </w:rPr>
      </w:pPr>
      <w:r w:rsidRPr="005F79C9">
        <w:rPr>
          <w:rFonts w:cs="Arial"/>
        </w:rPr>
        <w:t>•</w:t>
      </w:r>
      <w:r w:rsidRPr="005F79C9">
        <w:rPr>
          <w:rFonts w:cs="Arial"/>
        </w:rPr>
        <w:tab/>
        <w:t>Subcuenta de cuota obligatoria; que corresponde a un porcentaje del sueldo sujeto a cotización, que se descuenta al servir público de manera automática.</w:t>
      </w:r>
    </w:p>
    <w:p w14:paraId="33043CB2" w14:textId="77777777" w:rsidR="00A868F0" w:rsidRPr="005F79C9" w:rsidRDefault="00A868F0" w:rsidP="00A868F0">
      <w:pPr>
        <w:pStyle w:val="Prrafodelista"/>
        <w:rPr>
          <w:rFonts w:cs="Arial"/>
        </w:rPr>
      </w:pPr>
      <w:r w:rsidRPr="005F79C9">
        <w:rPr>
          <w:rFonts w:cs="Arial"/>
        </w:rPr>
        <w:t>•</w:t>
      </w:r>
      <w:r w:rsidRPr="005F79C9">
        <w:rPr>
          <w:rFonts w:cs="Arial"/>
        </w:rPr>
        <w:tab/>
        <w:t>Subcuenta de aportación obligatoria: que es la aportación que realiza la Institución a favor del servidor público, el cual equivale a un porcentaje del sueldo sujeto a cotización.</w:t>
      </w:r>
    </w:p>
    <w:p w14:paraId="44994192" w14:textId="77777777" w:rsidR="00A868F0" w:rsidRPr="005F79C9" w:rsidRDefault="00A868F0" w:rsidP="00A868F0">
      <w:pPr>
        <w:pStyle w:val="Prrafodelista"/>
        <w:rPr>
          <w:rFonts w:cs="Arial"/>
        </w:rPr>
      </w:pPr>
      <w:r w:rsidRPr="005F79C9">
        <w:rPr>
          <w:rFonts w:cs="Arial"/>
        </w:rPr>
        <w:t>•</w:t>
      </w:r>
      <w:r w:rsidRPr="005F79C9">
        <w:rPr>
          <w:rFonts w:cs="Arial"/>
        </w:rPr>
        <w:tab/>
        <w:t xml:space="preserve">Subcuenta voluntaria: que es la cantidad que cada servidor público decide ahorrar de acuerdo con sus aportaciones, permitiendo acumular mayores ingresos para su retiro. </w:t>
      </w:r>
    </w:p>
    <w:p w14:paraId="46754DC3" w14:textId="77777777" w:rsidR="00A868F0" w:rsidRPr="005F79C9" w:rsidRDefault="00A868F0" w:rsidP="00A868F0">
      <w:pPr>
        <w:pStyle w:val="Prrafodelista"/>
        <w:rPr>
          <w:rFonts w:cs="Arial"/>
        </w:rPr>
      </w:pPr>
    </w:p>
    <w:p w14:paraId="1D3515DF" w14:textId="77777777" w:rsidR="00A868F0" w:rsidRPr="005F79C9" w:rsidRDefault="00A868F0" w:rsidP="00A868F0">
      <w:pPr>
        <w:pStyle w:val="Prrafodelista"/>
        <w:ind w:left="0"/>
        <w:rPr>
          <w:rFonts w:cs="Arial"/>
        </w:rPr>
      </w:pPr>
      <w:r w:rsidRPr="005F79C9">
        <w:rPr>
          <w:rFonts w:cs="Arial"/>
        </w:rPr>
        <w:t xml:space="preserve">En razón de lo anterior, debe considerarse que la subcuenta de cuota obligatoria y subcuenta de aportación obligatoria, </w:t>
      </w:r>
      <w:r w:rsidRPr="005F79C9">
        <w:rPr>
          <w:rFonts w:cs="Arial"/>
          <w:b/>
        </w:rPr>
        <w:t>deben ser considerados datos de naturaleza pública</w:t>
      </w:r>
      <w:r w:rsidRPr="005F79C9">
        <w:rPr>
          <w:rFonts w:cs="Arial"/>
        </w:rPr>
        <w:t xml:space="preserve">, ya que su publicidad es necesaria, considerando que se trata del ejercicio de </w:t>
      </w:r>
      <w:r w:rsidRPr="005F79C9">
        <w:rPr>
          <w:rFonts w:cs="Arial"/>
        </w:rPr>
        <w:lastRenderedPageBreak/>
        <w:t xml:space="preserve">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1894D24C" w14:textId="77777777" w:rsidR="00A868F0" w:rsidRPr="005F79C9" w:rsidRDefault="00A868F0" w:rsidP="00A868F0">
      <w:pPr>
        <w:pStyle w:val="Prrafodelista"/>
        <w:ind w:left="567" w:right="822"/>
        <w:rPr>
          <w:rFonts w:cs="Arial"/>
          <w:i/>
          <w:sz w:val="22"/>
        </w:rPr>
      </w:pPr>
      <w:r w:rsidRPr="005F79C9">
        <w:rPr>
          <w:rFonts w:cs="Arial"/>
          <w:i/>
          <w:sz w:val="22"/>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5F79C9">
        <w:rPr>
          <w:rFonts w:cs="Arial"/>
          <w:i/>
          <w:sz w:val="22"/>
        </w:rPr>
        <w:t>aún</w:t>
      </w:r>
      <w:proofErr w:type="spellEnd"/>
      <w:r w:rsidRPr="005F79C9">
        <w:rPr>
          <w:rFonts w:cs="Arial"/>
          <w:i/>
          <w:sz w:val="22"/>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w:t>
      </w:r>
      <w:r w:rsidRPr="005F79C9">
        <w:rPr>
          <w:rFonts w:cs="Arial"/>
          <w:i/>
          <w:sz w:val="22"/>
        </w:rPr>
        <w:lastRenderedPageBreak/>
        <w:t>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5F79C9">
        <w:rPr>
          <w:rFonts w:cs="Arial"/>
          <w:sz w:val="22"/>
        </w:rPr>
        <w:t xml:space="preserve"> </w:t>
      </w:r>
    </w:p>
    <w:p w14:paraId="20546FA0" w14:textId="77777777" w:rsidR="00A868F0" w:rsidRPr="005F79C9" w:rsidRDefault="00A868F0" w:rsidP="00A868F0">
      <w:pPr>
        <w:pStyle w:val="Prrafodelista"/>
        <w:rPr>
          <w:rFonts w:cs="Arial"/>
        </w:rPr>
      </w:pPr>
    </w:p>
    <w:p w14:paraId="624B0193" w14:textId="77777777" w:rsidR="00A868F0" w:rsidRPr="005F79C9" w:rsidRDefault="00A868F0" w:rsidP="00A868F0">
      <w:pPr>
        <w:pStyle w:val="Prrafodelista"/>
        <w:ind w:left="0"/>
        <w:rPr>
          <w:rFonts w:cs="Arial"/>
        </w:rPr>
      </w:pPr>
      <w:r w:rsidRPr="005F79C9">
        <w:rPr>
          <w:rFonts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728843EF" w14:textId="77777777" w:rsidR="00A868F0" w:rsidRPr="005F79C9" w:rsidRDefault="00A868F0" w:rsidP="00A868F0">
      <w:pPr>
        <w:pStyle w:val="Prrafodelista"/>
        <w:ind w:left="0"/>
        <w:rPr>
          <w:rFonts w:cs="Arial"/>
        </w:rPr>
      </w:pPr>
    </w:p>
    <w:p w14:paraId="70A3185D" w14:textId="77777777" w:rsidR="00DA53CE" w:rsidRPr="005F79C9" w:rsidRDefault="00DA53CE" w:rsidP="00A868F0">
      <w:pPr>
        <w:pStyle w:val="Prrafodelista"/>
        <w:ind w:left="0"/>
        <w:rPr>
          <w:rFonts w:cs="Arial"/>
          <w:szCs w:val="24"/>
        </w:rPr>
      </w:pPr>
      <w:r w:rsidRPr="005F79C9">
        <w:rPr>
          <w:rFonts w:cs="Arial"/>
        </w:rPr>
        <w:t>Ahora bien respecto lo manifestado en los motivos de inconformidad correspondiente a “</w:t>
      </w:r>
      <w:r w:rsidRPr="005F79C9">
        <w:rPr>
          <w:i/>
          <w:sz w:val="22"/>
        </w:rPr>
        <w:t xml:space="preserve">DEBIENDO TAMBIÉN DAR VISTA AL ÓRGANO DE CONTROL INTERNO CORRESPONDIENTE POR LAS RESPONSABILIDADES ADMINISTRATIVAS POR EL TITULAR Y/O RESPONSABLE DE LA UNIDAD DE TRANPSRAENCIA” </w:t>
      </w:r>
      <w:r w:rsidRPr="005F79C9">
        <w:rPr>
          <w:szCs w:val="24"/>
        </w:rPr>
        <w:t>este Instituto debe pronunciarse respecto a que no es la autoridad competente para sancionar o investigar las faltas administrativas cometidas por los Sujetos Obligados por este medio.</w:t>
      </w:r>
    </w:p>
    <w:p w14:paraId="3BEAA165" w14:textId="77777777" w:rsidR="00DA53CE" w:rsidRPr="005F79C9" w:rsidRDefault="00DA53CE" w:rsidP="00A868F0">
      <w:pPr>
        <w:pStyle w:val="Prrafodelista"/>
        <w:ind w:left="0"/>
        <w:rPr>
          <w:rFonts w:cs="Arial"/>
        </w:rPr>
      </w:pPr>
    </w:p>
    <w:p w14:paraId="333E720A" w14:textId="77777777" w:rsidR="00A868F0" w:rsidRPr="005F79C9" w:rsidRDefault="00A868F0" w:rsidP="00A868F0">
      <w:pPr>
        <w:autoSpaceDE w:val="0"/>
        <w:autoSpaceDN w:val="0"/>
        <w:adjustRightInd w:val="0"/>
        <w:rPr>
          <w:color w:val="000000"/>
          <w:szCs w:val="24"/>
        </w:rPr>
      </w:pPr>
      <w:r w:rsidRPr="005F79C9">
        <w:rPr>
          <w:color w:val="000000"/>
          <w:szCs w:val="24"/>
        </w:rPr>
        <w:t xml:space="preserve">Por lo descrito en líneas anteriores el Sujeto Obligado tiene la obligación de contar con la digitalización del soporte documental requerido por el Recurrente por lo que resulta dable ordenar de ser procedente en versión pública los recibos de nómina del personal adscrito </w:t>
      </w:r>
      <w:r w:rsidR="00487960" w:rsidRPr="005F79C9">
        <w:rPr>
          <w:color w:val="000000"/>
          <w:szCs w:val="24"/>
        </w:rPr>
        <w:t xml:space="preserve">al Sujeto Obligado </w:t>
      </w:r>
      <w:r w:rsidRPr="005F79C9">
        <w:rPr>
          <w:color w:val="000000"/>
          <w:szCs w:val="24"/>
        </w:rPr>
        <w:t xml:space="preserve">de la segunda quincena de </w:t>
      </w:r>
      <w:r w:rsidR="00487960" w:rsidRPr="005F79C9">
        <w:rPr>
          <w:color w:val="000000"/>
          <w:szCs w:val="24"/>
        </w:rPr>
        <w:t>julio</w:t>
      </w:r>
      <w:r w:rsidRPr="005F79C9">
        <w:rPr>
          <w:color w:val="000000"/>
          <w:szCs w:val="24"/>
        </w:rPr>
        <w:t xml:space="preserve"> de dos mil veinticinco. </w:t>
      </w:r>
    </w:p>
    <w:p w14:paraId="7DA9B502" w14:textId="77777777" w:rsidR="00A868F0" w:rsidRPr="005F79C9" w:rsidRDefault="00A868F0" w:rsidP="00A868F0">
      <w:pPr>
        <w:pBdr>
          <w:top w:val="nil"/>
          <w:left w:val="nil"/>
          <w:bottom w:val="nil"/>
          <w:right w:val="nil"/>
          <w:between w:val="nil"/>
        </w:pBdr>
        <w:contextualSpacing/>
        <w:rPr>
          <w:color w:val="000000"/>
        </w:rPr>
      </w:pPr>
    </w:p>
    <w:p w14:paraId="72920396" w14:textId="77777777" w:rsidR="00A868F0" w:rsidRPr="005F79C9" w:rsidRDefault="00A868F0" w:rsidP="00A868F0">
      <w:pPr>
        <w:rPr>
          <w:rFonts w:eastAsia="Times New Roman" w:cs="Times New Roman"/>
          <w:b/>
          <w:bCs/>
          <w:i/>
          <w:iCs/>
          <w:szCs w:val="24"/>
          <w:u w:val="single"/>
        </w:rPr>
      </w:pPr>
      <w:r w:rsidRPr="005F79C9">
        <w:rPr>
          <w:rFonts w:eastAsia="Times New Roman" w:cs="Times New Roman"/>
          <w:b/>
          <w:bCs/>
          <w:i/>
          <w:iCs/>
          <w:szCs w:val="24"/>
          <w:u w:val="single"/>
        </w:rPr>
        <w:lastRenderedPageBreak/>
        <w:t>DE LA VERSIÓN PÚBLICA</w:t>
      </w:r>
    </w:p>
    <w:p w14:paraId="66A0870D" w14:textId="77777777" w:rsidR="00A868F0" w:rsidRPr="005F79C9" w:rsidRDefault="00A868F0" w:rsidP="00A868F0">
      <w:pPr>
        <w:rPr>
          <w:rFonts w:eastAsia="Arial Unicode MS"/>
          <w:szCs w:val="24"/>
        </w:rPr>
      </w:pPr>
      <w:r w:rsidRPr="005F79C9">
        <w:rPr>
          <w:rFonts w:eastAsia="Arial Unicode MS"/>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769FDC7" w14:textId="77777777" w:rsidR="00A868F0" w:rsidRPr="005F79C9" w:rsidRDefault="00A868F0" w:rsidP="00A868F0">
      <w:pPr>
        <w:rPr>
          <w:bCs/>
          <w:szCs w:val="24"/>
        </w:rPr>
      </w:pPr>
    </w:p>
    <w:p w14:paraId="78397F06" w14:textId="77777777" w:rsidR="00A868F0" w:rsidRPr="005F79C9" w:rsidRDefault="00A868F0" w:rsidP="00A868F0">
      <w:pPr>
        <w:rPr>
          <w:szCs w:val="24"/>
        </w:rPr>
      </w:pPr>
      <w:r w:rsidRPr="005F79C9">
        <w:rPr>
          <w:bCs/>
          <w:szCs w:val="24"/>
        </w:rPr>
        <w:t>A este respecto, los</w:t>
      </w:r>
      <w:r w:rsidRPr="005F79C9">
        <w:rPr>
          <w:szCs w:val="24"/>
        </w:rPr>
        <w:t xml:space="preserve"> artículos 3, fracciones IX, XX, XXI y XLV; 51 y 52de la Ley de Transparencia y Acceso a la Información Pública del Estado de México y Municipios establecen:</w:t>
      </w:r>
    </w:p>
    <w:p w14:paraId="50CB112D" w14:textId="77777777" w:rsidR="00A868F0" w:rsidRPr="005F79C9" w:rsidRDefault="00A868F0" w:rsidP="00A868F0">
      <w:pPr>
        <w:ind w:left="567" w:right="616"/>
        <w:rPr>
          <w:i/>
          <w:sz w:val="22"/>
        </w:rPr>
      </w:pPr>
      <w:r w:rsidRPr="005F79C9">
        <w:rPr>
          <w:rFonts w:cs="Arial"/>
          <w:b/>
          <w:bCs/>
          <w:i/>
          <w:sz w:val="22"/>
        </w:rPr>
        <w:t xml:space="preserve">Artículo 3. </w:t>
      </w:r>
      <w:r w:rsidRPr="005F79C9">
        <w:rPr>
          <w:i/>
          <w:sz w:val="22"/>
        </w:rPr>
        <w:t xml:space="preserve">Para los efectos de la presente Ley se entenderá por: </w:t>
      </w:r>
    </w:p>
    <w:p w14:paraId="195EB8E7" w14:textId="77777777" w:rsidR="00A868F0" w:rsidRPr="005F79C9" w:rsidRDefault="00A868F0" w:rsidP="00A868F0">
      <w:pPr>
        <w:ind w:left="567" w:right="616"/>
        <w:rPr>
          <w:i/>
          <w:sz w:val="22"/>
        </w:rPr>
      </w:pPr>
      <w:r w:rsidRPr="005F79C9">
        <w:rPr>
          <w:rFonts w:cs="Arial"/>
          <w:i/>
          <w:sz w:val="22"/>
        </w:rPr>
        <w:t>(…</w:t>
      </w:r>
      <w:r w:rsidRPr="005F79C9">
        <w:rPr>
          <w:i/>
          <w:sz w:val="22"/>
        </w:rPr>
        <w:t>)</w:t>
      </w:r>
    </w:p>
    <w:p w14:paraId="61E82951" w14:textId="77777777" w:rsidR="00A868F0" w:rsidRPr="005F79C9" w:rsidRDefault="00A868F0" w:rsidP="00A868F0">
      <w:pPr>
        <w:ind w:left="567" w:right="616"/>
        <w:rPr>
          <w:rFonts w:cs="Arial"/>
          <w:i/>
          <w:sz w:val="22"/>
        </w:rPr>
      </w:pPr>
      <w:r w:rsidRPr="005F79C9">
        <w:rPr>
          <w:rFonts w:cs="Arial"/>
          <w:b/>
          <w:i/>
          <w:sz w:val="22"/>
        </w:rPr>
        <w:t>IX.</w:t>
      </w:r>
      <w:r w:rsidRPr="005F79C9">
        <w:rPr>
          <w:rFonts w:cs="Arial"/>
          <w:i/>
          <w:sz w:val="22"/>
        </w:rPr>
        <w:t xml:space="preserve"> </w:t>
      </w:r>
      <w:r w:rsidRPr="005F79C9">
        <w:rPr>
          <w:rFonts w:cs="Arial"/>
          <w:b/>
          <w:i/>
          <w:sz w:val="22"/>
        </w:rPr>
        <w:t xml:space="preserve">Datos personales: </w:t>
      </w:r>
      <w:r w:rsidRPr="005F79C9">
        <w:rPr>
          <w:rFonts w:cs="Arial"/>
          <w:i/>
          <w:sz w:val="22"/>
        </w:rPr>
        <w:t xml:space="preserve">La información concerniente a una persona, identificada o identificable según lo dispuesto por la Ley de Protección de Datos Personales del Estado de México; </w:t>
      </w:r>
    </w:p>
    <w:p w14:paraId="2285F97F" w14:textId="77777777" w:rsidR="00A868F0" w:rsidRPr="005F79C9" w:rsidRDefault="00A868F0" w:rsidP="00A868F0">
      <w:pPr>
        <w:ind w:left="567" w:right="616"/>
        <w:rPr>
          <w:rFonts w:cs="Arial"/>
          <w:i/>
          <w:sz w:val="22"/>
        </w:rPr>
      </w:pPr>
      <w:r w:rsidRPr="005F79C9">
        <w:rPr>
          <w:rFonts w:cs="Arial"/>
          <w:i/>
          <w:sz w:val="22"/>
        </w:rPr>
        <w:t>(…)</w:t>
      </w:r>
    </w:p>
    <w:p w14:paraId="08C1344A" w14:textId="77777777" w:rsidR="00A868F0" w:rsidRPr="005F79C9" w:rsidRDefault="00A868F0" w:rsidP="00A868F0">
      <w:pPr>
        <w:ind w:left="567" w:right="616"/>
        <w:rPr>
          <w:rFonts w:cs="Arial"/>
          <w:i/>
          <w:sz w:val="22"/>
        </w:rPr>
      </w:pPr>
      <w:r w:rsidRPr="005F79C9">
        <w:rPr>
          <w:rFonts w:cs="Arial"/>
          <w:b/>
          <w:i/>
          <w:sz w:val="22"/>
        </w:rPr>
        <w:t>XX.</w:t>
      </w:r>
      <w:r w:rsidRPr="005F79C9">
        <w:rPr>
          <w:rFonts w:cs="Arial"/>
          <w:i/>
          <w:sz w:val="22"/>
        </w:rPr>
        <w:t xml:space="preserve"> </w:t>
      </w:r>
      <w:r w:rsidRPr="005F79C9">
        <w:rPr>
          <w:rFonts w:cs="Arial"/>
          <w:b/>
          <w:i/>
          <w:sz w:val="22"/>
        </w:rPr>
        <w:t>Información clasificada:</w:t>
      </w:r>
      <w:r w:rsidRPr="005F79C9">
        <w:rPr>
          <w:rFonts w:cs="Arial"/>
          <w:i/>
          <w:sz w:val="22"/>
        </w:rPr>
        <w:t xml:space="preserve"> Aquella considerada por la presente Ley como reservada o confidencial; </w:t>
      </w:r>
    </w:p>
    <w:p w14:paraId="76FFA25E" w14:textId="77777777" w:rsidR="00A868F0" w:rsidRPr="005F79C9" w:rsidRDefault="00A868F0" w:rsidP="00A868F0">
      <w:pPr>
        <w:ind w:left="567" w:right="616"/>
        <w:rPr>
          <w:rFonts w:cs="Arial"/>
          <w:i/>
          <w:sz w:val="22"/>
        </w:rPr>
      </w:pPr>
      <w:r w:rsidRPr="005F79C9">
        <w:rPr>
          <w:rFonts w:cs="Arial"/>
          <w:b/>
          <w:i/>
          <w:sz w:val="22"/>
        </w:rPr>
        <w:t>XXI.</w:t>
      </w:r>
      <w:r w:rsidRPr="005F79C9">
        <w:rPr>
          <w:rFonts w:cs="Arial"/>
          <w:i/>
          <w:sz w:val="22"/>
        </w:rPr>
        <w:t xml:space="preserve"> </w:t>
      </w:r>
      <w:r w:rsidRPr="005F79C9">
        <w:rPr>
          <w:rFonts w:cs="Arial"/>
          <w:b/>
          <w:i/>
          <w:sz w:val="22"/>
        </w:rPr>
        <w:t>Información confidencial</w:t>
      </w:r>
      <w:r w:rsidRPr="005F79C9">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804E5C9" w14:textId="77777777" w:rsidR="00A868F0" w:rsidRPr="005F79C9" w:rsidRDefault="00A868F0" w:rsidP="00A868F0">
      <w:pPr>
        <w:ind w:left="567" w:right="616"/>
        <w:rPr>
          <w:rFonts w:cs="Arial"/>
          <w:i/>
          <w:sz w:val="22"/>
        </w:rPr>
      </w:pPr>
      <w:r w:rsidRPr="005F79C9">
        <w:rPr>
          <w:rFonts w:cs="Arial"/>
          <w:i/>
          <w:sz w:val="22"/>
        </w:rPr>
        <w:t>(…)</w:t>
      </w:r>
    </w:p>
    <w:p w14:paraId="7EF030C0" w14:textId="77777777" w:rsidR="00A868F0" w:rsidRPr="005F79C9" w:rsidRDefault="00A868F0" w:rsidP="00C26419">
      <w:pPr>
        <w:ind w:left="567" w:right="616"/>
        <w:rPr>
          <w:rFonts w:cs="Arial"/>
          <w:i/>
          <w:sz w:val="22"/>
        </w:rPr>
      </w:pPr>
      <w:r w:rsidRPr="005F79C9">
        <w:rPr>
          <w:rFonts w:cs="Arial"/>
          <w:b/>
          <w:i/>
          <w:sz w:val="22"/>
        </w:rPr>
        <w:lastRenderedPageBreak/>
        <w:t>XLV. Versión pública:</w:t>
      </w:r>
      <w:r w:rsidRPr="005F79C9">
        <w:rPr>
          <w:rFonts w:cs="Arial"/>
          <w:i/>
          <w:sz w:val="22"/>
        </w:rPr>
        <w:t xml:space="preserve"> Documento en el que se elimine, suprime o borra la información clasificada como reservada o confidencial para permitir su acceso. </w:t>
      </w:r>
    </w:p>
    <w:p w14:paraId="5F8B22B2" w14:textId="77777777" w:rsidR="00A868F0" w:rsidRPr="005F79C9" w:rsidRDefault="00A868F0" w:rsidP="00A868F0">
      <w:pPr>
        <w:ind w:left="567" w:right="616"/>
        <w:rPr>
          <w:rFonts w:cs="Arial"/>
          <w:i/>
          <w:sz w:val="22"/>
        </w:rPr>
      </w:pPr>
      <w:r w:rsidRPr="005F79C9">
        <w:rPr>
          <w:rFonts w:cs="Arial"/>
          <w:b/>
          <w:i/>
          <w:sz w:val="22"/>
        </w:rPr>
        <w:t>Artículo 51.</w:t>
      </w:r>
      <w:r w:rsidRPr="005F79C9">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F79C9">
        <w:rPr>
          <w:rFonts w:cs="Arial"/>
          <w:b/>
          <w:i/>
          <w:sz w:val="22"/>
        </w:rPr>
        <w:t xml:space="preserve">y tendrá la responsabilidad de verificar en cada caso que la misma no sea confidencial o reservada. </w:t>
      </w:r>
      <w:r w:rsidRPr="005F79C9">
        <w:rPr>
          <w:rFonts w:cs="Arial"/>
          <w:i/>
          <w:sz w:val="22"/>
        </w:rPr>
        <w:t xml:space="preserve">Dicha Unidad contará con las facultades internas necesarias para gestionar la atención a las solicitudes de información en los términos de la Ley General y la presente Ley. </w:t>
      </w:r>
    </w:p>
    <w:p w14:paraId="77BEE4B2" w14:textId="77777777" w:rsidR="00A868F0" w:rsidRPr="005F79C9" w:rsidRDefault="00A868F0" w:rsidP="00A868F0">
      <w:pPr>
        <w:ind w:left="567" w:right="616"/>
        <w:rPr>
          <w:rFonts w:cs="Arial"/>
          <w:bCs/>
          <w:i/>
          <w:noProof/>
          <w:sz w:val="22"/>
        </w:rPr>
      </w:pPr>
      <w:r w:rsidRPr="005F79C9">
        <w:rPr>
          <w:rFonts w:cs="Arial"/>
          <w:b/>
          <w:i/>
          <w:sz w:val="22"/>
        </w:rPr>
        <w:t>Artículo 52.</w:t>
      </w:r>
      <w:r w:rsidRPr="005F79C9">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1587F4A" w14:textId="77777777" w:rsidR="00A868F0" w:rsidRPr="005F79C9" w:rsidRDefault="00A868F0" w:rsidP="00A868F0">
      <w:pPr>
        <w:rPr>
          <w:noProof/>
          <w:sz w:val="22"/>
        </w:rPr>
      </w:pPr>
    </w:p>
    <w:p w14:paraId="6B18392F" w14:textId="77777777" w:rsidR="00A868F0" w:rsidRPr="005F79C9" w:rsidRDefault="00A868F0" w:rsidP="00A868F0">
      <w:pPr>
        <w:rPr>
          <w:szCs w:val="24"/>
        </w:rPr>
      </w:pPr>
      <w:r w:rsidRPr="005F79C9">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B56B14B" w14:textId="77777777" w:rsidR="00A868F0" w:rsidRPr="005F79C9" w:rsidRDefault="00A868F0" w:rsidP="00A868F0">
      <w:pPr>
        <w:ind w:left="567" w:right="616"/>
        <w:rPr>
          <w:rFonts w:eastAsia="Arial Unicode MS" w:cs="Arial"/>
          <w:i/>
          <w:sz w:val="22"/>
        </w:rPr>
      </w:pPr>
      <w:r w:rsidRPr="005F79C9">
        <w:rPr>
          <w:rFonts w:eastAsia="Arial Unicode MS" w:cs="Arial"/>
          <w:b/>
          <w:i/>
          <w:sz w:val="22"/>
        </w:rPr>
        <w:lastRenderedPageBreak/>
        <w:t>Artículo</w:t>
      </w:r>
      <w:r w:rsidRPr="005F79C9">
        <w:rPr>
          <w:rFonts w:eastAsia="Arial Unicode MS" w:cs="Arial"/>
          <w:i/>
          <w:sz w:val="22"/>
        </w:rPr>
        <w:t xml:space="preserve"> </w:t>
      </w:r>
      <w:r w:rsidRPr="005F79C9">
        <w:rPr>
          <w:rFonts w:eastAsia="Arial Unicode MS" w:cs="Arial"/>
          <w:b/>
          <w:i/>
          <w:sz w:val="22"/>
        </w:rPr>
        <w:t>22</w:t>
      </w:r>
      <w:r w:rsidRPr="005F79C9">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67DC4F67" w14:textId="77777777" w:rsidR="00A868F0" w:rsidRPr="005F79C9" w:rsidRDefault="00A868F0" w:rsidP="00A868F0">
      <w:pPr>
        <w:ind w:left="567" w:right="616"/>
        <w:rPr>
          <w:rFonts w:eastAsia="Arial Unicode MS" w:cs="Arial"/>
          <w:i/>
          <w:sz w:val="22"/>
        </w:rPr>
      </w:pPr>
    </w:p>
    <w:p w14:paraId="09DF155D" w14:textId="77777777" w:rsidR="00A868F0" w:rsidRPr="005F79C9" w:rsidRDefault="00A868F0" w:rsidP="00A868F0">
      <w:pPr>
        <w:ind w:left="567" w:right="616"/>
        <w:rPr>
          <w:rFonts w:eastAsia="Arial Unicode MS" w:cs="Arial"/>
          <w:i/>
          <w:sz w:val="22"/>
        </w:rPr>
      </w:pPr>
      <w:r w:rsidRPr="005F79C9">
        <w:rPr>
          <w:rFonts w:eastAsia="Arial Unicode MS" w:cs="Arial"/>
          <w:i/>
          <w:sz w:val="22"/>
        </w:rPr>
        <w:t>El responsable podrá tratar datos personales para finalidades distintas a aquéllas establecidas en el aviso de privacidad, en los casos siguientes:</w:t>
      </w:r>
    </w:p>
    <w:p w14:paraId="4E433653" w14:textId="77777777" w:rsidR="00A868F0" w:rsidRPr="005F79C9" w:rsidRDefault="00A868F0" w:rsidP="00A868F0">
      <w:pPr>
        <w:ind w:left="567" w:right="616"/>
        <w:rPr>
          <w:rFonts w:eastAsia="Arial Unicode MS" w:cs="Arial"/>
          <w:i/>
          <w:sz w:val="22"/>
        </w:rPr>
      </w:pPr>
    </w:p>
    <w:p w14:paraId="0387E812" w14:textId="77777777" w:rsidR="00A868F0" w:rsidRPr="005F79C9" w:rsidRDefault="00A868F0" w:rsidP="00A868F0">
      <w:pPr>
        <w:ind w:left="567" w:right="616"/>
        <w:rPr>
          <w:rFonts w:eastAsia="Arial Unicode MS" w:cs="Arial"/>
          <w:i/>
          <w:sz w:val="22"/>
        </w:rPr>
      </w:pPr>
      <w:r w:rsidRPr="005F79C9">
        <w:rPr>
          <w:rFonts w:eastAsia="Arial Unicode MS" w:cs="Arial"/>
          <w:i/>
          <w:sz w:val="22"/>
        </w:rPr>
        <w:t>I. Cuente con atribuciones conferidas en ley y medie el consentimiento del titular.</w:t>
      </w:r>
    </w:p>
    <w:p w14:paraId="0FDEACD2" w14:textId="77777777" w:rsidR="00A868F0" w:rsidRPr="005F79C9" w:rsidRDefault="00A868F0" w:rsidP="00A868F0">
      <w:pPr>
        <w:ind w:left="567" w:right="616"/>
        <w:rPr>
          <w:rFonts w:eastAsia="Arial Unicode MS" w:cs="Arial"/>
          <w:i/>
          <w:sz w:val="22"/>
        </w:rPr>
      </w:pPr>
      <w:r w:rsidRPr="005F79C9">
        <w:rPr>
          <w:rFonts w:eastAsia="Arial Unicode MS" w:cs="Arial"/>
          <w:i/>
          <w:sz w:val="22"/>
        </w:rPr>
        <w:t>II. Se trate de una persona reportada como desaparecida, en los términos previstos en la presente Ley y demás disposiciones legales aplicables...</w:t>
      </w:r>
    </w:p>
    <w:p w14:paraId="6C98A331" w14:textId="77777777" w:rsidR="00A868F0" w:rsidRPr="005F79C9" w:rsidRDefault="00A868F0" w:rsidP="00A868F0">
      <w:pPr>
        <w:ind w:left="567" w:right="616"/>
        <w:rPr>
          <w:rFonts w:eastAsia="Arial Unicode MS" w:cs="Arial"/>
          <w:i/>
          <w:sz w:val="22"/>
        </w:rPr>
      </w:pPr>
      <w:r w:rsidRPr="005F79C9">
        <w:rPr>
          <w:rFonts w:eastAsia="Arial Unicode MS" w:cs="Arial"/>
          <w:b/>
          <w:i/>
          <w:sz w:val="22"/>
        </w:rPr>
        <w:t>Artículo</w:t>
      </w:r>
      <w:r w:rsidRPr="005F79C9">
        <w:rPr>
          <w:rFonts w:eastAsia="Arial Unicode MS" w:cs="Arial"/>
          <w:i/>
          <w:sz w:val="22"/>
        </w:rPr>
        <w:t xml:space="preserve"> </w:t>
      </w:r>
      <w:r w:rsidRPr="005F79C9">
        <w:rPr>
          <w:rFonts w:eastAsia="Arial Unicode MS" w:cs="Arial"/>
          <w:b/>
          <w:i/>
          <w:sz w:val="22"/>
        </w:rPr>
        <w:t>38</w:t>
      </w:r>
      <w:r w:rsidRPr="005F79C9">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36B983C4" w14:textId="77777777" w:rsidR="00A868F0" w:rsidRPr="005F79C9" w:rsidRDefault="00A868F0" w:rsidP="00A868F0">
      <w:pPr>
        <w:ind w:left="567" w:right="616"/>
        <w:rPr>
          <w:rFonts w:eastAsia="Arial Unicode MS" w:cs="Arial"/>
          <w:i/>
        </w:rPr>
      </w:pPr>
    </w:p>
    <w:p w14:paraId="0600BE83" w14:textId="77777777" w:rsidR="00A868F0" w:rsidRPr="005F79C9" w:rsidRDefault="00A868F0" w:rsidP="00A868F0">
      <w:pPr>
        <w:rPr>
          <w:szCs w:val="24"/>
        </w:rPr>
      </w:pPr>
      <w:r w:rsidRPr="005F79C9">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59965EE" w14:textId="77777777" w:rsidR="00A868F0" w:rsidRPr="005F79C9" w:rsidRDefault="00A868F0" w:rsidP="00A868F0">
      <w:pPr>
        <w:rPr>
          <w:szCs w:val="24"/>
        </w:rPr>
      </w:pPr>
    </w:p>
    <w:p w14:paraId="48E83A18" w14:textId="77777777" w:rsidR="00A868F0" w:rsidRPr="005F79C9" w:rsidRDefault="00A868F0" w:rsidP="00A868F0">
      <w:pPr>
        <w:rPr>
          <w:rFonts w:eastAsia="Arial Unicode MS"/>
          <w:szCs w:val="24"/>
        </w:rPr>
      </w:pPr>
      <w:r w:rsidRPr="005F79C9">
        <w:rPr>
          <w:rFonts w:eastAsia="Arial Unicode MS"/>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F79C9">
        <w:rPr>
          <w:rFonts w:eastAsia="Arial Unicode MS"/>
          <w:color w:val="000000"/>
          <w:szCs w:val="24"/>
        </w:rPr>
        <w:t>el Sujeto Obligado</w:t>
      </w:r>
      <w:r w:rsidRPr="005F79C9">
        <w:rPr>
          <w:rFonts w:eastAsia="Arial Unicode MS"/>
          <w:szCs w:val="24"/>
        </w:rPr>
        <w:t xml:space="preserve">, en ese contexto, todo dato personal susceptible de clasificación debe ser protegido. </w:t>
      </w:r>
    </w:p>
    <w:p w14:paraId="1009945F" w14:textId="77777777" w:rsidR="00A868F0" w:rsidRPr="005F79C9" w:rsidRDefault="00A868F0" w:rsidP="00A868F0">
      <w:pPr>
        <w:rPr>
          <w:rFonts w:cs="Tahoma"/>
          <w:b/>
          <w:bCs/>
          <w:iCs/>
          <w:color w:val="000000"/>
        </w:rPr>
      </w:pPr>
    </w:p>
    <w:p w14:paraId="5A8DB855" w14:textId="77777777" w:rsidR="00A868F0" w:rsidRPr="005F79C9" w:rsidRDefault="00A868F0" w:rsidP="00A868F0">
      <w:pPr>
        <w:rPr>
          <w:szCs w:val="24"/>
        </w:rPr>
      </w:pPr>
      <w:r w:rsidRPr="005F79C9">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9E57B16" w14:textId="77777777" w:rsidR="00A868F0" w:rsidRPr="005F79C9" w:rsidRDefault="00A868F0" w:rsidP="00A868F0">
      <w:pPr>
        <w:rPr>
          <w:szCs w:val="24"/>
        </w:rPr>
      </w:pPr>
    </w:p>
    <w:p w14:paraId="43AFA52D" w14:textId="77777777" w:rsidR="00A868F0" w:rsidRPr="005F79C9" w:rsidRDefault="00A868F0" w:rsidP="00A868F0">
      <w:pPr>
        <w:rPr>
          <w:szCs w:val="24"/>
        </w:rPr>
      </w:pPr>
      <w:r w:rsidRPr="005F79C9">
        <w:rPr>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w:t>
      </w:r>
      <w:r w:rsidRPr="005F79C9">
        <w:rPr>
          <w:szCs w:val="24"/>
        </w:rPr>
        <w:lastRenderedPageBreak/>
        <w:t>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460934D" w14:textId="77777777" w:rsidR="00A868F0" w:rsidRPr="005F79C9" w:rsidRDefault="00A868F0" w:rsidP="00A868F0">
      <w:pPr>
        <w:rPr>
          <w:szCs w:val="24"/>
        </w:rPr>
      </w:pPr>
    </w:p>
    <w:p w14:paraId="47FFD6A6" w14:textId="77777777" w:rsidR="00A868F0" w:rsidRPr="005F79C9" w:rsidRDefault="00A868F0" w:rsidP="00A868F0">
      <w:pPr>
        <w:rPr>
          <w:szCs w:val="24"/>
        </w:rPr>
      </w:pPr>
      <w:r w:rsidRPr="005F79C9">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CDA8ACD" w14:textId="77777777" w:rsidR="00A868F0" w:rsidRPr="005F79C9" w:rsidRDefault="00A868F0" w:rsidP="00A868F0">
      <w:pPr>
        <w:ind w:left="567" w:right="616"/>
        <w:rPr>
          <w:i/>
          <w:sz w:val="22"/>
        </w:rPr>
      </w:pPr>
      <w:r w:rsidRPr="005F79C9">
        <w:rPr>
          <w:b/>
          <w:i/>
          <w:sz w:val="22"/>
        </w:rPr>
        <w:t xml:space="preserve">Artículo 49. </w:t>
      </w:r>
      <w:r w:rsidRPr="005F79C9">
        <w:rPr>
          <w:i/>
          <w:sz w:val="22"/>
        </w:rPr>
        <w:t>Los Comités de Transparencia tendrán las siguientes atribuciones:</w:t>
      </w:r>
    </w:p>
    <w:p w14:paraId="270BB4EA" w14:textId="77777777" w:rsidR="00A868F0" w:rsidRPr="005F79C9" w:rsidRDefault="00A868F0" w:rsidP="00A868F0">
      <w:pPr>
        <w:ind w:left="567" w:right="616"/>
        <w:rPr>
          <w:bCs/>
          <w:i/>
          <w:sz w:val="22"/>
        </w:rPr>
      </w:pPr>
      <w:r w:rsidRPr="005F79C9">
        <w:rPr>
          <w:bCs/>
          <w:i/>
          <w:sz w:val="22"/>
        </w:rPr>
        <w:t>(…)</w:t>
      </w:r>
    </w:p>
    <w:p w14:paraId="072831B4" w14:textId="77777777" w:rsidR="00A868F0" w:rsidRPr="005F79C9" w:rsidRDefault="00A868F0" w:rsidP="00A868F0">
      <w:pPr>
        <w:ind w:left="567" w:right="616"/>
        <w:rPr>
          <w:i/>
          <w:sz w:val="22"/>
        </w:rPr>
      </w:pPr>
      <w:r w:rsidRPr="005F79C9">
        <w:rPr>
          <w:b/>
          <w:i/>
          <w:sz w:val="22"/>
        </w:rPr>
        <w:t>VIII.</w:t>
      </w:r>
      <w:r w:rsidRPr="005F79C9">
        <w:rPr>
          <w:i/>
          <w:sz w:val="22"/>
        </w:rPr>
        <w:t xml:space="preserve"> Aprobar, modificar o revocar la clasificación de la información;</w:t>
      </w:r>
    </w:p>
    <w:p w14:paraId="2C077ED0" w14:textId="77777777" w:rsidR="00A868F0" w:rsidRPr="005F79C9" w:rsidRDefault="00A868F0" w:rsidP="00A868F0">
      <w:pPr>
        <w:ind w:left="567" w:right="616"/>
        <w:rPr>
          <w:bCs/>
          <w:i/>
          <w:sz w:val="22"/>
        </w:rPr>
      </w:pPr>
      <w:r w:rsidRPr="005F79C9">
        <w:rPr>
          <w:bCs/>
          <w:i/>
          <w:sz w:val="22"/>
        </w:rPr>
        <w:t>(…)</w:t>
      </w:r>
    </w:p>
    <w:p w14:paraId="3698C2C9" w14:textId="77777777" w:rsidR="00A868F0" w:rsidRPr="005F79C9" w:rsidRDefault="00A868F0" w:rsidP="00A868F0">
      <w:pPr>
        <w:ind w:left="567" w:right="616"/>
        <w:rPr>
          <w:i/>
          <w:sz w:val="22"/>
        </w:rPr>
      </w:pPr>
    </w:p>
    <w:p w14:paraId="1D756EF7" w14:textId="77777777" w:rsidR="00A868F0" w:rsidRPr="005F79C9" w:rsidRDefault="00A868F0" w:rsidP="00A868F0">
      <w:pPr>
        <w:ind w:left="567" w:right="616"/>
        <w:rPr>
          <w:i/>
          <w:sz w:val="22"/>
        </w:rPr>
      </w:pPr>
      <w:r w:rsidRPr="005F79C9">
        <w:rPr>
          <w:b/>
          <w:i/>
          <w:sz w:val="22"/>
        </w:rPr>
        <w:t>Artículo 132.</w:t>
      </w:r>
      <w:r w:rsidRPr="005F79C9">
        <w:rPr>
          <w:i/>
          <w:sz w:val="22"/>
        </w:rPr>
        <w:t xml:space="preserve"> La clasificación de la información se llevará a cabo en el momento en que:</w:t>
      </w:r>
    </w:p>
    <w:p w14:paraId="3D2EBA52" w14:textId="77777777" w:rsidR="00A868F0" w:rsidRPr="005F79C9" w:rsidRDefault="00A868F0" w:rsidP="00A868F0">
      <w:pPr>
        <w:ind w:left="567" w:right="616"/>
        <w:rPr>
          <w:b/>
          <w:i/>
          <w:sz w:val="22"/>
        </w:rPr>
      </w:pPr>
    </w:p>
    <w:p w14:paraId="44AEA54B" w14:textId="77777777" w:rsidR="00A868F0" w:rsidRPr="005F79C9" w:rsidRDefault="00A868F0" w:rsidP="00A868F0">
      <w:pPr>
        <w:ind w:left="567" w:right="616"/>
        <w:rPr>
          <w:i/>
          <w:sz w:val="22"/>
        </w:rPr>
      </w:pPr>
      <w:r w:rsidRPr="005F79C9">
        <w:rPr>
          <w:b/>
          <w:i/>
          <w:sz w:val="22"/>
        </w:rPr>
        <w:t>I.</w:t>
      </w:r>
      <w:r w:rsidRPr="005F79C9">
        <w:rPr>
          <w:i/>
          <w:sz w:val="22"/>
        </w:rPr>
        <w:t xml:space="preserve"> Se reciba una solicitud de acceso a la información;</w:t>
      </w:r>
    </w:p>
    <w:p w14:paraId="7B080F5A" w14:textId="77777777" w:rsidR="00A868F0" w:rsidRPr="005F79C9" w:rsidRDefault="00A868F0" w:rsidP="00A868F0">
      <w:pPr>
        <w:ind w:left="567" w:right="616"/>
        <w:rPr>
          <w:i/>
          <w:sz w:val="22"/>
        </w:rPr>
      </w:pPr>
      <w:r w:rsidRPr="005F79C9">
        <w:rPr>
          <w:b/>
          <w:i/>
          <w:sz w:val="22"/>
        </w:rPr>
        <w:t>II.</w:t>
      </w:r>
      <w:r w:rsidRPr="005F79C9">
        <w:rPr>
          <w:i/>
          <w:sz w:val="22"/>
        </w:rPr>
        <w:t xml:space="preserve"> Se determine mediante resolución de autoridad competente; o</w:t>
      </w:r>
    </w:p>
    <w:p w14:paraId="7F41D91E" w14:textId="77777777" w:rsidR="00A868F0" w:rsidRPr="005F79C9" w:rsidRDefault="00A868F0" w:rsidP="00A868F0">
      <w:pPr>
        <w:ind w:left="567" w:right="616"/>
        <w:rPr>
          <w:b/>
          <w:i/>
          <w:sz w:val="22"/>
        </w:rPr>
      </w:pPr>
      <w:r w:rsidRPr="005F79C9">
        <w:rPr>
          <w:b/>
          <w:bCs/>
          <w:i/>
          <w:sz w:val="22"/>
        </w:rPr>
        <w:t>III.</w:t>
      </w:r>
      <w:r w:rsidRPr="005F79C9">
        <w:rPr>
          <w:i/>
          <w:sz w:val="22"/>
        </w:rPr>
        <w:t xml:space="preserve"> Se generen versiones públicas para dar cumplimiento a las obligaciones de transparencia previstas en esta Ley.</w:t>
      </w:r>
      <w:r w:rsidRPr="005F79C9">
        <w:rPr>
          <w:b/>
          <w:i/>
          <w:sz w:val="22"/>
        </w:rPr>
        <w:t>”</w:t>
      </w:r>
    </w:p>
    <w:p w14:paraId="1C33439E" w14:textId="77777777" w:rsidR="00A868F0" w:rsidRPr="005F79C9" w:rsidRDefault="00A868F0" w:rsidP="00A868F0">
      <w:pPr>
        <w:ind w:left="567" w:right="616"/>
        <w:rPr>
          <w:b/>
          <w:i/>
          <w:sz w:val="22"/>
        </w:rPr>
      </w:pPr>
    </w:p>
    <w:p w14:paraId="75B5D7A4" w14:textId="77777777" w:rsidR="00A868F0" w:rsidRPr="005F79C9" w:rsidRDefault="00A868F0" w:rsidP="00A868F0">
      <w:pPr>
        <w:ind w:left="567" w:right="616"/>
        <w:rPr>
          <w:i/>
          <w:sz w:val="22"/>
        </w:rPr>
      </w:pPr>
      <w:r w:rsidRPr="005F79C9">
        <w:rPr>
          <w:b/>
          <w:i/>
          <w:sz w:val="22"/>
        </w:rPr>
        <w:lastRenderedPageBreak/>
        <w:t>Segundo.-</w:t>
      </w:r>
      <w:r w:rsidRPr="005F79C9">
        <w:rPr>
          <w:i/>
          <w:sz w:val="22"/>
        </w:rPr>
        <w:t xml:space="preserve"> Para efectos de los presentes Lineamientos Generales, se entenderá por:</w:t>
      </w:r>
    </w:p>
    <w:p w14:paraId="5C1EA736" w14:textId="77777777" w:rsidR="00A868F0" w:rsidRPr="005F79C9" w:rsidRDefault="00A868F0" w:rsidP="00A868F0">
      <w:pPr>
        <w:ind w:left="567" w:right="616"/>
        <w:rPr>
          <w:i/>
          <w:sz w:val="22"/>
        </w:rPr>
      </w:pPr>
      <w:r w:rsidRPr="005F79C9">
        <w:rPr>
          <w:b/>
          <w:i/>
          <w:sz w:val="22"/>
        </w:rPr>
        <w:t>XVIII.</w:t>
      </w:r>
      <w:r w:rsidRPr="005F79C9">
        <w:rPr>
          <w:i/>
          <w:sz w:val="22"/>
        </w:rPr>
        <w:t xml:space="preserve"> </w:t>
      </w:r>
      <w:r w:rsidRPr="005F79C9">
        <w:rPr>
          <w:b/>
          <w:i/>
          <w:sz w:val="22"/>
        </w:rPr>
        <w:t>Versión pública:</w:t>
      </w:r>
      <w:r w:rsidRPr="005F79C9">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01AD8B" w14:textId="77777777" w:rsidR="00A868F0" w:rsidRPr="005F79C9" w:rsidRDefault="00A868F0" w:rsidP="00A868F0">
      <w:pPr>
        <w:ind w:left="567" w:right="616"/>
        <w:rPr>
          <w:i/>
          <w:sz w:val="22"/>
        </w:rPr>
      </w:pPr>
      <w:r w:rsidRPr="005F79C9">
        <w:rPr>
          <w:b/>
          <w:i/>
          <w:sz w:val="22"/>
        </w:rPr>
        <w:t>Cuarto.</w:t>
      </w:r>
      <w:r w:rsidRPr="005F79C9">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6B68B1" w14:textId="77777777" w:rsidR="00A868F0" w:rsidRPr="005F79C9" w:rsidRDefault="00A868F0" w:rsidP="00A868F0">
      <w:pPr>
        <w:ind w:left="567" w:right="616"/>
        <w:rPr>
          <w:i/>
          <w:sz w:val="22"/>
        </w:rPr>
      </w:pPr>
      <w:r w:rsidRPr="005F79C9">
        <w:rPr>
          <w:i/>
          <w:sz w:val="22"/>
        </w:rPr>
        <w:t>Los Sujetos Obligados deberán aplicar, de manera estricta, las excepciones al derecho de acceso a la información y sólo podrán invocarlas cuando acrediten su procedencia.</w:t>
      </w:r>
    </w:p>
    <w:p w14:paraId="199C14D0" w14:textId="77777777" w:rsidR="00A868F0" w:rsidRPr="005F79C9" w:rsidRDefault="00A868F0" w:rsidP="00A868F0">
      <w:pPr>
        <w:ind w:left="567" w:right="616"/>
        <w:rPr>
          <w:b/>
          <w:i/>
          <w:sz w:val="22"/>
        </w:rPr>
      </w:pPr>
    </w:p>
    <w:p w14:paraId="13D7201E" w14:textId="77777777" w:rsidR="00A868F0" w:rsidRPr="005F79C9" w:rsidRDefault="00A868F0" w:rsidP="00A868F0">
      <w:pPr>
        <w:ind w:left="567" w:right="616"/>
        <w:rPr>
          <w:i/>
          <w:sz w:val="22"/>
        </w:rPr>
      </w:pPr>
      <w:r w:rsidRPr="005F79C9">
        <w:rPr>
          <w:b/>
          <w:i/>
          <w:sz w:val="22"/>
        </w:rPr>
        <w:t>Quinto.</w:t>
      </w:r>
      <w:r w:rsidRPr="005F79C9">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F7ED59" w14:textId="77777777" w:rsidR="00A868F0" w:rsidRPr="005F79C9" w:rsidRDefault="00A868F0" w:rsidP="00A868F0">
      <w:pPr>
        <w:ind w:left="567" w:right="616"/>
        <w:rPr>
          <w:b/>
          <w:i/>
          <w:sz w:val="22"/>
        </w:rPr>
      </w:pPr>
    </w:p>
    <w:p w14:paraId="48594FFD" w14:textId="77777777" w:rsidR="00A868F0" w:rsidRPr="005F79C9" w:rsidRDefault="00A868F0" w:rsidP="00A868F0">
      <w:pPr>
        <w:ind w:left="567" w:right="616"/>
        <w:rPr>
          <w:i/>
          <w:sz w:val="22"/>
        </w:rPr>
      </w:pPr>
      <w:r w:rsidRPr="005F79C9">
        <w:rPr>
          <w:b/>
          <w:i/>
          <w:sz w:val="22"/>
        </w:rPr>
        <w:t>Sexto.</w:t>
      </w:r>
      <w:r w:rsidRPr="005F79C9">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5E82E4" w14:textId="77777777" w:rsidR="00A868F0" w:rsidRPr="005F79C9" w:rsidRDefault="00A868F0" w:rsidP="00A868F0">
      <w:pPr>
        <w:ind w:left="567" w:right="616"/>
        <w:rPr>
          <w:i/>
          <w:sz w:val="22"/>
        </w:rPr>
      </w:pPr>
      <w:r w:rsidRPr="005F79C9">
        <w:rPr>
          <w:i/>
          <w:sz w:val="22"/>
        </w:rPr>
        <w:lastRenderedPageBreak/>
        <w:t>La clasificación de información se realizará conforme a un análisis caso por caso, mediante la aplicación de la prueba de daño y de interés público.</w:t>
      </w:r>
    </w:p>
    <w:p w14:paraId="35D02079" w14:textId="77777777" w:rsidR="00A868F0" w:rsidRPr="005F79C9" w:rsidRDefault="00A868F0" w:rsidP="00A868F0">
      <w:pPr>
        <w:ind w:left="567" w:right="616"/>
        <w:rPr>
          <w:b/>
          <w:i/>
          <w:sz w:val="22"/>
        </w:rPr>
      </w:pPr>
    </w:p>
    <w:p w14:paraId="0C7A8BEA" w14:textId="77777777" w:rsidR="00A868F0" w:rsidRPr="005F79C9" w:rsidRDefault="00A868F0" w:rsidP="00A868F0">
      <w:pPr>
        <w:ind w:left="567" w:right="616"/>
        <w:rPr>
          <w:i/>
          <w:sz w:val="22"/>
        </w:rPr>
      </w:pPr>
      <w:r w:rsidRPr="005F79C9">
        <w:rPr>
          <w:b/>
          <w:i/>
          <w:sz w:val="22"/>
        </w:rPr>
        <w:t>Séptimo.</w:t>
      </w:r>
      <w:r w:rsidRPr="005F79C9">
        <w:rPr>
          <w:i/>
          <w:sz w:val="22"/>
        </w:rPr>
        <w:t xml:space="preserve"> La clasificación de la información se llevará a cabo en el momento en que:</w:t>
      </w:r>
    </w:p>
    <w:p w14:paraId="54564E33" w14:textId="77777777" w:rsidR="00A868F0" w:rsidRPr="005F79C9" w:rsidRDefault="00A868F0" w:rsidP="00A868F0">
      <w:pPr>
        <w:ind w:left="567" w:right="616"/>
        <w:rPr>
          <w:i/>
          <w:sz w:val="22"/>
        </w:rPr>
      </w:pPr>
      <w:r w:rsidRPr="005F79C9">
        <w:rPr>
          <w:b/>
          <w:i/>
          <w:sz w:val="22"/>
        </w:rPr>
        <w:t>I.</w:t>
      </w:r>
      <w:r w:rsidRPr="005F79C9">
        <w:rPr>
          <w:i/>
          <w:sz w:val="22"/>
        </w:rPr>
        <w:t xml:space="preserve"> Se reciba una solicitud de acceso a la información;</w:t>
      </w:r>
    </w:p>
    <w:p w14:paraId="0E02CB3A" w14:textId="77777777" w:rsidR="00A868F0" w:rsidRPr="005F79C9" w:rsidRDefault="00A868F0" w:rsidP="00A868F0">
      <w:pPr>
        <w:ind w:left="567" w:right="616"/>
        <w:rPr>
          <w:b/>
          <w:i/>
          <w:sz w:val="22"/>
        </w:rPr>
      </w:pPr>
    </w:p>
    <w:p w14:paraId="1C3B3B9A" w14:textId="77777777" w:rsidR="00A868F0" w:rsidRPr="005F79C9" w:rsidRDefault="00A868F0" w:rsidP="00A868F0">
      <w:pPr>
        <w:ind w:left="567" w:right="616"/>
        <w:rPr>
          <w:i/>
          <w:sz w:val="22"/>
        </w:rPr>
      </w:pPr>
      <w:r w:rsidRPr="005F79C9">
        <w:rPr>
          <w:b/>
          <w:i/>
          <w:sz w:val="22"/>
        </w:rPr>
        <w:t>II.</w:t>
      </w:r>
      <w:r w:rsidRPr="005F79C9">
        <w:rPr>
          <w:i/>
          <w:sz w:val="22"/>
        </w:rPr>
        <w:t xml:space="preserve"> Se determine mediante resolución de autoridad competente, o</w:t>
      </w:r>
    </w:p>
    <w:p w14:paraId="276A3A05" w14:textId="77777777" w:rsidR="00A868F0" w:rsidRPr="005F79C9" w:rsidRDefault="00A868F0" w:rsidP="00A868F0">
      <w:pPr>
        <w:ind w:left="567" w:right="616"/>
        <w:rPr>
          <w:i/>
          <w:sz w:val="22"/>
        </w:rPr>
      </w:pPr>
      <w:r w:rsidRPr="005F79C9">
        <w:rPr>
          <w:b/>
          <w:i/>
          <w:sz w:val="22"/>
        </w:rPr>
        <w:t>III.</w:t>
      </w:r>
      <w:r w:rsidRPr="005F79C9">
        <w:rPr>
          <w:i/>
          <w:sz w:val="22"/>
        </w:rPr>
        <w:t xml:space="preserve"> Se generen versiones públicas para dar cumplimiento a las obligaciones de transparencia previstas en la Ley General, la Ley Federal y las correspondientes de las entidades federativas.</w:t>
      </w:r>
    </w:p>
    <w:p w14:paraId="314098B3" w14:textId="77777777" w:rsidR="00A868F0" w:rsidRPr="005F79C9" w:rsidRDefault="00A868F0" w:rsidP="00A868F0">
      <w:pPr>
        <w:ind w:left="567" w:right="616"/>
        <w:rPr>
          <w:i/>
          <w:sz w:val="22"/>
        </w:rPr>
      </w:pPr>
      <w:r w:rsidRPr="005F79C9">
        <w:rPr>
          <w:i/>
          <w:sz w:val="22"/>
        </w:rPr>
        <w:t>Los titulares de las áreas deberán revisar la clasificación al momento de la recepción de una solicitud de acceso a la información, para verificar si encuadra en una causal de reserva o de confidencialidad.</w:t>
      </w:r>
    </w:p>
    <w:p w14:paraId="162EDE6D" w14:textId="77777777" w:rsidR="00A868F0" w:rsidRPr="005F79C9" w:rsidRDefault="00A868F0" w:rsidP="00A868F0">
      <w:pPr>
        <w:ind w:left="567" w:right="616"/>
        <w:rPr>
          <w:i/>
          <w:sz w:val="22"/>
        </w:rPr>
      </w:pPr>
      <w:r w:rsidRPr="005F79C9">
        <w:rPr>
          <w:b/>
          <w:i/>
          <w:sz w:val="22"/>
        </w:rPr>
        <w:t>Octavo.</w:t>
      </w:r>
      <w:r w:rsidRPr="005F79C9">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F17B572" w14:textId="77777777" w:rsidR="00A868F0" w:rsidRPr="005F79C9" w:rsidRDefault="00A868F0" w:rsidP="00A868F0">
      <w:pPr>
        <w:ind w:left="567" w:right="616"/>
        <w:rPr>
          <w:i/>
          <w:sz w:val="22"/>
        </w:rPr>
      </w:pPr>
      <w:r w:rsidRPr="005F79C9">
        <w:rPr>
          <w:i/>
          <w:sz w:val="22"/>
        </w:rPr>
        <w:t>Para motivar la clasificación se deberán señalar las razones o circunstancias especiales que lo llevaron a concluir que el caso particular se ajusta al supuesto previsto por la norma legal invocada como fundamento.</w:t>
      </w:r>
    </w:p>
    <w:p w14:paraId="6B989294" w14:textId="77777777" w:rsidR="00A868F0" w:rsidRPr="005F79C9" w:rsidRDefault="00A868F0" w:rsidP="00A868F0">
      <w:pPr>
        <w:ind w:left="567" w:right="616"/>
        <w:rPr>
          <w:i/>
          <w:sz w:val="22"/>
        </w:rPr>
      </w:pPr>
      <w:r w:rsidRPr="005F79C9">
        <w:rPr>
          <w:i/>
          <w:sz w:val="22"/>
        </w:rPr>
        <w:t>En caso de referirse a información reservada, la motivación de la clasificación también deberá comprender las circunstancias que justifican el establecimiento de determinado plazo de reserva.</w:t>
      </w:r>
    </w:p>
    <w:p w14:paraId="573C327F" w14:textId="77777777" w:rsidR="00A868F0" w:rsidRPr="005F79C9" w:rsidRDefault="00A868F0" w:rsidP="00A868F0">
      <w:pPr>
        <w:ind w:left="567" w:right="616"/>
        <w:rPr>
          <w:i/>
          <w:sz w:val="22"/>
        </w:rPr>
      </w:pPr>
    </w:p>
    <w:p w14:paraId="3B6A205B" w14:textId="77777777" w:rsidR="00A868F0" w:rsidRPr="005F79C9" w:rsidRDefault="00A868F0" w:rsidP="00A868F0">
      <w:pPr>
        <w:ind w:left="567" w:right="616"/>
        <w:rPr>
          <w:i/>
          <w:sz w:val="22"/>
        </w:rPr>
      </w:pPr>
      <w:r w:rsidRPr="005F79C9">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1682450" w14:textId="77777777" w:rsidR="00A868F0" w:rsidRPr="005F79C9" w:rsidRDefault="00A868F0" w:rsidP="00A868F0">
      <w:pPr>
        <w:ind w:left="567" w:right="616"/>
        <w:rPr>
          <w:i/>
          <w:sz w:val="22"/>
        </w:rPr>
      </w:pPr>
      <w:r w:rsidRPr="005F79C9">
        <w:rPr>
          <w:i/>
          <w:sz w:val="22"/>
        </w:rPr>
        <w:lastRenderedPageBreak/>
        <w:t>Los documentos contenidos en los archivos históricos y los identificados como históricos confidenciales no serán susceptibles de clasificación como reservados.</w:t>
      </w:r>
    </w:p>
    <w:p w14:paraId="4346086C" w14:textId="77777777" w:rsidR="00A868F0" w:rsidRPr="005F79C9" w:rsidRDefault="00A868F0" w:rsidP="00A868F0">
      <w:pPr>
        <w:ind w:left="567" w:right="616"/>
        <w:rPr>
          <w:b/>
          <w:i/>
          <w:sz w:val="22"/>
        </w:rPr>
      </w:pPr>
    </w:p>
    <w:p w14:paraId="70BDFEB5" w14:textId="77777777" w:rsidR="00A868F0" w:rsidRPr="005F79C9" w:rsidRDefault="00A868F0" w:rsidP="00A868F0">
      <w:pPr>
        <w:ind w:left="567" w:right="616"/>
        <w:rPr>
          <w:i/>
          <w:sz w:val="22"/>
        </w:rPr>
      </w:pPr>
      <w:r w:rsidRPr="005F79C9">
        <w:rPr>
          <w:b/>
          <w:i/>
          <w:sz w:val="22"/>
        </w:rPr>
        <w:t>Noveno.</w:t>
      </w:r>
      <w:r w:rsidRPr="005F79C9">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E16009" w14:textId="77777777" w:rsidR="00A868F0" w:rsidRPr="005F79C9" w:rsidRDefault="00A868F0" w:rsidP="00A868F0">
      <w:pPr>
        <w:ind w:left="567" w:right="616"/>
        <w:rPr>
          <w:i/>
          <w:sz w:val="22"/>
        </w:rPr>
      </w:pPr>
      <w:r w:rsidRPr="005F79C9">
        <w:rPr>
          <w:b/>
          <w:i/>
          <w:sz w:val="22"/>
        </w:rPr>
        <w:t>Décimo.</w:t>
      </w:r>
      <w:r w:rsidRPr="005F79C9">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82E23E5" w14:textId="77777777" w:rsidR="00A868F0" w:rsidRPr="005F79C9" w:rsidRDefault="00A868F0" w:rsidP="00A868F0">
      <w:pPr>
        <w:ind w:left="567" w:right="616"/>
        <w:rPr>
          <w:i/>
          <w:sz w:val="22"/>
        </w:rPr>
      </w:pPr>
      <w:r w:rsidRPr="005F79C9">
        <w:rPr>
          <w:i/>
          <w:sz w:val="22"/>
        </w:rPr>
        <w:t>En ausencia de los titulares de las áreas, la información será clasificada o desclasificada por la persona que lo supla, en términos de la normativa que rija la actuación del sujeto obligado.</w:t>
      </w:r>
    </w:p>
    <w:p w14:paraId="5D23CDE0" w14:textId="77777777" w:rsidR="00A868F0" w:rsidRPr="005F79C9" w:rsidRDefault="00A868F0" w:rsidP="00A868F0">
      <w:pPr>
        <w:ind w:left="567" w:right="616"/>
        <w:rPr>
          <w:b/>
          <w:i/>
          <w:sz w:val="22"/>
        </w:rPr>
      </w:pPr>
    </w:p>
    <w:p w14:paraId="419DE15E" w14:textId="77777777" w:rsidR="00A868F0" w:rsidRPr="005F79C9" w:rsidRDefault="00A868F0" w:rsidP="00A868F0">
      <w:pPr>
        <w:ind w:left="567" w:right="616"/>
        <w:rPr>
          <w:b/>
          <w:sz w:val="22"/>
        </w:rPr>
      </w:pPr>
      <w:r w:rsidRPr="005F79C9">
        <w:rPr>
          <w:b/>
          <w:i/>
          <w:sz w:val="22"/>
        </w:rPr>
        <w:t>Décimo primero.</w:t>
      </w:r>
      <w:r w:rsidRPr="005F79C9">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DBA891" w14:textId="77777777" w:rsidR="00A868F0" w:rsidRPr="005F79C9" w:rsidRDefault="00A868F0" w:rsidP="00A868F0">
      <w:pPr>
        <w:rPr>
          <w:rFonts w:cs="Arial"/>
          <w:i/>
          <w:szCs w:val="24"/>
        </w:rPr>
      </w:pPr>
    </w:p>
    <w:p w14:paraId="65DE9F36" w14:textId="77777777" w:rsidR="00A868F0" w:rsidRPr="005F79C9" w:rsidRDefault="00A868F0" w:rsidP="00A868F0">
      <w:pPr>
        <w:rPr>
          <w:szCs w:val="24"/>
        </w:rPr>
      </w:pPr>
      <w:r w:rsidRPr="005F79C9">
        <w:rPr>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5F79C9">
        <w:rPr>
          <w:szCs w:val="24"/>
        </w:rPr>
        <w:lastRenderedPageBreak/>
        <w:t>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88EC0F9" w14:textId="77777777" w:rsidR="00A868F0" w:rsidRPr="005F79C9" w:rsidRDefault="00A868F0" w:rsidP="00A868F0">
      <w:pPr>
        <w:rPr>
          <w:szCs w:val="24"/>
        </w:rPr>
      </w:pPr>
      <w:r w:rsidRPr="005F79C9">
        <w:rPr>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078DC895" w14:textId="77777777" w:rsidR="00A868F0" w:rsidRPr="005F79C9" w:rsidRDefault="00A868F0" w:rsidP="00A868F0">
      <w:pPr>
        <w:ind w:left="567" w:right="616"/>
        <w:rPr>
          <w:b/>
          <w:i/>
          <w:sz w:val="22"/>
        </w:rPr>
      </w:pPr>
      <w:r w:rsidRPr="005F79C9">
        <w:rPr>
          <w:b/>
          <w:i/>
          <w:sz w:val="22"/>
        </w:rPr>
        <w:t xml:space="preserve">FUNDAMENTACIÓN Y MOTIVACIÓN. </w:t>
      </w:r>
    </w:p>
    <w:p w14:paraId="6554B17A" w14:textId="77777777" w:rsidR="00A868F0" w:rsidRPr="005F79C9" w:rsidRDefault="00A868F0" w:rsidP="00A868F0">
      <w:pPr>
        <w:ind w:left="567" w:right="616"/>
        <w:rPr>
          <w:i/>
          <w:sz w:val="22"/>
        </w:rPr>
      </w:pPr>
      <w:r w:rsidRPr="005F79C9">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D297BBE" w14:textId="77777777" w:rsidR="00A868F0" w:rsidRPr="005F79C9" w:rsidRDefault="00A868F0" w:rsidP="00A868F0">
      <w:pPr>
        <w:ind w:left="567" w:right="616"/>
        <w:rPr>
          <w:i/>
          <w:sz w:val="22"/>
        </w:rPr>
      </w:pPr>
    </w:p>
    <w:p w14:paraId="3B7D33D7" w14:textId="77777777" w:rsidR="00A868F0" w:rsidRPr="005F79C9" w:rsidRDefault="00A868F0" w:rsidP="00A868F0">
      <w:pPr>
        <w:rPr>
          <w:szCs w:val="24"/>
        </w:rPr>
      </w:pPr>
      <w:r w:rsidRPr="005F79C9">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4D3A96D9" w14:textId="77777777" w:rsidR="00A868F0" w:rsidRPr="005F79C9" w:rsidRDefault="00A868F0" w:rsidP="00A868F0">
      <w:pPr>
        <w:ind w:left="567" w:right="616"/>
        <w:rPr>
          <w:i/>
          <w:sz w:val="22"/>
        </w:rPr>
      </w:pPr>
      <w:r w:rsidRPr="005F79C9">
        <w:rPr>
          <w:b/>
          <w:i/>
          <w:sz w:val="22"/>
        </w:rPr>
        <w:lastRenderedPageBreak/>
        <w:t>FUNDAMENTACIÓN Y MOTIVACIÓN. EL ASPECTO FORMAL DE LA GARANTÍA Y SU FINALIDAD SE TRADUCEN EN EXPLICAR, JUSTIFICAR, POSIBILITAR LA DEFENSA Y COMUNICAR LA DECISIÓN</w:t>
      </w:r>
      <w:r w:rsidRPr="005F79C9">
        <w:rPr>
          <w:i/>
          <w:sz w:val="22"/>
        </w:rPr>
        <w:t xml:space="preserve">. </w:t>
      </w:r>
    </w:p>
    <w:p w14:paraId="5BB9D135" w14:textId="77777777" w:rsidR="00A868F0" w:rsidRPr="005F79C9" w:rsidRDefault="00A868F0" w:rsidP="00A868F0">
      <w:pPr>
        <w:ind w:left="567" w:right="616"/>
        <w:rPr>
          <w:i/>
          <w:sz w:val="22"/>
        </w:rPr>
      </w:pPr>
      <w:r w:rsidRPr="005F79C9">
        <w:rPr>
          <w:i/>
          <w:sz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29BB7F2" w14:textId="77777777" w:rsidR="00A868F0" w:rsidRPr="005F79C9" w:rsidRDefault="00A868F0" w:rsidP="00A868F0">
      <w:pPr>
        <w:rPr>
          <w:szCs w:val="24"/>
        </w:rPr>
      </w:pPr>
    </w:p>
    <w:p w14:paraId="2AEC82A7" w14:textId="77777777" w:rsidR="00A868F0" w:rsidRPr="005F79C9" w:rsidRDefault="00A868F0" w:rsidP="00A868F0">
      <w:pPr>
        <w:rPr>
          <w:szCs w:val="24"/>
        </w:rPr>
      </w:pPr>
      <w:r w:rsidRPr="005F79C9">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E5CFBF0" w14:textId="77777777" w:rsidR="00A868F0" w:rsidRPr="005F79C9" w:rsidRDefault="00A868F0" w:rsidP="00A868F0">
      <w:pPr>
        <w:rPr>
          <w:szCs w:val="24"/>
        </w:rPr>
      </w:pPr>
    </w:p>
    <w:p w14:paraId="603A0AAA" w14:textId="77777777" w:rsidR="00A868F0" w:rsidRPr="005F79C9" w:rsidRDefault="00A868F0" w:rsidP="00A868F0">
      <w:pPr>
        <w:rPr>
          <w:szCs w:val="24"/>
        </w:rPr>
      </w:pPr>
      <w:r w:rsidRPr="005F79C9">
        <w:rPr>
          <w:szCs w:val="24"/>
        </w:rPr>
        <w:lastRenderedPageBreak/>
        <w:t>Por lo tanto, la entrega de documentos en su versión pública debe acompañarse necesariamente del Acuerdo del Comité de Transparencia del Sujeto Obligado</w:t>
      </w:r>
      <w:r w:rsidRPr="005F79C9">
        <w:rPr>
          <w:b/>
          <w:szCs w:val="24"/>
        </w:rPr>
        <w:t xml:space="preserve"> </w:t>
      </w:r>
      <w:r w:rsidRPr="005F79C9">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DB80BDA" w14:textId="77777777" w:rsidR="00A868F0" w:rsidRPr="005F79C9" w:rsidRDefault="00A868F0" w:rsidP="00A868F0">
      <w:pPr>
        <w:rPr>
          <w:szCs w:val="24"/>
        </w:rPr>
      </w:pPr>
    </w:p>
    <w:p w14:paraId="08AB79D9" w14:textId="77777777" w:rsidR="00A868F0" w:rsidRPr="005F79C9" w:rsidRDefault="00A868F0" w:rsidP="00A868F0">
      <w:pPr>
        <w:tabs>
          <w:tab w:val="left" w:pos="709"/>
        </w:tabs>
        <w:spacing w:before="240"/>
        <w:ind w:right="51"/>
      </w:pPr>
      <w:r w:rsidRPr="005F79C9">
        <w:rPr>
          <w:iCs/>
        </w:rPr>
        <w:t xml:space="preserve">En mérito de lo expuesto </w:t>
      </w:r>
      <w:r w:rsidRPr="005F79C9">
        <w:t>en líneas anteriores</w:t>
      </w:r>
      <w:r w:rsidRPr="005F79C9">
        <w:rPr>
          <w:b/>
        </w:rPr>
        <w:t xml:space="preserve">, </w:t>
      </w:r>
      <w:r w:rsidRPr="005F79C9">
        <w:t xml:space="preserve">por ello con fundamento en el artículo 186 fracción III de la Ley de Transparencia y Acceso a la Información Pública del Estado de México y Municipios, se </w:t>
      </w:r>
      <w:r w:rsidRPr="005F79C9">
        <w:rPr>
          <w:b/>
        </w:rPr>
        <w:t xml:space="preserve">REVOCA </w:t>
      </w:r>
      <w:r w:rsidRPr="005F79C9">
        <w:t>la respuesta a la solicitud de información</w:t>
      </w:r>
      <w:r w:rsidRPr="005F79C9">
        <w:rPr>
          <w:b/>
          <w:bCs/>
        </w:rPr>
        <w:t xml:space="preserve"> </w:t>
      </w:r>
      <w:r w:rsidR="00487960" w:rsidRPr="005F79C9">
        <w:rPr>
          <w:b/>
          <w:bCs/>
        </w:rPr>
        <w:t>00008/IMCUFIDETENAVA/IP/2025</w:t>
      </w:r>
      <w:r w:rsidRPr="005F79C9">
        <w:rPr>
          <w:b/>
          <w:bCs/>
        </w:rPr>
        <w:t xml:space="preserve">, </w:t>
      </w:r>
      <w:r w:rsidRPr="005F79C9">
        <w:t xml:space="preserve">que ha sido materia del presente fallo. </w:t>
      </w:r>
    </w:p>
    <w:p w14:paraId="356E3088" w14:textId="77777777" w:rsidR="00A868F0" w:rsidRPr="005F79C9" w:rsidRDefault="00A868F0" w:rsidP="00A868F0">
      <w:pPr>
        <w:pStyle w:val="Prrafodelista"/>
        <w:spacing w:before="240" w:after="240"/>
        <w:ind w:left="0"/>
      </w:pPr>
      <w:r w:rsidRPr="005F79C9">
        <w:t xml:space="preserve">Por lo antes expuesto y fundado es de resolverse y, </w:t>
      </w:r>
    </w:p>
    <w:p w14:paraId="5F489BCF" w14:textId="77777777" w:rsidR="00C26419" w:rsidRPr="005F79C9" w:rsidRDefault="00C26419" w:rsidP="00A868F0">
      <w:pPr>
        <w:pStyle w:val="Prrafodelista"/>
        <w:spacing w:before="240" w:after="240"/>
        <w:ind w:left="0"/>
      </w:pPr>
    </w:p>
    <w:p w14:paraId="7F8E3C32" w14:textId="77777777" w:rsidR="00A868F0" w:rsidRPr="005F79C9" w:rsidRDefault="00A868F0" w:rsidP="00A868F0">
      <w:pPr>
        <w:tabs>
          <w:tab w:val="left" w:pos="426"/>
        </w:tabs>
        <w:ind w:right="49"/>
        <w:contextualSpacing/>
        <w:jc w:val="center"/>
        <w:rPr>
          <w:b/>
          <w:sz w:val="28"/>
          <w:szCs w:val="28"/>
        </w:rPr>
      </w:pPr>
      <w:r w:rsidRPr="005F79C9">
        <w:rPr>
          <w:b/>
          <w:sz w:val="28"/>
          <w:szCs w:val="28"/>
        </w:rPr>
        <w:t>S E        R E S U E L V E</w:t>
      </w:r>
    </w:p>
    <w:p w14:paraId="0EA84EDE" w14:textId="77777777" w:rsidR="00487960" w:rsidRPr="005F79C9" w:rsidRDefault="00487960" w:rsidP="00A868F0">
      <w:pPr>
        <w:tabs>
          <w:tab w:val="left" w:pos="426"/>
        </w:tabs>
        <w:ind w:right="49"/>
        <w:contextualSpacing/>
        <w:jc w:val="center"/>
        <w:rPr>
          <w:b/>
          <w:sz w:val="28"/>
          <w:szCs w:val="28"/>
        </w:rPr>
      </w:pPr>
    </w:p>
    <w:p w14:paraId="69E64222" w14:textId="77777777" w:rsidR="00C26419" w:rsidRPr="005F79C9" w:rsidRDefault="00C26419" w:rsidP="00A868F0">
      <w:pPr>
        <w:tabs>
          <w:tab w:val="left" w:pos="426"/>
        </w:tabs>
        <w:ind w:right="49"/>
        <w:contextualSpacing/>
        <w:jc w:val="center"/>
        <w:rPr>
          <w:b/>
          <w:sz w:val="28"/>
          <w:szCs w:val="28"/>
        </w:rPr>
      </w:pPr>
    </w:p>
    <w:p w14:paraId="418407FD" w14:textId="77777777" w:rsidR="00A868F0" w:rsidRPr="005F79C9" w:rsidRDefault="00A868F0" w:rsidP="00A868F0">
      <w:pPr>
        <w:tabs>
          <w:tab w:val="left" w:pos="426"/>
        </w:tabs>
        <w:ind w:right="49"/>
        <w:contextualSpacing/>
      </w:pPr>
      <w:r w:rsidRPr="005F79C9">
        <w:lastRenderedPageBreak/>
        <w:t xml:space="preserve">PRIMERO. </w:t>
      </w:r>
      <w:r w:rsidRPr="005F79C9">
        <w:rPr>
          <w:rFonts w:cs="Arial"/>
        </w:rPr>
        <w:t xml:space="preserve">Se </w:t>
      </w:r>
      <w:r w:rsidRPr="005F79C9">
        <w:rPr>
          <w:rFonts w:cs="Arial"/>
          <w:b/>
        </w:rPr>
        <w:t xml:space="preserve">REVOCA </w:t>
      </w:r>
      <w:r w:rsidRPr="005F79C9">
        <w:rPr>
          <w:rFonts w:cs="Arial"/>
        </w:rPr>
        <w:t xml:space="preserve">la respuesta entregada por </w:t>
      </w:r>
      <w:r w:rsidRPr="005F79C9">
        <w:rPr>
          <w:rFonts w:cs="Arial"/>
          <w:b/>
        </w:rPr>
        <w:t xml:space="preserve">EL SUJETO OBLIGADO, </w:t>
      </w:r>
      <w:r w:rsidRPr="005F79C9">
        <w:rPr>
          <w:rFonts w:cs="Arial"/>
        </w:rPr>
        <w:t xml:space="preserve">a la solicitud de información con número </w:t>
      </w:r>
      <w:r w:rsidR="00487960" w:rsidRPr="005F79C9">
        <w:rPr>
          <w:b/>
          <w:bCs/>
        </w:rPr>
        <w:t>00008/IMCUFIDETENAVA/IP/2025</w:t>
      </w:r>
      <w:r w:rsidRPr="005F79C9">
        <w:rPr>
          <w:rFonts w:cs="Arial"/>
          <w:b/>
        </w:rPr>
        <w:t xml:space="preserve">, </w:t>
      </w:r>
      <w:r w:rsidRPr="005F79C9">
        <w:rPr>
          <w:rFonts w:cs="Arial"/>
        </w:rPr>
        <w:t xml:space="preserve">en términos del </w:t>
      </w:r>
      <w:r w:rsidRPr="005F79C9">
        <w:rPr>
          <w:rFonts w:cs="Arial"/>
          <w:b/>
        </w:rPr>
        <w:t xml:space="preserve">Considerando QUINTO </w:t>
      </w:r>
      <w:r w:rsidRPr="005F79C9">
        <w:rPr>
          <w:rFonts w:cs="Arial"/>
        </w:rPr>
        <w:t>de la presente resolución</w:t>
      </w:r>
      <w:r w:rsidRPr="005F79C9">
        <w:t xml:space="preserve">. </w:t>
      </w:r>
    </w:p>
    <w:p w14:paraId="0133557F" w14:textId="77777777" w:rsidR="00A868F0" w:rsidRPr="005F79C9" w:rsidRDefault="00A868F0" w:rsidP="00A868F0">
      <w:pPr>
        <w:tabs>
          <w:tab w:val="left" w:pos="426"/>
        </w:tabs>
        <w:ind w:right="49"/>
        <w:contextualSpacing/>
      </w:pPr>
    </w:p>
    <w:p w14:paraId="2963A1C9" w14:textId="77777777" w:rsidR="00A868F0" w:rsidRPr="005F79C9" w:rsidRDefault="00A868F0" w:rsidP="00A868F0">
      <w:pPr>
        <w:tabs>
          <w:tab w:val="left" w:pos="426"/>
        </w:tabs>
        <w:ind w:right="49"/>
        <w:contextualSpacing/>
      </w:pPr>
      <w:r w:rsidRPr="005F79C9">
        <w:rPr>
          <w:b/>
          <w:sz w:val="28"/>
          <w:szCs w:val="28"/>
        </w:rPr>
        <w:t>SEGUNDO</w:t>
      </w:r>
      <w:r w:rsidRPr="005F79C9">
        <w:rPr>
          <w:b/>
          <w:bCs/>
        </w:rPr>
        <w:t>.</w:t>
      </w:r>
      <w:r w:rsidRPr="005F79C9">
        <w:t xml:space="preserve"> Se </w:t>
      </w:r>
      <w:r w:rsidRPr="005F79C9">
        <w:rPr>
          <w:b/>
        </w:rPr>
        <w:t xml:space="preserve">ORDENA </w:t>
      </w:r>
      <w:r w:rsidRPr="005F79C9">
        <w:t xml:space="preserve">al </w:t>
      </w:r>
      <w:r w:rsidRPr="005F79C9">
        <w:rPr>
          <w:b/>
        </w:rPr>
        <w:t>SUJETO OBLIGADO</w:t>
      </w:r>
      <w:r w:rsidRPr="005F79C9">
        <w:t xml:space="preserve">, haga entrega al Recurrente en términos del considerando </w:t>
      </w:r>
      <w:r w:rsidRPr="005F79C9">
        <w:rPr>
          <w:b/>
          <w:bCs/>
        </w:rPr>
        <w:t xml:space="preserve">QUINTO </w:t>
      </w:r>
      <w:r w:rsidRPr="005F79C9">
        <w:t>de la presente Resolución, a través del Sistema de Acceso a la Información Mexiquense (SAIMEX), en versión pública, de lo siguiente:</w:t>
      </w:r>
    </w:p>
    <w:p w14:paraId="6E425BC8" w14:textId="77777777" w:rsidR="00487960" w:rsidRPr="005F79C9" w:rsidRDefault="00487960" w:rsidP="00A868F0">
      <w:pPr>
        <w:tabs>
          <w:tab w:val="left" w:pos="426"/>
        </w:tabs>
        <w:ind w:right="49"/>
        <w:contextualSpacing/>
      </w:pPr>
    </w:p>
    <w:p w14:paraId="02C8031B" w14:textId="77777777" w:rsidR="00A868F0" w:rsidRPr="005F79C9" w:rsidRDefault="00487960" w:rsidP="00A868F0">
      <w:pPr>
        <w:pStyle w:val="Prrafodelista"/>
        <w:numPr>
          <w:ilvl w:val="0"/>
          <w:numId w:val="2"/>
        </w:numPr>
        <w:pBdr>
          <w:top w:val="nil"/>
          <w:left w:val="nil"/>
          <w:bottom w:val="nil"/>
          <w:right w:val="nil"/>
          <w:between w:val="nil"/>
        </w:pBdr>
        <w:rPr>
          <w:rFonts w:eastAsia="Palatino Linotype" w:cs="Palatino Linotype"/>
          <w:color w:val="000000"/>
        </w:rPr>
      </w:pPr>
      <w:r w:rsidRPr="005F79C9">
        <w:rPr>
          <w:color w:val="000000"/>
          <w:szCs w:val="24"/>
        </w:rPr>
        <w:t>Recibos de nómina del personal adscrito al Sujeto Obligado de la segunda quincena de julio de dos mil veinticinco</w:t>
      </w:r>
      <w:r w:rsidR="00A868F0" w:rsidRPr="005F79C9">
        <w:rPr>
          <w:color w:val="000000"/>
          <w:szCs w:val="24"/>
        </w:rPr>
        <w:t>.</w:t>
      </w:r>
    </w:p>
    <w:p w14:paraId="4E2BCCD8" w14:textId="77777777" w:rsidR="00A868F0" w:rsidRPr="005F79C9" w:rsidRDefault="00A868F0" w:rsidP="00A868F0">
      <w:pPr>
        <w:pStyle w:val="Prrafodelista"/>
        <w:pBdr>
          <w:top w:val="nil"/>
          <w:left w:val="nil"/>
          <w:bottom w:val="nil"/>
          <w:right w:val="nil"/>
          <w:between w:val="nil"/>
        </w:pBdr>
        <w:rPr>
          <w:rFonts w:eastAsia="Palatino Linotype" w:cs="Palatino Linotype"/>
          <w:color w:val="000000"/>
        </w:rPr>
      </w:pPr>
    </w:p>
    <w:p w14:paraId="015E507E" w14:textId="77777777" w:rsidR="00A868F0" w:rsidRPr="005F79C9" w:rsidRDefault="00A868F0" w:rsidP="00A868F0">
      <w:pPr>
        <w:pStyle w:val="Prrafodelista"/>
        <w:tabs>
          <w:tab w:val="left" w:pos="426"/>
        </w:tabs>
        <w:ind w:left="1071" w:right="49"/>
        <w:rPr>
          <w:i/>
          <w:sz w:val="22"/>
        </w:rPr>
      </w:pPr>
      <w:r w:rsidRPr="005F79C9">
        <w:rPr>
          <w:i/>
          <w:sz w:val="22"/>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1A42A9F9" w14:textId="77777777" w:rsidR="00A868F0" w:rsidRPr="005F79C9" w:rsidRDefault="00A868F0" w:rsidP="00A868F0">
      <w:pPr>
        <w:rPr>
          <w:rFonts w:eastAsia="Arial Unicode MS" w:cs="Arial"/>
        </w:rPr>
      </w:pPr>
    </w:p>
    <w:p w14:paraId="0A7F71C7" w14:textId="77777777" w:rsidR="00A868F0" w:rsidRPr="005F79C9" w:rsidRDefault="00A868F0" w:rsidP="00A868F0">
      <w:pPr>
        <w:rPr>
          <w:b/>
        </w:rPr>
      </w:pPr>
      <w:r w:rsidRPr="005F79C9">
        <w:rPr>
          <w:b/>
        </w:rPr>
        <w:t>TERCERO. Notifíquese</w:t>
      </w:r>
      <w:r w:rsidRPr="005F79C9">
        <w:t xml:space="preserve"> al Titular de la Unidad de Transparencia del </w:t>
      </w:r>
      <w:r w:rsidRPr="005F79C9">
        <w:rPr>
          <w:b/>
        </w:rPr>
        <w:t>Sujeto Obligado</w:t>
      </w:r>
      <w:r w:rsidRPr="005F79C9">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5F79C9">
        <w:rPr>
          <w:b/>
        </w:rPr>
        <w:t xml:space="preserve">se le apercibe que en caso de negarse a </w:t>
      </w:r>
      <w:r w:rsidRPr="005F79C9">
        <w:rPr>
          <w:b/>
        </w:rPr>
        <w:lastRenderedPageBreak/>
        <w:t xml:space="preserve">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63CA6BC" w14:textId="77777777" w:rsidR="00A868F0" w:rsidRPr="005F79C9" w:rsidRDefault="00A868F0" w:rsidP="00A868F0"/>
    <w:p w14:paraId="6FD56EC5" w14:textId="77777777" w:rsidR="00A868F0" w:rsidRPr="005F79C9" w:rsidRDefault="00A868F0" w:rsidP="00A868F0">
      <w:r w:rsidRPr="005F79C9">
        <w:rPr>
          <w:b/>
        </w:rPr>
        <w:t>CUARTO.</w:t>
      </w:r>
      <w:r w:rsidRPr="005F79C9">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6A077672" w14:textId="77777777" w:rsidR="00A868F0" w:rsidRPr="005F79C9" w:rsidRDefault="00A868F0" w:rsidP="00A868F0"/>
    <w:p w14:paraId="3B57EF6C" w14:textId="10E3146A" w:rsidR="00A868F0" w:rsidRPr="005F79C9" w:rsidRDefault="00650247" w:rsidP="00A868F0">
      <w:r w:rsidRPr="005F79C9">
        <w:rPr>
          <w:b/>
          <w:noProof/>
          <w:lang w:val="es-MX"/>
        </w:rPr>
        <mc:AlternateContent>
          <mc:Choice Requires="wps">
            <w:drawing>
              <wp:anchor distT="0" distB="0" distL="114300" distR="114300" simplePos="0" relativeHeight="251659264" behindDoc="0" locked="0" layoutInCell="1" allowOverlap="1" wp14:anchorId="7292D2F0" wp14:editId="68750150">
                <wp:simplePos x="0" y="0"/>
                <wp:positionH relativeFrom="column">
                  <wp:posOffset>30480</wp:posOffset>
                </wp:positionH>
                <wp:positionV relativeFrom="paragraph">
                  <wp:posOffset>1750060</wp:posOffset>
                </wp:positionV>
                <wp:extent cx="5772150" cy="26289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72150" cy="262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E63D44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37.8pt" to="456.9pt,3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" strokecolor="#5b9bd5 [3204]" strokeweight=".5pt">
                <v:stroke joinstyle="miter"/>
              </v:line>
            </w:pict>
          </mc:Fallback>
        </mc:AlternateContent>
      </w:r>
      <w:r w:rsidR="00A868F0" w:rsidRPr="005F79C9">
        <w:rPr>
          <w:b/>
        </w:rPr>
        <w:t>QUINTO.</w:t>
      </w:r>
      <w:r w:rsidR="00A868F0" w:rsidRPr="005F79C9">
        <w:t xml:space="preserve"> </w:t>
      </w:r>
      <w:r w:rsidR="00A868F0" w:rsidRPr="005F79C9">
        <w:rPr>
          <w:b/>
        </w:rPr>
        <w:t>Notifíquese al Recurrente</w:t>
      </w:r>
      <w:r w:rsidR="00A868F0" w:rsidRPr="005F79C9">
        <w:t xml:space="preserve"> la presente resolución a través del Sistema de Acceso a la Información Mexiquense (SAIMEX),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70810E7" w14:textId="7D743F75" w:rsidR="00650247" w:rsidRPr="005F79C9" w:rsidRDefault="00650247" w:rsidP="00A868F0"/>
    <w:p w14:paraId="6FB369D5" w14:textId="0AE8DB81" w:rsidR="00650247" w:rsidRPr="005F79C9" w:rsidRDefault="00650247" w:rsidP="00A868F0"/>
    <w:p w14:paraId="22398EA6" w14:textId="4FA6FE8B" w:rsidR="00650247" w:rsidRPr="005F79C9" w:rsidRDefault="00650247" w:rsidP="00A868F0"/>
    <w:p w14:paraId="547FFDED" w14:textId="5E498433" w:rsidR="00650247" w:rsidRPr="005F79C9" w:rsidRDefault="00650247" w:rsidP="00A868F0"/>
    <w:p w14:paraId="45619210" w14:textId="4DE916DD" w:rsidR="00650247" w:rsidRPr="005F79C9" w:rsidRDefault="00650247" w:rsidP="00A868F0"/>
    <w:p w14:paraId="021EF441" w14:textId="77777777" w:rsidR="00650247" w:rsidRPr="005F79C9" w:rsidRDefault="00650247" w:rsidP="00A868F0">
      <w:pPr>
        <w:rPr>
          <w:rFonts w:eastAsia="Arial Unicode MS" w:cs="Arial"/>
        </w:rPr>
      </w:pPr>
    </w:p>
    <w:p w14:paraId="3788CD50" w14:textId="77777777" w:rsidR="00A868F0" w:rsidRPr="005F79C9" w:rsidRDefault="00A868F0" w:rsidP="00A868F0">
      <w:pPr>
        <w:rPr>
          <w:rFonts w:cs="Arial"/>
          <w:color w:val="000000"/>
          <w:szCs w:val="24"/>
        </w:rPr>
      </w:pPr>
    </w:p>
    <w:p w14:paraId="1639500E" w14:textId="7BBCE581" w:rsidR="00A868F0" w:rsidRPr="005F79C9" w:rsidRDefault="00A868F0" w:rsidP="00A868F0">
      <w:pPr>
        <w:rPr>
          <w:rFonts w:cs="Arial"/>
          <w:szCs w:val="24"/>
          <w:lang w:val="es-MX"/>
        </w:rPr>
      </w:pPr>
      <w:r w:rsidRPr="005F79C9">
        <w:rPr>
          <w:rFonts w:cs="Arial"/>
          <w:szCs w:val="24"/>
        </w:rPr>
        <w:lastRenderedPageBreak/>
        <w:t xml:space="preserve">ASÍ LO RESUELVE, POR </w:t>
      </w:r>
      <w:r w:rsidRPr="005F79C9">
        <w:rPr>
          <w:rFonts w:cs="Arial"/>
          <w:b/>
          <w:bCs/>
          <w:szCs w:val="24"/>
        </w:rPr>
        <w:t>UNANIMIDAD DE VOTOS</w:t>
      </w:r>
      <w:r w:rsidRPr="005F79C9">
        <w:rPr>
          <w:rFonts w:cs="Arial"/>
          <w:szCs w:val="24"/>
        </w:rPr>
        <w:t xml:space="preserve"> EL PLENO DEL</w:t>
      </w:r>
      <w:r w:rsidRPr="005F79C9">
        <w:rPr>
          <w:rFonts w:eastAsia="Arial Unicode MS" w:cs="Arial"/>
          <w:szCs w:val="24"/>
        </w:rPr>
        <w:t xml:space="preserve"> INSTITUTO DE TRANSPARENCIA, ACCESO A LA INFORMACIÓN PÚBLICA Y PROTECCIÓN DE DATOS PERSONALES DEL ESTADO DE MÉXICO Y MUNICIPIOS</w:t>
      </w:r>
      <w:r w:rsidRPr="005F79C9">
        <w:rPr>
          <w:rFonts w:cs="Arial"/>
          <w:szCs w:val="24"/>
        </w:rPr>
        <w:t>, CONFORMADO POR LOS COMISIONADOS JOSÉ MARTÍNEZ VILCHIS, MARÍA DEL ROSARIO MEJÍA AYALA, SHARON CRISTINA MORALES MARTÍNEZ, LUIS GUSTAVO PARRA NORIEGA Y GUADALUPE RAMÍREZ PEÑA</w:t>
      </w:r>
      <w:r w:rsidRPr="005F79C9">
        <w:rPr>
          <w:rFonts w:cs="Arial"/>
          <w:szCs w:val="24"/>
          <w:u w:val="single"/>
        </w:rPr>
        <w:t>,</w:t>
      </w:r>
      <w:r w:rsidRPr="005F79C9">
        <w:rPr>
          <w:rFonts w:cs="Arial"/>
          <w:szCs w:val="24"/>
        </w:rPr>
        <w:t xml:space="preserve"> EN LA </w:t>
      </w:r>
      <w:r w:rsidRPr="005F79C9">
        <w:rPr>
          <w:rFonts w:cs="Arial"/>
          <w:b/>
          <w:bCs/>
          <w:szCs w:val="24"/>
          <w:lang w:val="es-419"/>
        </w:rPr>
        <w:t xml:space="preserve">TRIGÉSIMA </w:t>
      </w:r>
      <w:r w:rsidR="00491E39" w:rsidRPr="005F79C9">
        <w:rPr>
          <w:rFonts w:cs="Arial"/>
          <w:b/>
          <w:bCs/>
          <w:szCs w:val="24"/>
          <w:lang w:val="es-419"/>
        </w:rPr>
        <w:t xml:space="preserve">OCTAVA </w:t>
      </w:r>
      <w:r w:rsidRPr="005F79C9">
        <w:rPr>
          <w:rFonts w:cs="Arial"/>
          <w:b/>
          <w:bCs/>
          <w:szCs w:val="24"/>
        </w:rPr>
        <w:t xml:space="preserve">SESIÓN ORDINARIA CELEBRADA EL </w:t>
      </w:r>
      <w:r w:rsidR="00491E39" w:rsidRPr="005F79C9">
        <w:rPr>
          <w:rFonts w:cs="Arial"/>
          <w:b/>
          <w:bCs/>
          <w:szCs w:val="24"/>
        </w:rPr>
        <w:t>VEINTIDÓS DE OCTUBRE</w:t>
      </w:r>
      <w:r w:rsidRPr="005F79C9">
        <w:rPr>
          <w:rFonts w:cs="Arial"/>
          <w:b/>
          <w:bCs/>
          <w:szCs w:val="24"/>
        </w:rPr>
        <w:t xml:space="preserve"> DE DOS MIL </w:t>
      </w:r>
      <w:r w:rsidRPr="005F79C9">
        <w:rPr>
          <w:rFonts w:cs="Arial"/>
          <w:b/>
          <w:bCs/>
          <w:szCs w:val="24"/>
          <w:lang w:val="es-419"/>
        </w:rPr>
        <w:t>VEINTICINCO</w:t>
      </w:r>
      <w:r w:rsidRPr="005F79C9">
        <w:rPr>
          <w:rFonts w:cs="Arial"/>
          <w:szCs w:val="24"/>
        </w:rPr>
        <w:t xml:space="preserve">, </w:t>
      </w:r>
      <w:r w:rsidRPr="005F79C9">
        <w:rPr>
          <w:rFonts w:eastAsia="Palatino Linotype" w:cs="Palatino Linotype"/>
          <w:color w:val="000000"/>
        </w:rPr>
        <w:t>ANTE EL SECRETARIO TÉCNICO DEL PLENO ALEXIS TAPIA RAMÍREZ</w:t>
      </w:r>
      <w:r w:rsidRPr="005F79C9">
        <w:rPr>
          <w:rFonts w:cs="Arial"/>
          <w:szCs w:val="24"/>
        </w:rPr>
        <w:t>. -----------------------------------------------------------------------------------------------------------------------------------------------------------------------------------------------------------------------------------------------------------------------------------------------------------------------------------------------------------------------------------------------------------------------------------------------------------------------------------------------------------------------------------------------------------------------------------------</w:t>
      </w:r>
      <w:r w:rsidR="00650247" w:rsidRPr="005F79C9">
        <w:rPr>
          <w:rFonts w:cs="Arial"/>
          <w:szCs w:val="24"/>
        </w:rPr>
        <w:t>------------------------------------------------------------------------------------------------------------------------------------------------------------------------------------------------------------------------------------------------------------------------------------------------------------------------------------------------------------------------------------------------------------------------------------------------------------------------------------------------------------------------------------------------------------------------------------------------------------------------------------------------------------------------------------------------------------------------------------------------------------------------------------------------------------------------------------------------------------------------------------------------------------------------------------------------------------------------------------------------------------------------------------------------------------------------------------------------------------------------------------------------------------------------------------------------------------------</w:t>
      </w:r>
    </w:p>
    <w:p w14:paraId="2FC0E255" w14:textId="77777777" w:rsidR="00A868F0" w:rsidRDefault="00A868F0" w:rsidP="00A868F0">
      <w:pPr>
        <w:rPr>
          <w:rFonts w:cs="Arial"/>
          <w:sz w:val="20"/>
        </w:rPr>
      </w:pPr>
      <w:r w:rsidRPr="005F79C9">
        <w:rPr>
          <w:rFonts w:cs="Arial"/>
          <w:sz w:val="20"/>
        </w:rPr>
        <w:t>JMV/CCR/NJMB</w:t>
      </w:r>
    </w:p>
    <w:p w14:paraId="15B7A807" w14:textId="77777777" w:rsidR="00A868F0" w:rsidRDefault="00A868F0" w:rsidP="00A868F0">
      <w:pPr>
        <w:rPr>
          <w:rFonts w:cs="Arial"/>
          <w:sz w:val="20"/>
        </w:rPr>
      </w:pPr>
    </w:p>
    <w:p w14:paraId="41B5E385" w14:textId="77777777" w:rsidR="00A868F0" w:rsidRDefault="00A868F0" w:rsidP="00A868F0">
      <w:pPr>
        <w:rPr>
          <w:rFonts w:cs="Arial"/>
          <w:sz w:val="20"/>
        </w:rPr>
      </w:pPr>
    </w:p>
    <w:p w14:paraId="79E62A06" w14:textId="77777777" w:rsidR="00A868F0" w:rsidRPr="004B7011" w:rsidRDefault="00A868F0" w:rsidP="00A868F0">
      <w:pPr>
        <w:pBdr>
          <w:top w:val="nil"/>
          <w:left w:val="nil"/>
          <w:bottom w:val="nil"/>
          <w:right w:val="nil"/>
          <w:between w:val="nil"/>
        </w:pBdr>
        <w:contextualSpacing/>
        <w:rPr>
          <w:rFonts w:eastAsia="Palatino Linotype" w:cs="Palatino Linotype"/>
          <w:color w:val="000000"/>
          <w:sz w:val="20"/>
          <w:szCs w:val="20"/>
        </w:rPr>
      </w:pPr>
    </w:p>
    <w:p w14:paraId="0DE717AD" w14:textId="77777777" w:rsidR="00A868F0" w:rsidRPr="004B7011" w:rsidRDefault="00A868F0" w:rsidP="00A868F0">
      <w:pPr>
        <w:pBdr>
          <w:top w:val="nil"/>
          <w:left w:val="nil"/>
          <w:bottom w:val="nil"/>
          <w:right w:val="nil"/>
          <w:between w:val="nil"/>
        </w:pBdr>
        <w:contextualSpacing/>
        <w:rPr>
          <w:rFonts w:eastAsia="Palatino Linotype" w:cs="Palatino Linotype"/>
          <w:color w:val="000000"/>
          <w:sz w:val="20"/>
          <w:szCs w:val="20"/>
        </w:rPr>
      </w:pPr>
    </w:p>
    <w:p w14:paraId="7584061C" w14:textId="77777777" w:rsidR="00A868F0" w:rsidRPr="004B7011" w:rsidRDefault="00A868F0" w:rsidP="00A868F0">
      <w:pPr>
        <w:pBdr>
          <w:top w:val="nil"/>
          <w:left w:val="nil"/>
          <w:bottom w:val="nil"/>
          <w:right w:val="nil"/>
          <w:between w:val="nil"/>
        </w:pBdr>
        <w:contextualSpacing/>
        <w:rPr>
          <w:rFonts w:eastAsia="Palatino Linotype" w:cs="Palatino Linotype"/>
          <w:color w:val="000000"/>
          <w:sz w:val="20"/>
          <w:szCs w:val="20"/>
        </w:rPr>
      </w:pPr>
    </w:p>
    <w:p w14:paraId="64EB5E33" w14:textId="77777777" w:rsidR="00A868F0" w:rsidRPr="004B7011" w:rsidRDefault="00A868F0" w:rsidP="00A868F0">
      <w:pPr>
        <w:pBdr>
          <w:top w:val="nil"/>
          <w:left w:val="nil"/>
          <w:bottom w:val="nil"/>
          <w:right w:val="nil"/>
          <w:between w:val="nil"/>
        </w:pBdr>
        <w:contextualSpacing/>
        <w:rPr>
          <w:rFonts w:eastAsia="Palatino Linotype" w:cs="Palatino Linotype"/>
          <w:color w:val="000000"/>
          <w:sz w:val="20"/>
          <w:szCs w:val="20"/>
        </w:rPr>
      </w:pPr>
    </w:p>
    <w:p w14:paraId="3489B873" w14:textId="77777777" w:rsidR="00A868F0" w:rsidRPr="004B7011" w:rsidRDefault="00A868F0" w:rsidP="00A868F0">
      <w:pPr>
        <w:pBdr>
          <w:top w:val="nil"/>
          <w:left w:val="nil"/>
          <w:bottom w:val="nil"/>
          <w:right w:val="nil"/>
          <w:between w:val="nil"/>
        </w:pBdr>
        <w:contextualSpacing/>
        <w:rPr>
          <w:rFonts w:eastAsia="Palatino Linotype" w:cs="Palatino Linotype"/>
          <w:color w:val="000000"/>
          <w:sz w:val="20"/>
          <w:szCs w:val="20"/>
        </w:rPr>
      </w:pPr>
    </w:p>
    <w:p w14:paraId="2275D92A" w14:textId="77777777" w:rsidR="00A868F0" w:rsidRPr="004B7011" w:rsidRDefault="00A868F0" w:rsidP="00A868F0">
      <w:pPr>
        <w:pBdr>
          <w:top w:val="nil"/>
          <w:left w:val="nil"/>
          <w:bottom w:val="nil"/>
          <w:right w:val="nil"/>
          <w:between w:val="nil"/>
        </w:pBdr>
        <w:contextualSpacing/>
        <w:rPr>
          <w:rFonts w:eastAsia="Palatino Linotype" w:cs="Palatino Linotype"/>
          <w:color w:val="000000"/>
          <w:sz w:val="20"/>
          <w:szCs w:val="20"/>
        </w:rPr>
      </w:pPr>
    </w:p>
    <w:p w14:paraId="1E18DB61" w14:textId="77777777" w:rsidR="00A868F0" w:rsidRPr="004B7011" w:rsidRDefault="00A868F0" w:rsidP="00A868F0">
      <w:pPr>
        <w:pBdr>
          <w:top w:val="nil"/>
          <w:left w:val="nil"/>
          <w:bottom w:val="nil"/>
          <w:right w:val="nil"/>
          <w:between w:val="nil"/>
        </w:pBdr>
        <w:contextualSpacing/>
        <w:rPr>
          <w:rFonts w:eastAsia="Palatino Linotype" w:cs="Palatino Linotype"/>
          <w:color w:val="000000"/>
          <w:sz w:val="20"/>
          <w:szCs w:val="20"/>
        </w:rPr>
      </w:pPr>
    </w:p>
    <w:p w14:paraId="3AA4D7C7" w14:textId="77777777" w:rsidR="00A868F0" w:rsidRPr="004B7011" w:rsidRDefault="00A868F0" w:rsidP="00A868F0">
      <w:pPr>
        <w:pBdr>
          <w:top w:val="nil"/>
          <w:left w:val="nil"/>
          <w:bottom w:val="nil"/>
          <w:right w:val="nil"/>
          <w:between w:val="nil"/>
        </w:pBdr>
        <w:contextualSpacing/>
        <w:rPr>
          <w:rFonts w:eastAsia="Palatino Linotype" w:cs="Palatino Linotype"/>
          <w:color w:val="000000"/>
          <w:sz w:val="20"/>
          <w:szCs w:val="20"/>
        </w:rPr>
      </w:pPr>
    </w:p>
    <w:p w14:paraId="60F6C854" w14:textId="77777777" w:rsidR="00A868F0" w:rsidRPr="004B7011" w:rsidRDefault="00A868F0" w:rsidP="00A868F0">
      <w:pPr>
        <w:pBdr>
          <w:top w:val="nil"/>
          <w:left w:val="nil"/>
          <w:bottom w:val="nil"/>
          <w:right w:val="nil"/>
          <w:between w:val="nil"/>
        </w:pBdr>
        <w:contextualSpacing/>
        <w:rPr>
          <w:rFonts w:eastAsia="Palatino Linotype" w:cs="Palatino Linotype"/>
          <w:color w:val="000000"/>
          <w:sz w:val="20"/>
          <w:szCs w:val="20"/>
        </w:rPr>
      </w:pPr>
    </w:p>
    <w:p w14:paraId="767032F4" w14:textId="77777777" w:rsidR="00A868F0" w:rsidRPr="004B7011" w:rsidRDefault="00A868F0" w:rsidP="00A868F0"/>
    <w:p w14:paraId="495F9ED2" w14:textId="77777777" w:rsidR="00A868F0" w:rsidRDefault="00A868F0" w:rsidP="00A868F0"/>
    <w:p w14:paraId="745CB295" w14:textId="77777777" w:rsidR="00A868F0" w:rsidRDefault="00A868F0" w:rsidP="00A868F0"/>
    <w:p w14:paraId="233BE53B" w14:textId="77777777" w:rsidR="00A868F0" w:rsidRDefault="00A868F0" w:rsidP="00A868F0"/>
    <w:p w14:paraId="4BD5DFE0" w14:textId="77777777" w:rsidR="00A868F0" w:rsidRDefault="00A868F0" w:rsidP="00A868F0"/>
    <w:p w14:paraId="66FA6D3D" w14:textId="77777777" w:rsidR="00A868F0" w:rsidRDefault="00A868F0" w:rsidP="00A868F0"/>
    <w:p w14:paraId="303DA756" w14:textId="77777777" w:rsidR="00A868F0" w:rsidRPr="005350DB" w:rsidRDefault="00A868F0" w:rsidP="00A868F0"/>
    <w:p w14:paraId="4849507B" w14:textId="77777777" w:rsidR="00814E36" w:rsidRDefault="00814E36"/>
    <w:sectPr w:rsidR="00814E36" w:rsidSect="007D3F63">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DACEC" w14:textId="77777777" w:rsidR="00AF3196" w:rsidRDefault="00AF3196" w:rsidP="00A868F0">
      <w:pPr>
        <w:spacing w:line="240" w:lineRule="auto"/>
      </w:pPr>
      <w:r>
        <w:separator/>
      </w:r>
    </w:p>
  </w:endnote>
  <w:endnote w:type="continuationSeparator" w:id="0">
    <w:p w14:paraId="45ED9681" w14:textId="77777777" w:rsidR="00AF3196" w:rsidRDefault="00AF3196" w:rsidP="00A86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E1999" w14:textId="4561D8C0" w:rsidR="001D301E" w:rsidRPr="00871A91" w:rsidRDefault="001D301E" w:rsidP="007D3F6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E5E9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E5E91">
      <w:rPr>
        <w:rFonts w:ascii="Palatino Linotype" w:hAnsi="Palatino Linotype"/>
        <w:b/>
        <w:bCs/>
        <w:noProof/>
        <w:sz w:val="20"/>
      </w:rPr>
      <w:t>45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69DDE" w14:textId="32B6534D" w:rsidR="001D301E" w:rsidRPr="00871A91" w:rsidRDefault="001D301E" w:rsidP="007D3F6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E5E9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E5E91">
      <w:rPr>
        <w:rFonts w:ascii="Palatino Linotype" w:hAnsi="Palatino Linotype"/>
        <w:b/>
        <w:bCs/>
        <w:noProof/>
        <w:sz w:val="20"/>
      </w:rPr>
      <w:t>45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B206" w14:textId="77777777" w:rsidR="00AF3196" w:rsidRDefault="00AF3196" w:rsidP="00A868F0">
      <w:pPr>
        <w:spacing w:line="240" w:lineRule="auto"/>
      </w:pPr>
      <w:r>
        <w:separator/>
      </w:r>
    </w:p>
  </w:footnote>
  <w:footnote w:type="continuationSeparator" w:id="0">
    <w:p w14:paraId="3A60C070" w14:textId="77777777" w:rsidR="00AF3196" w:rsidRDefault="00AF3196" w:rsidP="00A868F0">
      <w:pPr>
        <w:spacing w:line="240" w:lineRule="auto"/>
      </w:pPr>
      <w:r>
        <w:continuationSeparator/>
      </w:r>
    </w:p>
  </w:footnote>
  <w:footnote w:id="1">
    <w:p w14:paraId="5D6AE0D1" w14:textId="77777777" w:rsidR="001D301E" w:rsidRPr="00481AAF" w:rsidRDefault="001D301E" w:rsidP="00A868F0">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683F9BCC" w14:textId="77777777" w:rsidR="001D301E" w:rsidRPr="00946E1F" w:rsidRDefault="001D301E" w:rsidP="00A868F0">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B48D432" w14:textId="77777777" w:rsidR="006B7C86" w:rsidRDefault="006B7C86" w:rsidP="006B7C86">
      <w:pPr>
        <w:pStyle w:val="Textonotapie"/>
      </w:pPr>
      <w:r>
        <w:rPr>
          <w:rStyle w:val="Refdenotaalpie"/>
          <w:rFonts w:eastAsiaTheme="majorEastAsia"/>
        </w:rPr>
        <w:footnoteRef/>
      </w:r>
      <w:r>
        <w:t xml:space="preserve"> Artículo 50, Ley de Transparencia y Acceso a la Información Pública del Estado de México y Municipios.</w:t>
      </w:r>
    </w:p>
  </w:footnote>
  <w:footnote w:id="3">
    <w:p w14:paraId="6401825D" w14:textId="77777777" w:rsidR="001D301E" w:rsidRDefault="001D301E" w:rsidP="00A868F0">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14:paraId="28F321E6" w14:textId="77777777" w:rsidR="001D301E" w:rsidRDefault="001D301E" w:rsidP="00A868F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4EEB" w14:textId="77777777" w:rsidR="001D301E" w:rsidRDefault="00AF3196">
    <w:pPr>
      <w:pStyle w:val="Encabezado"/>
    </w:pPr>
    <w:r>
      <w:rPr>
        <w:noProof/>
        <w:lang w:val="es-MX" w:eastAsia="es-MX"/>
      </w:rPr>
      <w:pict w14:anchorId="46318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704745CD" w14:textId="77777777" w:rsidR="001D301E" w:rsidRDefault="001D301E">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1D301E" w:rsidRPr="00B17577" w14:paraId="3D6238D7" w14:textId="77777777" w:rsidTr="007D3F63">
      <w:trPr>
        <w:trHeight w:val="227"/>
      </w:trPr>
      <w:tc>
        <w:tcPr>
          <w:tcW w:w="5103" w:type="dxa"/>
          <w:hideMark/>
        </w:tcPr>
        <w:p w14:paraId="794DC82C" w14:textId="77777777" w:rsidR="001D301E" w:rsidRPr="00096248" w:rsidRDefault="001D301E" w:rsidP="007D3F6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3805462F" w14:textId="77777777" w:rsidR="001D301E" w:rsidRPr="00096248" w:rsidRDefault="001D301E" w:rsidP="007D3F63">
          <w:pPr>
            <w:spacing w:after="120" w:line="240" w:lineRule="auto"/>
            <w:ind w:right="71"/>
            <w:jc w:val="right"/>
            <w:rPr>
              <w:rFonts w:cs="Arial"/>
              <w:b/>
              <w:szCs w:val="24"/>
            </w:rPr>
          </w:pPr>
          <w:r>
            <w:rPr>
              <w:rFonts w:cs="Arial"/>
              <w:b/>
              <w:bCs/>
              <w:szCs w:val="24"/>
            </w:rPr>
            <w:t>10970</w:t>
          </w:r>
          <w:r w:rsidRPr="00096248">
            <w:rPr>
              <w:rFonts w:cs="Arial"/>
              <w:b/>
              <w:bCs/>
              <w:szCs w:val="24"/>
            </w:rPr>
            <w:t>/INFOEM/IP/RR/202</w:t>
          </w:r>
          <w:r>
            <w:rPr>
              <w:rFonts w:cs="Arial"/>
              <w:b/>
              <w:bCs/>
              <w:szCs w:val="24"/>
            </w:rPr>
            <w:t>5</w:t>
          </w:r>
        </w:p>
      </w:tc>
    </w:tr>
    <w:tr w:rsidR="001D301E" w14:paraId="2D00A3AF" w14:textId="77777777" w:rsidTr="007D3F63">
      <w:trPr>
        <w:trHeight w:val="242"/>
      </w:trPr>
      <w:tc>
        <w:tcPr>
          <w:tcW w:w="5103" w:type="dxa"/>
          <w:hideMark/>
        </w:tcPr>
        <w:p w14:paraId="7C2B59AF" w14:textId="77777777" w:rsidR="001D301E" w:rsidRPr="00096248" w:rsidRDefault="001D301E" w:rsidP="007D3F63">
          <w:pPr>
            <w:spacing w:after="120" w:line="240" w:lineRule="auto"/>
            <w:ind w:right="69"/>
            <w:jc w:val="right"/>
            <w:rPr>
              <w:rFonts w:cs="Arial"/>
              <w:b/>
              <w:szCs w:val="24"/>
            </w:rPr>
          </w:pPr>
          <w:r w:rsidRPr="00096248">
            <w:rPr>
              <w:rFonts w:cs="Arial"/>
              <w:b/>
              <w:szCs w:val="24"/>
            </w:rPr>
            <w:t>Sujeto Obligado:</w:t>
          </w:r>
        </w:p>
      </w:tc>
      <w:tc>
        <w:tcPr>
          <w:tcW w:w="4395" w:type="dxa"/>
          <w:hideMark/>
        </w:tcPr>
        <w:p w14:paraId="261C76A7" w14:textId="77777777" w:rsidR="001D301E" w:rsidRPr="00A868F0" w:rsidRDefault="001D301E" w:rsidP="007D3F63">
          <w:pPr>
            <w:spacing w:after="120" w:line="240" w:lineRule="auto"/>
            <w:ind w:left="-81" w:right="71"/>
            <w:jc w:val="right"/>
            <w:rPr>
              <w:rFonts w:cs="Arial"/>
              <w:szCs w:val="24"/>
            </w:rPr>
          </w:pPr>
          <w:r w:rsidRPr="00A868F0">
            <w:rPr>
              <w:b/>
              <w:bCs/>
              <w:color w:val="000000"/>
              <w:szCs w:val="24"/>
            </w:rPr>
            <w:t>Instituto Municipal de Cultura Física y Deporte de Tenango del Valle</w:t>
          </w:r>
        </w:p>
      </w:tc>
    </w:tr>
    <w:tr w:rsidR="001D301E" w:rsidRPr="00F63239" w14:paraId="26E8F6BB" w14:textId="77777777" w:rsidTr="007D3F63">
      <w:trPr>
        <w:trHeight w:val="342"/>
      </w:trPr>
      <w:tc>
        <w:tcPr>
          <w:tcW w:w="5103" w:type="dxa"/>
          <w:hideMark/>
        </w:tcPr>
        <w:p w14:paraId="0C944133" w14:textId="77777777" w:rsidR="001D301E" w:rsidRPr="00096248" w:rsidRDefault="001D301E" w:rsidP="007D3F6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2E960617" w14:textId="77777777" w:rsidR="001D301E" w:rsidRDefault="001D301E" w:rsidP="007D3F63">
          <w:pPr>
            <w:spacing w:after="120" w:line="240" w:lineRule="auto"/>
            <w:ind w:left="-486" w:right="71" w:firstLine="567"/>
            <w:jc w:val="right"/>
            <w:rPr>
              <w:rFonts w:cs="Arial"/>
              <w:szCs w:val="24"/>
            </w:rPr>
          </w:pPr>
          <w:r w:rsidRPr="00096248">
            <w:rPr>
              <w:rFonts w:cs="Arial"/>
              <w:szCs w:val="24"/>
            </w:rPr>
            <w:t>José Martínez Vilchis</w:t>
          </w:r>
        </w:p>
        <w:p w14:paraId="4C745B8C" w14:textId="77777777" w:rsidR="001D301E" w:rsidRPr="00711916" w:rsidRDefault="001D301E" w:rsidP="007D3F63">
          <w:pPr>
            <w:spacing w:after="120" w:line="240" w:lineRule="auto"/>
            <w:ind w:left="-486" w:right="71" w:firstLine="567"/>
            <w:jc w:val="right"/>
            <w:rPr>
              <w:rFonts w:cs="Arial"/>
              <w:sz w:val="2"/>
              <w:szCs w:val="2"/>
            </w:rPr>
          </w:pPr>
        </w:p>
      </w:tc>
    </w:tr>
  </w:tbl>
  <w:p w14:paraId="524E3ADA" w14:textId="77777777" w:rsidR="001D301E" w:rsidRPr="00871A91" w:rsidRDefault="00AF3196">
    <w:pPr>
      <w:pStyle w:val="Encabezado"/>
      <w:rPr>
        <w:sz w:val="2"/>
      </w:rPr>
    </w:pPr>
    <w:r>
      <w:rPr>
        <w:noProof/>
        <w:lang w:val="es-MX" w:eastAsia="es-MX"/>
      </w:rPr>
      <w:pict w14:anchorId="75C20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E97F4" w14:textId="77777777" w:rsidR="001D301E" w:rsidRDefault="001D301E">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1D301E" w14:paraId="690AE084" w14:textId="77777777" w:rsidTr="007D3F63">
      <w:trPr>
        <w:trHeight w:val="227"/>
      </w:trPr>
      <w:tc>
        <w:tcPr>
          <w:tcW w:w="5103" w:type="dxa"/>
          <w:hideMark/>
        </w:tcPr>
        <w:p w14:paraId="40285BF5" w14:textId="77777777" w:rsidR="001D301E" w:rsidRPr="00663A37" w:rsidRDefault="001D301E" w:rsidP="007D3F6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675CAAA1" w14:textId="77777777" w:rsidR="001D301E" w:rsidRPr="00C81ECD" w:rsidRDefault="001D301E" w:rsidP="007D3F63">
          <w:pPr>
            <w:spacing w:after="120" w:line="240" w:lineRule="auto"/>
            <w:ind w:left="-486" w:right="68" w:firstLine="558"/>
            <w:jc w:val="right"/>
            <w:rPr>
              <w:rFonts w:cs="Arial"/>
              <w:b/>
              <w:szCs w:val="24"/>
            </w:rPr>
          </w:pPr>
          <w:r>
            <w:rPr>
              <w:rFonts w:cs="Arial"/>
              <w:b/>
              <w:bCs/>
              <w:szCs w:val="24"/>
            </w:rPr>
            <w:t>10970/INFOEM/IP/RR/2025</w:t>
          </w:r>
        </w:p>
      </w:tc>
    </w:tr>
    <w:tr w:rsidR="001D301E" w:rsidRPr="001F57CD" w14:paraId="28BBDB2E" w14:textId="77777777" w:rsidTr="007D3F63">
      <w:trPr>
        <w:trHeight w:val="196"/>
      </w:trPr>
      <w:tc>
        <w:tcPr>
          <w:tcW w:w="5103" w:type="dxa"/>
          <w:hideMark/>
        </w:tcPr>
        <w:p w14:paraId="615415B9" w14:textId="77777777" w:rsidR="001D301E" w:rsidRPr="00663A37" w:rsidRDefault="001D301E" w:rsidP="007D3F63">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71D23804" w14:textId="5C954DB5" w:rsidR="001D301E" w:rsidRPr="00663A37" w:rsidRDefault="001E5E91" w:rsidP="007D3F63">
          <w:pPr>
            <w:spacing w:after="120" w:line="240" w:lineRule="auto"/>
            <w:ind w:right="68"/>
            <w:jc w:val="right"/>
            <w:rPr>
              <w:rFonts w:cs="Arial"/>
              <w:szCs w:val="24"/>
            </w:rPr>
          </w:pPr>
          <w:r>
            <w:rPr>
              <w:rFonts w:cs="Arial"/>
              <w:szCs w:val="24"/>
            </w:rPr>
            <w:t>XXXX</w:t>
          </w:r>
        </w:p>
      </w:tc>
    </w:tr>
    <w:tr w:rsidR="001D301E" w14:paraId="14F4A0F2" w14:textId="77777777" w:rsidTr="007D3F63">
      <w:trPr>
        <w:trHeight w:val="242"/>
      </w:trPr>
      <w:tc>
        <w:tcPr>
          <w:tcW w:w="5103" w:type="dxa"/>
          <w:hideMark/>
        </w:tcPr>
        <w:p w14:paraId="49D43293" w14:textId="77777777" w:rsidR="001D301E" w:rsidRPr="00663A37" w:rsidRDefault="001D301E" w:rsidP="007D3F63">
          <w:pPr>
            <w:spacing w:after="120" w:line="240" w:lineRule="auto"/>
            <w:ind w:right="68"/>
            <w:jc w:val="right"/>
            <w:rPr>
              <w:rFonts w:cs="Arial"/>
              <w:b/>
              <w:szCs w:val="24"/>
            </w:rPr>
          </w:pPr>
          <w:r w:rsidRPr="00663A37">
            <w:rPr>
              <w:rFonts w:cs="Arial"/>
              <w:b/>
              <w:szCs w:val="24"/>
            </w:rPr>
            <w:t>Sujeto Obligado:</w:t>
          </w:r>
        </w:p>
      </w:tc>
      <w:tc>
        <w:tcPr>
          <w:tcW w:w="4253" w:type="dxa"/>
          <w:hideMark/>
        </w:tcPr>
        <w:p w14:paraId="6CA51A73" w14:textId="77777777" w:rsidR="001D301E" w:rsidRPr="00A868F0" w:rsidRDefault="001D301E" w:rsidP="007D3F63">
          <w:pPr>
            <w:spacing w:after="120" w:line="240" w:lineRule="auto"/>
            <w:ind w:left="-70" w:right="68"/>
            <w:jc w:val="right"/>
            <w:rPr>
              <w:rFonts w:cs="Arial"/>
              <w:b/>
              <w:bCs/>
              <w:szCs w:val="24"/>
            </w:rPr>
          </w:pPr>
          <w:r>
            <w:rPr>
              <w:bCs/>
              <w:color w:val="000000"/>
              <w:szCs w:val="24"/>
            </w:rPr>
            <w:t xml:space="preserve">          </w:t>
          </w:r>
          <w:r w:rsidRPr="00A868F0">
            <w:rPr>
              <w:b/>
              <w:bCs/>
              <w:color w:val="000000"/>
              <w:szCs w:val="24"/>
            </w:rPr>
            <w:t>Instituto Municipal de Cultura Física y Deporte de Tenango del Valle</w:t>
          </w:r>
        </w:p>
      </w:tc>
    </w:tr>
    <w:tr w:rsidR="001D301E" w14:paraId="4129A01D" w14:textId="77777777" w:rsidTr="007D3F63">
      <w:trPr>
        <w:trHeight w:val="342"/>
      </w:trPr>
      <w:tc>
        <w:tcPr>
          <w:tcW w:w="5103" w:type="dxa"/>
          <w:hideMark/>
        </w:tcPr>
        <w:p w14:paraId="07CF1E70" w14:textId="77777777" w:rsidR="001D301E" w:rsidRPr="00663A37" w:rsidRDefault="001D301E" w:rsidP="007D3F63">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2FCF5CD8" w14:textId="77777777" w:rsidR="001D301E" w:rsidRPr="00663A37" w:rsidRDefault="001D301E" w:rsidP="007D3F63">
          <w:pPr>
            <w:spacing w:after="120" w:line="240" w:lineRule="auto"/>
            <w:ind w:left="-486" w:right="68" w:firstLine="567"/>
            <w:jc w:val="right"/>
            <w:rPr>
              <w:rFonts w:cs="Arial"/>
              <w:szCs w:val="24"/>
            </w:rPr>
          </w:pPr>
          <w:r w:rsidRPr="00663A37">
            <w:rPr>
              <w:rFonts w:cs="Arial"/>
              <w:szCs w:val="24"/>
            </w:rPr>
            <w:t>José Martínez Vilchis</w:t>
          </w:r>
        </w:p>
      </w:tc>
    </w:tr>
  </w:tbl>
  <w:p w14:paraId="74F0439C" w14:textId="77777777" w:rsidR="001D301E" w:rsidRPr="00871A91" w:rsidRDefault="001D301E">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3068C056" wp14:editId="3DA77CC8">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4D0B"/>
    <w:multiLevelType w:val="hybridMultilevel"/>
    <w:tmpl w:val="096259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5E3245"/>
    <w:multiLevelType w:val="hybridMultilevel"/>
    <w:tmpl w:val="37AA03EC"/>
    <w:lvl w:ilvl="0" w:tplc="69B0061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D9D1642"/>
    <w:multiLevelType w:val="hybridMultilevel"/>
    <w:tmpl w:val="60CE3116"/>
    <w:lvl w:ilvl="0" w:tplc="029C7E14">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6632C61"/>
    <w:multiLevelType w:val="hybridMultilevel"/>
    <w:tmpl w:val="71D6B0B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9B7791"/>
    <w:multiLevelType w:val="multilevel"/>
    <w:tmpl w:val="A040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F3AA8"/>
    <w:multiLevelType w:val="hybridMultilevel"/>
    <w:tmpl w:val="D28A7A70"/>
    <w:lvl w:ilvl="0" w:tplc="10586B5A">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864865"/>
    <w:multiLevelType w:val="hybridMultilevel"/>
    <w:tmpl w:val="45F42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7"/>
  </w:num>
  <w:num w:numId="5">
    <w:abstractNumId w:val="4"/>
  </w:num>
  <w:num w:numId="6">
    <w:abstractNumId w:val="5"/>
  </w:num>
  <w:num w:numId="7">
    <w:abstractNumId w:val="12"/>
  </w:num>
  <w:num w:numId="8">
    <w:abstractNumId w:val="6"/>
  </w:num>
  <w:num w:numId="9">
    <w:abstractNumId w:val="2"/>
  </w:num>
  <w:num w:numId="10">
    <w:abstractNumId w:val="11"/>
  </w:num>
  <w:num w:numId="11">
    <w:abstractNumId w:val="1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F0"/>
    <w:rsid w:val="000C6ABD"/>
    <w:rsid w:val="000D74BE"/>
    <w:rsid w:val="00176220"/>
    <w:rsid w:val="001D301E"/>
    <w:rsid w:val="001E5E91"/>
    <w:rsid w:val="00215F49"/>
    <w:rsid w:val="00390440"/>
    <w:rsid w:val="003C76BF"/>
    <w:rsid w:val="00487960"/>
    <w:rsid w:val="00491E39"/>
    <w:rsid w:val="005F79C9"/>
    <w:rsid w:val="00650247"/>
    <w:rsid w:val="006B7C86"/>
    <w:rsid w:val="007D3F63"/>
    <w:rsid w:val="00814E36"/>
    <w:rsid w:val="00A868F0"/>
    <w:rsid w:val="00AF3196"/>
    <w:rsid w:val="00B72D91"/>
    <w:rsid w:val="00C26419"/>
    <w:rsid w:val="00C421F1"/>
    <w:rsid w:val="00DA53CE"/>
    <w:rsid w:val="00E23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0FDFA5"/>
  <w15:chartTrackingRefBased/>
  <w15:docId w15:val="{55615CB2-0A10-40EF-B521-1F4969B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F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868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A868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A868F0"/>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A868F0"/>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A868F0"/>
    <w:rPr>
      <w:rFonts w:asciiTheme="majorHAnsi" w:eastAsiaTheme="majorEastAsia" w:hAnsiTheme="majorHAnsi" w:cstheme="majorBidi"/>
      <w:color w:val="2E74B5" w:themeColor="accent1" w:themeShade="BF"/>
      <w:sz w:val="32"/>
      <w:szCs w:val="32"/>
      <w:lang w:val="es-ES_tradnl" w:eastAsia="es-MX"/>
    </w:rPr>
  </w:style>
  <w:style w:type="character" w:customStyle="1" w:styleId="Ttulo3Car">
    <w:name w:val="Título 3 Car"/>
    <w:basedOn w:val="Fuentedeprrafopredeter"/>
    <w:link w:val="Ttulo3"/>
    <w:uiPriority w:val="9"/>
    <w:rsid w:val="00A868F0"/>
    <w:rPr>
      <w:rFonts w:ascii="Palatino Linotype" w:eastAsiaTheme="majorEastAsia" w:hAnsi="Palatino Linotype" w:cstheme="majorBidi"/>
      <w:color w:val="2E74B5" w:themeColor="accent1" w:themeShade="BF"/>
      <w:sz w:val="28"/>
      <w:szCs w:val="28"/>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868F0"/>
    <w:pPr>
      <w:ind w:left="720"/>
      <w:contextualSpacing/>
    </w:pPr>
  </w:style>
  <w:style w:type="paragraph" w:styleId="Encabezado">
    <w:name w:val="header"/>
    <w:basedOn w:val="Normal"/>
    <w:link w:val="EncabezadoCar"/>
    <w:uiPriority w:val="99"/>
    <w:unhideWhenUsed/>
    <w:rsid w:val="00A868F0"/>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A868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868F0"/>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A868F0"/>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868F0"/>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A868F0"/>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868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868F0"/>
    <w:rPr>
      <w:color w:val="0563C1" w:themeColor="hyperlink"/>
      <w:u w:val="single"/>
    </w:rPr>
  </w:style>
  <w:style w:type="paragraph" w:customStyle="1" w:styleId="Fundamentos">
    <w:name w:val="Fundamentos"/>
    <w:basedOn w:val="Normal"/>
    <w:qFormat/>
    <w:rsid w:val="00A868F0"/>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868F0"/>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868F0"/>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673358">
      <w:bodyDiv w:val="1"/>
      <w:marLeft w:val="0"/>
      <w:marRight w:val="0"/>
      <w:marTop w:val="0"/>
      <w:marBottom w:val="0"/>
      <w:divBdr>
        <w:top w:val="none" w:sz="0" w:space="0" w:color="auto"/>
        <w:left w:val="none" w:sz="0" w:space="0" w:color="auto"/>
        <w:bottom w:val="none" w:sz="0" w:space="0" w:color="auto"/>
        <w:right w:val="none" w:sz="0" w:space="0" w:color="auto"/>
      </w:divBdr>
      <w:divsChild>
        <w:div w:id="465859788">
          <w:marLeft w:val="0"/>
          <w:marRight w:val="0"/>
          <w:marTop w:val="0"/>
          <w:marBottom w:val="0"/>
          <w:divBdr>
            <w:top w:val="none" w:sz="0" w:space="0" w:color="auto"/>
            <w:left w:val="none" w:sz="0" w:space="0" w:color="auto"/>
            <w:bottom w:val="none" w:sz="0" w:space="0" w:color="auto"/>
            <w:right w:val="none" w:sz="0" w:space="0" w:color="auto"/>
          </w:divBdr>
        </w:div>
      </w:divsChild>
    </w:div>
    <w:div w:id="21093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10558</Words>
  <Characters>58073</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2025-10-23T19:36:00Z</cp:lastPrinted>
  <dcterms:created xsi:type="dcterms:W3CDTF">2025-10-23T16:07:00Z</dcterms:created>
  <dcterms:modified xsi:type="dcterms:W3CDTF">2025-11-28T19:35:00Z</dcterms:modified>
</cp:coreProperties>
</file>