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9ED45" w14:textId="77777777" w:rsidR="00A3628D" w:rsidRDefault="00A3628D" w:rsidP="00A3628D">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042A0F">
        <w:rPr>
          <w:rFonts w:ascii="Palatino Linotype" w:eastAsia="Palatino Linotype" w:hAnsi="Palatino Linotype" w:cs="Palatino Linotype"/>
          <w:color w:val="000000"/>
          <w:sz w:val="24"/>
          <w:szCs w:val="24"/>
        </w:rPr>
        <w:t>dos de jul</w:t>
      </w:r>
      <w:r>
        <w:rPr>
          <w:rFonts w:ascii="Palatino Linotype" w:eastAsia="Palatino Linotype" w:hAnsi="Palatino Linotype" w:cs="Palatino Linotype"/>
          <w:color w:val="000000"/>
          <w:sz w:val="24"/>
          <w:szCs w:val="24"/>
        </w:rPr>
        <w:t>io de dos mil veinticinco.</w:t>
      </w:r>
    </w:p>
    <w:p w14:paraId="2210372D" w14:textId="77777777" w:rsidR="00A3628D" w:rsidRDefault="00A3628D" w:rsidP="00A3628D">
      <w:pPr>
        <w:shd w:val="clear" w:color="auto" w:fill="FFFFFF"/>
        <w:spacing w:after="0" w:line="360" w:lineRule="auto"/>
        <w:jc w:val="both"/>
        <w:rPr>
          <w:rFonts w:ascii="Palatino Linotype" w:eastAsia="Palatino Linotype" w:hAnsi="Palatino Linotype" w:cs="Palatino Linotype"/>
          <w:color w:val="000000"/>
          <w:sz w:val="24"/>
          <w:szCs w:val="24"/>
        </w:rPr>
      </w:pPr>
    </w:p>
    <w:p w14:paraId="63217B48" w14:textId="77777777" w:rsidR="00A3628D" w:rsidRDefault="00A3628D" w:rsidP="00A3628D">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 los recursos de revisión con número </w:t>
      </w:r>
      <w:bookmarkStart w:id="0" w:name="_GoBack"/>
      <w:r>
        <w:rPr>
          <w:rFonts w:ascii="Palatino Linotype" w:eastAsia="Palatino Linotype" w:hAnsi="Palatino Linotype" w:cs="Palatino Linotype"/>
          <w:b/>
          <w:sz w:val="24"/>
          <w:szCs w:val="24"/>
        </w:rPr>
        <w:t>06335/INFOEM/IP/RR/2025</w:t>
      </w:r>
      <w:bookmarkEnd w:id="0"/>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000000"/>
          <w:sz w:val="24"/>
          <w:szCs w:val="24"/>
        </w:rPr>
        <w:t xml:space="preserve">interpuesto por un particular que no proporcionó nombre o seudónimo,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Pr="00A3628D">
        <w:rPr>
          <w:rFonts w:ascii="Palatino Linotype" w:eastAsia="Palatino Linotype" w:hAnsi="Palatino Linotype" w:cs="Palatino Linotype"/>
          <w:b/>
          <w:color w:val="000000"/>
          <w:sz w:val="24"/>
          <w:szCs w:val="24"/>
        </w:rPr>
        <w:t>Sistema Municipal para el Desarrollo Integral de la Familia de Teoloyucan</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14:paraId="1683735E" w14:textId="77777777" w:rsidR="00A3628D" w:rsidRDefault="00A3628D" w:rsidP="00A3628D">
      <w:pPr>
        <w:tabs>
          <w:tab w:val="left" w:pos="6960"/>
        </w:tabs>
        <w:spacing w:after="0" w:line="360" w:lineRule="auto"/>
        <w:jc w:val="both"/>
        <w:rPr>
          <w:rFonts w:ascii="Palatino Linotype" w:eastAsia="Palatino Linotype" w:hAnsi="Palatino Linotype" w:cs="Palatino Linotype"/>
          <w:sz w:val="24"/>
          <w:szCs w:val="24"/>
        </w:rPr>
      </w:pPr>
    </w:p>
    <w:p w14:paraId="4BED9A70" w14:textId="77777777" w:rsidR="00A3628D" w:rsidRDefault="00A3628D" w:rsidP="00A3628D">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754AAADA" w14:textId="77777777" w:rsidR="00A3628D" w:rsidRDefault="00A3628D" w:rsidP="00A3628D">
      <w:pPr>
        <w:spacing w:after="0" w:line="360" w:lineRule="auto"/>
        <w:rPr>
          <w:rFonts w:ascii="Palatino Linotype" w:eastAsia="Palatino Linotype" w:hAnsi="Palatino Linotype" w:cs="Palatino Linotype"/>
          <w:b/>
          <w:sz w:val="24"/>
          <w:szCs w:val="24"/>
        </w:rPr>
      </w:pPr>
    </w:p>
    <w:p w14:paraId="4C896A2D" w14:textId="77777777" w:rsidR="00A3628D" w:rsidRPr="00782BD1" w:rsidRDefault="00A3628D" w:rsidP="00A3628D">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14:paraId="4EBB1949" w14:textId="77777777" w:rsidR="00A3628D" w:rsidRDefault="00A3628D" w:rsidP="00A3628D">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En fecha seis de mayo de dos mil veinticinco,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Pr>
          <w:rFonts w:ascii="Palatino Linotype" w:eastAsia="Palatino Linotype" w:hAnsi="Palatino Linotype" w:cs="Palatino Linotype"/>
          <w:b/>
          <w:sz w:val="24"/>
          <w:szCs w:val="24"/>
        </w:rPr>
        <w:t>00032/DIFTEOLOYU/IP/2025</w:t>
      </w:r>
      <w:r>
        <w:rPr>
          <w:rFonts w:ascii="Palatino Linotype" w:eastAsia="Palatino Linotype" w:hAnsi="Palatino Linotype" w:cs="Palatino Linotype"/>
          <w:sz w:val="24"/>
          <w:szCs w:val="24"/>
        </w:rPr>
        <w:t xml:space="preserve">, de lo </w:t>
      </w:r>
      <w:proofErr w:type="gramStart"/>
      <w:r>
        <w:rPr>
          <w:rFonts w:ascii="Palatino Linotype" w:eastAsia="Palatino Linotype" w:hAnsi="Palatino Linotype" w:cs="Palatino Linotype"/>
          <w:sz w:val="24"/>
          <w:szCs w:val="24"/>
        </w:rPr>
        <w:t>siguiente</w:t>
      </w:r>
      <w:proofErr w:type="gramEnd"/>
      <w:r>
        <w:rPr>
          <w:rFonts w:ascii="Palatino Linotype" w:eastAsia="Palatino Linotype" w:hAnsi="Palatino Linotype" w:cs="Palatino Linotype"/>
          <w:sz w:val="24"/>
          <w:szCs w:val="24"/>
        </w:rPr>
        <w:t xml:space="preserve">: </w:t>
      </w:r>
    </w:p>
    <w:p w14:paraId="7AC5F6A8" w14:textId="77777777" w:rsidR="00A3628D" w:rsidRPr="001C7F6F" w:rsidRDefault="00A3628D" w:rsidP="00A3628D">
      <w:pPr>
        <w:pStyle w:val="INFOEM"/>
        <w:rPr>
          <w:lang w:val="es-ES_tradnl" w:eastAsia="es-ES"/>
        </w:rPr>
      </w:pPr>
      <w:r w:rsidRPr="00D705FF">
        <w:rPr>
          <w:lang w:val="es-ES_tradnl" w:eastAsia="es-ES"/>
        </w:rPr>
        <w:t>“</w:t>
      </w:r>
      <w:r w:rsidRPr="00A3628D">
        <w:rPr>
          <w:lang w:val="es-ES" w:eastAsia="es-ES"/>
        </w:rPr>
        <w:t xml:space="preserve">quiero saber si </w:t>
      </w:r>
      <w:proofErr w:type="spellStart"/>
      <w:r w:rsidRPr="00A3628D">
        <w:rPr>
          <w:lang w:val="es-ES" w:eastAsia="es-ES"/>
        </w:rPr>
        <w:t>dif</w:t>
      </w:r>
      <w:proofErr w:type="spellEnd"/>
      <w:r w:rsidRPr="00A3628D">
        <w:rPr>
          <w:lang w:val="es-ES" w:eastAsia="es-ES"/>
        </w:rPr>
        <w:t xml:space="preserve"> cuenta con </w:t>
      </w:r>
      <w:proofErr w:type="spellStart"/>
      <w:r w:rsidRPr="00A3628D">
        <w:rPr>
          <w:lang w:val="es-ES" w:eastAsia="es-ES"/>
        </w:rPr>
        <w:t>profesionmistas</w:t>
      </w:r>
      <w:proofErr w:type="spellEnd"/>
      <w:r w:rsidRPr="00A3628D">
        <w:rPr>
          <w:lang w:val="es-ES" w:eastAsia="es-ES"/>
        </w:rPr>
        <w:t xml:space="preserve"> para tratar a los niños que son maltratados en sus </w:t>
      </w:r>
      <w:proofErr w:type="spellStart"/>
      <w:r w:rsidRPr="00A3628D">
        <w:rPr>
          <w:lang w:val="es-ES" w:eastAsia="es-ES"/>
        </w:rPr>
        <w:t>ogares</w:t>
      </w:r>
      <w:proofErr w:type="spellEnd"/>
      <w:r w:rsidRPr="00A3628D">
        <w:rPr>
          <w:lang w:val="es-ES" w:eastAsia="es-ES"/>
        </w:rPr>
        <w:t xml:space="preserve"> y si cuentan con </w:t>
      </w:r>
      <w:proofErr w:type="spellStart"/>
      <w:r w:rsidRPr="00A3628D">
        <w:rPr>
          <w:lang w:val="es-ES" w:eastAsia="es-ES"/>
        </w:rPr>
        <w:t>alvergues</w:t>
      </w:r>
      <w:proofErr w:type="spellEnd"/>
      <w:r w:rsidRPr="00A3628D">
        <w:rPr>
          <w:lang w:val="es-ES" w:eastAsia="es-ES"/>
        </w:rPr>
        <w:t xml:space="preserve"> y cuanto duran </w:t>
      </w:r>
      <w:proofErr w:type="spellStart"/>
      <w:r w:rsidRPr="00A3628D">
        <w:rPr>
          <w:lang w:val="es-ES" w:eastAsia="es-ES"/>
        </w:rPr>
        <w:t>ahi</w:t>
      </w:r>
      <w:proofErr w:type="spellEnd"/>
      <w:r w:rsidRPr="00A3628D">
        <w:rPr>
          <w:lang w:val="es-ES" w:eastAsia="es-ES"/>
        </w:rPr>
        <w:t xml:space="preserve"> y cuanto </w:t>
      </w:r>
      <w:proofErr w:type="spellStart"/>
      <w:r w:rsidRPr="00A3628D">
        <w:rPr>
          <w:lang w:val="es-ES" w:eastAsia="es-ES"/>
        </w:rPr>
        <w:t>cuestyan</w:t>
      </w:r>
      <w:proofErr w:type="spellEnd"/>
      <w:r w:rsidRPr="00A3628D">
        <w:rPr>
          <w:lang w:val="es-ES" w:eastAsia="es-ES"/>
        </w:rPr>
        <w:t xml:space="preserve"> los </w:t>
      </w:r>
      <w:proofErr w:type="spellStart"/>
      <w:r w:rsidRPr="00A3628D">
        <w:rPr>
          <w:lang w:val="es-ES" w:eastAsia="es-ES"/>
        </w:rPr>
        <w:t>prosedimientos</w:t>
      </w:r>
      <w:proofErr w:type="spellEnd"/>
      <w:r w:rsidRPr="00A3628D">
        <w:rPr>
          <w:lang w:val="es-ES" w:eastAsia="es-ES"/>
        </w:rPr>
        <w:t xml:space="preserve"> de </w:t>
      </w:r>
      <w:proofErr w:type="spellStart"/>
      <w:r w:rsidRPr="00A3628D">
        <w:rPr>
          <w:lang w:val="es-ES" w:eastAsia="es-ES"/>
        </w:rPr>
        <w:t>divorsios</w:t>
      </w:r>
      <w:proofErr w:type="spellEnd"/>
      <w:r w:rsidRPr="00D705FF">
        <w:rPr>
          <w:lang w:val="es-ES_tradnl" w:eastAsia="es-ES"/>
        </w:rPr>
        <w:t>” (Sic)</w:t>
      </w:r>
    </w:p>
    <w:p w14:paraId="179495E0" w14:textId="77777777" w:rsidR="00A3628D" w:rsidRPr="00782BD1" w:rsidRDefault="00A3628D" w:rsidP="00A3628D">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3A467C2E" w14:textId="77777777" w:rsidR="00A3628D" w:rsidRDefault="00A3628D" w:rsidP="00A3628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3D16C754" w14:textId="77777777" w:rsidR="00A3628D" w:rsidRPr="00782BD1" w:rsidRDefault="00A3628D" w:rsidP="00A3628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 del Sujeto Obligado.</w:t>
      </w:r>
    </w:p>
    <w:p w14:paraId="2DE9BA75" w14:textId="77777777" w:rsidR="00A3628D" w:rsidRDefault="00A3628D" w:rsidP="00A3628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7AA2E547" w14:textId="77777777" w:rsidR="00A3628D" w:rsidRPr="00782BD1" w:rsidRDefault="00A3628D" w:rsidP="00A3628D">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5642DFA2" w14:textId="77777777" w:rsidR="00A3628D" w:rsidRPr="00782BD1" w:rsidRDefault="00A3628D" w:rsidP="00A3628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14:paraId="5E8A3A05" w14:textId="77777777" w:rsidR="00A3628D" w:rsidRDefault="00A3628D" w:rsidP="00A3628D">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Pr>
          <w:rFonts w:ascii="Palatino Linotype" w:eastAsia="Palatino Linotype" w:hAnsi="Palatino Linotype" w:cs="Palatino Linotype"/>
          <w:b/>
          <w:sz w:val="24"/>
          <w:szCs w:val="24"/>
        </w:rPr>
        <w:t>dos de junio</w:t>
      </w:r>
      <w:r w:rsidRPr="007A5E9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Pr>
          <w:rFonts w:ascii="Palatino Linotype" w:eastAsia="Palatino Linotype" w:hAnsi="Palatino Linotype" w:cs="Palatino Linotype"/>
          <w:b/>
          <w:sz w:val="24"/>
          <w:szCs w:val="24"/>
        </w:rPr>
        <w:t>06335/INFOEM/IP/RR/2025</w:t>
      </w:r>
      <w:r>
        <w:rPr>
          <w:rFonts w:ascii="Palatino Linotype" w:eastAsia="Palatino Linotype" w:hAnsi="Palatino Linotype" w:cs="Palatino Linotype"/>
          <w:sz w:val="24"/>
          <w:szCs w:val="24"/>
        </w:rPr>
        <w:t>, y señaló como acto impugnado y razones o motivos de inconformidad, lo siguiente:</w:t>
      </w:r>
    </w:p>
    <w:p w14:paraId="77E0A86E" w14:textId="77777777" w:rsidR="00A3628D" w:rsidRDefault="00A3628D" w:rsidP="00A3628D">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00AA8345" w14:textId="77777777" w:rsidR="00A3628D" w:rsidRPr="0038340D" w:rsidRDefault="00A3628D" w:rsidP="00A3628D">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287A928F" w14:textId="77777777" w:rsidR="00A3628D" w:rsidRDefault="00A3628D" w:rsidP="00A3628D">
      <w:pPr>
        <w:pBdr>
          <w:top w:val="nil"/>
          <w:left w:val="nil"/>
          <w:bottom w:val="nil"/>
          <w:right w:val="nil"/>
          <w:between w:val="nil"/>
        </w:pBdr>
        <w:spacing w:after="0" w:line="360" w:lineRule="auto"/>
        <w:ind w:left="142" w:right="141"/>
        <w:jc w:val="both"/>
        <w:rPr>
          <w:i/>
        </w:rPr>
      </w:pPr>
      <w:r>
        <w:rPr>
          <w:rFonts w:ascii="Palatino Linotype" w:eastAsia="Palatino Linotype" w:hAnsi="Palatino Linotype" w:cs="Palatino Linotype"/>
          <w:i/>
          <w:color w:val="000000"/>
        </w:rPr>
        <w:t>“</w:t>
      </w:r>
      <w:r w:rsidRPr="00A3628D">
        <w:rPr>
          <w:rFonts w:ascii="Palatino Linotype" w:eastAsia="Palatino Linotype" w:hAnsi="Palatino Linotype" w:cs="Palatino Linotype"/>
          <w:i/>
          <w:color w:val="000000"/>
        </w:rPr>
        <w:t>no hay respuesta</w:t>
      </w:r>
      <w:r w:rsidRPr="00D2150D">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 xml:space="preserve"> (Sic) </w:t>
      </w:r>
    </w:p>
    <w:p w14:paraId="01553D0A" w14:textId="77777777" w:rsidR="00A3628D" w:rsidRDefault="00A3628D" w:rsidP="00A3628D">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3E135361" w14:textId="77777777" w:rsidR="00A3628D" w:rsidRPr="0038340D" w:rsidRDefault="00A3628D" w:rsidP="00A3628D">
      <w:pPr>
        <w:numPr>
          <w:ilvl w:val="0"/>
          <w:numId w:val="1"/>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06728EEA" w14:textId="77777777" w:rsidR="00A3628D" w:rsidRDefault="00A3628D" w:rsidP="00A3628D">
      <w:pPr>
        <w:pBdr>
          <w:top w:val="nil"/>
          <w:left w:val="nil"/>
          <w:bottom w:val="nil"/>
          <w:right w:val="nil"/>
          <w:between w:val="nil"/>
        </w:pBdr>
        <w:spacing w:after="0" w:line="360" w:lineRule="auto"/>
        <w:ind w:left="142" w:right="283"/>
        <w:jc w:val="both"/>
      </w:pPr>
      <w:r>
        <w:rPr>
          <w:rFonts w:ascii="Palatino Linotype" w:eastAsia="Palatino Linotype" w:hAnsi="Palatino Linotype" w:cs="Palatino Linotype"/>
          <w:i/>
          <w:color w:val="000000"/>
        </w:rPr>
        <w:t>“</w:t>
      </w:r>
      <w:r w:rsidRPr="00A3628D">
        <w:rPr>
          <w:rFonts w:ascii="Palatino Linotype" w:eastAsia="Palatino Linotype" w:hAnsi="Palatino Linotype" w:cs="Palatino Linotype"/>
          <w:i/>
          <w:color w:val="000000"/>
        </w:rPr>
        <w:t>no hay respuesta</w:t>
      </w:r>
      <w:r>
        <w:rPr>
          <w:rFonts w:ascii="Palatino Linotype" w:eastAsia="Palatino Linotype" w:hAnsi="Palatino Linotype" w:cs="Palatino Linotype"/>
          <w:i/>
          <w:color w:val="000000"/>
        </w:rPr>
        <w:t>”</w:t>
      </w:r>
      <w:r>
        <w:rPr>
          <w:rFonts w:ascii="Palatino Linotype" w:eastAsia="Palatino Linotype" w:hAnsi="Palatino Linotype" w:cs="Palatino Linotype"/>
          <w:color w:val="000000"/>
          <w:sz w:val="24"/>
          <w:szCs w:val="24"/>
        </w:rPr>
        <w:t xml:space="preserve"> (Sic)</w:t>
      </w:r>
      <w:r>
        <w:rPr>
          <w:rFonts w:ascii="Times New Roman" w:eastAsia="Times New Roman" w:hAnsi="Times New Roman" w:cs="Times New Roman"/>
          <w:color w:val="000000"/>
          <w:sz w:val="24"/>
          <w:szCs w:val="24"/>
        </w:rPr>
        <w:t xml:space="preserve"> </w:t>
      </w:r>
    </w:p>
    <w:p w14:paraId="73E16618" w14:textId="77777777" w:rsidR="00A3628D" w:rsidRDefault="00A3628D" w:rsidP="00A3628D">
      <w:pPr>
        <w:spacing w:after="0" w:line="360" w:lineRule="auto"/>
        <w:jc w:val="both"/>
        <w:rPr>
          <w:rFonts w:ascii="Palatino Linotype" w:eastAsia="Palatino Linotype" w:hAnsi="Palatino Linotype" w:cs="Palatino Linotype"/>
          <w:b/>
          <w:sz w:val="28"/>
          <w:szCs w:val="28"/>
        </w:rPr>
      </w:pPr>
    </w:p>
    <w:p w14:paraId="2916A4AD" w14:textId="77777777" w:rsidR="00A3628D" w:rsidRPr="002C3EC8" w:rsidRDefault="00A3628D" w:rsidP="00A3628D">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64B8415C" w14:textId="77777777" w:rsidR="00A3628D" w:rsidRPr="00EB21AC" w:rsidRDefault="00A3628D" w:rsidP="00A3628D">
      <w:pPr>
        <w:spacing w:before="240" w:line="360" w:lineRule="auto"/>
        <w:jc w:val="both"/>
        <w:rPr>
          <w:rFonts w:ascii="Palatino Linotype" w:hAnsi="Palatino Linotype" w:cs="Arial"/>
          <w:sz w:val="32"/>
        </w:rPr>
      </w:pPr>
      <w:r w:rsidRPr="00EB21AC">
        <w:rPr>
          <w:rFonts w:ascii="Palatino Linotype" w:hAnsi="Palatino Linotype"/>
          <w:sz w:val="24"/>
        </w:rPr>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w:t>
      </w:r>
      <w:r w:rsidRPr="00EB21AC">
        <w:rPr>
          <w:rFonts w:ascii="Palatino Linotype" w:hAnsi="Palatino Linotype"/>
          <w:sz w:val="24"/>
        </w:rPr>
        <w:lastRenderedPageBreak/>
        <w:t xml:space="preserve">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Pr>
          <w:rFonts w:ascii="Palatino Linotype" w:hAnsi="Palatino Linotype"/>
          <w:b/>
          <w:sz w:val="24"/>
        </w:rPr>
        <w:t>tres de junio de dos 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14:paraId="0BB04F53" w14:textId="77777777" w:rsidR="00A3628D" w:rsidRDefault="00A3628D" w:rsidP="00A3628D">
      <w:pPr>
        <w:spacing w:after="0" w:line="360" w:lineRule="auto"/>
        <w:jc w:val="both"/>
        <w:rPr>
          <w:rFonts w:ascii="Palatino Linotype" w:eastAsia="Palatino Linotype" w:hAnsi="Palatino Linotype" w:cs="Palatino Linotype"/>
          <w:b/>
          <w:sz w:val="28"/>
          <w:szCs w:val="28"/>
        </w:rPr>
      </w:pPr>
    </w:p>
    <w:p w14:paraId="05DFE205" w14:textId="77777777" w:rsidR="00A3628D" w:rsidRPr="00E52C83" w:rsidRDefault="00A3628D" w:rsidP="00A3628D">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14:paraId="78EE9C80" w14:textId="77777777" w:rsidR="00A3628D" w:rsidRDefault="00A3628D" w:rsidP="00A3628D">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74F6CDA9" w14:textId="77777777" w:rsidR="00A3628D" w:rsidRPr="00DD2E32" w:rsidRDefault="00A3628D" w:rsidP="00A3628D">
      <w:pPr>
        <w:spacing w:after="0" w:line="360" w:lineRule="auto"/>
        <w:jc w:val="both"/>
        <w:rPr>
          <w:rFonts w:ascii="Palatino Linotype" w:hAnsi="Palatino Linotype" w:cs="Arial"/>
          <w:sz w:val="24"/>
          <w:szCs w:val="24"/>
        </w:rPr>
      </w:pPr>
    </w:p>
    <w:p w14:paraId="3B3CD3A4" w14:textId="77777777" w:rsidR="00A3628D" w:rsidRDefault="00A3628D" w:rsidP="00A3628D">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27900F2D" w14:textId="77777777" w:rsidR="00A3628D" w:rsidRDefault="00A3628D" w:rsidP="00A3628D">
      <w:pPr>
        <w:spacing w:after="0" w:line="360" w:lineRule="auto"/>
        <w:jc w:val="both"/>
        <w:rPr>
          <w:rFonts w:ascii="Palatino Linotype" w:hAnsi="Palatino Linotype" w:cs="Arial"/>
          <w:b/>
          <w:sz w:val="28"/>
          <w:szCs w:val="28"/>
        </w:rPr>
      </w:pPr>
    </w:p>
    <w:p w14:paraId="5CA2E798" w14:textId="77777777" w:rsidR="00A3628D" w:rsidRPr="002C3EC8" w:rsidRDefault="00A3628D" w:rsidP="00A3628D">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709B9F89" w14:textId="77777777" w:rsidR="00A3628D" w:rsidRDefault="00A3628D" w:rsidP="00A3628D">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Pr>
          <w:rFonts w:ascii="Palatino Linotype" w:hAnsi="Palatino Linotype" w:cs="Arial"/>
          <w:b/>
          <w:sz w:val="24"/>
          <w:szCs w:val="24"/>
        </w:rPr>
        <w:t>trece de junio de dos mil veinticinco</w:t>
      </w:r>
      <w:r w:rsidRPr="002C3EC8">
        <w:rPr>
          <w:rFonts w:ascii="Palatino Linotype" w:hAnsi="Palatino Linotype" w:cs="Arial"/>
          <w:sz w:val="24"/>
          <w:szCs w:val="24"/>
        </w:rPr>
        <w:t xml:space="preserve">, en términos del artículo 185 fracción VI de la Ley de Transparencia y Acceso a la </w:t>
      </w:r>
      <w:r w:rsidRPr="002C3EC8">
        <w:rPr>
          <w:rFonts w:ascii="Palatino Linotype" w:hAnsi="Palatino Linotype" w:cs="Arial"/>
          <w:sz w:val="24"/>
          <w:szCs w:val="24"/>
        </w:rPr>
        <w:lastRenderedPageBreak/>
        <w:t>Información Pública del Estado de México y Municipios, ordenándose turnar el expediente a la resolución que en derecho proceda.</w:t>
      </w:r>
    </w:p>
    <w:p w14:paraId="1D444B80"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6011235F" w14:textId="77777777" w:rsidR="00A3628D" w:rsidRDefault="00A3628D" w:rsidP="00A3628D">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14:paraId="0C86E45B"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2DF33FAA" w14:textId="77777777" w:rsidR="00A3628D" w:rsidRPr="00EB21AC" w:rsidRDefault="00A3628D" w:rsidP="00A3628D">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14:paraId="67DE36F8" w14:textId="77777777" w:rsidR="00A3628D" w:rsidRPr="00975F8D" w:rsidRDefault="00A3628D" w:rsidP="00A3628D">
      <w:pPr>
        <w:tabs>
          <w:tab w:val="left" w:pos="3402"/>
        </w:tabs>
        <w:spacing w:line="360" w:lineRule="auto"/>
        <w:jc w:val="both"/>
        <w:rPr>
          <w:rFonts w:ascii="Palatino Linotype" w:hAnsi="Palatino Linotype"/>
          <w:sz w:val="24"/>
        </w:rPr>
      </w:pPr>
      <w:r w:rsidRPr="00975F8D">
        <w:rPr>
          <w:rFonts w:ascii="Palatino Linotype" w:hAnsi="Palatino Linotype"/>
          <w:sz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2EFBC9B"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52237175" w14:textId="77777777" w:rsidR="00A3628D" w:rsidRPr="00EB21AC" w:rsidRDefault="00A3628D" w:rsidP="00A3628D">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14:paraId="34C4659A" w14:textId="77777777" w:rsidR="00A3628D" w:rsidRDefault="00A3628D" w:rsidP="00A3628D">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Pr>
          <w:rFonts w:ascii="Palatino Linotype" w:eastAsia="Palatino Linotype" w:hAnsi="Palatino Linotype" w:cs="Palatino Linotype"/>
          <w:sz w:val="24"/>
          <w:szCs w:val="24"/>
        </w:rPr>
        <w:lastRenderedPageBreak/>
        <w:t>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D7AA573"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152A2B2F" w14:textId="77777777" w:rsidR="00A3628D" w:rsidRDefault="00A3628D" w:rsidP="00A3628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14:paraId="0DC76E0A"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36D51F72" w14:textId="77777777" w:rsidR="00A3628D" w:rsidRDefault="00A3628D" w:rsidP="00A3628D">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14:paraId="29241987"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68F423F6" w14:textId="77777777" w:rsidR="00A3628D" w:rsidRDefault="00A3628D" w:rsidP="00A3628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w:t>
      </w:r>
      <w:r>
        <w:rPr>
          <w:rFonts w:ascii="Palatino Linotype" w:eastAsia="Palatino Linotype" w:hAnsi="Palatino Linotype" w:cs="Palatino Linotype"/>
          <w:sz w:val="24"/>
          <w:szCs w:val="24"/>
        </w:rPr>
        <w:lastRenderedPageBreak/>
        <w:t>por las partes, que resulte dable abordar, encontrándose actualizados todos los presupuestos procedimentales para atender el fondo del asunto, en los términos del considerando posterior.</w:t>
      </w:r>
    </w:p>
    <w:p w14:paraId="79147EFD"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22589BF5" w14:textId="77777777" w:rsidR="00A3628D" w:rsidRDefault="00A3628D" w:rsidP="00A3628D">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14:paraId="3C63DD25" w14:textId="77777777" w:rsidR="00A3628D" w:rsidRDefault="00A3628D" w:rsidP="00A3628D">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5E27B7CB"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34C2E168" w14:textId="77777777" w:rsidR="00A3628D" w:rsidRDefault="00A3628D" w:rsidP="00A3628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334E1385"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554FACC2" w14:textId="77777777" w:rsidR="00A3628D" w:rsidRDefault="00A3628D" w:rsidP="00A3628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14:paraId="6CA36757"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53C05EC7" w14:textId="77777777" w:rsidR="00A3628D" w:rsidRDefault="00A3628D" w:rsidP="00A3628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1600E0F8"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3AC35A6B" w14:textId="77777777" w:rsidR="00A3628D" w:rsidRDefault="00A3628D" w:rsidP="00A3628D">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737089EB" w14:textId="77777777" w:rsidR="00A3628D" w:rsidRDefault="00A3628D" w:rsidP="00A3628D">
      <w:pPr>
        <w:widowControl w:val="0"/>
        <w:tabs>
          <w:tab w:val="left" w:pos="1276"/>
        </w:tabs>
        <w:spacing w:line="360" w:lineRule="auto"/>
        <w:jc w:val="both"/>
        <w:rPr>
          <w:rFonts w:ascii="Palatino Linotype" w:eastAsia="Palatino Linotype" w:hAnsi="Palatino Linotype" w:cs="Palatino Linotype"/>
          <w:sz w:val="24"/>
          <w:szCs w:val="24"/>
        </w:rPr>
      </w:pPr>
    </w:p>
    <w:p w14:paraId="3F67EE6A" w14:textId="77777777" w:rsidR="00A3628D" w:rsidRDefault="00A3628D" w:rsidP="00A3628D">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1321DAB" w14:textId="77777777" w:rsidR="00A3628D" w:rsidRDefault="00A3628D" w:rsidP="00A3628D">
      <w:pPr>
        <w:widowControl w:val="0"/>
        <w:tabs>
          <w:tab w:val="left" w:pos="1276"/>
        </w:tabs>
        <w:spacing w:line="360" w:lineRule="auto"/>
        <w:jc w:val="both"/>
        <w:rPr>
          <w:rFonts w:ascii="Palatino Linotype" w:eastAsia="Palatino Linotype" w:hAnsi="Palatino Linotype" w:cs="Palatino Linotype"/>
          <w:sz w:val="24"/>
          <w:szCs w:val="24"/>
        </w:rPr>
      </w:pPr>
    </w:p>
    <w:p w14:paraId="4AA8F5B3" w14:textId="77777777" w:rsidR="00A3628D" w:rsidRDefault="00A3628D" w:rsidP="00A3628D">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4EE69FEE"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00924761" w14:textId="77777777" w:rsidR="00A3628D" w:rsidRDefault="00A3628D" w:rsidP="00A3628D">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w:t>
      </w:r>
      <w:r>
        <w:rPr>
          <w:rFonts w:ascii="Palatino Linotype" w:eastAsia="Palatino Linotype" w:hAnsi="Palatino Linotype" w:cs="Palatino Linotype"/>
          <w:sz w:val="24"/>
          <w:szCs w:val="24"/>
        </w:rPr>
        <w:lastRenderedPageBreak/>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14:paraId="06C90685"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690BCB38" w14:textId="77777777" w:rsidR="00A3628D" w:rsidRDefault="00A3628D" w:rsidP="00A3628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48023D0"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42EA931E"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3C1AB459" w14:textId="77777777" w:rsidR="00A3628D" w:rsidRDefault="00A3628D" w:rsidP="00A3628D">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14:paraId="67859AFD" w14:textId="77777777" w:rsidR="00A3628D" w:rsidRDefault="00A3628D" w:rsidP="00A3628D">
      <w:pPr>
        <w:tabs>
          <w:tab w:val="left" w:pos="8647"/>
        </w:tabs>
        <w:spacing w:after="0" w:line="360" w:lineRule="auto"/>
        <w:ind w:right="51"/>
        <w:jc w:val="both"/>
        <w:rPr>
          <w:rFonts w:ascii="Palatino Linotype" w:eastAsia="Palatino Linotype" w:hAnsi="Palatino Linotype" w:cs="Palatino Linotype"/>
          <w:sz w:val="24"/>
          <w:szCs w:val="24"/>
        </w:rPr>
      </w:pPr>
    </w:p>
    <w:p w14:paraId="0B97C1E4" w14:textId="77777777" w:rsidR="00A3628D" w:rsidRDefault="00A3628D" w:rsidP="00A3628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7F60378" w14:textId="77777777" w:rsidR="00A3628D" w:rsidRDefault="00A3628D" w:rsidP="00A3628D">
      <w:pPr>
        <w:spacing w:line="360" w:lineRule="auto"/>
        <w:jc w:val="both"/>
        <w:rPr>
          <w:rFonts w:ascii="Palatino Linotype" w:eastAsia="Palatino Linotype" w:hAnsi="Palatino Linotype" w:cs="Palatino Linotype"/>
          <w:sz w:val="24"/>
          <w:szCs w:val="24"/>
        </w:rPr>
      </w:pPr>
    </w:p>
    <w:p w14:paraId="13F002EA" w14:textId="77777777" w:rsidR="00A3628D" w:rsidRDefault="00A3628D" w:rsidP="00A3628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79AC8932" w14:textId="77777777" w:rsidR="00A3628D" w:rsidRDefault="00A3628D" w:rsidP="00A3628D">
      <w:pPr>
        <w:tabs>
          <w:tab w:val="left" w:pos="8647"/>
        </w:tabs>
        <w:spacing w:after="0" w:line="360" w:lineRule="auto"/>
        <w:ind w:right="51"/>
        <w:jc w:val="both"/>
        <w:rPr>
          <w:rFonts w:ascii="Palatino Linotype" w:eastAsia="Palatino Linotype" w:hAnsi="Palatino Linotype" w:cs="Palatino Linotype"/>
          <w:sz w:val="24"/>
          <w:szCs w:val="24"/>
        </w:rPr>
      </w:pPr>
    </w:p>
    <w:p w14:paraId="6B183A39" w14:textId="77777777" w:rsidR="00A3628D" w:rsidRDefault="00A3628D" w:rsidP="00A3628D">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B7E8EAD" w14:textId="77777777" w:rsidR="00A3628D" w:rsidRDefault="00A3628D" w:rsidP="00A3628D">
      <w:pPr>
        <w:tabs>
          <w:tab w:val="left" w:pos="8647"/>
        </w:tabs>
        <w:spacing w:after="0" w:line="360" w:lineRule="auto"/>
        <w:ind w:right="51"/>
        <w:jc w:val="both"/>
        <w:rPr>
          <w:rFonts w:ascii="Palatino Linotype" w:eastAsia="Palatino Linotype" w:hAnsi="Palatino Linotype" w:cs="Palatino Linotype"/>
          <w:sz w:val="24"/>
          <w:szCs w:val="24"/>
        </w:rPr>
      </w:pPr>
    </w:p>
    <w:p w14:paraId="613440F6" w14:textId="77777777" w:rsidR="00A3628D" w:rsidRDefault="00A3628D" w:rsidP="00A3628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CAD0D76" w14:textId="77777777" w:rsidR="00A3628D" w:rsidRDefault="00A3628D" w:rsidP="00A3628D">
      <w:pPr>
        <w:tabs>
          <w:tab w:val="left" w:pos="8647"/>
        </w:tabs>
        <w:spacing w:after="0" w:line="360" w:lineRule="auto"/>
        <w:ind w:right="51"/>
        <w:jc w:val="both"/>
        <w:rPr>
          <w:rFonts w:ascii="Palatino Linotype" w:eastAsia="Palatino Linotype" w:hAnsi="Palatino Linotype" w:cs="Palatino Linotype"/>
          <w:sz w:val="24"/>
          <w:szCs w:val="24"/>
        </w:rPr>
      </w:pPr>
    </w:p>
    <w:p w14:paraId="05EA3785" w14:textId="77777777" w:rsidR="00A3628D" w:rsidRDefault="00A3628D" w:rsidP="00A3628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0560A005" w14:textId="77777777" w:rsidR="00A3628D" w:rsidRDefault="00A3628D" w:rsidP="00A3628D">
      <w:pPr>
        <w:tabs>
          <w:tab w:val="left" w:pos="8647"/>
        </w:tabs>
        <w:spacing w:after="0" w:line="360" w:lineRule="auto"/>
        <w:ind w:right="51"/>
        <w:jc w:val="both"/>
        <w:rPr>
          <w:rFonts w:ascii="Palatino Linotype" w:eastAsia="Palatino Linotype" w:hAnsi="Palatino Linotype" w:cs="Palatino Linotype"/>
          <w:sz w:val="24"/>
          <w:szCs w:val="24"/>
        </w:rPr>
      </w:pPr>
    </w:p>
    <w:p w14:paraId="66E783DB" w14:textId="77777777" w:rsidR="00A3628D" w:rsidRDefault="00A3628D" w:rsidP="00A3628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5ABA508F" w14:textId="77777777" w:rsidR="00A3628D" w:rsidRDefault="00A3628D" w:rsidP="00A3628D">
      <w:pPr>
        <w:spacing w:line="360" w:lineRule="auto"/>
        <w:ind w:right="51"/>
        <w:jc w:val="both"/>
        <w:rPr>
          <w:rFonts w:ascii="Palatino Linotype" w:eastAsia="Palatino Linotype" w:hAnsi="Palatino Linotype" w:cs="Palatino Linotype"/>
          <w:sz w:val="24"/>
          <w:szCs w:val="24"/>
        </w:rPr>
      </w:pPr>
    </w:p>
    <w:p w14:paraId="38B15C49" w14:textId="77777777" w:rsidR="00A3628D" w:rsidRDefault="00A3628D" w:rsidP="00A3628D">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72E2A4D" w14:textId="77777777" w:rsidR="00A3628D" w:rsidRDefault="00A3628D" w:rsidP="00A3628D">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1196DEB" w14:textId="77777777" w:rsidR="00A3628D" w:rsidRDefault="00A3628D" w:rsidP="00A3628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w:t>
      </w:r>
      <w:r>
        <w:rPr>
          <w:rFonts w:ascii="Palatino Linotype" w:eastAsia="Palatino Linotype" w:hAnsi="Palatino Linotype" w:cs="Palatino Linotype"/>
          <w:sz w:val="24"/>
          <w:szCs w:val="24"/>
        </w:rPr>
        <w:lastRenderedPageBreak/>
        <w:t>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179A8EB7" w14:textId="77777777" w:rsidR="00A3628D" w:rsidRDefault="00A3628D" w:rsidP="00A3628D">
      <w:pPr>
        <w:tabs>
          <w:tab w:val="left" w:pos="8647"/>
        </w:tabs>
        <w:spacing w:after="0" w:line="360" w:lineRule="auto"/>
        <w:ind w:right="51"/>
        <w:jc w:val="both"/>
        <w:rPr>
          <w:rFonts w:ascii="Palatino Linotype" w:eastAsia="Palatino Linotype" w:hAnsi="Palatino Linotype" w:cs="Palatino Linotype"/>
          <w:sz w:val="24"/>
          <w:szCs w:val="24"/>
        </w:rPr>
      </w:pPr>
    </w:p>
    <w:p w14:paraId="1F61BAC1" w14:textId="77777777" w:rsidR="00A3628D" w:rsidRDefault="00A3628D" w:rsidP="00A3628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14:paraId="03464167"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3947C43E" w14:textId="77777777" w:rsidR="00A3628D" w:rsidRDefault="00A3628D" w:rsidP="00A3628D">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14:paraId="11403E5E" w14:textId="77777777" w:rsidR="00A3628D" w:rsidRDefault="00A3628D" w:rsidP="00A3628D">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68A55D55" w14:textId="77777777" w:rsidR="00A3628D" w:rsidRDefault="00A3628D" w:rsidP="00A3628D">
      <w:pPr>
        <w:spacing w:line="360" w:lineRule="auto"/>
        <w:ind w:right="49"/>
        <w:jc w:val="both"/>
        <w:rPr>
          <w:rFonts w:ascii="Palatino Linotype" w:eastAsia="Palatino Linotype" w:hAnsi="Palatino Linotype" w:cs="Palatino Linotype"/>
          <w:sz w:val="24"/>
          <w:szCs w:val="24"/>
        </w:rPr>
      </w:pPr>
    </w:p>
    <w:p w14:paraId="2AFA8722" w14:textId="77777777" w:rsidR="00A3628D" w:rsidRDefault="00A3628D" w:rsidP="00A3628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w:t>
      </w:r>
      <w:r>
        <w:rPr>
          <w:rFonts w:ascii="Palatino Linotype" w:eastAsia="Palatino Linotype" w:hAnsi="Palatino Linotype" w:cs="Palatino Linotype"/>
          <w:sz w:val="24"/>
          <w:szCs w:val="24"/>
        </w:rPr>
        <w:lastRenderedPageBreak/>
        <w:t xml:space="preserve">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las solicitudes de información </w:t>
      </w:r>
      <w:r>
        <w:rPr>
          <w:rFonts w:ascii="Palatino Linotype" w:eastAsia="Palatino Linotype" w:hAnsi="Palatino Linotype" w:cs="Palatino Linotype"/>
          <w:b/>
          <w:sz w:val="24"/>
          <w:szCs w:val="24"/>
        </w:rPr>
        <w:t>00032/DIFTEOLOYU/IP/2025,</w:t>
      </w:r>
      <w:r>
        <w:rPr>
          <w:rFonts w:ascii="Palatino Linotype" w:eastAsia="Palatino Linotype" w:hAnsi="Palatino Linotype" w:cs="Palatino Linotype"/>
          <w:sz w:val="24"/>
          <w:szCs w:val="24"/>
        </w:rPr>
        <w:t xml:space="preserve"> que han sido materia del presente fallo</w:t>
      </w:r>
    </w:p>
    <w:p w14:paraId="681EE37D" w14:textId="77777777" w:rsidR="00A3628D" w:rsidRDefault="00A3628D" w:rsidP="00A3628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040A1ED6"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134DA4DA" w14:textId="77777777" w:rsidR="00A3628D" w:rsidRDefault="00A3628D" w:rsidP="00A3628D">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14:paraId="24BA0003" w14:textId="77777777" w:rsidR="00A3628D" w:rsidRDefault="00A3628D" w:rsidP="00A3628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14:paraId="0E9F2B24" w14:textId="77777777" w:rsidR="00A3628D" w:rsidRDefault="00A3628D" w:rsidP="00A3628D">
      <w:pPr>
        <w:tabs>
          <w:tab w:val="left" w:pos="8647"/>
        </w:tabs>
        <w:spacing w:after="0" w:line="360" w:lineRule="auto"/>
        <w:ind w:right="51"/>
        <w:jc w:val="both"/>
        <w:rPr>
          <w:rFonts w:ascii="Palatino Linotype" w:eastAsia="Palatino Linotype" w:hAnsi="Palatino Linotype" w:cs="Palatino Linotype"/>
          <w:sz w:val="24"/>
          <w:szCs w:val="24"/>
        </w:rPr>
      </w:pPr>
    </w:p>
    <w:p w14:paraId="0B46B276" w14:textId="77777777" w:rsidR="00A3628D" w:rsidRDefault="00A3628D" w:rsidP="00A3628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Pr>
          <w:rFonts w:ascii="Palatino Linotype" w:eastAsia="Palatino Linotype" w:hAnsi="Palatino Linotype" w:cs="Palatino Linotype"/>
          <w:b/>
          <w:sz w:val="24"/>
          <w:szCs w:val="24"/>
        </w:rPr>
        <w:t>00032/DIFTEOLOYU/IP/2025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14:paraId="32391D0E" w14:textId="77777777" w:rsidR="00A3628D" w:rsidRDefault="00A3628D" w:rsidP="00A3628D">
      <w:pPr>
        <w:tabs>
          <w:tab w:val="left" w:pos="8647"/>
        </w:tabs>
        <w:spacing w:after="0" w:line="360" w:lineRule="auto"/>
        <w:ind w:right="51"/>
        <w:jc w:val="both"/>
        <w:rPr>
          <w:rFonts w:ascii="Palatino Linotype" w:eastAsia="Palatino Linotype" w:hAnsi="Palatino Linotype" w:cs="Palatino Linotype"/>
          <w:sz w:val="24"/>
          <w:szCs w:val="24"/>
        </w:rPr>
      </w:pPr>
    </w:p>
    <w:p w14:paraId="541C60CD" w14:textId="77777777" w:rsidR="00A3628D" w:rsidRPr="00DF23DA" w:rsidRDefault="00A3628D" w:rsidP="00A3628D">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 xml:space="preserve">se le apercibe que en caso de negarse a cumplir la presente resolución o hacerlo de manera parcial, se le impondrá una medida de apremio de conformidad con lo previsto en los artículos 198, 200, fracción III; 214, 215 y 216 de la Ley  de </w:t>
      </w:r>
      <w:r w:rsidRPr="00AB17EE">
        <w:rPr>
          <w:rFonts w:ascii="Palatino Linotype" w:eastAsia="Palatino Linotype" w:hAnsi="Palatino Linotype" w:cs="Palatino Linotype"/>
          <w:b/>
          <w:color w:val="000000"/>
          <w:sz w:val="24"/>
          <w:lang w:val="es-ES_tradnl"/>
        </w:rPr>
        <w:lastRenderedPageBreak/>
        <w:t>Transparencia y Acceso a la Información Pública del Estado de México y Municipios.</w:t>
      </w:r>
    </w:p>
    <w:p w14:paraId="5FBA7395" w14:textId="77777777" w:rsidR="00A3628D" w:rsidRPr="00DF23DA" w:rsidRDefault="00A3628D" w:rsidP="00A3628D">
      <w:pPr>
        <w:tabs>
          <w:tab w:val="left" w:pos="8647"/>
        </w:tabs>
        <w:spacing w:after="0" w:line="360" w:lineRule="auto"/>
        <w:ind w:right="51"/>
        <w:jc w:val="both"/>
        <w:rPr>
          <w:rFonts w:ascii="Palatino Linotype" w:hAnsi="Palatino Linotype" w:cs="Arial"/>
          <w:sz w:val="24"/>
          <w:szCs w:val="24"/>
        </w:rPr>
      </w:pPr>
    </w:p>
    <w:p w14:paraId="0EF1168A" w14:textId="77777777" w:rsidR="00A3628D" w:rsidRPr="00DF23DA" w:rsidRDefault="00A3628D" w:rsidP="00A3628D">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51FA65D4" w14:textId="77777777" w:rsidR="00A3628D" w:rsidRPr="00DF23DA" w:rsidRDefault="00A3628D" w:rsidP="00A3628D">
      <w:pPr>
        <w:spacing w:after="0" w:line="360" w:lineRule="auto"/>
        <w:jc w:val="both"/>
        <w:rPr>
          <w:rFonts w:ascii="Palatino Linotype" w:hAnsi="Palatino Linotype"/>
          <w:sz w:val="24"/>
          <w:szCs w:val="24"/>
          <w:lang w:eastAsia="es-ES_tradnl"/>
        </w:rPr>
      </w:pPr>
    </w:p>
    <w:p w14:paraId="0E214A9D" w14:textId="77777777" w:rsidR="00A3628D" w:rsidRPr="00DF23DA" w:rsidRDefault="00A3628D" w:rsidP="00A3628D">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14:paraId="2E381F49" w14:textId="77777777" w:rsidR="00A3628D" w:rsidRPr="00DF23DA" w:rsidRDefault="00A3628D" w:rsidP="00A3628D">
      <w:pPr>
        <w:spacing w:after="0" w:line="360" w:lineRule="auto"/>
        <w:jc w:val="both"/>
        <w:rPr>
          <w:rFonts w:ascii="Palatino Linotype" w:hAnsi="Palatino Linotype" w:cs="Times New Roman"/>
          <w:sz w:val="24"/>
          <w:szCs w:val="24"/>
          <w:lang w:eastAsia="es-ES_tradnl"/>
        </w:rPr>
      </w:pPr>
    </w:p>
    <w:p w14:paraId="3A14FA7A" w14:textId="77777777" w:rsidR="00A3628D" w:rsidRDefault="00A3628D" w:rsidP="00A3628D">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14:paraId="51D9F4AF"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318CB9AA"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7EBB6B4C" w14:textId="09116C7D" w:rsidR="00A3628D" w:rsidRDefault="00A3628D" w:rsidP="00A3628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0B6013">
        <w:rPr>
          <w:rFonts w:ascii="Palatino Linotype" w:eastAsia="Palatino Linotype" w:hAnsi="Palatino Linotype" w:cs="Palatino Linotype"/>
          <w:sz w:val="24"/>
          <w:szCs w:val="24"/>
        </w:rPr>
        <w:t xml:space="preserve"> </w:t>
      </w:r>
      <w:r w:rsidR="000B6013" w:rsidRPr="000B6013">
        <w:rPr>
          <w:rFonts w:ascii="Palatino Linotype" w:hAnsi="Palatino Linotype" w:cs="Arial"/>
          <w:sz w:val="24"/>
        </w:rPr>
        <w:t>(AUSENCIA JUSTIFICADA)</w:t>
      </w:r>
      <w:r>
        <w:rPr>
          <w:rFonts w:ascii="Palatino Linotype" w:eastAsia="Palatino Linotype" w:hAnsi="Palatino Linotype" w:cs="Palatino Linotype"/>
          <w:sz w:val="24"/>
          <w:szCs w:val="24"/>
        </w:rPr>
        <w:t xml:space="preserve">, EN LA VIGÉSIMA </w:t>
      </w:r>
      <w:r w:rsidR="00042A0F">
        <w:rPr>
          <w:rFonts w:ascii="Palatino Linotype" w:eastAsia="Palatino Linotype" w:hAnsi="Palatino Linotype" w:cs="Palatino Linotype"/>
          <w:sz w:val="24"/>
          <w:szCs w:val="24"/>
        </w:rPr>
        <w:t>CUARTA</w:t>
      </w:r>
      <w:r>
        <w:rPr>
          <w:rFonts w:ascii="Palatino Linotype" w:eastAsia="Palatino Linotype" w:hAnsi="Palatino Linotype" w:cs="Palatino Linotype"/>
          <w:sz w:val="24"/>
          <w:szCs w:val="24"/>
        </w:rPr>
        <w:t xml:space="preserve"> SESIÓN ORDINARIA CELEBRADA EL </w:t>
      </w:r>
      <w:r w:rsidR="00042A0F">
        <w:rPr>
          <w:rFonts w:ascii="Palatino Linotype" w:eastAsia="Palatino Linotype" w:hAnsi="Palatino Linotype" w:cs="Palatino Linotype"/>
          <w:sz w:val="24"/>
          <w:szCs w:val="24"/>
        </w:rPr>
        <w:t>DOS DE JUL</w:t>
      </w:r>
      <w:r>
        <w:rPr>
          <w:rFonts w:ascii="Palatino Linotype" w:eastAsia="Palatino Linotype" w:hAnsi="Palatino Linotype" w:cs="Palatino Linotype"/>
          <w:sz w:val="24"/>
          <w:szCs w:val="24"/>
        </w:rPr>
        <w:t>IO DE DOS MIL VEINTICINCO, ANTE EL SECRETARIO TÉCNICO DEL PLENO, ALEXIS TAPIA RAMÍREZ. ------------------------------------------------------------------------------------------------------------------------------------------------------------------------------------------------------------------------------------------------------------------------------------------------------------------------------------------------------------------------------------------------------------------------------------------------------------------------------------------------------------------------------------------------------------------------------------------------------------------------------------------------------------------------------------------------------------------------------------------------------------------------------------------------------------------------------------------------------------------------------------------------------------------------------------------------------------------------------------</w:t>
      </w:r>
      <w:r w:rsidR="000B6013">
        <w:rPr>
          <w:rFonts w:ascii="Palatino Linotype" w:eastAsia="Palatino Linotype" w:hAnsi="Palatino Linotype" w:cs="Palatino Linotype"/>
          <w:sz w:val="24"/>
          <w:szCs w:val="24"/>
        </w:rPr>
        <w:t>--------------------------------------------------------------------------------------------------------------------------------------</w:t>
      </w:r>
      <w:r w:rsidR="00AF209B">
        <w:rPr>
          <w:rFonts w:ascii="Palatino Linotype" w:hAnsi="Palatino Linotype" w:cs="Arial"/>
          <w:sz w:val="24"/>
          <w:szCs w:val="24"/>
        </w:rPr>
        <w:t>-------------------------------------------------------------------------------------------------------------------------------------------------------------------------------------------------------------------------------------------------------------------------------------------------------------------------------------------------------------------------------------------------------------------------------------------------------------------------------------------------------------------------------------------------------------------------------------</w:t>
      </w:r>
    </w:p>
    <w:p w14:paraId="771039D1" w14:textId="77777777" w:rsidR="00A3628D" w:rsidRPr="00D2150D" w:rsidRDefault="00A3628D" w:rsidP="00A3628D">
      <w:pPr>
        <w:spacing w:after="0" w:line="360" w:lineRule="auto"/>
        <w:jc w:val="both"/>
        <w:rPr>
          <w:rFonts w:ascii="Palatino Linotype" w:eastAsia="Palatino Linotype" w:hAnsi="Palatino Linotype" w:cs="Palatino Linotype"/>
          <w:sz w:val="16"/>
          <w:szCs w:val="20"/>
        </w:rPr>
      </w:pPr>
      <w:r w:rsidRPr="00D2150D">
        <w:rPr>
          <w:rFonts w:ascii="Palatino Linotype" w:eastAsia="Palatino Linotype" w:hAnsi="Palatino Linotype" w:cs="Palatino Linotype"/>
          <w:sz w:val="16"/>
          <w:szCs w:val="20"/>
        </w:rPr>
        <w:t>JMV/CCR/LMST</w:t>
      </w:r>
    </w:p>
    <w:p w14:paraId="448706D4"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0B1DCF42"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11A4BB18" w14:textId="77777777" w:rsidR="00A3628D" w:rsidRDefault="00A3628D" w:rsidP="00A3628D">
      <w:pPr>
        <w:spacing w:after="0" w:line="360" w:lineRule="auto"/>
        <w:jc w:val="both"/>
        <w:rPr>
          <w:rFonts w:ascii="Palatino Linotype" w:eastAsia="Palatino Linotype" w:hAnsi="Palatino Linotype" w:cs="Palatino Linotype"/>
          <w:sz w:val="24"/>
          <w:szCs w:val="24"/>
        </w:rPr>
      </w:pPr>
    </w:p>
    <w:p w14:paraId="77AA5052" w14:textId="77777777" w:rsidR="00A3628D" w:rsidRDefault="00A3628D" w:rsidP="00A3628D">
      <w:pPr>
        <w:spacing w:after="0"/>
        <w:rPr>
          <w:rFonts w:ascii="Palatino Linotype" w:eastAsia="Palatino Linotype" w:hAnsi="Palatino Linotype" w:cs="Palatino Linotype"/>
        </w:rPr>
      </w:pPr>
    </w:p>
    <w:p w14:paraId="5BD85A5D" w14:textId="77777777" w:rsidR="00A3628D" w:rsidRDefault="00A3628D" w:rsidP="00A3628D">
      <w:pPr>
        <w:spacing w:after="0"/>
        <w:rPr>
          <w:rFonts w:ascii="Palatino Linotype" w:eastAsia="Palatino Linotype" w:hAnsi="Palatino Linotype" w:cs="Palatino Linotype"/>
        </w:rPr>
      </w:pPr>
    </w:p>
    <w:p w14:paraId="160F964D" w14:textId="77777777" w:rsidR="00A3628D" w:rsidRDefault="00A3628D" w:rsidP="00A3628D">
      <w:pPr>
        <w:spacing w:after="0"/>
        <w:rPr>
          <w:rFonts w:ascii="Palatino Linotype" w:eastAsia="Palatino Linotype" w:hAnsi="Palatino Linotype" w:cs="Palatino Linotype"/>
        </w:rPr>
      </w:pPr>
    </w:p>
    <w:p w14:paraId="6F05CCC1" w14:textId="77777777" w:rsidR="00A3628D" w:rsidRDefault="00A3628D" w:rsidP="00A3628D">
      <w:pPr>
        <w:spacing w:after="0"/>
        <w:rPr>
          <w:rFonts w:ascii="Palatino Linotype" w:eastAsia="Palatino Linotype" w:hAnsi="Palatino Linotype" w:cs="Palatino Linotype"/>
        </w:rPr>
      </w:pPr>
    </w:p>
    <w:p w14:paraId="44E34761" w14:textId="77777777" w:rsidR="00A3628D" w:rsidRDefault="00A3628D" w:rsidP="00A3628D"/>
    <w:p w14:paraId="5E36374B" w14:textId="77777777" w:rsidR="00A3628D" w:rsidRDefault="00A3628D" w:rsidP="00A3628D"/>
    <w:p w14:paraId="60F41707" w14:textId="77777777" w:rsidR="00A3628D" w:rsidRDefault="00A3628D" w:rsidP="00A3628D"/>
    <w:p w14:paraId="0F245F22" w14:textId="77777777" w:rsidR="00A3628D" w:rsidRDefault="00A3628D" w:rsidP="00A3628D"/>
    <w:p w14:paraId="01624AEF" w14:textId="77777777" w:rsidR="00A3628D" w:rsidRDefault="00A3628D" w:rsidP="00A3628D"/>
    <w:p w14:paraId="32E1736A" w14:textId="77777777" w:rsidR="00A3628D" w:rsidRDefault="00A3628D" w:rsidP="00A3628D"/>
    <w:p w14:paraId="0E157304" w14:textId="77777777" w:rsidR="00A3628D" w:rsidRDefault="00A3628D" w:rsidP="00A3628D"/>
    <w:p w14:paraId="67EA26B2" w14:textId="77777777" w:rsidR="00A3628D" w:rsidRDefault="00A3628D" w:rsidP="00A3628D"/>
    <w:p w14:paraId="1CDB72BD" w14:textId="77777777" w:rsidR="00AC5F47" w:rsidRDefault="00AC5F47"/>
    <w:sectPr w:rsidR="00AC5F47">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418A0" w14:textId="77777777" w:rsidR="00A3628D" w:rsidRDefault="00A3628D" w:rsidP="00A3628D">
      <w:pPr>
        <w:spacing w:after="0" w:line="240" w:lineRule="auto"/>
      </w:pPr>
      <w:r>
        <w:separator/>
      </w:r>
    </w:p>
  </w:endnote>
  <w:endnote w:type="continuationSeparator" w:id="0">
    <w:p w14:paraId="6F17AB4F" w14:textId="77777777" w:rsidR="00A3628D" w:rsidRDefault="00A3628D" w:rsidP="00A36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FC046" w14:textId="77777777" w:rsidR="00AF209B" w:rsidRDefault="00A3628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F4BA8">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F4BA8">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13402F66" w14:textId="77777777" w:rsidR="00AF209B" w:rsidRDefault="00AF209B">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308EA" w14:textId="77777777" w:rsidR="00AF209B" w:rsidRDefault="00A3628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F4BA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F4BA8">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3669ED86" w14:textId="77777777" w:rsidR="00AF209B" w:rsidRDefault="00AF209B">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979FA" w14:textId="77777777" w:rsidR="00A3628D" w:rsidRDefault="00A3628D" w:rsidP="00A3628D">
      <w:pPr>
        <w:spacing w:after="0" w:line="240" w:lineRule="auto"/>
      </w:pPr>
      <w:r>
        <w:separator/>
      </w:r>
    </w:p>
  </w:footnote>
  <w:footnote w:type="continuationSeparator" w:id="0">
    <w:p w14:paraId="0B2DD082" w14:textId="77777777" w:rsidR="00A3628D" w:rsidRDefault="00A3628D" w:rsidP="00A36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0673D" w14:textId="77777777" w:rsidR="00AF209B" w:rsidRDefault="00AF209B">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2F5FB5AB" w14:textId="77777777">
      <w:trPr>
        <w:trHeight w:val="227"/>
      </w:trPr>
      <w:tc>
        <w:tcPr>
          <w:tcW w:w="5246" w:type="dxa"/>
        </w:tcPr>
        <w:p w14:paraId="1E557C55" w14:textId="77777777" w:rsidR="00AF209B" w:rsidRDefault="00A3628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0C38D3EB" wp14:editId="7B26906B">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508F954E" w14:textId="77777777" w:rsidR="00AF209B" w:rsidRDefault="00A3628D" w:rsidP="00A3628D">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06335/INFOEM/IP/RR/2025</w:t>
          </w:r>
        </w:p>
      </w:tc>
    </w:tr>
    <w:tr w:rsidR="0069244D" w14:paraId="009997DF" w14:textId="77777777">
      <w:trPr>
        <w:trHeight w:val="242"/>
      </w:trPr>
      <w:tc>
        <w:tcPr>
          <w:tcW w:w="5246" w:type="dxa"/>
        </w:tcPr>
        <w:p w14:paraId="05C91CEB" w14:textId="77777777" w:rsidR="00AF209B" w:rsidRDefault="00A3628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0F6714E7" w14:textId="77777777" w:rsidR="00AF209B" w:rsidRDefault="00A3628D">
          <w:pPr>
            <w:spacing w:after="120" w:line="256" w:lineRule="auto"/>
            <w:ind w:left="-486" w:right="214" w:firstLine="284"/>
            <w:jc w:val="right"/>
            <w:rPr>
              <w:rFonts w:ascii="Palatino Linotype" w:eastAsia="Palatino Linotype" w:hAnsi="Palatino Linotype" w:cs="Palatino Linotype"/>
              <w:b/>
              <w:sz w:val="24"/>
              <w:szCs w:val="24"/>
            </w:rPr>
          </w:pPr>
          <w:r w:rsidRPr="00A3628D">
            <w:rPr>
              <w:rFonts w:ascii="Palatino Linotype" w:eastAsia="Palatino Linotype" w:hAnsi="Palatino Linotype" w:cs="Palatino Linotype"/>
              <w:b/>
              <w:color w:val="000000"/>
              <w:sz w:val="24"/>
              <w:szCs w:val="24"/>
            </w:rPr>
            <w:t>Sistema Municipal para el Desarrollo Integral de la Familia de Teoloyucan</w:t>
          </w:r>
        </w:p>
      </w:tc>
    </w:tr>
    <w:tr w:rsidR="0069244D" w14:paraId="20F970C5" w14:textId="77777777">
      <w:trPr>
        <w:trHeight w:val="342"/>
      </w:trPr>
      <w:tc>
        <w:tcPr>
          <w:tcW w:w="5246" w:type="dxa"/>
        </w:tcPr>
        <w:p w14:paraId="1F63F119" w14:textId="77777777" w:rsidR="00AF209B" w:rsidRDefault="00A3628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58251091" w14:textId="77777777" w:rsidR="00AF209B" w:rsidRDefault="00A3628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1C67E885" w14:textId="77777777" w:rsidR="00AF209B" w:rsidRDefault="00AF209B">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3D3B7" w14:textId="77777777" w:rsidR="00AF209B" w:rsidRDefault="00A3628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117F65F7" wp14:editId="5F776967">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2DEF2B21" w14:textId="77777777">
      <w:trPr>
        <w:trHeight w:val="227"/>
      </w:trPr>
      <w:tc>
        <w:tcPr>
          <w:tcW w:w="5104" w:type="dxa"/>
        </w:tcPr>
        <w:p w14:paraId="46BDE321" w14:textId="77777777" w:rsidR="00AF209B" w:rsidRDefault="00A3628D">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7DBF460C" w14:textId="77777777" w:rsidR="00AF209B" w:rsidRDefault="00A3628D" w:rsidP="00A3628D">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06335/INFOEM/IP/RR/2025</w:t>
          </w:r>
        </w:p>
      </w:tc>
    </w:tr>
    <w:tr w:rsidR="0069244D" w14:paraId="6D27C088" w14:textId="77777777">
      <w:trPr>
        <w:trHeight w:val="242"/>
      </w:trPr>
      <w:tc>
        <w:tcPr>
          <w:tcW w:w="5104" w:type="dxa"/>
        </w:tcPr>
        <w:p w14:paraId="4B5652B3" w14:textId="77777777" w:rsidR="00AF209B" w:rsidRDefault="00A3628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49AF8255" w14:textId="77777777" w:rsidR="00AF209B" w:rsidRDefault="00A3628D">
          <w:pPr>
            <w:spacing w:after="120" w:line="256" w:lineRule="auto"/>
            <w:ind w:left="-486" w:right="214" w:firstLine="284"/>
            <w:jc w:val="right"/>
            <w:rPr>
              <w:rFonts w:ascii="Palatino Linotype" w:eastAsia="Palatino Linotype" w:hAnsi="Palatino Linotype" w:cs="Palatino Linotype"/>
              <w:b/>
            </w:rPr>
          </w:pPr>
          <w:r w:rsidRPr="00A3628D">
            <w:rPr>
              <w:rFonts w:ascii="Palatino Linotype" w:eastAsia="Palatino Linotype" w:hAnsi="Palatino Linotype" w:cs="Palatino Linotype"/>
              <w:b/>
              <w:color w:val="000000"/>
              <w:sz w:val="24"/>
              <w:szCs w:val="24"/>
            </w:rPr>
            <w:t>Sistema Municipal para el Desarrollo Integral de la Familia de Teoloyucan</w:t>
          </w:r>
        </w:p>
      </w:tc>
    </w:tr>
    <w:tr w:rsidR="0069244D" w14:paraId="724E2323" w14:textId="77777777">
      <w:trPr>
        <w:trHeight w:val="342"/>
      </w:trPr>
      <w:tc>
        <w:tcPr>
          <w:tcW w:w="5104" w:type="dxa"/>
        </w:tcPr>
        <w:p w14:paraId="29121074" w14:textId="77777777" w:rsidR="00AF209B" w:rsidRDefault="00A3628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350DED1C" w14:textId="03CD953F" w:rsidR="00AF209B" w:rsidRDefault="004F4BA8">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w:t>
          </w:r>
          <w:r w:rsidR="00A3628D">
            <w:rPr>
              <w:rFonts w:ascii="Palatino Linotype" w:eastAsia="Palatino Linotype" w:hAnsi="Palatino Linotype" w:cs="Palatino Linotype"/>
              <w:b/>
            </w:rPr>
            <w:t xml:space="preserve"> </w:t>
          </w:r>
        </w:p>
      </w:tc>
    </w:tr>
    <w:tr w:rsidR="0069244D" w14:paraId="71A65775" w14:textId="77777777">
      <w:trPr>
        <w:trHeight w:val="342"/>
      </w:trPr>
      <w:tc>
        <w:tcPr>
          <w:tcW w:w="5104" w:type="dxa"/>
        </w:tcPr>
        <w:p w14:paraId="3AA6D8FF" w14:textId="77777777" w:rsidR="00AF209B" w:rsidRDefault="00A3628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2DDF7C0A" w14:textId="77777777" w:rsidR="00AF209B" w:rsidRDefault="00A3628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15761CD1" w14:textId="77777777" w:rsidR="00AF209B" w:rsidRDefault="00AF209B">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28D"/>
    <w:rsid w:val="00042A0F"/>
    <w:rsid w:val="000B6013"/>
    <w:rsid w:val="004F4BA8"/>
    <w:rsid w:val="008B4F31"/>
    <w:rsid w:val="00A3628D"/>
    <w:rsid w:val="00AC5F47"/>
    <w:rsid w:val="00AF20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1DBD"/>
  <w15:chartTrackingRefBased/>
  <w15:docId w15:val="{51113047-12C6-47B1-9EDD-18F329E9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628D"/>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A3628D"/>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3628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A3628D"/>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362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628D"/>
    <w:rPr>
      <w:rFonts w:ascii="Calibri" w:eastAsia="Calibri" w:hAnsi="Calibri" w:cs="Calibri"/>
      <w:lang w:eastAsia="es-MX"/>
    </w:rPr>
  </w:style>
  <w:style w:type="paragraph" w:styleId="Piedepgina">
    <w:name w:val="footer"/>
    <w:basedOn w:val="Normal"/>
    <w:link w:val="PiedepginaCar"/>
    <w:uiPriority w:val="99"/>
    <w:unhideWhenUsed/>
    <w:rsid w:val="00A362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628D"/>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3435</Words>
  <Characters>18896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5</cp:revision>
  <dcterms:created xsi:type="dcterms:W3CDTF">2025-06-12T17:28:00Z</dcterms:created>
  <dcterms:modified xsi:type="dcterms:W3CDTF">2025-07-16T21:10:00Z</dcterms:modified>
</cp:coreProperties>
</file>