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tabs>
          <w:tab w:val="left" w:pos="5812"/>
        </w:tabs>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Visto</w:t>
      </w:r>
      <w:r w:rsidRPr="0034046B">
        <w:rPr>
          <w:rFonts w:ascii="Palatino Linotype" w:eastAsia="Palatino Linotype" w:hAnsi="Palatino Linotype" w:cs="Palatino Linotype"/>
          <w:sz w:val="22"/>
          <w:szCs w:val="22"/>
        </w:rPr>
        <w:t xml:space="preserve"> el expediente formado con motivo del recurso de revisión </w:t>
      </w:r>
      <w:r w:rsidRPr="0034046B">
        <w:rPr>
          <w:rFonts w:ascii="Palatino Linotype" w:eastAsia="Palatino Linotype" w:hAnsi="Palatino Linotype" w:cs="Palatino Linotype"/>
          <w:b/>
          <w:sz w:val="22"/>
          <w:szCs w:val="22"/>
        </w:rPr>
        <w:t>07379/INFOEM/IP/RR/2025</w:t>
      </w:r>
      <w:r w:rsidRPr="0034046B">
        <w:rPr>
          <w:rFonts w:ascii="Palatino Linotype" w:eastAsia="Palatino Linotype" w:hAnsi="Palatino Linotype" w:cs="Palatino Linotype"/>
          <w:sz w:val="22"/>
          <w:szCs w:val="22"/>
        </w:rPr>
        <w:t>, interpuesto por</w:t>
      </w:r>
      <w:r w:rsidRPr="0034046B">
        <w:rPr>
          <w:rFonts w:ascii="Palatino Linotype" w:eastAsia="Palatino Linotype" w:hAnsi="Palatino Linotype" w:cs="Palatino Linotype"/>
          <w:b/>
          <w:sz w:val="22"/>
          <w:szCs w:val="22"/>
        </w:rPr>
        <w:t xml:space="preserve"> </w:t>
      </w:r>
      <w:r w:rsidR="001E2572" w:rsidRPr="001E2572">
        <w:rPr>
          <w:rFonts w:ascii="Palatino Linotype" w:eastAsia="Palatino Linotype" w:hAnsi="Palatino Linotype" w:cs="Palatino Linotype"/>
          <w:b/>
          <w:sz w:val="22"/>
          <w:szCs w:val="22"/>
        </w:rPr>
        <w:t xml:space="preserve">XXXX XXXXXXXX X </w:t>
      </w:r>
      <w:r w:rsidRPr="0034046B">
        <w:rPr>
          <w:rFonts w:ascii="Palatino Linotype" w:eastAsia="Palatino Linotype" w:hAnsi="Palatino Linotype" w:cs="Palatino Linotype"/>
          <w:sz w:val="22"/>
          <w:szCs w:val="22"/>
        </w:rPr>
        <w:t>en lo sucesivo,</w:t>
      </w:r>
      <w:r w:rsidRPr="0034046B">
        <w:rPr>
          <w:rFonts w:ascii="Palatino Linotype" w:eastAsia="Palatino Linotype" w:hAnsi="Palatino Linotype" w:cs="Palatino Linotype"/>
          <w:b/>
          <w:sz w:val="22"/>
          <w:szCs w:val="22"/>
        </w:rPr>
        <w:t xml:space="preserve"> </w:t>
      </w:r>
      <w:r w:rsidRPr="0034046B">
        <w:rPr>
          <w:rFonts w:ascii="Palatino Linotype" w:eastAsia="Palatino Linotype" w:hAnsi="Palatino Linotype" w:cs="Palatino Linotype"/>
          <w:sz w:val="22"/>
          <w:szCs w:val="22"/>
        </w:rPr>
        <w:t xml:space="preserve">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en contra de la respuesta a la solicitud de información con número de folio</w:t>
      </w:r>
      <w:r w:rsidRPr="0034046B">
        <w:rPr>
          <w:rFonts w:ascii="Palatino Linotype" w:eastAsia="Palatino Linotype" w:hAnsi="Palatino Linotype" w:cs="Palatino Linotype"/>
          <w:b/>
          <w:sz w:val="22"/>
          <w:szCs w:val="22"/>
        </w:rPr>
        <w:t xml:space="preserve"> 03093/TOLUCA/IP/2025, </w:t>
      </w:r>
      <w:r w:rsidRPr="0034046B">
        <w:rPr>
          <w:rFonts w:ascii="Palatino Linotype" w:eastAsia="Palatino Linotype" w:hAnsi="Palatino Linotype" w:cs="Palatino Linotype"/>
          <w:sz w:val="22"/>
          <w:szCs w:val="22"/>
        </w:rPr>
        <w:t xml:space="preserve">por parte del </w:t>
      </w:r>
      <w:r w:rsidRPr="0034046B">
        <w:rPr>
          <w:rFonts w:ascii="Palatino Linotype" w:eastAsia="Palatino Linotype" w:hAnsi="Palatino Linotype" w:cs="Palatino Linotype"/>
          <w:b/>
          <w:sz w:val="22"/>
          <w:szCs w:val="22"/>
        </w:rPr>
        <w:t xml:space="preserve">Ayuntamiento de Toluca, </w:t>
      </w:r>
      <w:r w:rsidRPr="0034046B">
        <w:rPr>
          <w:rFonts w:ascii="Palatino Linotype" w:eastAsia="Palatino Linotype" w:hAnsi="Palatino Linotype" w:cs="Palatino Linotype"/>
          <w:sz w:val="22"/>
          <w:szCs w:val="22"/>
        </w:rPr>
        <w:t xml:space="preserve">en lo sucesivo el </w:t>
      </w:r>
      <w:r w:rsidRPr="0034046B">
        <w:rPr>
          <w:rFonts w:ascii="Palatino Linotype" w:eastAsia="Palatino Linotype" w:hAnsi="Palatino Linotype" w:cs="Palatino Linotype"/>
          <w:b/>
          <w:sz w:val="22"/>
          <w:szCs w:val="22"/>
        </w:rPr>
        <w:t xml:space="preserve">Sujeto Obligado, </w:t>
      </w:r>
      <w:r w:rsidRPr="0034046B">
        <w:rPr>
          <w:rFonts w:ascii="Palatino Linotype" w:eastAsia="Palatino Linotype" w:hAnsi="Palatino Linotype" w:cs="Palatino Linotype"/>
          <w:sz w:val="22"/>
          <w:szCs w:val="22"/>
        </w:rPr>
        <w:t xml:space="preserve">se procede a dictar la presente resolución con base en los siguientes: </w:t>
      </w:r>
    </w:p>
    <w:p w:rsidR="00052CA1" w:rsidRPr="0034046B" w:rsidRDefault="00052CA1">
      <w:pPr>
        <w:tabs>
          <w:tab w:val="left" w:pos="5812"/>
        </w:tabs>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center"/>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I. A N T E C E D E N T E S</w:t>
      </w:r>
    </w:p>
    <w:p w:rsidR="00052CA1" w:rsidRPr="0034046B" w:rsidRDefault="00052CA1">
      <w:pPr>
        <w:spacing w:line="360" w:lineRule="auto"/>
        <w:jc w:val="center"/>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bookmarkStart w:id="0" w:name="_heading=h.4d34og8" w:colFirst="0" w:colLast="0"/>
      <w:bookmarkEnd w:id="0"/>
      <w:r w:rsidRPr="0034046B">
        <w:rPr>
          <w:rFonts w:ascii="Palatino Linotype" w:eastAsia="Palatino Linotype" w:hAnsi="Palatino Linotype" w:cs="Palatino Linotype"/>
          <w:b/>
          <w:sz w:val="22"/>
          <w:szCs w:val="22"/>
        </w:rPr>
        <w:t>1. Solicitud de acceso a la información.</w:t>
      </w:r>
      <w:r w:rsidRPr="0034046B">
        <w:rPr>
          <w:rFonts w:ascii="Palatino Linotype" w:eastAsia="Palatino Linotype" w:hAnsi="Palatino Linotype" w:cs="Palatino Linotype"/>
          <w:sz w:val="22"/>
          <w:szCs w:val="22"/>
        </w:rPr>
        <w:t xml:space="preserve"> El </w:t>
      </w:r>
      <w:r w:rsidRPr="0034046B">
        <w:rPr>
          <w:rFonts w:ascii="Palatino Linotype" w:eastAsia="Palatino Linotype" w:hAnsi="Palatino Linotype" w:cs="Palatino Linotype"/>
          <w:b/>
          <w:sz w:val="22"/>
          <w:szCs w:val="22"/>
        </w:rPr>
        <w:t>veintiocho de mayo de dos mil veinticinco,</w:t>
      </w:r>
      <w:r w:rsidRPr="0034046B">
        <w:rPr>
          <w:rFonts w:ascii="Palatino Linotype" w:eastAsia="Palatino Linotype" w:hAnsi="Palatino Linotype" w:cs="Palatino Linotype"/>
          <w:sz w:val="22"/>
          <w:szCs w:val="22"/>
        </w:rPr>
        <w:t xml:space="preserve"> la parte </w:t>
      </w:r>
      <w:r w:rsidRPr="0034046B">
        <w:rPr>
          <w:rFonts w:ascii="Palatino Linotype" w:eastAsia="Palatino Linotype" w:hAnsi="Palatino Linotype" w:cs="Palatino Linotype"/>
          <w:b/>
          <w:sz w:val="22"/>
          <w:szCs w:val="22"/>
        </w:rPr>
        <w:t xml:space="preserve">Recurrente </w:t>
      </w:r>
      <w:r w:rsidRPr="0034046B">
        <w:rPr>
          <w:rFonts w:ascii="Palatino Linotype" w:eastAsia="Palatino Linotype" w:hAnsi="Palatino Linotype" w:cs="Palatino Linotype"/>
          <w:sz w:val="22"/>
          <w:szCs w:val="22"/>
        </w:rPr>
        <w:t xml:space="preserve">presentó, a través de la Plataforma Nacional de Transparencia vinculado al Sistema de Acceso a la Información Mexiquense, en lo subsecuente el </w:t>
      </w:r>
      <w:r w:rsidRPr="0034046B">
        <w:rPr>
          <w:rFonts w:ascii="Palatino Linotype" w:eastAsia="Palatino Linotype" w:hAnsi="Palatino Linotype" w:cs="Palatino Linotype"/>
          <w:b/>
          <w:sz w:val="22"/>
          <w:szCs w:val="22"/>
        </w:rPr>
        <w:t>SAIMEX,</w:t>
      </w:r>
      <w:r w:rsidRPr="0034046B">
        <w:rPr>
          <w:rFonts w:ascii="Palatino Linotype" w:eastAsia="Palatino Linotype" w:hAnsi="Palatino Linotype" w:cs="Palatino Linotype"/>
          <w:sz w:val="22"/>
          <w:szCs w:val="22"/>
        </w:rPr>
        <w:t xml:space="preserve"> ante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la solicitud de acceso a la información pública, mediante la cual requirió la información siguiente: </w:t>
      </w:r>
    </w:p>
    <w:p w:rsidR="00052CA1" w:rsidRPr="0034046B" w:rsidRDefault="00052CA1">
      <w:pPr>
        <w:ind w:left="567" w:right="902"/>
        <w:jc w:val="both"/>
        <w:rPr>
          <w:rFonts w:ascii="Palatino Linotype" w:eastAsia="Palatino Linotype" w:hAnsi="Palatino Linotype" w:cs="Palatino Linotype"/>
          <w:i/>
          <w:sz w:val="22"/>
          <w:szCs w:val="22"/>
        </w:rPr>
      </w:pPr>
      <w:bookmarkStart w:id="1" w:name="_heading=h.gjdgxs" w:colFirst="0" w:colLast="0"/>
      <w:bookmarkEnd w:id="1"/>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i/>
          <w:sz w:val="22"/>
          <w:szCs w:val="22"/>
        </w:rPr>
        <w:t xml:space="preserve">“comprobante de pago de finiquito de norma sofia perez martinez y sus hermanos jorge alberto y oscar perez martinez, de su cuñada, diana laura ramirez alvarez, y del aviador ivan gonzalez neria, pareja de cielo jarely aranza mendez.” (sic) </w:t>
      </w:r>
    </w:p>
    <w:p w:rsidR="00052CA1" w:rsidRPr="0034046B" w:rsidRDefault="00052CA1">
      <w:pPr>
        <w:spacing w:line="360" w:lineRule="auto"/>
        <w:jc w:val="both"/>
        <w:rPr>
          <w:rFonts w:ascii="Palatino Linotype" w:eastAsia="Palatino Linotype" w:hAnsi="Palatino Linotype" w:cs="Palatino Linotype"/>
          <w:b/>
          <w:sz w:val="22"/>
          <w:szCs w:val="22"/>
        </w:rPr>
      </w:pPr>
      <w:bookmarkStart w:id="2" w:name="_heading=h.3dy6vkm" w:colFirst="0" w:colLast="0"/>
      <w:bookmarkEnd w:id="2"/>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Modalidad de Entrega: </w:t>
      </w:r>
      <w:r w:rsidRPr="0034046B">
        <w:rPr>
          <w:rFonts w:ascii="Palatino Linotype" w:eastAsia="Palatino Linotype" w:hAnsi="Palatino Linotype" w:cs="Palatino Linotype"/>
          <w:sz w:val="22"/>
          <w:szCs w:val="22"/>
        </w:rPr>
        <w:t xml:space="preserve">A través del </w:t>
      </w:r>
      <w:r w:rsidRPr="0034046B">
        <w:rPr>
          <w:rFonts w:ascii="Palatino Linotype" w:eastAsia="Palatino Linotype" w:hAnsi="Palatino Linotype" w:cs="Palatino Linotype"/>
          <w:b/>
          <w:sz w:val="22"/>
          <w:szCs w:val="22"/>
        </w:rPr>
        <w:t>SAIMEX</w:t>
      </w:r>
      <w:r w:rsidRPr="0034046B">
        <w:rPr>
          <w:rFonts w:ascii="Palatino Linotype" w:eastAsia="Palatino Linotype" w:hAnsi="Palatino Linotype" w:cs="Palatino Linotype"/>
          <w:sz w:val="22"/>
          <w:szCs w:val="22"/>
        </w:rPr>
        <w:t>.</w:t>
      </w:r>
    </w:p>
    <w:p w:rsidR="00052CA1" w:rsidRPr="0034046B" w:rsidRDefault="00052CA1">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b/>
          <w:sz w:val="22"/>
          <w:szCs w:val="22"/>
        </w:rPr>
      </w:pPr>
    </w:p>
    <w:p w:rsidR="00052CA1" w:rsidRPr="0034046B" w:rsidRDefault="00F361C7">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2. Respuesta. </w:t>
      </w:r>
      <w:r w:rsidRPr="0034046B">
        <w:rPr>
          <w:rFonts w:ascii="Palatino Linotype" w:eastAsia="Palatino Linotype" w:hAnsi="Palatino Linotype" w:cs="Palatino Linotype"/>
          <w:sz w:val="22"/>
          <w:szCs w:val="22"/>
        </w:rPr>
        <w:t xml:space="preserve">El </w:t>
      </w:r>
      <w:r w:rsidRPr="0034046B">
        <w:rPr>
          <w:rFonts w:ascii="Palatino Linotype" w:eastAsia="Palatino Linotype" w:hAnsi="Palatino Linotype" w:cs="Palatino Linotype"/>
          <w:b/>
          <w:sz w:val="22"/>
          <w:szCs w:val="22"/>
        </w:rPr>
        <w:t>dieciocho de junio de dos mil veinticinco,</w:t>
      </w:r>
      <w:r w:rsidRPr="0034046B">
        <w:rPr>
          <w:rFonts w:ascii="Palatino Linotype" w:eastAsia="Palatino Linotype" w:hAnsi="Palatino Linotype" w:cs="Palatino Linotype"/>
          <w:sz w:val="22"/>
          <w:szCs w:val="22"/>
        </w:rPr>
        <w:t xml:space="preserve"> el </w:t>
      </w:r>
      <w:r w:rsidRPr="0034046B">
        <w:rPr>
          <w:rFonts w:ascii="Palatino Linotype" w:eastAsia="Palatino Linotype" w:hAnsi="Palatino Linotype" w:cs="Palatino Linotype"/>
          <w:b/>
          <w:sz w:val="22"/>
          <w:szCs w:val="22"/>
        </w:rPr>
        <w:t xml:space="preserve">Sujeto Obligado </w:t>
      </w:r>
      <w:r w:rsidRPr="0034046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En atención a la solicitud con folio 03093/TOLUCA/IP/2025, me permito adjuntar al presente la respuesta correspondiente, Sin más por el momento, reciba un saludo.</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ATENTAMENTE</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Dr. Nahum Miguel Mendoza Morales” (sic)</w:t>
      </w:r>
    </w:p>
    <w:p w:rsidR="00052CA1" w:rsidRPr="0034046B" w:rsidRDefault="00052CA1">
      <w:pPr>
        <w:spacing w:line="360" w:lineRule="auto"/>
        <w:ind w:left="567" w:right="49"/>
        <w:jc w:val="both"/>
        <w:rPr>
          <w:rFonts w:ascii="Palatino Linotype" w:eastAsia="Palatino Linotype" w:hAnsi="Palatino Linotype" w:cs="Palatino Linotype"/>
          <w:b/>
          <w:sz w:val="22"/>
          <w:szCs w:val="22"/>
        </w:rPr>
      </w:pPr>
    </w:p>
    <w:p w:rsidR="00052CA1" w:rsidRPr="0034046B" w:rsidRDefault="00F361C7">
      <w:pPr>
        <w:spacing w:line="360" w:lineRule="auto"/>
        <w:ind w:left="567" w:right="49"/>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Archivo adjunto:</w:t>
      </w:r>
    </w:p>
    <w:p w:rsidR="00052CA1" w:rsidRPr="0034046B" w:rsidRDefault="00F361C7">
      <w:pPr>
        <w:spacing w:line="360" w:lineRule="auto"/>
        <w:ind w:left="567" w:right="90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 xml:space="preserve">“R. 03093. 2025.pdf”: </w:t>
      </w:r>
      <w:r w:rsidRPr="0034046B">
        <w:rPr>
          <w:rFonts w:ascii="Palatino Linotype" w:eastAsia="Palatino Linotype" w:hAnsi="Palatino Linotype" w:cs="Palatino Linotype"/>
          <w:sz w:val="22"/>
          <w:szCs w:val="22"/>
        </w:rPr>
        <w:t>Oficio de fecha dieciocho de junio de dos mil veinticinco, suscrito por el Titular de la Unidad de Transparencia, en el que manifestó que la Dirección General de Administración informó que después de haber realizado una búsqueda exhaustiva y razonable en los archivos que obran la Dirección de Recursos Humanos, no se cuenta con dicha información, toda vez que no se encuentra dentro de sus funciones y atribuciones, referidas en el manual de Organización de la Dirección General de Administración, por lo que no es posible entregarla.</w:t>
      </w:r>
    </w:p>
    <w:p w:rsidR="00052CA1" w:rsidRPr="0034046B" w:rsidRDefault="00052CA1">
      <w:pPr>
        <w:spacing w:line="360" w:lineRule="auto"/>
        <w:ind w:right="49"/>
        <w:jc w:val="both"/>
        <w:rPr>
          <w:rFonts w:ascii="Palatino Linotype" w:eastAsia="Palatino Linotype" w:hAnsi="Palatino Linotype" w:cs="Palatino Linotype"/>
          <w:b/>
          <w:sz w:val="22"/>
          <w:szCs w:val="22"/>
        </w:rPr>
      </w:pPr>
    </w:p>
    <w:p w:rsidR="00052CA1" w:rsidRPr="0034046B" w:rsidRDefault="00F361C7">
      <w:pP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3. Interposición del recurso de revisión. </w:t>
      </w:r>
      <w:r w:rsidRPr="0034046B">
        <w:rPr>
          <w:rFonts w:ascii="Palatino Linotype" w:eastAsia="Palatino Linotype" w:hAnsi="Palatino Linotype" w:cs="Palatino Linotype"/>
          <w:sz w:val="22"/>
          <w:szCs w:val="22"/>
        </w:rPr>
        <w:t xml:space="preserve">Inconforme con los términos de la respuesta emitida por parte del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el </w:t>
      </w:r>
      <w:r w:rsidRPr="0034046B">
        <w:rPr>
          <w:rFonts w:ascii="Palatino Linotype" w:eastAsia="Palatino Linotype" w:hAnsi="Palatino Linotype" w:cs="Palatino Linotype"/>
          <w:b/>
          <w:sz w:val="22"/>
          <w:szCs w:val="22"/>
        </w:rPr>
        <w:t xml:space="preserve">dieciocho de junio de dos mil veinticinco, </w:t>
      </w:r>
      <w:r w:rsidRPr="0034046B">
        <w:rPr>
          <w:rFonts w:ascii="Palatino Linotype" w:eastAsia="Palatino Linotype" w:hAnsi="Palatino Linotype" w:cs="Palatino Linotype"/>
          <w:sz w:val="22"/>
          <w:szCs w:val="22"/>
        </w:rPr>
        <w:t xml:space="preserve">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interpuso el recurso de revisión a través de </w:t>
      </w:r>
      <w:r w:rsidRPr="0034046B">
        <w:rPr>
          <w:rFonts w:ascii="Palatino Linotype" w:eastAsia="Palatino Linotype" w:hAnsi="Palatino Linotype" w:cs="Palatino Linotype"/>
          <w:b/>
          <w:sz w:val="22"/>
          <w:szCs w:val="22"/>
        </w:rPr>
        <w:t xml:space="preserve">SAIMEX, </w:t>
      </w:r>
      <w:r w:rsidRPr="0034046B">
        <w:rPr>
          <w:rFonts w:ascii="Palatino Linotype" w:eastAsia="Palatino Linotype" w:hAnsi="Palatino Linotype" w:cs="Palatino Linotype"/>
          <w:sz w:val="22"/>
          <w:szCs w:val="22"/>
        </w:rPr>
        <w:t>en donde se manifestó de la siguiente manera:</w:t>
      </w:r>
    </w:p>
    <w:p w:rsidR="00052CA1" w:rsidRPr="0034046B" w:rsidRDefault="00052CA1">
      <w:pPr>
        <w:spacing w:line="360" w:lineRule="auto"/>
        <w:ind w:right="49"/>
        <w:jc w:val="both"/>
        <w:rPr>
          <w:rFonts w:ascii="Palatino Linotype" w:eastAsia="Palatino Linotype" w:hAnsi="Palatino Linotype" w:cs="Palatino Linotype"/>
          <w:sz w:val="22"/>
          <w:szCs w:val="22"/>
        </w:rPr>
      </w:pPr>
    </w:p>
    <w:p w:rsidR="00052CA1" w:rsidRPr="0034046B" w:rsidRDefault="00F361C7">
      <w:pPr>
        <w:numPr>
          <w:ilvl w:val="0"/>
          <w:numId w:val="3"/>
        </w:numPr>
        <w:pBdr>
          <w:top w:val="nil"/>
          <w:left w:val="nil"/>
          <w:bottom w:val="nil"/>
          <w:right w:val="nil"/>
          <w:between w:val="nil"/>
        </w:pBdr>
        <w:tabs>
          <w:tab w:val="left" w:pos="2745"/>
        </w:tabs>
        <w:spacing w:line="276" w:lineRule="auto"/>
        <w:ind w:right="616"/>
        <w:jc w:val="both"/>
        <w:rPr>
          <w:rFonts w:ascii="Palatino Linotype" w:eastAsia="Palatino Linotype" w:hAnsi="Palatino Linotype" w:cs="Palatino Linotype"/>
          <w:i/>
          <w:color w:val="000000"/>
          <w:sz w:val="22"/>
          <w:szCs w:val="22"/>
        </w:rPr>
      </w:pPr>
      <w:r w:rsidRPr="0034046B">
        <w:rPr>
          <w:rFonts w:ascii="Palatino Linotype" w:eastAsia="Palatino Linotype" w:hAnsi="Palatino Linotype" w:cs="Palatino Linotype"/>
          <w:b/>
          <w:color w:val="000000"/>
          <w:sz w:val="22"/>
          <w:szCs w:val="22"/>
        </w:rPr>
        <w:t xml:space="preserve">Acto impugnado: </w:t>
      </w:r>
      <w:r w:rsidRPr="0034046B">
        <w:rPr>
          <w:rFonts w:ascii="Palatino Linotype" w:eastAsia="Palatino Linotype" w:hAnsi="Palatino Linotype" w:cs="Palatino Linotype"/>
          <w:i/>
          <w:color w:val="000000"/>
          <w:sz w:val="22"/>
          <w:szCs w:val="22"/>
        </w:rPr>
        <w:t>“la patibularia respuesta, niegan tener atribuciones de algo que su manual de procedimientos si les señala.” (Sic)</w:t>
      </w:r>
    </w:p>
    <w:p w:rsidR="00052CA1" w:rsidRPr="0034046B" w:rsidRDefault="00052CA1">
      <w:pPr>
        <w:tabs>
          <w:tab w:val="left" w:pos="2745"/>
        </w:tabs>
        <w:spacing w:line="276" w:lineRule="auto"/>
        <w:ind w:left="851" w:right="616"/>
        <w:jc w:val="both"/>
        <w:rPr>
          <w:rFonts w:ascii="Palatino Linotype" w:eastAsia="Palatino Linotype" w:hAnsi="Palatino Linotype" w:cs="Palatino Linotype"/>
          <w:b/>
          <w:sz w:val="22"/>
          <w:szCs w:val="22"/>
        </w:rPr>
      </w:pPr>
    </w:p>
    <w:p w:rsidR="00052CA1" w:rsidRPr="0034046B" w:rsidRDefault="00F361C7">
      <w:pPr>
        <w:spacing w:line="276" w:lineRule="auto"/>
        <w:ind w:left="851" w:right="616"/>
        <w:jc w:val="both"/>
        <w:rPr>
          <w:rFonts w:ascii="Palatino Linotype" w:eastAsia="Palatino Linotype" w:hAnsi="Palatino Linotype" w:cs="Palatino Linotype"/>
          <w:sz w:val="22"/>
          <w:szCs w:val="22"/>
        </w:rPr>
      </w:pPr>
      <w:bookmarkStart w:id="3" w:name="_heading=h.30j0zll" w:colFirst="0" w:colLast="0"/>
      <w:bookmarkEnd w:id="3"/>
      <w:r w:rsidRPr="0034046B">
        <w:rPr>
          <w:rFonts w:ascii="Palatino Linotype" w:eastAsia="Palatino Linotype" w:hAnsi="Palatino Linotype" w:cs="Palatino Linotype"/>
          <w:b/>
          <w:sz w:val="22"/>
          <w:szCs w:val="22"/>
        </w:rPr>
        <w:t>b) Razones o motivos de inconformidad</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i/>
          <w:sz w:val="22"/>
          <w:szCs w:val="22"/>
        </w:rPr>
        <w:t xml:space="preserve">“osea, que estan diciendo que dentro de las funciones de la Dirección General de Administración no esta el pagar </w:t>
      </w:r>
      <w:r w:rsidRPr="0034046B">
        <w:rPr>
          <w:rFonts w:ascii="Palatino Linotype" w:eastAsia="Palatino Linotype" w:hAnsi="Palatino Linotype" w:cs="Palatino Linotype"/>
          <w:i/>
          <w:sz w:val="22"/>
          <w:szCs w:val="22"/>
        </w:rPr>
        <w:lastRenderedPageBreak/>
        <w:t>finiquitos? ya sabemos que no los quieren apgar, pero ya decir tremenda....no puedo decir la palabra....ni la norma perez se atrevio a tanto” (Sic)</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4. Turno. </w:t>
      </w:r>
      <w:r w:rsidRPr="0034046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4046B">
        <w:rPr>
          <w:rFonts w:ascii="Palatino Linotype" w:eastAsia="Palatino Linotype" w:hAnsi="Palatino Linotype" w:cs="Palatino Linotype"/>
          <w:b/>
          <w:sz w:val="22"/>
          <w:szCs w:val="22"/>
        </w:rPr>
        <w:t xml:space="preserve">Guadalupe Ramírez Peña, </w:t>
      </w:r>
      <w:r w:rsidRPr="0034046B">
        <w:rPr>
          <w:rFonts w:ascii="Palatino Linotype" w:eastAsia="Palatino Linotype" w:hAnsi="Palatino Linotype" w:cs="Palatino Linotype"/>
          <w:sz w:val="22"/>
          <w:szCs w:val="22"/>
        </w:rPr>
        <w:t>a efecto de que analizara sobre su admisión o su desechamiento.</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34046B">
        <w:rPr>
          <w:rFonts w:ascii="Palatino Linotype" w:eastAsia="Palatino Linotype" w:hAnsi="Palatino Linotype" w:cs="Palatino Linotype"/>
          <w:b/>
          <w:sz w:val="22"/>
          <w:szCs w:val="22"/>
        </w:rPr>
        <w:t>5. Admisión del Recurso de revisión.</w:t>
      </w:r>
      <w:r w:rsidRPr="0034046B">
        <w:rPr>
          <w:rFonts w:ascii="Palatino Linotype" w:eastAsia="Palatino Linotype" w:hAnsi="Palatino Linotype" w:cs="Palatino Linotype"/>
          <w:sz w:val="22"/>
          <w:szCs w:val="22"/>
        </w:rPr>
        <w:t xml:space="preserve"> El</w:t>
      </w:r>
      <w:r w:rsidRPr="0034046B">
        <w:rPr>
          <w:rFonts w:ascii="Palatino Linotype" w:eastAsia="Palatino Linotype" w:hAnsi="Palatino Linotype" w:cs="Palatino Linotype"/>
          <w:b/>
          <w:sz w:val="22"/>
          <w:szCs w:val="22"/>
        </w:rPr>
        <w:t xml:space="preserve"> veintitrés de junio de dos mil veinticinco, </w:t>
      </w:r>
      <w:r w:rsidRPr="0034046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4046B">
        <w:rPr>
          <w:rFonts w:ascii="Palatino Linotype" w:eastAsia="Palatino Linotype" w:hAnsi="Palatino Linotype" w:cs="Palatino Linotype"/>
          <w:b/>
          <w:sz w:val="22"/>
          <w:szCs w:val="22"/>
        </w:rPr>
        <w:t xml:space="preserve">Sujeto Obligado </w:t>
      </w:r>
      <w:r w:rsidRPr="0034046B">
        <w:rPr>
          <w:rFonts w:ascii="Palatino Linotype" w:eastAsia="Palatino Linotype" w:hAnsi="Palatino Linotype" w:cs="Palatino Linotype"/>
          <w:sz w:val="22"/>
          <w:szCs w:val="22"/>
        </w:rPr>
        <w:t>presentara su informe justificado.</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widowControl w:val="0"/>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6. Manifestaciones e Informe Justificado. </w:t>
      </w:r>
      <w:r w:rsidRPr="0034046B">
        <w:rPr>
          <w:rFonts w:ascii="Palatino Linotype" w:eastAsia="Palatino Linotype" w:hAnsi="Palatino Linotype" w:cs="Palatino Linotype"/>
          <w:sz w:val="22"/>
          <w:szCs w:val="22"/>
        </w:rPr>
        <w:t xml:space="preserve">Durante este plazo, se tiene constancia que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remitió su informe justificado el catorce de agosto de dos mil veintitrés, mediante los archivos electrónicos denominados “</w:t>
      </w:r>
      <w:r w:rsidRPr="0034046B">
        <w:rPr>
          <w:rFonts w:ascii="Palatino Linotype" w:eastAsia="Palatino Linotype" w:hAnsi="Palatino Linotype" w:cs="Palatino Linotype"/>
          <w:b/>
          <w:i/>
          <w:sz w:val="22"/>
          <w:szCs w:val="22"/>
        </w:rPr>
        <w:t>ANEXOS 07379-2025.pdf” y “Ratificación 07379.pdf</w:t>
      </w:r>
      <w:r w:rsidRPr="0034046B">
        <w:rPr>
          <w:rFonts w:ascii="Palatino Linotype" w:eastAsia="Palatino Linotype" w:hAnsi="Palatino Linotype" w:cs="Palatino Linotype"/>
          <w:sz w:val="22"/>
          <w:szCs w:val="22"/>
        </w:rPr>
        <w:t xml:space="preserve">”, haciéndolos del conocimiento de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el </w:t>
      </w:r>
      <w:r w:rsidRPr="0034046B">
        <w:rPr>
          <w:rFonts w:ascii="Palatino Linotype" w:eastAsia="Palatino Linotype" w:hAnsi="Palatino Linotype" w:cs="Palatino Linotype"/>
          <w:b/>
          <w:sz w:val="22"/>
          <w:szCs w:val="22"/>
        </w:rPr>
        <w:t>treinta de septiembre de dos mil veinticinco</w:t>
      </w:r>
      <w:r w:rsidRPr="0034046B">
        <w:rPr>
          <w:rFonts w:ascii="Palatino Linotype" w:eastAsia="Palatino Linotype" w:hAnsi="Palatino Linotype" w:cs="Palatino Linotype"/>
          <w:sz w:val="22"/>
          <w:szCs w:val="22"/>
        </w:rPr>
        <w:t xml:space="preserve">, los cuales se describen a continuación: </w:t>
      </w:r>
    </w:p>
    <w:p w:rsidR="00052CA1" w:rsidRPr="0034046B" w:rsidRDefault="00052CA1">
      <w:pPr>
        <w:widowControl w:val="0"/>
        <w:spacing w:line="360" w:lineRule="auto"/>
        <w:ind w:right="49"/>
        <w:jc w:val="both"/>
        <w:rPr>
          <w:rFonts w:ascii="Palatino Linotype" w:eastAsia="Palatino Linotype" w:hAnsi="Palatino Linotype" w:cs="Palatino Linotype"/>
          <w:sz w:val="22"/>
          <w:szCs w:val="22"/>
        </w:rPr>
      </w:pPr>
    </w:p>
    <w:p w:rsidR="00052CA1" w:rsidRPr="0034046B" w:rsidRDefault="00F361C7">
      <w:pPr>
        <w:widowControl w:val="0"/>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34046B">
        <w:rPr>
          <w:rFonts w:ascii="Palatino Linotype" w:eastAsia="Palatino Linotype" w:hAnsi="Palatino Linotype" w:cs="Palatino Linotype"/>
          <w:i/>
          <w:color w:val="000000"/>
          <w:sz w:val="22"/>
          <w:szCs w:val="22"/>
        </w:rPr>
        <w:t>“</w:t>
      </w:r>
      <w:r w:rsidRPr="0034046B">
        <w:rPr>
          <w:rFonts w:ascii="Palatino Linotype" w:eastAsia="Palatino Linotype" w:hAnsi="Palatino Linotype" w:cs="Palatino Linotype"/>
          <w:b/>
          <w:i/>
          <w:color w:val="000000"/>
          <w:sz w:val="22"/>
          <w:szCs w:val="22"/>
        </w:rPr>
        <w:t>ANEXOS 07379-2025.pdf</w:t>
      </w:r>
      <w:r w:rsidRPr="0034046B">
        <w:rPr>
          <w:rFonts w:ascii="Palatino Linotype" w:eastAsia="Palatino Linotype" w:hAnsi="Palatino Linotype" w:cs="Palatino Linotype"/>
          <w:i/>
          <w:color w:val="000000"/>
          <w:sz w:val="22"/>
          <w:szCs w:val="22"/>
        </w:rPr>
        <w:t>”</w:t>
      </w:r>
      <w:r w:rsidRPr="0034046B">
        <w:rPr>
          <w:rFonts w:ascii="Palatino Linotype" w:eastAsia="Palatino Linotype" w:hAnsi="Palatino Linotype" w:cs="Palatino Linotype"/>
          <w:color w:val="000000"/>
          <w:sz w:val="22"/>
          <w:szCs w:val="22"/>
        </w:rPr>
        <w:t xml:space="preserve">: Oficio de fecha veintiséis de junio de dos mil veinticinco, suscrito por la Directora General de Administración, en el que ratificó su respuesta inicial. </w:t>
      </w:r>
    </w:p>
    <w:p w:rsidR="00052CA1" w:rsidRPr="0034046B" w:rsidRDefault="00052CA1">
      <w:pPr>
        <w:widowControl w:val="0"/>
        <w:spacing w:line="360" w:lineRule="auto"/>
        <w:ind w:right="49"/>
        <w:jc w:val="both"/>
        <w:rPr>
          <w:rFonts w:ascii="Palatino Linotype" w:eastAsia="Palatino Linotype" w:hAnsi="Palatino Linotype" w:cs="Palatino Linotype"/>
          <w:sz w:val="22"/>
          <w:szCs w:val="22"/>
        </w:rPr>
      </w:pPr>
    </w:p>
    <w:p w:rsidR="00052CA1" w:rsidRPr="0034046B" w:rsidRDefault="00F361C7">
      <w:pPr>
        <w:widowControl w:val="0"/>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34046B">
        <w:rPr>
          <w:rFonts w:ascii="Palatino Linotype" w:eastAsia="Palatino Linotype" w:hAnsi="Palatino Linotype" w:cs="Palatino Linotype"/>
          <w:i/>
          <w:color w:val="000000"/>
          <w:sz w:val="22"/>
          <w:szCs w:val="22"/>
        </w:rPr>
        <w:t>“</w:t>
      </w:r>
      <w:r w:rsidRPr="0034046B">
        <w:rPr>
          <w:rFonts w:ascii="Palatino Linotype" w:eastAsia="Palatino Linotype" w:hAnsi="Palatino Linotype" w:cs="Palatino Linotype"/>
          <w:b/>
          <w:i/>
          <w:color w:val="000000"/>
          <w:sz w:val="22"/>
          <w:szCs w:val="22"/>
        </w:rPr>
        <w:t>Ratificación 07379.pdf</w:t>
      </w:r>
      <w:r w:rsidRPr="0034046B">
        <w:rPr>
          <w:rFonts w:ascii="Palatino Linotype" w:eastAsia="Palatino Linotype" w:hAnsi="Palatino Linotype" w:cs="Palatino Linotype"/>
          <w:i/>
          <w:color w:val="000000"/>
          <w:sz w:val="22"/>
          <w:szCs w:val="22"/>
        </w:rPr>
        <w:t>”:</w:t>
      </w:r>
      <w:r w:rsidRPr="0034046B">
        <w:rPr>
          <w:rFonts w:ascii="Palatino Linotype" w:eastAsia="Palatino Linotype" w:hAnsi="Palatino Linotype" w:cs="Palatino Linotype"/>
          <w:color w:val="000000"/>
          <w:sz w:val="22"/>
          <w:szCs w:val="22"/>
        </w:rPr>
        <w:t xml:space="preserve"> Oficio de fecha primero de julio de dos mil veinticinco, suscrito por el Titular de la Unidad de Transparencia, en el que ratificó la respuesta emitida por la Dirección General de Administración.</w:t>
      </w:r>
    </w:p>
    <w:p w:rsidR="00052CA1" w:rsidRPr="0034046B" w:rsidRDefault="00052CA1">
      <w:pPr>
        <w:widowControl w:val="0"/>
        <w:spacing w:line="360" w:lineRule="auto"/>
        <w:ind w:right="49"/>
        <w:jc w:val="both"/>
        <w:rPr>
          <w:rFonts w:ascii="Palatino Linotype" w:eastAsia="Palatino Linotype" w:hAnsi="Palatino Linotype" w:cs="Palatino Linotype"/>
          <w:sz w:val="22"/>
          <w:szCs w:val="22"/>
        </w:rPr>
      </w:pPr>
    </w:p>
    <w:p w:rsidR="00052CA1" w:rsidRPr="0034046B" w:rsidRDefault="00F361C7">
      <w:pPr>
        <w:widowControl w:val="0"/>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Por su parte,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omitió realizar manifestaciones, alegatos o pruebas que a su derecho convinieran.</w:t>
      </w:r>
    </w:p>
    <w:p w:rsidR="00052CA1" w:rsidRPr="0034046B" w:rsidRDefault="00052CA1">
      <w:pPr>
        <w:widowControl w:val="0"/>
        <w:spacing w:line="360" w:lineRule="auto"/>
        <w:ind w:right="49"/>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7. Ampliación de plazo: </w:t>
      </w:r>
      <w:r w:rsidRPr="0034046B">
        <w:rPr>
          <w:rFonts w:ascii="Palatino Linotype" w:eastAsia="Palatino Linotype" w:hAnsi="Palatino Linotype" w:cs="Palatino Linotype"/>
          <w:sz w:val="22"/>
          <w:szCs w:val="22"/>
        </w:rPr>
        <w:t>El</w:t>
      </w:r>
      <w:r w:rsidRPr="0034046B">
        <w:rPr>
          <w:rFonts w:ascii="Palatino Linotype" w:eastAsia="Palatino Linotype" w:hAnsi="Palatino Linotype" w:cs="Palatino Linotype"/>
          <w:b/>
          <w:sz w:val="22"/>
          <w:szCs w:val="22"/>
        </w:rPr>
        <w:t xml:space="preserve"> treinta de septiembre de dos mil veinticinco, </w:t>
      </w:r>
      <w:r w:rsidRPr="0034046B">
        <w:rPr>
          <w:rFonts w:ascii="Palatino Linotype" w:eastAsia="Palatino Linotype" w:hAnsi="Palatino Linotype" w:cs="Palatino Linotype"/>
          <w:sz w:val="22"/>
          <w:szCs w:val="22"/>
        </w:rPr>
        <w:t>se amplió el término para resolver el recurso de revisión en términos del artículo 181 párrafo tercero de la Ley de Transparencia y Acceso a la Información Pública del Estado de México y Municipios.</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00052CA1" w:rsidRPr="0034046B" w:rsidRDefault="00052CA1">
      <w:pPr>
        <w:spacing w:line="360" w:lineRule="auto"/>
        <w:jc w:val="both"/>
        <w:rPr>
          <w:rFonts w:ascii="Palatino Linotype" w:eastAsia="Palatino Linotype" w:hAnsi="Palatino Linotype" w:cs="Palatino Linotype"/>
          <w:strike/>
          <w:sz w:val="22"/>
          <w:szCs w:val="22"/>
        </w:rPr>
      </w:pPr>
    </w:p>
    <w:p w:rsidR="00052CA1" w:rsidRPr="0034046B" w:rsidRDefault="00F361C7">
      <w:pPr>
        <w:numPr>
          <w:ilvl w:val="0"/>
          <w:numId w:val="8"/>
        </w:numPr>
        <w:tabs>
          <w:tab w:val="left" w:pos="567"/>
        </w:tabs>
        <w:spacing w:line="360" w:lineRule="auto"/>
        <w:ind w:left="284" w:firstLine="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rsidR="00052CA1" w:rsidRPr="0034046B" w:rsidRDefault="00F361C7">
      <w:pPr>
        <w:numPr>
          <w:ilvl w:val="0"/>
          <w:numId w:val="8"/>
        </w:numPr>
        <w:tabs>
          <w:tab w:val="left" w:pos="567"/>
        </w:tabs>
        <w:spacing w:line="360" w:lineRule="auto"/>
        <w:ind w:left="284" w:firstLine="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Actividad Procesal del interesado. Acciones u omisiones del interesado.</w:t>
      </w:r>
    </w:p>
    <w:p w:rsidR="00052CA1" w:rsidRPr="0034046B" w:rsidRDefault="00F361C7">
      <w:pPr>
        <w:numPr>
          <w:ilvl w:val="0"/>
          <w:numId w:val="8"/>
        </w:numPr>
        <w:tabs>
          <w:tab w:val="left" w:pos="567"/>
        </w:tabs>
        <w:spacing w:line="360" w:lineRule="auto"/>
        <w:ind w:left="284" w:firstLine="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rsidR="00052CA1" w:rsidRPr="0034046B" w:rsidRDefault="00F361C7">
      <w:pPr>
        <w:tabs>
          <w:tab w:val="left" w:pos="567"/>
        </w:tabs>
        <w:spacing w:line="360" w:lineRule="auto"/>
        <w:ind w:left="284"/>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rsidR="00052CA1" w:rsidRPr="0034046B" w:rsidRDefault="00052CA1">
      <w:pPr>
        <w:tabs>
          <w:tab w:val="left" w:pos="567"/>
        </w:tabs>
        <w:spacing w:line="360" w:lineRule="auto"/>
        <w:ind w:left="284"/>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34046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34046B">
        <w:rPr>
          <w:rFonts w:ascii="Palatino Linotype" w:eastAsia="Palatino Linotype" w:hAnsi="Palatino Linotype" w:cs="Palatino Linotype"/>
          <w:sz w:val="22"/>
          <w:szCs w:val="22"/>
        </w:rPr>
        <w:t>, visible en la Gaceta del Seminario Judicial de la Federación con el registro digital 205635.</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ind w:left="851" w:right="902"/>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PLAZO RAZONABLE PARA RESOLVER. DIMENSIÓN Y EFECTOS DE ESTE CONCEPTO CUANDO SE ADUCE EXCESIVA CARGA DE TRABAJO</w:t>
      </w: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sz w:val="22"/>
          <w:szCs w:val="22"/>
        </w:rPr>
        <w:t xml:space="preserve"> consultable en el Seminario Judicial de la Federación y su gaceta, con el registro digital 2002351.</w:t>
      </w:r>
    </w:p>
    <w:p w:rsidR="00052CA1" w:rsidRPr="0034046B" w:rsidRDefault="00F361C7">
      <w:pPr>
        <w:spacing w:line="360" w:lineRule="auto"/>
        <w:ind w:left="851" w:right="902"/>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sz w:val="22"/>
          <w:szCs w:val="22"/>
        </w:rPr>
        <w:t>, visible en el Seminario Judicial de la Federación y su gaceta, con el registro digital 2002350.</w:t>
      </w: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8. Cierre de instrucción. </w:t>
      </w:r>
      <w:r w:rsidRPr="0034046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34046B">
        <w:rPr>
          <w:rFonts w:ascii="Palatino Linotype" w:eastAsia="Palatino Linotype" w:hAnsi="Palatino Linotype" w:cs="Palatino Linotype"/>
          <w:b/>
          <w:sz w:val="22"/>
          <w:szCs w:val="22"/>
        </w:rPr>
        <w:t>siete de octubre de dos mil veinticinco,</w:t>
      </w:r>
      <w:r w:rsidRPr="0034046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widowControl w:val="0"/>
        <w:spacing w:line="360" w:lineRule="auto"/>
        <w:jc w:val="center"/>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II. C O N S I D E R A N D O S</w:t>
      </w:r>
    </w:p>
    <w:p w:rsidR="00052CA1" w:rsidRPr="0034046B" w:rsidRDefault="00052CA1">
      <w:pPr>
        <w:widowControl w:val="0"/>
        <w:spacing w:line="360" w:lineRule="auto"/>
        <w:jc w:val="center"/>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Primero. Competencia.</w:t>
      </w:r>
      <w:r w:rsidRPr="0034046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34046B">
        <w:rPr>
          <w:rFonts w:ascii="Palatino Linotype" w:eastAsia="Palatino Linotype" w:hAnsi="Palatino Linotype" w:cs="Palatino Linotype"/>
          <w:b/>
          <w:sz w:val="22"/>
          <w:szCs w:val="22"/>
        </w:rPr>
        <w:t>Segundo. Oportunidad y Procedibilidad del Recurso de Revisión</w:t>
      </w:r>
      <w:r w:rsidRPr="0034046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4046B">
        <w:rPr>
          <w:rFonts w:ascii="Palatino Linotype" w:eastAsia="Palatino Linotype" w:hAnsi="Palatino Linotype" w:cs="Palatino Linotype"/>
          <w:b/>
          <w:sz w:val="22"/>
          <w:szCs w:val="22"/>
        </w:rPr>
        <w:t xml:space="preserve">Sujeto Obligado </w:t>
      </w:r>
      <w:r w:rsidRPr="0034046B">
        <w:rPr>
          <w:rFonts w:ascii="Palatino Linotype" w:eastAsia="Palatino Linotype" w:hAnsi="Palatino Linotype" w:cs="Palatino Linotype"/>
          <w:sz w:val="22"/>
          <w:szCs w:val="22"/>
        </w:rPr>
        <w:t xml:space="preserve">remitió la respuesta a la solicitud de información el </w:t>
      </w:r>
      <w:r w:rsidRPr="0034046B">
        <w:rPr>
          <w:rFonts w:ascii="Palatino Linotype" w:eastAsia="Palatino Linotype" w:hAnsi="Palatino Linotype" w:cs="Palatino Linotype"/>
          <w:b/>
          <w:sz w:val="22"/>
          <w:szCs w:val="22"/>
        </w:rPr>
        <w:t>dieciocho de junio</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b/>
          <w:sz w:val="22"/>
          <w:szCs w:val="22"/>
        </w:rPr>
        <w:t xml:space="preserve">de dos mil veinticinco, </w:t>
      </w:r>
      <w:r w:rsidRPr="0034046B">
        <w:rPr>
          <w:rFonts w:ascii="Palatino Linotype" w:eastAsia="Palatino Linotype" w:hAnsi="Palatino Linotype" w:cs="Palatino Linotype"/>
          <w:sz w:val="22"/>
          <w:szCs w:val="22"/>
        </w:rPr>
        <w:t xml:space="preserve">mientras que el recurso de revisión interpuesto por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se tuvo por presentado el día </w:t>
      </w:r>
      <w:r w:rsidRPr="0034046B">
        <w:rPr>
          <w:rFonts w:ascii="Palatino Linotype" w:eastAsia="Palatino Linotype" w:hAnsi="Palatino Linotype" w:cs="Palatino Linotype"/>
          <w:b/>
          <w:sz w:val="22"/>
          <w:szCs w:val="22"/>
        </w:rPr>
        <w:t xml:space="preserve">dieciocho de junio de dos mil veinticinco, </w:t>
      </w:r>
      <w:r w:rsidRPr="0034046B">
        <w:rPr>
          <w:rFonts w:ascii="Palatino Linotype" w:eastAsia="Palatino Linotype" w:hAnsi="Palatino Linotype" w:cs="Palatino Linotype"/>
          <w:sz w:val="22"/>
          <w:szCs w:val="22"/>
        </w:rPr>
        <w:t xml:space="preserve">esto es, el </w:t>
      </w:r>
      <w:r w:rsidRPr="0034046B">
        <w:rPr>
          <w:rFonts w:ascii="Palatino Linotype" w:eastAsia="Palatino Linotype" w:hAnsi="Palatino Linotype" w:cs="Palatino Linotype"/>
          <w:b/>
          <w:sz w:val="22"/>
          <w:szCs w:val="22"/>
        </w:rPr>
        <w:t>mismo día hábil en el que tuvo conocimiento de la respuesta impugnada.</w:t>
      </w:r>
      <w:r w:rsidRPr="0034046B">
        <w:rPr>
          <w:rFonts w:ascii="Palatino Linotype" w:eastAsia="Palatino Linotype" w:hAnsi="Palatino Linotype" w:cs="Palatino Linotype"/>
          <w:sz w:val="22"/>
          <w:szCs w:val="22"/>
        </w:rPr>
        <w:t xml:space="preserve">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052CA1" w:rsidRPr="0034046B" w:rsidRDefault="00F361C7">
      <w:pPr>
        <w:ind w:left="851" w:right="902"/>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34046B">
        <w:rPr>
          <w:rFonts w:ascii="Palatino Linotype" w:eastAsia="Palatino Linotype" w:hAnsi="Palatino Linotype" w:cs="Palatino Linotype"/>
          <w:i/>
          <w:sz w:val="22"/>
          <w:szCs w:val="22"/>
        </w:rPr>
        <w:t>.</w:t>
      </w:r>
    </w:p>
    <w:p w:rsidR="00052CA1" w:rsidRPr="0034046B" w:rsidRDefault="00F361C7">
      <w:pPr>
        <w:ind w:left="851" w:right="902"/>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052CA1" w:rsidRPr="0034046B" w:rsidRDefault="00052CA1">
      <w:pPr>
        <w:spacing w:line="360" w:lineRule="auto"/>
        <w:ind w:right="49"/>
        <w:jc w:val="both"/>
        <w:rPr>
          <w:rFonts w:ascii="Palatino Linotype" w:eastAsia="Palatino Linotype" w:hAnsi="Palatino Linotype" w:cs="Palatino Linotype"/>
          <w:sz w:val="22"/>
          <w:szCs w:val="22"/>
        </w:rPr>
      </w:pPr>
    </w:p>
    <w:p w:rsidR="00052CA1" w:rsidRPr="0034046B" w:rsidRDefault="00F361C7">
      <w:pP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Por otro lado, por cuanto hace a la procedibilidad del recurso de revisión, es de suma importancia señalar que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w:t>
      </w:r>
      <w:r w:rsidRPr="0034046B">
        <w:rPr>
          <w:rFonts w:ascii="Palatino Linotype" w:eastAsia="Palatino Linotype" w:hAnsi="Palatino Linotype" w:cs="Palatino Linotype"/>
          <w:b/>
          <w:sz w:val="22"/>
          <w:szCs w:val="22"/>
        </w:rPr>
        <w:t xml:space="preserve"> </w:t>
      </w:r>
      <w:r w:rsidRPr="0034046B">
        <w:rPr>
          <w:rFonts w:ascii="Palatino Linotype" w:eastAsia="Palatino Linotype" w:hAnsi="Palatino Linotype" w:cs="Palatino Linotype"/>
          <w:sz w:val="22"/>
          <w:szCs w:val="22"/>
        </w:rPr>
        <w:t>señaló un seudónimo</w:t>
      </w:r>
      <w:r w:rsidRPr="0034046B">
        <w:rPr>
          <w:rFonts w:ascii="Palatino Linotype" w:eastAsia="Palatino Linotype" w:hAnsi="Palatino Linotype" w:cs="Palatino Linotype"/>
          <w:b/>
          <w:sz w:val="22"/>
          <w:szCs w:val="22"/>
        </w:rPr>
        <w:t xml:space="preserve"> </w:t>
      </w:r>
      <w:r w:rsidRPr="0034046B">
        <w:rPr>
          <w:rFonts w:ascii="Palatino Linotype" w:eastAsia="Palatino Linotype" w:hAnsi="Palatino Linotype" w:cs="Palatino Linotype"/>
          <w:sz w:val="22"/>
          <w:szCs w:val="22"/>
        </w:rPr>
        <w:t>con el que desea que se le identifique</w:t>
      </w:r>
      <w:r w:rsidRPr="0034046B">
        <w:rPr>
          <w:rFonts w:ascii="Palatino Linotype" w:eastAsia="Palatino Linotype" w:hAnsi="Palatino Linotype" w:cs="Palatino Linotype"/>
          <w:b/>
          <w:sz w:val="22"/>
          <w:szCs w:val="22"/>
        </w:rPr>
        <w:t>,</w:t>
      </w:r>
      <w:r w:rsidRPr="0034046B">
        <w:rPr>
          <w:rFonts w:ascii="Palatino Linotype" w:eastAsia="Palatino Linotype" w:hAnsi="Palatino Linotype" w:cs="Palatino Linotype"/>
          <w:sz w:val="22"/>
          <w:szCs w:val="22"/>
        </w:rPr>
        <w:t xml:space="preserve"> como se advierte en el detalle de seguimiento del SAIMEX, no obstante lo anterior, esto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 xml:space="preserve">Las solicitudes </w:t>
      </w:r>
      <w:r w:rsidRPr="0034046B">
        <w:rPr>
          <w:rFonts w:ascii="Palatino Linotype" w:eastAsia="Palatino Linotype" w:hAnsi="Palatino Linotype" w:cs="Palatino Linotype"/>
          <w:i/>
          <w:sz w:val="22"/>
          <w:szCs w:val="22"/>
        </w:rPr>
        <w:t xml:space="preserve">anónimas, con </w:t>
      </w:r>
      <w:r w:rsidRPr="0034046B">
        <w:rPr>
          <w:rFonts w:ascii="Palatino Linotype" w:eastAsia="Palatino Linotype" w:hAnsi="Palatino Linotype" w:cs="Palatino Linotype"/>
          <w:b/>
          <w:i/>
          <w:sz w:val="22"/>
          <w:szCs w:val="22"/>
        </w:rPr>
        <w:t>nombre incompleto o seudónimo</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rPr>
        <w:t>serán procedentes para su trámite por parte del sujeto obligado ante quien se presente</w:t>
      </w:r>
      <w:r w:rsidRPr="0034046B">
        <w:rPr>
          <w:rFonts w:ascii="Palatino Linotype" w:eastAsia="Palatino Linotype" w:hAnsi="Palatino Linotype" w:cs="Palatino Linotype"/>
          <w:i/>
          <w:sz w:val="22"/>
          <w:szCs w:val="22"/>
        </w:rPr>
        <w:t>. No podrá requerirse información adicional con motivo del nombre proporcionado por el solicitante."(Énfasis añadido)</w:t>
      </w:r>
    </w:p>
    <w:p w:rsidR="00052CA1" w:rsidRPr="0034046B" w:rsidRDefault="00052CA1">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p>
    <w:p w:rsidR="00052CA1" w:rsidRPr="0034046B" w:rsidRDefault="00F361C7">
      <w:pPr>
        <w:tabs>
          <w:tab w:val="left" w:pos="7938"/>
        </w:tabs>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4046B">
        <w:rPr>
          <w:rFonts w:ascii="Palatino Linotype" w:eastAsia="Palatino Linotype" w:hAnsi="Palatino Linotype" w:cs="Palatino Linotype"/>
          <w:b/>
          <w:sz w:val="22"/>
          <w:szCs w:val="22"/>
        </w:rPr>
        <w:t>la parte</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rsidR="00052CA1" w:rsidRPr="0034046B" w:rsidRDefault="00052CA1">
      <w:pPr>
        <w:ind w:left="567" w:right="902"/>
        <w:jc w:val="both"/>
        <w:rPr>
          <w:rFonts w:ascii="Palatino Linotype" w:eastAsia="Palatino Linotype" w:hAnsi="Palatino Linotype" w:cs="Palatino Linotype"/>
          <w:i/>
          <w:sz w:val="22"/>
          <w:szCs w:val="22"/>
        </w:rPr>
      </w:pPr>
    </w:p>
    <w:p w:rsidR="00052CA1" w:rsidRPr="0034046B" w:rsidRDefault="00F361C7">
      <w:pPr>
        <w:ind w:left="567" w:right="902"/>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179.</w:t>
      </w:r>
      <w:r w:rsidRPr="0034046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52CA1" w:rsidRPr="0034046B" w:rsidRDefault="00F361C7">
      <w:pPr>
        <w:ind w:left="567" w:right="902"/>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p>
    <w:p w:rsidR="00052CA1" w:rsidRPr="0034046B" w:rsidRDefault="00F361C7">
      <w:pPr>
        <w:ind w:left="567" w:right="902"/>
        <w:jc w:val="both"/>
        <w:rPr>
          <w:rFonts w:ascii="Palatino Linotype" w:eastAsia="Palatino Linotype" w:hAnsi="Palatino Linotype" w:cs="Palatino Linotype"/>
          <w:b/>
          <w:i/>
          <w:sz w:val="22"/>
          <w:szCs w:val="22"/>
          <w:u w:val="single"/>
        </w:rPr>
      </w:pPr>
      <w:r w:rsidRPr="0034046B">
        <w:rPr>
          <w:rFonts w:ascii="Palatino Linotype" w:eastAsia="Palatino Linotype" w:hAnsi="Palatino Linotype" w:cs="Palatino Linotype"/>
          <w:b/>
          <w:i/>
          <w:sz w:val="22"/>
          <w:szCs w:val="22"/>
          <w:u w:val="single"/>
        </w:rPr>
        <w:t>I. La negativa a la información solicitada;</w:t>
      </w:r>
    </w:p>
    <w:p w:rsidR="00052CA1" w:rsidRPr="0034046B" w:rsidRDefault="00F361C7">
      <w:pPr>
        <w:ind w:left="567" w:right="902"/>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 xml:space="preserve">…;” </w:t>
      </w:r>
      <w:r w:rsidRPr="0034046B">
        <w:rPr>
          <w:rFonts w:ascii="Palatino Linotype" w:eastAsia="Palatino Linotype" w:hAnsi="Palatino Linotype" w:cs="Palatino Linotype"/>
          <w:i/>
          <w:sz w:val="22"/>
          <w:szCs w:val="22"/>
        </w:rPr>
        <w:t>(Énfasis añadido)</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Tercero. Materia de la revisión. </w:t>
      </w:r>
      <w:r w:rsidRPr="0034046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Sujeto Obligado es adecuada y suficiente para satisfacer el derecho de acceso a la información pública de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o en su defecto, en caso de ser procedente, ordenar la entrega de información.</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7" w:name="_heading=h.2et92p0" w:colFirst="0" w:colLast="0"/>
      <w:bookmarkEnd w:id="7"/>
      <w:r w:rsidRPr="0034046B">
        <w:rPr>
          <w:rFonts w:ascii="Palatino Linotype" w:eastAsia="Palatino Linotype" w:hAnsi="Palatino Linotype" w:cs="Palatino Linotype"/>
          <w:b/>
          <w:sz w:val="22"/>
          <w:szCs w:val="22"/>
        </w:rPr>
        <w:t xml:space="preserve">Cuarto. Estudio del asunto </w:t>
      </w:r>
      <w:r w:rsidRPr="0034046B">
        <w:rPr>
          <w:rFonts w:ascii="Palatino Linotype" w:eastAsia="Palatino Linotype" w:hAnsi="Palatino Linotype" w:cs="Palatino Linotype"/>
          <w:sz w:val="22"/>
          <w:szCs w:val="22"/>
        </w:rPr>
        <w:t xml:space="preserve">Antes de entrar al análisis de los pronunciamientos del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52CA1" w:rsidRPr="0034046B" w:rsidRDefault="00052CA1">
      <w:pPr>
        <w:pBdr>
          <w:top w:val="nil"/>
          <w:left w:val="nil"/>
          <w:bottom w:val="nil"/>
          <w:right w:val="nil"/>
          <w:between w:val="nil"/>
        </w:pBdr>
        <w:ind w:left="851" w:right="850"/>
        <w:jc w:val="both"/>
        <w:rPr>
          <w:rFonts w:ascii="Palatino Linotype" w:eastAsia="Palatino Linotype" w:hAnsi="Palatino Linotype" w:cs="Palatino Linotype"/>
          <w:b/>
          <w:i/>
          <w:sz w:val="22"/>
          <w:szCs w:val="22"/>
          <w:u w:val="single"/>
        </w:rPr>
      </w:pPr>
    </w:p>
    <w:p w:rsidR="00052CA1" w:rsidRPr="0034046B" w:rsidRDefault="00F361C7">
      <w:pPr>
        <w:pBdr>
          <w:top w:val="nil"/>
          <w:left w:val="nil"/>
          <w:bottom w:val="nil"/>
          <w:right w:val="nil"/>
          <w:between w:val="nil"/>
        </w:pBdr>
        <w:ind w:left="851" w:right="8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4046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52CA1" w:rsidRPr="0034046B" w:rsidRDefault="00F361C7">
      <w:pPr>
        <w:pBdr>
          <w:top w:val="nil"/>
          <w:left w:val="nil"/>
          <w:bottom w:val="nil"/>
          <w:right w:val="nil"/>
          <w:between w:val="nil"/>
        </w:pBdr>
        <w:ind w:left="851" w:right="8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52CA1" w:rsidRPr="0034046B" w:rsidRDefault="00F361C7">
      <w:pPr>
        <w:pBdr>
          <w:top w:val="nil"/>
          <w:left w:val="nil"/>
          <w:bottom w:val="nil"/>
          <w:right w:val="nil"/>
          <w:between w:val="nil"/>
        </w:pBdr>
        <w:ind w:left="851" w:right="8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4046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52CA1" w:rsidRPr="0034046B" w:rsidRDefault="00F361C7">
      <w:pPr>
        <w:pBdr>
          <w:top w:val="nil"/>
          <w:left w:val="nil"/>
          <w:bottom w:val="nil"/>
          <w:right w:val="nil"/>
          <w:between w:val="nil"/>
        </w:pBdr>
        <w:ind w:left="851" w:right="8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p>
    <w:p w:rsidR="00052CA1" w:rsidRPr="0034046B" w:rsidRDefault="00F361C7">
      <w:pPr>
        <w:pBdr>
          <w:top w:val="nil"/>
          <w:left w:val="nil"/>
          <w:bottom w:val="nil"/>
          <w:right w:val="nil"/>
          <w:between w:val="nil"/>
        </w:pBdr>
        <w:ind w:left="851" w:right="90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“Artículo 6o.</w:t>
      </w:r>
    </w:p>
    <w:p w:rsidR="00052CA1" w:rsidRPr="0034046B" w:rsidRDefault="00F361C7">
      <w:pPr>
        <w:pBdr>
          <w:top w:val="nil"/>
          <w:left w:val="nil"/>
          <w:bottom w:val="nil"/>
          <w:right w:val="nil"/>
          <w:between w:val="nil"/>
        </w:pBdr>
        <w:ind w:left="851" w:right="90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 xml:space="preserve">A. Para el ejercicio del derecho de acceso a la información, la Federación y </w:t>
      </w:r>
      <w:r w:rsidRPr="0034046B">
        <w:rPr>
          <w:rFonts w:ascii="Palatino Linotype" w:eastAsia="Palatino Linotype" w:hAnsi="Palatino Linotype" w:cs="Palatino Linotype"/>
          <w:b/>
          <w:i/>
          <w:sz w:val="22"/>
          <w:szCs w:val="22"/>
          <w:u w:val="single"/>
        </w:rPr>
        <w:t>las entidades federativas</w:t>
      </w:r>
      <w:r w:rsidRPr="0034046B">
        <w:rPr>
          <w:rFonts w:ascii="Palatino Linotype" w:eastAsia="Palatino Linotype" w:hAnsi="Palatino Linotype" w:cs="Palatino Linotype"/>
          <w:b/>
          <w:i/>
          <w:sz w:val="22"/>
          <w:szCs w:val="22"/>
        </w:rPr>
        <w:t>,</w:t>
      </w:r>
      <w:r w:rsidRPr="0034046B">
        <w:rPr>
          <w:rFonts w:ascii="Palatino Linotype" w:eastAsia="Palatino Linotype" w:hAnsi="Palatino Linotype" w:cs="Palatino Linotype"/>
          <w:i/>
          <w:sz w:val="22"/>
          <w:szCs w:val="22"/>
        </w:rPr>
        <w:t xml:space="preserve"> en el ámbito de sus respectivas competencias, se regirán por los siguientes principios y bases:</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w:t>
      </w:r>
      <w:r w:rsidRPr="0034046B">
        <w:rPr>
          <w:rFonts w:ascii="Palatino Linotype" w:eastAsia="Palatino Linotype" w:hAnsi="Palatino Linotype" w:cs="Palatino Linotype"/>
          <w:b/>
          <w:i/>
          <w:sz w:val="22"/>
          <w:szCs w:val="22"/>
        </w:rPr>
        <w:t xml:space="preserve">I. </w:t>
      </w:r>
      <w:r w:rsidRPr="0034046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4046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4046B">
        <w:rPr>
          <w:rFonts w:ascii="Palatino Linotype" w:eastAsia="Palatino Linotype" w:hAnsi="Palatino Linotype" w:cs="Palatino Linotype"/>
          <w:b/>
          <w:i/>
          <w:sz w:val="22"/>
          <w:szCs w:val="22"/>
        </w:rPr>
        <w:t>es pública y sólo podrá ser reservada temporalmente por razones de interés público y seguridad nacional,</w:t>
      </w:r>
      <w:r w:rsidRPr="0034046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w:t>
      </w:r>
      <w:r w:rsidRPr="0034046B">
        <w:rPr>
          <w:rFonts w:ascii="Palatino Linotype" w:eastAsia="Palatino Linotype" w:hAnsi="Palatino Linotype" w:cs="Palatino Linotype"/>
          <w:b/>
          <w:i/>
          <w:sz w:val="22"/>
          <w:szCs w:val="22"/>
        </w:rPr>
        <w:t xml:space="preserve">III. </w:t>
      </w:r>
      <w:r w:rsidRPr="0034046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4046B">
        <w:rPr>
          <w:rFonts w:ascii="Palatino Linotype" w:eastAsia="Palatino Linotype" w:hAnsi="Palatino Linotype" w:cs="Palatino Linotype"/>
          <w:i/>
          <w:sz w:val="22"/>
          <w:szCs w:val="22"/>
        </w:rPr>
        <w:t xml:space="preserve"> a sus datos personales o a la rectificación de éstos.</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IV.</w:t>
      </w:r>
      <w:r w:rsidRPr="0034046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 xml:space="preserve">V. </w:t>
      </w:r>
      <w:r w:rsidRPr="0034046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 </w:t>
      </w:r>
      <w:r w:rsidRPr="0034046B">
        <w:rPr>
          <w:rFonts w:ascii="Palatino Linotype" w:eastAsia="Palatino Linotype" w:hAnsi="Palatino Linotype" w:cs="Palatino Linotype"/>
          <w:b/>
          <w:i/>
          <w:sz w:val="22"/>
          <w:szCs w:val="22"/>
        </w:rPr>
        <w:t xml:space="preserve">VI. </w:t>
      </w:r>
      <w:r w:rsidRPr="0034046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52CA1" w:rsidRPr="0034046B" w:rsidRDefault="00F361C7">
      <w:pPr>
        <w:pBdr>
          <w:top w:val="nil"/>
          <w:left w:val="nil"/>
          <w:bottom w:val="nil"/>
          <w:right w:val="nil"/>
          <w:between w:val="nil"/>
        </w:pBdr>
        <w:ind w:left="851" w:right="8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 </w:t>
      </w:r>
      <w:r w:rsidRPr="0034046B">
        <w:rPr>
          <w:rFonts w:ascii="Palatino Linotype" w:eastAsia="Palatino Linotype" w:hAnsi="Palatino Linotype" w:cs="Palatino Linotype"/>
          <w:b/>
          <w:i/>
          <w:sz w:val="22"/>
          <w:szCs w:val="22"/>
        </w:rPr>
        <w:t xml:space="preserve">VII. </w:t>
      </w:r>
      <w:r w:rsidRPr="0034046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52CA1" w:rsidRPr="0034046B" w:rsidRDefault="00052CA1">
      <w:pPr>
        <w:pBdr>
          <w:top w:val="nil"/>
          <w:left w:val="nil"/>
          <w:bottom w:val="nil"/>
          <w:right w:val="nil"/>
          <w:between w:val="nil"/>
        </w:pBdr>
        <w:ind w:left="709" w:right="760"/>
        <w:jc w:val="both"/>
        <w:rPr>
          <w:rFonts w:ascii="Palatino Linotype" w:eastAsia="Palatino Linotype" w:hAnsi="Palatino Linotype" w:cs="Palatino Linotype"/>
          <w:i/>
          <w:sz w:val="22"/>
          <w:szCs w:val="22"/>
        </w:rPr>
      </w:pPr>
    </w:p>
    <w:p w:rsidR="00052CA1" w:rsidRPr="0034046B" w:rsidRDefault="00F361C7">
      <w:pPr>
        <w:pBdr>
          <w:top w:val="nil"/>
          <w:left w:val="nil"/>
          <w:bottom w:val="nil"/>
          <w:right w:val="nil"/>
          <w:between w:val="nil"/>
        </w:pBdr>
        <w:ind w:left="709" w:right="76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4</w:t>
      </w:r>
      <w:r w:rsidRPr="0034046B">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052CA1" w:rsidRPr="0034046B" w:rsidRDefault="00F361C7">
      <w:pPr>
        <w:pBdr>
          <w:top w:val="nil"/>
          <w:left w:val="nil"/>
          <w:bottom w:val="nil"/>
          <w:right w:val="nil"/>
          <w:between w:val="nil"/>
        </w:pBdr>
        <w:ind w:left="709" w:right="76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52CA1" w:rsidRPr="0034046B" w:rsidRDefault="00F361C7">
      <w:pPr>
        <w:pBdr>
          <w:top w:val="nil"/>
          <w:left w:val="nil"/>
          <w:bottom w:val="nil"/>
          <w:right w:val="nil"/>
          <w:between w:val="nil"/>
        </w:pBdr>
        <w:ind w:left="709" w:right="76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052CA1" w:rsidRPr="0034046B" w:rsidRDefault="00052CA1">
      <w:pPr>
        <w:pBdr>
          <w:top w:val="nil"/>
          <w:left w:val="nil"/>
          <w:bottom w:val="nil"/>
          <w:right w:val="nil"/>
          <w:between w:val="nil"/>
        </w:pBdr>
        <w:ind w:left="567" w:right="758"/>
        <w:jc w:val="both"/>
        <w:rPr>
          <w:rFonts w:ascii="Palatino Linotype" w:eastAsia="Palatino Linotype" w:hAnsi="Palatino Linotype" w:cs="Palatino Linotype"/>
          <w:i/>
          <w:sz w:val="22"/>
          <w:szCs w:val="22"/>
        </w:rPr>
      </w:pPr>
    </w:p>
    <w:p w:rsidR="00052CA1" w:rsidRPr="0034046B" w:rsidRDefault="00F361C7">
      <w:pPr>
        <w:pBdr>
          <w:top w:val="nil"/>
          <w:left w:val="nil"/>
          <w:bottom w:val="nil"/>
          <w:right w:val="nil"/>
          <w:between w:val="nil"/>
        </w:pBdr>
        <w:ind w:left="567" w:right="758"/>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12</w:t>
      </w:r>
      <w:r w:rsidRPr="0034046B">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052CA1" w:rsidRPr="0034046B" w:rsidRDefault="00F361C7">
      <w:pPr>
        <w:pBdr>
          <w:top w:val="nil"/>
          <w:left w:val="nil"/>
          <w:bottom w:val="nil"/>
          <w:right w:val="nil"/>
          <w:between w:val="nil"/>
        </w:pBdr>
        <w:ind w:left="567" w:right="758"/>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34046B">
        <w:rPr>
          <w:rFonts w:ascii="Palatino Linotype" w:eastAsia="Palatino Linotype" w:hAnsi="Palatino Linotype" w:cs="Palatino Linotype"/>
          <w:b/>
          <w:sz w:val="22"/>
          <w:szCs w:val="22"/>
        </w:rPr>
        <w:t xml:space="preserve"> </w:t>
      </w:r>
      <w:r w:rsidRPr="0034046B">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34046B">
        <w:rPr>
          <w:rFonts w:ascii="Palatino Linotype" w:eastAsia="Palatino Linotype" w:hAnsi="Palatino Linotype" w:cs="Palatino Linotype"/>
          <w:i/>
          <w:sz w:val="22"/>
          <w:szCs w:val="22"/>
        </w:rPr>
        <w:t>ad hoc</w:t>
      </w:r>
      <w:r w:rsidRPr="0034046B">
        <w:rPr>
          <w:rFonts w:ascii="Palatino Linotype" w:eastAsia="Palatino Linotype" w:hAnsi="Palatino Linotype" w:cs="Palatino Linotype"/>
          <w:sz w:val="22"/>
          <w:szCs w:val="22"/>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052CA1" w:rsidRPr="0034046B" w:rsidRDefault="00052CA1">
      <w:pPr>
        <w:pBdr>
          <w:top w:val="nil"/>
          <w:left w:val="nil"/>
          <w:bottom w:val="nil"/>
          <w:right w:val="nil"/>
          <w:between w:val="nil"/>
        </w:pBdr>
        <w:ind w:left="567" w:right="900"/>
        <w:jc w:val="both"/>
        <w:rPr>
          <w:rFonts w:ascii="Palatino Linotype" w:eastAsia="Palatino Linotype" w:hAnsi="Palatino Linotype" w:cs="Palatino Linotype"/>
          <w:b/>
          <w:i/>
          <w:sz w:val="22"/>
          <w:szCs w:val="22"/>
        </w:rPr>
      </w:pP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03/17</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“NO EXISTE OBLIGACIÓN DE ELABORAR DOCUMENTOS AD HOC PARA ATENDER LAS SOLICITUDES DE ACCESO A LA INFORMACIÓN.</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52CA1" w:rsidRPr="0034046B" w:rsidRDefault="00052C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 xml:space="preserve">Artículo 3. </w:t>
      </w:r>
      <w:r w:rsidRPr="0034046B">
        <w:rPr>
          <w:rFonts w:ascii="Palatino Linotype" w:eastAsia="Palatino Linotype" w:hAnsi="Palatino Linotype" w:cs="Palatino Linotype"/>
          <w:i/>
          <w:sz w:val="22"/>
          <w:szCs w:val="22"/>
        </w:rPr>
        <w:t>Para los efectos de la presente Ley se entenderá por:</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XI. Documento:</w:t>
      </w:r>
      <w:r w:rsidRPr="0034046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4046B">
        <w:rPr>
          <w:rFonts w:ascii="Palatino Linotype" w:eastAsia="Palatino Linotype" w:hAnsi="Palatino Linotype" w:cs="Palatino Linotype"/>
          <w:b/>
          <w:i/>
          <w:sz w:val="22"/>
          <w:szCs w:val="22"/>
        </w:rPr>
        <w:t>…</w:t>
      </w:r>
      <w:r w:rsidRPr="0034046B">
        <w:rPr>
          <w:rFonts w:ascii="Palatino Linotype" w:eastAsia="Palatino Linotype" w:hAnsi="Palatino Linotype" w:cs="Palatino Linotype"/>
          <w:i/>
          <w:sz w:val="22"/>
          <w:szCs w:val="22"/>
        </w:rPr>
        <w:t>”</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52CA1" w:rsidRPr="0034046B" w:rsidRDefault="00052CA1">
      <w:pPr>
        <w:pBdr>
          <w:top w:val="nil"/>
          <w:left w:val="nil"/>
          <w:bottom w:val="nil"/>
          <w:right w:val="nil"/>
          <w:between w:val="nil"/>
        </w:pBdr>
        <w:ind w:left="567" w:right="567"/>
        <w:jc w:val="both"/>
        <w:rPr>
          <w:rFonts w:ascii="Palatino Linotype" w:eastAsia="Palatino Linotype" w:hAnsi="Palatino Linotype" w:cs="Palatino Linotype"/>
          <w:b/>
          <w:sz w:val="22"/>
          <w:szCs w:val="22"/>
        </w:rPr>
      </w:pPr>
    </w:p>
    <w:p w:rsidR="00052CA1" w:rsidRPr="0034046B" w:rsidRDefault="00F361C7">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w:t>
      </w:r>
      <w:r w:rsidRPr="0034046B">
        <w:rPr>
          <w:rFonts w:ascii="Palatino Linotype" w:eastAsia="Palatino Linotype" w:hAnsi="Palatino Linotype" w:cs="Palatino Linotype"/>
          <w:b/>
          <w:i/>
          <w:sz w:val="22"/>
          <w:szCs w:val="22"/>
        </w:rPr>
        <w:t>CRITERIO 0002-11</w:t>
      </w:r>
    </w:p>
    <w:p w:rsidR="00052CA1" w:rsidRPr="0034046B" w:rsidRDefault="00F361C7">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4046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52CA1" w:rsidRPr="0034046B" w:rsidRDefault="00F361C7">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52CA1" w:rsidRPr="0034046B" w:rsidRDefault="00F361C7">
      <w:pPr>
        <w:numPr>
          <w:ilvl w:val="0"/>
          <w:numId w:val="6"/>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052CA1" w:rsidRPr="0034046B" w:rsidRDefault="00F361C7">
      <w:pPr>
        <w:numPr>
          <w:ilvl w:val="0"/>
          <w:numId w:val="6"/>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052CA1" w:rsidRPr="0034046B" w:rsidRDefault="00F361C7">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 xml:space="preserve">3. </w:t>
      </w:r>
      <w:r w:rsidRPr="0034046B">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34046B">
        <w:rPr>
          <w:rFonts w:ascii="Palatino Linotype" w:eastAsia="Palatino Linotype" w:hAnsi="Palatino Linotype" w:cs="Palatino Linotype"/>
          <w:i/>
          <w:sz w:val="22"/>
          <w:szCs w:val="22"/>
        </w:rPr>
        <w:t>(Énfasis añadido)</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 ahí que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le proporcionara lo siguiente:</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numPr>
          <w:ilvl w:val="0"/>
          <w:numId w:val="1"/>
        </w:numPr>
        <w:pBdr>
          <w:top w:val="nil"/>
          <w:left w:val="nil"/>
          <w:bottom w:val="nil"/>
          <w:right w:val="nil"/>
          <w:between w:val="nil"/>
        </w:pBdr>
        <w:spacing w:line="360" w:lineRule="auto"/>
        <w:ind w:right="758"/>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u w:val="single"/>
        </w:rPr>
        <w:t>Comprobante de pago de finiquito</w:t>
      </w:r>
      <w:r w:rsidRPr="0034046B">
        <w:rPr>
          <w:rFonts w:ascii="Palatino Linotype" w:eastAsia="Palatino Linotype" w:hAnsi="Palatino Linotype" w:cs="Palatino Linotype"/>
          <w:b/>
          <w:sz w:val="22"/>
          <w:szCs w:val="22"/>
        </w:rPr>
        <w:t xml:space="preserve"> de Norma Sofía Pérez Martínez, Jorge Alberto Pérez Martínez, Oscar Pérez Martínez, Diana Laura Ramírez Álvarez e Iván González Neria. </w:t>
      </w:r>
    </w:p>
    <w:p w:rsidR="00052CA1" w:rsidRPr="0034046B" w:rsidRDefault="00052CA1">
      <w:pPr>
        <w:pBdr>
          <w:top w:val="nil"/>
          <w:left w:val="nil"/>
          <w:bottom w:val="nil"/>
          <w:right w:val="nil"/>
          <w:between w:val="nil"/>
        </w:pBdr>
        <w:spacing w:line="360" w:lineRule="auto"/>
        <w:ind w:left="720" w:right="758"/>
        <w:jc w:val="both"/>
        <w:rPr>
          <w:rFonts w:ascii="Palatino Linotype" w:eastAsia="Palatino Linotype" w:hAnsi="Palatino Linotype" w:cs="Palatino Linotype"/>
          <w:b/>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En respuesta,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a través de la Dirección de Administración informó que después de haber realizado una búsqueda exhaustiva y razonable en los archivos que obran la Dirección de Recursos Humanos, no se cuenta con dicha información, toda vez que </w:t>
      </w:r>
      <w:r w:rsidRPr="0034046B">
        <w:rPr>
          <w:rFonts w:ascii="Palatino Linotype" w:eastAsia="Palatino Linotype" w:hAnsi="Palatino Linotype" w:cs="Palatino Linotype"/>
          <w:b/>
          <w:sz w:val="22"/>
          <w:szCs w:val="22"/>
          <w:u w:val="single"/>
        </w:rPr>
        <w:t>no se encuentra dentro de sus funciones y atribuciones</w:t>
      </w:r>
      <w:r w:rsidRPr="0034046B">
        <w:rPr>
          <w:rFonts w:ascii="Palatino Linotype" w:eastAsia="Palatino Linotype" w:hAnsi="Palatino Linotype" w:cs="Palatino Linotype"/>
          <w:sz w:val="22"/>
          <w:szCs w:val="22"/>
        </w:rPr>
        <w:t>, referidas en el Manual de Organización de la Dirección General de Administración, por lo que no es posible entregarla.</w:t>
      </w: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En esta tesitura, una vez conocida la respuesta emitida por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la parte</w:t>
      </w:r>
      <w:r w:rsidRPr="0034046B">
        <w:rPr>
          <w:rFonts w:ascii="Palatino Linotype" w:eastAsia="Palatino Linotype" w:hAnsi="Palatino Linotype" w:cs="Palatino Linotype"/>
          <w:b/>
          <w:sz w:val="22"/>
          <w:szCs w:val="22"/>
        </w:rPr>
        <w:t xml:space="preserve"> Recurrente</w:t>
      </w:r>
      <w:r w:rsidRPr="0034046B">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por la negativa a la información solicitada.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Una vez notificado el recurso de revisión al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este rindió su informe justificado por medio del cual ratificó su respuesta inicial.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Expuesto lo anterior, se procede a contextualizar la información requerida, para ello, es necesario definir </w:t>
      </w:r>
      <w:r w:rsidRPr="0034046B">
        <w:rPr>
          <w:rFonts w:ascii="Palatino Linotype" w:eastAsia="Palatino Linotype" w:hAnsi="Palatino Linotype" w:cs="Palatino Linotype"/>
          <w:i/>
          <w:sz w:val="22"/>
          <w:szCs w:val="22"/>
        </w:rPr>
        <w:t xml:space="preserve">“finiquito”, </w:t>
      </w:r>
      <w:r w:rsidRPr="0034046B">
        <w:rPr>
          <w:rFonts w:ascii="Palatino Linotype" w:eastAsia="Palatino Linotype" w:hAnsi="Palatino Linotype" w:cs="Palatino Linotype"/>
          <w:sz w:val="22"/>
          <w:szCs w:val="22"/>
        </w:rPr>
        <w:t xml:space="preserve">al respecto la Tesis Aislada con número de registro 347545, Quinta Época, tomo XC, página 2090, publicada en el Semanario Judicial de la Federación, establece: </w:t>
      </w:r>
    </w:p>
    <w:p w:rsidR="00052CA1" w:rsidRPr="0034046B" w:rsidRDefault="00052CA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FINIQUITO.</w:t>
      </w:r>
      <w:r w:rsidRPr="0034046B">
        <w:rPr>
          <w:rFonts w:ascii="Palatino Linotype" w:eastAsia="Palatino Linotype" w:hAnsi="Palatino Linotype" w:cs="Palatino Linotype"/>
          <w:i/>
          <w:sz w:val="22"/>
          <w:szCs w:val="22"/>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rsidR="00052CA1" w:rsidRPr="0034046B" w:rsidRDefault="00052CA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Esto revela, que la procedencia de un finiquito deriva de un acuerdo de voluntades, por tanto, es necesario entonces, que medie un convenio (lato sensu), previo al pago de las obligaciones contraídas, por parte del patrón al trabajador; en este sentido robustece la afirmación la Tesis Aislada en materia laboral, con número de registro 371571, Quinta Época, tomo XCI, página 2214, que establece:</w:t>
      </w:r>
    </w:p>
    <w:p w:rsidR="00052CA1" w:rsidRPr="0034046B" w:rsidRDefault="00052CA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TRABAJO, RESCISION VOLUNTARIA DEL CONTRATO DE.</w:t>
      </w:r>
      <w:r w:rsidRPr="0034046B">
        <w:rPr>
          <w:rFonts w:ascii="Palatino Linotype" w:eastAsia="Palatino Linotype" w:hAnsi="Palatino Linotype" w:cs="Palatino Linotype"/>
          <w:i/>
          <w:sz w:val="22"/>
          <w:szCs w:val="22"/>
        </w:rPr>
        <w:t xml:space="preserve"> Si el trabajador rescindió su contrato de trabajo, obteniendo de la empresa una cantidad en la que queda comprendido el importe de tres meses de salarios, más el de veinte días por cada año de servicios, como indemnización, </w:t>
      </w:r>
      <w:r w:rsidRPr="0034046B">
        <w:rPr>
          <w:rFonts w:ascii="Palatino Linotype" w:eastAsia="Palatino Linotype" w:hAnsi="Palatino Linotype" w:cs="Palatino Linotype"/>
          <w:b/>
          <w:i/>
          <w:sz w:val="22"/>
          <w:szCs w:val="22"/>
          <w:u w:val="single"/>
        </w:rPr>
        <w:t>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w:t>
      </w:r>
      <w:r w:rsidRPr="0034046B">
        <w:rPr>
          <w:rFonts w:ascii="Palatino Linotype" w:eastAsia="Palatino Linotype" w:hAnsi="Palatino Linotype" w:cs="Palatino Linotype"/>
          <w:i/>
          <w:sz w:val="22"/>
          <w:szCs w:val="22"/>
        </w:rPr>
        <w:t>, la revisó, estableciendo determinadas modalidades que implicaron el que se dictara el laudo condenatorio para la empresa; debe decirse que aunque los actos de compensación, liquidación, transacción o convenio, pueden ser invalidados cuando para 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Se pude señalar que el finiquito, es la recisión laboral, cuando mediante acuerdo de voluntades, se liquidan las obligaciones que tiene el patrón de pagar al trabajador, las cantidades correspondientes por los derechos laborales que tiene el trabajador a recibir. </w:t>
      </w:r>
    </w:p>
    <w:p w:rsidR="00052CA1" w:rsidRPr="0034046B" w:rsidRDefault="00052CA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El recibo de finiquito es en este sentido, el documento por el cual, se da fe de que el trabajador recibió el pago de sus derechos laborales y se concluyó la relación laboral.</w:t>
      </w:r>
    </w:p>
    <w:p w:rsidR="00052CA1" w:rsidRPr="0034046B" w:rsidRDefault="00052CA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p>
    <w:p w:rsidR="00052CA1" w:rsidRPr="0034046B" w:rsidRDefault="00F361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r w:rsidRPr="0034046B">
        <w:rPr>
          <w:rFonts w:ascii="Palatino Linotype" w:eastAsia="Palatino Linotype" w:hAnsi="Palatino Linotype" w:cs="Palatino Linotype"/>
          <w:sz w:val="22"/>
          <w:szCs w:val="22"/>
        </w:rPr>
        <w:t>Ahora bien, el Código Financiero del Estado de México y Municipios, establece en su artículo 285, párrafo sexto, lo siguiente:</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285.-</w:t>
      </w:r>
      <w:r w:rsidRPr="0034046B">
        <w:rPr>
          <w:rFonts w:ascii="Palatino Linotype" w:eastAsia="Palatino Linotype" w:hAnsi="Palatino Linotype" w:cs="Palatino Linotype"/>
          <w:i/>
          <w:sz w:val="22"/>
          <w:szCs w:val="22"/>
        </w:rPr>
        <w:t xml:space="preserve">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El gasto total aprobado en el Presupuesto de Egresos, no podrá exceder al total de los ingresos autorizados en la Ley de Ingresos. En el caso de los municipios, el Presupuesto de Egresos, será el que se apruebe por el Ayuntamiento. En la aprobación del presupuesto de egresos de los municipios, los ayuntamientos determinarán la remuneración que corresponda a cada empleo, cargo o comisión. Cuando se trate de la creación de un nuevo empleo cuya remuneración no hubiere sido fijada, deberá determinarse tomando como base la prevista para algún empleo similar. Las remuneraciones estarán sujetas a las modificaciones que, en su caso, sean convenidas conforme a la legislación laboral.</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Del análisis sistemático del artículo antes transcrito, se determina que las autoridades que rijan su actuar presupuestario por el Presupuesto de Egresos, deberán regular las remuneraciones y su ajuste se hará conforme a la legislación laboral aplicable.</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Dicho lo anterior, este Instituto localizó que los servidores públicos referidos en la solicitud formaban aparte de la administración anterior, bajo los siguientes cargos: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noProof/>
          <w:sz w:val="22"/>
          <w:szCs w:val="22"/>
        </w:rPr>
        <w:drawing>
          <wp:inline distT="0" distB="0" distL="0" distR="0" wp14:anchorId="0A6D4CF4" wp14:editId="1E2DF613">
            <wp:extent cx="5610225" cy="1924050"/>
            <wp:effectExtent l="0" t="0" r="0" b="0"/>
            <wp:docPr id="2083296418" name="image2.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El contenido generado por IA puede ser incorrecto."/>
                    <pic:cNvPicPr preferRelativeResize="0"/>
                  </pic:nvPicPr>
                  <pic:blipFill>
                    <a:blip r:embed="rId8"/>
                    <a:srcRect/>
                    <a:stretch>
                      <a:fillRect/>
                    </a:stretch>
                  </pic:blipFill>
                  <pic:spPr>
                    <a:xfrm>
                      <a:off x="0" y="0"/>
                      <a:ext cx="5610225" cy="1924050"/>
                    </a:xfrm>
                    <a:prstGeom prst="rect">
                      <a:avLst/>
                    </a:prstGeom>
                    <a:ln/>
                  </pic:spPr>
                </pic:pic>
              </a:graphicData>
            </a:graphic>
          </wp:inline>
        </w:drawing>
      </w: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noProof/>
          <w:sz w:val="22"/>
          <w:szCs w:val="22"/>
        </w:rPr>
        <w:drawing>
          <wp:inline distT="0" distB="0" distL="0" distR="0" wp14:anchorId="6445EAAD" wp14:editId="6948DC64">
            <wp:extent cx="5610225" cy="2286000"/>
            <wp:effectExtent l="0" t="0" r="0" b="0"/>
            <wp:docPr id="2083296420" name="image4.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exto, Aplicación, Correo electrónico&#10;&#10;El contenido generado por IA puede ser incorrecto."/>
                    <pic:cNvPicPr preferRelativeResize="0"/>
                  </pic:nvPicPr>
                  <pic:blipFill>
                    <a:blip r:embed="rId9"/>
                    <a:srcRect/>
                    <a:stretch>
                      <a:fillRect/>
                    </a:stretch>
                  </pic:blipFill>
                  <pic:spPr>
                    <a:xfrm>
                      <a:off x="0" y="0"/>
                      <a:ext cx="5610225" cy="2286000"/>
                    </a:xfrm>
                    <a:prstGeom prst="rect">
                      <a:avLst/>
                    </a:prstGeom>
                    <a:ln/>
                  </pic:spPr>
                </pic:pic>
              </a:graphicData>
            </a:graphic>
          </wp:inline>
        </w:drawing>
      </w: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noProof/>
          <w:sz w:val="22"/>
          <w:szCs w:val="22"/>
        </w:rPr>
        <w:drawing>
          <wp:inline distT="0" distB="0" distL="0" distR="0" wp14:anchorId="2B3BD799" wp14:editId="31CAD84F">
            <wp:extent cx="5610225" cy="1961653"/>
            <wp:effectExtent l="0" t="0" r="0" b="0"/>
            <wp:docPr id="2083296419" name="image1.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 Correo electrónico&#10;&#10;El contenido generado por IA puede ser incorrecto."/>
                    <pic:cNvPicPr preferRelativeResize="0"/>
                  </pic:nvPicPr>
                  <pic:blipFill>
                    <a:blip r:embed="rId10"/>
                    <a:srcRect t="12734"/>
                    <a:stretch>
                      <a:fillRect/>
                    </a:stretch>
                  </pic:blipFill>
                  <pic:spPr>
                    <a:xfrm>
                      <a:off x="0" y="0"/>
                      <a:ext cx="5610225" cy="1961653"/>
                    </a:xfrm>
                    <a:prstGeom prst="rect">
                      <a:avLst/>
                    </a:prstGeom>
                    <a:ln/>
                  </pic:spPr>
                </pic:pic>
              </a:graphicData>
            </a:graphic>
          </wp:inline>
        </w:drawing>
      </w: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noProof/>
          <w:sz w:val="22"/>
          <w:szCs w:val="22"/>
        </w:rPr>
        <w:drawing>
          <wp:inline distT="0" distB="0" distL="0" distR="0" wp14:anchorId="4DD90C5D" wp14:editId="1ABC386F">
            <wp:extent cx="5610225" cy="2085975"/>
            <wp:effectExtent l="0" t="0" r="0" b="0"/>
            <wp:docPr id="2083296421" name="image5.png" descr="Interfaz de usuario gráfica, Texto,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Correo electrónico&#10;&#10;El contenido generado por IA puede ser incorrecto."/>
                    <pic:cNvPicPr preferRelativeResize="0"/>
                  </pic:nvPicPr>
                  <pic:blipFill>
                    <a:blip r:embed="rId11"/>
                    <a:srcRect/>
                    <a:stretch>
                      <a:fillRect/>
                    </a:stretch>
                  </pic:blipFill>
                  <pic:spPr>
                    <a:xfrm>
                      <a:off x="0" y="0"/>
                      <a:ext cx="5610225" cy="2085975"/>
                    </a:xfrm>
                    <a:prstGeom prst="rect">
                      <a:avLst/>
                    </a:prstGeom>
                    <a:ln/>
                  </pic:spPr>
                </pic:pic>
              </a:graphicData>
            </a:graphic>
          </wp:inline>
        </w:drawing>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Atento a lo anterior, conviene recordar que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a través de la Dirección General de Administración informó que no cuenta con dicha información</w:t>
      </w:r>
      <w:r w:rsidRPr="0034046B">
        <w:rPr>
          <w:rFonts w:ascii="Palatino Linotype" w:eastAsia="Palatino Linotype" w:hAnsi="Palatino Linotype" w:cs="Palatino Linotype"/>
          <w:b/>
          <w:sz w:val="22"/>
          <w:szCs w:val="22"/>
          <w:u w:val="single"/>
        </w:rPr>
        <w:t>, toda vez que no se encuentra dentro de sus funciones y atribucione</w:t>
      </w:r>
      <w:r w:rsidRPr="0034046B">
        <w:rPr>
          <w:rFonts w:ascii="Palatino Linotype" w:eastAsia="Palatino Linotype" w:hAnsi="Palatino Linotype" w:cs="Palatino Linotype"/>
          <w:sz w:val="22"/>
          <w:szCs w:val="22"/>
        </w:rPr>
        <w:t>s, referidas en el Manual de Organización de la Dirección General de Administración, contar con la información, por lo que no era posible entregarla; por ello resulta importante traer a contexto los artículos 3.31, 3.32, 3.33 y 11.27 del Código Reglamentario Municipal de Toluca, que a la letra refiere:</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3.31.</w:t>
      </w:r>
      <w:r w:rsidRPr="0034046B">
        <w:rPr>
          <w:rFonts w:ascii="Palatino Linotype" w:eastAsia="Palatino Linotype" w:hAnsi="Palatino Linotype" w:cs="Palatino Linotype"/>
          <w:i/>
          <w:sz w:val="22"/>
          <w:szCs w:val="22"/>
        </w:rPr>
        <w:t xml:space="preserve"> La o el titular de la Dirección General de Administración, tiene las siguientes atribuciones:</w:t>
      </w:r>
      <w:r w:rsidRPr="0034046B">
        <w:rPr>
          <w:rFonts w:ascii="Palatino Linotype" w:eastAsia="Palatino Linotype" w:hAnsi="Palatino Linotype" w:cs="Palatino Linotype"/>
          <w:i/>
          <w:sz w:val="22"/>
          <w:szCs w:val="22"/>
        </w:rPr>
        <w:br/>
        <w:t>…</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XXVI. Establecer mecanismos de coordinación con la Tesorería Municipal con el propósito de mejorar los resultados de la administración pública municipal;</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3.32.</w:t>
      </w:r>
      <w:r w:rsidRPr="0034046B">
        <w:rPr>
          <w:rFonts w:ascii="Palatino Linotype" w:eastAsia="Palatino Linotype" w:hAnsi="Palatino Linotype" w:cs="Palatino Linotype"/>
          <w:i/>
          <w:sz w:val="22"/>
          <w:szCs w:val="22"/>
        </w:rPr>
        <w:t xml:space="preserve"> La </w:t>
      </w:r>
      <w:r w:rsidRPr="0034046B">
        <w:rPr>
          <w:rFonts w:ascii="Palatino Linotype" w:eastAsia="Palatino Linotype" w:hAnsi="Palatino Linotype" w:cs="Palatino Linotype"/>
          <w:b/>
          <w:i/>
          <w:sz w:val="22"/>
          <w:szCs w:val="22"/>
        </w:rPr>
        <w:t>Dirección General de Administración, para el cumplimiento de sus atribuciones, se auxiliará de una</w:t>
      </w:r>
      <w:r w:rsidRPr="0034046B">
        <w:rPr>
          <w:rFonts w:ascii="Palatino Linotype" w:eastAsia="Palatino Linotype" w:hAnsi="Palatino Linotype" w:cs="Palatino Linotype"/>
          <w:i/>
          <w:sz w:val="22"/>
          <w:szCs w:val="22"/>
        </w:rPr>
        <w:t xml:space="preserve"> Coordinación de Apoyo Técnico; una Coordinación de Delegaciones Administrativas; una Dirección de Recursos Materiales; una </w:t>
      </w:r>
      <w:r w:rsidRPr="0034046B">
        <w:rPr>
          <w:rFonts w:ascii="Palatino Linotype" w:eastAsia="Palatino Linotype" w:hAnsi="Palatino Linotype" w:cs="Palatino Linotype"/>
          <w:b/>
          <w:i/>
          <w:sz w:val="22"/>
          <w:szCs w:val="22"/>
          <w:u w:val="single"/>
        </w:rPr>
        <w:t>Dirección de Recursos Humanos</w:t>
      </w:r>
      <w:r w:rsidRPr="0034046B">
        <w:rPr>
          <w:rFonts w:ascii="Palatino Linotype" w:eastAsia="Palatino Linotype" w:hAnsi="Palatino Linotype" w:cs="Palatino Linotype"/>
          <w:i/>
          <w:sz w:val="22"/>
          <w:szCs w:val="22"/>
        </w:rPr>
        <w:t>; una Dirección de Servicios Generales; una Dirección de Innovación y Gobierno Digital, y las demás Unidades Administrativas necesarias para el cumplimiento de sus atribuciones.</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3.33.</w:t>
      </w:r>
      <w:r w:rsidRPr="0034046B">
        <w:rPr>
          <w:rFonts w:ascii="Palatino Linotype" w:eastAsia="Palatino Linotype" w:hAnsi="Palatino Linotype" w:cs="Palatino Linotype"/>
          <w:i/>
          <w:sz w:val="22"/>
          <w:szCs w:val="22"/>
        </w:rPr>
        <w:t xml:space="preserve"> La o el titular de la Dirección de Recursos Humanos </w:t>
      </w:r>
      <w:r w:rsidRPr="0034046B">
        <w:rPr>
          <w:rFonts w:ascii="Palatino Linotype" w:eastAsia="Palatino Linotype" w:hAnsi="Palatino Linotype" w:cs="Palatino Linotype"/>
          <w:b/>
          <w:i/>
          <w:sz w:val="22"/>
          <w:szCs w:val="22"/>
        </w:rPr>
        <w:t>cuenta con las siguientes atribuciones</w:t>
      </w:r>
      <w:r w:rsidRPr="0034046B">
        <w:rPr>
          <w:rFonts w:ascii="Palatino Linotype" w:eastAsia="Palatino Linotype" w:hAnsi="Palatino Linotype" w:cs="Palatino Linotype"/>
          <w:i/>
          <w:sz w:val="22"/>
          <w:szCs w:val="22"/>
        </w:rPr>
        <w:t>:</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w:t>
      </w:r>
      <w:r w:rsidRPr="0034046B">
        <w:rPr>
          <w:rFonts w:ascii="Palatino Linotype" w:eastAsia="Palatino Linotype" w:hAnsi="Palatino Linotype" w:cs="Palatino Linotype"/>
          <w:i/>
          <w:sz w:val="22"/>
          <w:szCs w:val="22"/>
        </w:rPr>
        <w:t xml:space="preserve"> </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V. Registrar, controlar y dar seguimiento a los movimientos de personal como, altas, reingresos, bajas, remociones, renuncias, retiro, cambios de categoría y adscripción, promociones, comisiones, entre otras;</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VI. Coadyuvar con la Tesorería Municipal en la elaboración y distribución oportuna</w:t>
      </w:r>
      <w:r w:rsidRPr="0034046B">
        <w:rPr>
          <w:rFonts w:ascii="Palatino Linotype" w:eastAsia="Palatino Linotype" w:hAnsi="Palatino Linotype" w:cs="Palatino Linotype"/>
          <w:i/>
          <w:sz w:val="22"/>
          <w:szCs w:val="22"/>
        </w:rPr>
        <w:t xml:space="preserve"> de la nómina </w:t>
      </w:r>
      <w:r w:rsidRPr="0034046B">
        <w:rPr>
          <w:rFonts w:ascii="Palatino Linotype" w:eastAsia="Palatino Linotype" w:hAnsi="Palatino Linotype" w:cs="Palatino Linotype"/>
          <w:b/>
          <w:i/>
          <w:sz w:val="22"/>
          <w:szCs w:val="22"/>
        </w:rPr>
        <w:t xml:space="preserve">para el pago </w:t>
      </w:r>
      <w:r w:rsidRPr="0034046B">
        <w:rPr>
          <w:rFonts w:ascii="Palatino Linotype" w:eastAsia="Palatino Linotype" w:hAnsi="Palatino Linotype" w:cs="Palatino Linotype"/>
          <w:i/>
          <w:sz w:val="22"/>
          <w:szCs w:val="22"/>
        </w:rPr>
        <w:t xml:space="preserve">al personal que labora en el Ayuntamiento, </w:t>
      </w:r>
      <w:r w:rsidRPr="0034046B">
        <w:rPr>
          <w:rFonts w:ascii="Palatino Linotype" w:eastAsia="Palatino Linotype" w:hAnsi="Palatino Linotype" w:cs="Palatino Linotype"/>
          <w:b/>
          <w:i/>
          <w:sz w:val="22"/>
          <w:szCs w:val="22"/>
        </w:rPr>
        <w:t>por concepto de</w:t>
      </w:r>
      <w:r w:rsidRPr="0034046B">
        <w:rPr>
          <w:rFonts w:ascii="Palatino Linotype" w:eastAsia="Palatino Linotype" w:hAnsi="Palatino Linotype" w:cs="Palatino Linotype"/>
          <w:i/>
          <w:sz w:val="22"/>
          <w:szCs w:val="22"/>
        </w:rPr>
        <w:t xml:space="preserve"> sueldos, prestaciones, liquidaciones y </w:t>
      </w:r>
      <w:r w:rsidRPr="0034046B">
        <w:rPr>
          <w:rFonts w:ascii="Palatino Linotype" w:eastAsia="Palatino Linotype" w:hAnsi="Palatino Linotype" w:cs="Palatino Linotype"/>
          <w:b/>
          <w:i/>
          <w:sz w:val="22"/>
          <w:szCs w:val="22"/>
          <w:u w:val="single"/>
        </w:rPr>
        <w:t>finiquitos</w:t>
      </w:r>
      <w:r w:rsidRPr="0034046B">
        <w:rPr>
          <w:rFonts w:ascii="Palatino Linotype" w:eastAsia="Palatino Linotype" w:hAnsi="Palatino Linotype" w:cs="Palatino Linotype"/>
          <w:i/>
          <w:sz w:val="22"/>
          <w:szCs w:val="22"/>
        </w:rPr>
        <w:t xml:space="preserve"> apegándose al presupuesto autorizado aplicado a través del capítulo 1000; así como en lo relativo a las determinaciones de los impuestos y la emisión de los CFDI correspondientes una vez realizado el pago;</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11.27.</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rPr>
        <w:t>La y el servidor público que cause baja</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u w:val="single"/>
        </w:rPr>
        <w:t>después de solicitarlo por oficio a la Dirección de Recursos Humanos</w:t>
      </w:r>
      <w:r w:rsidRPr="0034046B">
        <w:rPr>
          <w:rFonts w:ascii="Palatino Linotype" w:eastAsia="Palatino Linotype" w:hAnsi="Palatino Linotype" w:cs="Palatino Linotype"/>
          <w:i/>
          <w:sz w:val="22"/>
          <w:szCs w:val="22"/>
        </w:rPr>
        <w:t xml:space="preserve">, y que anexe original de su renuncia, </w:t>
      </w:r>
      <w:r w:rsidRPr="0034046B">
        <w:rPr>
          <w:rFonts w:ascii="Palatino Linotype" w:eastAsia="Palatino Linotype" w:hAnsi="Palatino Linotype" w:cs="Palatino Linotype"/>
          <w:b/>
          <w:i/>
          <w:sz w:val="22"/>
          <w:szCs w:val="22"/>
          <w:u w:val="single"/>
        </w:rPr>
        <w:t xml:space="preserve">tiene derecho a percibir un finiquito </w:t>
      </w:r>
      <w:r w:rsidRPr="0034046B">
        <w:rPr>
          <w:rFonts w:ascii="Palatino Linotype" w:eastAsia="Palatino Linotype" w:hAnsi="Palatino Linotype" w:cs="Palatino Linotype"/>
          <w:b/>
          <w:i/>
          <w:sz w:val="22"/>
          <w:szCs w:val="22"/>
        </w:rPr>
        <w:t>consistente en:</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 Su sueldo hasta el último día laborado, por concepto de salarios devengados;</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 Parte proporcional de prima vacacional, siempre y cuando haya cumplido seis meses en el servicio;</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III. Parte proporcional de aguinaldo; y</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IV. Parte proporcional de las vacaciones no disfrutadas correspondientes a los meses que trabajó en el semestre respectivo.”</w:t>
      </w:r>
    </w:p>
    <w:p w:rsidR="00052CA1" w:rsidRPr="0034046B" w:rsidRDefault="00052CA1">
      <w:pPr>
        <w:spacing w:line="276" w:lineRule="auto"/>
        <w:ind w:left="993" w:right="616"/>
        <w:jc w:val="both"/>
        <w:rPr>
          <w:rFonts w:ascii="Palatino Linotype" w:eastAsia="Palatino Linotype" w:hAnsi="Palatino Linotype" w:cs="Palatino Linotype"/>
          <w:i/>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Del mismo modo, el Manual de Organización de la Dirección General de Administración establece que esta dirección se auxiliara de una Dirección de Recursos Humanos que tiene como función el coadyuvar con la Tesorería Municipal en la elaboración y distribución oportuna para el pago por concepto de finiquitos; asimismo el Departamento de Administración de Personal dependiente de la Dirección de Recursos Humanos tiene como objetivo administrar el recurso humano en estricto apego a lo establecido en el marco legal, e institucional de la administración pública municipal en coordinación con las dependencias municipales; así mismo contara con las siguientes funciones: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206012002 Departamento de Administración de Personal</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Funciones:</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i/>
          <w:sz w:val="22"/>
          <w:szCs w:val="22"/>
        </w:rPr>
        <w:t>1. Elaborar y entregar las constancias laborales emitidas a las y los servidores públicos activos y/o inactivos que sean solicitadas, a fin de hacer constar su situación contractual en la administración pública municipal;</w:t>
      </w:r>
      <w:r w:rsidRPr="0034046B">
        <w:rPr>
          <w:rFonts w:ascii="Palatino Linotype" w:eastAsia="Palatino Linotype" w:hAnsi="Palatino Linotype" w:cs="Palatino Linotype"/>
          <w:i/>
          <w:sz w:val="22"/>
          <w:szCs w:val="22"/>
        </w:rPr>
        <w:br/>
        <w:t>…</w:t>
      </w:r>
    </w:p>
    <w:p w:rsidR="00052CA1" w:rsidRPr="0034046B" w:rsidRDefault="00F361C7">
      <w:pPr>
        <w:spacing w:line="276" w:lineRule="auto"/>
        <w:ind w:left="851" w:right="616"/>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i/>
          <w:sz w:val="22"/>
          <w:szCs w:val="22"/>
        </w:rPr>
        <w:t>3. Proporcionar información para la elaboración y cálculo de los finiquitos derivados de indemnizaciones, jubilaciones, cese y renuncias y remitirlos al área competente para su correcta aplicación</w:t>
      </w:r>
      <w:r w:rsidRPr="0034046B">
        <w:rPr>
          <w:rFonts w:ascii="Palatino Linotype" w:eastAsia="Palatino Linotype" w:hAnsi="Palatino Linotype" w:cs="Palatino Linotype"/>
          <w:b/>
          <w:sz w:val="22"/>
          <w:szCs w:val="22"/>
        </w:rPr>
        <w:t>;</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206012003 Departamento de Nóminas</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 xml:space="preserve">10. Recibir, determinar y tramitar las solicitudes de finiquito </w:t>
      </w:r>
      <w:r w:rsidRPr="0034046B">
        <w:rPr>
          <w:rFonts w:ascii="Palatino Linotype" w:eastAsia="Palatino Linotype" w:hAnsi="Palatino Linotype" w:cs="Palatino Linotype"/>
          <w:i/>
          <w:sz w:val="22"/>
          <w:szCs w:val="22"/>
        </w:rPr>
        <w:t xml:space="preserve">(ordinario, convenio, laudo, jubilaciones, apoyo de gastos funerarios) </w:t>
      </w:r>
      <w:r w:rsidRPr="0034046B">
        <w:rPr>
          <w:rFonts w:ascii="Palatino Linotype" w:eastAsia="Palatino Linotype" w:hAnsi="Palatino Linotype" w:cs="Palatino Linotype"/>
          <w:b/>
          <w:i/>
          <w:sz w:val="22"/>
          <w:szCs w:val="22"/>
          <w:u w:val="single"/>
        </w:rPr>
        <w:t>y gestionar el trámite ante el Departamento de Recursos Propios de la Tesorería Municipal para el pago correspondiente</w:t>
      </w:r>
      <w:r w:rsidRPr="0034046B">
        <w:rPr>
          <w:rFonts w:ascii="Palatino Linotype" w:eastAsia="Palatino Linotype" w:hAnsi="Palatino Linotype" w:cs="Palatino Linotype"/>
          <w:b/>
          <w:i/>
          <w:sz w:val="22"/>
          <w:szCs w:val="22"/>
        </w:rPr>
        <w:t>;</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 la fuente normativa insertada con anterioridad se advierte que contrario a lo manifestado por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en respuesta, la Dirección General de Administración si cuenta con atribuciones para conocer de la información solicitada por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toda vez que a través de los departamentos de Administración de personal y Nóminas se encarga de recibir, determinar y tramitar las solicitudes de finiquito y gestionar el trámite ante el Departamento de Recursos Propios de la Tesorería Municipal para el pago correspondiente; sin embargo, a pesar de que en el caso se advierte un pronunciamiento de la Dirección General de Administración, lo cierto es que no se cumplió con los principios de congruencia y exhaustividad, en virtud de que la respuesta no fue clara, pues el servidor público habilitado competente únicamente se limitó a señalar que no se cuenta con información por no encontrarse dentro de sus funciones y atribuciones.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En tal sentido, resulta aplicable el Criterio 02/17 emitido por el Peno del entonces Instituto Nacional de Transparencia y Acceso a la Información y Protección de Datos Personales, de título y texto siguientes:</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34046B">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4046B">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4046B">
        <w:rPr>
          <w:rFonts w:ascii="Palatino Linotype" w:eastAsia="Palatino Linotype" w:hAnsi="Palatino Linotype" w:cs="Palatino Linotype"/>
          <w:i/>
          <w:sz w:val="22"/>
          <w:szCs w:val="22"/>
        </w:rPr>
        <w:t xml:space="preserve">; mientras que </w:t>
      </w:r>
      <w:r w:rsidRPr="0034046B">
        <w:rPr>
          <w:rFonts w:ascii="Palatino Linotype" w:eastAsia="Palatino Linotype" w:hAnsi="Palatino Linotype" w:cs="Palatino Linotype"/>
          <w:b/>
          <w:i/>
          <w:sz w:val="22"/>
          <w:szCs w:val="22"/>
        </w:rPr>
        <w:t>la exhaustividad significa que dicha respuesta se refiera expresamente a cada uno de los puntos solicitados</w:t>
      </w:r>
      <w:r w:rsidRPr="0034046B">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52CA1" w:rsidRPr="0034046B" w:rsidRDefault="00052CA1">
      <w:pPr>
        <w:spacing w:line="360" w:lineRule="auto"/>
        <w:ind w:right="-7"/>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De ahí que, la respuesta proporcionada al requerimiento en análisis no cumple con los principios de búsqueda exhaustiva, congruencia y exhaustividad.</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Asimismo, resulta importante señalar que el Manual de Organización de la Tesorería Municipal de Toluca señala que el Departamento de Recursos Propios tiene como objetivo establecer los lineamientos para la recepción de los documentos necesarios en el proceso de pago, así como mantener actualizado el flujo de efectivo; del mismo modo contara con las siguientes atribuciones: </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sz w:val="22"/>
          <w:szCs w:val="22"/>
        </w:rPr>
        <w:br/>
      </w: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202013002 Departamento de Recursos Propios</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Funciones:</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1 Elaborar y mantener actualizado el flujo de efectivo, así como informarlo a la Dirección de Egresos y a la o el titular de la Tesorería Municipal;</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2 Recibir y organizar la documentación soporte derivada de la adquisición de bienes y contratación de servicios para su revisión, para posteriormente realizar la captura en el sistema de contra recibos para remitirlo al Departamento de Programación y Control Presupuestal;</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3 Integrar y enviar a la Dirección de Contaduría la documentación soporte del gasto de inversión ejercido por las unidades administrativas;</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4 Elaborar y proponer, de acuerdo al flujo de efectivo, la programación de pagos con recursos municipales y/o de intermediarios financieros, para revisión de la Dirección de Egresos y autorización de la o el titular de la Tesorería Municipal;</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5 Elaborar y dar seguimiento a los cheques para la validación de la Dirección de Egresos y autorización de la Tesorería Municipal;</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6 Elaborar y dar seguimiento a las transferencias electrónicas para la autorización de la o el titular de la Tesorería Municipal y la Presidencia Municipal;</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7 Integrar y enviar al Departamento de Caja General los cheques, relación de pagos y/o transferencias electrónicas autorizadas para su trámite correspondiente;</w:t>
      </w:r>
    </w:p>
    <w:p w:rsidR="00052CA1" w:rsidRPr="0034046B" w:rsidRDefault="00F361C7">
      <w:pPr>
        <w:spacing w:line="276" w:lineRule="auto"/>
        <w:ind w:left="851" w:right="616"/>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8 Elaborar y emitir al cierre de cada mes, las erogaciones realizadas, debidamente soportadas con la documentación correspondiente a las cuentas por pagar, para posteriormente realizar la entrega a la Dirección de Contaduría;</w:t>
      </w: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9 Conciliar con la Dirección de Contaduría y el Departamento de Caja General los saldos de cuentas por pagar; y</w:t>
      </w:r>
    </w:p>
    <w:p w:rsidR="00052CA1" w:rsidRPr="0034046B" w:rsidRDefault="00F361C7">
      <w:pP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10 Realizar todas aquellas actividades que sean inherentes y aplicables al área de su competencia.”</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 este modo se advierte que Tesorería Municipal también cuenta con atribuciones para generar poseer y administrar la información que desea conocer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toda vez que se encarga de realizar el pago correspondiente.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Ahora bien, tomando en consideración que quien dio atención a la solicitud de información, fue la Dirección General de Administración, es menester señalar que para la atención de las solicitudes de acceso a la información, debe privilegiarse el </w:t>
      </w:r>
      <w:r w:rsidRPr="0034046B">
        <w:rPr>
          <w:rFonts w:ascii="Palatino Linotype" w:eastAsia="Palatino Linotype" w:hAnsi="Palatino Linotype" w:cs="Palatino Linotype"/>
          <w:b/>
          <w:sz w:val="22"/>
          <w:szCs w:val="22"/>
        </w:rPr>
        <w:t>principio de máxima publicidad</w:t>
      </w:r>
      <w:r w:rsidRPr="0034046B">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052CA1" w:rsidRPr="0034046B" w:rsidRDefault="00052CA1">
      <w:pPr>
        <w:spacing w:line="360" w:lineRule="auto"/>
        <w:rPr>
          <w:rFonts w:ascii="Palatino Linotype" w:eastAsia="Palatino Linotype" w:hAnsi="Palatino Linotype" w:cs="Palatino Linotype"/>
          <w:sz w:val="22"/>
          <w:szCs w:val="22"/>
        </w:rPr>
      </w:pPr>
    </w:p>
    <w:p w:rsidR="00052CA1" w:rsidRPr="0034046B" w:rsidRDefault="00F361C7">
      <w:pPr>
        <w:numPr>
          <w:ilvl w:val="0"/>
          <w:numId w:val="2"/>
        </w:num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052CA1" w:rsidRPr="0034046B" w:rsidRDefault="00F361C7">
      <w:pPr>
        <w:numPr>
          <w:ilvl w:val="0"/>
          <w:numId w:val="2"/>
        </w:num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052CA1" w:rsidRPr="0034046B" w:rsidRDefault="00F361C7">
      <w:pPr>
        <w:numPr>
          <w:ilvl w:val="0"/>
          <w:numId w:val="2"/>
        </w:num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34046B">
        <w:rPr>
          <w:rFonts w:ascii="Palatino Linotype" w:eastAsia="Palatino Linotype" w:hAnsi="Palatino Linotype" w:cs="Palatino Linotype"/>
          <w:b/>
          <w:sz w:val="22"/>
          <w:szCs w:val="22"/>
        </w:rPr>
        <w:t>quince días, contados a partir del día siguiente a la presentación de ésta.</w:t>
      </w:r>
      <w:r w:rsidRPr="0034046B">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rsidR="00052CA1" w:rsidRPr="0034046B" w:rsidRDefault="00F361C7">
      <w:pPr>
        <w:numPr>
          <w:ilvl w:val="0"/>
          <w:numId w:val="2"/>
        </w:numPr>
        <w:spacing w:line="360" w:lineRule="auto"/>
        <w:jc w:val="both"/>
        <w:rPr>
          <w:rFonts w:ascii="Palatino Linotype" w:eastAsia="Palatino Linotype" w:hAnsi="Palatino Linotype" w:cs="Palatino Linotype"/>
          <w:b/>
          <w:sz w:val="22"/>
          <w:szCs w:val="22"/>
          <w:u w:val="single"/>
        </w:rPr>
      </w:pPr>
      <w:r w:rsidRPr="0034046B">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052CA1" w:rsidRPr="0034046B" w:rsidRDefault="00F361C7">
      <w:pPr>
        <w:numPr>
          <w:ilvl w:val="0"/>
          <w:numId w:val="2"/>
        </w:numPr>
        <w:spacing w:line="360" w:lineRule="auto"/>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052CA1" w:rsidRPr="0034046B" w:rsidRDefault="00F361C7">
      <w:pPr>
        <w:numPr>
          <w:ilvl w:val="0"/>
          <w:numId w:val="2"/>
        </w:numPr>
        <w:spacing w:line="360" w:lineRule="auto"/>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052CA1" w:rsidRPr="0034046B" w:rsidRDefault="00052CA1">
      <w:pPr>
        <w:spacing w:line="360" w:lineRule="auto"/>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u w:val="single"/>
        </w:rPr>
      </w:pPr>
      <w:r w:rsidRPr="0034046B">
        <w:rPr>
          <w:rFonts w:ascii="Palatino Linotype" w:eastAsia="Palatino Linotype" w:hAnsi="Palatino Linotype" w:cs="Palatino Linotype"/>
          <w:sz w:val="22"/>
          <w:szCs w:val="22"/>
        </w:rPr>
        <w:t xml:space="preserve">De tal manera que, la Unidad de Transparencia debió de haber seguido un determinado procedimiento para atender la solicitud que ahora nos ocupa, entre este, </w:t>
      </w:r>
      <w:r w:rsidRPr="0034046B">
        <w:rPr>
          <w:rFonts w:ascii="Palatino Linotype" w:eastAsia="Palatino Linotype" w:hAnsi="Palatino Linotype" w:cs="Palatino Linotype"/>
          <w:b/>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34046B">
        <w:rPr>
          <w:rFonts w:ascii="Palatino Linotype" w:eastAsia="Palatino Linotype" w:hAnsi="Palatino Linotype" w:cs="Palatino Linotype"/>
          <w:sz w:val="22"/>
          <w:szCs w:val="22"/>
          <w:u w:val="single"/>
        </w:rPr>
        <w:t xml:space="preserve">. </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 forma que, en el presente caso, se advierte que, la solicitud de información no fue atendida por todas las unidades administrativas que por su competencia, facultad y atribución pueden poseer o administrar la información solicitada, de manera enunciativa más no limitativa, la Tesorería Municipal, al ser la encargada de realizar el pago correspondiente a las solicitudes de finiquito que gestione el departamento de nóminas; es decir, no se advierte que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haya realizado una correcta búsqueda exhaustiva y razonable de la información requerida dentro de los archivos de las unidades administrativas competentes. </w:t>
      </w:r>
    </w:p>
    <w:p w:rsidR="00052CA1" w:rsidRPr="0034046B" w:rsidRDefault="00052CA1">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Es por ello que, debido a que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no siguió el procedimiento de búsqueda exhaustiva y razonable de la información, se colige que los agravios hechos valer por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son parcialmente fundados y, por ende, este Organismo Garante determina revocar la respuesta del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y; ordenar, previa búsqueda exhaustiva y razonable, de ser el caso en versión pública</w:t>
      </w:r>
      <w:r w:rsidRPr="0034046B">
        <w:rPr>
          <w:rFonts w:ascii="Palatino Linotype" w:eastAsia="Palatino Linotype" w:hAnsi="Palatino Linotype" w:cs="Palatino Linotype"/>
          <w:b/>
          <w:sz w:val="22"/>
          <w:szCs w:val="22"/>
        </w:rPr>
        <w:t>,</w:t>
      </w:r>
      <w:r w:rsidRPr="0034046B">
        <w:rPr>
          <w:rFonts w:ascii="Palatino Linotype" w:eastAsia="Palatino Linotype" w:hAnsi="Palatino Linotype" w:cs="Palatino Linotype"/>
          <w:sz w:val="22"/>
          <w:szCs w:val="22"/>
        </w:rPr>
        <w:t xml:space="preserve"> los comprobantes de pago por concepto de finiquito de los servidores públicos referidos en la solicitud de información. </w:t>
      </w:r>
    </w:p>
    <w:p w:rsidR="00052CA1" w:rsidRPr="0034046B" w:rsidRDefault="00052C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No obstante, para el caso de que la información que se ordena entregar no obre en los archivos del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porque a la fecha de la solicitud, es decir, al veintiocho de mayo de dos mil veinticinco, no se hubiera pagado aún el finiquito, este deberá hacerlo del conocimiento de la parte </w:t>
      </w:r>
      <w:r w:rsidRPr="0034046B">
        <w:rPr>
          <w:rFonts w:ascii="Palatino Linotype" w:eastAsia="Palatino Linotype" w:hAnsi="Palatino Linotype" w:cs="Palatino Linotype"/>
          <w:b/>
          <w:sz w:val="22"/>
          <w:szCs w:val="22"/>
        </w:rPr>
        <w:t xml:space="preserve">Recurrente </w:t>
      </w:r>
      <w:r w:rsidRPr="0034046B">
        <w:rPr>
          <w:rFonts w:ascii="Palatino Linotype" w:eastAsia="Palatino Linotype" w:hAnsi="Palatino Linotype" w:cs="Palatino Linotype"/>
          <w:sz w:val="22"/>
          <w:szCs w:val="22"/>
        </w:rPr>
        <w:t>en términos del artículo 19, párrafo segundo, de la Ley de Transparencia y Acceso a la Información Pública del Estado de México y Municipios, para tenerse por colmado dicho requerimiento.</w:t>
      </w:r>
    </w:p>
    <w:p w:rsidR="00052CA1" w:rsidRPr="0034046B" w:rsidRDefault="00052CA1">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Finalmente, no pasa inadvertido para este Pleno que por cuanto hace a las manifestaciones consistentes en </w:t>
      </w:r>
      <w:r w:rsidRPr="0034046B">
        <w:rPr>
          <w:rFonts w:ascii="Palatino Linotype" w:eastAsia="Palatino Linotype" w:hAnsi="Palatino Linotype" w:cs="Palatino Linotype"/>
          <w:i/>
          <w:sz w:val="22"/>
          <w:szCs w:val="22"/>
        </w:rPr>
        <w:t>“… y sus hermanos …, de su cuñada, …, y del aviador …, pareja de …”</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i/>
          <w:sz w:val="22"/>
          <w:szCs w:val="22"/>
        </w:rPr>
        <w:t>ya sabemos que no los quieren apgar, pero ya decir tremenda....no puedo decir la palabra....ni la norma perez se atrevio a tanto…”</w:t>
      </w:r>
      <w:r w:rsidRPr="0034046B">
        <w:rPr>
          <w:rFonts w:ascii="Palatino Linotype" w:eastAsia="Palatino Linotype" w:hAnsi="Palatino Linotype" w:cs="Palatino Linotype"/>
          <w:sz w:val="22"/>
          <w:szCs w:val="22"/>
        </w:rPr>
        <w:t>, se trata de planteamientos subjetivos que no son atendibles mediante el derecho de acceso a la información pública, toda vez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trata de manifestaciones sobre las cuales este Instituto no está facultado para pronunciarse.</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Quinto. Versión Pública. </w:t>
      </w:r>
      <w:r w:rsidRPr="0034046B">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xml:space="preserve"> sin menoscabar el derecho a la protección de los datos personales de terceros.</w:t>
      </w:r>
    </w:p>
    <w:p w:rsidR="00052CA1" w:rsidRPr="0034046B" w:rsidRDefault="00052CA1">
      <w:pPr>
        <w:spacing w:line="360" w:lineRule="auto"/>
        <w:ind w:right="49"/>
        <w:jc w:val="both"/>
        <w:rPr>
          <w:rFonts w:ascii="Palatino Linotype" w:eastAsia="Palatino Linotype" w:hAnsi="Palatino Linotype" w:cs="Palatino Linotype"/>
          <w:sz w:val="22"/>
          <w:szCs w:val="22"/>
        </w:rPr>
      </w:pPr>
    </w:p>
    <w:p w:rsidR="00052CA1" w:rsidRPr="0034046B" w:rsidRDefault="00F361C7">
      <w:pP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rsidR="00052CA1" w:rsidRPr="0034046B" w:rsidRDefault="00052CA1">
      <w:pPr>
        <w:ind w:left="993" w:right="1041"/>
        <w:jc w:val="both"/>
        <w:rPr>
          <w:rFonts w:ascii="Palatino Linotype" w:eastAsia="Palatino Linotype" w:hAnsi="Palatino Linotype" w:cs="Palatino Linotype"/>
          <w:b/>
          <w:i/>
          <w:sz w:val="22"/>
          <w:szCs w:val="22"/>
        </w:rPr>
      </w:pPr>
    </w:p>
    <w:p w:rsidR="00052CA1" w:rsidRPr="0034046B" w:rsidRDefault="00F361C7">
      <w:pPr>
        <w:ind w:left="993" w:right="1041"/>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 xml:space="preserve"> “Artículo 3. Para los efectos de la presente Ley se entenderá por:</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IX. Datos personales:</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rPr>
        <w:t>La información concerniente a una persona, identificada o identificable</w:t>
      </w:r>
      <w:r w:rsidRPr="0034046B">
        <w:rPr>
          <w:rFonts w:ascii="Palatino Linotype" w:eastAsia="Palatino Linotype" w:hAnsi="Palatino Linotype" w:cs="Palatino Linotype"/>
          <w:i/>
          <w:sz w:val="22"/>
          <w:szCs w:val="22"/>
        </w:rPr>
        <w:t xml:space="preserve"> según lo dispuesto por la Ley de Protección de Datos Personales del Estado de México;</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XX. Información clasificada:</w:t>
      </w:r>
      <w:r w:rsidRPr="0034046B">
        <w:rPr>
          <w:rFonts w:ascii="Palatino Linotype" w:eastAsia="Palatino Linotype" w:hAnsi="Palatino Linotype" w:cs="Palatino Linotype"/>
          <w:i/>
          <w:sz w:val="22"/>
          <w:szCs w:val="22"/>
        </w:rPr>
        <w:t xml:space="preserve"> Aquella considerada por la presente Ley como reservada o confidencial;</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XXXII. Protección de Datos Personales:</w:t>
      </w:r>
      <w:r w:rsidRPr="0034046B">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XLV. Versión pública</w:t>
      </w:r>
      <w:r w:rsidRPr="0034046B">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052CA1" w:rsidRPr="0034046B" w:rsidRDefault="00052CA1">
      <w:pPr>
        <w:ind w:left="993" w:right="1041"/>
        <w:jc w:val="both"/>
        <w:rPr>
          <w:rFonts w:ascii="Palatino Linotype" w:eastAsia="Palatino Linotype" w:hAnsi="Palatino Linotype" w:cs="Palatino Linotype"/>
          <w:i/>
          <w:sz w:val="22"/>
          <w:szCs w:val="22"/>
        </w:rPr>
      </w:pP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6.</w:t>
      </w:r>
      <w:r w:rsidRPr="0034046B">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52CA1" w:rsidRPr="0034046B" w:rsidRDefault="00052CA1">
      <w:pPr>
        <w:ind w:left="993" w:right="1041"/>
        <w:jc w:val="both"/>
        <w:rPr>
          <w:rFonts w:ascii="Palatino Linotype" w:eastAsia="Palatino Linotype" w:hAnsi="Palatino Linotype" w:cs="Palatino Linotype"/>
          <w:i/>
          <w:sz w:val="22"/>
          <w:szCs w:val="22"/>
        </w:rPr>
      </w:pPr>
    </w:p>
    <w:p w:rsidR="00052CA1" w:rsidRPr="0034046B" w:rsidRDefault="00F361C7">
      <w:pPr>
        <w:ind w:left="993" w:right="1041"/>
        <w:jc w:val="both"/>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“Artículo 137.</w:t>
      </w:r>
      <w:r w:rsidRPr="0034046B">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52CA1" w:rsidRPr="0034046B" w:rsidRDefault="00052CA1">
      <w:pPr>
        <w:ind w:left="993" w:right="1041"/>
        <w:jc w:val="both"/>
        <w:rPr>
          <w:rFonts w:ascii="Palatino Linotype" w:eastAsia="Palatino Linotype" w:hAnsi="Palatino Linotype" w:cs="Palatino Linotype"/>
          <w:b/>
          <w:i/>
          <w:sz w:val="22"/>
          <w:szCs w:val="22"/>
        </w:rPr>
      </w:pP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143</w:t>
      </w:r>
      <w:r w:rsidRPr="0034046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I.</w:t>
      </w:r>
      <w:r w:rsidRPr="0034046B">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rsidR="00052CA1" w:rsidRPr="0034046B" w:rsidRDefault="00052CA1">
      <w:pPr>
        <w:ind w:left="993" w:right="1041"/>
        <w:jc w:val="both"/>
        <w:rPr>
          <w:rFonts w:ascii="Palatino Linotype" w:eastAsia="Palatino Linotype" w:hAnsi="Palatino Linotype" w:cs="Palatino Linotype"/>
          <w:i/>
          <w:sz w:val="22"/>
          <w:szCs w:val="22"/>
        </w:rPr>
      </w:pPr>
    </w:p>
    <w:p w:rsidR="00052CA1" w:rsidRPr="0034046B" w:rsidRDefault="00F361C7">
      <w:pPr>
        <w:spacing w:line="360" w:lineRule="auto"/>
        <w:ind w:right="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34046B">
        <w:rPr>
          <w:rFonts w:ascii="Palatino Linotype" w:eastAsia="Palatino Linotype" w:hAnsi="Palatino Linotype" w:cs="Palatino Linotype"/>
          <w:b/>
          <w:sz w:val="22"/>
          <w:szCs w:val="22"/>
        </w:rPr>
        <w:t>la parte</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052CA1" w:rsidRPr="0034046B" w:rsidRDefault="00052CA1">
      <w:pPr>
        <w:spacing w:line="360" w:lineRule="auto"/>
        <w:ind w:right="51"/>
        <w:jc w:val="both"/>
        <w:rPr>
          <w:rFonts w:ascii="Palatino Linotype" w:eastAsia="Palatino Linotype" w:hAnsi="Palatino Linotype" w:cs="Palatino Linotype"/>
          <w:sz w:val="22"/>
          <w:szCs w:val="22"/>
        </w:rPr>
      </w:pPr>
    </w:p>
    <w:p w:rsidR="00052CA1" w:rsidRPr="0034046B" w:rsidRDefault="00F361C7">
      <w:pPr>
        <w:spacing w:line="360" w:lineRule="auto"/>
        <w:ind w:right="50"/>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52CA1" w:rsidRPr="0034046B" w:rsidRDefault="00052CA1">
      <w:pPr>
        <w:spacing w:line="360" w:lineRule="auto"/>
        <w:ind w:right="51"/>
        <w:jc w:val="both"/>
        <w:rPr>
          <w:rFonts w:ascii="Palatino Linotype" w:eastAsia="Palatino Linotype" w:hAnsi="Palatino Linotype" w:cs="Palatino Linotype"/>
          <w:sz w:val="22"/>
          <w:szCs w:val="22"/>
        </w:rPr>
      </w:pPr>
    </w:p>
    <w:p w:rsidR="00052CA1" w:rsidRPr="0034046B" w:rsidRDefault="00F361C7">
      <w:pPr>
        <w:spacing w:line="360" w:lineRule="auto"/>
        <w:ind w:right="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rsidR="00052CA1" w:rsidRPr="0034046B" w:rsidRDefault="00052CA1">
      <w:pPr>
        <w:spacing w:line="360" w:lineRule="auto"/>
        <w:ind w:right="51"/>
        <w:jc w:val="both"/>
        <w:rPr>
          <w:rFonts w:ascii="Palatino Linotype" w:eastAsia="Palatino Linotype" w:hAnsi="Palatino Linotype" w:cs="Palatino Linotype"/>
          <w:sz w:val="22"/>
          <w:szCs w:val="22"/>
        </w:rPr>
      </w:pPr>
    </w:p>
    <w:p w:rsidR="00052CA1" w:rsidRPr="0034046B" w:rsidRDefault="00F361C7">
      <w:pPr>
        <w:ind w:left="992" w:right="1043"/>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49.</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rPr>
        <w:t>Los Comités de Transparencia</w:t>
      </w:r>
      <w:r w:rsidRPr="0034046B">
        <w:rPr>
          <w:rFonts w:ascii="Palatino Linotype" w:eastAsia="Palatino Linotype" w:hAnsi="Palatino Linotype" w:cs="Palatino Linotype"/>
          <w:i/>
          <w:sz w:val="22"/>
          <w:szCs w:val="22"/>
        </w:rPr>
        <w:t xml:space="preserve"> tendrán las siguientes atribuciones:</w:t>
      </w:r>
    </w:p>
    <w:p w:rsidR="00052CA1" w:rsidRPr="0034046B" w:rsidRDefault="00F361C7">
      <w:pPr>
        <w:ind w:left="992" w:right="1043"/>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VIII. Aprobar, modificar o revocar la clasificación de la información</w:t>
      </w:r>
      <w:r w:rsidRPr="0034046B">
        <w:rPr>
          <w:rFonts w:ascii="Palatino Linotype" w:eastAsia="Palatino Linotype" w:hAnsi="Palatino Linotype" w:cs="Palatino Linotype"/>
          <w:i/>
          <w:sz w:val="22"/>
          <w:szCs w:val="22"/>
        </w:rPr>
        <w:t>…”</w:t>
      </w:r>
    </w:p>
    <w:p w:rsidR="00052CA1" w:rsidRPr="0034046B" w:rsidRDefault="00F361C7">
      <w:pPr>
        <w:ind w:left="992" w:right="1043"/>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53.</w:t>
      </w:r>
      <w:r w:rsidRPr="0034046B">
        <w:rPr>
          <w:rFonts w:ascii="Palatino Linotype" w:eastAsia="Palatino Linotype" w:hAnsi="Palatino Linotype" w:cs="Palatino Linotype"/>
          <w:i/>
          <w:sz w:val="22"/>
          <w:szCs w:val="22"/>
        </w:rPr>
        <w:t xml:space="preserve"> Las </w:t>
      </w:r>
      <w:r w:rsidRPr="0034046B">
        <w:rPr>
          <w:rFonts w:ascii="Palatino Linotype" w:eastAsia="Palatino Linotype" w:hAnsi="Palatino Linotype" w:cs="Palatino Linotype"/>
          <w:b/>
          <w:i/>
          <w:sz w:val="22"/>
          <w:szCs w:val="22"/>
        </w:rPr>
        <w:t>Unidades de Transparencia</w:t>
      </w:r>
      <w:r w:rsidRPr="0034046B">
        <w:rPr>
          <w:rFonts w:ascii="Palatino Linotype" w:eastAsia="Palatino Linotype" w:hAnsi="Palatino Linotype" w:cs="Palatino Linotype"/>
          <w:i/>
          <w:sz w:val="22"/>
          <w:szCs w:val="22"/>
        </w:rPr>
        <w:t xml:space="preserve"> tendrán las siguientes </w:t>
      </w:r>
      <w:r w:rsidRPr="0034046B">
        <w:rPr>
          <w:rFonts w:ascii="Palatino Linotype" w:eastAsia="Palatino Linotype" w:hAnsi="Palatino Linotype" w:cs="Palatino Linotype"/>
          <w:b/>
          <w:i/>
          <w:sz w:val="22"/>
          <w:szCs w:val="22"/>
        </w:rPr>
        <w:t>funciones</w:t>
      </w:r>
      <w:r w:rsidRPr="0034046B">
        <w:rPr>
          <w:rFonts w:ascii="Palatino Linotype" w:eastAsia="Palatino Linotype" w:hAnsi="Palatino Linotype" w:cs="Palatino Linotype"/>
          <w:i/>
          <w:sz w:val="22"/>
          <w:szCs w:val="22"/>
        </w:rPr>
        <w:t>:</w:t>
      </w:r>
    </w:p>
    <w:p w:rsidR="00052CA1" w:rsidRPr="0034046B" w:rsidRDefault="00F361C7">
      <w:pPr>
        <w:ind w:left="992" w:right="1043"/>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X. Presentar ante el Comité, el proyecto de clasificación de información</w:t>
      </w:r>
      <w:r w:rsidRPr="0034046B">
        <w:rPr>
          <w:rFonts w:ascii="Palatino Linotype" w:eastAsia="Palatino Linotype" w:hAnsi="Palatino Linotype" w:cs="Palatino Linotype"/>
          <w:i/>
          <w:sz w:val="22"/>
          <w:szCs w:val="22"/>
        </w:rPr>
        <w:t xml:space="preserve">…” </w:t>
      </w:r>
    </w:p>
    <w:p w:rsidR="00052CA1" w:rsidRPr="0034046B" w:rsidRDefault="00F361C7">
      <w:pPr>
        <w:ind w:left="992" w:right="1043"/>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“Artículo 59.</w:t>
      </w:r>
      <w:r w:rsidRPr="0034046B">
        <w:rPr>
          <w:rFonts w:ascii="Palatino Linotype" w:eastAsia="Palatino Linotype" w:hAnsi="Palatino Linotype" w:cs="Palatino Linotype"/>
          <w:i/>
          <w:sz w:val="22"/>
          <w:szCs w:val="22"/>
        </w:rPr>
        <w:t xml:space="preserve"> Los </w:t>
      </w:r>
      <w:r w:rsidRPr="0034046B">
        <w:rPr>
          <w:rFonts w:ascii="Palatino Linotype" w:eastAsia="Palatino Linotype" w:hAnsi="Palatino Linotype" w:cs="Palatino Linotype"/>
          <w:b/>
          <w:i/>
          <w:sz w:val="22"/>
          <w:szCs w:val="22"/>
        </w:rPr>
        <w:t>servidores públicos habilitados</w:t>
      </w:r>
      <w:r w:rsidRPr="0034046B">
        <w:rPr>
          <w:rFonts w:ascii="Palatino Linotype" w:eastAsia="Palatino Linotype" w:hAnsi="Palatino Linotype" w:cs="Palatino Linotype"/>
          <w:i/>
          <w:sz w:val="22"/>
          <w:szCs w:val="22"/>
        </w:rPr>
        <w:t xml:space="preserve"> tendrán las </w:t>
      </w:r>
      <w:r w:rsidRPr="0034046B">
        <w:rPr>
          <w:rFonts w:ascii="Palatino Linotype" w:eastAsia="Palatino Linotype" w:hAnsi="Palatino Linotype" w:cs="Palatino Linotype"/>
          <w:b/>
          <w:i/>
          <w:sz w:val="22"/>
          <w:szCs w:val="22"/>
        </w:rPr>
        <w:t>funciones</w:t>
      </w:r>
      <w:r w:rsidRPr="0034046B">
        <w:rPr>
          <w:rFonts w:ascii="Palatino Linotype" w:eastAsia="Palatino Linotype" w:hAnsi="Palatino Linotype" w:cs="Palatino Linotype"/>
          <w:i/>
          <w:sz w:val="22"/>
          <w:szCs w:val="22"/>
        </w:rPr>
        <w:t xml:space="preserve"> siguientes:</w:t>
      </w:r>
    </w:p>
    <w:p w:rsidR="00052CA1" w:rsidRPr="0034046B" w:rsidRDefault="00F361C7">
      <w:pPr>
        <w:ind w:left="992" w:right="1043"/>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4046B">
        <w:rPr>
          <w:rFonts w:ascii="Palatino Linotype" w:eastAsia="Palatino Linotype" w:hAnsi="Palatino Linotype" w:cs="Palatino Linotype"/>
          <w:i/>
          <w:sz w:val="22"/>
          <w:szCs w:val="22"/>
        </w:rPr>
        <w:t xml:space="preserve">, la cual tendrá los fundamentos y argumentos en que se basa dicha propuesta…” </w:t>
      </w:r>
    </w:p>
    <w:p w:rsidR="00052CA1" w:rsidRPr="0034046B" w:rsidRDefault="00052CA1">
      <w:pPr>
        <w:ind w:left="992" w:right="1043"/>
        <w:jc w:val="both"/>
        <w:rPr>
          <w:rFonts w:ascii="Palatino Linotype" w:eastAsia="Palatino Linotype" w:hAnsi="Palatino Linotype" w:cs="Palatino Linotype"/>
          <w:i/>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ind w:left="993" w:right="1041"/>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Artículo 149.</w:t>
      </w:r>
      <w:r w:rsidRPr="0034046B">
        <w:rPr>
          <w:rFonts w:ascii="Palatino Linotype" w:eastAsia="Palatino Linotype" w:hAnsi="Palatino Linotype" w:cs="Palatino Linotype"/>
          <w:i/>
          <w:sz w:val="22"/>
          <w:szCs w:val="22"/>
        </w:rPr>
        <w:t xml:space="preserve"> El </w:t>
      </w:r>
      <w:r w:rsidRPr="0034046B">
        <w:rPr>
          <w:rFonts w:ascii="Palatino Linotype" w:eastAsia="Palatino Linotype" w:hAnsi="Palatino Linotype" w:cs="Palatino Linotype"/>
          <w:b/>
          <w:i/>
          <w:sz w:val="22"/>
          <w:szCs w:val="22"/>
        </w:rPr>
        <w:t>acuerdo que clasifique la información como confidencial</w:t>
      </w:r>
      <w:r w:rsidRPr="0034046B">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rsidR="00052CA1" w:rsidRPr="0034046B" w:rsidRDefault="00052CA1">
      <w:pPr>
        <w:spacing w:line="360" w:lineRule="auto"/>
        <w:ind w:right="51"/>
        <w:jc w:val="both"/>
        <w:rPr>
          <w:rFonts w:ascii="Palatino Linotype" w:eastAsia="Palatino Linotype" w:hAnsi="Palatino Linotype" w:cs="Palatino Linotype"/>
          <w:sz w:val="22"/>
          <w:szCs w:val="22"/>
        </w:rPr>
      </w:pPr>
    </w:p>
    <w:p w:rsidR="00052CA1" w:rsidRPr="0034046B" w:rsidRDefault="00F361C7">
      <w:pPr>
        <w:spacing w:line="360" w:lineRule="auto"/>
        <w:ind w:right="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Es decir,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Al respecto, se destaca que la versión pública que elabore el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4046B">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34046B">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052CA1" w:rsidRPr="0034046B" w:rsidRDefault="00052CA1">
      <w:pPr>
        <w:ind w:left="709" w:right="709"/>
        <w:jc w:val="both"/>
        <w:rPr>
          <w:rFonts w:ascii="Palatino Linotype" w:eastAsia="Palatino Linotype" w:hAnsi="Palatino Linotype" w:cs="Palatino Linotype"/>
          <w:b/>
          <w:i/>
          <w:sz w:val="22"/>
          <w:szCs w:val="22"/>
        </w:rPr>
      </w:pP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r w:rsidRPr="0034046B">
        <w:rPr>
          <w:rFonts w:ascii="Palatino Linotype" w:eastAsia="Palatino Linotype" w:hAnsi="Palatino Linotype" w:cs="Palatino Linotype"/>
          <w:b/>
          <w:i/>
          <w:sz w:val="22"/>
          <w:szCs w:val="22"/>
        </w:rPr>
        <w:t>Segundo.-</w:t>
      </w:r>
      <w:r w:rsidRPr="0034046B">
        <w:rPr>
          <w:rFonts w:ascii="Palatino Linotype" w:eastAsia="Palatino Linotype" w:hAnsi="Palatino Linotype" w:cs="Palatino Linotype"/>
          <w:i/>
          <w:sz w:val="22"/>
          <w:szCs w:val="22"/>
        </w:rPr>
        <w:t xml:space="preserve"> Para efectos de los presentes Lineamientos Generales, se entenderá por:</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XVIII.</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rPr>
        <w:t>Versión pública:</w:t>
      </w:r>
      <w:r w:rsidRPr="0034046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4046B">
        <w:rPr>
          <w:rFonts w:ascii="Palatino Linotype" w:eastAsia="Palatino Linotype" w:hAnsi="Palatino Linotype" w:cs="Palatino Linotype"/>
          <w:b/>
          <w:i/>
          <w:sz w:val="22"/>
          <w:szCs w:val="22"/>
          <w:u w:val="single"/>
        </w:rPr>
        <w:t>fundando y motivando la</w:t>
      </w:r>
      <w:r w:rsidRPr="0034046B">
        <w:rPr>
          <w:rFonts w:ascii="Palatino Linotype" w:eastAsia="Palatino Linotype" w:hAnsi="Palatino Linotype" w:cs="Palatino Linotype"/>
          <w:i/>
          <w:sz w:val="22"/>
          <w:szCs w:val="22"/>
        </w:rPr>
        <w:t xml:space="preserve"> reserva o </w:t>
      </w:r>
      <w:r w:rsidRPr="0034046B">
        <w:rPr>
          <w:rFonts w:ascii="Palatino Linotype" w:eastAsia="Palatino Linotype" w:hAnsi="Palatino Linotype" w:cs="Palatino Linotype"/>
          <w:b/>
          <w:i/>
          <w:sz w:val="22"/>
          <w:szCs w:val="22"/>
          <w:u w:val="single"/>
        </w:rPr>
        <w:t>confidencialidad</w:t>
      </w:r>
      <w:r w:rsidRPr="0034046B">
        <w:rPr>
          <w:rFonts w:ascii="Palatino Linotype" w:eastAsia="Palatino Linotype" w:hAnsi="Palatino Linotype" w:cs="Palatino Linotype"/>
          <w:i/>
          <w:sz w:val="22"/>
          <w:szCs w:val="22"/>
        </w:rPr>
        <w:t>, a través de la resolución que para tal efecto emita el Comité de Transparencia.</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Cuarto.</w:t>
      </w:r>
      <w:r w:rsidRPr="0034046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Quinto.</w:t>
      </w:r>
      <w:r w:rsidRPr="0034046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Séptimo.</w:t>
      </w:r>
      <w:r w:rsidRPr="0034046B">
        <w:rPr>
          <w:rFonts w:ascii="Palatino Linotype" w:eastAsia="Palatino Linotype" w:hAnsi="Palatino Linotype" w:cs="Palatino Linotype"/>
          <w:i/>
          <w:sz w:val="22"/>
          <w:szCs w:val="22"/>
        </w:rPr>
        <w:t xml:space="preserve"> La clasificación de la información se llevará a cabo en el momento en que:</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I.</w:t>
      </w:r>
      <w:r w:rsidRPr="0034046B">
        <w:rPr>
          <w:rFonts w:ascii="Palatino Linotype" w:eastAsia="Palatino Linotype" w:hAnsi="Palatino Linotype" w:cs="Palatino Linotype"/>
          <w:i/>
          <w:sz w:val="22"/>
          <w:szCs w:val="22"/>
        </w:rPr>
        <w:t xml:space="preserve"> Se reciba una solicitud de acceso a la información;</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II.</w:t>
      </w:r>
      <w:r w:rsidRPr="0034046B">
        <w:rPr>
          <w:rFonts w:ascii="Palatino Linotype" w:eastAsia="Palatino Linotype" w:hAnsi="Palatino Linotype" w:cs="Palatino Linotype"/>
          <w:i/>
          <w:sz w:val="22"/>
          <w:szCs w:val="22"/>
        </w:rPr>
        <w:t xml:space="preserve"> Se  determine mediante resolución del Comité de Transparencia, el órgano garante </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competente, o en cumplimiento a una sentencia del Poder Judicial; o</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III.</w:t>
      </w:r>
      <w:r w:rsidRPr="0034046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Octavo.</w:t>
      </w:r>
      <w:r w:rsidRPr="0034046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Noveno.</w:t>
      </w:r>
      <w:r w:rsidRPr="0034046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Décimo.</w:t>
      </w:r>
      <w:r w:rsidRPr="0034046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Décimo primero.</w:t>
      </w:r>
      <w:r w:rsidRPr="0034046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52CA1" w:rsidRPr="0034046B" w:rsidRDefault="00052CA1">
      <w:pPr>
        <w:pBdr>
          <w:top w:val="nil"/>
          <w:left w:val="nil"/>
          <w:bottom w:val="nil"/>
          <w:right w:val="nil"/>
          <w:between w:val="nil"/>
        </w:pBdr>
        <w:ind w:right="70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w:t>
      </w:r>
    </w:p>
    <w:p w:rsidR="00052CA1" w:rsidRPr="0034046B" w:rsidRDefault="00F361C7">
      <w:pPr>
        <w:pBdr>
          <w:top w:val="nil"/>
          <w:left w:val="nil"/>
          <w:bottom w:val="nil"/>
          <w:right w:val="nil"/>
          <w:between w:val="nil"/>
        </w:pBdr>
        <w:ind w:left="709" w:right="709"/>
        <w:jc w:val="center"/>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CAPÍTULO VIII</w:t>
      </w:r>
    </w:p>
    <w:p w:rsidR="00052CA1" w:rsidRPr="0034046B" w:rsidRDefault="00F361C7">
      <w:pPr>
        <w:pBdr>
          <w:top w:val="nil"/>
          <w:left w:val="nil"/>
          <w:bottom w:val="nil"/>
          <w:right w:val="nil"/>
          <w:between w:val="nil"/>
        </w:pBdr>
        <w:ind w:left="709" w:right="709"/>
        <w:jc w:val="center"/>
        <w:rPr>
          <w:rFonts w:ascii="Palatino Linotype" w:eastAsia="Palatino Linotype" w:hAnsi="Palatino Linotype" w:cs="Palatino Linotype"/>
          <w:b/>
          <w:i/>
          <w:sz w:val="22"/>
          <w:szCs w:val="22"/>
        </w:rPr>
      </w:pPr>
      <w:r w:rsidRPr="0034046B">
        <w:rPr>
          <w:rFonts w:ascii="Palatino Linotype" w:eastAsia="Palatino Linotype" w:hAnsi="Palatino Linotype" w:cs="Palatino Linotype"/>
          <w:b/>
          <w:i/>
          <w:sz w:val="22"/>
          <w:szCs w:val="22"/>
        </w:rPr>
        <w:t>DE LOS ELEMENTOS PARA LA CLASIFICACIÓN</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Quincuagésimo</w:t>
      </w:r>
      <w:r w:rsidRPr="0034046B">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Quincuagésimo primero</w:t>
      </w:r>
      <w:r w:rsidRPr="0034046B">
        <w:rPr>
          <w:rFonts w:ascii="Palatino Linotype" w:eastAsia="Palatino Linotype" w:hAnsi="Palatino Linotype" w:cs="Palatino Linotype"/>
          <w:i/>
          <w:sz w:val="22"/>
          <w:szCs w:val="22"/>
        </w:rPr>
        <w:t>. Toda acta del Comité de Transparencia deberá contener:</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xml:space="preserve">I. El número de sesión y fecha; </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 El nombre del área que solicitó la clasificación de información;</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III. La fundamentación legal y motivación correspondiente;</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IV. La resolución o resoluciones aprobadas; y</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xml:space="preserve">V. La rúbrica o firma digital de cada integrante del Comité de Transparencia. </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 Los motivos y razonamientos que sustenten la confirmación o modificación de la prueba de daño;</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 Descripción de las partes o secciones reservadas, en caso de clasificación parcial;</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III. El periodo por el que mantendrá su clasificación y fecha de expiración; y</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IV. El nombre del titular y área encargada de realizar la versión pública del documento, en su caso.</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Quincuagésimo segundo</w:t>
      </w:r>
      <w:r w:rsidRPr="0034046B">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III. Señalar las personas o instancias autorizadas a acceder a la información clasificada.</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052CA1" w:rsidRPr="0034046B" w:rsidRDefault="00F361C7">
      <w:pPr>
        <w:pBdr>
          <w:top w:val="nil"/>
          <w:left w:val="nil"/>
          <w:bottom w:val="nil"/>
          <w:right w:val="nil"/>
          <w:between w:val="nil"/>
        </w:pBdr>
        <w:ind w:left="709" w:right="70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rsidR="00052CA1" w:rsidRPr="0034046B" w:rsidRDefault="00052CA1">
      <w:pPr>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bookmarkStart w:id="8" w:name="_heading=h.lnxbz9" w:colFirst="0" w:colLast="0"/>
      <w:bookmarkEnd w:id="8"/>
      <w:r w:rsidRPr="0034046B">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Por otro lado, debemos tener en cuenta que derivado de la naturaleza de la información que se entregará, es necesario realizar las siguientes precisiones respecto a datos que pudieran obrar en la documentación y son susceptibles de clasificación:</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Por cuanto hace al </w:t>
      </w:r>
      <w:r w:rsidRPr="0034046B">
        <w:rPr>
          <w:rFonts w:ascii="Palatino Linotype" w:eastAsia="Palatino Linotype" w:hAnsi="Palatino Linotype" w:cs="Palatino Linotype"/>
          <w:b/>
          <w:sz w:val="22"/>
          <w:szCs w:val="22"/>
          <w:u w:val="single"/>
        </w:rPr>
        <w:t>Registro Federal de Contribuyentes, RFC</w:t>
      </w:r>
      <w:r w:rsidRPr="0034046B">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052CA1" w:rsidRPr="0034046B" w:rsidRDefault="00052C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52CA1" w:rsidRPr="0034046B" w:rsidRDefault="00052C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Lo anterior es compartido por el Instituto Nacional de Transparencia, Acceso a la Información y Protección de Datos Personales, INAI, a través del Criterio 19/17, el cual es del tenor literal siguiente:</w:t>
      </w:r>
    </w:p>
    <w:p w:rsidR="00052CA1" w:rsidRPr="0034046B" w:rsidRDefault="00052CA1">
      <w:pPr>
        <w:pBdr>
          <w:top w:val="nil"/>
          <w:left w:val="nil"/>
          <w:bottom w:val="nil"/>
          <w:right w:val="nil"/>
          <w:between w:val="nil"/>
        </w:pBdr>
        <w:ind w:left="567" w:right="900"/>
        <w:jc w:val="both"/>
        <w:rPr>
          <w:rFonts w:ascii="Palatino Linotype" w:eastAsia="Palatino Linotype" w:hAnsi="Palatino Linotype" w:cs="Palatino Linotype"/>
          <w:i/>
          <w:sz w:val="22"/>
          <w:szCs w:val="22"/>
        </w:rPr>
      </w:pP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“Registro Federal de Contribuyentes (RFC) de personas físicas. El RFC es una clave de carácter fiscal, única e irrepetible, que permite identificar al titular, su edad y fecha de nacimiento, por lo que es un dato personal de carácter confidencial.”</w:t>
      </w:r>
    </w:p>
    <w:p w:rsidR="00052CA1" w:rsidRPr="0034046B" w:rsidRDefault="00052CA1">
      <w:pPr>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 y por ende, resulta pertinente su clasificación.</w:t>
      </w:r>
    </w:p>
    <w:p w:rsidR="00052CA1" w:rsidRPr="0034046B" w:rsidRDefault="00052C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ind w:right="49"/>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 Clave Única de Registro de Personal (CURP)</w:t>
      </w:r>
    </w:p>
    <w:p w:rsidR="00052CA1" w:rsidRPr="0034046B" w:rsidRDefault="00052CA1">
      <w:pPr>
        <w:pBdr>
          <w:top w:val="nil"/>
          <w:left w:val="nil"/>
          <w:bottom w:val="nil"/>
          <w:right w:val="nil"/>
          <w:between w:val="nil"/>
        </w:pBdr>
        <w:ind w:right="49"/>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Argumento que es compartido por el entonces Instituto Nacional de Transparencia, Acceso a la Información y Protección de Datos (INAI)</w:t>
      </w:r>
      <w:r w:rsidRPr="0034046B">
        <w:rPr>
          <w:rFonts w:ascii="Palatino Linotype" w:eastAsia="Palatino Linotype" w:hAnsi="Palatino Linotype" w:cs="Palatino Linotype"/>
          <w:b/>
          <w:sz w:val="22"/>
          <w:szCs w:val="22"/>
        </w:rPr>
        <w:t xml:space="preserve">, conforme al </w:t>
      </w:r>
      <w:r w:rsidRPr="0034046B">
        <w:rPr>
          <w:rFonts w:ascii="Palatino Linotype" w:eastAsia="Palatino Linotype" w:hAnsi="Palatino Linotype" w:cs="Palatino Linotype"/>
          <w:sz w:val="22"/>
          <w:szCs w:val="22"/>
        </w:rPr>
        <w:t>criterio número 18/17, el cual refiere: </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b/>
          <w:i/>
          <w:sz w:val="22"/>
          <w:szCs w:val="22"/>
        </w:rPr>
        <w:t xml:space="preserve">“Clave Única de Registro de Población (CURP). </w:t>
      </w:r>
      <w:r w:rsidRPr="0034046B">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052CA1" w:rsidRPr="0034046B" w:rsidRDefault="00052CA1">
      <w:pPr>
        <w:pBdr>
          <w:top w:val="nil"/>
          <w:left w:val="nil"/>
          <w:bottom w:val="nil"/>
          <w:right w:val="nil"/>
          <w:between w:val="nil"/>
        </w:pBdr>
        <w:ind w:left="851" w:right="616"/>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En otro orden de ideas, la información relativa a los números de cuenta bancarios y clabes interbancarias es información confidencial, toda vez que su publicidad no abona a la transparencia y a la rendición de cuentas, sirve de sustento lo dispuesto en el </w:t>
      </w:r>
      <w:r w:rsidRPr="0034046B">
        <w:rPr>
          <w:rFonts w:ascii="Palatino Linotype" w:eastAsia="Palatino Linotype" w:hAnsi="Palatino Linotype" w:cs="Palatino Linotype"/>
          <w:b/>
          <w:sz w:val="22"/>
          <w:szCs w:val="22"/>
        </w:rPr>
        <w:t>criterio 10/17</w:t>
      </w:r>
      <w:r w:rsidRPr="0034046B">
        <w:rPr>
          <w:rFonts w:ascii="Palatino Linotype" w:eastAsia="Palatino Linotype" w:hAnsi="Palatino Linotype" w:cs="Palatino Linotype"/>
          <w:sz w:val="22"/>
          <w:szCs w:val="22"/>
        </w:rPr>
        <w:t xml:space="preserve"> emitido por el INAI, que es del tenor literal siguiente:</w:t>
      </w:r>
    </w:p>
    <w:p w:rsidR="00052CA1" w:rsidRPr="0034046B" w:rsidRDefault="00052CA1">
      <w:pPr>
        <w:pBdr>
          <w:top w:val="nil"/>
          <w:left w:val="nil"/>
          <w:bottom w:val="nil"/>
          <w:right w:val="nil"/>
          <w:between w:val="nil"/>
        </w:pBdr>
        <w:ind w:left="851" w:right="902"/>
        <w:jc w:val="both"/>
        <w:rPr>
          <w:rFonts w:ascii="Palatino Linotype" w:eastAsia="Palatino Linotype" w:hAnsi="Palatino Linotype" w:cs="Palatino Linotype"/>
          <w:b/>
          <w:i/>
          <w:sz w:val="22"/>
          <w:szCs w:val="22"/>
        </w:rPr>
      </w:pP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i/>
          <w:sz w:val="22"/>
          <w:szCs w:val="22"/>
        </w:rPr>
        <w:t>“Cuentas bancarias y/o CLABE interbancaria de personas físicas y morales privadas. El número de cuenta bancaria y/o CLABE interbancaria de particulares es información confidencial</w:t>
      </w:r>
      <w:r w:rsidRPr="0034046B">
        <w:rPr>
          <w:rFonts w:ascii="Palatino Linotype" w:eastAsia="Palatino Linotype" w:hAnsi="Palatino Linotype" w:cs="Palatino Linotype"/>
          <w:i/>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Resoluciones: </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RRA 1276/16 Grupo Aeroportuario de la Ciudad de México. S.A. de C.V. 01 de noviembre de 2016. Por unanimidad. Comisionada Ponente Areli Cano Guadiana.</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RRA 3527/16 Servicio de Administración Tributaria. 07 de diciembre de 2016. Por unanimidad. Comisionada Ponente Ximena Puente de la Mora. ∙ </w:t>
      </w:r>
    </w:p>
    <w:p w:rsidR="00052CA1" w:rsidRPr="0034046B" w:rsidRDefault="00F361C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i/>
          <w:sz w:val="22"/>
          <w:szCs w:val="22"/>
        </w:rPr>
        <w:t>RRA 4404/16 Partido del Trabajo. 01 de febrero de 2017. Por unanimidad. Comisionado Ponente Francisco Acuña Llamas.”</w:t>
      </w:r>
    </w:p>
    <w:p w:rsidR="00052CA1" w:rsidRPr="0034046B" w:rsidRDefault="00052CA1">
      <w:pPr>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Asimismo, el artículo 2°, fracción III, de la Ley General de Títulos y Operaciones de Crédito establece que los actos y las operaciones que regula esta Ley General, se regirán por los usos bancarios y mercantiles, es así que, a manera de contextualización la cuenta bancaria y estado de cuenta se definen como:</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numPr>
          <w:ilvl w:val="0"/>
          <w:numId w:val="4"/>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Cuenta bancaria:</w:t>
      </w:r>
      <w:r w:rsidRPr="0034046B">
        <w:rPr>
          <w:rFonts w:ascii="Palatino Linotype" w:eastAsia="Palatino Linotype" w:hAnsi="Palatino Linotype" w:cs="Palatino Linotype"/>
          <w:sz w:val="22"/>
          <w:szCs w:val="22"/>
        </w:rPr>
        <w:t xml:space="preserve"> Una cuenta bancaria es un registro que mantiene un banco, en el que guarda dinero y contabiliza todas las entradas y salidas de efectivo, así como los créditos en curso, inversiones y productos relacionados.</w:t>
      </w:r>
    </w:p>
    <w:p w:rsidR="00052CA1" w:rsidRPr="0034046B" w:rsidRDefault="00F361C7">
      <w:pPr>
        <w:numPr>
          <w:ilvl w:val="0"/>
          <w:numId w:val="4"/>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Estado de cuenta:</w:t>
      </w:r>
      <w:r w:rsidRPr="0034046B">
        <w:rPr>
          <w:rFonts w:ascii="Palatino Linotype" w:eastAsia="Palatino Linotype" w:hAnsi="Palatino Linotype" w:cs="Palatino Linotype"/>
          <w:sz w:val="22"/>
          <w:szCs w:val="22"/>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rsidR="00052CA1" w:rsidRPr="0034046B" w:rsidRDefault="00052CA1">
      <w:pPr>
        <w:pBdr>
          <w:top w:val="nil"/>
          <w:left w:val="nil"/>
          <w:bottom w:val="nil"/>
          <w:right w:val="nil"/>
          <w:between w:val="nil"/>
        </w:pBdr>
        <w:spacing w:line="360" w:lineRule="auto"/>
        <w:ind w:left="567" w:right="900"/>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Ahora bien, respecto del </w:t>
      </w:r>
      <w:r w:rsidRPr="0034046B">
        <w:rPr>
          <w:rFonts w:ascii="Palatino Linotype" w:eastAsia="Palatino Linotype" w:hAnsi="Palatino Linotype" w:cs="Palatino Linotype"/>
          <w:b/>
          <w:sz w:val="22"/>
          <w:szCs w:val="22"/>
        </w:rPr>
        <w:t>número de cuenta</w:t>
      </w:r>
      <w:r w:rsidRPr="0034046B">
        <w:rPr>
          <w:rFonts w:ascii="Palatino Linotype" w:eastAsia="Palatino Linotype" w:hAnsi="Palatino Linotype" w:cs="Palatino Linotype"/>
          <w:sz w:val="22"/>
          <w:szCs w:val="22"/>
        </w:rPr>
        <w:t xml:space="preserve"> es un conjunto de caracteres numéricos utilizado por los grupos financieros para identificar a los clientes. Dicho número es único e irrepetible, establecido a cada cuenta bancaria que avala que los recursos enviados a las órdenes de cargo, pago de nómina o a las transferencias electrónicas de fondos interbancarios se utilicen exclusivamente en la cuenta señalada por el cliente. </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Por lo que respecta al </w:t>
      </w:r>
      <w:r w:rsidRPr="0034046B">
        <w:rPr>
          <w:rFonts w:ascii="Palatino Linotype" w:eastAsia="Palatino Linotype" w:hAnsi="Palatino Linotype" w:cs="Palatino Linotype"/>
          <w:b/>
          <w:sz w:val="22"/>
          <w:szCs w:val="22"/>
        </w:rPr>
        <w:t>número de cuenta bancaria</w:t>
      </w:r>
      <w:r w:rsidRPr="0034046B">
        <w:rPr>
          <w:rFonts w:ascii="Palatino Linotype" w:eastAsia="Palatino Linotype" w:hAnsi="Palatino Linotype" w:cs="Palatino Linotype"/>
          <w:sz w:val="22"/>
          <w:szCs w:val="22"/>
        </w:rPr>
        <w:t>, es un número único e irrepetible asignado a cada cuenta bancaria, que garantiza que los recursos enviados a las órdenes de cargo (transferencias electrónicas de fondos interbancarios bancos) se apliquen exclusivamente a la cuenta señalada por el cliente, como destino u origen. Dicha clave se compone de 18 dígitos numéricos que corresponden a los siguientes datos:</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numPr>
          <w:ilvl w:val="0"/>
          <w:numId w:val="5"/>
        </w:numPr>
        <w:pBdr>
          <w:top w:val="nil"/>
          <w:left w:val="nil"/>
          <w:bottom w:val="nil"/>
          <w:right w:val="nil"/>
          <w:between w:val="nil"/>
        </w:pBdr>
        <w:spacing w:line="276" w:lineRule="auto"/>
        <w:ind w:left="567" w:right="900" w:hanging="283"/>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CÓDIGO DE BANCO:</w:t>
      </w:r>
      <w:r w:rsidRPr="0034046B">
        <w:rPr>
          <w:rFonts w:ascii="Palatino Linotype" w:eastAsia="Palatino Linotype" w:hAnsi="Palatino Linotype" w:cs="Palatino Linotype"/>
          <w:sz w:val="22"/>
          <w:szCs w:val="22"/>
        </w:rPr>
        <w:t xml:space="preserve"> Donde radica la cuenta, de acuerdo con los números asignados a las Instituciones de Crédito Asociación de Bancos de México (tres dígitos).</w:t>
      </w:r>
    </w:p>
    <w:p w:rsidR="00052CA1" w:rsidRPr="0034046B" w:rsidRDefault="00F361C7">
      <w:pPr>
        <w:numPr>
          <w:ilvl w:val="0"/>
          <w:numId w:val="5"/>
        </w:numPr>
        <w:pBdr>
          <w:top w:val="nil"/>
          <w:left w:val="nil"/>
          <w:bottom w:val="nil"/>
          <w:right w:val="nil"/>
          <w:between w:val="nil"/>
        </w:pBdr>
        <w:spacing w:line="276" w:lineRule="auto"/>
        <w:ind w:left="567" w:right="900" w:hanging="14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CÓDIGO DE PLAZA:</w:t>
      </w:r>
      <w:r w:rsidRPr="0034046B">
        <w:rPr>
          <w:rFonts w:ascii="Palatino Linotype" w:eastAsia="Palatino Linotype" w:hAnsi="Palatino Linotype" w:cs="Palatino Linotype"/>
          <w:sz w:val="22"/>
          <w:szCs w:val="22"/>
        </w:rPr>
        <w:t xml:space="preserve"> Ciudad o región donde el cliente mantiene su cuenta, de acuerdo con la definición de claves de plaza definida para el servicio de cheques (tres dígitos). </w:t>
      </w:r>
    </w:p>
    <w:p w:rsidR="00052CA1" w:rsidRPr="0034046B" w:rsidRDefault="00F361C7">
      <w:pPr>
        <w:numPr>
          <w:ilvl w:val="0"/>
          <w:numId w:val="5"/>
        </w:numPr>
        <w:pBdr>
          <w:top w:val="nil"/>
          <w:left w:val="nil"/>
          <w:bottom w:val="nil"/>
          <w:right w:val="nil"/>
          <w:between w:val="nil"/>
        </w:pBdr>
        <w:spacing w:line="276" w:lineRule="auto"/>
        <w:ind w:left="567" w:right="900" w:hanging="14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NUMERO DE CUENTA:</w:t>
      </w:r>
      <w:r w:rsidRPr="0034046B">
        <w:rPr>
          <w:rFonts w:ascii="Palatino Linotype" w:eastAsia="Palatino Linotype" w:hAnsi="Palatino Linotype" w:cs="Palatino Linotype"/>
          <w:sz w:val="22"/>
          <w:szCs w:val="22"/>
        </w:rPr>
        <w:t xml:space="preserve"> Campo en donde se incluye la información que cada banco para individualizar la cuenta de sus clientes (once dígitos), y </w:t>
      </w:r>
    </w:p>
    <w:p w:rsidR="00052CA1" w:rsidRPr="0034046B" w:rsidRDefault="00F361C7">
      <w:pPr>
        <w:numPr>
          <w:ilvl w:val="0"/>
          <w:numId w:val="5"/>
        </w:numPr>
        <w:pBdr>
          <w:top w:val="nil"/>
          <w:left w:val="nil"/>
          <w:bottom w:val="nil"/>
          <w:right w:val="nil"/>
          <w:between w:val="nil"/>
        </w:pBdr>
        <w:spacing w:line="276" w:lineRule="auto"/>
        <w:ind w:left="567" w:right="900" w:hanging="14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DÍGITO DE CONTROL.</w:t>
      </w:r>
      <w:r w:rsidRPr="0034046B">
        <w:rPr>
          <w:rFonts w:ascii="Palatino Linotype" w:eastAsia="Palatino Linotype" w:hAnsi="Palatino Linotype" w:cs="Palatino Linotype"/>
          <w:sz w:val="22"/>
          <w:szCs w:val="22"/>
        </w:rPr>
        <w:t xml:space="preserve"> Es un dígito que se obtiene a través de aplicar un algoritmo que permite validar que la estructura de los datos contenidos en la CLABE sean correctos (un dígito).</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Así las cuentas bancarias otorgadas a un particular y su Clabe es única e irrepetible, estableciendo con ello una relación que avala que los cargos efectuados, las transferencias electrónicas realizadas o los abonos efectuados corresponden, exclusivamente a la cuenta proporcionada a su titular, creando con ello una relación entre el titular y la institución encargada de prestar servicios de carácter financiero, mismo que se encuentra estrechamente relacionada con el patrimonio a la que se asignó el número. </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Derivado de lo anterior, se considera que la cuenta bancaria y la CLABE interbancaria, del </w:t>
      </w:r>
      <w:r w:rsidRPr="0034046B">
        <w:rPr>
          <w:rFonts w:ascii="Palatino Linotype" w:eastAsia="Palatino Linotype" w:hAnsi="Palatino Linotype" w:cs="Palatino Linotype"/>
          <w:b/>
          <w:sz w:val="22"/>
          <w:szCs w:val="22"/>
        </w:rPr>
        <w:t>particular</w:t>
      </w:r>
      <w:r w:rsidRPr="0034046B">
        <w:rPr>
          <w:rFonts w:ascii="Palatino Linotype" w:eastAsia="Palatino Linotype" w:hAnsi="Palatino Linotype" w:cs="Palatino Linotype"/>
          <w:sz w:val="22"/>
          <w:szCs w:val="22"/>
        </w:rPr>
        <w:t xml:space="preserve"> se encuentra asociado a su patrimonio, entendiendo éste como el conjunto de bienes, fondos, derechos, obligaciones; por tanto, se trata de información que no es de dominio público, por ello resulta procedente su clasificación como confidencial.</w:t>
      </w:r>
    </w:p>
    <w:p w:rsidR="00052CA1" w:rsidRPr="0034046B" w:rsidRDefault="00052C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052CA1" w:rsidRPr="0034046B" w:rsidRDefault="00F361C7">
      <w:pPr>
        <w:shd w:val="clear" w:color="auto" w:fill="FFFFFF"/>
        <w:spacing w:line="360" w:lineRule="auto"/>
        <w:ind w:right="51"/>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 xml:space="preserve">Finalmente, es de precisar que la entrega de documentos en su versión pública debe acompañarse necesariamente del Acuerdo del Comité de Transparencia que la sustente, en el que se expongan los fundamentos y razonamientos que llevaron al </w:t>
      </w:r>
      <w:r w:rsidRPr="0034046B">
        <w:rPr>
          <w:rFonts w:ascii="Palatino Linotype" w:eastAsia="Palatino Linotype" w:hAnsi="Palatino Linotype" w:cs="Palatino Linotype"/>
          <w:b/>
          <w:sz w:val="22"/>
          <w:szCs w:val="22"/>
        </w:rPr>
        <w:t>Sujeto Obligado</w:t>
      </w:r>
      <w:r w:rsidRPr="0034046B">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34046B">
        <w:rPr>
          <w:rFonts w:ascii="Palatino Linotype" w:eastAsia="Palatino Linotype" w:hAnsi="Palatino Linotype" w:cs="Palatino Linotype"/>
          <w:b/>
          <w:sz w:val="22"/>
          <w:szCs w:val="22"/>
        </w:rPr>
        <w:t>Recurrente</w:t>
      </w:r>
      <w:r w:rsidRPr="0034046B">
        <w:rPr>
          <w:rFonts w:ascii="Palatino Linotype" w:eastAsia="Palatino Linotype" w:hAnsi="Palatino Linotype" w:cs="Palatino Linotype"/>
          <w:sz w:val="22"/>
          <w:szCs w:val="22"/>
        </w:rPr>
        <w:t>.</w:t>
      </w:r>
    </w:p>
    <w:p w:rsidR="00052CA1" w:rsidRPr="0034046B" w:rsidRDefault="00052CA1">
      <w:pPr>
        <w:shd w:val="clear" w:color="auto" w:fill="FFFFFF"/>
        <w:spacing w:line="360" w:lineRule="auto"/>
        <w:ind w:right="51"/>
        <w:jc w:val="both"/>
        <w:rPr>
          <w:rFonts w:ascii="Palatino Linotype" w:eastAsia="Palatino Linotype" w:hAnsi="Palatino Linotype" w:cs="Palatino Linotype"/>
          <w:sz w:val="22"/>
          <w:szCs w:val="22"/>
        </w:rPr>
      </w:pPr>
    </w:p>
    <w:p w:rsidR="00052CA1" w:rsidRPr="0034046B" w:rsidRDefault="00F361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9" w:name="_heading=h.ijv98pntcd5s" w:colFirst="0" w:colLast="0"/>
      <w:bookmarkEnd w:id="9"/>
      <w:r w:rsidRPr="0034046B">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rsidR="00052CA1" w:rsidRPr="0034046B" w:rsidRDefault="00F361C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III. R E S U E L V E</w:t>
      </w:r>
    </w:p>
    <w:p w:rsidR="00052CA1" w:rsidRPr="0034046B" w:rsidRDefault="00052CA1">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p>
    <w:p w:rsidR="00052CA1" w:rsidRPr="0034046B" w:rsidRDefault="00F361C7">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r w:rsidRPr="0034046B">
        <w:rPr>
          <w:rFonts w:ascii="Palatino Linotype" w:eastAsia="Palatino Linotype" w:hAnsi="Palatino Linotype" w:cs="Palatino Linotype"/>
          <w:b/>
          <w:sz w:val="22"/>
          <w:szCs w:val="22"/>
        </w:rPr>
        <w:t xml:space="preserve">Primero. </w:t>
      </w:r>
      <w:r w:rsidRPr="0034046B">
        <w:rPr>
          <w:rFonts w:ascii="Palatino Linotype" w:eastAsia="Palatino Linotype" w:hAnsi="Palatino Linotype" w:cs="Palatino Linotype"/>
          <w:sz w:val="22"/>
          <w:szCs w:val="22"/>
        </w:rPr>
        <w:t xml:space="preserve">Resultan </w:t>
      </w:r>
      <w:r w:rsidRPr="0034046B">
        <w:rPr>
          <w:rFonts w:ascii="Palatino Linotype" w:eastAsia="Palatino Linotype" w:hAnsi="Palatino Linotype" w:cs="Palatino Linotype"/>
          <w:b/>
          <w:sz w:val="22"/>
          <w:szCs w:val="22"/>
        </w:rPr>
        <w:t>parcialmente fundadas</w:t>
      </w:r>
      <w:r w:rsidRPr="0034046B">
        <w:rPr>
          <w:rFonts w:ascii="Palatino Linotype" w:eastAsia="Palatino Linotype" w:hAnsi="Palatino Linotype" w:cs="Palatino Linotype"/>
          <w:sz w:val="22"/>
          <w:szCs w:val="22"/>
        </w:rPr>
        <w:t xml:space="preserve"> las razones o motivos de inconformidad hechos valer por la parte</w:t>
      </w:r>
      <w:r w:rsidRPr="0034046B">
        <w:rPr>
          <w:rFonts w:ascii="Palatino Linotype" w:eastAsia="Palatino Linotype" w:hAnsi="Palatino Linotype" w:cs="Palatino Linotype"/>
          <w:b/>
          <w:sz w:val="22"/>
          <w:szCs w:val="22"/>
        </w:rPr>
        <w:t xml:space="preserve"> Recurrente</w:t>
      </w:r>
      <w:r w:rsidRPr="0034046B">
        <w:rPr>
          <w:rFonts w:ascii="Palatino Linotype" w:eastAsia="Palatino Linotype" w:hAnsi="Palatino Linotype" w:cs="Palatino Linotype"/>
          <w:sz w:val="22"/>
          <w:szCs w:val="22"/>
        </w:rPr>
        <w:t xml:space="preserve"> en el recurso de revisión </w:t>
      </w:r>
      <w:r w:rsidRPr="0034046B">
        <w:rPr>
          <w:rFonts w:ascii="Palatino Linotype" w:eastAsia="Palatino Linotype" w:hAnsi="Palatino Linotype" w:cs="Palatino Linotype"/>
          <w:b/>
          <w:sz w:val="22"/>
          <w:szCs w:val="22"/>
        </w:rPr>
        <w:t>07379/INFOEM/IP/RR/2025</w:t>
      </w:r>
      <w:r w:rsidRPr="0034046B">
        <w:rPr>
          <w:rFonts w:ascii="Palatino Linotype" w:eastAsia="Palatino Linotype" w:hAnsi="Palatino Linotype" w:cs="Palatino Linotype"/>
          <w:sz w:val="22"/>
          <w:szCs w:val="22"/>
        </w:rPr>
        <w:t xml:space="preserve">; por lo que, en términos del </w:t>
      </w:r>
      <w:r w:rsidRPr="0034046B">
        <w:rPr>
          <w:rFonts w:ascii="Palatino Linotype" w:eastAsia="Palatino Linotype" w:hAnsi="Palatino Linotype" w:cs="Palatino Linotype"/>
          <w:b/>
          <w:sz w:val="22"/>
          <w:szCs w:val="22"/>
        </w:rPr>
        <w:t>Considerando</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b/>
          <w:sz w:val="22"/>
          <w:szCs w:val="22"/>
        </w:rPr>
        <w:t xml:space="preserve">Cuarto </w:t>
      </w:r>
      <w:r w:rsidRPr="0034046B">
        <w:rPr>
          <w:rFonts w:ascii="Palatino Linotype" w:eastAsia="Palatino Linotype" w:hAnsi="Palatino Linotype" w:cs="Palatino Linotype"/>
          <w:sz w:val="22"/>
          <w:szCs w:val="22"/>
        </w:rPr>
        <w:t xml:space="preserve">de esta resolución, se </w:t>
      </w:r>
      <w:r w:rsidRPr="0034046B">
        <w:rPr>
          <w:rFonts w:ascii="Palatino Linotype" w:eastAsia="Palatino Linotype" w:hAnsi="Palatino Linotype" w:cs="Palatino Linotype"/>
          <w:b/>
          <w:sz w:val="22"/>
          <w:szCs w:val="22"/>
        </w:rPr>
        <w:t xml:space="preserve">Revoca </w:t>
      </w:r>
      <w:r w:rsidRPr="0034046B">
        <w:rPr>
          <w:rFonts w:ascii="Palatino Linotype" w:eastAsia="Palatino Linotype" w:hAnsi="Palatino Linotype" w:cs="Palatino Linotype"/>
          <w:sz w:val="22"/>
          <w:szCs w:val="22"/>
        </w:rPr>
        <w:t xml:space="preserve">la respuesta emitida por el </w:t>
      </w:r>
      <w:r w:rsidRPr="0034046B">
        <w:rPr>
          <w:rFonts w:ascii="Palatino Linotype" w:eastAsia="Palatino Linotype" w:hAnsi="Palatino Linotype" w:cs="Palatino Linotype"/>
          <w:b/>
          <w:sz w:val="22"/>
          <w:szCs w:val="22"/>
        </w:rPr>
        <w:t xml:space="preserve">Sujeto Obligado. </w:t>
      </w:r>
    </w:p>
    <w:p w:rsidR="00052CA1" w:rsidRPr="0034046B" w:rsidRDefault="00052CA1">
      <w:pPr>
        <w:spacing w:line="360" w:lineRule="auto"/>
        <w:jc w:val="both"/>
        <w:rPr>
          <w:rFonts w:ascii="Palatino Linotype" w:eastAsia="Palatino Linotype" w:hAnsi="Palatino Linotype" w:cs="Palatino Linotype"/>
          <w:b/>
          <w:sz w:val="22"/>
          <w:szCs w:val="22"/>
        </w:rPr>
      </w:pPr>
    </w:p>
    <w:p w:rsidR="00052CA1" w:rsidRPr="0034046B" w:rsidRDefault="00F361C7">
      <w:pPr>
        <w:spacing w:line="360" w:lineRule="auto"/>
        <w:ind w:right="49"/>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 xml:space="preserve">Segundo. </w:t>
      </w:r>
      <w:r w:rsidRPr="0034046B">
        <w:rPr>
          <w:rFonts w:ascii="Palatino Linotype" w:eastAsia="Palatino Linotype" w:hAnsi="Palatino Linotype" w:cs="Palatino Linotype"/>
          <w:sz w:val="22"/>
          <w:szCs w:val="22"/>
        </w:rPr>
        <w:t xml:space="preserve">Se </w:t>
      </w:r>
      <w:r w:rsidRPr="0034046B">
        <w:rPr>
          <w:rFonts w:ascii="Palatino Linotype" w:eastAsia="Palatino Linotype" w:hAnsi="Palatino Linotype" w:cs="Palatino Linotype"/>
          <w:b/>
          <w:sz w:val="22"/>
          <w:szCs w:val="22"/>
        </w:rPr>
        <w:t xml:space="preserve">Ordena </w:t>
      </w:r>
      <w:r w:rsidRPr="0034046B">
        <w:rPr>
          <w:rFonts w:ascii="Palatino Linotype" w:eastAsia="Palatino Linotype" w:hAnsi="Palatino Linotype" w:cs="Palatino Linotype"/>
          <w:sz w:val="22"/>
          <w:szCs w:val="22"/>
        </w:rPr>
        <w:t xml:space="preserve">al </w:t>
      </w:r>
      <w:r w:rsidRPr="0034046B">
        <w:rPr>
          <w:rFonts w:ascii="Palatino Linotype" w:eastAsia="Palatino Linotype" w:hAnsi="Palatino Linotype" w:cs="Palatino Linotype"/>
          <w:b/>
          <w:sz w:val="22"/>
          <w:szCs w:val="22"/>
        </w:rPr>
        <w:t xml:space="preserve">Sujeto Obligado, </w:t>
      </w:r>
      <w:r w:rsidRPr="0034046B">
        <w:rPr>
          <w:rFonts w:ascii="Palatino Linotype" w:eastAsia="Palatino Linotype" w:hAnsi="Palatino Linotype" w:cs="Palatino Linotype"/>
          <w:sz w:val="22"/>
          <w:szCs w:val="22"/>
        </w:rPr>
        <w:t>previa búsqueda exhaustiva ya razonable</w:t>
      </w:r>
      <w:r w:rsidRPr="0034046B">
        <w:rPr>
          <w:rFonts w:ascii="Palatino Linotype" w:eastAsia="Palatino Linotype" w:hAnsi="Palatino Linotype" w:cs="Palatino Linotype"/>
          <w:b/>
          <w:sz w:val="22"/>
          <w:szCs w:val="22"/>
        </w:rPr>
        <w:t xml:space="preserve">, </w:t>
      </w:r>
      <w:r w:rsidRPr="0034046B">
        <w:rPr>
          <w:rFonts w:ascii="Palatino Linotype" w:eastAsia="Palatino Linotype" w:hAnsi="Palatino Linotype" w:cs="Palatino Linotype"/>
          <w:sz w:val="22"/>
          <w:szCs w:val="22"/>
        </w:rPr>
        <w:t>haga entrega, a</w:t>
      </w:r>
      <w:r w:rsidRPr="0034046B">
        <w:rPr>
          <w:rFonts w:ascii="Palatino Linotype" w:eastAsia="Palatino Linotype" w:hAnsi="Palatino Linotype" w:cs="Palatino Linotype"/>
          <w:b/>
          <w:sz w:val="22"/>
          <w:szCs w:val="22"/>
        </w:rPr>
        <w:t xml:space="preserve"> </w:t>
      </w:r>
      <w:r w:rsidRPr="0034046B">
        <w:rPr>
          <w:rFonts w:ascii="Palatino Linotype" w:eastAsia="Palatino Linotype" w:hAnsi="Palatino Linotype" w:cs="Palatino Linotype"/>
          <w:sz w:val="22"/>
          <w:szCs w:val="22"/>
        </w:rPr>
        <w:t>la parte</w:t>
      </w:r>
      <w:r w:rsidRPr="0034046B">
        <w:rPr>
          <w:rFonts w:ascii="Palatino Linotype" w:eastAsia="Palatino Linotype" w:hAnsi="Palatino Linotype" w:cs="Palatino Linotype"/>
          <w:b/>
          <w:sz w:val="22"/>
          <w:szCs w:val="22"/>
        </w:rPr>
        <w:t xml:space="preserve"> Recurrente,</w:t>
      </w:r>
      <w:r w:rsidRPr="0034046B">
        <w:rPr>
          <w:rFonts w:ascii="Palatino Linotype" w:eastAsia="Palatino Linotype" w:hAnsi="Palatino Linotype" w:cs="Palatino Linotype"/>
          <w:sz w:val="22"/>
          <w:szCs w:val="22"/>
        </w:rPr>
        <w:t xml:space="preserve"> vía </w:t>
      </w:r>
      <w:r w:rsidRPr="0034046B">
        <w:rPr>
          <w:rFonts w:ascii="Palatino Linotype" w:eastAsia="Palatino Linotype" w:hAnsi="Palatino Linotype" w:cs="Palatino Linotype"/>
          <w:b/>
          <w:sz w:val="22"/>
          <w:szCs w:val="22"/>
        </w:rPr>
        <w:t xml:space="preserve">SAIMEX, </w:t>
      </w:r>
      <w:r w:rsidRPr="0034046B">
        <w:rPr>
          <w:rFonts w:ascii="Palatino Linotype" w:eastAsia="Palatino Linotype" w:hAnsi="Palatino Linotype" w:cs="Palatino Linotype"/>
          <w:sz w:val="22"/>
          <w:szCs w:val="22"/>
        </w:rPr>
        <w:t xml:space="preserve">en versión pública de ser procedente, en términos de los </w:t>
      </w:r>
      <w:r w:rsidRPr="0034046B">
        <w:rPr>
          <w:rFonts w:ascii="Palatino Linotype" w:eastAsia="Palatino Linotype" w:hAnsi="Palatino Linotype" w:cs="Palatino Linotype"/>
          <w:b/>
          <w:sz w:val="22"/>
          <w:szCs w:val="22"/>
        </w:rPr>
        <w:t>Considerandos</w:t>
      </w:r>
      <w:r w:rsidRPr="0034046B">
        <w:rPr>
          <w:rFonts w:ascii="Palatino Linotype" w:eastAsia="Palatino Linotype" w:hAnsi="Palatino Linotype" w:cs="Palatino Linotype"/>
          <w:sz w:val="22"/>
          <w:szCs w:val="22"/>
        </w:rPr>
        <w:t xml:space="preserve"> </w:t>
      </w:r>
      <w:r w:rsidRPr="0034046B">
        <w:rPr>
          <w:rFonts w:ascii="Palatino Linotype" w:eastAsia="Palatino Linotype" w:hAnsi="Palatino Linotype" w:cs="Palatino Linotype"/>
          <w:b/>
          <w:sz w:val="22"/>
          <w:szCs w:val="22"/>
        </w:rPr>
        <w:t>Cuarto y Quinto, de lo siguiente:</w:t>
      </w:r>
    </w:p>
    <w:p w:rsidR="00052CA1" w:rsidRPr="0034046B" w:rsidRDefault="00052CA1">
      <w:pPr>
        <w:spacing w:line="360" w:lineRule="auto"/>
        <w:ind w:right="49"/>
        <w:jc w:val="both"/>
        <w:rPr>
          <w:rFonts w:ascii="Palatino Linotype" w:eastAsia="Palatino Linotype" w:hAnsi="Palatino Linotype" w:cs="Palatino Linotype"/>
          <w:b/>
          <w:sz w:val="22"/>
          <w:szCs w:val="22"/>
        </w:rPr>
      </w:pPr>
    </w:p>
    <w:p w:rsidR="00052CA1" w:rsidRPr="0034046B" w:rsidRDefault="00F361C7">
      <w:pPr>
        <w:spacing w:line="276" w:lineRule="auto"/>
        <w:ind w:left="851" w:right="616"/>
        <w:jc w:val="both"/>
        <w:rPr>
          <w:rFonts w:ascii="Palatino Linotype" w:eastAsia="Palatino Linotype" w:hAnsi="Palatino Linotype" w:cs="Palatino Linotype"/>
          <w:b/>
          <w:sz w:val="22"/>
          <w:szCs w:val="22"/>
        </w:rPr>
      </w:pPr>
      <w:r w:rsidRPr="0034046B">
        <w:rPr>
          <w:rFonts w:ascii="Palatino Linotype" w:eastAsia="Palatino Linotype" w:hAnsi="Palatino Linotype" w:cs="Palatino Linotype"/>
          <w:b/>
          <w:sz w:val="22"/>
          <w:szCs w:val="22"/>
        </w:rPr>
        <w:t xml:space="preserve">1. Los comprobantes de pago por concepto de finiquito de los servidores públicos referidos en la solicitud de información. </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spacing w:line="276" w:lineRule="auto"/>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34046B">
        <w:rPr>
          <w:rFonts w:ascii="Palatino Linotype" w:eastAsia="Palatino Linotype" w:hAnsi="Palatino Linotype" w:cs="Palatino Linotype"/>
          <w:b/>
          <w:i/>
          <w:sz w:val="22"/>
          <w:szCs w:val="22"/>
        </w:rPr>
        <w:t xml:space="preserve"> Recurrente</w:t>
      </w:r>
      <w:r w:rsidRPr="0034046B">
        <w:rPr>
          <w:rFonts w:ascii="Palatino Linotype" w:eastAsia="Palatino Linotype" w:hAnsi="Palatino Linotype" w:cs="Palatino Linotype"/>
          <w:i/>
          <w:sz w:val="22"/>
          <w:szCs w:val="22"/>
        </w:rPr>
        <w:t>.</w:t>
      </w:r>
    </w:p>
    <w:p w:rsidR="00052CA1" w:rsidRPr="0034046B" w:rsidRDefault="00052CA1">
      <w:pPr>
        <w:spacing w:line="276" w:lineRule="auto"/>
        <w:ind w:left="851" w:right="616"/>
        <w:jc w:val="both"/>
        <w:rPr>
          <w:rFonts w:ascii="Palatino Linotype" w:eastAsia="Palatino Linotype" w:hAnsi="Palatino Linotype" w:cs="Palatino Linotype"/>
          <w:i/>
          <w:sz w:val="22"/>
          <w:szCs w:val="22"/>
        </w:rPr>
      </w:pPr>
    </w:p>
    <w:p w:rsidR="00052CA1" w:rsidRPr="0034046B" w:rsidRDefault="00F361C7">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34046B">
        <w:rPr>
          <w:rFonts w:ascii="Palatino Linotype" w:eastAsia="Palatino Linotype" w:hAnsi="Palatino Linotype" w:cs="Palatino Linotype"/>
          <w:i/>
          <w:sz w:val="22"/>
          <w:szCs w:val="22"/>
        </w:rPr>
        <w:t xml:space="preserve">Para el caso de que la información que se ordena entregar no obre en los archivos del </w:t>
      </w:r>
      <w:r w:rsidRPr="0034046B">
        <w:rPr>
          <w:rFonts w:ascii="Palatino Linotype" w:eastAsia="Palatino Linotype" w:hAnsi="Palatino Linotype" w:cs="Palatino Linotype"/>
          <w:b/>
          <w:i/>
          <w:sz w:val="22"/>
          <w:szCs w:val="22"/>
        </w:rPr>
        <w:t>Sujeto Obligado</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i/>
          <w:sz w:val="22"/>
          <w:szCs w:val="22"/>
          <w:u w:val="single"/>
        </w:rPr>
        <w:t>porque a la fecha de la solicitud no se hubiera pagado aún el finiquito</w:t>
      </w:r>
      <w:r w:rsidRPr="0034046B">
        <w:rPr>
          <w:rFonts w:ascii="Palatino Linotype" w:eastAsia="Palatino Linotype" w:hAnsi="Palatino Linotype" w:cs="Palatino Linotype"/>
          <w:i/>
          <w:sz w:val="22"/>
          <w:szCs w:val="22"/>
        </w:rPr>
        <w:t xml:space="preserve">, este deberá hacerlo del conocimiento de </w:t>
      </w:r>
      <w:r w:rsidRPr="0034046B">
        <w:rPr>
          <w:rFonts w:ascii="Palatino Linotype" w:eastAsia="Palatino Linotype" w:hAnsi="Palatino Linotype" w:cs="Palatino Linotype"/>
          <w:b/>
          <w:i/>
          <w:sz w:val="22"/>
          <w:szCs w:val="22"/>
        </w:rPr>
        <w:t>la parte</w:t>
      </w:r>
      <w:r w:rsidRPr="0034046B">
        <w:rPr>
          <w:rFonts w:ascii="Palatino Linotype" w:eastAsia="Palatino Linotype" w:hAnsi="Palatino Linotype" w:cs="Palatino Linotype"/>
          <w:i/>
          <w:sz w:val="22"/>
          <w:szCs w:val="22"/>
        </w:rPr>
        <w:t xml:space="preserve"> </w:t>
      </w:r>
      <w:r w:rsidRPr="0034046B">
        <w:rPr>
          <w:rFonts w:ascii="Palatino Linotype" w:eastAsia="Palatino Linotype" w:hAnsi="Palatino Linotype" w:cs="Palatino Linotype"/>
          <w:b/>
          <w:i/>
          <w:sz w:val="22"/>
          <w:szCs w:val="22"/>
        </w:rPr>
        <w:t>Recurrente</w:t>
      </w:r>
      <w:r w:rsidRPr="0034046B">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w:t>
      </w:r>
    </w:p>
    <w:p w:rsidR="00052CA1" w:rsidRPr="0034046B" w:rsidRDefault="00052CA1">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p>
    <w:p w:rsidR="00052CA1" w:rsidRPr="0034046B"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Tercero.  Notifíquese vía SAIMEX, </w:t>
      </w:r>
      <w:r w:rsidRPr="0034046B">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52CA1" w:rsidRPr="0034046B" w:rsidRDefault="00052CA1">
      <w:pPr>
        <w:spacing w:line="360" w:lineRule="auto"/>
        <w:jc w:val="both"/>
        <w:rPr>
          <w:rFonts w:ascii="Palatino Linotype" w:eastAsia="Palatino Linotype" w:hAnsi="Palatino Linotype" w:cs="Palatino Linotype"/>
          <w:sz w:val="22"/>
          <w:szCs w:val="22"/>
        </w:rPr>
      </w:pPr>
    </w:p>
    <w:p w:rsidR="00052CA1" w:rsidRPr="0034046B" w:rsidRDefault="00F361C7">
      <w:pP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Cuarto. </w:t>
      </w:r>
      <w:r w:rsidRPr="0034046B">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52CA1" w:rsidRPr="0034046B" w:rsidRDefault="00052CA1">
      <w:pPr>
        <w:spacing w:line="360" w:lineRule="auto"/>
        <w:ind w:right="49"/>
        <w:jc w:val="both"/>
        <w:rPr>
          <w:rFonts w:ascii="Palatino Linotype" w:eastAsia="Palatino Linotype" w:hAnsi="Palatino Linotype" w:cs="Palatino Linotype"/>
          <w:sz w:val="22"/>
          <w:szCs w:val="22"/>
        </w:rPr>
      </w:pPr>
    </w:p>
    <w:p w:rsidR="00052CA1" w:rsidRPr="0034046B" w:rsidRDefault="00F361C7">
      <w:pPr>
        <w:spacing w:line="360" w:lineRule="auto"/>
        <w:ind w:right="49"/>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b/>
          <w:sz w:val="22"/>
          <w:szCs w:val="22"/>
        </w:rPr>
        <w:t xml:space="preserve">Quinto. Notifíquese vía SAIMEX, </w:t>
      </w:r>
      <w:r w:rsidRPr="0034046B">
        <w:rPr>
          <w:rFonts w:ascii="Palatino Linotype" w:eastAsia="Palatino Linotype" w:hAnsi="Palatino Linotype" w:cs="Palatino Linotype"/>
          <w:sz w:val="22"/>
          <w:szCs w:val="22"/>
        </w:rPr>
        <w:t>a</w:t>
      </w:r>
      <w:r w:rsidRPr="0034046B">
        <w:rPr>
          <w:rFonts w:ascii="Palatino Linotype" w:eastAsia="Palatino Linotype" w:hAnsi="Palatino Linotype" w:cs="Palatino Linotype"/>
          <w:b/>
          <w:sz w:val="22"/>
          <w:szCs w:val="22"/>
        </w:rPr>
        <w:t xml:space="preserve"> la parte Recurrente</w:t>
      </w:r>
      <w:r w:rsidRPr="0034046B">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rsidR="00052CA1" w:rsidRPr="0034046B" w:rsidRDefault="00052CA1">
      <w:pPr>
        <w:spacing w:line="360" w:lineRule="auto"/>
        <w:ind w:right="49"/>
        <w:jc w:val="both"/>
        <w:rPr>
          <w:rFonts w:ascii="Palatino Linotype" w:eastAsia="Palatino Linotype" w:hAnsi="Palatino Linotype" w:cs="Palatino Linotype"/>
          <w:sz w:val="22"/>
          <w:szCs w:val="22"/>
        </w:rPr>
      </w:pPr>
    </w:p>
    <w:p w:rsidR="00052CA1" w:rsidRDefault="00F361C7">
      <w:pPr>
        <w:spacing w:line="360" w:lineRule="auto"/>
        <w:jc w:val="both"/>
        <w:rPr>
          <w:rFonts w:ascii="Palatino Linotype" w:eastAsia="Palatino Linotype" w:hAnsi="Palatino Linotype" w:cs="Palatino Linotype"/>
          <w:sz w:val="22"/>
          <w:szCs w:val="22"/>
        </w:rPr>
      </w:pPr>
      <w:r w:rsidRPr="0034046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34046B" w:rsidRDefault="0034046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type="page"/>
      </w:r>
    </w:p>
    <w:p w:rsidR="00052CA1" w:rsidRDefault="00052CA1">
      <w:pPr>
        <w:spacing w:line="360" w:lineRule="auto"/>
        <w:jc w:val="both"/>
        <w:rPr>
          <w:rFonts w:ascii="Palatino Linotype" w:eastAsia="Palatino Linotype" w:hAnsi="Palatino Linotype" w:cs="Palatino Linotype"/>
          <w:sz w:val="22"/>
          <w:szCs w:val="22"/>
        </w:rPr>
      </w:pPr>
      <w:bookmarkStart w:id="11" w:name="_GoBack"/>
      <w:bookmarkEnd w:id="11"/>
    </w:p>
    <w:sectPr w:rsidR="00052CA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12F" w:rsidRDefault="003B612F">
      <w:r>
        <w:separator/>
      </w:r>
    </w:p>
  </w:endnote>
  <w:endnote w:type="continuationSeparator" w:id="0">
    <w:p w:rsidR="003B612F" w:rsidRDefault="003B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A1" w:rsidRDefault="00F361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2572">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2572">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052CA1" w:rsidRDefault="00052CA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A1" w:rsidRDefault="00F361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257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2572">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052CA1" w:rsidRDefault="00052CA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12F" w:rsidRDefault="003B612F">
      <w:r>
        <w:separator/>
      </w:r>
    </w:p>
  </w:footnote>
  <w:footnote w:type="continuationSeparator" w:id="0">
    <w:p w:rsidR="003B612F" w:rsidRDefault="003B6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A1" w:rsidRDefault="00052CA1">
    <w:pPr>
      <w:rPr>
        <w:rFonts w:ascii="Cambria" w:eastAsia="Cambria" w:hAnsi="Cambria" w:cs="Cambria"/>
        <w:color w:val="000000"/>
      </w:rPr>
    </w:pPr>
  </w:p>
  <w:tbl>
    <w:tblPr>
      <w:tblStyle w:val="af8"/>
      <w:tblW w:w="5811" w:type="dxa"/>
      <w:tblInd w:w="3261" w:type="dxa"/>
      <w:tblLayout w:type="fixed"/>
      <w:tblLook w:val="0400" w:firstRow="0" w:lastRow="0" w:firstColumn="0" w:lastColumn="0" w:noHBand="0" w:noVBand="1"/>
    </w:tblPr>
    <w:tblGrid>
      <w:gridCol w:w="2489"/>
      <w:gridCol w:w="3322"/>
    </w:tblGrid>
    <w:tr w:rsidR="00052CA1">
      <w:tc>
        <w:tcPr>
          <w:tcW w:w="2489" w:type="dxa"/>
        </w:tcPr>
        <w:p w:rsidR="00052CA1" w:rsidRDefault="00F361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vAlign w:val="center"/>
        </w:tcPr>
        <w:p w:rsidR="00052CA1" w:rsidRDefault="00F361C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07379/INFOEM/IP/RR/2025</w:t>
          </w:r>
        </w:p>
      </w:tc>
    </w:tr>
    <w:tr w:rsidR="00052CA1">
      <w:trPr>
        <w:trHeight w:val="228"/>
      </w:trPr>
      <w:tc>
        <w:tcPr>
          <w:tcW w:w="2489" w:type="dxa"/>
          <w:vAlign w:val="center"/>
        </w:tcPr>
        <w:p w:rsidR="00052CA1" w:rsidRDefault="00F361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vAlign w:val="center"/>
        </w:tcPr>
        <w:p w:rsidR="00052CA1" w:rsidRDefault="00F361C7">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52CA1">
      <w:tc>
        <w:tcPr>
          <w:tcW w:w="2489" w:type="dxa"/>
          <w:vAlign w:val="center"/>
        </w:tcPr>
        <w:p w:rsidR="00052CA1" w:rsidRDefault="00F361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vAlign w:val="center"/>
        </w:tcPr>
        <w:p w:rsidR="00052CA1" w:rsidRDefault="00F361C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52CA1" w:rsidRDefault="00F361C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A1" w:rsidRDefault="00F361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6432" behindDoc="1" locked="0" layoutInCell="1" hidden="0" allowOverlap="1">
          <wp:simplePos x="0" y="0"/>
          <wp:positionH relativeFrom="column">
            <wp:posOffset>-1080127</wp:posOffset>
          </wp:positionH>
          <wp:positionV relativeFrom="paragraph">
            <wp:posOffset>-369902</wp:posOffset>
          </wp:positionV>
          <wp:extent cx="7809865" cy="10165715"/>
          <wp:effectExtent l="0" t="0" r="0" b="0"/>
          <wp:wrapNone/>
          <wp:docPr id="20832964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6095" w:type="dxa"/>
      <w:tblInd w:w="3261" w:type="dxa"/>
      <w:tblLayout w:type="fixed"/>
      <w:tblLook w:val="0400" w:firstRow="0" w:lastRow="0" w:firstColumn="0" w:lastColumn="0" w:noHBand="0" w:noVBand="1"/>
    </w:tblPr>
    <w:tblGrid>
      <w:gridCol w:w="2489"/>
      <w:gridCol w:w="3606"/>
    </w:tblGrid>
    <w:tr w:rsidR="00052CA1">
      <w:tc>
        <w:tcPr>
          <w:tcW w:w="2489" w:type="dxa"/>
        </w:tcPr>
        <w:p w:rsidR="00052CA1" w:rsidRDefault="00F361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rsidR="00052CA1" w:rsidRDefault="00F361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07379/INFOEM/IP/RR/2025</w:t>
          </w:r>
        </w:p>
      </w:tc>
    </w:tr>
    <w:tr w:rsidR="00052CA1">
      <w:tc>
        <w:tcPr>
          <w:tcW w:w="2489" w:type="dxa"/>
        </w:tcPr>
        <w:p w:rsidR="00052CA1" w:rsidRDefault="00F361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vAlign w:val="center"/>
        </w:tcPr>
        <w:p w:rsidR="00052CA1" w:rsidRDefault="001E2572" w:rsidP="001E257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XXXXXXXX X </w:t>
          </w:r>
        </w:p>
      </w:tc>
    </w:tr>
    <w:tr w:rsidR="00052CA1">
      <w:trPr>
        <w:trHeight w:val="228"/>
      </w:trPr>
      <w:tc>
        <w:tcPr>
          <w:tcW w:w="2489" w:type="dxa"/>
          <w:vAlign w:val="center"/>
        </w:tcPr>
        <w:p w:rsidR="00052CA1" w:rsidRDefault="00F361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rsidR="00052CA1" w:rsidRDefault="00F361C7">
          <w:pPr>
            <w:ind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52CA1">
      <w:tc>
        <w:tcPr>
          <w:tcW w:w="2489" w:type="dxa"/>
          <w:vAlign w:val="center"/>
        </w:tcPr>
        <w:p w:rsidR="00052CA1" w:rsidRDefault="00F361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rsidR="00052CA1" w:rsidRDefault="00F361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52CA1" w:rsidRDefault="00052C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48D"/>
    <w:multiLevelType w:val="multilevel"/>
    <w:tmpl w:val="787475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A34628"/>
    <w:multiLevelType w:val="multilevel"/>
    <w:tmpl w:val="4DCAC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E5E51"/>
    <w:multiLevelType w:val="multilevel"/>
    <w:tmpl w:val="07B274B4"/>
    <w:lvl w:ilvl="0">
      <w:start w:val="1"/>
      <w:numFmt w:val="lowerLetter"/>
      <w:lvlText w:val="%1)"/>
      <w:lvlJc w:val="left"/>
      <w:pPr>
        <w:ind w:left="1211" w:hanging="360"/>
      </w:pPr>
      <w:rPr>
        <w:b/>
        <w:i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2AB0321"/>
    <w:multiLevelType w:val="multilevel"/>
    <w:tmpl w:val="4D344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1A57D9"/>
    <w:multiLevelType w:val="multilevel"/>
    <w:tmpl w:val="CAEC63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FA81B9F"/>
    <w:multiLevelType w:val="multilevel"/>
    <w:tmpl w:val="D11A7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5D04E81"/>
    <w:multiLevelType w:val="multilevel"/>
    <w:tmpl w:val="DA58E1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D44B45"/>
    <w:multiLevelType w:val="multilevel"/>
    <w:tmpl w:val="D7463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A1"/>
    <w:rsid w:val="00052CA1"/>
    <w:rsid w:val="001E2572"/>
    <w:rsid w:val="0034046B"/>
    <w:rsid w:val="003B612F"/>
    <w:rsid w:val="00E43C7B"/>
    <w:rsid w:val="00F36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1D88"/>
  <w15:docId w15:val="{C69B0408-98A4-40DD-9BFD-D316D0F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ind w:left="720" w:hanging="360"/>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ind w:left="720" w:hanging="360"/>
      <w:contextualSpacing/>
    </w:pPr>
    <w:rPr>
      <w:lang w:eastAsia="es-ES"/>
    </w:r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8Arha3L+3zYe9qvxtXoAuiWGw==">CgMxLjAyCWguNGQzNG9nODIIaC5namRneHMyCWguM2R5NnZrbTIJaC4zMGowemxsMgloLjJzOGV5bzEyCGgudHlqY3d0MgloLjN6bnlzaDcyCWguMmV0OTJwMDIIaC5sbnhiejkyDmguaWp2OThwbnRjZDVzMgloLjI2aW4xcmc4AHIhMXpPZ1k1V21PWTdJRmFrR1k3SHJLb2l1eC0yaDV4TUxo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12198</Words>
  <Characters>67092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2025-10-17T00:46:00Z</cp:lastPrinted>
  <dcterms:created xsi:type="dcterms:W3CDTF">2025-11-14T17:12:00Z</dcterms:created>
  <dcterms:modified xsi:type="dcterms:W3CDTF">2025-11-14T17:12:00Z</dcterms:modified>
</cp:coreProperties>
</file>