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D41F"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055E1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agosto de dos mil veinticinco. </w:t>
      </w:r>
    </w:p>
    <w:p w14:paraId="39B383A0" w14:textId="1AA18ECC" w:rsidR="00D67C4B" w:rsidRPr="00055E10" w:rsidRDefault="006B2E37">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055E10">
        <w:rPr>
          <w:rFonts w:ascii="Palatino Linotype" w:eastAsia="Palatino Linotype" w:hAnsi="Palatino Linotype" w:cs="Palatino Linotype"/>
          <w:b/>
        </w:rPr>
        <w:t>VISTO</w:t>
      </w:r>
      <w:r w:rsidRPr="00055E10">
        <w:rPr>
          <w:rFonts w:ascii="Palatino Linotype" w:eastAsia="Palatino Linotype" w:hAnsi="Palatino Linotype" w:cs="Palatino Linotype"/>
        </w:rPr>
        <w:t xml:space="preserve"> el expediente formado con motivo del recurso de revisión </w:t>
      </w:r>
      <w:r w:rsidRPr="00055E10">
        <w:rPr>
          <w:rFonts w:ascii="Palatino Linotype" w:eastAsia="Palatino Linotype" w:hAnsi="Palatino Linotype" w:cs="Palatino Linotype"/>
          <w:b/>
        </w:rPr>
        <w:t>05469/INFOEM/IP/RR/2025</w:t>
      </w:r>
      <w:r w:rsidRPr="00055E10">
        <w:rPr>
          <w:rFonts w:ascii="Palatino Linotype" w:eastAsia="Palatino Linotype" w:hAnsi="Palatino Linotype" w:cs="Palatino Linotype"/>
        </w:rPr>
        <w:t>, interpuesto por</w:t>
      </w:r>
      <w:r w:rsidRPr="00055E10">
        <w:rPr>
          <w:rFonts w:ascii="Palatino Linotype" w:eastAsia="Palatino Linotype" w:hAnsi="Palatino Linotype" w:cs="Palatino Linotype"/>
          <w:b/>
        </w:rPr>
        <w:t xml:space="preserve"> </w:t>
      </w:r>
      <w:r w:rsidR="004E731A" w:rsidRPr="004E731A">
        <w:rPr>
          <w:rFonts w:ascii="Palatino Linotype" w:eastAsia="Palatino Linotype" w:hAnsi="Palatino Linotype" w:cs="Palatino Linotype"/>
          <w:b/>
        </w:rPr>
        <w:t>XXXXXXXX XXXXXX XXXXXX</w:t>
      </w:r>
      <w:r w:rsidRPr="00055E10">
        <w:rPr>
          <w:rFonts w:ascii="Palatino Linotype" w:eastAsia="Palatino Linotype" w:hAnsi="Palatino Linotype" w:cs="Palatino Linotype"/>
          <w:b/>
        </w:rPr>
        <w:t>,</w:t>
      </w:r>
      <w:r w:rsidRPr="00055E10">
        <w:rPr>
          <w:rFonts w:ascii="Palatino Linotype" w:eastAsia="Palatino Linotype" w:hAnsi="Palatino Linotype" w:cs="Palatino Linotype"/>
        </w:rPr>
        <w:t xml:space="preserve"> en lo sucesivo</w:t>
      </w:r>
      <w:r w:rsidRPr="00055E10">
        <w:rPr>
          <w:rFonts w:ascii="Palatino Linotype" w:eastAsia="Palatino Linotype" w:hAnsi="Palatino Linotype" w:cs="Palatino Linotype"/>
          <w:b/>
        </w:rPr>
        <w:t xml:space="preserve"> </w:t>
      </w:r>
      <w:r w:rsidRPr="00055E10">
        <w:rPr>
          <w:rFonts w:ascii="Palatino Linotype" w:eastAsia="Palatino Linotype" w:hAnsi="Palatino Linotype" w:cs="Palatino Linotype"/>
        </w:rPr>
        <w:t xml:space="preserve">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en contra de la respuesta a la solicitud de información con número de folio</w:t>
      </w:r>
      <w:r w:rsidRPr="00055E10">
        <w:rPr>
          <w:rFonts w:ascii="Palatino Linotype" w:eastAsia="Palatino Linotype" w:hAnsi="Palatino Linotype" w:cs="Palatino Linotype"/>
          <w:b/>
        </w:rPr>
        <w:t xml:space="preserve"> 00008/DIFATIZARA/IP/2025, </w:t>
      </w:r>
      <w:r w:rsidRPr="00055E10">
        <w:rPr>
          <w:rFonts w:ascii="Palatino Linotype" w:eastAsia="Palatino Linotype" w:hAnsi="Palatino Linotype" w:cs="Palatino Linotype"/>
        </w:rPr>
        <w:t xml:space="preserve">por parte del </w:t>
      </w:r>
      <w:r w:rsidRPr="00055E10">
        <w:rPr>
          <w:rFonts w:ascii="Palatino Linotype" w:eastAsia="Palatino Linotype" w:hAnsi="Palatino Linotype" w:cs="Palatino Linotype"/>
          <w:b/>
        </w:rPr>
        <w:t xml:space="preserve">Sistema Municipal Para el Desarrollo Integral de la Familia de Atizapán de Zaragoza, </w:t>
      </w:r>
      <w:r w:rsidRPr="00055E10">
        <w:rPr>
          <w:rFonts w:ascii="Palatino Linotype" w:eastAsia="Palatino Linotype" w:hAnsi="Palatino Linotype" w:cs="Palatino Linotype"/>
        </w:rPr>
        <w:t xml:space="preserve">en lo sucesivo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 xml:space="preserve">se procede a dictar la presente resolución con base en los siguientes: </w:t>
      </w:r>
    </w:p>
    <w:p w14:paraId="36CD6D36" w14:textId="77777777" w:rsidR="00D67C4B" w:rsidRPr="00055E10" w:rsidRDefault="006B2E37">
      <w:pPr>
        <w:spacing w:before="240" w:after="240" w:line="360" w:lineRule="auto"/>
        <w:jc w:val="center"/>
        <w:rPr>
          <w:rFonts w:ascii="Palatino Linotype" w:eastAsia="Palatino Linotype" w:hAnsi="Palatino Linotype" w:cs="Palatino Linotype"/>
          <w:b/>
        </w:rPr>
      </w:pPr>
      <w:r w:rsidRPr="00055E10">
        <w:rPr>
          <w:rFonts w:ascii="Palatino Linotype" w:eastAsia="Palatino Linotype" w:hAnsi="Palatino Linotype" w:cs="Palatino Linotype"/>
          <w:b/>
        </w:rPr>
        <w:t>I. A N T E C E D E N T E S</w:t>
      </w:r>
    </w:p>
    <w:p w14:paraId="01E39387"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t>1. Solicitud de acceso a la información.</w:t>
      </w:r>
      <w:r w:rsidRPr="00055E10">
        <w:rPr>
          <w:rFonts w:ascii="Palatino Linotype" w:eastAsia="Palatino Linotype" w:hAnsi="Palatino Linotype" w:cs="Palatino Linotype"/>
        </w:rPr>
        <w:t xml:space="preserve"> El </w:t>
      </w:r>
      <w:r w:rsidRPr="00055E10">
        <w:rPr>
          <w:rFonts w:ascii="Palatino Linotype" w:eastAsia="Palatino Linotype" w:hAnsi="Palatino Linotype" w:cs="Palatino Linotype"/>
          <w:b/>
        </w:rPr>
        <w:t>diez de abril de dos mil veinticinco,</w:t>
      </w:r>
      <w:r w:rsidRPr="00055E10">
        <w:rPr>
          <w:rFonts w:ascii="Palatino Linotype" w:eastAsia="Palatino Linotype" w:hAnsi="Palatino Linotype" w:cs="Palatino Linotype"/>
        </w:rPr>
        <w:t xml:space="preserve"> la parte </w:t>
      </w:r>
      <w:r w:rsidRPr="00055E10">
        <w:rPr>
          <w:rFonts w:ascii="Palatino Linotype" w:eastAsia="Palatino Linotype" w:hAnsi="Palatino Linotype" w:cs="Palatino Linotype"/>
          <w:b/>
        </w:rPr>
        <w:t xml:space="preserve">Recurrente </w:t>
      </w:r>
      <w:r w:rsidRPr="00055E10">
        <w:rPr>
          <w:rFonts w:ascii="Palatino Linotype" w:eastAsia="Palatino Linotype" w:hAnsi="Palatino Linotype" w:cs="Palatino Linotype"/>
        </w:rPr>
        <w:t xml:space="preserve">presentó la solicitud de acceso a la información pública ante 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 xml:space="preserve">, a través del Sistema de Acceso a la Información Mexiquense, en lo subsecuente el </w:t>
      </w:r>
      <w:r w:rsidRPr="00055E10">
        <w:rPr>
          <w:rFonts w:ascii="Palatino Linotype" w:eastAsia="Palatino Linotype" w:hAnsi="Palatino Linotype" w:cs="Palatino Linotype"/>
          <w:b/>
        </w:rPr>
        <w:t>SAIMEX,</w:t>
      </w:r>
      <w:r w:rsidRPr="00055E10">
        <w:rPr>
          <w:rFonts w:ascii="Palatino Linotype" w:eastAsia="Palatino Linotype" w:hAnsi="Palatino Linotype" w:cs="Palatino Linotype"/>
        </w:rPr>
        <w:t xml:space="preserve"> mediante la cual requirió lo siguiente:</w:t>
      </w:r>
    </w:p>
    <w:p w14:paraId="129F4C88" w14:textId="77777777" w:rsidR="00D67C4B" w:rsidRPr="00055E10" w:rsidRDefault="006B2E37">
      <w:pPr>
        <w:spacing w:before="120" w:after="120"/>
        <w:ind w:left="851" w:right="902"/>
        <w:jc w:val="both"/>
        <w:rPr>
          <w:rFonts w:ascii="Palatino Linotype" w:eastAsia="Palatino Linotype" w:hAnsi="Palatino Linotype" w:cs="Palatino Linotype"/>
          <w:b/>
          <w:i/>
          <w:sz w:val="22"/>
          <w:szCs w:val="22"/>
        </w:rPr>
      </w:pPr>
      <w:r w:rsidRPr="00055E10">
        <w:rPr>
          <w:rFonts w:ascii="Palatino Linotype" w:eastAsia="Palatino Linotype" w:hAnsi="Palatino Linotype" w:cs="Palatino Linotype"/>
          <w:i/>
          <w:sz w:val="22"/>
          <w:szCs w:val="22"/>
        </w:rPr>
        <w:t xml:space="preserve"> “hola buen </w:t>
      </w:r>
      <w:proofErr w:type="spellStart"/>
      <w:r w:rsidRPr="00055E10">
        <w:rPr>
          <w:rFonts w:ascii="Palatino Linotype" w:eastAsia="Palatino Linotype" w:hAnsi="Palatino Linotype" w:cs="Palatino Linotype"/>
          <w:i/>
          <w:sz w:val="22"/>
          <w:szCs w:val="22"/>
        </w:rPr>
        <w:t>dia</w:t>
      </w:r>
      <w:proofErr w:type="spellEnd"/>
      <w:r w:rsidRPr="00055E10">
        <w:rPr>
          <w:rFonts w:ascii="Palatino Linotype" w:eastAsia="Palatino Linotype" w:hAnsi="Palatino Linotype" w:cs="Palatino Linotype"/>
          <w:i/>
          <w:sz w:val="22"/>
          <w:szCs w:val="22"/>
        </w:rPr>
        <w:t xml:space="preserve"> me </w:t>
      </w:r>
      <w:proofErr w:type="spellStart"/>
      <w:r w:rsidRPr="00055E10">
        <w:rPr>
          <w:rFonts w:ascii="Palatino Linotype" w:eastAsia="Palatino Linotype" w:hAnsi="Palatino Linotype" w:cs="Palatino Linotype"/>
          <w:i/>
          <w:sz w:val="22"/>
          <w:szCs w:val="22"/>
        </w:rPr>
        <w:t>gustaria</w:t>
      </w:r>
      <w:proofErr w:type="spellEnd"/>
      <w:r w:rsidRPr="00055E10">
        <w:rPr>
          <w:rFonts w:ascii="Palatino Linotype" w:eastAsia="Palatino Linotype" w:hAnsi="Palatino Linotype" w:cs="Palatino Linotype"/>
          <w:i/>
          <w:sz w:val="22"/>
          <w:szCs w:val="22"/>
        </w:rPr>
        <w:t xml:space="preserve"> que me informaran cuantos juguetes fueron otorgados en los eventos del </w:t>
      </w:r>
      <w:proofErr w:type="spellStart"/>
      <w:r w:rsidRPr="00055E10">
        <w:rPr>
          <w:rFonts w:ascii="Palatino Linotype" w:eastAsia="Palatino Linotype" w:hAnsi="Palatino Linotype" w:cs="Palatino Linotype"/>
          <w:i/>
          <w:sz w:val="22"/>
          <w:szCs w:val="22"/>
        </w:rPr>
        <w:t>dia</w:t>
      </w:r>
      <w:proofErr w:type="spellEnd"/>
      <w:r w:rsidRPr="00055E10">
        <w:rPr>
          <w:rFonts w:ascii="Palatino Linotype" w:eastAsia="Palatino Linotype" w:hAnsi="Palatino Linotype" w:cs="Palatino Linotype"/>
          <w:i/>
          <w:sz w:val="22"/>
          <w:szCs w:val="22"/>
        </w:rPr>
        <w:t xml:space="preserve"> del niño, cuanto gastaron en los eventos y a cuantos niños se beneficiaron.”</w:t>
      </w:r>
      <w:r w:rsidRPr="00055E10">
        <w:rPr>
          <w:rFonts w:ascii="Palatino Linotype" w:eastAsia="Palatino Linotype" w:hAnsi="Palatino Linotype" w:cs="Palatino Linotype"/>
          <w:b/>
          <w:i/>
          <w:sz w:val="22"/>
          <w:szCs w:val="22"/>
        </w:rPr>
        <w:t>”</w:t>
      </w:r>
      <w:r w:rsidRPr="00055E10">
        <w:rPr>
          <w:rFonts w:ascii="Palatino Linotype" w:eastAsia="Palatino Linotype" w:hAnsi="Palatino Linotype" w:cs="Palatino Linotype"/>
          <w:i/>
          <w:sz w:val="22"/>
          <w:szCs w:val="22"/>
        </w:rPr>
        <w:t xml:space="preserve"> (sic) </w:t>
      </w:r>
    </w:p>
    <w:p w14:paraId="0447B083"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055E10">
        <w:rPr>
          <w:rFonts w:ascii="Palatino Linotype" w:eastAsia="Palatino Linotype" w:hAnsi="Palatino Linotype" w:cs="Palatino Linotype"/>
          <w:b/>
        </w:rPr>
        <w:t>Modalidad de Entrega:</w:t>
      </w:r>
      <w:r w:rsidRPr="00055E10">
        <w:rPr>
          <w:rFonts w:ascii="Palatino Linotype" w:eastAsia="Palatino Linotype" w:hAnsi="Palatino Linotype" w:cs="Palatino Linotype"/>
        </w:rPr>
        <w:t xml:space="preserve"> a través del</w:t>
      </w:r>
      <w:r w:rsidRPr="00055E10">
        <w:rPr>
          <w:rFonts w:ascii="Palatino Linotype" w:eastAsia="Palatino Linotype" w:hAnsi="Palatino Linotype" w:cs="Palatino Linotype"/>
          <w:b/>
        </w:rPr>
        <w:t xml:space="preserve"> SAIMEX.</w:t>
      </w:r>
    </w:p>
    <w:p w14:paraId="4D4B576C"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lastRenderedPageBreak/>
        <w:t xml:space="preserve">2. Respuesta. </w:t>
      </w:r>
      <w:r w:rsidRPr="00055E10">
        <w:rPr>
          <w:rFonts w:ascii="Palatino Linotype" w:eastAsia="Palatino Linotype" w:hAnsi="Palatino Linotype" w:cs="Palatino Linotype"/>
        </w:rPr>
        <w:t xml:space="preserve">El </w:t>
      </w:r>
      <w:r w:rsidRPr="00055E10">
        <w:rPr>
          <w:rFonts w:ascii="Palatino Linotype" w:eastAsia="Palatino Linotype" w:hAnsi="Palatino Linotype" w:cs="Palatino Linotype"/>
          <w:b/>
        </w:rPr>
        <w:t>nueve de mayo de dos mil veinticinco,</w:t>
      </w:r>
      <w:r w:rsidRPr="00055E10">
        <w:rPr>
          <w:rFonts w:ascii="Palatino Linotype" w:eastAsia="Palatino Linotype" w:hAnsi="Palatino Linotype" w:cs="Palatino Linotype"/>
        </w:rPr>
        <w:t xml:space="preserve">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5E65AF29" w14:textId="77777777" w:rsidR="00D67C4B" w:rsidRPr="00055E10" w:rsidRDefault="006B2E37">
      <w:pPr>
        <w:spacing w:before="240" w:after="24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“…Folio de la solicitud: 00008/DIFATIZARA/IP/2025</w:t>
      </w:r>
    </w:p>
    <w:p w14:paraId="7DFDAB6E" w14:textId="77777777" w:rsidR="00D67C4B" w:rsidRPr="00055E10" w:rsidRDefault="006B2E37">
      <w:pPr>
        <w:spacing w:before="240" w:after="24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A69E9D" w14:textId="77777777" w:rsidR="00D67C4B" w:rsidRPr="00055E10" w:rsidRDefault="006B2E37">
      <w:pPr>
        <w:spacing w:before="240" w:after="24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 xml:space="preserve">EN ATENCIÓN A LA SOLICITUD 00008/DIFATIZARA/IP/2025, INGRESADA A TRAVÉS DEL SISTEMA SAIMEX, EN LA QUE SE REQUIERE LA SIGUIENTE INFORMACIÓN: “hola buen </w:t>
      </w:r>
      <w:proofErr w:type="spellStart"/>
      <w:r w:rsidRPr="00055E10">
        <w:rPr>
          <w:rFonts w:ascii="Palatino Linotype" w:eastAsia="Palatino Linotype" w:hAnsi="Palatino Linotype" w:cs="Palatino Linotype"/>
          <w:i/>
          <w:sz w:val="22"/>
          <w:szCs w:val="22"/>
        </w:rPr>
        <w:t>dia</w:t>
      </w:r>
      <w:proofErr w:type="spellEnd"/>
      <w:r w:rsidRPr="00055E10">
        <w:rPr>
          <w:rFonts w:ascii="Palatino Linotype" w:eastAsia="Palatino Linotype" w:hAnsi="Palatino Linotype" w:cs="Palatino Linotype"/>
          <w:i/>
          <w:sz w:val="22"/>
          <w:szCs w:val="22"/>
        </w:rPr>
        <w:t xml:space="preserve"> me </w:t>
      </w:r>
      <w:proofErr w:type="spellStart"/>
      <w:r w:rsidRPr="00055E10">
        <w:rPr>
          <w:rFonts w:ascii="Palatino Linotype" w:eastAsia="Palatino Linotype" w:hAnsi="Palatino Linotype" w:cs="Palatino Linotype"/>
          <w:i/>
          <w:sz w:val="22"/>
          <w:szCs w:val="22"/>
        </w:rPr>
        <w:t>gustaria</w:t>
      </w:r>
      <w:proofErr w:type="spellEnd"/>
      <w:r w:rsidRPr="00055E10">
        <w:rPr>
          <w:rFonts w:ascii="Palatino Linotype" w:eastAsia="Palatino Linotype" w:hAnsi="Palatino Linotype" w:cs="Palatino Linotype"/>
          <w:i/>
          <w:sz w:val="22"/>
          <w:szCs w:val="22"/>
        </w:rPr>
        <w:t xml:space="preserve"> que me informaran cuantos juguetes fueron otorgados en los eventos del </w:t>
      </w:r>
      <w:proofErr w:type="spellStart"/>
      <w:r w:rsidRPr="00055E10">
        <w:rPr>
          <w:rFonts w:ascii="Palatino Linotype" w:eastAsia="Palatino Linotype" w:hAnsi="Palatino Linotype" w:cs="Palatino Linotype"/>
          <w:i/>
          <w:sz w:val="22"/>
          <w:szCs w:val="22"/>
        </w:rPr>
        <w:t>dia</w:t>
      </w:r>
      <w:proofErr w:type="spellEnd"/>
      <w:r w:rsidRPr="00055E10">
        <w:rPr>
          <w:rFonts w:ascii="Palatino Linotype" w:eastAsia="Palatino Linotype" w:hAnsi="Palatino Linotype" w:cs="Palatino Linotype"/>
          <w:i/>
          <w:sz w:val="22"/>
          <w:szCs w:val="22"/>
        </w:rPr>
        <w:t xml:space="preserve"> del niño, cuanto gastaron en los eventos y a cuantos niños se beneficiaron”… (sic) CON FUNDAMENTO EN EL ARTÍCULO 12 DE LA LEY DE TRANSPARENCIA Y ACCESO A LA INFORMACIÓN PÚBLICA DEL ESTADO DE MÉXICO Y MUNICIPIOS, EL CUAL ESTABLECE: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AL RESPECTO, ME PERMITO INFORMAR LO SIGUIENTE: DURANTE LOS EVENTOS CONMEMORATIVOS DEL DÍA DEL NIÑO, REALIZADOS EN DISTINTOS PUNTOS DEL MUNICIPIO DE ATIZAPÁN DE ZARAGOZA, SE OTORGARON UN TOTAL DE 2,015 JUGUETES A NIÑAS Y NIÑOS ASISTENTES. LA INFORMACIÓN FUE RECABADA POR LA COORDINACIÓN DE PROCURACIÓN DE FONDOS DEL SISTEMA MUNICIPAL DIF. A CONTINUACIÓN, SE DETALLAN LOS DATOS POR EVENTO: • DOMINGO 6 DE ABRIL – DEPORTIVO ZARAGOZA SE ENTREGARON 125 JUGUETES MEDIANTE RIFAS, BENEFICIANDO </w:t>
      </w:r>
      <w:r w:rsidRPr="00055E10">
        <w:rPr>
          <w:rFonts w:ascii="Palatino Linotype" w:eastAsia="Palatino Linotype" w:hAnsi="Palatino Linotype" w:cs="Palatino Linotype"/>
          <w:i/>
          <w:sz w:val="22"/>
          <w:szCs w:val="22"/>
        </w:rPr>
        <w:lastRenderedPageBreak/>
        <w:t>DIRECTAMENTE A 125 MENORES. • VIERNES 11 DE ABRIL – DEPORTIVO RICARDO “FINITO” LÓPEZ SE DISTRIBUYERON 45 JUGUETES EN RIFAS Y PREMIOS, Y SE ENTREGARON 800 BOLETOS CANJEABLES POR JUGUETES, CON UN TOTAL DE 845 MENORES BENEFICIADOS. LA ASISTENCIA FUE DE APROXIMADAMENTE 1,400 PERSONAS. • VIERNES 11 DE ABRIL – CANCHAS DE LA COLONIA MIRAFLORES SE ENTREGARON 45 JUGUETES EN RIFAS Y PREMIOS, ASÍ COMO 1,000 BOLETOS PARA CANJE DE JUGUETES, BENEFICIANDO A 1,045 MENORES. LA ASISTENCIA ESTIMADA FUE DE 1,600 PERSONAS. GASTOS DE ORGANIZACIÓN PARA LOS EVENTOS REALIZADOS EN EL DEPORTIVO RICARDO “FINITO” LÓPEZ Y EN LAS CANCHAS DE LA COLONIA MIRAFLORES, SE CONTRATARON LOS SIGUIENTES SERVICIOS: • RENTA DE 4 LONAS DE 10 X 15 METROS (600 M² EN TOTAL) • 500 SILLAS PLEGABLES • 4 MESAS TIPO TABLÓN CON MANTEL • 1 SHOW DE PAYASO POR EVENTO EL COSTO TOTAL DE ESTOS SERVICIOS FUE DE $43,263.36 (CUARENTA Y TRES MIL DOSCIENTOS SESENTA Y TRES PESOS CON TREINTA Y SEIS CENTAVOS, MONEDA NACIONAL). ASIMISMO, SE LE INFORMA QUE, EN CASO DE NO ESTAR CONFORME CON LA PRESENTE RESPUESTA, Y CON FUNDAMENTO EN EL ARTÍCULO 178 DE LA LEY DE TRANSPARENCIA Y ACCESO A LA INFORMACIÓN PÚBLICA DEL ESTADO DE MÉXICO Y MUNICIPIOS, USTED PODRÁ INTERPONER EL RECURSO DE REVISIÓN CORRESPONDIENTE DENTRO DE LOS 15 DÍAS HÁBILES SIGUIENTES, YA SEA A TRAVÉS DEL SISTEMA SAIMEX O DE MANERA PRESENCIAL EN LAS OFICINAS DE ESTA UNIDAD DE TRANSPARENCIA, UBICADAS EN: AV. RUIZ CORTINES S/N, ESQUINA ACAMBAY, COL. LOMAS DE ATIZAPÁN, ATIZAPÁN DE ZARAGOZA, ESTADO DE MÉXICO, C.P. 52977, EN UN HORARIO DE ATENCIÓN DE LUNES A VIERNES, DE 9:00 A 18:00 HORAS</w:t>
      </w:r>
    </w:p>
    <w:p w14:paraId="1E1FA60F" w14:textId="77777777" w:rsidR="00D67C4B" w:rsidRPr="00055E10" w:rsidRDefault="006B2E37">
      <w:pPr>
        <w:spacing w:before="240" w:after="24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ATENTAMENTE</w:t>
      </w:r>
    </w:p>
    <w:p w14:paraId="3F3249B1" w14:textId="77777777" w:rsidR="00D67C4B" w:rsidRPr="00055E10" w:rsidRDefault="006B2E37">
      <w:pPr>
        <w:spacing w:before="240" w:after="24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M. EN DERECHO DAFNE KINNERETH GONZALEZ SOTELO....” (sic)</w:t>
      </w:r>
    </w:p>
    <w:p w14:paraId="0741E6A4"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adjuntó lo siguiente:</w:t>
      </w:r>
    </w:p>
    <w:p w14:paraId="0639E52B"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b/>
          <w:i/>
        </w:rPr>
        <w:lastRenderedPageBreak/>
        <w:t xml:space="preserve">SOLICITUD 00008DIFATIZARAIP2025 PROC. DE FONDOS.pdf. </w:t>
      </w:r>
      <w:r w:rsidRPr="00055E10">
        <w:rPr>
          <w:rFonts w:ascii="Palatino Linotype" w:eastAsia="Palatino Linotype" w:hAnsi="Palatino Linotype" w:cs="Palatino Linotype"/>
        </w:rPr>
        <w:t xml:space="preserve">Oficio número DIF/PF/086/2025, signado por la Coordinadora de Procuración de Fondos, informa que se llevaron a cabo tres eventos y detalló el número de juguetes otorgados, en cado uno de ellos y en total. </w:t>
      </w:r>
    </w:p>
    <w:p w14:paraId="76194FF3"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b/>
          <w:i/>
        </w:rPr>
        <w:t xml:space="preserve">SOLICITUD 00008DIFATIZARAIP2025 SUB. DE ADMINISTRACION.pdf. </w:t>
      </w:r>
      <w:r w:rsidRPr="00055E10">
        <w:rPr>
          <w:rFonts w:ascii="Palatino Linotype" w:eastAsia="Palatino Linotype" w:hAnsi="Palatino Linotype" w:cs="Palatino Linotype"/>
        </w:rPr>
        <w:t xml:space="preserve">Oficio número DIF/SA/0682/2025 signado por la subdirectora de administración, mediante el cual señala que respecto a la información solicitada se realizó la contratación de dos servicios de renta de 4 lonas, 500 sillas plegables, 4 mesas tablón con mantel y 1 show de payaso para cada evento, con un costo total del $43,263.36. </w:t>
      </w:r>
    </w:p>
    <w:p w14:paraId="441D195C"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 </w:t>
      </w:r>
      <w:r w:rsidRPr="00055E10">
        <w:rPr>
          <w:rFonts w:ascii="Palatino Linotype" w:eastAsia="Palatino Linotype" w:hAnsi="Palatino Linotype" w:cs="Palatino Linotype"/>
          <w:b/>
        </w:rPr>
        <w:t xml:space="preserve">3. Interposición del recurso de revisión. </w:t>
      </w:r>
      <w:r w:rsidRPr="00055E10">
        <w:rPr>
          <w:rFonts w:ascii="Palatino Linotype" w:eastAsia="Palatino Linotype" w:hAnsi="Palatino Linotype" w:cs="Palatino Linotype"/>
        </w:rPr>
        <w:t xml:space="preserve">Inconforme con los términos de la respuesta emitida por parte del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 xml:space="preserve">, el </w:t>
      </w:r>
      <w:r w:rsidRPr="00055E10">
        <w:rPr>
          <w:rFonts w:ascii="Palatino Linotype" w:eastAsia="Palatino Linotype" w:hAnsi="Palatino Linotype" w:cs="Palatino Linotype"/>
          <w:b/>
        </w:rPr>
        <w:t>catorce de mayo de dos mil veinticinco,</w:t>
      </w:r>
      <w:r w:rsidRPr="00055E10">
        <w:rPr>
          <w:rFonts w:ascii="Palatino Linotype" w:eastAsia="Palatino Linotype" w:hAnsi="Palatino Linotype" w:cs="Palatino Linotype"/>
        </w:rPr>
        <w:t xml:space="preserve">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interpuso el recurso de revisión a través de </w:t>
      </w:r>
      <w:r w:rsidRPr="00055E10">
        <w:rPr>
          <w:rFonts w:ascii="Palatino Linotype" w:eastAsia="Palatino Linotype" w:hAnsi="Palatino Linotype" w:cs="Palatino Linotype"/>
          <w:b/>
        </w:rPr>
        <w:t xml:space="preserve">SAIMEX, </w:t>
      </w:r>
      <w:r w:rsidRPr="00055E10">
        <w:rPr>
          <w:rFonts w:ascii="Palatino Linotype" w:eastAsia="Palatino Linotype" w:hAnsi="Palatino Linotype" w:cs="Palatino Linotype"/>
        </w:rPr>
        <w:t>en donde se manifestó de la siguiente manera:</w:t>
      </w:r>
    </w:p>
    <w:p w14:paraId="2B62B078" w14:textId="77777777" w:rsidR="00D67C4B" w:rsidRPr="00055E10" w:rsidRDefault="006B2E37">
      <w:pPr>
        <w:spacing w:before="240" w:after="240" w:line="360" w:lineRule="auto"/>
        <w:ind w:right="49"/>
        <w:jc w:val="both"/>
        <w:rPr>
          <w:rFonts w:ascii="Palatino Linotype" w:eastAsia="Palatino Linotype" w:hAnsi="Palatino Linotype" w:cs="Palatino Linotype"/>
          <w:b/>
        </w:rPr>
      </w:pPr>
      <w:r w:rsidRPr="00055E10">
        <w:rPr>
          <w:rFonts w:ascii="Palatino Linotype" w:eastAsia="Palatino Linotype" w:hAnsi="Palatino Linotype" w:cs="Palatino Linotype"/>
          <w:b/>
        </w:rPr>
        <w:t xml:space="preserve">Acto impugnado: </w:t>
      </w:r>
    </w:p>
    <w:p w14:paraId="0418C177" w14:textId="77777777" w:rsidR="00D67C4B" w:rsidRPr="00055E10" w:rsidRDefault="006B2E37">
      <w:pPr>
        <w:tabs>
          <w:tab w:val="left" w:pos="2745"/>
        </w:tabs>
        <w:spacing w:before="240" w:after="240"/>
        <w:ind w:left="851" w:right="900"/>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u w:val="single"/>
        </w:rPr>
        <w:t xml:space="preserve">que </w:t>
      </w:r>
      <w:proofErr w:type="spellStart"/>
      <w:r w:rsidRPr="00055E10">
        <w:rPr>
          <w:rFonts w:ascii="Palatino Linotype" w:eastAsia="Palatino Linotype" w:hAnsi="Palatino Linotype" w:cs="Palatino Linotype"/>
          <w:b/>
          <w:i/>
          <w:sz w:val="22"/>
          <w:szCs w:val="22"/>
          <w:u w:val="single"/>
        </w:rPr>
        <w:t>esclaresca</w:t>
      </w:r>
      <w:proofErr w:type="spellEnd"/>
      <w:r w:rsidRPr="00055E10">
        <w:rPr>
          <w:rFonts w:ascii="Palatino Linotype" w:eastAsia="Palatino Linotype" w:hAnsi="Palatino Linotype" w:cs="Palatino Linotype"/>
          <w:i/>
          <w:sz w:val="22"/>
          <w:szCs w:val="22"/>
        </w:rPr>
        <w:t xml:space="preserve"> cuantos premios dio en total y cuantos juguetes en total dio y costo de cada juguete” (sic)</w:t>
      </w:r>
    </w:p>
    <w:p w14:paraId="44C2ABDA" w14:textId="77777777" w:rsidR="00D67C4B" w:rsidRPr="00055E10" w:rsidRDefault="006B2E37">
      <w:pPr>
        <w:spacing w:line="360" w:lineRule="auto"/>
        <w:jc w:val="both"/>
        <w:rPr>
          <w:rFonts w:ascii="Palatino Linotype" w:eastAsia="Palatino Linotype" w:hAnsi="Palatino Linotype" w:cs="Palatino Linotype"/>
        </w:rPr>
      </w:pPr>
      <w:bookmarkStart w:id="3" w:name="_heading=h.30j0zll" w:colFirst="0" w:colLast="0"/>
      <w:bookmarkEnd w:id="3"/>
      <w:r w:rsidRPr="00055E10">
        <w:rPr>
          <w:rFonts w:ascii="Palatino Linotype" w:eastAsia="Palatino Linotype" w:hAnsi="Palatino Linotype" w:cs="Palatino Linotype"/>
          <w:b/>
        </w:rPr>
        <w:t>Y, Razones o motivos de inconformidad</w:t>
      </w:r>
      <w:r w:rsidRPr="00055E10">
        <w:rPr>
          <w:rFonts w:ascii="Palatino Linotype" w:eastAsia="Palatino Linotype" w:hAnsi="Palatino Linotype" w:cs="Palatino Linotype"/>
        </w:rPr>
        <w:t>:</w:t>
      </w:r>
    </w:p>
    <w:p w14:paraId="7B4797D1" w14:textId="77777777" w:rsidR="00D67C4B" w:rsidRPr="00055E10" w:rsidRDefault="006B2E37">
      <w:pPr>
        <w:tabs>
          <w:tab w:val="left" w:pos="2745"/>
        </w:tabs>
        <w:spacing w:before="240" w:after="240"/>
        <w:ind w:left="851" w:right="900"/>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 xml:space="preserve">“que </w:t>
      </w:r>
      <w:proofErr w:type="spellStart"/>
      <w:r w:rsidRPr="00055E10">
        <w:rPr>
          <w:rFonts w:ascii="Palatino Linotype" w:eastAsia="Palatino Linotype" w:hAnsi="Palatino Linotype" w:cs="Palatino Linotype"/>
          <w:i/>
          <w:sz w:val="22"/>
          <w:szCs w:val="22"/>
        </w:rPr>
        <w:t>esclaresca</w:t>
      </w:r>
      <w:proofErr w:type="spellEnd"/>
      <w:r w:rsidRPr="00055E10">
        <w:rPr>
          <w:rFonts w:ascii="Palatino Linotype" w:eastAsia="Palatino Linotype" w:hAnsi="Palatino Linotype" w:cs="Palatino Linotype"/>
          <w:i/>
          <w:sz w:val="22"/>
          <w:szCs w:val="22"/>
        </w:rPr>
        <w:t xml:space="preserve"> cuantos premios dio en total y cuantos juguetes en total dio y costo de cada juguete” (sic)</w:t>
      </w:r>
    </w:p>
    <w:p w14:paraId="04983407" w14:textId="77777777" w:rsidR="00D67C4B" w:rsidRPr="00055E10" w:rsidRDefault="006B2E37">
      <w:pPr>
        <w:spacing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t xml:space="preserve">4. Turno. </w:t>
      </w:r>
      <w:r w:rsidRPr="00055E1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055E10">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055E10">
        <w:rPr>
          <w:rFonts w:ascii="Palatino Linotype" w:eastAsia="Palatino Linotype" w:hAnsi="Palatino Linotype" w:cs="Palatino Linotype"/>
          <w:b/>
        </w:rPr>
        <w:t xml:space="preserve">Guadalupe Ramírez Peña, </w:t>
      </w:r>
      <w:r w:rsidRPr="00055E10">
        <w:rPr>
          <w:rFonts w:ascii="Palatino Linotype" w:eastAsia="Palatino Linotype" w:hAnsi="Palatino Linotype" w:cs="Palatino Linotype"/>
        </w:rPr>
        <w:t xml:space="preserve">a efecto de que analizara sobre su admisión o su </w:t>
      </w:r>
      <w:proofErr w:type="spellStart"/>
      <w:r w:rsidRPr="00055E10">
        <w:rPr>
          <w:rFonts w:ascii="Palatino Linotype" w:eastAsia="Palatino Linotype" w:hAnsi="Palatino Linotype" w:cs="Palatino Linotype"/>
        </w:rPr>
        <w:t>desechamiento</w:t>
      </w:r>
      <w:proofErr w:type="spellEnd"/>
      <w:r w:rsidRPr="00055E10">
        <w:rPr>
          <w:rFonts w:ascii="Palatino Linotype" w:eastAsia="Palatino Linotype" w:hAnsi="Palatino Linotype" w:cs="Palatino Linotype"/>
        </w:rPr>
        <w:t>.</w:t>
      </w:r>
    </w:p>
    <w:p w14:paraId="5E1090D6"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b/>
        </w:rPr>
        <w:t>5. Admisión del Recurso de revisión.</w:t>
      </w:r>
      <w:r w:rsidRPr="00055E10">
        <w:rPr>
          <w:rFonts w:ascii="Palatino Linotype" w:eastAsia="Palatino Linotype" w:hAnsi="Palatino Linotype" w:cs="Palatino Linotype"/>
        </w:rPr>
        <w:t xml:space="preserve"> El</w:t>
      </w:r>
      <w:r w:rsidRPr="00055E10">
        <w:rPr>
          <w:rFonts w:ascii="Palatino Linotype" w:eastAsia="Palatino Linotype" w:hAnsi="Palatino Linotype" w:cs="Palatino Linotype"/>
          <w:b/>
        </w:rPr>
        <w:t xml:space="preserve"> diecinueve de mayo de dos mil veinticinco, </w:t>
      </w:r>
      <w:r w:rsidRPr="00055E1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presentara su informe justificado.</w:t>
      </w:r>
    </w:p>
    <w:p w14:paraId="3C914699"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055E10">
        <w:rPr>
          <w:rFonts w:ascii="Palatino Linotype" w:eastAsia="Palatino Linotype" w:hAnsi="Palatino Linotype" w:cs="Palatino Linotype"/>
          <w:b/>
        </w:rPr>
        <w:t>6. Manifestaciones</w:t>
      </w:r>
      <w:r w:rsidRPr="00055E10">
        <w:rPr>
          <w:rFonts w:ascii="Palatino Linotype" w:eastAsia="Palatino Linotype" w:hAnsi="Palatino Linotype" w:cs="Palatino Linotype"/>
        </w:rPr>
        <w:t xml:space="preserve">. De las constancias que obran en el expediente electrónico del SAIMEX se desprende que 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 xml:space="preserve"> no rindió su Informe Justificado, del mismo modo la parte</w:t>
      </w:r>
      <w:r w:rsidRPr="00055E10">
        <w:rPr>
          <w:rFonts w:ascii="Palatino Linotype" w:eastAsia="Palatino Linotype" w:hAnsi="Palatino Linotype" w:cs="Palatino Linotype"/>
          <w:b/>
        </w:rPr>
        <w:t xml:space="preserve"> Recurrente</w:t>
      </w:r>
      <w:r w:rsidRPr="00055E10">
        <w:rPr>
          <w:rFonts w:ascii="Palatino Linotype" w:eastAsia="Palatino Linotype" w:hAnsi="Palatino Linotype" w:cs="Palatino Linotype"/>
        </w:rPr>
        <w:t xml:space="preserve"> omitió realizar manifestaciones, como se observa a continuación:</w:t>
      </w:r>
    </w:p>
    <w:p w14:paraId="2C4E21CB"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noProof/>
        </w:rPr>
        <w:lastRenderedPageBreak/>
        <w:drawing>
          <wp:inline distT="0" distB="0" distL="0" distR="0" wp14:anchorId="2A67094D" wp14:editId="4DDC8C1D">
            <wp:extent cx="5612130" cy="2799715"/>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799715"/>
                    </a:xfrm>
                    <a:prstGeom prst="rect">
                      <a:avLst/>
                    </a:prstGeom>
                    <a:ln/>
                  </pic:spPr>
                </pic:pic>
              </a:graphicData>
            </a:graphic>
          </wp:inline>
        </w:drawing>
      </w:r>
    </w:p>
    <w:p w14:paraId="4C7323CA"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rPr>
        <w:t xml:space="preserve">7. </w:t>
      </w:r>
      <w:r w:rsidRPr="00055E10">
        <w:rPr>
          <w:rFonts w:ascii="Palatino Linotype" w:eastAsia="Palatino Linotype" w:hAnsi="Palatino Linotype" w:cs="Palatino Linotype"/>
          <w:b/>
        </w:rPr>
        <w:t>Ampliación del término para resolver</w:t>
      </w:r>
      <w:r w:rsidRPr="00055E10">
        <w:rPr>
          <w:rFonts w:ascii="Palatino Linotype" w:eastAsia="Palatino Linotype" w:hAnsi="Palatino Linotype" w:cs="Palatino Linotype"/>
        </w:rPr>
        <w:t xml:space="preserve">. El </w:t>
      </w:r>
      <w:r w:rsidRPr="00055E10">
        <w:rPr>
          <w:rFonts w:ascii="Palatino Linotype" w:eastAsia="Palatino Linotype" w:hAnsi="Palatino Linotype" w:cs="Palatino Linotype"/>
          <w:b/>
        </w:rPr>
        <w:t>nueve de julio de dos mil veinticinco</w:t>
      </w:r>
      <w:r w:rsidRPr="00055E1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830DB50"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5A9197"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055E10">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E8FF557"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C4003D"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4A2B42" w14:textId="77777777" w:rsidR="00D67C4B" w:rsidRPr="00055E10" w:rsidRDefault="006B2E37">
      <w:pPr>
        <w:spacing w:before="240" w:after="240" w:line="360" w:lineRule="auto"/>
        <w:jc w:val="both"/>
        <w:rPr>
          <w:rFonts w:ascii="Palatino Linotype" w:eastAsia="Palatino Linotype" w:hAnsi="Palatino Linotype" w:cs="Palatino Linotype"/>
          <w:strike/>
        </w:rPr>
      </w:pPr>
      <w:r w:rsidRPr="00055E1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56A49A2" w14:textId="77777777" w:rsidR="00D67C4B" w:rsidRPr="00055E10" w:rsidRDefault="006B2E3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997B0B4" w14:textId="77777777" w:rsidR="00D67C4B" w:rsidRPr="00055E10" w:rsidRDefault="006B2E3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55E10">
        <w:rPr>
          <w:rFonts w:ascii="Palatino Linotype" w:eastAsia="Palatino Linotype" w:hAnsi="Palatino Linotype" w:cs="Palatino Linotype"/>
        </w:rPr>
        <w:t>Actividad Procesal del interesado. Acciones u omisiones del interesado.</w:t>
      </w:r>
    </w:p>
    <w:p w14:paraId="7B62D5F5" w14:textId="77777777" w:rsidR="00D67C4B" w:rsidRPr="00055E10" w:rsidRDefault="006B2E3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55E10">
        <w:rPr>
          <w:rFonts w:ascii="Palatino Linotype" w:eastAsia="Palatino Linotype" w:hAnsi="Palatino Linotype" w:cs="Palatino Linotype"/>
        </w:rPr>
        <w:t>Conducta de la Autoridad: Las Acciones u omisiones realizadas en el procedimiento. Así como si la autoridad actuó con la debida diligencia.</w:t>
      </w:r>
    </w:p>
    <w:p w14:paraId="19B71FC7" w14:textId="77777777" w:rsidR="00D67C4B" w:rsidRPr="00055E10" w:rsidRDefault="006B2E37">
      <w:pPr>
        <w:tabs>
          <w:tab w:val="left" w:pos="567"/>
        </w:tabs>
        <w:spacing w:before="240" w:after="240" w:line="360" w:lineRule="auto"/>
        <w:ind w:left="284"/>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214ACDDE"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C87672"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55E1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55E10">
        <w:rPr>
          <w:rFonts w:ascii="Palatino Linotype" w:eastAsia="Palatino Linotype" w:hAnsi="Palatino Linotype" w:cs="Palatino Linotype"/>
        </w:rPr>
        <w:t>, visible en la Gaceta del Seminario Judicial de la Federación con el registro digital 205635.</w:t>
      </w:r>
    </w:p>
    <w:p w14:paraId="1E74C11E"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55E10">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0215D3D"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02AFA0" w14:textId="77777777" w:rsidR="00D67C4B" w:rsidRPr="00055E10" w:rsidRDefault="006B2E37">
      <w:pPr>
        <w:spacing w:before="120" w:after="120"/>
        <w:ind w:left="851" w:right="902"/>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 </w:t>
      </w: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PLAZO RAZONABLE PARA RESOLVER. DIMENSIÓN Y EFECTOS DE ESTE CONCEPTO CUANDO SE ADUCE EXCESIVA CARGA DE TRABAJO</w:t>
      </w: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1184506" w14:textId="77777777" w:rsidR="00D67C4B" w:rsidRPr="00055E10" w:rsidRDefault="006B2E37">
      <w:pPr>
        <w:spacing w:before="120" w:after="120"/>
        <w:ind w:left="851" w:right="902"/>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sz w:val="22"/>
          <w:szCs w:val="22"/>
        </w:rPr>
        <w:t>, visible en el Seminario Judicial de la Federación y su gaceta, con el registro digital 2002350.</w:t>
      </w:r>
    </w:p>
    <w:p w14:paraId="2B1CCC60"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AD94683"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t xml:space="preserve">7. Cierre de instrucción. </w:t>
      </w:r>
      <w:r w:rsidRPr="00055E10">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055E10">
        <w:rPr>
          <w:rFonts w:ascii="Palatino Linotype" w:eastAsia="Palatino Linotype" w:hAnsi="Palatino Linotype" w:cs="Palatino Linotype"/>
          <w:b/>
        </w:rPr>
        <w:t>seis de agosto de dos mil veinticinco</w:t>
      </w:r>
      <w:r w:rsidRPr="00055E1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C72B594"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7ACCC20" w14:textId="77777777" w:rsidR="00D67C4B" w:rsidRPr="00055E10" w:rsidRDefault="006B2E37">
      <w:pPr>
        <w:widowControl w:val="0"/>
        <w:spacing w:before="240" w:after="240" w:line="360" w:lineRule="auto"/>
        <w:jc w:val="center"/>
        <w:rPr>
          <w:rFonts w:ascii="Palatino Linotype" w:eastAsia="Palatino Linotype" w:hAnsi="Palatino Linotype" w:cs="Palatino Linotype"/>
          <w:b/>
        </w:rPr>
      </w:pPr>
      <w:r w:rsidRPr="00055E10">
        <w:rPr>
          <w:rFonts w:ascii="Palatino Linotype" w:eastAsia="Palatino Linotype" w:hAnsi="Palatino Linotype" w:cs="Palatino Linotype"/>
          <w:b/>
        </w:rPr>
        <w:t>II. C O N S I D E R A N D O S</w:t>
      </w:r>
    </w:p>
    <w:p w14:paraId="6B1FCDE6"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t>Primero. Competencia.</w:t>
      </w:r>
      <w:r w:rsidRPr="00055E1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2AEE6F"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055E10">
        <w:rPr>
          <w:rFonts w:ascii="Palatino Linotype" w:eastAsia="Palatino Linotype" w:hAnsi="Palatino Linotype" w:cs="Palatino Linotype"/>
          <w:b/>
        </w:rPr>
        <w:t>Segundo. Oportunidad y Procedibilidad del Recurso de Revisión</w:t>
      </w:r>
      <w:r w:rsidRPr="00055E1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09F829"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 xml:space="preserve">remitió la respuesta a la solicitud de información el día </w:t>
      </w:r>
      <w:r w:rsidRPr="00055E10">
        <w:rPr>
          <w:rFonts w:ascii="Palatino Linotype" w:eastAsia="Palatino Linotype" w:hAnsi="Palatino Linotype" w:cs="Palatino Linotype"/>
          <w:b/>
        </w:rPr>
        <w:t xml:space="preserve">nueve de mayo de dos mil veinticinco, </w:t>
      </w:r>
      <w:r w:rsidRPr="00055E10">
        <w:rPr>
          <w:rFonts w:ascii="Palatino Linotype" w:eastAsia="Palatino Linotype" w:hAnsi="Palatino Linotype" w:cs="Palatino Linotype"/>
        </w:rPr>
        <w:t xml:space="preserve">mientras que el recurso de revisión interpuesto por la parte </w:t>
      </w:r>
      <w:r w:rsidRPr="00055E10">
        <w:rPr>
          <w:rFonts w:ascii="Palatino Linotype" w:eastAsia="Palatino Linotype" w:hAnsi="Palatino Linotype" w:cs="Palatino Linotype"/>
          <w:b/>
        </w:rPr>
        <w:t xml:space="preserve">Recurrente, </w:t>
      </w:r>
      <w:r w:rsidRPr="00055E10">
        <w:rPr>
          <w:rFonts w:ascii="Palatino Linotype" w:eastAsia="Palatino Linotype" w:hAnsi="Palatino Linotype" w:cs="Palatino Linotype"/>
        </w:rPr>
        <w:t>se tuvo por presentado el día</w:t>
      </w:r>
      <w:r w:rsidRPr="00055E10">
        <w:rPr>
          <w:rFonts w:ascii="Palatino Linotype" w:eastAsia="Palatino Linotype" w:hAnsi="Palatino Linotype" w:cs="Palatino Linotype"/>
          <w:b/>
        </w:rPr>
        <w:t xml:space="preserve"> catorce de mayo de dos mil veinticinco, </w:t>
      </w:r>
      <w:r w:rsidRPr="00055E10">
        <w:rPr>
          <w:rFonts w:ascii="Palatino Linotype" w:eastAsia="Palatino Linotype" w:hAnsi="Palatino Linotype" w:cs="Palatino Linotype"/>
        </w:rPr>
        <w:t>esto es, al tercer día hábil siguiente a aquel en el que tuvo conocimiento de la respuesta impugnada. En este sentido, se concluye que el presente recurso de revisión se encuentra dentro de los márgenes temporales previstos en las disposiciones legales referidas.</w:t>
      </w:r>
    </w:p>
    <w:p w14:paraId="6981FC95"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rPr>
        <w:t>Además, 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055E10">
        <w:rPr>
          <w:rFonts w:ascii="Palatino Linotype" w:eastAsia="Palatino Linotype" w:hAnsi="Palatino Linotype" w:cs="Palatino Linotype"/>
          <w:b/>
        </w:rPr>
        <w:t xml:space="preserve"> SAIMEX.</w:t>
      </w:r>
    </w:p>
    <w:p w14:paraId="3AC3C91B"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Finalmente, se advierte que resulta procedente la interposición del recurso, según lo manifestado por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en sus motivos de inconformidad, de acuerdo al artículo 179, fracción V del ordenamiento legal citado, que a la letra dice: </w:t>
      </w:r>
    </w:p>
    <w:p w14:paraId="0406D6A5" w14:textId="77777777" w:rsidR="00D67C4B" w:rsidRPr="00055E10" w:rsidRDefault="006B2E37">
      <w:pPr>
        <w:tabs>
          <w:tab w:val="left" w:pos="7938"/>
        </w:tabs>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Artículo 179.</w:t>
      </w:r>
      <w:r w:rsidRPr="00055E1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5653682" w14:textId="77777777" w:rsidR="00D67C4B" w:rsidRPr="00055E10" w:rsidRDefault="006B2E37">
      <w:pPr>
        <w:tabs>
          <w:tab w:val="left" w:pos="7938"/>
        </w:tabs>
        <w:spacing w:before="120" w:after="120"/>
        <w:ind w:left="1134" w:right="900"/>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p>
    <w:p w14:paraId="66E8E667" w14:textId="77777777" w:rsidR="00D67C4B" w:rsidRPr="00055E10" w:rsidRDefault="006B2E37">
      <w:pPr>
        <w:tabs>
          <w:tab w:val="left" w:pos="7938"/>
        </w:tabs>
        <w:spacing w:before="120" w:after="120"/>
        <w:ind w:left="1134" w:right="900"/>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lastRenderedPageBreak/>
        <w:t>V.</w:t>
      </w:r>
      <w:r w:rsidRPr="00055E10">
        <w:rPr>
          <w:rFonts w:ascii="Palatino Linotype" w:eastAsia="Palatino Linotype" w:hAnsi="Palatino Linotype" w:cs="Palatino Linotype"/>
          <w:i/>
          <w:sz w:val="22"/>
          <w:szCs w:val="22"/>
        </w:rPr>
        <w:t xml:space="preserve"> La entrega de información incompleta;”</w:t>
      </w:r>
    </w:p>
    <w:p w14:paraId="0FDBDAB5"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b/>
        </w:rPr>
        <w:t xml:space="preserve">Tercero. Materia de la revisión. </w:t>
      </w:r>
      <w:r w:rsidRPr="00055E1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55E1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55E10">
        <w:rPr>
          <w:rFonts w:ascii="Palatino Linotype" w:eastAsia="Palatino Linotype" w:hAnsi="Palatino Linotype" w:cs="Palatino Linotype"/>
        </w:rPr>
        <w:t xml:space="preserve">de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o en su defecto, en caso de ser procedente, ordenar la entrega de información.</w:t>
      </w:r>
    </w:p>
    <w:p w14:paraId="00620AB4"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055E10">
        <w:rPr>
          <w:rFonts w:ascii="Palatino Linotype" w:eastAsia="Palatino Linotype" w:hAnsi="Palatino Linotype" w:cs="Palatino Linotype"/>
          <w:b/>
        </w:rPr>
        <w:t xml:space="preserve">Cuarto. Estudio del asunto. </w:t>
      </w:r>
      <w:r w:rsidRPr="00055E1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C4150AA"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Artículo 4</w:t>
      </w:r>
      <w:r w:rsidRPr="00055E1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C06939"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55E10">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055E10">
        <w:rPr>
          <w:rFonts w:ascii="Palatino Linotype" w:eastAsia="Palatino Linotype" w:hAnsi="Palatino Linotype" w:cs="Palatino Linotype"/>
          <w:i/>
          <w:sz w:val="22"/>
          <w:szCs w:val="22"/>
        </w:rPr>
        <w:lastRenderedPageBreak/>
        <w:t>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0915AF0"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55E10">
        <w:rPr>
          <w:rFonts w:ascii="Palatino Linotype" w:eastAsia="Palatino Linotype" w:hAnsi="Palatino Linotype" w:cs="Palatino Linotype"/>
          <w:i/>
          <w:sz w:val="22"/>
          <w:szCs w:val="22"/>
        </w:rPr>
        <w:t>.”</w:t>
      </w:r>
    </w:p>
    <w:p w14:paraId="135AA1FA"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04AB58"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t>“Artículo 12.-</w:t>
      </w:r>
      <w:r w:rsidRPr="00055E1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92E194D"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55E10">
        <w:rPr>
          <w:rFonts w:ascii="Palatino Linotype" w:eastAsia="Palatino Linotype" w:hAnsi="Palatino Linotype" w:cs="Palatino Linotype"/>
          <w:i/>
          <w:sz w:val="22"/>
          <w:szCs w:val="22"/>
        </w:rPr>
        <w:t xml:space="preserve">. </w:t>
      </w:r>
      <w:r w:rsidRPr="00055E1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88D59A4" w14:textId="77777777" w:rsidR="00D67C4B" w:rsidRPr="00055E10" w:rsidRDefault="006B2E37">
      <w:pPr>
        <w:spacing w:before="240" w:after="240" w:line="360" w:lineRule="auto"/>
        <w:ind w:right="-93"/>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055E10">
        <w:rPr>
          <w:rFonts w:ascii="Palatino Linotype" w:eastAsia="Palatino Linotype" w:hAnsi="Palatino Linotype" w:cs="Palatino Linotype"/>
        </w:rPr>
        <w:lastRenderedPageBreak/>
        <w:t>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1B4CB09" w14:textId="77777777" w:rsidR="00D67C4B" w:rsidRPr="00055E10" w:rsidRDefault="006B2E37">
      <w:pPr>
        <w:spacing w:before="240" w:after="240" w:line="360" w:lineRule="auto"/>
        <w:jc w:val="both"/>
        <w:rPr>
          <w:rFonts w:ascii="Palatino Linotype" w:eastAsia="Palatino Linotype" w:hAnsi="Palatino Linotype" w:cs="Palatino Linotype"/>
          <w:b/>
        </w:rPr>
      </w:pPr>
      <w:r w:rsidRPr="00055E10">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055E10">
        <w:rPr>
          <w:rFonts w:ascii="Palatino Linotype" w:eastAsia="Palatino Linotype" w:hAnsi="Palatino Linotype" w:cs="Palatino Linotype"/>
          <w:b/>
        </w:rPr>
        <w:t xml:space="preserve"> </w:t>
      </w:r>
    </w:p>
    <w:p w14:paraId="5FDDE5AB"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 xml:space="preserve"> “</w:t>
      </w:r>
      <w:r w:rsidRPr="00055E10">
        <w:rPr>
          <w:rFonts w:ascii="Palatino Linotype" w:eastAsia="Palatino Linotype" w:hAnsi="Palatino Linotype" w:cs="Palatino Linotype"/>
          <w:b/>
          <w:i/>
          <w:sz w:val="22"/>
          <w:szCs w:val="22"/>
        </w:rPr>
        <w:t>No existe obligación de elaborar documentos ad hoc para atender las solicitudes de acceso a la información.</w:t>
      </w:r>
      <w:r w:rsidRPr="00055E1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C0C34F" w14:textId="77777777" w:rsidR="00D67C4B" w:rsidRPr="00055E10" w:rsidRDefault="006B2E37">
      <w:pPr>
        <w:spacing w:before="120" w:after="12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11A703" w14:textId="77777777" w:rsidR="00D67C4B" w:rsidRPr="00055E10" w:rsidRDefault="006B2E37">
      <w:pPr>
        <w:spacing w:before="120" w:after="12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40D47D"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 xml:space="preserve">Artículo 3. </w:t>
      </w:r>
      <w:r w:rsidRPr="00055E10">
        <w:rPr>
          <w:rFonts w:ascii="Palatino Linotype" w:eastAsia="Palatino Linotype" w:hAnsi="Palatino Linotype" w:cs="Palatino Linotype"/>
          <w:i/>
          <w:sz w:val="22"/>
          <w:szCs w:val="22"/>
        </w:rPr>
        <w:t>Para los efectos de la presente Ley se entenderá por:</w:t>
      </w:r>
    </w:p>
    <w:p w14:paraId="5624944E"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p>
    <w:p w14:paraId="545A4675"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z w:val="22"/>
          <w:szCs w:val="22"/>
        </w:rPr>
        <w:t>XI. Documento:</w:t>
      </w:r>
      <w:r w:rsidRPr="00055E10">
        <w:rPr>
          <w:rFonts w:ascii="Palatino Linotype" w:eastAsia="Palatino Linotype" w:hAnsi="Palatino Linotype" w:cs="Palatino Linotype"/>
          <w:i/>
          <w:sz w:val="22"/>
          <w:szCs w:val="22"/>
        </w:rPr>
        <w:t xml:space="preserve"> Los expedientes, reportes, estudios, actas</w:t>
      </w:r>
      <w:r w:rsidRPr="00055E10">
        <w:rPr>
          <w:rFonts w:ascii="Palatino Linotype" w:eastAsia="Palatino Linotype" w:hAnsi="Palatino Linotype" w:cs="Palatino Linotype"/>
          <w:b/>
          <w:i/>
          <w:sz w:val="22"/>
          <w:szCs w:val="22"/>
        </w:rPr>
        <w:t>,</w:t>
      </w:r>
      <w:r w:rsidRPr="00055E1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64DD358"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B18C78"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sz w:val="22"/>
          <w:szCs w:val="22"/>
        </w:rPr>
        <w:lastRenderedPageBreak/>
        <w:t>“</w:t>
      </w:r>
      <w:r w:rsidRPr="00055E1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55E1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66A598" w14:textId="77777777" w:rsidR="00D67C4B" w:rsidRPr="00055E10" w:rsidRDefault="006B2E37">
      <w:pP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EB956E"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D0754D"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C30EABB" w14:textId="77777777" w:rsidR="00D67C4B" w:rsidRPr="00055E10" w:rsidRDefault="006B2E37">
      <w:pPr>
        <w:spacing w:before="120" w:after="120"/>
        <w:ind w:left="1134"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BA9E705" w14:textId="77777777" w:rsidR="00D67C4B" w:rsidRPr="00055E10" w:rsidRDefault="006B2E37">
      <w:pPr>
        <w:spacing w:before="240" w:after="240" w:line="360" w:lineRule="auto"/>
        <w:ind w:right="51"/>
        <w:jc w:val="both"/>
        <w:rPr>
          <w:rFonts w:ascii="Palatino Linotype" w:eastAsia="Palatino Linotype" w:hAnsi="Palatino Linotype" w:cs="Palatino Linotype"/>
        </w:rPr>
      </w:pPr>
      <w:r w:rsidRPr="00055E1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10718E"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1E0F3AF"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DF142A9"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w:t>
      </w:r>
      <w:r w:rsidRPr="00055E10">
        <w:rPr>
          <w:rFonts w:ascii="Palatino Linotype" w:eastAsia="Palatino Linotype" w:hAnsi="Palatino Linotype" w:cs="Palatino Linotype"/>
        </w:rPr>
        <w:lastRenderedPageBreak/>
        <w:t>artículos 53, fracciones II y IV y 162 de la Ley de Transparencia y Acceso a la Información Pública del Estado de México y Municipios.</w:t>
      </w:r>
    </w:p>
    <w:p w14:paraId="2B973CD5" w14:textId="77777777" w:rsidR="00D67C4B" w:rsidRPr="00055E10" w:rsidRDefault="006B2E37">
      <w:pPr>
        <w:spacing w:before="240" w:after="240" w:line="360" w:lineRule="auto"/>
        <w:ind w:right="51"/>
        <w:jc w:val="both"/>
        <w:rPr>
          <w:rFonts w:ascii="Palatino Linotype" w:eastAsia="Palatino Linotype" w:hAnsi="Palatino Linotype" w:cs="Palatino Linotype"/>
        </w:rPr>
      </w:pPr>
      <w:r w:rsidRPr="00055E10">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4058D52"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w:t>
      </w:r>
      <w:r w:rsidRPr="00055E10">
        <w:rPr>
          <w:rFonts w:ascii="Palatino Linotype" w:eastAsia="Palatino Linotype" w:hAnsi="Palatino Linotype" w:cs="Palatino Linotype"/>
        </w:rPr>
        <w:lastRenderedPageBreak/>
        <w:t>información solicitada, y que una vez localizada, la misma sea proporcionada a las personas solicitantes atendiendo a la naturaleza jurídica de la misma.</w:t>
      </w:r>
    </w:p>
    <w:p w14:paraId="440B69BE" w14:textId="77777777" w:rsidR="00D67C4B" w:rsidRPr="00055E10" w:rsidRDefault="006B2E37">
      <w:pPr>
        <w:spacing w:before="280" w:after="28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Coordinación de Procuración de Fondos y a la Subdirección de Administración, como las dependencias responsables para conocer de la información que es del interés de la persona solicitante.</w:t>
      </w:r>
    </w:p>
    <w:p w14:paraId="04E46788" w14:textId="77777777" w:rsidR="00D67C4B" w:rsidRPr="00055E10" w:rsidRDefault="006B2E37">
      <w:pPr>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Como sustento a lo anterior, es oportuno mencionar que de conformidad con el Reglamento Interno del Sistema Municipal para el Desarrollo Integral de la Familia de Atizapán de Zaragoza la Coordinación de Procuración de Fondos tiene las siguientes atribuciones: </w:t>
      </w:r>
    </w:p>
    <w:p w14:paraId="49648726"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Artículo 57. - La Coordinación de Procuración de Fondos estará a cargo de un(a) Coordinador(a) denominado “Coordinador(a) de Procuración de Fondos” quien, para el desempeño de sus funciones tendrá de manera enunciativa más no limitativa, las siguientes atribuciones: </w:t>
      </w:r>
    </w:p>
    <w:p w14:paraId="30A1A63B" w14:textId="77777777" w:rsidR="00D67C4B" w:rsidRPr="00055E10" w:rsidRDefault="006B2E37">
      <w:pPr>
        <w:spacing w:before="240" w:after="240"/>
        <w:ind w:right="49"/>
        <w:jc w:val="both"/>
        <w:rPr>
          <w:rFonts w:ascii="Palatino Linotype" w:eastAsia="Palatino Linotype" w:hAnsi="Palatino Linotype" w:cs="Palatino Linotype"/>
          <w:i/>
        </w:rPr>
      </w:pPr>
      <w:proofErr w:type="gramStart"/>
      <w:r w:rsidRPr="00055E10">
        <w:rPr>
          <w:rFonts w:ascii="Palatino Linotype" w:eastAsia="Palatino Linotype" w:hAnsi="Palatino Linotype" w:cs="Palatino Linotype"/>
          <w:i/>
        </w:rPr>
        <w:t>I..</w:t>
      </w:r>
      <w:proofErr w:type="gramEnd"/>
      <w:r w:rsidRPr="00055E10">
        <w:rPr>
          <w:rFonts w:ascii="Palatino Linotype" w:eastAsia="Palatino Linotype" w:hAnsi="Palatino Linotype" w:cs="Palatino Linotype"/>
          <w:i/>
        </w:rPr>
        <w:t xml:space="preserve"> Planear, gestionar y promover la consecución de recursos financieros para la oportuna prestación de servicios asistenciales del Sistema Municipal DIF de Atizapán de Zaragoza; </w:t>
      </w:r>
    </w:p>
    <w:p w14:paraId="4472EEB7" w14:textId="77777777" w:rsidR="00D67C4B" w:rsidRPr="00055E10" w:rsidRDefault="006B2E37">
      <w:pPr>
        <w:spacing w:before="240" w:after="240"/>
        <w:ind w:right="49"/>
        <w:jc w:val="both"/>
        <w:rPr>
          <w:rFonts w:ascii="Palatino Linotype" w:eastAsia="Palatino Linotype" w:hAnsi="Palatino Linotype" w:cs="Palatino Linotype"/>
          <w:b/>
          <w:i/>
          <w:u w:val="single"/>
        </w:rPr>
      </w:pPr>
      <w:r w:rsidRPr="00055E10">
        <w:rPr>
          <w:rFonts w:ascii="Palatino Linotype" w:eastAsia="Palatino Linotype" w:hAnsi="Palatino Linotype" w:cs="Palatino Linotype"/>
          <w:b/>
          <w:i/>
          <w:u w:val="single"/>
        </w:rPr>
        <w:t xml:space="preserve">II. Organizar campañas de asistencia social, acopios y recaudación de fondos y gestionar apoyos ante la sociedad civil, ya sea en especie o en efectivo, con la finalidad de apoyar a las instituciones asistenciales; </w:t>
      </w:r>
    </w:p>
    <w:p w14:paraId="083CAEB0"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III. Hacer el plan anual de procuración de fondos; </w:t>
      </w:r>
    </w:p>
    <w:p w14:paraId="1B063F00"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b/>
          <w:i/>
          <w:u w:val="single"/>
        </w:rPr>
        <w:lastRenderedPageBreak/>
        <w:t>IV: Administrar y organizar los recursos gestionados</w:t>
      </w:r>
      <w:r w:rsidRPr="00055E10">
        <w:rPr>
          <w:rFonts w:ascii="Palatino Linotype" w:eastAsia="Palatino Linotype" w:hAnsi="Palatino Linotype" w:cs="Palatino Linotype"/>
          <w:i/>
        </w:rPr>
        <w:t>;</w:t>
      </w:r>
    </w:p>
    <w:p w14:paraId="59ABAB28"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 V. Realizar informe mensual a la Presidenta Honoraria del DIF y a la Dirección sobre el inventario de los bienes y recursos existentes en la Coordinación de Procuración de Fondos; </w:t>
      </w:r>
    </w:p>
    <w:p w14:paraId="29D1F44D"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VI. Gestionar y coadyuvar con los recursos para atender las necesidades y las solicitudes de la Dirección y Subdirecciones, para el desarrollo de sus objetivos y el desempeño de sus actividades; </w:t>
      </w:r>
    </w:p>
    <w:p w14:paraId="7695EE7C"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VII. Recibir, clasificar, registrar y entregar los bienes y servicios recibidos en donación; </w:t>
      </w:r>
    </w:p>
    <w:p w14:paraId="70EAF3F2"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VIII. Integrar los expedientes de las donaciones recibidas al Sistema Municipal DIF de Atizapán de Zaragoza, conforme a la normatividad correspondiente; </w:t>
      </w:r>
    </w:p>
    <w:p w14:paraId="009D7025"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 xml:space="preserve">IX Ingresar a la Tesorería del DIF, las donaciones en efectivo que se realicen y solicitar la expedición del recibo oficial correspondiente de las mismas. </w:t>
      </w:r>
    </w:p>
    <w:p w14:paraId="32E3FE34" w14:textId="77777777" w:rsidR="00D67C4B" w:rsidRPr="00055E10" w:rsidRDefault="006B2E37">
      <w:pPr>
        <w:spacing w:before="240" w:after="240"/>
        <w:ind w:right="49"/>
        <w:jc w:val="both"/>
        <w:rPr>
          <w:rFonts w:ascii="Palatino Linotype" w:eastAsia="Palatino Linotype" w:hAnsi="Palatino Linotype" w:cs="Palatino Linotype"/>
          <w:i/>
        </w:rPr>
      </w:pPr>
      <w:r w:rsidRPr="00055E10">
        <w:rPr>
          <w:rFonts w:ascii="Palatino Linotype" w:eastAsia="Palatino Linotype" w:hAnsi="Palatino Linotype" w:cs="Palatino Linotype"/>
          <w:i/>
        </w:rPr>
        <w:t>X. Integrar los expedientes de la entrega de las donaciones conforme a la normatividad y a la Ley de Trasparencia y Acceso a la Información;</w:t>
      </w:r>
    </w:p>
    <w:p w14:paraId="6F9BE4A9" w14:textId="77777777" w:rsidR="00D67C4B" w:rsidRPr="00055E10" w:rsidRDefault="006B2E37">
      <w:pPr>
        <w:spacing w:before="240" w:after="240"/>
        <w:ind w:right="49"/>
        <w:jc w:val="both"/>
        <w:rPr>
          <w:i/>
        </w:rPr>
      </w:pPr>
      <w:r w:rsidRPr="00055E10">
        <w:rPr>
          <w:i/>
        </w:rPr>
        <w:t xml:space="preserve">XI.. Impulsar, normar, organizar y controlar la creación y operación de unidades de promoción para la asistencia social; y </w:t>
      </w:r>
    </w:p>
    <w:p w14:paraId="4AA00F95" w14:textId="77777777" w:rsidR="00D67C4B" w:rsidRPr="00055E10" w:rsidRDefault="006B2E37">
      <w:pPr>
        <w:spacing w:before="240" w:after="240"/>
        <w:ind w:right="49"/>
        <w:jc w:val="both"/>
        <w:rPr>
          <w:i/>
        </w:rPr>
      </w:pPr>
      <w:r w:rsidRPr="00055E10">
        <w:rPr>
          <w:i/>
        </w:rPr>
        <w:t>XII. Las que sean necesarias para el cumplimiento de sus atribuciones que le confiera la Presidenta Honoraria y la Dirección del Sistema Municipal DIF de Atizapán de Zaragoza, así como las demás disposiciones legales aplicables.</w:t>
      </w:r>
    </w:p>
    <w:p w14:paraId="7982A3D0" w14:textId="77777777" w:rsidR="00D67C4B" w:rsidRPr="00055E10" w:rsidRDefault="006B2E37">
      <w:pPr>
        <w:spacing w:before="240" w:after="240" w:line="360" w:lineRule="auto"/>
        <w:ind w:right="49"/>
        <w:jc w:val="both"/>
        <w:rPr>
          <w:b/>
          <w:u w:val="single"/>
        </w:rPr>
      </w:pPr>
      <w:r w:rsidRPr="00055E10">
        <w:rPr>
          <w:b/>
          <w:u w:val="single"/>
        </w:rPr>
        <w:t xml:space="preserve">Por otra parte la Subdirección de Administración tiene las siguientes atribuciones: </w:t>
      </w:r>
    </w:p>
    <w:p w14:paraId="23D356DA" w14:textId="77777777" w:rsidR="00D67C4B" w:rsidRPr="00055E10" w:rsidRDefault="006B2E37">
      <w:pPr>
        <w:spacing w:before="240" w:after="240" w:line="276" w:lineRule="auto"/>
        <w:ind w:right="49"/>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II. Dirigir, coordinar, administrar y supervisar los recursos económicos, humanos, materiales y de equipamiento de las diferentes áreas administrativas del Sistema Municipal DIF de Atizapán de Zaragoza;</w:t>
      </w:r>
    </w:p>
    <w:p w14:paraId="7DB7BF6F" w14:textId="77777777" w:rsidR="00D67C4B" w:rsidRPr="00055E10" w:rsidRDefault="006B2E37">
      <w:pPr>
        <w:spacing w:before="240" w:after="240" w:line="276" w:lineRule="auto"/>
        <w:ind w:right="49"/>
        <w:jc w:val="both"/>
        <w:rPr>
          <w:rFonts w:ascii="Palatino Linotype" w:eastAsia="Palatino Linotype" w:hAnsi="Palatino Linotype" w:cs="Palatino Linotype"/>
          <w:b/>
          <w:i/>
          <w:sz w:val="22"/>
          <w:szCs w:val="22"/>
        </w:rPr>
      </w:pPr>
      <w:r w:rsidRPr="00055E10">
        <w:rPr>
          <w:rFonts w:ascii="Palatino Linotype" w:eastAsia="Palatino Linotype" w:hAnsi="Palatino Linotype" w:cs="Palatino Linotype"/>
          <w:b/>
          <w:i/>
          <w:sz w:val="22"/>
          <w:szCs w:val="22"/>
        </w:rPr>
        <w:t xml:space="preserve">III. Garantizar que los procesos de contratación gubernamentales se determinen con base a una planeación racional de las necesidades y recursos del Sistema Municipal DIF de Atizapán de Zaragoza, en apego a la normatividad aplicable; </w:t>
      </w:r>
    </w:p>
    <w:p w14:paraId="0D380827" w14:textId="77777777" w:rsidR="00D67C4B" w:rsidRPr="00055E10" w:rsidRDefault="006B2E37">
      <w:pPr>
        <w:spacing w:before="240" w:after="240" w:line="276" w:lineRule="auto"/>
        <w:ind w:right="49"/>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lastRenderedPageBreak/>
        <w:t>IV. Celebrar los contratos y convenios que se requieran y sean necesarios para el cumplimiento de los fines y objetivos del DIF en las materias de su competencia, especialmente los que se celebren al amparo de la Ley de Contratación Pública del Estado de México y Municipios y Reglamento de la Ley de Contratación Pública del Estado de México y Municipios</w:t>
      </w:r>
    </w:p>
    <w:p w14:paraId="399D7957" w14:textId="77777777" w:rsidR="00D67C4B" w:rsidRPr="00055E10" w:rsidRDefault="006B2E37">
      <w:pPr>
        <w:spacing w:before="240" w:after="240" w:line="276" w:lineRule="auto"/>
        <w:ind w:right="49"/>
        <w:jc w:val="both"/>
        <w:rPr>
          <w:rFonts w:ascii="Palatino Linotype" w:eastAsia="Palatino Linotype" w:hAnsi="Palatino Linotype" w:cs="Palatino Linotype"/>
          <w:b/>
          <w:i/>
          <w:sz w:val="22"/>
          <w:szCs w:val="22"/>
          <w:u w:val="single"/>
        </w:rPr>
      </w:pPr>
      <w:r w:rsidRPr="00055E10">
        <w:rPr>
          <w:rFonts w:ascii="Palatino Linotype" w:eastAsia="Palatino Linotype" w:hAnsi="Palatino Linotype" w:cs="Palatino Linotype"/>
          <w:b/>
          <w:i/>
          <w:sz w:val="22"/>
          <w:szCs w:val="22"/>
          <w:u w:val="single"/>
        </w:rPr>
        <w:t xml:space="preserve">XIII. Planear y supervisar los procedimientos de adquisición de bienes y/o prestación de servicios que las Unidades Administrativas del DIF requieran para la continuidad de sus actividades de conformidad con lo estipulado en el Código Administrativo del Estado de México; </w:t>
      </w:r>
    </w:p>
    <w:p w14:paraId="6944C8C8" w14:textId="77777777" w:rsidR="00D67C4B" w:rsidRPr="00055E10" w:rsidRDefault="006B2E37">
      <w:pPr>
        <w:spacing w:before="240" w:after="240" w:line="276" w:lineRule="auto"/>
        <w:ind w:right="49"/>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XIV. Autorizar la salida de material e insumos del almacén;</w:t>
      </w:r>
    </w:p>
    <w:p w14:paraId="0ED79A1E" w14:textId="77777777" w:rsidR="00D67C4B" w:rsidRPr="00055E10" w:rsidRDefault="006B2E37">
      <w:pPr>
        <w:spacing w:before="240" w:after="240" w:line="276" w:lineRule="auto"/>
        <w:ind w:right="49"/>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XVII. Supervisar y vigilar el suministro oportuno de los recursos materiales y humanos a las Unidades Administrativas del DIF, de conformidad con el Presupuesto de Egresos autorizado;</w:t>
      </w:r>
    </w:p>
    <w:p w14:paraId="0040353D" w14:textId="77777777" w:rsidR="00D67C4B" w:rsidRPr="00055E10" w:rsidRDefault="006B2E37">
      <w:pPr>
        <w:tabs>
          <w:tab w:val="left" w:pos="3544"/>
        </w:tabs>
        <w:spacing w:before="240" w:after="240" w:line="360" w:lineRule="auto"/>
        <w:ind w:right="49"/>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Atento a lo anterior, se colige que la unidades administrativas a las que se turnó la solicitud cuentan con atribuciones para conocer de la información solicitada por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A470B73" w14:textId="77777777" w:rsidR="00D67C4B" w:rsidRPr="00055E10" w:rsidRDefault="006B2E37">
      <w:pPr>
        <w:spacing w:before="240" w:after="240" w:line="360" w:lineRule="auto"/>
        <w:ind w:right="51"/>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Ahora bien, a efecto de una mayor comprensión se advierte que el particular solicitó de los eventos del día del niño, el número de juguetes otorgados, número de niños beneficiados y el costo de los eventos. </w:t>
      </w:r>
    </w:p>
    <w:p w14:paraId="528F0DA6" w14:textId="77777777" w:rsidR="00D67C4B" w:rsidRPr="00055E10" w:rsidRDefault="006B2E37">
      <w:pPr>
        <w:spacing w:before="240" w:after="240" w:line="360" w:lineRule="auto"/>
        <w:ind w:right="51"/>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 xml:space="preserve">El Sujeto Obligado otorgó en respuesta el número de juguetes otorgados y el desglose de gastos generados por los eventos. </w:t>
      </w:r>
    </w:p>
    <w:p w14:paraId="550B7D7C" w14:textId="77777777" w:rsidR="00D67C4B" w:rsidRPr="00055E10" w:rsidRDefault="006B2E37">
      <w:pPr>
        <w:spacing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Al no estar conforme con la respuesta el particular interpone recurso de revisión a fin de que se le precise  cuántos premios dio en total y cuántos juguetes en total dio y costo de cada juguete</w:t>
      </w:r>
    </w:p>
    <w:p w14:paraId="34D9D244"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Es de señalar que de la lectura del motivo</w:t>
      </w:r>
      <w:r w:rsidRPr="00055E10">
        <w:rPr>
          <w:rFonts w:ascii="Palatino Linotype" w:eastAsia="Palatino Linotype" w:hAnsi="Palatino Linotype" w:cs="Palatino Linotype"/>
          <w:sz w:val="22"/>
          <w:szCs w:val="22"/>
        </w:rPr>
        <w:t xml:space="preserve"> de inconformidad de la parte </w:t>
      </w:r>
      <w:r w:rsidRPr="00055E10">
        <w:rPr>
          <w:rFonts w:ascii="Palatino Linotype" w:eastAsia="Palatino Linotype" w:hAnsi="Palatino Linotype" w:cs="Palatino Linotype"/>
          <w:b/>
          <w:sz w:val="22"/>
          <w:szCs w:val="22"/>
        </w:rPr>
        <w:t xml:space="preserve">Recurrente, </w:t>
      </w:r>
      <w:r w:rsidRPr="00055E10">
        <w:rPr>
          <w:rFonts w:ascii="Palatino Linotype" w:eastAsia="Palatino Linotype" w:hAnsi="Palatino Linotype" w:cs="Palatino Linotype"/>
          <w:sz w:val="22"/>
          <w:szCs w:val="22"/>
        </w:rPr>
        <w:t>se advierte que esta no manifestó</w:t>
      </w:r>
      <w:r w:rsidRPr="00055E10">
        <w:rPr>
          <w:rFonts w:ascii="Palatino Linotype" w:eastAsia="Palatino Linotype" w:hAnsi="Palatino Linotype" w:cs="Palatino Linotype"/>
        </w:rPr>
        <w:t xml:space="preserve"> agravios respecto de la información proporcionada correspondiente al número de menores beneficiados,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23645AD7" w14:textId="77777777" w:rsidR="00D67C4B" w:rsidRPr="00055E10" w:rsidRDefault="006B2E37">
      <w:pPr>
        <w:spacing w:before="240" w:after="36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Lo anterior es así, debido a que cuando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impugna la respuesta del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5BFD9F4E"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w:t>
      </w:r>
      <w:r w:rsidRPr="00055E10">
        <w:rPr>
          <w:rFonts w:ascii="Palatino Linotype" w:eastAsia="Palatino Linotype" w:hAnsi="Palatino Linotype" w:cs="Palatino Linotype"/>
        </w:rPr>
        <w:lastRenderedPageBreak/>
        <w:t xml:space="preserve">Acceso a la Información, y Protección de Datos Personales, INAI, que lleva por rubro y texto, lo siguiente: </w:t>
      </w:r>
    </w:p>
    <w:p w14:paraId="2BD54BD4" w14:textId="77777777" w:rsidR="00D67C4B" w:rsidRPr="00055E10" w:rsidRDefault="006B2E3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 xml:space="preserve">Actos consentidos tácitamente. Improcedencia de su análisis. </w:t>
      </w:r>
      <w:r w:rsidRPr="00055E1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0CACB59"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6EE7EC2C" w14:textId="77777777" w:rsidR="00D67C4B" w:rsidRPr="00055E10" w:rsidRDefault="006B2E37">
      <w:pPr>
        <w:ind w:left="851" w:right="900"/>
        <w:jc w:val="both"/>
        <w:rPr>
          <w:rFonts w:ascii="Palatino Linotype" w:eastAsia="Palatino Linotype" w:hAnsi="Palatino Linotype" w:cs="Palatino Linotype"/>
          <w:i/>
          <w:sz w:val="22"/>
          <w:szCs w:val="22"/>
        </w:rPr>
      </w:pPr>
      <w:r w:rsidRPr="00055E10">
        <w:rPr>
          <w:rFonts w:ascii="Palatino Linotype" w:eastAsia="Palatino Linotype" w:hAnsi="Palatino Linotype" w:cs="Palatino Linotype"/>
          <w:b/>
          <w:i/>
          <w:smallCaps/>
          <w:sz w:val="22"/>
          <w:szCs w:val="22"/>
        </w:rPr>
        <w:t xml:space="preserve">“ACTOS CONSENTIDOS. SON LOS QUE NO SE IMPUGNAN MEDIANTE EL RECURSO IDÓNEO. </w:t>
      </w:r>
      <w:r w:rsidRPr="00055E1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5C41D4"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En consecuencia, se insiste, ante la falta de impugnación eficaz, esta parte de la respuesta entregada debe declararse consentida por la persona solicitante, y por consiguiente, no es procedente el análisis de fondo en la resolución.</w:t>
      </w:r>
    </w:p>
    <w:p w14:paraId="385646F2"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Durante el periodo de manifestaciones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 xml:space="preserve">fue omiso en rendir su informe justificado, y la parte </w:t>
      </w:r>
      <w:r w:rsidRPr="00055E10">
        <w:rPr>
          <w:rFonts w:ascii="Palatino Linotype" w:eastAsia="Palatino Linotype" w:hAnsi="Palatino Linotype" w:cs="Palatino Linotype"/>
          <w:b/>
        </w:rPr>
        <w:t xml:space="preserve">Recurrente </w:t>
      </w:r>
      <w:r w:rsidRPr="00055E10">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60EC7F17" w14:textId="77777777" w:rsidR="00D67C4B" w:rsidRPr="00055E10" w:rsidRDefault="006B2E37">
      <w:pPr>
        <w:spacing w:before="280" w:after="28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 xml:space="preserve">Una vez establecidas las posturas de las partes, se procede al análisis del requerimiento de información combatido, así como la información proporcionada por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 xml:space="preserve">en contraposición con el motivo de inconformidad alegado por la parte </w:t>
      </w:r>
      <w:r w:rsidRPr="00055E10">
        <w:rPr>
          <w:rFonts w:ascii="Palatino Linotype" w:eastAsia="Palatino Linotype" w:hAnsi="Palatino Linotype" w:cs="Palatino Linotype"/>
          <w:b/>
        </w:rPr>
        <w:t xml:space="preserve">Recurrente, </w:t>
      </w:r>
      <w:r w:rsidRPr="00055E10">
        <w:rPr>
          <w:rFonts w:ascii="Palatino Linotype" w:eastAsia="Palatino Linotype" w:hAnsi="Palatino Linotype" w:cs="Palatino Linotype"/>
        </w:rPr>
        <w:t xml:space="preserve">con la finalidad de determinar si el Derecho de acceso de esta se satisfizo, o en su defecto, señalar los documentos que en el ejercicio de sus atribuciones pudo haber generado, y que, de manera enunciativa más no limitativa, pudieran colmar dicho derecho, en caso de ser procedente, para lo cual se inserta el siguiente cuadro de análisis: </w:t>
      </w:r>
    </w:p>
    <w:tbl>
      <w:tblPr>
        <w:tblStyle w:val="affc"/>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026"/>
        <w:gridCol w:w="2455"/>
        <w:gridCol w:w="2882"/>
      </w:tblGrid>
      <w:tr w:rsidR="00B3331A" w:rsidRPr="00055E10" w14:paraId="01A6E77F" w14:textId="77777777">
        <w:tc>
          <w:tcPr>
            <w:tcW w:w="2411" w:type="dxa"/>
          </w:tcPr>
          <w:p w14:paraId="6BD472A4" w14:textId="77777777" w:rsidR="00D67C4B" w:rsidRPr="00055E10" w:rsidRDefault="006B2E37">
            <w:pPr>
              <w:spacing w:before="240" w:after="240"/>
              <w:ind w:right="51"/>
              <w:jc w:val="both"/>
              <w:rPr>
                <w:rFonts w:ascii="Palatino Linotype" w:eastAsia="Palatino Linotype" w:hAnsi="Palatino Linotype" w:cs="Palatino Linotype"/>
                <w:sz w:val="22"/>
                <w:szCs w:val="22"/>
              </w:rPr>
            </w:pPr>
            <w:bookmarkStart w:id="7" w:name="_heading=h.v40mr29edxsq" w:colFirst="0" w:colLast="0"/>
            <w:bookmarkEnd w:id="7"/>
            <w:r w:rsidRPr="00055E10">
              <w:rPr>
                <w:rFonts w:ascii="Palatino Linotype" w:eastAsia="Palatino Linotype" w:hAnsi="Palatino Linotype" w:cs="Palatino Linotype"/>
                <w:sz w:val="22"/>
                <w:szCs w:val="22"/>
              </w:rPr>
              <w:t xml:space="preserve">SOLICITUD DE INFORMACIÓN </w:t>
            </w:r>
          </w:p>
        </w:tc>
        <w:tc>
          <w:tcPr>
            <w:tcW w:w="3026" w:type="dxa"/>
          </w:tcPr>
          <w:p w14:paraId="503EDCE3"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RESPUESTA </w:t>
            </w:r>
          </w:p>
        </w:tc>
        <w:tc>
          <w:tcPr>
            <w:tcW w:w="2455" w:type="dxa"/>
          </w:tcPr>
          <w:p w14:paraId="16ACCC1B"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MOTIVOS DE INCONFORMIDAD</w:t>
            </w:r>
          </w:p>
        </w:tc>
        <w:tc>
          <w:tcPr>
            <w:tcW w:w="2882" w:type="dxa"/>
          </w:tcPr>
          <w:p w14:paraId="7E1EE0E7" w14:textId="77777777" w:rsidR="00D67C4B" w:rsidRPr="00055E10" w:rsidRDefault="006B2E37">
            <w:pPr>
              <w:spacing w:before="240" w:after="240"/>
              <w:ind w:right="51"/>
              <w:jc w:val="center"/>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COLMA</w:t>
            </w:r>
          </w:p>
        </w:tc>
      </w:tr>
      <w:tr w:rsidR="00B3331A" w:rsidRPr="00055E10" w14:paraId="0F137379" w14:textId="77777777">
        <w:tc>
          <w:tcPr>
            <w:tcW w:w="2411" w:type="dxa"/>
          </w:tcPr>
          <w:p w14:paraId="7B0BA410"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Cuántos juguetes fueron otorgados </w:t>
            </w:r>
          </w:p>
        </w:tc>
        <w:tc>
          <w:tcPr>
            <w:tcW w:w="3026" w:type="dxa"/>
          </w:tcPr>
          <w:p w14:paraId="08A1EB1C" w14:textId="77777777" w:rsidR="00D67C4B" w:rsidRPr="00055E10" w:rsidRDefault="006B2E37">
            <w:pPr>
              <w:spacing w:before="240" w:after="240"/>
              <w:ind w:right="51" w:firstLine="720"/>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Respecto a cuantos juguetes fueron otorgados en el evento del día del niño y cuantos niños fueron beneficiados en los eventos </w:t>
            </w:r>
            <w:r w:rsidRPr="00055E10">
              <w:rPr>
                <w:rFonts w:ascii="Palatino Linotype" w:eastAsia="Palatino Linotype" w:hAnsi="Palatino Linotype" w:cs="Palatino Linotype"/>
                <w:b/>
                <w:sz w:val="22"/>
                <w:szCs w:val="22"/>
                <w:u w:val="single"/>
              </w:rPr>
              <w:t>por los juguetes colectados</w:t>
            </w:r>
            <w:r w:rsidRPr="00055E10">
              <w:rPr>
                <w:rFonts w:ascii="Palatino Linotype" w:eastAsia="Palatino Linotype" w:hAnsi="Palatino Linotype" w:cs="Palatino Linotype"/>
                <w:sz w:val="22"/>
                <w:szCs w:val="22"/>
              </w:rPr>
              <w:t xml:space="preserve"> </w:t>
            </w:r>
            <w:r w:rsidRPr="00055E10">
              <w:rPr>
                <w:rFonts w:ascii="Palatino Linotype" w:eastAsia="Palatino Linotype" w:hAnsi="Palatino Linotype" w:cs="Palatino Linotype"/>
                <w:b/>
                <w:sz w:val="22"/>
                <w:szCs w:val="22"/>
                <w:u w:val="single"/>
              </w:rPr>
              <w:t>por la Coordinación de Procuración de Fondos del Sistema Municipal DIF.</w:t>
            </w:r>
            <w:r w:rsidRPr="00055E10">
              <w:rPr>
                <w:rFonts w:ascii="Palatino Linotype" w:eastAsia="Palatino Linotype" w:hAnsi="Palatino Linotype" w:cs="Palatino Linotype"/>
                <w:sz w:val="22"/>
                <w:szCs w:val="22"/>
              </w:rPr>
              <w:t xml:space="preserve"> </w:t>
            </w:r>
          </w:p>
          <w:p w14:paraId="46C54266"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Evento del domingo 6 de abril en el Deportivo Zaragoza se entregaron 125 juguetes para rifa. </w:t>
            </w:r>
          </w:p>
          <w:p w14:paraId="189129DC"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Evento del viernes 11 de abril en el Deportivo Finito López. Se entregaron 45 </w:t>
            </w:r>
            <w:r w:rsidRPr="00055E10">
              <w:rPr>
                <w:rFonts w:ascii="Palatino Linotype" w:eastAsia="Palatino Linotype" w:hAnsi="Palatino Linotype" w:cs="Palatino Linotype"/>
                <w:sz w:val="22"/>
                <w:szCs w:val="22"/>
              </w:rPr>
              <w:lastRenderedPageBreak/>
              <w:t xml:space="preserve">juguetes de rifa y premios y 800 para juguete. </w:t>
            </w:r>
          </w:p>
          <w:p w14:paraId="13FF987E"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Evento del viernes 11 de abril en las canchas de la Colonia Miraflores. Se entregaron 45 juguetes de rifa y premios y 1000 boletos para juguete. </w:t>
            </w:r>
          </w:p>
          <w:p w14:paraId="4F89DCC2" w14:textId="77777777" w:rsidR="00D67C4B" w:rsidRPr="00055E10" w:rsidRDefault="006B2E37">
            <w:pPr>
              <w:spacing w:before="240" w:after="240"/>
              <w:ind w:right="51"/>
              <w:jc w:val="both"/>
              <w:rPr>
                <w:rFonts w:ascii="Palatino Linotype" w:eastAsia="Palatino Linotype" w:hAnsi="Palatino Linotype" w:cs="Palatino Linotype"/>
                <w:b/>
                <w:sz w:val="22"/>
                <w:szCs w:val="22"/>
                <w:u w:val="single"/>
              </w:rPr>
            </w:pPr>
            <w:r w:rsidRPr="00055E10">
              <w:rPr>
                <w:rFonts w:ascii="Palatino Linotype" w:eastAsia="Palatino Linotype" w:hAnsi="Palatino Linotype" w:cs="Palatino Linotype"/>
                <w:b/>
                <w:sz w:val="22"/>
                <w:szCs w:val="22"/>
                <w:u w:val="single"/>
              </w:rPr>
              <w:t xml:space="preserve">Dando un total de 2015 juguetes. </w:t>
            </w:r>
          </w:p>
        </w:tc>
        <w:tc>
          <w:tcPr>
            <w:tcW w:w="2455" w:type="dxa"/>
          </w:tcPr>
          <w:p w14:paraId="76E6E726"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lastRenderedPageBreak/>
              <w:t xml:space="preserve">Cuántos juguetes en total dio. </w:t>
            </w:r>
          </w:p>
          <w:p w14:paraId="133E937F"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Cuántos premios dio en total </w:t>
            </w:r>
          </w:p>
        </w:tc>
        <w:tc>
          <w:tcPr>
            <w:tcW w:w="2882" w:type="dxa"/>
          </w:tcPr>
          <w:p w14:paraId="62AD17D2"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Sí, ya que se desglosa el número de juguetes otorgados mediante rifa y el número de juguetes otorgados mediante boletos. </w:t>
            </w:r>
          </w:p>
          <w:p w14:paraId="2577C555"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Así como el total de juguetes otorgados. </w:t>
            </w:r>
          </w:p>
          <w:p w14:paraId="7EDA12E2" w14:textId="77777777" w:rsidR="00D67C4B" w:rsidRPr="00055E10" w:rsidRDefault="00D67C4B">
            <w:pPr>
              <w:spacing w:before="240" w:after="240"/>
              <w:ind w:right="51"/>
              <w:jc w:val="both"/>
              <w:rPr>
                <w:rFonts w:ascii="Palatino Linotype" w:eastAsia="Palatino Linotype" w:hAnsi="Palatino Linotype" w:cs="Palatino Linotype"/>
                <w:sz w:val="22"/>
                <w:szCs w:val="22"/>
              </w:rPr>
            </w:pPr>
          </w:p>
        </w:tc>
      </w:tr>
      <w:tr w:rsidR="00B3331A" w:rsidRPr="00055E10" w14:paraId="6BAA0F48" w14:textId="77777777">
        <w:tc>
          <w:tcPr>
            <w:tcW w:w="2411" w:type="dxa"/>
          </w:tcPr>
          <w:p w14:paraId="784196BC"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Cuánto gastaron en los eventos</w:t>
            </w:r>
          </w:p>
        </w:tc>
        <w:tc>
          <w:tcPr>
            <w:tcW w:w="3026" w:type="dxa"/>
          </w:tcPr>
          <w:p w14:paraId="0740A9D4"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La Subdirección de Administración le informó que se realizó la contratación de los siguientes servicios • RENTA DE 4 LONAS DE 10 X 15 METROS (600 M² EN TOTAL) • 500 SILLAS PLEGABLES • 4 MESAS TIPO TABLÓN CON MANTEL • 1 SHOW DE PAYASO POR EVENTO EL COSTO TOTAL DE ESTOS SERVICIOS FUE DE $43,263.36 (CUARENTA Y TRES MIL DOSCIENTOS SESENTA Y TRES PESOS CON TREINTA Y SEIS CENTAVOS, MONEDA NACIONAL)</w:t>
            </w:r>
          </w:p>
        </w:tc>
        <w:tc>
          <w:tcPr>
            <w:tcW w:w="2455" w:type="dxa"/>
          </w:tcPr>
          <w:p w14:paraId="56BFE37C"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Cuál fue el costo de cada juguete </w:t>
            </w:r>
          </w:p>
        </w:tc>
        <w:tc>
          <w:tcPr>
            <w:tcW w:w="2882" w:type="dxa"/>
          </w:tcPr>
          <w:p w14:paraId="1A86F21A"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Sí colma, ya que de la respuesta se advierte que los únicos gastos generados fueron los señalados por la Subdirección de Administración en respuesta. </w:t>
            </w:r>
          </w:p>
          <w:p w14:paraId="4602920E" w14:textId="77777777" w:rsidR="00D67C4B" w:rsidRPr="00055E10" w:rsidRDefault="006B2E37">
            <w:pPr>
              <w:spacing w:before="240" w:after="240"/>
              <w:ind w:right="51"/>
              <w:jc w:val="both"/>
              <w:rPr>
                <w:rFonts w:ascii="Palatino Linotype" w:eastAsia="Palatino Linotype" w:hAnsi="Palatino Linotype" w:cs="Palatino Linotype"/>
                <w:sz w:val="22"/>
                <w:szCs w:val="22"/>
              </w:rPr>
            </w:pPr>
            <w:r w:rsidRPr="00055E10">
              <w:rPr>
                <w:rFonts w:ascii="Palatino Linotype" w:eastAsia="Palatino Linotype" w:hAnsi="Palatino Linotype" w:cs="Palatino Linotype"/>
                <w:sz w:val="22"/>
                <w:szCs w:val="22"/>
              </w:rPr>
              <w:t xml:space="preserve">Respecto al costo de cada juguete se advierte que </w:t>
            </w:r>
            <w:r w:rsidRPr="00055E10">
              <w:rPr>
                <w:rFonts w:ascii="Palatino Linotype" w:eastAsia="Palatino Linotype" w:hAnsi="Palatino Linotype" w:cs="Palatino Linotype"/>
                <w:b/>
                <w:sz w:val="22"/>
                <w:szCs w:val="22"/>
                <w:u w:val="single"/>
              </w:rPr>
              <w:t>estos fueron colectados</w:t>
            </w:r>
            <w:r w:rsidRPr="00055E10">
              <w:rPr>
                <w:rFonts w:ascii="Palatino Linotype" w:eastAsia="Palatino Linotype" w:hAnsi="Palatino Linotype" w:cs="Palatino Linotype"/>
                <w:sz w:val="22"/>
                <w:szCs w:val="22"/>
              </w:rPr>
              <w:t xml:space="preserve"> por la Coordinación de Procuración de Fondos del Sistema Municipal DIF, lo anterior fue así señalado por la propia coordinación, por ende se entiende no generaron algún costo para el Sujeto Obligado.  </w:t>
            </w:r>
          </w:p>
        </w:tc>
      </w:tr>
    </w:tbl>
    <w:p w14:paraId="76192215" w14:textId="77777777" w:rsidR="00D67C4B" w:rsidRPr="00055E10" w:rsidRDefault="006B2E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3D3D733E" w14:textId="77777777" w:rsidR="00D67C4B" w:rsidRPr="00055E10" w:rsidRDefault="006B2E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Finalmente, es de mencionar que del análisis realizado a los motivos de inconformidad hechos valer por la parte Recurrente en su medio de impugnación, se tiene que, este requirió el</w:t>
      </w:r>
      <w:r w:rsidRPr="00055E10">
        <w:rPr>
          <w:rFonts w:ascii="Palatino Linotype" w:eastAsia="Palatino Linotype" w:hAnsi="Palatino Linotype" w:cs="Palatino Linotype"/>
          <w:b/>
          <w:u w:val="single"/>
        </w:rPr>
        <w:t xml:space="preserve"> costo de los juguetes otorgados</w:t>
      </w:r>
      <w:r w:rsidRPr="00055E10">
        <w:rPr>
          <w:rFonts w:ascii="Palatino Linotype" w:eastAsia="Palatino Linotype" w:hAnsi="Palatino Linotype" w:cs="Palatino Linotype"/>
        </w:rPr>
        <w:t xml:space="preserve"> en el evento del día del niño, no obstante, esta información no fue solicitada en su requerimiento inicial, por lo que constituye un nuevo requerimiento de información, configurándose así lo que se conoce como </w:t>
      </w:r>
      <w:r w:rsidRPr="00055E10">
        <w:rPr>
          <w:rFonts w:ascii="Palatino Linotype" w:eastAsia="Palatino Linotype" w:hAnsi="Palatino Linotype" w:cs="Palatino Linotype"/>
          <w:i/>
        </w:rPr>
        <w:t xml:space="preserve">plus </w:t>
      </w:r>
      <w:proofErr w:type="spellStart"/>
      <w:r w:rsidRPr="00055E10">
        <w:rPr>
          <w:rFonts w:ascii="Palatino Linotype" w:eastAsia="Palatino Linotype" w:hAnsi="Palatino Linotype" w:cs="Palatino Linotype"/>
          <w:i/>
        </w:rPr>
        <w:t>petitio</w:t>
      </w:r>
      <w:proofErr w:type="spellEnd"/>
      <w:r w:rsidRPr="00055E10">
        <w:rPr>
          <w:rFonts w:ascii="Palatino Linotype" w:eastAsia="Palatino Linotype" w:hAnsi="Palatino Linotype" w:cs="Palatino Linotype"/>
          <w:b/>
          <w:i/>
        </w:rPr>
        <w:t xml:space="preserve">, </w:t>
      </w:r>
      <w:r w:rsidRPr="00055E10">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 </w:t>
      </w:r>
    </w:p>
    <w:p w14:paraId="797AF5D9" w14:textId="77777777" w:rsidR="00D67C4B" w:rsidRPr="00055E10" w:rsidRDefault="006B2E37">
      <w:pPr>
        <w:spacing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En este tenor, es posible determinar que para el caso que nos ocupa, los argumentos que se analizan son una ampliación a la solicitud inicial y corresponden a nuevos requerimientos de información, que no se encuentran relacionados con lo solicitado en un primer momento.</w:t>
      </w:r>
    </w:p>
    <w:p w14:paraId="7D368E59"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lastRenderedPageBreak/>
        <w:t>En este orden de ideas, una vez formulada su solicitud inicial,</w:t>
      </w:r>
      <w:r w:rsidRPr="00055E10">
        <w:rPr>
          <w:rFonts w:ascii="Palatino Linotype" w:eastAsia="Palatino Linotype" w:hAnsi="Palatino Linotype" w:cs="Palatino Linotype"/>
          <w:i/>
        </w:rPr>
        <w:t xml:space="preserve"> </w:t>
      </w:r>
      <w:r w:rsidRPr="00055E10">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30FFEABD"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64DD189E" w14:textId="77777777" w:rsidR="00D67C4B" w:rsidRPr="00055E10" w:rsidRDefault="006B2E37">
      <w:pPr>
        <w:jc w:val="both"/>
      </w:pPr>
      <w:bookmarkStart w:id="8" w:name="_heading=h.gjdgxs" w:colFirst="0" w:colLast="0"/>
      <w:bookmarkEnd w:id="8"/>
      <w:r w:rsidRPr="00055E10">
        <w:rPr>
          <w:rFonts w:ascii="Palatino Linotype" w:eastAsia="Palatino Linotype" w:hAnsi="Palatino Linotype" w:cs="Palatino Linotype"/>
          <w:i/>
          <w:sz w:val="22"/>
          <w:szCs w:val="22"/>
        </w:rPr>
        <w:t>“</w:t>
      </w:r>
      <w:r w:rsidRPr="00055E10">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055E10">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55E10">
        <w:rPr>
          <w:rFonts w:ascii="Palatino Linotype" w:eastAsia="Palatino Linotype" w:hAnsi="Palatino Linotype" w:cs="Palatino Linotype"/>
          <w:b/>
          <w:i/>
          <w:sz w:val="22"/>
          <w:szCs w:val="22"/>
        </w:rPr>
        <w:t>.</w:t>
      </w:r>
      <w:r w:rsidRPr="00055E10">
        <w:rPr>
          <w:rFonts w:ascii="Palatino Linotype" w:eastAsia="Palatino Linotype" w:hAnsi="Palatino Linotype" w:cs="Palatino Linotype"/>
          <w:i/>
          <w:sz w:val="22"/>
          <w:szCs w:val="22"/>
        </w:rPr>
        <w:t>”</w:t>
      </w:r>
    </w:p>
    <w:p w14:paraId="11065BF0" w14:textId="77777777" w:rsidR="00D67C4B" w:rsidRPr="00055E10" w:rsidRDefault="006B2E37">
      <w:pPr>
        <w:tabs>
          <w:tab w:val="left" w:pos="851"/>
        </w:tabs>
        <w:spacing w:before="240" w:after="360" w:line="360" w:lineRule="auto"/>
        <w:ind w:right="18"/>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Derivado de lo expuesto, se concluye que los motivos de inconformidad de la parte </w:t>
      </w:r>
      <w:r w:rsidRPr="00055E10">
        <w:rPr>
          <w:rFonts w:ascii="Palatino Linotype" w:eastAsia="Palatino Linotype" w:hAnsi="Palatino Linotype" w:cs="Palatino Linotype"/>
          <w:b/>
        </w:rPr>
        <w:t xml:space="preserve">Recurrente </w:t>
      </w:r>
      <w:r w:rsidRPr="00055E10">
        <w:rPr>
          <w:rFonts w:ascii="Palatino Linotype" w:eastAsia="Palatino Linotype" w:hAnsi="Palatino Linotype" w:cs="Palatino Linotype"/>
        </w:rPr>
        <w:t xml:space="preserve">devienen infundados, siendo procedente </w:t>
      </w:r>
      <w:r w:rsidRPr="00055E10">
        <w:rPr>
          <w:rFonts w:ascii="Palatino Linotype" w:eastAsia="Palatino Linotype" w:hAnsi="Palatino Linotype" w:cs="Palatino Linotype"/>
          <w:i/>
        </w:rPr>
        <w:t xml:space="preserve">Confirmar </w:t>
      </w:r>
      <w:r w:rsidRPr="00055E10">
        <w:rPr>
          <w:rFonts w:ascii="Palatino Linotype" w:eastAsia="Palatino Linotype" w:hAnsi="Palatino Linotype" w:cs="Palatino Linotype"/>
        </w:rPr>
        <w:t xml:space="preserve">la respuesta proporcionada por el </w:t>
      </w:r>
      <w:r w:rsidRPr="00055E10">
        <w:rPr>
          <w:rFonts w:ascii="Palatino Linotype" w:eastAsia="Palatino Linotype" w:hAnsi="Palatino Linotype" w:cs="Palatino Linotype"/>
          <w:b/>
        </w:rPr>
        <w:t xml:space="preserve">Sujeto Obligado </w:t>
      </w:r>
      <w:r w:rsidRPr="00055E10">
        <w:rPr>
          <w:rFonts w:ascii="Palatino Linotype" w:eastAsia="Palatino Linotype" w:hAnsi="Palatino Linotype" w:cs="Palatino Linotype"/>
        </w:rPr>
        <w:t>en términos del artículo 186, fracción II de la Ley de Transparencia y Acceso a la Información Pública del Estado de México y Municipios.</w:t>
      </w:r>
    </w:p>
    <w:p w14:paraId="3C01C74D"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w:t>
      </w:r>
      <w:r w:rsidRPr="00055E10">
        <w:rPr>
          <w:rFonts w:ascii="Palatino Linotype" w:eastAsia="Palatino Linotype" w:hAnsi="Palatino Linotype" w:cs="Palatino Linotype"/>
        </w:rPr>
        <w:lastRenderedPageBreak/>
        <w:t>y Soberano de México; 2, fracción II; 29, 36 fracciones I y II; 176, 178, 181, 185 y 186 fracción II de la Ley de Transparencia y Acceso a la Información Pública del Estado de México y Municipios, este Pleno:</w:t>
      </w:r>
    </w:p>
    <w:p w14:paraId="2B47A8E5" w14:textId="77777777" w:rsidR="00D67C4B" w:rsidRPr="00055E10" w:rsidRDefault="006B2E3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55E10">
        <w:rPr>
          <w:rFonts w:ascii="Palatino Linotype" w:eastAsia="Palatino Linotype" w:hAnsi="Palatino Linotype" w:cs="Palatino Linotype"/>
          <w:b/>
        </w:rPr>
        <w:t>III. R E S U E L V E</w:t>
      </w:r>
    </w:p>
    <w:p w14:paraId="77271D73"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055E10">
        <w:rPr>
          <w:rFonts w:ascii="Palatino Linotype" w:eastAsia="Palatino Linotype" w:hAnsi="Palatino Linotype" w:cs="Palatino Linotype"/>
          <w:b/>
        </w:rPr>
        <w:t xml:space="preserve">Primero. </w:t>
      </w:r>
      <w:r w:rsidRPr="00055E10">
        <w:rPr>
          <w:rFonts w:ascii="Palatino Linotype" w:eastAsia="Palatino Linotype" w:hAnsi="Palatino Linotype" w:cs="Palatino Linotype"/>
        </w:rPr>
        <w:t xml:space="preserve">Son </w:t>
      </w:r>
      <w:r w:rsidRPr="00055E10">
        <w:rPr>
          <w:rFonts w:ascii="Palatino Linotype" w:eastAsia="Palatino Linotype" w:hAnsi="Palatino Linotype" w:cs="Palatino Linotype"/>
          <w:b/>
        </w:rPr>
        <w:t>infundadas</w:t>
      </w:r>
      <w:r w:rsidRPr="00055E10">
        <w:rPr>
          <w:rFonts w:ascii="Palatino Linotype" w:eastAsia="Palatino Linotype" w:hAnsi="Palatino Linotype" w:cs="Palatino Linotype"/>
        </w:rPr>
        <w:t xml:space="preserve"> las razones o motivos de inconformidad hechos valer por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en el recurso de revisión </w:t>
      </w:r>
      <w:r w:rsidRPr="00055E10">
        <w:rPr>
          <w:rFonts w:ascii="Palatino Linotype" w:eastAsia="Palatino Linotype" w:hAnsi="Palatino Linotype" w:cs="Palatino Linotype"/>
          <w:b/>
        </w:rPr>
        <w:t>05469/INFOEM/IP/RR/2025</w:t>
      </w:r>
      <w:r w:rsidRPr="00055E10">
        <w:rPr>
          <w:rFonts w:ascii="Palatino Linotype" w:eastAsia="Palatino Linotype" w:hAnsi="Palatino Linotype" w:cs="Palatino Linotype"/>
        </w:rPr>
        <w:t xml:space="preserve">, por lo que, en términos de los argumentos de derecho señalados en el considerando </w:t>
      </w:r>
      <w:r w:rsidRPr="00055E10">
        <w:rPr>
          <w:rFonts w:ascii="Palatino Linotype" w:eastAsia="Palatino Linotype" w:hAnsi="Palatino Linotype" w:cs="Palatino Linotype"/>
          <w:b/>
        </w:rPr>
        <w:t>Cuarto</w:t>
      </w:r>
      <w:r w:rsidRPr="00055E10">
        <w:rPr>
          <w:rFonts w:ascii="Palatino Linotype" w:eastAsia="Palatino Linotype" w:hAnsi="Palatino Linotype" w:cs="Palatino Linotype"/>
        </w:rPr>
        <w:t>, se</w:t>
      </w:r>
      <w:r w:rsidRPr="00055E10">
        <w:rPr>
          <w:rFonts w:ascii="Palatino Linotype" w:eastAsia="Palatino Linotype" w:hAnsi="Palatino Linotype" w:cs="Palatino Linotype"/>
          <w:b/>
        </w:rPr>
        <w:t xml:space="preserve"> Confirma </w:t>
      </w:r>
      <w:r w:rsidRPr="00055E10">
        <w:rPr>
          <w:rFonts w:ascii="Palatino Linotype" w:eastAsia="Palatino Linotype" w:hAnsi="Palatino Linotype" w:cs="Palatino Linotype"/>
        </w:rPr>
        <w:t xml:space="preserve">la respuesta del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w:t>
      </w:r>
    </w:p>
    <w:p w14:paraId="32A1B0D3" w14:textId="77777777" w:rsidR="00D67C4B" w:rsidRPr="00055E10" w:rsidRDefault="006B2E37">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055E10">
        <w:rPr>
          <w:rFonts w:ascii="Palatino Linotype" w:eastAsia="Palatino Linotype" w:hAnsi="Palatino Linotype" w:cs="Palatino Linotype"/>
          <w:b/>
        </w:rPr>
        <w:t xml:space="preserve">Segundo. Notifíquese, </w:t>
      </w:r>
      <w:r w:rsidRPr="00055E10">
        <w:rPr>
          <w:rFonts w:ascii="Palatino Linotype" w:eastAsia="Palatino Linotype" w:hAnsi="Palatino Linotype" w:cs="Palatino Linotype"/>
        </w:rPr>
        <w:t xml:space="preserve">vía </w:t>
      </w:r>
      <w:r w:rsidRPr="00055E10">
        <w:rPr>
          <w:rFonts w:ascii="Palatino Linotype" w:eastAsia="Palatino Linotype" w:hAnsi="Palatino Linotype" w:cs="Palatino Linotype"/>
          <w:b/>
        </w:rPr>
        <w:t xml:space="preserve">SAIMEX, </w:t>
      </w:r>
      <w:r w:rsidRPr="00055E10">
        <w:rPr>
          <w:rFonts w:ascii="Palatino Linotype" w:eastAsia="Palatino Linotype" w:hAnsi="Palatino Linotype" w:cs="Palatino Linotype"/>
        </w:rPr>
        <w:t xml:space="preserve">al Titular de la Unidad de Transparencia del </w:t>
      </w:r>
      <w:r w:rsidRPr="00055E10">
        <w:rPr>
          <w:rFonts w:ascii="Palatino Linotype" w:eastAsia="Palatino Linotype" w:hAnsi="Palatino Linotype" w:cs="Palatino Linotype"/>
          <w:b/>
        </w:rPr>
        <w:t>Sujeto Obligado</w:t>
      </w:r>
      <w:r w:rsidRPr="00055E10">
        <w:rPr>
          <w:rFonts w:ascii="Palatino Linotype" w:eastAsia="Palatino Linotype" w:hAnsi="Palatino Linotype" w:cs="Palatino Linotype"/>
        </w:rPr>
        <w:t xml:space="preserve"> para su conocimiento, la presente resolución.</w:t>
      </w:r>
    </w:p>
    <w:p w14:paraId="000965CC" w14:textId="77777777" w:rsidR="00D67C4B" w:rsidRPr="00055E10" w:rsidRDefault="006B2E37">
      <w:pPr>
        <w:spacing w:before="240" w:after="240" w:line="360" w:lineRule="auto"/>
        <w:jc w:val="both"/>
        <w:rPr>
          <w:rFonts w:ascii="Palatino Linotype" w:eastAsia="Palatino Linotype" w:hAnsi="Palatino Linotype" w:cs="Palatino Linotype"/>
        </w:rPr>
      </w:pPr>
      <w:r w:rsidRPr="00055E10">
        <w:rPr>
          <w:rFonts w:ascii="Palatino Linotype" w:eastAsia="Palatino Linotype" w:hAnsi="Palatino Linotype" w:cs="Palatino Linotype"/>
          <w:b/>
        </w:rPr>
        <w:t xml:space="preserve">Tercero.  Notifíquese, </w:t>
      </w:r>
      <w:r w:rsidRPr="00055E10">
        <w:rPr>
          <w:rFonts w:ascii="Palatino Linotype" w:eastAsia="Palatino Linotype" w:hAnsi="Palatino Linotype" w:cs="Palatino Linotype"/>
        </w:rPr>
        <w:t xml:space="preserve">vía </w:t>
      </w:r>
      <w:r w:rsidRPr="00055E10">
        <w:rPr>
          <w:rFonts w:ascii="Palatino Linotype" w:eastAsia="Palatino Linotype" w:hAnsi="Palatino Linotype" w:cs="Palatino Linotype"/>
          <w:b/>
        </w:rPr>
        <w:t xml:space="preserve">SAIMEX, </w:t>
      </w:r>
      <w:r w:rsidRPr="00055E10">
        <w:rPr>
          <w:rFonts w:ascii="Palatino Linotype" w:eastAsia="Palatino Linotype" w:hAnsi="Palatino Linotype" w:cs="Palatino Linotype"/>
        </w:rPr>
        <w:t xml:space="preserve">a la parte </w:t>
      </w:r>
      <w:r w:rsidRPr="00055E10">
        <w:rPr>
          <w:rFonts w:ascii="Palatino Linotype" w:eastAsia="Palatino Linotype" w:hAnsi="Palatino Linotype" w:cs="Palatino Linotype"/>
          <w:b/>
        </w:rPr>
        <w:t>Recurrente</w:t>
      </w:r>
      <w:r w:rsidRPr="00055E1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393001B" w14:textId="77777777" w:rsidR="00D67C4B" w:rsidRPr="00B3331A" w:rsidRDefault="006B2E37">
      <w:pPr>
        <w:tabs>
          <w:tab w:val="left" w:pos="8647"/>
        </w:tabs>
        <w:spacing w:before="240" w:after="240" w:line="360" w:lineRule="auto"/>
        <w:ind w:right="51"/>
        <w:jc w:val="both"/>
        <w:rPr>
          <w:rFonts w:ascii="Palatino Linotype" w:eastAsia="Palatino Linotype" w:hAnsi="Palatino Linotype" w:cs="Palatino Linotype"/>
        </w:rPr>
      </w:pPr>
      <w:r w:rsidRPr="00055E1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055E10">
        <w:rPr>
          <w:rFonts w:ascii="Palatino Linotype" w:eastAsia="Palatino Linotype" w:hAnsi="Palatino Linotype" w:cs="Palatino Linotype"/>
        </w:rPr>
        <w:lastRenderedPageBreak/>
        <w:t>MORALES MARTÍNEZ, LUIS GUSTAVO PARRA NORIEGA, Y GUADALUPE RAMÍREZ PEÑA, EN LA VIGÉSIMA OCTAVA SESIÓN ORDINARIA CELEBRADA EL TRECE DE AGOSTO DE DOS MIL VEINTICINCO, ANTE EL SECRETARIO TÉCNICO DEL PLENO ALEXIS TAPIA RAMÍREZ.</w:t>
      </w:r>
    </w:p>
    <w:p w14:paraId="3977B9BE" w14:textId="77777777" w:rsidR="00D67C4B" w:rsidRPr="00B3331A" w:rsidRDefault="00D67C4B">
      <w:pPr>
        <w:spacing w:line="360" w:lineRule="auto"/>
        <w:jc w:val="both"/>
        <w:rPr>
          <w:rFonts w:ascii="Palatino Linotype" w:eastAsia="Palatino Linotype" w:hAnsi="Palatino Linotype" w:cs="Palatino Linotype"/>
        </w:rPr>
      </w:pPr>
    </w:p>
    <w:p w14:paraId="411D7C6B" w14:textId="77777777" w:rsidR="00D67C4B" w:rsidRPr="00B3331A" w:rsidRDefault="00D67C4B">
      <w:pPr>
        <w:spacing w:line="360" w:lineRule="auto"/>
        <w:jc w:val="center"/>
        <w:rPr>
          <w:rFonts w:ascii="Palatino Linotype" w:eastAsia="Palatino Linotype" w:hAnsi="Palatino Linotype" w:cs="Palatino Linotype"/>
        </w:rPr>
      </w:pPr>
    </w:p>
    <w:p w14:paraId="233AE6B2" w14:textId="77777777" w:rsidR="00D67C4B" w:rsidRPr="00B3331A" w:rsidRDefault="00D67C4B">
      <w:pPr>
        <w:spacing w:line="360" w:lineRule="auto"/>
        <w:jc w:val="both"/>
        <w:rPr>
          <w:rFonts w:ascii="Palatino Linotype" w:eastAsia="Palatino Linotype" w:hAnsi="Palatino Linotype" w:cs="Palatino Linotype"/>
        </w:rPr>
      </w:pPr>
    </w:p>
    <w:p w14:paraId="25B0FBA1" w14:textId="77777777" w:rsidR="00D67C4B" w:rsidRPr="00B3331A" w:rsidRDefault="00D67C4B">
      <w:pPr>
        <w:spacing w:line="360" w:lineRule="auto"/>
        <w:jc w:val="both"/>
        <w:rPr>
          <w:rFonts w:ascii="Palatino Linotype" w:eastAsia="Palatino Linotype" w:hAnsi="Palatino Linotype" w:cs="Palatino Linotype"/>
        </w:rPr>
      </w:pPr>
    </w:p>
    <w:p w14:paraId="11B21579" w14:textId="77777777" w:rsidR="00D67C4B" w:rsidRPr="00B3331A" w:rsidRDefault="00D67C4B">
      <w:pPr>
        <w:spacing w:line="360" w:lineRule="auto"/>
        <w:jc w:val="both"/>
        <w:rPr>
          <w:rFonts w:ascii="Palatino Linotype" w:eastAsia="Palatino Linotype" w:hAnsi="Palatino Linotype" w:cs="Palatino Linotype"/>
        </w:rPr>
      </w:pPr>
    </w:p>
    <w:p w14:paraId="77EE8F75" w14:textId="77777777" w:rsidR="00D67C4B" w:rsidRPr="00B3331A" w:rsidRDefault="00D67C4B">
      <w:pPr>
        <w:spacing w:line="360" w:lineRule="auto"/>
        <w:jc w:val="both"/>
        <w:rPr>
          <w:rFonts w:ascii="Palatino Linotype" w:eastAsia="Palatino Linotype" w:hAnsi="Palatino Linotype" w:cs="Palatino Linotype"/>
        </w:rPr>
      </w:pPr>
    </w:p>
    <w:p w14:paraId="160266CE" w14:textId="77777777" w:rsidR="00D67C4B" w:rsidRPr="00B3331A" w:rsidRDefault="00D67C4B">
      <w:pPr>
        <w:spacing w:line="360" w:lineRule="auto"/>
        <w:jc w:val="both"/>
        <w:rPr>
          <w:rFonts w:ascii="Palatino Linotype" w:eastAsia="Palatino Linotype" w:hAnsi="Palatino Linotype" w:cs="Palatino Linotype"/>
        </w:rPr>
      </w:pPr>
    </w:p>
    <w:p w14:paraId="752EA481" w14:textId="77777777" w:rsidR="00D67C4B" w:rsidRPr="00B3331A" w:rsidRDefault="00D67C4B">
      <w:pPr>
        <w:spacing w:line="360" w:lineRule="auto"/>
        <w:jc w:val="both"/>
        <w:rPr>
          <w:rFonts w:ascii="Palatino Linotype" w:eastAsia="Palatino Linotype" w:hAnsi="Palatino Linotype" w:cs="Palatino Linotype"/>
        </w:rPr>
      </w:pPr>
    </w:p>
    <w:p w14:paraId="1969E77F" w14:textId="77777777" w:rsidR="00D67C4B" w:rsidRPr="00B3331A" w:rsidRDefault="00D67C4B">
      <w:pPr>
        <w:spacing w:line="360" w:lineRule="auto"/>
        <w:jc w:val="both"/>
        <w:rPr>
          <w:rFonts w:ascii="Palatino Linotype" w:eastAsia="Palatino Linotype" w:hAnsi="Palatino Linotype" w:cs="Palatino Linotype"/>
        </w:rPr>
      </w:pPr>
    </w:p>
    <w:p w14:paraId="0EE2A5B7" w14:textId="77777777" w:rsidR="00D67C4B" w:rsidRPr="00B3331A" w:rsidRDefault="00D67C4B">
      <w:pPr>
        <w:spacing w:line="360" w:lineRule="auto"/>
        <w:jc w:val="both"/>
        <w:rPr>
          <w:rFonts w:ascii="Palatino Linotype" w:eastAsia="Palatino Linotype" w:hAnsi="Palatino Linotype" w:cs="Palatino Linotype"/>
        </w:rPr>
      </w:pPr>
    </w:p>
    <w:p w14:paraId="27FC2843" w14:textId="77777777" w:rsidR="00D67C4B" w:rsidRPr="00B3331A" w:rsidRDefault="00D67C4B">
      <w:pPr>
        <w:spacing w:line="360" w:lineRule="auto"/>
        <w:jc w:val="both"/>
        <w:rPr>
          <w:rFonts w:ascii="Palatino Linotype" w:eastAsia="Palatino Linotype" w:hAnsi="Palatino Linotype" w:cs="Palatino Linotype"/>
        </w:rPr>
      </w:pPr>
    </w:p>
    <w:p w14:paraId="0FA15075" w14:textId="77777777" w:rsidR="00D67C4B" w:rsidRPr="00B3331A" w:rsidRDefault="00D67C4B">
      <w:pPr>
        <w:spacing w:line="360" w:lineRule="auto"/>
        <w:jc w:val="both"/>
        <w:rPr>
          <w:rFonts w:ascii="Palatino Linotype" w:eastAsia="Palatino Linotype" w:hAnsi="Palatino Linotype" w:cs="Palatino Linotype"/>
        </w:rPr>
      </w:pPr>
    </w:p>
    <w:p w14:paraId="3A98623C" w14:textId="77777777" w:rsidR="00D67C4B" w:rsidRPr="00B3331A" w:rsidRDefault="00D67C4B">
      <w:pPr>
        <w:spacing w:line="360" w:lineRule="auto"/>
        <w:jc w:val="both"/>
        <w:rPr>
          <w:rFonts w:ascii="Palatino Linotype" w:eastAsia="Palatino Linotype" w:hAnsi="Palatino Linotype" w:cs="Palatino Linotype"/>
        </w:rPr>
      </w:pPr>
    </w:p>
    <w:p w14:paraId="02FD6773" w14:textId="77777777" w:rsidR="00D67C4B" w:rsidRPr="00B3331A" w:rsidRDefault="00D67C4B">
      <w:pPr>
        <w:spacing w:line="360" w:lineRule="auto"/>
        <w:jc w:val="both"/>
        <w:rPr>
          <w:rFonts w:ascii="Palatino Linotype" w:eastAsia="Palatino Linotype" w:hAnsi="Palatino Linotype" w:cs="Palatino Linotype"/>
        </w:rPr>
      </w:pPr>
    </w:p>
    <w:p w14:paraId="4E765D79" w14:textId="77777777" w:rsidR="00D67C4B" w:rsidRPr="00B3331A" w:rsidRDefault="00D67C4B">
      <w:pPr>
        <w:spacing w:line="360" w:lineRule="auto"/>
        <w:jc w:val="both"/>
        <w:rPr>
          <w:rFonts w:ascii="Palatino Linotype" w:eastAsia="Palatino Linotype" w:hAnsi="Palatino Linotype" w:cs="Palatino Linotype"/>
        </w:rPr>
      </w:pPr>
    </w:p>
    <w:p w14:paraId="2DECDBBA" w14:textId="77777777" w:rsidR="00D67C4B" w:rsidRPr="00B3331A" w:rsidRDefault="00D67C4B">
      <w:pPr>
        <w:spacing w:line="360" w:lineRule="auto"/>
        <w:jc w:val="both"/>
        <w:rPr>
          <w:rFonts w:ascii="Palatino Linotype" w:eastAsia="Palatino Linotype" w:hAnsi="Palatino Linotype" w:cs="Palatino Linotype"/>
        </w:rPr>
      </w:pPr>
    </w:p>
    <w:p w14:paraId="72B64735" w14:textId="77777777" w:rsidR="00D67C4B" w:rsidRPr="00B3331A" w:rsidRDefault="00D67C4B">
      <w:pPr>
        <w:spacing w:line="360" w:lineRule="auto"/>
        <w:jc w:val="both"/>
        <w:rPr>
          <w:rFonts w:ascii="Palatino Linotype" w:eastAsia="Palatino Linotype" w:hAnsi="Palatino Linotype" w:cs="Palatino Linotype"/>
        </w:rPr>
      </w:pPr>
    </w:p>
    <w:p w14:paraId="55D6B7E2" w14:textId="77777777" w:rsidR="00D67C4B" w:rsidRPr="00B3331A" w:rsidRDefault="00D67C4B">
      <w:pPr>
        <w:spacing w:line="360" w:lineRule="auto"/>
        <w:jc w:val="both"/>
        <w:rPr>
          <w:rFonts w:ascii="Palatino Linotype" w:eastAsia="Palatino Linotype" w:hAnsi="Palatino Linotype" w:cs="Palatino Linotype"/>
        </w:rPr>
      </w:pPr>
    </w:p>
    <w:p w14:paraId="29594E37" w14:textId="77777777" w:rsidR="00D67C4B" w:rsidRPr="00B3331A" w:rsidRDefault="00D67C4B">
      <w:pPr>
        <w:spacing w:line="360" w:lineRule="auto"/>
        <w:jc w:val="both"/>
        <w:rPr>
          <w:rFonts w:ascii="Palatino Linotype" w:eastAsia="Palatino Linotype" w:hAnsi="Palatino Linotype" w:cs="Palatino Linotype"/>
        </w:rPr>
      </w:pPr>
    </w:p>
    <w:p w14:paraId="621A6A25" w14:textId="77777777" w:rsidR="00D67C4B" w:rsidRPr="00B3331A" w:rsidRDefault="00D67C4B">
      <w:pPr>
        <w:spacing w:line="360" w:lineRule="auto"/>
        <w:jc w:val="both"/>
        <w:rPr>
          <w:rFonts w:ascii="Palatino Linotype" w:eastAsia="Palatino Linotype" w:hAnsi="Palatino Linotype" w:cs="Palatino Linotype"/>
        </w:rPr>
      </w:pPr>
    </w:p>
    <w:sectPr w:rsidR="00D67C4B" w:rsidRPr="00B3331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E467" w14:textId="77777777" w:rsidR="002F7D04" w:rsidRDefault="002F7D04">
      <w:r>
        <w:separator/>
      </w:r>
    </w:p>
  </w:endnote>
  <w:endnote w:type="continuationSeparator" w:id="0">
    <w:p w14:paraId="40AE80EC" w14:textId="77777777" w:rsidR="002F7D04" w:rsidRDefault="002F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0BF8" w14:textId="77777777" w:rsidR="00D67C4B" w:rsidRDefault="006B2E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5E1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5E1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AC2D801" w14:textId="77777777" w:rsidR="00D67C4B" w:rsidRDefault="00D67C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18BB" w14:textId="77777777" w:rsidR="00D67C4B" w:rsidRDefault="006B2E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55E1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55E1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B5CA7BB" w14:textId="77777777" w:rsidR="00D67C4B" w:rsidRDefault="00D67C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16C5" w14:textId="77777777" w:rsidR="002F7D04" w:rsidRDefault="002F7D04">
      <w:r>
        <w:separator/>
      </w:r>
    </w:p>
  </w:footnote>
  <w:footnote w:type="continuationSeparator" w:id="0">
    <w:p w14:paraId="33A30A01" w14:textId="77777777" w:rsidR="002F7D04" w:rsidRDefault="002F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5828" w14:textId="77777777" w:rsidR="00D67C4B" w:rsidRDefault="006B2E37">
    <w:pPr>
      <w:rPr>
        <w:rFonts w:ascii="Cambria" w:eastAsia="Cambria" w:hAnsi="Cambria" w:cs="Cambria"/>
        <w:color w:val="000000"/>
      </w:rPr>
    </w:pPr>
    <w:r>
      <w:rPr>
        <w:noProof/>
      </w:rPr>
      <w:drawing>
        <wp:anchor distT="0" distB="0" distL="0" distR="0" simplePos="0" relativeHeight="251658240" behindDoc="1" locked="0" layoutInCell="1" hidden="0" allowOverlap="1" wp14:anchorId="143F9DA9" wp14:editId="679012F1">
          <wp:simplePos x="0" y="0"/>
          <wp:positionH relativeFrom="column">
            <wp:posOffset>-1080090</wp:posOffset>
          </wp:positionH>
          <wp:positionV relativeFrom="paragraph">
            <wp:posOffset>-488261</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D67C4B" w14:paraId="0CE766FA" w14:textId="77777777">
      <w:tc>
        <w:tcPr>
          <w:tcW w:w="2489" w:type="dxa"/>
          <w:shd w:val="clear" w:color="auto" w:fill="auto"/>
        </w:tcPr>
        <w:p w14:paraId="060FCECD" w14:textId="77777777" w:rsidR="00D67C4B" w:rsidRDefault="006B2E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7D4C5E" w14:textId="77777777" w:rsidR="00D67C4B" w:rsidRDefault="006B2E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05469/INFOEM/IP/RR/2025</w:t>
          </w:r>
        </w:p>
      </w:tc>
    </w:tr>
    <w:tr w:rsidR="00D67C4B" w14:paraId="5C54DB60" w14:textId="77777777">
      <w:trPr>
        <w:trHeight w:val="228"/>
      </w:trPr>
      <w:tc>
        <w:tcPr>
          <w:tcW w:w="2489" w:type="dxa"/>
          <w:shd w:val="clear" w:color="auto" w:fill="auto"/>
          <w:vAlign w:val="center"/>
        </w:tcPr>
        <w:p w14:paraId="24663A79" w14:textId="77777777" w:rsidR="00D67C4B" w:rsidRDefault="006B2E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DDE989" w14:textId="77777777" w:rsidR="00D67C4B" w:rsidRDefault="006B2E3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Atizapán de Zaragoza</w:t>
          </w:r>
        </w:p>
      </w:tc>
    </w:tr>
    <w:tr w:rsidR="00D67C4B" w14:paraId="664B43DD" w14:textId="77777777">
      <w:tc>
        <w:tcPr>
          <w:tcW w:w="2489" w:type="dxa"/>
          <w:shd w:val="clear" w:color="auto" w:fill="auto"/>
          <w:vAlign w:val="center"/>
        </w:tcPr>
        <w:p w14:paraId="3E70CAF7" w14:textId="77777777" w:rsidR="00D67C4B" w:rsidRDefault="006B2E3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82749EA" w14:textId="77777777" w:rsidR="00D67C4B" w:rsidRDefault="006B2E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77556A" w14:textId="77777777" w:rsidR="00D67C4B" w:rsidRDefault="006B2E3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A2D" w14:textId="77777777" w:rsidR="00D67C4B" w:rsidRDefault="006B2E37">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1D338A62" wp14:editId="5D509B7B">
          <wp:simplePos x="0" y="0"/>
          <wp:positionH relativeFrom="column">
            <wp:posOffset>-1080132</wp:posOffset>
          </wp:positionH>
          <wp:positionV relativeFrom="paragraph">
            <wp:posOffset>-369891</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D67C4B" w14:paraId="2A9B6EE1" w14:textId="77777777">
      <w:tc>
        <w:tcPr>
          <w:tcW w:w="2489" w:type="dxa"/>
          <w:shd w:val="clear" w:color="auto" w:fill="auto"/>
        </w:tcPr>
        <w:p w14:paraId="23747E16" w14:textId="77777777" w:rsidR="00D67C4B" w:rsidRDefault="006B2E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715CE62" w14:textId="77777777" w:rsidR="00D67C4B" w:rsidRDefault="006B2E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05469/INFOEM/IP/RR/2025</w:t>
          </w:r>
        </w:p>
      </w:tc>
    </w:tr>
    <w:tr w:rsidR="00D67C4B" w14:paraId="2B51EA94" w14:textId="77777777">
      <w:tc>
        <w:tcPr>
          <w:tcW w:w="2489" w:type="dxa"/>
          <w:shd w:val="clear" w:color="auto" w:fill="auto"/>
        </w:tcPr>
        <w:p w14:paraId="27F96915" w14:textId="77777777" w:rsidR="00D67C4B" w:rsidRDefault="006B2E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6411F13" w14:textId="39B9E495" w:rsidR="00D67C4B" w:rsidRDefault="004E731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 </w:t>
          </w:r>
          <w:proofErr w:type="spellStart"/>
          <w:r>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w:t>
          </w:r>
        </w:p>
      </w:tc>
    </w:tr>
    <w:tr w:rsidR="00D67C4B" w14:paraId="3EF2CA1A" w14:textId="77777777">
      <w:trPr>
        <w:trHeight w:val="228"/>
      </w:trPr>
      <w:tc>
        <w:tcPr>
          <w:tcW w:w="2489" w:type="dxa"/>
          <w:shd w:val="clear" w:color="auto" w:fill="auto"/>
          <w:vAlign w:val="center"/>
        </w:tcPr>
        <w:p w14:paraId="00A0FEF8" w14:textId="77777777" w:rsidR="00D67C4B" w:rsidRDefault="006B2E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B622358" w14:textId="77777777" w:rsidR="00D67C4B" w:rsidRDefault="006B2E3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Municipal Para el Desarrollo Integral de la Familia de Atizapán de Zaragoza </w:t>
          </w:r>
        </w:p>
      </w:tc>
    </w:tr>
    <w:tr w:rsidR="00D67C4B" w14:paraId="5735DA0F" w14:textId="77777777">
      <w:tc>
        <w:tcPr>
          <w:tcW w:w="2489" w:type="dxa"/>
          <w:shd w:val="clear" w:color="auto" w:fill="auto"/>
          <w:vAlign w:val="center"/>
        </w:tcPr>
        <w:p w14:paraId="0340124D" w14:textId="77777777" w:rsidR="00D67C4B" w:rsidRDefault="006B2E3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C0AD90E" w14:textId="77777777" w:rsidR="00D67C4B" w:rsidRDefault="006B2E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FB587A" w14:textId="77777777" w:rsidR="00D67C4B" w:rsidRDefault="00D67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C7730"/>
    <w:multiLevelType w:val="multilevel"/>
    <w:tmpl w:val="671AA88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4B"/>
    <w:rsid w:val="00055E10"/>
    <w:rsid w:val="002F7D04"/>
    <w:rsid w:val="004E731A"/>
    <w:rsid w:val="006B2E37"/>
    <w:rsid w:val="00B3331A"/>
    <w:rsid w:val="00D67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7AE4"/>
  <w15:docId w15:val="{9337035D-3CA9-43D6-B275-AE374DF5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za9ujqP53tLA8S1AZnQvLi1g==">CgMxLjAyCWguM3JkY3JqbjIOaC5kYWozajJ4bzZxNjYyCGguZ2pkZ3hzMgloLjNkeTZ2a20yCWguMzBqMHpsbDIJaC4yczhleW8xMghoLnR5amN3dDIJaC4yZXQ5MnAwMg5oLnY0MG1yMjllZHhzcTIIaC5namRneHMyCWguMXQzaDVzZjIIaC5sbnhiejk4AHIhMWZFaUc3TUZIZ3lNUVNhYUQtSWpKekpFQXdzakQ4Slpv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6718</Words>
  <Characters>36949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2025-08-15T19:47:00Z</cp:lastPrinted>
  <dcterms:created xsi:type="dcterms:W3CDTF">2025-09-03T22:13:00Z</dcterms:created>
  <dcterms:modified xsi:type="dcterms:W3CDTF">2025-09-03T22:13:00Z</dcterms:modified>
</cp:coreProperties>
</file>