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854" w:rsidRPr="00437DF5" w:rsidRDefault="00752EA3" w:rsidP="00437DF5">
      <w:pPr>
        <w:spacing w:line="360" w:lineRule="auto"/>
        <w:ind w:right="49"/>
        <w:jc w:val="both"/>
        <w:rPr>
          <w:rFonts w:ascii="Palatino Linotype" w:eastAsia="Palatino Linotype" w:hAnsi="Palatino Linotype" w:cs="Palatino Linotype"/>
          <w:b/>
          <w:color w:val="000000" w:themeColor="text1"/>
          <w:sz w:val="24"/>
          <w:szCs w:val="24"/>
        </w:rPr>
      </w:pPr>
      <w:bookmarkStart w:id="0" w:name="_heading=h.3rdcrjn" w:colFirst="0" w:colLast="0"/>
      <w:bookmarkStart w:id="1" w:name="_GoBack"/>
      <w:bookmarkEnd w:id="0"/>
      <w:bookmarkEnd w:id="1"/>
      <w:r w:rsidRPr="00437DF5">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437DF5">
        <w:rPr>
          <w:rFonts w:ascii="Palatino Linotype" w:eastAsia="Palatino Linotype" w:hAnsi="Palatino Linotype" w:cs="Palatino Linotype"/>
          <w:b/>
          <w:color w:val="000000" w:themeColor="text1"/>
          <w:sz w:val="24"/>
          <w:szCs w:val="24"/>
        </w:rPr>
        <w:t xml:space="preserve">de fecha tres (03) </w:t>
      </w:r>
      <w:r w:rsidR="00437DF5" w:rsidRPr="00157555">
        <w:rPr>
          <w:rFonts w:ascii="Palatino Linotype" w:eastAsia="Palatino Linotype" w:hAnsi="Palatino Linotype" w:cs="Palatino Linotype"/>
          <w:b/>
          <w:color w:val="000000" w:themeColor="text1"/>
          <w:sz w:val="24"/>
          <w:szCs w:val="24"/>
        </w:rPr>
        <w:t xml:space="preserve">de </w:t>
      </w:r>
      <w:r w:rsidR="00437DF5">
        <w:rPr>
          <w:rFonts w:ascii="Palatino Linotype" w:eastAsia="Palatino Linotype" w:hAnsi="Palatino Linotype" w:cs="Palatino Linotype"/>
          <w:b/>
          <w:color w:val="000000" w:themeColor="text1"/>
          <w:sz w:val="24"/>
          <w:szCs w:val="24"/>
        </w:rPr>
        <w:t xml:space="preserve">diciembre </w:t>
      </w:r>
      <w:r w:rsidR="00437DF5" w:rsidRPr="00157555">
        <w:rPr>
          <w:rFonts w:ascii="Palatino Linotype" w:eastAsia="Palatino Linotype" w:hAnsi="Palatino Linotype" w:cs="Palatino Linotype"/>
          <w:b/>
          <w:color w:val="000000" w:themeColor="text1"/>
          <w:sz w:val="24"/>
          <w:szCs w:val="24"/>
        </w:rPr>
        <w:t>de dos mil veinticinco</w:t>
      </w:r>
      <w:r w:rsidRPr="00437DF5">
        <w:rPr>
          <w:rFonts w:ascii="Palatino Linotype" w:eastAsia="Palatino Linotype" w:hAnsi="Palatino Linotype" w:cs="Palatino Linotype"/>
          <w:b/>
          <w:color w:val="000000" w:themeColor="text1"/>
          <w:sz w:val="24"/>
          <w:szCs w:val="24"/>
        </w:rPr>
        <w:t>.</w:t>
      </w:r>
    </w:p>
    <w:p w:rsidR="00435854" w:rsidRPr="00437DF5" w:rsidRDefault="00435854" w:rsidP="00437DF5">
      <w:pPr>
        <w:tabs>
          <w:tab w:val="left" w:pos="3465"/>
        </w:tabs>
        <w:spacing w:line="360" w:lineRule="auto"/>
        <w:ind w:right="49"/>
        <w:jc w:val="both"/>
        <w:rPr>
          <w:rFonts w:ascii="Palatino Linotype" w:eastAsia="Palatino Linotype" w:hAnsi="Palatino Linotype" w:cs="Palatino Linotype"/>
          <w:color w:val="000000" w:themeColor="text1"/>
          <w:sz w:val="24"/>
          <w:szCs w:val="24"/>
        </w:rPr>
      </w:pPr>
    </w:p>
    <w:p w:rsidR="00435854" w:rsidRPr="00437DF5" w:rsidRDefault="00752EA3"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color w:val="000000" w:themeColor="text1"/>
          <w:sz w:val="24"/>
          <w:szCs w:val="24"/>
        </w:rPr>
        <w:t>VISTO</w:t>
      </w:r>
      <w:r w:rsidRPr="00437DF5">
        <w:rPr>
          <w:rFonts w:ascii="Palatino Linotype" w:eastAsia="Palatino Linotype" w:hAnsi="Palatino Linotype" w:cs="Palatino Linotype"/>
          <w:color w:val="000000" w:themeColor="text1"/>
          <w:sz w:val="24"/>
          <w:szCs w:val="24"/>
        </w:rPr>
        <w:t xml:space="preserve"> el expediente electrónico formado con motivo del recurso de </w:t>
      </w:r>
      <w:r w:rsidR="00B144A4" w:rsidRPr="00437DF5">
        <w:rPr>
          <w:rFonts w:ascii="Palatino Linotype" w:eastAsia="Palatino Linotype" w:hAnsi="Palatino Linotype" w:cs="Palatino Linotype"/>
          <w:color w:val="000000" w:themeColor="text1"/>
          <w:sz w:val="24"/>
          <w:szCs w:val="24"/>
        </w:rPr>
        <w:t>revisión</w:t>
      </w:r>
      <w:r w:rsidR="00B144A4" w:rsidRPr="00437DF5">
        <w:rPr>
          <w:rFonts w:ascii="Palatino Linotype" w:eastAsia="Palatino Linotype" w:hAnsi="Palatino Linotype" w:cs="Palatino Linotype"/>
          <w:b/>
          <w:color w:val="000000" w:themeColor="text1"/>
          <w:sz w:val="24"/>
          <w:szCs w:val="24"/>
        </w:rPr>
        <w:t xml:space="preserve"> 12673</w:t>
      </w:r>
      <w:r w:rsidR="00F124B3" w:rsidRPr="00437DF5">
        <w:rPr>
          <w:rFonts w:ascii="Palatino Linotype" w:eastAsia="Palatino Linotype" w:hAnsi="Palatino Linotype" w:cs="Palatino Linotype"/>
          <w:b/>
          <w:color w:val="000000" w:themeColor="text1"/>
          <w:sz w:val="24"/>
          <w:szCs w:val="24"/>
        </w:rPr>
        <w:t xml:space="preserve">/INFOEM/IP/RR/2025 </w:t>
      </w:r>
      <w:r w:rsidRPr="00437DF5">
        <w:rPr>
          <w:rFonts w:ascii="Palatino Linotype" w:eastAsia="Palatino Linotype" w:hAnsi="Palatino Linotype" w:cs="Palatino Linotype"/>
          <w:color w:val="000000" w:themeColor="text1"/>
          <w:sz w:val="24"/>
          <w:szCs w:val="24"/>
        </w:rPr>
        <w:t>promovido por</w:t>
      </w:r>
      <w:r w:rsidRPr="00437DF5">
        <w:rPr>
          <w:rFonts w:ascii="Palatino Linotype" w:eastAsia="Palatino Linotype" w:hAnsi="Palatino Linotype" w:cs="Palatino Linotype"/>
          <w:b/>
          <w:color w:val="000000" w:themeColor="text1"/>
          <w:sz w:val="24"/>
          <w:szCs w:val="24"/>
        </w:rPr>
        <w:t> </w:t>
      </w:r>
      <w:r w:rsidR="0013009E">
        <w:rPr>
          <w:rFonts w:ascii="Palatino Linotype" w:eastAsia="Palatino Linotype" w:hAnsi="Palatino Linotype" w:cs="Palatino Linotype"/>
          <w:b/>
          <w:color w:val="000000" w:themeColor="text1"/>
          <w:sz w:val="24"/>
          <w:szCs w:val="24"/>
        </w:rPr>
        <w:t>XXXX</w:t>
      </w:r>
      <w:r w:rsidRPr="00437DF5">
        <w:rPr>
          <w:rFonts w:ascii="Palatino Linotype" w:eastAsia="Palatino Linotype" w:hAnsi="Palatino Linotype" w:cs="Palatino Linotype"/>
          <w:color w:val="000000" w:themeColor="text1"/>
          <w:sz w:val="24"/>
          <w:szCs w:val="24"/>
        </w:rPr>
        <w:t xml:space="preserve">, a quien en lo sucesivo se le identificará como </w:t>
      </w:r>
      <w:r w:rsidRPr="00437DF5">
        <w:rPr>
          <w:rFonts w:ascii="Palatino Linotype" w:eastAsia="Palatino Linotype" w:hAnsi="Palatino Linotype" w:cs="Palatino Linotype"/>
          <w:b/>
          <w:color w:val="000000" w:themeColor="text1"/>
          <w:sz w:val="24"/>
          <w:szCs w:val="24"/>
        </w:rPr>
        <w:t>RECURRENTE</w:t>
      </w:r>
      <w:r w:rsidR="00F124B3" w:rsidRPr="00437DF5">
        <w:rPr>
          <w:rFonts w:ascii="Palatino Linotype" w:eastAsia="Palatino Linotype" w:hAnsi="Palatino Linotype" w:cs="Palatino Linotype"/>
          <w:color w:val="000000" w:themeColor="text1"/>
          <w:sz w:val="24"/>
          <w:szCs w:val="24"/>
        </w:rPr>
        <w:t xml:space="preserve">, en contra de la respuesta del </w:t>
      </w:r>
      <w:r w:rsidR="00F124B3" w:rsidRPr="00437DF5">
        <w:rPr>
          <w:rFonts w:ascii="Palatino Linotype" w:eastAsia="Palatino Linotype" w:hAnsi="Palatino Linotype" w:cs="Palatino Linotype"/>
          <w:b/>
          <w:bCs/>
          <w:color w:val="000000" w:themeColor="text1"/>
          <w:sz w:val="24"/>
          <w:szCs w:val="24"/>
        </w:rPr>
        <w:t>Organismo Público Descentralizado para la Prestación de Los Servicios de Agua Potable Alcantarillado y Saneamiento de Tenancingo</w:t>
      </w:r>
      <w:r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en adelante el</w:t>
      </w:r>
      <w:r w:rsidRPr="00437DF5">
        <w:rPr>
          <w:rFonts w:ascii="Palatino Linotype" w:eastAsia="Palatino Linotype" w:hAnsi="Palatino Linotype" w:cs="Palatino Linotype"/>
          <w:b/>
          <w:color w:val="000000" w:themeColor="text1"/>
          <w:sz w:val="24"/>
          <w:szCs w:val="24"/>
        </w:rPr>
        <w:t xml:space="preserve"> SUJETO OBLIGADO</w:t>
      </w:r>
      <w:r w:rsidRPr="00437DF5">
        <w:rPr>
          <w:rFonts w:ascii="Palatino Linotype" w:eastAsia="Palatino Linotype" w:hAnsi="Palatino Linotype" w:cs="Palatino Linotype"/>
          <w:color w:val="000000" w:themeColor="text1"/>
          <w:sz w:val="24"/>
          <w:szCs w:val="24"/>
        </w:rPr>
        <w:t>, se procede a dictar la presente resolución, con base en los siguientes:</w:t>
      </w:r>
    </w:p>
    <w:p w:rsidR="00435854" w:rsidRPr="00437DF5" w:rsidRDefault="00435854" w:rsidP="00437DF5">
      <w:pPr>
        <w:spacing w:line="360" w:lineRule="auto"/>
        <w:ind w:right="49"/>
        <w:jc w:val="both"/>
        <w:rPr>
          <w:rFonts w:ascii="Palatino Linotype" w:eastAsia="Palatino Linotype" w:hAnsi="Palatino Linotype" w:cs="Palatino Linotype"/>
          <w:b/>
          <w:color w:val="000000" w:themeColor="text1"/>
          <w:sz w:val="24"/>
          <w:szCs w:val="24"/>
        </w:rPr>
      </w:pPr>
    </w:p>
    <w:p w:rsidR="00435854" w:rsidRPr="00437DF5" w:rsidRDefault="00752EA3" w:rsidP="00437DF5">
      <w:pPr>
        <w:pStyle w:val="Ttulo1"/>
        <w:spacing w:before="0" w:line="360" w:lineRule="auto"/>
        <w:ind w:right="49"/>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437DF5">
        <w:rPr>
          <w:rFonts w:ascii="Palatino Linotype" w:eastAsia="Palatino Linotype" w:hAnsi="Palatino Linotype" w:cs="Palatino Linotype"/>
          <w:b/>
          <w:color w:val="000000" w:themeColor="text1"/>
          <w:sz w:val="24"/>
          <w:szCs w:val="24"/>
        </w:rPr>
        <w:t>A N T E C E D E N T E S</w:t>
      </w:r>
    </w:p>
    <w:p w:rsidR="00435854" w:rsidRPr="00437DF5" w:rsidRDefault="00435854" w:rsidP="00437DF5">
      <w:pPr>
        <w:ind w:right="49"/>
        <w:rPr>
          <w:rFonts w:ascii="Palatino Linotype" w:eastAsia="Palatino Linotype" w:hAnsi="Palatino Linotype" w:cs="Palatino Linotype"/>
          <w:color w:val="000000" w:themeColor="text1"/>
          <w:sz w:val="24"/>
          <w:szCs w:val="24"/>
        </w:rPr>
      </w:pPr>
    </w:p>
    <w:p w:rsidR="00435854" w:rsidRPr="00437DF5" w:rsidRDefault="00752EA3" w:rsidP="00437DF5">
      <w:pPr>
        <w:numPr>
          <w:ilvl w:val="0"/>
          <w:numId w:val="9"/>
        </w:numPr>
        <w:pBdr>
          <w:top w:val="nil"/>
          <w:left w:val="nil"/>
          <w:bottom w:val="nil"/>
          <w:right w:val="nil"/>
          <w:between w:val="nil"/>
        </w:pBdr>
        <w:tabs>
          <w:tab w:val="left" w:pos="0"/>
        </w:tabs>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El</w:t>
      </w:r>
      <w:r w:rsidRPr="00437DF5">
        <w:rPr>
          <w:rFonts w:ascii="Palatino Linotype" w:eastAsia="Palatino Linotype" w:hAnsi="Palatino Linotype" w:cs="Palatino Linotype"/>
          <w:b/>
          <w:color w:val="000000" w:themeColor="text1"/>
          <w:sz w:val="24"/>
          <w:szCs w:val="24"/>
        </w:rPr>
        <w:t xml:space="preserve"> </w:t>
      </w:r>
      <w:r w:rsidR="00F124B3" w:rsidRPr="00437DF5">
        <w:rPr>
          <w:rFonts w:ascii="Palatino Linotype" w:eastAsia="Palatino Linotype" w:hAnsi="Palatino Linotype" w:cs="Palatino Linotype"/>
          <w:b/>
          <w:color w:val="000000" w:themeColor="text1"/>
          <w:sz w:val="24"/>
          <w:szCs w:val="24"/>
        </w:rPr>
        <w:t>veintiocho de octubre</w:t>
      </w:r>
      <w:r w:rsidRPr="00437DF5">
        <w:rPr>
          <w:rFonts w:ascii="Palatino Linotype" w:eastAsia="Palatino Linotype" w:hAnsi="Palatino Linotype" w:cs="Palatino Linotype"/>
          <w:b/>
          <w:color w:val="000000" w:themeColor="text1"/>
          <w:sz w:val="24"/>
          <w:szCs w:val="24"/>
        </w:rPr>
        <w:t xml:space="preserve"> de dos mil veinticinco, </w:t>
      </w:r>
      <w:r w:rsidRPr="00437DF5">
        <w:rPr>
          <w:rFonts w:ascii="Palatino Linotype" w:eastAsia="Palatino Linotype" w:hAnsi="Palatino Linotype" w:cs="Palatino Linotype"/>
          <w:color w:val="000000" w:themeColor="text1"/>
          <w:sz w:val="24"/>
          <w:szCs w:val="24"/>
        </w:rPr>
        <w:t xml:space="preserve">se presentó ante el </w:t>
      </w:r>
      <w:r w:rsidRPr="00437DF5">
        <w:rPr>
          <w:rFonts w:ascii="Palatino Linotype" w:eastAsia="Palatino Linotype" w:hAnsi="Palatino Linotype" w:cs="Palatino Linotype"/>
          <w:b/>
          <w:color w:val="000000" w:themeColor="text1"/>
          <w:sz w:val="24"/>
          <w:szCs w:val="24"/>
        </w:rPr>
        <w:t>SUJETO OBLIGADO</w:t>
      </w:r>
      <w:r w:rsidR="00F124B3" w:rsidRPr="00437DF5">
        <w:rPr>
          <w:rFonts w:ascii="Palatino Linotype" w:eastAsia="Palatino Linotype" w:hAnsi="Palatino Linotype" w:cs="Palatino Linotype"/>
          <w:color w:val="000000" w:themeColor="text1"/>
          <w:sz w:val="24"/>
          <w:szCs w:val="24"/>
        </w:rPr>
        <w:t xml:space="preserve"> a través del Sistema de Acceso  a la Información (SAIMEX), </w:t>
      </w:r>
      <w:r w:rsidR="00B30E57" w:rsidRPr="00437DF5">
        <w:rPr>
          <w:rFonts w:ascii="Palatino Linotype" w:eastAsia="Palatino Linotype" w:hAnsi="Palatino Linotype" w:cs="Palatino Linotype"/>
          <w:color w:val="000000" w:themeColor="text1"/>
          <w:sz w:val="24"/>
          <w:szCs w:val="24"/>
        </w:rPr>
        <w:t>la solicitud de información pública registrada con el número</w:t>
      </w:r>
      <w:r w:rsidR="00B30E57" w:rsidRPr="00437DF5">
        <w:rPr>
          <w:rFonts w:ascii="Palatino Linotype" w:eastAsia="Palatino Linotype" w:hAnsi="Palatino Linotype" w:cs="Palatino Linotype"/>
          <w:b/>
          <w:color w:val="000000" w:themeColor="text1"/>
          <w:sz w:val="24"/>
          <w:szCs w:val="24"/>
        </w:rPr>
        <w:t> </w:t>
      </w:r>
      <w:r w:rsidR="00F124B3" w:rsidRPr="00437DF5">
        <w:rPr>
          <w:rFonts w:ascii="Palatino Linotype" w:eastAsia="Palatino Linotype" w:hAnsi="Palatino Linotype" w:cs="Palatino Linotype"/>
          <w:b/>
          <w:bCs/>
          <w:color w:val="000000" w:themeColor="text1"/>
          <w:sz w:val="24"/>
          <w:szCs w:val="24"/>
        </w:rPr>
        <w:t>  00081/OASTENANCI/IP/2025</w:t>
      </w:r>
      <w:r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en la que se solicitó la siguiente información:</w:t>
      </w:r>
    </w:p>
    <w:p w:rsidR="00435854" w:rsidRPr="00437DF5" w:rsidRDefault="00435854" w:rsidP="00437DF5">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themeColor="text1"/>
          <w:sz w:val="24"/>
          <w:szCs w:val="24"/>
        </w:rPr>
      </w:pPr>
    </w:p>
    <w:p w:rsidR="00435854" w:rsidRPr="00437DF5" w:rsidRDefault="00546F18" w:rsidP="00437DF5">
      <w:pPr>
        <w:pBdr>
          <w:top w:val="nil"/>
          <w:left w:val="nil"/>
          <w:bottom w:val="nil"/>
          <w:right w:val="nil"/>
          <w:between w:val="nil"/>
        </w:pBdr>
        <w:spacing w:after="0" w:line="240" w:lineRule="auto"/>
        <w:ind w:right="49"/>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r w:rsidR="00F124B3" w:rsidRPr="00437DF5">
        <w:rPr>
          <w:rFonts w:ascii="Palatino Linotype" w:eastAsia="Palatino Linotype" w:hAnsi="Palatino Linotype" w:cs="Palatino Linotype"/>
          <w:i/>
          <w:color w:val="000000" w:themeColor="text1"/>
          <w:sz w:val="24"/>
          <w:szCs w:val="24"/>
        </w:rPr>
        <w:t xml:space="preserve">quienes conforman la tesoreria </w:t>
      </w:r>
      <w:r w:rsidR="00714C83" w:rsidRPr="00437DF5">
        <w:rPr>
          <w:rFonts w:ascii="Palatino Linotype" w:eastAsia="Palatino Linotype" w:hAnsi="Palatino Linotype" w:cs="Palatino Linotype"/>
          <w:i/>
          <w:color w:val="000000" w:themeColor="text1"/>
          <w:sz w:val="24"/>
          <w:szCs w:val="24"/>
        </w:rPr>
        <w:t>“</w:t>
      </w:r>
      <w:r w:rsidR="00752EA3" w:rsidRPr="00437DF5">
        <w:rPr>
          <w:rFonts w:ascii="Palatino Linotype" w:eastAsia="Palatino Linotype" w:hAnsi="Palatino Linotype" w:cs="Palatino Linotype"/>
          <w:i/>
          <w:color w:val="000000" w:themeColor="text1"/>
          <w:sz w:val="24"/>
          <w:szCs w:val="24"/>
        </w:rPr>
        <w:t>(Sic)</w:t>
      </w:r>
    </w:p>
    <w:p w:rsidR="006A2A81" w:rsidRPr="00437DF5" w:rsidRDefault="006A2A81"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435854" w:rsidRPr="00437DF5" w:rsidRDefault="00752EA3" w:rsidP="00437DF5">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Se eligió como modalidad de </w:t>
      </w:r>
      <w:r w:rsidR="00B30E57" w:rsidRPr="00437DF5">
        <w:rPr>
          <w:rFonts w:ascii="Palatino Linotype" w:eastAsia="Palatino Linotype" w:hAnsi="Palatino Linotype" w:cs="Palatino Linotype"/>
          <w:color w:val="000000" w:themeColor="text1"/>
          <w:sz w:val="24"/>
          <w:szCs w:val="24"/>
        </w:rPr>
        <w:t xml:space="preserve">entrega: </w:t>
      </w:r>
      <w:r w:rsidR="00F124B3" w:rsidRPr="00437DF5">
        <w:rPr>
          <w:rFonts w:ascii="Palatino Linotype" w:eastAsia="Palatino Linotype" w:hAnsi="Palatino Linotype" w:cs="Palatino Linotype"/>
          <w:b/>
          <w:color w:val="000000" w:themeColor="text1"/>
          <w:sz w:val="24"/>
          <w:szCs w:val="24"/>
        </w:rPr>
        <w:t>SAIMEX.</w:t>
      </w:r>
    </w:p>
    <w:p w:rsidR="00435854" w:rsidRPr="00437DF5" w:rsidRDefault="00752EA3" w:rsidP="00437DF5">
      <w:pPr>
        <w:numPr>
          <w:ilvl w:val="0"/>
          <w:numId w:val="9"/>
        </w:numPr>
        <w:pBdr>
          <w:top w:val="nil"/>
          <w:left w:val="nil"/>
          <w:bottom w:val="nil"/>
          <w:right w:val="nil"/>
          <w:between w:val="nil"/>
        </w:pBdr>
        <w:tabs>
          <w:tab w:val="left" w:pos="0"/>
        </w:tabs>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El </w:t>
      </w:r>
      <w:r w:rsidR="00B30E57" w:rsidRPr="00437DF5">
        <w:rPr>
          <w:rFonts w:ascii="Palatino Linotype" w:eastAsia="Palatino Linotype" w:hAnsi="Palatino Linotype" w:cs="Palatino Linotype"/>
          <w:b/>
          <w:color w:val="000000" w:themeColor="text1"/>
          <w:sz w:val="24"/>
          <w:szCs w:val="24"/>
        </w:rPr>
        <w:t>nueve de julio</w:t>
      </w:r>
      <w:r w:rsidRPr="00437DF5">
        <w:rPr>
          <w:rFonts w:ascii="Palatino Linotype" w:eastAsia="Palatino Linotype" w:hAnsi="Palatino Linotype" w:cs="Palatino Linotype"/>
          <w:b/>
          <w:color w:val="000000" w:themeColor="text1"/>
          <w:sz w:val="24"/>
          <w:szCs w:val="24"/>
        </w:rPr>
        <w:t xml:space="preserve"> de dos mil veinticinco,</w:t>
      </w:r>
      <w:r w:rsidRPr="00437DF5">
        <w:rPr>
          <w:rFonts w:ascii="Palatino Linotype" w:eastAsia="Palatino Linotype" w:hAnsi="Palatino Linotype" w:cs="Palatino Linotype"/>
          <w:color w:val="000000" w:themeColor="text1"/>
          <w:sz w:val="24"/>
          <w:szCs w:val="24"/>
        </w:rPr>
        <w:t xml:space="preserve"> el </w:t>
      </w:r>
      <w:r w:rsidRPr="00437DF5">
        <w:rPr>
          <w:rFonts w:ascii="Palatino Linotype" w:eastAsia="Palatino Linotype" w:hAnsi="Palatino Linotype" w:cs="Palatino Linotype"/>
          <w:b/>
          <w:color w:val="000000" w:themeColor="text1"/>
          <w:sz w:val="24"/>
          <w:szCs w:val="24"/>
        </w:rPr>
        <w:t xml:space="preserve">SUJETO OBLIGADO, </w:t>
      </w:r>
      <w:r w:rsidRPr="00437DF5">
        <w:rPr>
          <w:rFonts w:ascii="Palatino Linotype" w:eastAsia="Palatino Linotype" w:hAnsi="Palatino Linotype" w:cs="Palatino Linotype"/>
          <w:color w:val="000000" w:themeColor="text1"/>
          <w:sz w:val="24"/>
          <w:szCs w:val="24"/>
        </w:rPr>
        <w:t xml:space="preserve">dio respuesta </w:t>
      </w:r>
      <w:r w:rsidR="00F124B3" w:rsidRPr="00437DF5">
        <w:rPr>
          <w:rFonts w:ascii="Palatino Linotype" w:eastAsia="Palatino Linotype" w:hAnsi="Palatino Linotype" w:cs="Palatino Linotype"/>
          <w:color w:val="000000" w:themeColor="text1"/>
          <w:sz w:val="24"/>
          <w:szCs w:val="24"/>
        </w:rPr>
        <w:t xml:space="preserve">a través del archivo: </w:t>
      </w:r>
    </w:p>
    <w:p w:rsidR="00714C83" w:rsidRPr="00437DF5" w:rsidRDefault="006A05BB" w:rsidP="00437DF5">
      <w:pPr>
        <w:pStyle w:val="Prrafodelista"/>
        <w:numPr>
          <w:ilvl w:val="0"/>
          <w:numId w:val="3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themeColor="text1"/>
        </w:rPr>
      </w:pPr>
      <w:hyperlink r:id="rId8" w:tgtFrame="_blank" w:history="1">
        <w:r w:rsidR="00F124B3" w:rsidRPr="00437DF5">
          <w:rPr>
            <w:rStyle w:val="Hipervnculo"/>
            <w:rFonts w:ascii="Palatino Linotype" w:eastAsia="Palatino Linotype" w:hAnsi="Palatino Linotype" w:cs="Palatino Linotype"/>
            <w:b/>
            <w:bCs/>
            <w:color w:val="000000" w:themeColor="text1"/>
            <w:u w:val="none"/>
          </w:rPr>
          <w:t>Respuesta Transparencia 0081.PDF</w:t>
        </w:r>
      </w:hyperlink>
      <w:r w:rsidR="00F124B3" w:rsidRPr="00437DF5">
        <w:rPr>
          <w:rFonts w:ascii="Palatino Linotype" w:eastAsia="Palatino Linotype" w:hAnsi="Palatino Linotype" w:cs="Palatino Linotype"/>
          <w:b/>
          <w:color w:val="000000" w:themeColor="text1"/>
        </w:rPr>
        <w:t xml:space="preserve">, </w:t>
      </w:r>
      <w:r w:rsidR="00F124B3" w:rsidRPr="00437DF5">
        <w:rPr>
          <w:rFonts w:ascii="Palatino Linotype" w:eastAsia="Palatino Linotype" w:hAnsi="Palatino Linotype" w:cs="Palatino Linotype"/>
          <w:color w:val="000000" w:themeColor="text1"/>
        </w:rPr>
        <w:t>por el que informo lo siguiente:</w:t>
      </w:r>
    </w:p>
    <w:p w:rsidR="00F124B3" w:rsidRPr="00437DF5" w:rsidRDefault="00F124B3" w:rsidP="00437DF5">
      <w:pPr>
        <w:pBdr>
          <w:top w:val="nil"/>
          <w:left w:val="nil"/>
          <w:bottom w:val="nil"/>
          <w:right w:val="nil"/>
          <w:between w:val="nil"/>
        </w:pBdr>
        <w:tabs>
          <w:tab w:val="left" w:pos="709"/>
        </w:tabs>
        <w:spacing w:line="276"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La Tesorería Municipal es un órgano administrativo del Ayuntamiento de Tenancingo, dependiente de la administración municipal, conforme a lo dispuesto por los artículos 86, 87, 93 y 95 de la Ley Orgánica Municipal del Estado de México, los cuales establecen que la Tesorería Municipal tiene a su cargo recaudación, custodia y administración de los fondos y valores municipales, así como la contabilidad y pago de las obligaciones del Ayuntamiento. </w:t>
      </w:r>
    </w:p>
    <w:p w:rsidR="00F124B3" w:rsidRPr="00437DF5" w:rsidRDefault="00F124B3" w:rsidP="00437DF5">
      <w:pPr>
        <w:pBdr>
          <w:top w:val="nil"/>
          <w:left w:val="nil"/>
          <w:bottom w:val="nil"/>
          <w:right w:val="nil"/>
          <w:between w:val="nil"/>
        </w:pBdr>
        <w:tabs>
          <w:tab w:val="left" w:pos="709"/>
        </w:tabs>
        <w:spacing w:line="276" w:lineRule="auto"/>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En la consecuencia, la información relacionada con el personal que integra la Tesorería Municipal no es competencia de este Organismo, ya que dicha área no forma parte de su estructura orgánica ni de su ámbito de atribuciones. </w:t>
      </w:r>
    </w:p>
    <w:p w:rsidR="00F124B3" w:rsidRPr="00437DF5" w:rsidRDefault="00F124B3" w:rsidP="00437DF5">
      <w:pPr>
        <w:pBdr>
          <w:top w:val="nil"/>
          <w:left w:val="nil"/>
          <w:bottom w:val="nil"/>
          <w:right w:val="nil"/>
          <w:between w:val="nil"/>
        </w:pBdr>
        <w:tabs>
          <w:tab w:val="left" w:pos="709"/>
        </w:tabs>
        <w:spacing w:line="276"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Por lo anterior, y con fundamento en el artículo 167 de la Ley de Transparencia y Acceso a la Información Pública del Estado de México y Municipios, este Organismo orienta al solicitante a dirigir su requerimiento a la Unidad de Transparencia del H. Ayuntamiento de Tenancingo, instancia legalmente facultada para atender dicha solicitud.</w:t>
      </w:r>
    </w:p>
    <w:p w:rsidR="00F124B3" w:rsidRPr="00437DF5" w:rsidRDefault="00F124B3" w:rsidP="00437DF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themeColor="text1"/>
          <w:sz w:val="24"/>
          <w:szCs w:val="24"/>
        </w:rPr>
      </w:pPr>
    </w:p>
    <w:p w:rsidR="00435854"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Inconforme con lo anterior, el </w:t>
      </w:r>
      <w:r w:rsidR="00F124B3" w:rsidRPr="00437DF5">
        <w:rPr>
          <w:rFonts w:ascii="Palatino Linotype" w:eastAsia="Palatino Linotype" w:hAnsi="Palatino Linotype" w:cs="Palatino Linotype"/>
          <w:b/>
          <w:color w:val="000000" w:themeColor="text1"/>
          <w:sz w:val="24"/>
          <w:szCs w:val="24"/>
        </w:rPr>
        <w:t>cuatro de noviembre</w:t>
      </w:r>
      <w:r w:rsidRPr="00437DF5">
        <w:rPr>
          <w:rFonts w:ascii="Palatino Linotype" w:eastAsia="Palatino Linotype" w:hAnsi="Palatino Linotype" w:cs="Palatino Linotype"/>
          <w:b/>
          <w:color w:val="000000" w:themeColor="text1"/>
          <w:sz w:val="24"/>
          <w:szCs w:val="24"/>
        </w:rPr>
        <w:t xml:space="preserve"> de dos mil veinticinco</w:t>
      </w:r>
      <w:r w:rsidRPr="00437DF5">
        <w:rPr>
          <w:rFonts w:ascii="Palatino Linotype" w:eastAsia="Palatino Linotype" w:hAnsi="Palatino Linotype" w:cs="Palatino Linotype"/>
          <w:color w:val="000000" w:themeColor="text1"/>
          <w:sz w:val="24"/>
          <w:szCs w:val="24"/>
        </w:rPr>
        <w:t xml:space="preserve">, el hoy </w:t>
      </w:r>
      <w:r w:rsidRPr="00437DF5">
        <w:rPr>
          <w:rFonts w:ascii="Palatino Linotype" w:eastAsia="Palatino Linotype" w:hAnsi="Palatino Linotype" w:cs="Palatino Linotype"/>
          <w:b/>
          <w:color w:val="000000" w:themeColor="text1"/>
          <w:sz w:val="24"/>
          <w:szCs w:val="24"/>
        </w:rPr>
        <w:t xml:space="preserve">RECURRENTE, </w:t>
      </w:r>
      <w:r w:rsidRPr="00437DF5">
        <w:rPr>
          <w:rFonts w:ascii="Palatino Linotype" w:eastAsia="Palatino Linotype" w:hAnsi="Palatino Linotype" w:cs="Palatino Linotype"/>
          <w:color w:val="000000" w:themeColor="text1"/>
          <w:sz w:val="24"/>
          <w:szCs w:val="24"/>
        </w:rPr>
        <w:t xml:space="preserve">interpuso recurso de revisión en contra de la respuesta emitida por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manifestando las siguientes razones o motivos de inconformidad:</w:t>
      </w:r>
    </w:p>
    <w:p w:rsidR="00435854" w:rsidRPr="00437DF5" w:rsidRDefault="00435854" w:rsidP="00437DF5">
      <w:pPr>
        <w:pBdr>
          <w:top w:val="nil"/>
          <w:left w:val="nil"/>
          <w:bottom w:val="nil"/>
          <w:right w:val="nil"/>
          <w:between w:val="nil"/>
        </w:pBdr>
        <w:spacing w:after="0" w:line="276" w:lineRule="auto"/>
        <w:ind w:right="49"/>
        <w:jc w:val="both"/>
        <w:rPr>
          <w:rFonts w:ascii="Palatino Linotype" w:hAnsi="Palatino Linotype"/>
          <w:color w:val="000000" w:themeColor="text1"/>
          <w:sz w:val="24"/>
          <w:szCs w:val="24"/>
        </w:rPr>
      </w:pPr>
    </w:p>
    <w:p w:rsidR="00435854" w:rsidRPr="00437DF5" w:rsidRDefault="006A2A81" w:rsidP="00437DF5">
      <w:pPr>
        <w:numPr>
          <w:ilvl w:val="0"/>
          <w:numId w:val="10"/>
        </w:numPr>
        <w:pBdr>
          <w:top w:val="nil"/>
          <w:left w:val="nil"/>
          <w:bottom w:val="nil"/>
          <w:right w:val="nil"/>
          <w:between w:val="nil"/>
        </w:pBdr>
        <w:spacing w:after="0" w:line="276" w:lineRule="auto"/>
        <w:ind w:left="0" w:right="49" w:firstLine="0"/>
        <w:jc w:val="both"/>
        <w:rPr>
          <w:rFonts w:ascii="Palatino Linotype" w:eastAsia="Palatino Linotype" w:hAnsi="Palatino Linotype" w:cs="Palatino Linotype"/>
          <w:i/>
          <w:color w:val="000000" w:themeColor="text1"/>
          <w:sz w:val="24"/>
          <w:szCs w:val="24"/>
        </w:rPr>
      </w:pPr>
      <w:bookmarkStart w:id="3" w:name="_heading=h.30j0zll" w:colFirst="0" w:colLast="0"/>
      <w:bookmarkEnd w:id="3"/>
      <w:r w:rsidRPr="00437DF5">
        <w:rPr>
          <w:rFonts w:ascii="Palatino Linotype" w:eastAsia="Palatino Linotype" w:hAnsi="Palatino Linotype" w:cs="Palatino Linotype"/>
          <w:b/>
          <w:color w:val="000000" w:themeColor="text1"/>
          <w:sz w:val="24"/>
          <w:szCs w:val="24"/>
        </w:rPr>
        <w:t>ACTO IMPUGNADO</w:t>
      </w:r>
      <w:r w:rsidR="00752EA3" w:rsidRPr="00437DF5">
        <w:rPr>
          <w:rFonts w:ascii="Palatino Linotype" w:eastAsia="Palatino Linotype" w:hAnsi="Palatino Linotype" w:cs="Palatino Linotype"/>
          <w:b/>
          <w:color w:val="000000" w:themeColor="text1"/>
          <w:sz w:val="24"/>
          <w:szCs w:val="24"/>
        </w:rPr>
        <w:t xml:space="preserve">: </w:t>
      </w:r>
      <w:r w:rsidR="00752EA3" w:rsidRPr="00437DF5">
        <w:rPr>
          <w:rFonts w:ascii="Palatino Linotype" w:eastAsia="Palatino Linotype" w:hAnsi="Palatino Linotype" w:cs="Palatino Linotype"/>
          <w:i/>
          <w:color w:val="000000" w:themeColor="text1"/>
          <w:sz w:val="24"/>
          <w:szCs w:val="24"/>
        </w:rPr>
        <w:t>“</w:t>
      </w:r>
      <w:r w:rsidR="00F124B3" w:rsidRPr="00437DF5">
        <w:rPr>
          <w:rFonts w:ascii="Palatino Linotype" w:eastAsia="Palatino Linotype" w:hAnsi="Palatino Linotype" w:cs="Palatino Linotype"/>
          <w:i/>
          <w:color w:val="000000" w:themeColor="text1"/>
          <w:sz w:val="24"/>
          <w:szCs w:val="24"/>
        </w:rPr>
        <w:t>NO ME ENTREGO LA INFORMACION Y TODOS LOS OPDAPAS CUENTAN CON TESORERIAS</w:t>
      </w:r>
      <w:r w:rsidR="00752EA3" w:rsidRPr="00437DF5">
        <w:rPr>
          <w:rFonts w:ascii="Palatino Linotype" w:eastAsia="Palatino Linotype" w:hAnsi="Palatino Linotype" w:cs="Palatino Linotype"/>
          <w:i/>
          <w:color w:val="000000" w:themeColor="text1"/>
          <w:sz w:val="24"/>
          <w:szCs w:val="24"/>
        </w:rPr>
        <w:t>”</w:t>
      </w:r>
    </w:p>
    <w:p w:rsidR="00435854" w:rsidRPr="00437DF5" w:rsidRDefault="00435854" w:rsidP="00437DF5">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rsidR="00435854" w:rsidRPr="00437DF5" w:rsidRDefault="006A2A81" w:rsidP="00437DF5">
      <w:pPr>
        <w:numPr>
          <w:ilvl w:val="0"/>
          <w:numId w:val="10"/>
        </w:numPr>
        <w:pBdr>
          <w:top w:val="nil"/>
          <w:left w:val="nil"/>
          <w:bottom w:val="nil"/>
          <w:right w:val="nil"/>
          <w:between w:val="nil"/>
        </w:pBdr>
        <w:spacing w:after="0" w:line="276" w:lineRule="auto"/>
        <w:ind w:left="0" w:right="49" w:firstLine="0"/>
        <w:jc w:val="both"/>
        <w:rPr>
          <w:rFonts w:ascii="Palatino Linotype" w:eastAsia="Palatino Linotype" w:hAnsi="Palatino Linotype" w:cs="Palatino Linotype"/>
          <w:i/>
          <w:color w:val="000000" w:themeColor="text1"/>
          <w:sz w:val="24"/>
          <w:szCs w:val="24"/>
        </w:rPr>
      </w:pPr>
      <w:bookmarkStart w:id="4" w:name="_heading=h.1fob9te" w:colFirst="0" w:colLast="0"/>
      <w:bookmarkEnd w:id="4"/>
      <w:r w:rsidRPr="00437DF5">
        <w:rPr>
          <w:rFonts w:ascii="Palatino Linotype" w:eastAsia="Palatino Linotype" w:hAnsi="Palatino Linotype" w:cs="Palatino Linotype"/>
          <w:b/>
          <w:color w:val="000000" w:themeColor="text1"/>
          <w:sz w:val="24"/>
          <w:szCs w:val="24"/>
        </w:rPr>
        <w:t>RAZONES O MOTIVOS DE INCONFORMIDAD</w:t>
      </w:r>
      <w:r w:rsidR="00752EA3" w:rsidRPr="00437DF5">
        <w:rPr>
          <w:rFonts w:ascii="Palatino Linotype" w:eastAsia="Palatino Linotype" w:hAnsi="Palatino Linotype" w:cs="Palatino Linotype"/>
          <w:b/>
          <w:color w:val="000000" w:themeColor="text1"/>
          <w:sz w:val="24"/>
          <w:szCs w:val="24"/>
        </w:rPr>
        <w:t xml:space="preserve">: </w:t>
      </w:r>
      <w:r w:rsidR="00752EA3" w:rsidRPr="00437DF5">
        <w:rPr>
          <w:rFonts w:ascii="Palatino Linotype" w:eastAsia="Palatino Linotype" w:hAnsi="Palatino Linotype" w:cs="Palatino Linotype"/>
          <w:i/>
          <w:color w:val="000000" w:themeColor="text1"/>
          <w:sz w:val="24"/>
          <w:szCs w:val="24"/>
        </w:rPr>
        <w:t>“</w:t>
      </w:r>
      <w:r w:rsidR="00F124B3" w:rsidRPr="00437DF5">
        <w:rPr>
          <w:rFonts w:ascii="Palatino Linotype" w:eastAsia="Palatino Linotype" w:hAnsi="Palatino Linotype" w:cs="Palatino Linotype"/>
          <w:i/>
          <w:color w:val="000000" w:themeColor="text1"/>
          <w:sz w:val="24"/>
          <w:szCs w:val="24"/>
        </w:rPr>
        <w:t>ME NIEGA MI DERECHO DE ACCESO A LA INFORMACION”</w:t>
      </w:r>
    </w:p>
    <w:p w:rsidR="00B30E57" w:rsidRPr="00437DF5" w:rsidRDefault="00B30E57" w:rsidP="00437DF5">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p>
    <w:p w:rsidR="00435854" w:rsidRPr="00437DF5" w:rsidRDefault="00435854" w:rsidP="00437DF5">
      <w:pPr>
        <w:pBdr>
          <w:top w:val="nil"/>
          <w:left w:val="nil"/>
          <w:bottom w:val="nil"/>
          <w:right w:val="nil"/>
          <w:between w:val="nil"/>
        </w:pBdr>
        <w:spacing w:after="0" w:line="276" w:lineRule="auto"/>
        <w:ind w:right="49"/>
        <w:jc w:val="both"/>
        <w:rPr>
          <w:rFonts w:ascii="Palatino Linotype" w:eastAsia="Palatino Linotype" w:hAnsi="Palatino Linotype" w:cs="Palatino Linotype"/>
          <w:i/>
          <w:color w:val="000000" w:themeColor="text1"/>
          <w:sz w:val="24"/>
          <w:szCs w:val="24"/>
        </w:rPr>
      </w:pPr>
    </w:p>
    <w:p w:rsidR="00435854"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La Comisionada Ponente con fundamento en lo dispuesto por el artículo 185 fracción II de la ley de la materia, a través del acuerdo de admisión notificado el  </w:t>
      </w:r>
      <w:r w:rsidR="00F124B3" w:rsidRPr="00437DF5">
        <w:rPr>
          <w:rFonts w:ascii="Palatino Linotype" w:eastAsia="Palatino Linotype" w:hAnsi="Palatino Linotype" w:cs="Palatino Linotype"/>
          <w:b/>
          <w:color w:val="000000" w:themeColor="text1"/>
          <w:sz w:val="24"/>
          <w:szCs w:val="24"/>
        </w:rPr>
        <w:t xml:space="preserve">diez de noviembre </w:t>
      </w:r>
      <w:r w:rsidRPr="00437DF5">
        <w:rPr>
          <w:rFonts w:ascii="Palatino Linotype" w:eastAsia="Palatino Linotype" w:hAnsi="Palatino Linotype" w:cs="Palatino Linotype"/>
          <w:b/>
          <w:color w:val="000000" w:themeColor="text1"/>
          <w:sz w:val="24"/>
          <w:szCs w:val="24"/>
        </w:rPr>
        <w:t>de dos mil veinticinco</w:t>
      </w:r>
      <w:r w:rsidRPr="00437DF5">
        <w:rPr>
          <w:rFonts w:ascii="Palatino Linotype" w:eastAsia="Palatino Linotype" w:hAnsi="Palatino Linotype" w:cs="Palatino Linotype"/>
          <w:color w:val="000000" w:themeColor="text1"/>
          <w:sz w:val="24"/>
          <w:szCs w:val="24"/>
        </w:rPr>
        <w:t xml:space="preserve">, puso a disposición de las partes el expediente electrónico vía </w:t>
      </w:r>
      <w:r w:rsidRPr="00437DF5">
        <w:rPr>
          <w:rFonts w:ascii="Palatino Linotype" w:eastAsia="Palatino Linotype" w:hAnsi="Palatino Linotype" w:cs="Palatino Linotype"/>
          <w:b/>
          <w:color w:val="000000" w:themeColor="text1"/>
          <w:sz w:val="24"/>
          <w:szCs w:val="24"/>
        </w:rPr>
        <w:t xml:space="preserve">SAIMEX </w:t>
      </w:r>
      <w:r w:rsidRPr="00437DF5">
        <w:rPr>
          <w:rFonts w:ascii="Palatino Linotype" w:eastAsia="Palatino Linotype" w:hAnsi="Palatino Linotype" w:cs="Palatino Linotype"/>
          <w:color w:val="000000" w:themeColor="text1"/>
          <w:sz w:val="24"/>
          <w:szCs w:val="24"/>
        </w:rPr>
        <w:t xml:space="preserve">a efecto de que en un plazo máximo de siete días manifestara lo que a su derecho conviniera, ofreciera pruebas y alegatos según corresponda a los casos concretos, y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presentará el Informe Justificado procedente.</w:t>
      </w:r>
    </w:p>
    <w:p w:rsidR="00435854" w:rsidRPr="00437DF5" w:rsidRDefault="00435854"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714C83"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w:t>
      </w:r>
      <w:r w:rsidR="00714C83" w:rsidRPr="00437DF5">
        <w:rPr>
          <w:rFonts w:ascii="Palatino Linotype" w:eastAsia="Palatino Linotype" w:hAnsi="Palatino Linotype" w:cs="Palatino Linotype"/>
          <w:b/>
          <w:color w:val="000000" w:themeColor="text1"/>
          <w:sz w:val="24"/>
          <w:szCs w:val="24"/>
        </w:rPr>
        <w:t xml:space="preserve">SUJETO OBLIGADO, </w:t>
      </w:r>
      <w:r w:rsidR="00243BAA" w:rsidRPr="00437DF5">
        <w:rPr>
          <w:rFonts w:ascii="Palatino Linotype" w:eastAsia="Palatino Linotype" w:hAnsi="Palatino Linotype" w:cs="Palatino Linotype"/>
          <w:color w:val="000000" w:themeColor="text1"/>
          <w:sz w:val="24"/>
          <w:szCs w:val="24"/>
        </w:rPr>
        <w:t xml:space="preserve">el </w:t>
      </w:r>
      <w:r w:rsidR="00F124B3" w:rsidRPr="00437DF5">
        <w:rPr>
          <w:rFonts w:ascii="Palatino Linotype" w:eastAsia="Palatino Linotype" w:hAnsi="Palatino Linotype" w:cs="Palatino Linotype"/>
          <w:b/>
          <w:color w:val="000000" w:themeColor="text1"/>
          <w:sz w:val="24"/>
          <w:szCs w:val="24"/>
        </w:rPr>
        <w:t>once de noviembre</w:t>
      </w:r>
      <w:r w:rsidR="00243BAA"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b/>
          <w:color w:val="000000" w:themeColor="text1"/>
          <w:sz w:val="24"/>
          <w:szCs w:val="24"/>
        </w:rPr>
        <w:t xml:space="preserve">de dos mil veinticinco, </w:t>
      </w:r>
      <w:r w:rsidR="00F124B3" w:rsidRPr="00437DF5">
        <w:rPr>
          <w:rFonts w:ascii="Palatino Linotype" w:eastAsia="Palatino Linotype" w:hAnsi="Palatino Linotype" w:cs="Palatino Linotype"/>
          <w:color w:val="000000" w:themeColor="text1"/>
          <w:sz w:val="24"/>
          <w:szCs w:val="24"/>
        </w:rPr>
        <w:t>remitió los archivos siguientes:</w:t>
      </w:r>
    </w:p>
    <w:p w:rsidR="00F124B3" w:rsidRPr="00437DF5" w:rsidRDefault="00F124B3"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F124B3" w:rsidRPr="00437DF5" w:rsidRDefault="00F124B3" w:rsidP="00437DF5">
      <w:pPr>
        <w:pStyle w:val="Prrafodelista"/>
        <w:numPr>
          <w:ilvl w:val="0"/>
          <w:numId w:val="3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i/>
          <w:color w:val="000000" w:themeColor="text1"/>
        </w:rPr>
      </w:pPr>
      <w:r w:rsidRPr="00437DF5">
        <w:rPr>
          <w:rFonts w:ascii="Palatino Linotype" w:eastAsia="Palatino Linotype" w:hAnsi="Palatino Linotype" w:cs="Palatino Linotype"/>
          <w:b/>
          <w:i/>
          <w:color w:val="000000" w:themeColor="text1"/>
        </w:rPr>
        <w:t>ORGANIGRAMA OPDAPAS.pdf:</w:t>
      </w:r>
    </w:p>
    <w:p w:rsidR="00F124B3" w:rsidRPr="00437DF5" w:rsidRDefault="00F124B3" w:rsidP="00437DF5">
      <w:pPr>
        <w:pBdr>
          <w:top w:val="nil"/>
          <w:left w:val="nil"/>
          <w:bottom w:val="nil"/>
          <w:right w:val="nil"/>
          <w:between w:val="nil"/>
        </w:pBdr>
        <w:spacing w:line="360" w:lineRule="auto"/>
        <w:ind w:right="49"/>
        <w:jc w:val="center"/>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noProof/>
          <w:color w:val="000000" w:themeColor="text1"/>
          <w:sz w:val="24"/>
          <w:szCs w:val="24"/>
        </w:rPr>
        <w:drawing>
          <wp:inline distT="0" distB="0" distL="0" distR="0" wp14:anchorId="587CC298" wp14:editId="4CBD18F5">
            <wp:extent cx="5612130" cy="3826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26510"/>
                    </a:xfrm>
                    <a:prstGeom prst="rect">
                      <a:avLst/>
                    </a:prstGeom>
                  </pic:spPr>
                </pic:pic>
              </a:graphicData>
            </a:graphic>
          </wp:inline>
        </w:drawing>
      </w:r>
    </w:p>
    <w:p w:rsidR="00437DF5" w:rsidRDefault="00437DF5" w:rsidP="00437DF5">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b/>
          <w:i/>
          <w:color w:val="000000" w:themeColor="text1"/>
        </w:rPr>
      </w:pPr>
    </w:p>
    <w:p w:rsidR="00F124B3" w:rsidRPr="00437DF5" w:rsidRDefault="00F124B3" w:rsidP="00437DF5">
      <w:pPr>
        <w:pStyle w:val="Prrafodelista"/>
        <w:numPr>
          <w:ilvl w:val="0"/>
          <w:numId w:val="3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i/>
          <w:color w:val="000000" w:themeColor="text1"/>
        </w:rPr>
      </w:pPr>
      <w:r w:rsidRPr="00437DF5">
        <w:rPr>
          <w:rFonts w:ascii="Palatino Linotype" w:eastAsia="Palatino Linotype" w:hAnsi="Palatino Linotype" w:cs="Palatino Linotype"/>
          <w:b/>
          <w:i/>
          <w:color w:val="000000" w:themeColor="text1"/>
        </w:rPr>
        <w:t xml:space="preserve">Respuesta Recurso de Revisión 00081.PDF: </w:t>
      </w:r>
      <w:r w:rsidRPr="00437DF5">
        <w:rPr>
          <w:rFonts w:ascii="Palatino Linotype" w:eastAsia="Palatino Linotype" w:hAnsi="Palatino Linotype" w:cs="Palatino Linotype"/>
          <w:color w:val="000000" w:themeColor="text1"/>
        </w:rPr>
        <w:t>Oficio remitido en repuesta.</w:t>
      </w:r>
    </w:p>
    <w:p w:rsidR="00714C83" w:rsidRPr="00437DF5" w:rsidRDefault="00714C83" w:rsidP="00437DF5">
      <w:pPr>
        <w:pBdr>
          <w:top w:val="nil"/>
          <w:left w:val="nil"/>
          <w:bottom w:val="nil"/>
          <w:right w:val="nil"/>
          <w:between w:val="nil"/>
        </w:pBdr>
        <w:spacing w:after="0" w:line="360" w:lineRule="auto"/>
        <w:ind w:right="49"/>
        <w:rPr>
          <w:rFonts w:ascii="Palatino Linotype" w:eastAsia="Palatino Linotype" w:hAnsi="Palatino Linotype" w:cs="Palatino Linotype"/>
          <w:color w:val="000000" w:themeColor="text1"/>
          <w:sz w:val="24"/>
          <w:szCs w:val="24"/>
        </w:rPr>
      </w:pPr>
    </w:p>
    <w:p w:rsidR="00752EA3"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u w:val="single"/>
        </w:rPr>
      </w:pPr>
      <w:r w:rsidRPr="00437DF5">
        <w:rPr>
          <w:rFonts w:ascii="Palatino Linotype" w:eastAsia="Palatino Linotype" w:hAnsi="Palatino Linotype" w:cs="Palatino Linotype"/>
          <w:color w:val="000000" w:themeColor="text1"/>
          <w:sz w:val="24"/>
          <w:szCs w:val="24"/>
        </w:rPr>
        <w:t xml:space="preserve">El </w:t>
      </w:r>
      <w:r w:rsidR="00714C83" w:rsidRPr="00437DF5">
        <w:rPr>
          <w:rFonts w:ascii="Palatino Linotype" w:eastAsia="Palatino Linotype" w:hAnsi="Palatino Linotype" w:cs="Palatino Linotype"/>
          <w:b/>
          <w:color w:val="000000" w:themeColor="text1"/>
          <w:sz w:val="24"/>
          <w:szCs w:val="24"/>
        </w:rPr>
        <w:t>PARTICULAR</w:t>
      </w:r>
      <w:r w:rsidRPr="00437DF5">
        <w:rPr>
          <w:rFonts w:ascii="Palatino Linotype" w:eastAsia="Palatino Linotype" w:hAnsi="Palatino Linotype" w:cs="Palatino Linotype"/>
          <w:b/>
          <w:color w:val="000000" w:themeColor="text1"/>
          <w:sz w:val="24"/>
          <w:szCs w:val="24"/>
        </w:rPr>
        <w:t xml:space="preserve">, </w:t>
      </w:r>
      <w:r w:rsidR="00714C83" w:rsidRPr="00437DF5">
        <w:rPr>
          <w:rFonts w:ascii="Palatino Linotype" w:eastAsia="Palatino Linotype" w:hAnsi="Palatino Linotype" w:cs="Palatino Linotype"/>
          <w:color w:val="000000" w:themeColor="text1"/>
          <w:sz w:val="24"/>
          <w:szCs w:val="24"/>
        </w:rPr>
        <w:t>no se pronunció al respecto.</w:t>
      </w:r>
    </w:p>
    <w:p w:rsidR="00435854" w:rsidRPr="00437DF5" w:rsidRDefault="00435854" w:rsidP="00437DF5">
      <w:pPr>
        <w:pBdr>
          <w:top w:val="nil"/>
          <w:left w:val="nil"/>
          <w:bottom w:val="nil"/>
          <w:right w:val="nil"/>
          <w:between w:val="nil"/>
        </w:pBdr>
        <w:spacing w:after="0" w:line="360" w:lineRule="auto"/>
        <w:ind w:right="49"/>
        <w:rPr>
          <w:rFonts w:ascii="Palatino Linotype" w:eastAsia="Palatino Linotype" w:hAnsi="Palatino Linotype" w:cs="Palatino Linotype"/>
          <w:color w:val="000000" w:themeColor="text1"/>
          <w:sz w:val="24"/>
          <w:szCs w:val="24"/>
        </w:rPr>
      </w:pPr>
    </w:p>
    <w:p w:rsidR="00435854" w:rsidRPr="00437DF5" w:rsidRDefault="00243BAA"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bookmarkStart w:id="5" w:name="_heading=h.3znysh7" w:colFirst="0" w:colLast="0"/>
      <w:bookmarkEnd w:id="5"/>
      <w:r w:rsidRPr="00437DF5">
        <w:rPr>
          <w:rFonts w:ascii="Palatino Linotype" w:eastAsia="Palatino Linotype" w:hAnsi="Palatino Linotype" w:cs="Palatino Linotype"/>
          <w:color w:val="000000" w:themeColor="text1"/>
          <w:sz w:val="24"/>
          <w:szCs w:val="24"/>
        </w:rPr>
        <w:t>M</w:t>
      </w:r>
      <w:r w:rsidR="00752EA3" w:rsidRPr="00437DF5">
        <w:rPr>
          <w:rFonts w:ascii="Palatino Linotype" w:eastAsia="Palatino Linotype" w:hAnsi="Palatino Linotype" w:cs="Palatino Linotype"/>
          <w:color w:val="000000" w:themeColor="text1"/>
          <w:sz w:val="24"/>
          <w:szCs w:val="24"/>
        </w:rPr>
        <w:t xml:space="preserve">ediante acuerdo de </w:t>
      </w:r>
      <w:r w:rsidR="00F124B3" w:rsidRPr="00437DF5">
        <w:rPr>
          <w:rFonts w:ascii="Palatino Linotype" w:eastAsia="Palatino Linotype" w:hAnsi="Palatino Linotype" w:cs="Palatino Linotype"/>
          <w:b/>
          <w:color w:val="000000" w:themeColor="text1"/>
          <w:sz w:val="24"/>
          <w:szCs w:val="24"/>
        </w:rPr>
        <w:t xml:space="preserve">veintiséis </w:t>
      </w:r>
      <w:r w:rsidR="004339E6" w:rsidRPr="00437DF5">
        <w:rPr>
          <w:rFonts w:ascii="Palatino Linotype" w:eastAsia="Palatino Linotype" w:hAnsi="Palatino Linotype" w:cs="Palatino Linotype"/>
          <w:b/>
          <w:color w:val="000000" w:themeColor="text1"/>
          <w:sz w:val="24"/>
          <w:szCs w:val="24"/>
        </w:rPr>
        <w:t>de noviembre</w:t>
      </w:r>
      <w:r w:rsidR="00DF7608" w:rsidRPr="00437DF5">
        <w:rPr>
          <w:rFonts w:ascii="Palatino Linotype" w:eastAsia="Palatino Linotype" w:hAnsi="Palatino Linotype" w:cs="Palatino Linotype"/>
          <w:b/>
          <w:color w:val="000000" w:themeColor="text1"/>
          <w:sz w:val="24"/>
          <w:szCs w:val="24"/>
        </w:rPr>
        <w:t xml:space="preserve"> de dos mil veinticinco</w:t>
      </w:r>
      <w:r w:rsidR="00752EA3" w:rsidRPr="00437DF5">
        <w:rPr>
          <w:rFonts w:ascii="Palatino Linotype" w:eastAsia="Palatino Linotype" w:hAnsi="Palatino Linotype" w:cs="Palatino Linotype"/>
          <w:b/>
          <w:color w:val="000000" w:themeColor="text1"/>
          <w:sz w:val="24"/>
          <w:szCs w:val="24"/>
        </w:rPr>
        <w:t xml:space="preserve">, </w:t>
      </w:r>
      <w:r w:rsidR="00752EA3" w:rsidRPr="00437DF5">
        <w:rPr>
          <w:rFonts w:ascii="Palatino Linotype" w:eastAsia="Palatino Linotype" w:hAnsi="Palatino Linotype" w:cs="Palatino Linotype"/>
          <w:color w:val="000000" w:themeColor="text1"/>
          <w:sz w:val="24"/>
          <w:szCs w:val="24"/>
        </w:rPr>
        <w:t xml:space="preserve">se  decretó el cierre de instrucción, por lo que no habiendo más que hacer constar, </w:t>
      </w:r>
      <w:r w:rsidR="00437DF5">
        <w:rPr>
          <w:rFonts w:ascii="Palatino Linotype" w:eastAsia="Palatino Linotype" w:hAnsi="Palatino Linotype" w:cs="Palatino Linotype"/>
          <w:color w:val="000000" w:themeColor="text1"/>
          <w:sz w:val="24"/>
          <w:szCs w:val="24"/>
        </w:rPr>
        <w:t>y</w:t>
      </w:r>
    </w:p>
    <w:p w:rsidR="00435854" w:rsidRDefault="00435854" w:rsidP="00437DF5">
      <w:pPr>
        <w:pBdr>
          <w:top w:val="nil"/>
          <w:left w:val="nil"/>
          <w:bottom w:val="nil"/>
          <w:right w:val="nil"/>
          <w:between w:val="nil"/>
        </w:pBdr>
        <w:spacing w:after="0" w:line="360" w:lineRule="auto"/>
        <w:ind w:right="49"/>
        <w:rPr>
          <w:rFonts w:ascii="Palatino Linotype" w:eastAsia="Palatino Linotype" w:hAnsi="Palatino Linotype" w:cs="Palatino Linotype"/>
          <w:b/>
          <w:color w:val="000000" w:themeColor="text1"/>
          <w:sz w:val="24"/>
          <w:szCs w:val="24"/>
        </w:rPr>
      </w:pPr>
    </w:p>
    <w:p w:rsidR="00435854" w:rsidRPr="00437DF5" w:rsidRDefault="00752EA3" w:rsidP="00437DF5">
      <w:pPr>
        <w:pBdr>
          <w:top w:val="nil"/>
          <w:left w:val="nil"/>
          <w:bottom w:val="nil"/>
          <w:right w:val="nil"/>
          <w:between w:val="nil"/>
        </w:pBdr>
        <w:spacing w:after="0" w:line="360" w:lineRule="auto"/>
        <w:ind w:right="49"/>
        <w:jc w:val="center"/>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C O N S I D E R A N D O</w:t>
      </w:r>
    </w:p>
    <w:p w:rsidR="00435854" w:rsidRPr="00437DF5" w:rsidRDefault="00435854" w:rsidP="00437DF5">
      <w:pPr>
        <w:pBdr>
          <w:top w:val="nil"/>
          <w:left w:val="nil"/>
          <w:bottom w:val="nil"/>
          <w:right w:val="nil"/>
          <w:between w:val="nil"/>
        </w:pBdr>
        <w:spacing w:after="0" w:line="360" w:lineRule="auto"/>
        <w:ind w:right="49"/>
        <w:jc w:val="center"/>
        <w:rPr>
          <w:rFonts w:ascii="Palatino Linotype" w:eastAsia="Palatino Linotype" w:hAnsi="Palatino Linotype" w:cs="Palatino Linotype"/>
          <w:b/>
          <w:color w:val="000000" w:themeColor="text1"/>
          <w:sz w:val="24"/>
          <w:szCs w:val="24"/>
        </w:rPr>
      </w:pPr>
    </w:p>
    <w:p w:rsidR="00435854" w:rsidRPr="00437DF5" w:rsidRDefault="00752EA3" w:rsidP="00437DF5">
      <w:pPr>
        <w:pStyle w:val="Ttulo2"/>
        <w:spacing w:before="0" w:line="360" w:lineRule="auto"/>
        <w:ind w:right="49"/>
        <w:rPr>
          <w:rFonts w:ascii="Palatino Linotype" w:eastAsia="Palatino Linotype" w:hAnsi="Palatino Linotype" w:cs="Palatino Linotype"/>
          <w:b/>
          <w:color w:val="000000" w:themeColor="text1"/>
          <w:sz w:val="24"/>
          <w:szCs w:val="24"/>
        </w:rPr>
      </w:pPr>
      <w:bookmarkStart w:id="6" w:name="_heading=h.2et92p0" w:colFirst="0" w:colLast="0"/>
      <w:bookmarkEnd w:id="6"/>
      <w:r w:rsidRPr="00437DF5">
        <w:rPr>
          <w:rFonts w:ascii="Palatino Linotype" w:eastAsia="Palatino Linotype" w:hAnsi="Palatino Linotype" w:cs="Palatino Linotype"/>
          <w:b/>
          <w:color w:val="000000" w:themeColor="text1"/>
          <w:sz w:val="24"/>
          <w:szCs w:val="24"/>
        </w:rPr>
        <w:t>PRIMERO. De la competencia</w:t>
      </w:r>
    </w:p>
    <w:p w:rsidR="00435854"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435854" w:rsidRPr="00437DF5" w:rsidRDefault="00435854"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435854" w:rsidRPr="00437DF5" w:rsidRDefault="00752EA3" w:rsidP="00437DF5">
      <w:pPr>
        <w:pStyle w:val="Ttulo2"/>
        <w:spacing w:before="0" w:line="360" w:lineRule="auto"/>
        <w:ind w:right="49"/>
        <w:rPr>
          <w:rFonts w:ascii="Palatino Linotype" w:eastAsia="Palatino Linotype" w:hAnsi="Palatino Linotype" w:cs="Palatino Linotype"/>
          <w:b/>
          <w:color w:val="000000" w:themeColor="text1"/>
          <w:sz w:val="24"/>
          <w:szCs w:val="24"/>
        </w:rPr>
      </w:pPr>
      <w:bookmarkStart w:id="7" w:name="_heading=h.tyjcwt" w:colFirst="0" w:colLast="0"/>
      <w:bookmarkEnd w:id="7"/>
      <w:r w:rsidRPr="00437DF5">
        <w:rPr>
          <w:rFonts w:ascii="Palatino Linotype" w:eastAsia="Palatino Linotype" w:hAnsi="Palatino Linotype" w:cs="Palatino Linotype"/>
          <w:b/>
          <w:color w:val="000000" w:themeColor="text1"/>
          <w:sz w:val="24"/>
          <w:szCs w:val="24"/>
        </w:rPr>
        <w:lastRenderedPageBreak/>
        <w:t>SEGUNDO. De la oportunidad y procedencia.</w:t>
      </w:r>
    </w:p>
    <w:p w:rsidR="00435854"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medio de impugnación fue presentado a través del </w:t>
      </w:r>
      <w:r w:rsidRPr="00437DF5">
        <w:rPr>
          <w:rFonts w:ascii="Palatino Linotype" w:eastAsia="Palatino Linotype" w:hAnsi="Palatino Linotype" w:cs="Palatino Linotype"/>
          <w:b/>
          <w:color w:val="000000" w:themeColor="text1"/>
          <w:sz w:val="24"/>
          <w:szCs w:val="24"/>
        </w:rPr>
        <w:t>SAIMEX,</w:t>
      </w:r>
      <w:r w:rsidRPr="00437DF5">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entregó su respuesta el </w:t>
      </w:r>
      <w:r w:rsidR="00F124B3" w:rsidRPr="00437DF5">
        <w:rPr>
          <w:rFonts w:ascii="Palatino Linotype" w:eastAsia="Palatino Linotype" w:hAnsi="Palatino Linotype" w:cs="Palatino Linotype"/>
          <w:b/>
          <w:color w:val="000000" w:themeColor="text1"/>
          <w:sz w:val="24"/>
          <w:szCs w:val="24"/>
        </w:rPr>
        <w:t>veintinueve de octubre</w:t>
      </w:r>
      <w:r w:rsidR="004339E6" w:rsidRPr="00437DF5">
        <w:rPr>
          <w:rFonts w:ascii="Palatino Linotype" w:eastAsia="Palatino Linotype" w:hAnsi="Palatino Linotype" w:cs="Palatino Linotype"/>
          <w:b/>
          <w:color w:val="000000" w:themeColor="text1"/>
          <w:sz w:val="24"/>
          <w:szCs w:val="24"/>
        </w:rPr>
        <w:t xml:space="preserve"> de</w:t>
      </w:r>
      <w:r w:rsidR="00DF7608" w:rsidRPr="00437DF5">
        <w:rPr>
          <w:rFonts w:ascii="Palatino Linotype" w:eastAsia="Palatino Linotype" w:hAnsi="Palatino Linotype" w:cs="Palatino Linotype"/>
          <w:b/>
          <w:color w:val="000000" w:themeColor="text1"/>
          <w:sz w:val="24"/>
          <w:szCs w:val="24"/>
        </w:rPr>
        <w:t xml:space="preserve"> dos mil veinticinco</w:t>
      </w:r>
      <w:r w:rsidRPr="00437DF5">
        <w:rPr>
          <w:rFonts w:ascii="Palatino Linotype" w:eastAsia="Palatino Linotype" w:hAnsi="Palatino Linotype" w:cs="Palatino Linotype"/>
          <w:color w:val="000000" w:themeColor="text1"/>
          <w:sz w:val="24"/>
          <w:szCs w:val="24"/>
        </w:rPr>
        <w:t xml:space="preserve">, de tal forma que el plazo para interponer el recurso de revisión transcurrió del </w:t>
      </w:r>
      <w:r w:rsidR="00F124B3" w:rsidRPr="00437DF5">
        <w:rPr>
          <w:rFonts w:ascii="Palatino Linotype" w:eastAsia="Palatino Linotype" w:hAnsi="Palatino Linotype" w:cs="Palatino Linotype"/>
          <w:b/>
          <w:color w:val="000000" w:themeColor="text1"/>
          <w:sz w:val="24"/>
          <w:szCs w:val="24"/>
        </w:rPr>
        <w:t>treinta de octubre al veinte de noviembre</w:t>
      </w:r>
      <w:r w:rsidR="004339E6" w:rsidRPr="00437DF5">
        <w:rPr>
          <w:rFonts w:ascii="Palatino Linotype" w:eastAsia="Palatino Linotype" w:hAnsi="Palatino Linotype" w:cs="Palatino Linotype"/>
          <w:b/>
          <w:color w:val="000000" w:themeColor="text1"/>
          <w:sz w:val="24"/>
          <w:szCs w:val="24"/>
        </w:rPr>
        <w:t xml:space="preserve"> de dos mil </w:t>
      </w:r>
      <w:r w:rsidR="00DF7608" w:rsidRPr="00437DF5">
        <w:rPr>
          <w:rFonts w:ascii="Palatino Linotype" w:eastAsia="Palatino Linotype" w:hAnsi="Palatino Linotype" w:cs="Palatino Linotype"/>
          <w:b/>
          <w:color w:val="000000" w:themeColor="text1"/>
          <w:sz w:val="24"/>
          <w:szCs w:val="24"/>
        </w:rPr>
        <w:t>veinticinco</w:t>
      </w:r>
      <w:r w:rsidRPr="00437DF5">
        <w:rPr>
          <w:rFonts w:ascii="Palatino Linotype" w:eastAsia="Palatino Linotype" w:hAnsi="Palatino Linotype" w:cs="Palatino Linotype"/>
          <w:color w:val="000000" w:themeColor="text1"/>
          <w:sz w:val="24"/>
          <w:szCs w:val="24"/>
        </w:rPr>
        <w:t xml:space="preserve">; en consecuencia, el ahora </w:t>
      </w:r>
      <w:r w:rsidRPr="00437DF5">
        <w:rPr>
          <w:rFonts w:ascii="Palatino Linotype" w:eastAsia="Palatino Linotype" w:hAnsi="Palatino Linotype" w:cs="Palatino Linotype"/>
          <w:b/>
          <w:color w:val="000000" w:themeColor="text1"/>
          <w:sz w:val="24"/>
          <w:szCs w:val="24"/>
        </w:rPr>
        <w:t>RECURRENTE</w:t>
      </w:r>
      <w:r w:rsidRPr="00437DF5">
        <w:rPr>
          <w:rFonts w:ascii="Palatino Linotype" w:eastAsia="Palatino Linotype" w:hAnsi="Palatino Linotype" w:cs="Palatino Linotype"/>
          <w:color w:val="000000" w:themeColor="text1"/>
          <w:sz w:val="24"/>
          <w:szCs w:val="24"/>
        </w:rPr>
        <w:t xml:space="preserve"> presentó su inconformidad el </w:t>
      </w:r>
      <w:r w:rsidR="004339E6" w:rsidRPr="00437DF5">
        <w:rPr>
          <w:rFonts w:ascii="Palatino Linotype" w:eastAsia="Palatino Linotype" w:hAnsi="Palatino Linotype" w:cs="Palatino Linotype"/>
          <w:b/>
          <w:color w:val="000000" w:themeColor="text1"/>
          <w:sz w:val="24"/>
          <w:szCs w:val="24"/>
        </w:rPr>
        <w:t xml:space="preserve">cuatro </w:t>
      </w:r>
      <w:r w:rsidR="00F124B3" w:rsidRPr="00437DF5">
        <w:rPr>
          <w:rFonts w:ascii="Palatino Linotype" w:eastAsia="Palatino Linotype" w:hAnsi="Palatino Linotype" w:cs="Palatino Linotype"/>
          <w:b/>
          <w:color w:val="000000" w:themeColor="text1"/>
          <w:sz w:val="24"/>
          <w:szCs w:val="24"/>
        </w:rPr>
        <w:t xml:space="preserve">de noviembre de </w:t>
      </w:r>
      <w:r w:rsidR="00DF7608" w:rsidRPr="00437DF5">
        <w:rPr>
          <w:rFonts w:ascii="Palatino Linotype" w:eastAsia="Palatino Linotype" w:hAnsi="Palatino Linotype" w:cs="Palatino Linotype"/>
          <w:b/>
          <w:color w:val="000000" w:themeColor="text1"/>
          <w:sz w:val="24"/>
          <w:szCs w:val="24"/>
        </w:rPr>
        <w:t>dos mil veinticinco</w:t>
      </w:r>
      <w:r w:rsidRPr="00437DF5">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rsidR="00435854" w:rsidRPr="00437DF5" w:rsidRDefault="00435854"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435854" w:rsidRPr="00437DF5" w:rsidRDefault="00752EA3"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35854" w:rsidRPr="00437DF5" w:rsidRDefault="00435854" w:rsidP="00437DF5">
      <w:pPr>
        <w:pBdr>
          <w:top w:val="nil"/>
          <w:left w:val="nil"/>
          <w:bottom w:val="nil"/>
          <w:right w:val="nil"/>
          <w:between w:val="nil"/>
        </w:pBdr>
        <w:spacing w:after="0" w:line="240" w:lineRule="auto"/>
        <w:ind w:right="49"/>
        <w:rPr>
          <w:rFonts w:ascii="Palatino Linotype" w:hAnsi="Palatino Linotype"/>
          <w:color w:val="000000" w:themeColor="text1"/>
          <w:sz w:val="24"/>
          <w:szCs w:val="24"/>
        </w:rPr>
      </w:pPr>
    </w:p>
    <w:p w:rsidR="00121569" w:rsidRPr="00437DF5" w:rsidRDefault="00121569" w:rsidP="00437DF5">
      <w:pPr>
        <w:pStyle w:val="Ttulo1"/>
        <w:spacing w:before="0" w:line="360" w:lineRule="auto"/>
        <w:ind w:right="49"/>
        <w:rPr>
          <w:rFonts w:ascii="Palatino Linotype" w:eastAsia="Palatino Linotype" w:hAnsi="Palatino Linotype" w:cs="Palatino Linotype"/>
          <w:b/>
          <w:color w:val="000000" w:themeColor="text1"/>
          <w:sz w:val="24"/>
          <w:szCs w:val="24"/>
        </w:rPr>
      </w:pPr>
      <w:bookmarkStart w:id="8" w:name="_heading=h.26in1rg" w:colFirst="0" w:colLast="0"/>
      <w:bookmarkEnd w:id="8"/>
      <w:r w:rsidRPr="00437DF5">
        <w:rPr>
          <w:rFonts w:ascii="Palatino Linotype" w:eastAsia="Palatino Linotype" w:hAnsi="Palatino Linotype" w:cs="Palatino Linotype"/>
          <w:b/>
          <w:color w:val="000000" w:themeColor="text1"/>
          <w:sz w:val="24"/>
          <w:szCs w:val="24"/>
        </w:rPr>
        <w:t xml:space="preserve">TERCERO. Del planteamiento de la </w:t>
      </w:r>
      <w:r w:rsidRPr="00437DF5">
        <w:rPr>
          <w:rFonts w:ascii="Palatino Linotype" w:eastAsia="Palatino Linotype" w:hAnsi="Palatino Linotype" w:cs="Palatino Linotype"/>
          <w:b/>
          <w:i/>
          <w:color w:val="000000" w:themeColor="text1"/>
          <w:sz w:val="24"/>
          <w:szCs w:val="24"/>
        </w:rPr>
        <w:t>Litis</w:t>
      </w:r>
      <w:r w:rsidRPr="00437DF5">
        <w:rPr>
          <w:rFonts w:ascii="Palatino Linotype" w:eastAsia="Palatino Linotype" w:hAnsi="Palatino Linotype" w:cs="Palatino Linotype"/>
          <w:b/>
          <w:color w:val="000000" w:themeColor="text1"/>
          <w:sz w:val="24"/>
          <w:szCs w:val="24"/>
        </w:rPr>
        <w:t>.</w:t>
      </w: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color w:val="000000" w:themeColor="text1"/>
          <w:sz w:val="24"/>
          <w:szCs w:val="24"/>
        </w:rPr>
        <w:t>De las constancias en el expediente al rubro indicado, se desprende que el particular solicitó la información que a continuación se desagrega:</w:t>
      </w:r>
    </w:p>
    <w:p w:rsidR="00121569" w:rsidRPr="00437DF5" w:rsidRDefault="00F124B3" w:rsidP="00437DF5">
      <w:pPr>
        <w:pStyle w:val="Prrafodelista"/>
        <w:numPr>
          <w:ilvl w:val="0"/>
          <w:numId w:val="33"/>
        </w:numPr>
        <w:pBdr>
          <w:top w:val="nil"/>
          <w:left w:val="nil"/>
          <w:bottom w:val="nil"/>
          <w:right w:val="nil"/>
          <w:between w:val="nil"/>
        </w:pBdr>
        <w:spacing w:line="360" w:lineRule="auto"/>
        <w:ind w:left="0" w:right="49" w:firstLine="0"/>
        <w:jc w:val="both"/>
        <w:rPr>
          <w:rFonts w:ascii="Palatino Linotype" w:hAnsi="Palatino Linotype"/>
          <w:i/>
          <w:color w:val="000000" w:themeColor="text1"/>
        </w:rPr>
      </w:pPr>
      <w:r w:rsidRPr="00437DF5">
        <w:rPr>
          <w:rFonts w:ascii="Palatino Linotype" w:eastAsia="Palatino Linotype" w:hAnsi="Palatino Linotype" w:cs="Palatino Linotype"/>
          <w:color w:val="000000" w:themeColor="text1"/>
        </w:rPr>
        <w:t>quienes conforman la tesorería</w:t>
      </w:r>
    </w:p>
    <w:p w:rsidR="00F124B3" w:rsidRPr="00437DF5" w:rsidRDefault="00F124B3" w:rsidP="00437DF5">
      <w:pPr>
        <w:pStyle w:val="Prrafodelista"/>
        <w:pBdr>
          <w:top w:val="nil"/>
          <w:left w:val="nil"/>
          <w:bottom w:val="nil"/>
          <w:right w:val="nil"/>
          <w:between w:val="nil"/>
        </w:pBdr>
        <w:spacing w:line="360" w:lineRule="auto"/>
        <w:ind w:left="0" w:right="49"/>
        <w:jc w:val="both"/>
        <w:rPr>
          <w:rFonts w:ascii="Palatino Linotype" w:hAnsi="Palatino Linotype"/>
          <w:i/>
          <w:color w:val="000000" w:themeColor="text1"/>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En respuesta, el </w:t>
      </w:r>
      <w:r w:rsidRPr="00437DF5">
        <w:rPr>
          <w:rFonts w:ascii="Palatino Linotype" w:eastAsia="Palatino Linotype" w:hAnsi="Palatino Linotype" w:cs="Palatino Linotype"/>
          <w:b/>
          <w:color w:val="000000" w:themeColor="text1"/>
          <w:sz w:val="24"/>
          <w:szCs w:val="24"/>
        </w:rPr>
        <w:t>SUJETO OBLIGADO</w:t>
      </w:r>
      <w:r w:rsidR="00B144A4" w:rsidRPr="00437DF5">
        <w:rPr>
          <w:rFonts w:ascii="Palatino Linotype" w:eastAsia="Palatino Linotype" w:hAnsi="Palatino Linotype" w:cs="Palatino Linotype"/>
          <w:b/>
          <w:color w:val="000000" w:themeColor="text1"/>
          <w:sz w:val="24"/>
          <w:szCs w:val="24"/>
        </w:rPr>
        <w:t xml:space="preserve">, </w:t>
      </w:r>
      <w:r w:rsidR="00B144A4" w:rsidRPr="00437DF5">
        <w:rPr>
          <w:rFonts w:ascii="Palatino Linotype" w:eastAsia="Palatino Linotype" w:hAnsi="Palatino Linotype" w:cs="Palatino Linotype"/>
          <w:color w:val="000000" w:themeColor="text1"/>
          <w:sz w:val="24"/>
          <w:szCs w:val="24"/>
        </w:rPr>
        <w:t>se</w:t>
      </w:r>
      <w:r w:rsidRPr="00437DF5">
        <w:rPr>
          <w:rFonts w:ascii="Palatino Linotype" w:eastAsia="Palatino Linotype" w:hAnsi="Palatino Linotype" w:cs="Palatino Linotype"/>
          <w:color w:val="000000" w:themeColor="text1"/>
          <w:sz w:val="24"/>
          <w:szCs w:val="24"/>
        </w:rPr>
        <w:t xml:space="preserve"> pronunció como quedo referido ene el numeral 2 de la presente resolución. </w:t>
      </w:r>
    </w:p>
    <w:p w:rsidR="00121569" w:rsidRPr="00437DF5" w:rsidRDefault="00121569"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hAnsi="Palatino Linotype"/>
          <w:color w:val="000000" w:themeColor="text1"/>
          <w:sz w:val="24"/>
          <w:szCs w:val="24"/>
        </w:rPr>
        <w:lastRenderedPageBreak/>
        <w:t xml:space="preserve">No conforme con la respuesta proporcionada, el </w:t>
      </w:r>
      <w:r w:rsidRPr="00437DF5">
        <w:rPr>
          <w:rFonts w:ascii="Palatino Linotype" w:hAnsi="Palatino Linotype"/>
          <w:b/>
          <w:color w:val="000000" w:themeColor="text1"/>
          <w:sz w:val="24"/>
          <w:szCs w:val="24"/>
        </w:rPr>
        <w:t xml:space="preserve">RECURRENTE, </w:t>
      </w:r>
      <w:r w:rsidRPr="00437DF5">
        <w:rPr>
          <w:rFonts w:ascii="Palatino Linotype" w:hAnsi="Palatino Linotype"/>
          <w:color w:val="000000" w:themeColor="text1"/>
          <w:sz w:val="24"/>
          <w:szCs w:val="24"/>
        </w:rPr>
        <w:t>interpuso recurso de revisión arguyendo medularmente la negativa de la entrega de la información solicitada.</w:t>
      </w:r>
    </w:p>
    <w:p w:rsidR="00121569" w:rsidRPr="00437DF5" w:rsidRDefault="00121569" w:rsidP="00437DF5">
      <w:pPr>
        <w:pBdr>
          <w:top w:val="nil"/>
          <w:left w:val="nil"/>
          <w:bottom w:val="nil"/>
          <w:right w:val="nil"/>
          <w:between w:val="nil"/>
        </w:pBdr>
        <w:spacing w:line="360" w:lineRule="auto"/>
        <w:ind w:right="49"/>
        <w:jc w:val="both"/>
        <w:rPr>
          <w:rFonts w:ascii="Palatino Linotype" w:hAnsi="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En dichas condiciones, la </w:t>
      </w:r>
      <w:r w:rsidRPr="00437DF5">
        <w:rPr>
          <w:rFonts w:ascii="Palatino Linotype" w:eastAsia="Palatino Linotype" w:hAnsi="Palatino Linotype" w:cs="Palatino Linotype"/>
          <w:i/>
          <w:color w:val="000000" w:themeColor="text1"/>
          <w:sz w:val="24"/>
          <w:szCs w:val="24"/>
        </w:rPr>
        <w:t>Litis</w:t>
      </w:r>
      <w:r w:rsidRPr="00437DF5">
        <w:rPr>
          <w:rFonts w:ascii="Palatino Linotype" w:eastAsia="Palatino Linotype" w:hAnsi="Palatino Linotype" w:cs="Palatino Linotype"/>
          <w:color w:val="000000" w:themeColor="text1"/>
          <w:sz w:val="24"/>
          <w:szCs w:val="24"/>
        </w:rPr>
        <w:t xml:space="preserve"> a resolver en estos recursos se circunscribe a determinar si se actualizan las causales de procedencia previstas en el artículo 179, </w:t>
      </w:r>
      <w:r w:rsidRPr="00437DF5">
        <w:rPr>
          <w:rFonts w:ascii="Palatino Linotype" w:eastAsia="Palatino Linotype" w:hAnsi="Palatino Linotype" w:cs="Palatino Linotype"/>
          <w:b/>
          <w:color w:val="000000" w:themeColor="text1"/>
          <w:sz w:val="24"/>
          <w:szCs w:val="24"/>
        </w:rPr>
        <w:t xml:space="preserve">fracción I </w:t>
      </w:r>
      <w:r w:rsidRPr="00437DF5">
        <w:rPr>
          <w:rFonts w:ascii="Palatino Linotype" w:eastAsia="Palatino Linotype" w:hAnsi="Palatino Linotype" w:cs="Palatino Linotype"/>
          <w:color w:val="000000" w:themeColor="text1"/>
          <w:sz w:val="24"/>
          <w:szCs w:val="24"/>
        </w:rPr>
        <w:t>de la Ley</w:t>
      </w:r>
      <w:r w:rsidRPr="00437DF5">
        <w:rPr>
          <w:rFonts w:ascii="Palatino Linotype" w:eastAsia="Palatino Linotype" w:hAnsi="Palatino Linotype" w:cs="Palatino Linotype"/>
          <w:b/>
          <w:color w:val="000000" w:themeColor="text1"/>
          <w:sz w:val="24"/>
          <w:szCs w:val="24"/>
        </w:rPr>
        <w:t xml:space="preserve"> de Transparencia y Acceso a la Información Pública del Estado de </w:t>
      </w:r>
      <w:r w:rsidRPr="00437DF5">
        <w:rPr>
          <w:rFonts w:ascii="Palatino Linotype" w:eastAsia="Palatino Linotype" w:hAnsi="Palatino Linotype" w:cs="Palatino Linotype"/>
          <w:color w:val="000000" w:themeColor="text1"/>
          <w:sz w:val="24"/>
          <w:szCs w:val="24"/>
        </w:rPr>
        <w:t>México</w:t>
      </w:r>
      <w:r w:rsidRPr="00437DF5">
        <w:rPr>
          <w:rFonts w:ascii="Palatino Linotype" w:eastAsia="Palatino Linotype" w:hAnsi="Palatino Linotype" w:cs="Palatino Linotype"/>
          <w:b/>
          <w:color w:val="000000" w:themeColor="text1"/>
          <w:sz w:val="24"/>
          <w:szCs w:val="24"/>
        </w:rPr>
        <w:t xml:space="preserve"> y Municipios</w:t>
      </w:r>
      <w:r w:rsidRPr="00437DF5">
        <w:rPr>
          <w:rFonts w:ascii="Palatino Linotype" w:eastAsia="Palatino Linotype" w:hAnsi="Palatino Linotype" w:cs="Palatino Linotype"/>
          <w:color w:val="000000" w:themeColor="text1"/>
          <w:sz w:val="24"/>
          <w:szCs w:val="24"/>
        </w:rPr>
        <w:t xml:space="preserve">; fracción que determina la hipótesis jurídica relativa a la negativa a la información solicitada; contexto del cual se dolió </w:t>
      </w:r>
      <w:r w:rsidRPr="00437DF5">
        <w:rPr>
          <w:rFonts w:ascii="Palatino Linotype" w:eastAsia="Palatino Linotype" w:hAnsi="Palatino Linotype" w:cs="Palatino Linotype"/>
          <w:b/>
          <w:color w:val="000000" w:themeColor="text1"/>
          <w:sz w:val="24"/>
          <w:szCs w:val="24"/>
        </w:rPr>
        <w:t xml:space="preserve">EL RECURRENTE </w:t>
      </w:r>
      <w:r w:rsidRPr="00437DF5">
        <w:rPr>
          <w:rFonts w:ascii="Palatino Linotype" w:eastAsia="Palatino Linotype" w:hAnsi="Palatino Linotype" w:cs="Palatino Linotype"/>
          <w:color w:val="000000" w:themeColor="text1"/>
          <w:sz w:val="24"/>
          <w:szCs w:val="24"/>
        </w:rPr>
        <w:t>al momento de interponer su inconformidad.</w:t>
      </w:r>
    </w:p>
    <w:p w:rsidR="00121569" w:rsidRPr="00437DF5" w:rsidRDefault="00121569" w:rsidP="00437D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con su respuesta ciertamente actualiza la causal de procedencia</w:t>
      </w:r>
      <w:r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21569" w:rsidRPr="00437DF5" w:rsidRDefault="00121569" w:rsidP="00437DF5">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sz w:val="24"/>
          <w:szCs w:val="24"/>
        </w:rPr>
      </w:pPr>
    </w:p>
    <w:p w:rsidR="00121569" w:rsidRPr="00437DF5" w:rsidRDefault="00121569" w:rsidP="00437DF5">
      <w:pPr>
        <w:keepNext/>
        <w:keepLines/>
        <w:spacing w:line="360" w:lineRule="auto"/>
        <w:ind w:right="49"/>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CUARTO. Del estudio y resolución del estudio.</w:t>
      </w:r>
    </w:p>
    <w:p w:rsidR="00121569" w:rsidRPr="00437DF5" w:rsidRDefault="00121569" w:rsidP="00437DF5">
      <w:pPr>
        <w:keepNext/>
        <w:keepLines/>
        <w:numPr>
          <w:ilvl w:val="0"/>
          <w:numId w:val="27"/>
        </w:numPr>
        <w:spacing w:after="240" w:line="360" w:lineRule="auto"/>
        <w:ind w:left="0" w:right="49" w:firstLine="0"/>
        <w:rPr>
          <w:rFonts w:ascii="Palatino Linotype" w:eastAsia="Palatino Linotype" w:hAnsi="Palatino Linotype" w:cs="Palatino Linotype"/>
          <w:b/>
          <w:color w:val="000000" w:themeColor="text1"/>
          <w:sz w:val="24"/>
          <w:szCs w:val="24"/>
        </w:rPr>
      </w:pPr>
      <w:bookmarkStart w:id="9" w:name="_heading=h.17dp8vu" w:colFirst="0" w:colLast="0"/>
      <w:bookmarkEnd w:id="9"/>
      <w:r w:rsidRPr="00437DF5">
        <w:rPr>
          <w:rFonts w:ascii="Palatino Linotype" w:eastAsia="Palatino Linotype" w:hAnsi="Palatino Linotype" w:cs="Palatino Linotype"/>
          <w:b/>
          <w:color w:val="000000" w:themeColor="text1"/>
          <w:sz w:val="24"/>
          <w:szCs w:val="24"/>
        </w:rPr>
        <w:t>Del derecho de acceso a la información.</w:t>
      </w: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Derecho de Acceso a la Información Pública, es un derecho humano reconocido en el Pacto de Derechos Civiles y Políticos en su artículo 19.2; en la Convención Americana sobre </w:t>
      </w:r>
      <w:r w:rsidRPr="00437DF5">
        <w:rPr>
          <w:rFonts w:ascii="Palatino Linotype" w:eastAsia="Palatino Linotype" w:hAnsi="Palatino Linotype" w:cs="Palatino Linotype"/>
          <w:color w:val="000000" w:themeColor="text1"/>
          <w:sz w:val="24"/>
          <w:szCs w:val="24"/>
        </w:rPr>
        <w:lastRenderedPageBreak/>
        <w:t xml:space="preserve">Derechos Humanos en su artículo 13.1; en el artículo sexto de la Constitución Política de los Estados Unidos Mexicanos y en el artículo quinto de la Particular del Estado de México. </w:t>
      </w:r>
    </w:p>
    <w:p w:rsidR="00121569" w:rsidRPr="00437DF5" w:rsidRDefault="00121569" w:rsidP="00437DF5">
      <w:pPr>
        <w:pBdr>
          <w:top w:val="nil"/>
          <w:left w:val="nil"/>
          <w:bottom w:val="nil"/>
          <w:right w:val="nil"/>
          <w:between w:val="nil"/>
        </w:pBdr>
        <w:spacing w:after="0" w:line="360" w:lineRule="auto"/>
        <w:ind w:right="49"/>
        <w:jc w:val="both"/>
        <w:rPr>
          <w:rFonts w:ascii="Palatino Linotype" w:hAnsi="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Definiendo el Derecho de Acceso a la Información Pública como: </w:t>
      </w:r>
      <w:r w:rsidRPr="00437DF5">
        <w:rPr>
          <w:rFonts w:ascii="Palatino Linotype" w:eastAsia="Palatino Linotype" w:hAnsi="Palatino Linotype" w:cs="Palatino Linotype"/>
          <w:i/>
          <w:color w:val="000000" w:themeColor="text1"/>
          <w:sz w:val="24"/>
          <w:szCs w:val="24"/>
        </w:rPr>
        <w:t>La igualdad de oportunidades para recibir, buscar e impartir información</w:t>
      </w:r>
      <w:r w:rsidRPr="00437DF5">
        <w:rPr>
          <w:rFonts w:ascii="Palatino Linotype" w:eastAsia="Palatino Linotype" w:hAnsi="Palatino Linotype" w:cs="Palatino Linotype"/>
          <w:i/>
          <w:color w:val="000000" w:themeColor="text1"/>
          <w:sz w:val="24"/>
          <w:szCs w:val="24"/>
          <w:vertAlign w:val="superscript"/>
        </w:rPr>
        <w:footnoteReference w:id="1"/>
      </w:r>
      <w:r w:rsidRPr="00437DF5">
        <w:rPr>
          <w:rFonts w:ascii="Palatino Linotype" w:eastAsia="Palatino Linotype" w:hAnsi="Palatino Linotype" w:cs="Palatino Linotype"/>
          <w:i/>
          <w:color w:val="000000" w:themeColor="text1"/>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37DF5">
        <w:rPr>
          <w:rFonts w:ascii="Palatino Linotype" w:eastAsia="Palatino Linotype" w:hAnsi="Palatino Linotype" w:cs="Palatino Linotype"/>
          <w:i/>
          <w:color w:val="000000" w:themeColor="text1"/>
          <w:sz w:val="24"/>
          <w:szCs w:val="24"/>
          <w:vertAlign w:val="superscript"/>
        </w:rPr>
        <w:footnoteReference w:id="2"/>
      </w:r>
      <w:r w:rsidRPr="00437DF5">
        <w:rPr>
          <w:rFonts w:ascii="Palatino Linotype" w:eastAsia="Palatino Linotype" w:hAnsi="Palatino Linotype" w:cs="Palatino Linotype"/>
          <w:color w:val="000000" w:themeColor="text1"/>
          <w:sz w:val="24"/>
          <w:szCs w:val="24"/>
        </w:rPr>
        <w:t>que se constituye como una herramienta fundamental para ejercer</w:t>
      </w:r>
      <w:r w:rsidRPr="00437DF5">
        <w:rPr>
          <w:rFonts w:ascii="Palatino Linotype" w:eastAsia="Palatino Linotype" w:hAnsi="Palatino Linotype" w:cs="Palatino Linotype"/>
          <w:i/>
          <w:color w:val="000000" w:themeColor="text1"/>
          <w:sz w:val="24"/>
          <w:szCs w:val="24"/>
        </w:rPr>
        <w:t xml:space="preserve"> el control democrático de las gestiones estatales, de forma tal que puedan cuestionar, indagar y considerar si se está dando un adecuado cumplimiento a las funciones públicas,</w:t>
      </w:r>
      <w:r w:rsidRPr="00437DF5">
        <w:rPr>
          <w:rFonts w:ascii="Palatino Linotype" w:eastAsia="Palatino Linotype" w:hAnsi="Palatino Linotype" w:cs="Palatino Linotype"/>
          <w:i/>
          <w:color w:val="000000" w:themeColor="text1"/>
          <w:sz w:val="24"/>
          <w:szCs w:val="24"/>
          <w:vertAlign w:val="superscript"/>
        </w:rPr>
        <w:footnoteReference w:id="3"/>
      </w:r>
      <w:r w:rsidRPr="00437DF5">
        <w:rPr>
          <w:rFonts w:ascii="Palatino Linotype" w:eastAsia="Palatino Linotype" w:hAnsi="Palatino Linotype" w:cs="Palatino Linotype"/>
          <w:color w:val="000000" w:themeColor="text1"/>
          <w:sz w:val="24"/>
          <w:szCs w:val="24"/>
        </w:rPr>
        <w:t>fomentando</w:t>
      </w:r>
      <w:r w:rsidRPr="00437DF5">
        <w:rPr>
          <w:rFonts w:ascii="Palatino Linotype" w:eastAsia="Palatino Linotype" w:hAnsi="Palatino Linotype" w:cs="Palatino Linotype"/>
          <w:i/>
          <w:color w:val="000000" w:themeColor="text1"/>
          <w:sz w:val="24"/>
          <w:szCs w:val="24"/>
        </w:rPr>
        <w:t xml:space="preserve"> la transparencia de las actividades estatales y </w:t>
      </w:r>
      <w:r w:rsidRPr="00437DF5">
        <w:rPr>
          <w:rFonts w:ascii="Palatino Linotype" w:eastAsia="Palatino Linotype" w:hAnsi="Palatino Linotype" w:cs="Palatino Linotype"/>
          <w:color w:val="000000" w:themeColor="text1"/>
          <w:sz w:val="24"/>
          <w:szCs w:val="24"/>
        </w:rPr>
        <w:t>promoviendo</w:t>
      </w:r>
      <w:r w:rsidRPr="00437DF5">
        <w:rPr>
          <w:rFonts w:ascii="Palatino Linotype" w:eastAsia="Palatino Linotype" w:hAnsi="Palatino Linotype" w:cs="Palatino Linotype"/>
          <w:i/>
          <w:color w:val="000000" w:themeColor="text1"/>
          <w:sz w:val="24"/>
          <w:szCs w:val="24"/>
        </w:rPr>
        <w:t xml:space="preserve"> la responsabilidad de los funcionarios sobre su gestión pública,</w:t>
      </w:r>
      <w:r w:rsidRPr="00437DF5">
        <w:rPr>
          <w:rFonts w:ascii="Palatino Linotype" w:eastAsia="Palatino Linotype" w:hAnsi="Palatino Linotype" w:cs="Palatino Linotype"/>
          <w:i/>
          <w:color w:val="000000" w:themeColor="text1"/>
          <w:sz w:val="24"/>
          <w:szCs w:val="24"/>
          <w:vertAlign w:val="superscript"/>
        </w:rPr>
        <w:footnoteReference w:id="4"/>
      </w:r>
      <w:r w:rsidRPr="00437DF5">
        <w:rPr>
          <w:rFonts w:ascii="Palatino Linotype" w:eastAsia="Palatino Linotype" w:hAnsi="Palatino Linotype" w:cs="Palatino Linotype"/>
          <w:color w:val="000000" w:themeColor="text1"/>
          <w:sz w:val="24"/>
          <w:szCs w:val="24"/>
        </w:rPr>
        <w:t>que permite</w:t>
      </w:r>
      <w:r w:rsidRPr="00437DF5">
        <w:rPr>
          <w:rFonts w:ascii="Palatino Linotype" w:eastAsia="Palatino Linotype" w:hAnsi="Palatino Linotype" w:cs="Palatino Linotype"/>
          <w:i/>
          <w:color w:val="000000" w:themeColor="text1"/>
          <w:sz w:val="24"/>
          <w:szCs w:val="24"/>
        </w:rPr>
        <w:t xml:space="preserve"> saber qué están haciendo los gobiernos por sus pueblos, sin lo cual la verdad languidecería y la participación en el gobierno permanecería fragmentada.</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En México, además de los derechos, están reconocidas las garantías para su protección, en ese sentido el párrafo tercero de artículo primero de la Constitución Política de los Estados Unidos Mexicanos dispone lo siguiente:</w:t>
      </w:r>
    </w:p>
    <w:p w:rsidR="00121569" w:rsidRPr="00437DF5" w:rsidRDefault="0012156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w:t>
      </w:r>
      <w:r w:rsidRPr="00437DF5">
        <w:rPr>
          <w:rFonts w:ascii="Palatino Linotype" w:eastAsia="Palatino Linotype" w:hAnsi="Palatino Linotype" w:cs="Palatino Linotype"/>
          <w:b/>
          <w:i/>
          <w:color w:val="000000" w:themeColor="text1"/>
          <w:sz w:val="24"/>
          <w:szCs w:val="24"/>
        </w:rPr>
        <w:t>Artículo 1.-</w:t>
      </w:r>
      <w:r w:rsidRPr="00437DF5">
        <w:rPr>
          <w:rFonts w:ascii="Palatino Linotype" w:eastAsia="Palatino Linotype" w:hAnsi="Palatino Linotype" w:cs="Palatino Linotype"/>
          <w:i/>
          <w:color w:val="000000" w:themeColor="text1"/>
          <w:sz w:val="24"/>
          <w:szCs w:val="24"/>
        </w:rPr>
        <w:t xml:space="preserve"> </w:t>
      </w:r>
    </w:p>
    <w:p w:rsidR="00121569" w:rsidRPr="00437DF5" w:rsidRDefault="0012156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121569" w:rsidRPr="00437DF5" w:rsidRDefault="0012156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Todas las</w:t>
      </w:r>
      <w:r w:rsidRPr="00437DF5">
        <w:rPr>
          <w:rFonts w:ascii="Palatino Linotype" w:eastAsia="Palatino Linotype" w:hAnsi="Palatino Linotype" w:cs="Palatino Linotype"/>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21569" w:rsidRPr="00437DF5" w:rsidRDefault="0012156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w:t>
      </w:r>
      <w:r w:rsidRPr="00437DF5">
        <w:rPr>
          <w:rFonts w:ascii="Palatino Linotype" w:eastAsia="Palatino Linotype" w:hAnsi="Palatino Linotype" w:cs="Palatino Linotype"/>
          <w:color w:val="000000" w:themeColor="text1"/>
          <w:sz w:val="24"/>
          <w:szCs w:val="24"/>
        </w:rPr>
        <w:t>”.</w:t>
      </w:r>
    </w:p>
    <w:p w:rsidR="00121569" w:rsidRPr="00437DF5" w:rsidRDefault="00121569" w:rsidP="00437DF5">
      <w:pPr>
        <w:ind w:right="49"/>
        <w:jc w:val="both"/>
        <w:rPr>
          <w:rFonts w:ascii="Palatino Linotype" w:eastAsia="Palatino Linotype" w:hAnsi="Palatino Linotype" w:cs="Palatino Linotype"/>
          <w:b/>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21569" w:rsidRPr="00437DF5" w:rsidRDefault="00121569" w:rsidP="00437DF5">
      <w:pPr>
        <w:spacing w:after="240"/>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Constitución Política de los Estados Unidos Mexicanos</w:t>
      </w:r>
    </w:p>
    <w:p w:rsidR="00121569" w:rsidRPr="00437DF5" w:rsidRDefault="00121569" w:rsidP="00437DF5">
      <w:pPr>
        <w:spacing w:before="240" w:after="240"/>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6.</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Para efectos de lo dispuesto en el presente artículo se observará lo siguiente:</w:t>
      </w:r>
    </w:p>
    <w:p w:rsidR="00121569" w:rsidRPr="00437DF5" w:rsidRDefault="00121569" w:rsidP="00437DF5">
      <w:pPr>
        <w:spacing w:before="240" w:after="240"/>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lastRenderedPageBreak/>
        <w:t>A</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Para el ejercicio del derecho de acceso a la información</w:t>
      </w:r>
      <w:r w:rsidRPr="00437DF5">
        <w:rPr>
          <w:rFonts w:ascii="Palatino Linotype" w:eastAsia="Palatino Linotype" w:hAnsi="Palatino Linotype" w:cs="Palatino Linotype"/>
          <w:i/>
          <w:color w:val="000000" w:themeColor="text1"/>
          <w:sz w:val="24"/>
          <w:szCs w:val="24"/>
        </w:rPr>
        <w:t xml:space="preserve">, la Federación y </w:t>
      </w:r>
      <w:r w:rsidRPr="00437DF5">
        <w:rPr>
          <w:rFonts w:ascii="Palatino Linotype" w:eastAsia="Palatino Linotype" w:hAnsi="Palatino Linotype" w:cs="Palatino Linotype"/>
          <w:b/>
          <w:i/>
          <w:color w:val="000000" w:themeColor="text1"/>
          <w:sz w:val="24"/>
          <w:szCs w:val="24"/>
        </w:rPr>
        <w:t>las entidades federativas, en el ámbito de sus respectivas competencias, se regirán por los siguientes principios y bases:</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I. </w:t>
      </w:r>
      <w:r w:rsidRPr="00437DF5">
        <w:rPr>
          <w:rFonts w:ascii="Palatino Linotype" w:eastAsia="Palatino Linotype" w:hAnsi="Palatino Linotype" w:cs="Palatino Linotype"/>
          <w:b/>
          <w:i/>
          <w:color w:val="000000" w:themeColor="text1"/>
          <w:sz w:val="24"/>
          <w:szCs w:val="24"/>
        </w:rPr>
        <w:tab/>
        <w:t>Toda la información en posesión de cualquier</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autoridad</w:t>
      </w:r>
      <w:r w:rsidRPr="00437DF5">
        <w:rPr>
          <w:rFonts w:ascii="Palatino Linotype" w:eastAsia="Palatino Linotype" w:hAnsi="Palatino Linotype" w:cs="Palatino Linotype"/>
          <w:i/>
          <w:color w:val="000000" w:themeColor="text1"/>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37DF5">
        <w:rPr>
          <w:rFonts w:ascii="Palatino Linotype" w:eastAsia="Palatino Linotype" w:hAnsi="Palatino Linotype" w:cs="Palatino Linotype"/>
          <w:b/>
          <w:i/>
          <w:color w:val="000000" w:themeColor="text1"/>
          <w:sz w:val="24"/>
          <w:szCs w:val="24"/>
        </w:rPr>
        <w:t>municipal</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es pública</w:t>
      </w:r>
      <w:r w:rsidRPr="00437DF5">
        <w:rPr>
          <w:rFonts w:ascii="Palatino Linotype" w:eastAsia="Palatino Linotype" w:hAnsi="Palatino Linotype" w:cs="Palatino Linotype"/>
          <w:i/>
          <w:color w:val="000000" w:themeColor="text1"/>
          <w:sz w:val="24"/>
          <w:szCs w:val="24"/>
        </w:rPr>
        <w:t xml:space="preserve"> y sólo podrá ser reservada temporalmente por razones de interés público y seguridad nacional, en los términos que fijen las leyes. </w:t>
      </w:r>
      <w:r w:rsidRPr="00437DF5">
        <w:rPr>
          <w:rFonts w:ascii="Palatino Linotype" w:eastAsia="Palatino Linotype" w:hAnsi="Palatino Linotype" w:cs="Palatino Linotype"/>
          <w:b/>
          <w:i/>
          <w:color w:val="000000" w:themeColor="text1"/>
          <w:sz w:val="24"/>
          <w:szCs w:val="24"/>
        </w:rPr>
        <w:t>En la interpretación de este derecho deberá prevalecer el principio de máxima publicidad. Los sujetos obligados deberán documentar todo acto que derive del ejercicio de sus facultades, competencias o funciones</w:t>
      </w:r>
      <w:r w:rsidRPr="00437DF5">
        <w:rPr>
          <w:rFonts w:ascii="Palatino Linotype" w:eastAsia="Palatino Linotype" w:hAnsi="Palatino Linotype" w:cs="Palatino Linotype"/>
          <w:i/>
          <w:color w:val="000000" w:themeColor="text1"/>
          <w:sz w:val="24"/>
          <w:szCs w:val="24"/>
        </w:rPr>
        <w:t>, la ley determinará los supuestos específicos bajo los cuales procederá la declaración de inexistencia de la información.”</w:t>
      </w:r>
    </w:p>
    <w:p w:rsidR="00121569" w:rsidRPr="00437DF5" w:rsidRDefault="00121569" w:rsidP="00437DF5">
      <w:pPr>
        <w:pBdr>
          <w:top w:val="nil"/>
          <w:left w:val="nil"/>
          <w:bottom w:val="nil"/>
          <w:right w:val="nil"/>
          <w:between w:val="nil"/>
        </w:pBdr>
        <w:tabs>
          <w:tab w:val="left" w:pos="567"/>
        </w:tabs>
        <w:spacing w:before="240" w:after="240"/>
        <w:ind w:right="49"/>
        <w:jc w:val="both"/>
        <w:rPr>
          <w:rFonts w:ascii="Palatino Linotype" w:eastAsia="Palatino Linotype" w:hAnsi="Palatino Linotype" w:cs="Palatino Linotype"/>
          <w:b/>
          <w:i/>
          <w:color w:val="000000" w:themeColor="text1"/>
          <w:sz w:val="24"/>
          <w:szCs w:val="24"/>
        </w:rPr>
      </w:pPr>
    </w:p>
    <w:p w:rsidR="00121569" w:rsidRPr="00437DF5" w:rsidRDefault="00121569" w:rsidP="00437DF5">
      <w:pPr>
        <w:spacing w:before="240" w:after="240"/>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Constitución Política del Estado Libre y Soberano de México</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5</w:t>
      </w:r>
      <w:r w:rsidRPr="00437DF5">
        <w:rPr>
          <w:rFonts w:ascii="Palatino Linotype" w:eastAsia="Palatino Linotype" w:hAnsi="Palatino Linotype" w:cs="Palatino Linotype"/>
          <w:i/>
          <w:color w:val="000000" w:themeColor="text1"/>
          <w:sz w:val="24"/>
          <w:szCs w:val="24"/>
        </w:rPr>
        <w:t xml:space="preserve">.- </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El derecho a la información será garantizado por el Estado. La ley establecerá las previsiones que permitan asegurar la protección, el respeto y la difusión de este derecho</w:t>
      </w:r>
      <w:r w:rsidRPr="00437DF5">
        <w:rPr>
          <w:rFonts w:ascii="Palatino Linotype" w:eastAsia="Palatino Linotype" w:hAnsi="Palatino Linotype" w:cs="Palatino Linotype"/>
          <w:i/>
          <w:color w:val="000000" w:themeColor="text1"/>
          <w:sz w:val="24"/>
          <w:szCs w:val="24"/>
        </w:rPr>
        <w:t>.</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Este derecho se regirá por los principios y bases siguientes</w:t>
      </w:r>
      <w:r w:rsidRPr="00437DF5">
        <w:rPr>
          <w:rFonts w:ascii="Palatino Linotype" w:eastAsia="Palatino Linotype" w:hAnsi="Palatino Linotype" w:cs="Palatino Linotype"/>
          <w:i/>
          <w:color w:val="000000" w:themeColor="text1"/>
          <w:sz w:val="24"/>
          <w:szCs w:val="24"/>
        </w:rPr>
        <w:t>:</w:t>
      </w:r>
    </w:p>
    <w:p w:rsidR="00121569" w:rsidRPr="00437DF5" w:rsidRDefault="00121569" w:rsidP="00437DF5">
      <w:pPr>
        <w:spacing w:before="240" w:after="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I. Toda la información en posesión de cualquier autoridad, entidad, órgano y organismos de los</w:t>
      </w:r>
      <w:r w:rsidRPr="00437DF5">
        <w:rPr>
          <w:rFonts w:ascii="Palatino Linotype" w:eastAsia="Palatino Linotype" w:hAnsi="Palatino Linotype" w:cs="Palatino Linotype"/>
          <w:i/>
          <w:color w:val="000000" w:themeColor="text1"/>
          <w:sz w:val="24"/>
          <w:szCs w:val="24"/>
        </w:rPr>
        <w:t xml:space="preserve"> Poderes Ejecutivo, Legislativo y Judicial, órganos autónomos, partidos políticos, fideicomisos y fondos públicos estatales y </w:t>
      </w:r>
      <w:r w:rsidRPr="00437DF5">
        <w:rPr>
          <w:rFonts w:ascii="Palatino Linotype" w:eastAsia="Palatino Linotype" w:hAnsi="Palatino Linotype" w:cs="Palatino Linotype"/>
          <w:b/>
          <w:i/>
          <w:color w:val="000000" w:themeColor="text1"/>
          <w:sz w:val="24"/>
          <w:szCs w:val="24"/>
        </w:rPr>
        <w:t>municipales</w:t>
      </w:r>
      <w:r w:rsidRPr="00437DF5">
        <w:rPr>
          <w:rFonts w:ascii="Palatino Linotype" w:eastAsia="Palatino Linotype" w:hAnsi="Palatino Linotype" w:cs="Palatino Linotype"/>
          <w:i/>
          <w:color w:val="000000" w:themeColor="text1"/>
          <w:sz w:val="24"/>
          <w:szCs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w:t>
      </w:r>
      <w:r w:rsidRPr="00437DF5">
        <w:rPr>
          <w:rFonts w:ascii="Palatino Linotype" w:eastAsia="Palatino Linotype" w:hAnsi="Palatino Linotype" w:cs="Palatino Linotype"/>
          <w:i/>
          <w:color w:val="000000" w:themeColor="text1"/>
          <w:sz w:val="24"/>
          <w:szCs w:val="24"/>
        </w:rPr>
        <w:lastRenderedPageBreak/>
        <w:t xml:space="preserve">municipal, </w:t>
      </w:r>
      <w:r w:rsidRPr="00437DF5">
        <w:rPr>
          <w:rFonts w:ascii="Palatino Linotype" w:eastAsia="Palatino Linotype" w:hAnsi="Palatino Linotype" w:cs="Palatino Linotype"/>
          <w:b/>
          <w:i/>
          <w:color w:val="000000" w:themeColor="text1"/>
          <w:sz w:val="24"/>
          <w:szCs w:val="24"/>
        </w:rPr>
        <w:t>es pública</w:t>
      </w:r>
      <w:r w:rsidRPr="00437DF5">
        <w:rPr>
          <w:rFonts w:ascii="Palatino Linotype" w:eastAsia="Palatino Linotype" w:hAnsi="Palatino Linotype" w:cs="Palatino Linotype"/>
          <w:i/>
          <w:color w:val="000000" w:themeColor="text1"/>
          <w:sz w:val="24"/>
          <w:szCs w:val="24"/>
        </w:rPr>
        <w:t xml:space="preserve"> y sólo podrá ser reservada temporalmente por razones previstas en la Constitución Política de los Estados Unidos Mexicanos de interés público y seguridad, en los términos que fijen las leyes. </w:t>
      </w:r>
      <w:r w:rsidRPr="00437DF5">
        <w:rPr>
          <w:rFonts w:ascii="Palatino Linotype" w:eastAsia="Palatino Linotype" w:hAnsi="Palatino Linotype" w:cs="Palatino Linotype"/>
          <w:b/>
          <w:i/>
          <w:color w:val="000000" w:themeColor="text1"/>
          <w:sz w:val="24"/>
          <w:szCs w:val="24"/>
        </w:rPr>
        <w:t>En la interpretación de este derecho deberá prevalecer el principio de máxima publicidad</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Los sujetos obligados deberán documentar todo acto que derive del ejercicio de sus facultades, competencias o funciones</w:t>
      </w:r>
      <w:r w:rsidRPr="00437DF5">
        <w:rPr>
          <w:rFonts w:ascii="Palatino Linotype" w:eastAsia="Palatino Linotype" w:hAnsi="Palatino Linotype" w:cs="Palatino Linotype"/>
          <w:i/>
          <w:color w:val="000000" w:themeColor="text1"/>
          <w:sz w:val="24"/>
          <w:szCs w:val="24"/>
        </w:rPr>
        <w:t>, la ley determinará los supuestos específicos bajo los cuales procederá la declaración de inexistencia de la información.”</w:t>
      </w:r>
    </w:p>
    <w:p w:rsidR="00121569" w:rsidRPr="00437DF5" w:rsidRDefault="00121569" w:rsidP="00437DF5">
      <w:pPr>
        <w:tabs>
          <w:tab w:val="left" w:pos="567"/>
        </w:tabs>
        <w:spacing w:before="240" w:after="240"/>
        <w:ind w:right="49"/>
        <w:jc w:val="both"/>
        <w:rPr>
          <w:rFonts w:ascii="Palatino Linotype" w:eastAsia="Palatino Linotype" w:hAnsi="Palatino Linotype" w:cs="Palatino Linotype"/>
          <w:b/>
          <w:i/>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Según el artículo 150 de la Ley de Transparencia del Estado, la solicitud es la garantía primaria del Derecho de Acceso a la Información, además, establece que se regirá </w:t>
      </w:r>
      <w:r w:rsidRPr="00437DF5">
        <w:rPr>
          <w:rFonts w:ascii="Palatino Linotype" w:eastAsia="Palatino Linotype" w:hAnsi="Palatino Linotype" w:cs="Palatino Linotype"/>
          <w:i/>
          <w:color w:val="000000" w:themeColor="text1"/>
          <w:sz w:val="24"/>
          <w:szCs w:val="24"/>
        </w:rPr>
        <w:t>por los principios de simplicidad, rapidez gratuidad del procedimiento, auxilio y orientación a los particulares</w:t>
      </w:r>
      <w:r w:rsidRPr="00437DF5">
        <w:rPr>
          <w:rFonts w:ascii="Palatino Linotype" w:eastAsia="Palatino Linotype" w:hAnsi="Palatino Linotype" w:cs="Palatino Linotype"/>
          <w:color w:val="000000" w:themeColor="text1"/>
          <w:sz w:val="24"/>
          <w:szCs w:val="24"/>
        </w:rPr>
        <w:t>, contemplando el derecho de las personas con discapacidad y hablantes de lengua indígena.</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Derecho de Acceso a la Información se garantiza y respeta oportunamente, y según lo que dispone la Ley, las </w:t>
      </w:r>
      <w:r w:rsidRPr="00437DF5">
        <w:rPr>
          <w:rFonts w:ascii="Palatino Linotype" w:eastAsia="Palatino Linotype" w:hAnsi="Palatino Linotype" w:cs="Palatino Linotype"/>
          <w:i/>
          <w:color w:val="000000" w:themeColor="text1"/>
          <w:sz w:val="24"/>
          <w:szCs w:val="24"/>
        </w:rPr>
        <w:t>solicitudes de acceso a la información</w:t>
      </w:r>
      <w:r w:rsidRPr="00437DF5">
        <w:rPr>
          <w:rFonts w:ascii="Palatino Linotype" w:eastAsia="Palatino Linotype" w:hAnsi="Palatino Linotype" w:cs="Palatino Linotype"/>
          <w:color w:val="000000" w:themeColor="text1"/>
          <w:sz w:val="24"/>
          <w:szCs w:val="24"/>
        </w:rPr>
        <w:t>.</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Así entonces, se procede analizar, en primer lugar, si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pStyle w:val="Ttulo1"/>
        <w:spacing w:before="0" w:after="240" w:line="360" w:lineRule="auto"/>
        <w:ind w:right="49"/>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lastRenderedPageBreak/>
        <w:t>II. De la información solicitada y la respuesta del SUJETO OBLIGADO</w:t>
      </w:r>
    </w:p>
    <w:p w:rsidR="00121569"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Acotada la </w:t>
      </w:r>
      <w:r w:rsidRPr="00437DF5">
        <w:rPr>
          <w:rFonts w:ascii="Palatino Linotype" w:eastAsia="Palatino Linotype" w:hAnsi="Palatino Linotype" w:cs="Palatino Linotype"/>
          <w:i/>
          <w:color w:val="000000" w:themeColor="text1"/>
          <w:sz w:val="24"/>
          <w:szCs w:val="24"/>
        </w:rPr>
        <w:t>Litis</w:t>
      </w:r>
      <w:r w:rsidRPr="00437DF5">
        <w:rPr>
          <w:rFonts w:ascii="Palatino Linotype" w:eastAsia="Palatino Linotype" w:hAnsi="Palatino Linotype" w:cs="Palatino Linotype"/>
          <w:color w:val="000000" w:themeColor="text1"/>
          <w:sz w:val="24"/>
          <w:szCs w:val="24"/>
        </w:rPr>
        <w:t xml:space="preserve"> del presente asunto, primeramente es menester precisar que del escrito de inconformidad, se observa que el particular se inconformo en virtud de que no se le hizo entrega de la información solicitada.</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F124B3" w:rsidRPr="00437DF5" w:rsidRDefault="0012156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Ahora bien, </w:t>
      </w:r>
      <w:r w:rsidR="00F124B3" w:rsidRPr="00437DF5">
        <w:rPr>
          <w:rFonts w:ascii="Palatino Linotype" w:eastAsia="Palatino Linotype" w:hAnsi="Palatino Linotype" w:cs="Palatino Linotype"/>
          <w:color w:val="000000" w:themeColor="text1"/>
          <w:sz w:val="24"/>
          <w:szCs w:val="24"/>
        </w:rPr>
        <w:t xml:space="preserve">resulta necesario precisar que el </w:t>
      </w:r>
      <w:r w:rsidR="00F124B3" w:rsidRPr="00437DF5">
        <w:rPr>
          <w:rFonts w:ascii="Palatino Linotype" w:eastAsia="Palatino Linotype" w:hAnsi="Palatino Linotype" w:cs="Palatino Linotype"/>
          <w:b/>
          <w:color w:val="000000" w:themeColor="text1"/>
          <w:sz w:val="24"/>
          <w:szCs w:val="24"/>
        </w:rPr>
        <w:t xml:space="preserve">PARTICULAR, </w:t>
      </w:r>
      <w:r w:rsidR="00F124B3" w:rsidRPr="00437DF5">
        <w:rPr>
          <w:rFonts w:ascii="Palatino Linotype" w:eastAsia="Palatino Linotype" w:hAnsi="Palatino Linotype" w:cs="Palatino Linotype"/>
          <w:color w:val="000000" w:themeColor="text1"/>
          <w:sz w:val="24"/>
          <w:szCs w:val="24"/>
        </w:rPr>
        <w:t xml:space="preserve"> no es experto en la materia, </w:t>
      </w:r>
      <w:r w:rsidR="0025292C" w:rsidRPr="00437DF5">
        <w:rPr>
          <w:rFonts w:ascii="Palatino Linotype" w:eastAsia="Palatino Linotype" w:hAnsi="Palatino Linotype" w:cs="Palatino Linotype"/>
          <w:color w:val="000000" w:themeColor="text1"/>
          <w:sz w:val="24"/>
          <w:szCs w:val="24"/>
        </w:rPr>
        <w:t xml:space="preserve">por lo que no es obligación que sea preciso en referir el nombre del área de manera exacta, </w:t>
      </w:r>
      <w:r w:rsidR="00F124B3" w:rsidRPr="00437DF5">
        <w:rPr>
          <w:rFonts w:ascii="Palatino Linotype" w:eastAsia="Palatino Linotype" w:hAnsi="Palatino Linotype" w:cs="Palatino Linotype"/>
          <w:color w:val="000000" w:themeColor="text1"/>
          <w:sz w:val="24"/>
          <w:szCs w:val="24"/>
        </w:rPr>
        <w:t xml:space="preserve">por lo que si bien es cierto, el </w:t>
      </w:r>
      <w:r w:rsidR="00F124B3" w:rsidRPr="00437DF5">
        <w:rPr>
          <w:rFonts w:ascii="Palatino Linotype" w:eastAsia="Palatino Linotype" w:hAnsi="Palatino Linotype" w:cs="Palatino Linotype"/>
          <w:b/>
          <w:color w:val="000000" w:themeColor="text1"/>
          <w:sz w:val="24"/>
          <w:szCs w:val="24"/>
        </w:rPr>
        <w:t xml:space="preserve">SUJETO OBLIGADO, </w:t>
      </w:r>
      <w:r w:rsidR="00F124B3" w:rsidRPr="00437DF5">
        <w:rPr>
          <w:rFonts w:ascii="Palatino Linotype" w:eastAsia="Palatino Linotype" w:hAnsi="Palatino Linotype" w:cs="Palatino Linotype"/>
          <w:color w:val="000000" w:themeColor="text1"/>
          <w:sz w:val="24"/>
          <w:szCs w:val="24"/>
        </w:rPr>
        <w:t xml:space="preserve">informo que no existe una tesorería dentro de su estructura, también cierto es que, se debió remitir la información del área análoga o del área que cumpla con las funciones relativas a ingresos y egresos, por lo que de acuerdo al organigrama que obra en el IPOMEX y mismo que </w:t>
      </w:r>
      <w:r w:rsidR="0025292C" w:rsidRPr="00437DF5">
        <w:rPr>
          <w:rFonts w:ascii="Palatino Linotype" w:eastAsia="Palatino Linotype" w:hAnsi="Palatino Linotype" w:cs="Palatino Linotype"/>
          <w:color w:val="000000" w:themeColor="text1"/>
          <w:sz w:val="24"/>
          <w:szCs w:val="24"/>
        </w:rPr>
        <w:t>corresponde</w:t>
      </w:r>
      <w:r w:rsidR="00F124B3" w:rsidRPr="00437DF5">
        <w:rPr>
          <w:rFonts w:ascii="Palatino Linotype" w:eastAsia="Palatino Linotype" w:hAnsi="Palatino Linotype" w:cs="Palatino Linotype"/>
          <w:color w:val="000000" w:themeColor="text1"/>
          <w:sz w:val="24"/>
          <w:szCs w:val="24"/>
        </w:rPr>
        <w:t xml:space="preserve"> al remitido en respuesta</w:t>
      </w:r>
      <w:r w:rsidR="0025292C" w:rsidRPr="00437DF5">
        <w:rPr>
          <w:rFonts w:ascii="Palatino Linotype" w:eastAsia="Palatino Linotype" w:hAnsi="Palatino Linotype" w:cs="Palatino Linotype"/>
          <w:color w:val="000000" w:themeColor="text1"/>
          <w:sz w:val="24"/>
          <w:szCs w:val="24"/>
        </w:rPr>
        <w:t xml:space="preserve"> es la Dirección de Administración y Finanzas, como se muestra a continuación:</w:t>
      </w:r>
    </w:p>
    <w:p w:rsidR="0025292C" w:rsidRPr="00437DF5" w:rsidRDefault="0025292C"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25292C" w:rsidRPr="00437DF5" w:rsidRDefault="0025292C" w:rsidP="00437DF5">
      <w:pPr>
        <w:pBdr>
          <w:top w:val="nil"/>
          <w:left w:val="nil"/>
          <w:bottom w:val="nil"/>
          <w:right w:val="nil"/>
          <w:between w:val="nil"/>
        </w:pBdr>
        <w:spacing w:after="0" w:line="360" w:lineRule="auto"/>
        <w:ind w:right="49"/>
        <w:jc w:val="center"/>
        <w:rPr>
          <w:rFonts w:ascii="Palatino Linotype" w:eastAsia="Palatino Linotype" w:hAnsi="Palatino Linotype" w:cs="Palatino Linotype"/>
          <w:i/>
          <w:color w:val="000000" w:themeColor="text1"/>
          <w:sz w:val="24"/>
          <w:szCs w:val="24"/>
          <w:u w:val="single"/>
        </w:rPr>
      </w:pPr>
      <w:r w:rsidRPr="00437DF5">
        <w:rPr>
          <w:rFonts w:ascii="Palatino Linotype" w:eastAsia="Palatino Linotype" w:hAnsi="Palatino Linotype" w:cs="Palatino Linotype"/>
          <w:i/>
          <w:noProof/>
          <w:color w:val="000000" w:themeColor="text1"/>
          <w:sz w:val="24"/>
          <w:szCs w:val="24"/>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859983</wp:posOffset>
                </wp:positionH>
                <wp:positionV relativeFrom="paragraph">
                  <wp:posOffset>2489283</wp:posOffset>
                </wp:positionV>
                <wp:extent cx="1590261" cy="500932"/>
                <wp:effectExtent l="19050" t="19050" r="10160" b="13970"/>
                <wp:wrapNone/>
                <wp:docPr id="3" name="Rectángulo 3"/>
                <wp:cNvGraphicFramePr/>
                <a:graphic xmlns:a="http://schemas.openxmlformats.org/drawingml/2006/main">
                  <a:graphicData uri="http://schemas.microsoft.com/office/word/2010/wordprocessingShape">
                    <wps:wsp>
                      <wps:cNvSpPr/>
                      <wps:spPr>
                        <a:xfrm>
                          <a:off x="0" y="0"/>
                          <a:ext cx="1590261" cy="5009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93FAF" id="Rectángulo 3" o:spid="_x0000_s1026" style="position:absolute;margin-left:67.7pt;margin-top:196pt;width:125.2pt;height:3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" filled="f" strokecolor="red" strokeweight="2.25pt"/>
            </w:pict>
          </mc:Fallback>
        </mc:AlternateContent>
      </w:r>
      <w:r w:rsidRPr="00437DF5">
        <w:rPr>
          <w:rFonts w:ascii="Palatino Linotype" w:eastAsia="Palatino Linotype" w:hAnsi="Palatino Linotype" w:cs="Palatino Linotype"/>
          <w:i/>
          <w:noProof/>
          <w:color w:val="000000" w:themeColor="text1"/>
          <w:sz w:val="24"/>
          <w:szCs w:val="24"/>
          <w:u w:val="single"/>
        </w:rPr>
        <w:drawing>
          <wp:inline distT="0" distB="0" distL="0" distR="0" wp14:anchorId="45DCB7EA" wp14:editId="0DEA6627">
            <wp:extent cx="5612130" cy="35521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52190"/>
                    </a:xfrm>
                    <a:prstGeom prst="rect">
                      <a:avLst/>
                    </a:prstGeom>
                  </pic:spPr>
                </pic:pic>
              </a:graphicData>
            </a:graphic>
          </wp:inline>
        </w:drawing>
      </w:r>
    </w:p>
    <w:p w:rsidR="00F124B3" w:rsidRPr="00437DF5" w:rsidRDefault="00F124B3"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F124B3" w:rsidRPr="00437DF5" w:rsidRDefault="0025292C"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Es por lo anterior, que no se puede tener por colmada la solicitud de información </w:t>
      </w:r>
      <w:r w:rsidRPr="00437DF5">
        <w:rPr>
          <w:rFonts w:ascii="Palatino Linotype" w:eastAsia="Palatino Linotype" w:hAnsi="Palatino Linotype" w:cs="Palatino Linotype"/>
          <w:b/>
          <w:bCs/>
          <w:color w:val="000000" w:themeColor="text1"/>
          <w:sz w:val="24"/>
          <w:szCs w:val="24"/>
        </w:rPr>
        <w:t xml:space="preserve">00081/OASTENANCI/IP/2025, </w:t>
      </w:r>
      <w:r w:rsidRPr="00437DF5">
        <w:rPr>
          <w:rFonts w:ascii="Palatino Linotype" w:eastAsia="Palatino Linotype" w:hAnsi="Palatino Linotype" w:cs="Palatino Linotype"/>
          <w:bCs/>
          <w:color w:val="000000" w:themeColor="text1"/>
          <w:sz w:val="24"/>
          <w:szCs w:val="24"/>
        </w:rPr>
        <w:t>resultando dable ordenar la búsqueda exhaustiva y razonable a efecto de que se haga entrega de lo solicitado.</w:t>
      </w:r>
    </w:p>
    <w:p w:rsidR="0025292C" w:rsidRPr="00437DF5" w:rsidRDefault="0025292C"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F124B3" w:rsidRPr="00437DF5" w:rsidRDefault="0025292C"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Ahora bien, dada la naturaleza de la información solicitada, se advierte que el documento que pudiera dar cuenta de los </w:t>
      </w:r>
      <w:r w:rsidR="006F33E9" w:rsidRPr="00437DF5">
        <w:rPr>
          <w:rFonts w:ascii="Palatino Linotype" w:eastAsia="Palatino Linotype" w:hAnsi="Palatino Linotype" w:cs="Palatino Linotype"/>
          <w:color w:val="000000" w:themeColor="text1"/>
          <w:sz w:val="24"/>
          <w:szCs w:val="24"/>
        </w:rPr>
        <w:t>solicitado de manera enunciativa más no limitativa, es la Conciliación de Nómina , por lo que al respecto se refiere:</w:t>
      </w:r>
    </w:p>
    <w:p w:rsidR="006F33E9" w:rsidRPr="00437DF5" w:rsidRDefault="006F33E9"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Se debe de establecer que la </w:t>
      </w:r>
      <w:r w:rsidRPr="00437DF5">
        <w:rPr>
          <w:rFonts w:ascii="Palatino Linotype" w:eastAsia="Palatino Linotype" w:hAnsi="Palatino Linotype" w:cs="Palatino Linotype"/>
          <w:b/>
          <w:color w:val="000000" w:themeColor="text1"/>
          <w:sz w:val="24"/>
          <w:szCs w:val="24"/>
        </w:rPr>
        <w:t>conciliación de nómina</w:t>
      </w:r>
      <w:r w:rsidRPr="00437DF5">
        <w:rPr>
          <w:rFonts w:ascii="Palatino Linotype" w:eastAsia="Palatino Linotype" w:hAnsi="Palatino Linotype" w:cs="Palatino Linotype"/>
          <w:color w:val="000000" w:themeColor="text1"/>
          <w:sz w:val="24"/>
          <w:szCs w:val="24"/>
        </w:rPr>
        <w:t xml:space="preserve"> es información que se encuentra dentro de las atribuciones de la Tesorería Municipal, quien de acuerdo con la Ley Orgánica Municipal del Estado de México, tiene las siguientes funciones.  </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lastRenderedPageBreak/>
        <w:t xml:space="preserve">Artículo 95.- </w:t>
      </w:r>
      <w:r w:rsidRPr="00437DF5">
        <w:rPr>
          <w:rFonts w:ascii="Palatino Linotype" w:eastAsia="Palatino Linotype" w:hAnsi="Palatino Linotype" w:cs="Palatino Linotype"/>
          <w:i/>
          <w:color w:val="000000" w:themeColor="text1"/>
          <w:sz w:val="24"/>
          <w:szCs w:val="24"/>
        </w:rPr>
        <w:t xml:space="preserve">Son atribuciones del tesorero municipal: </w:t>
      </w:r>
    </w:p>
    <w:p w:rsidR="006F33E9" w:rsidRPr="00437DF5" w:rsidRDefault="006F33E9" w:rsidP="00437DF5">
      <w:pPr>
        <w:numPr>
          <w:ilvl w:val="1"/>
          <w:numId w:val="35"/>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437DF5">
        <w:rPr>
          <w:rFonts w:ascii="Palatino Linotype" w:hAnsi="Palatino Linotype"/>
          <w:color w:val="000000" w:themeColor="text1"/>
          <w:sz w:val="24"/>
          <w:szCs w:val="24"/>
        </w:rPr>
        <w:t xml:space="preserve">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VI. Presentar anualmente al ayuntamiento un informe de la situación contable financiera de la Tesorería Municipal;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VIII. Participar en la formulación de Convenios Fiscales y ejercer las atribuciones que le correspondan en el ámbito de su competencia;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IX. Proponer al ayuntamiento la cancelación de cuentas incobrables;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 Custodiar y ejercer las garantías que se otorguen en favor de la hacienda municipal;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XI. Proponer la política de ingresos de la tesorería municipal;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XII. Intervenir en la elaboración del programa financiero municipal;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XIII. Elaborar y mantener actualizado el Padrón de Contribuyentes;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XVI. Glosar oportunamente las cuentas del ayuntamiento;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437DF5">
        <w:rPr>
          <w:rFonts w:ascii="Palatino Linotype" w:eastAsia="Palatino Linotype" w:hAnsi="Palatino Linotype" w:cs="Palatino Linotype"/>
          <w:i/>
          <w:color w:val="000000" w:themeColor="text1"/>
          <w:sz w:val="24"/>
          <w:szCs w:val="24"/>
        </w:rPr>
        <w:t xml:space="preserve">;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437DF5">
        <w:rPr>
          <w:rFonts w:ascii="Palatino Linotype" w:hAnsi="Palatino Linotype"/>
          <w:color w:val="000000" w:themeColor="text1"/>
          <w:sz w:val="24"/>
          <w:szCs w:val="24"/>
        </w:rPr>
        <w:t xml:space="preserve">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XXI. Entregar oportunamente a él o los Síndicos, según sea el caso, el informe mensual que corresponda, a fin de que se revise, y de ser necesario, para que se formulen las observaciones respectivas.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XXII. Las que les señalen las demás disposiciones legales y el ayuntamiento.</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 lo anterior, se observa que la Tesorería Municipal, es el área encargada de administrar la hacienda pública municipal, de conformidad con las disposiciones legales </w:t>
      </w:r>
      <w:r w:rsidRPr="00437DF5">
        <w:rPr>
          <w:rFonts w:ascii="Palatino Linotype" w:eastAsia="Palatino Linotype" w:hAnsi="Palatino Linotype" w:cs="Palatino Linotype"/>
          <w:color w:val="000000" w:themeColor="text1"/>
          <w:sz w:val="24"/>
          <w:szCs w:val="24"/>
        </w:rPr>
        <w:lastRenderedPageBreak/>
        <w:t xml:space="preserve">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En esa línea de estudio, se debe de señalar que la información solicitada por parte </w:t>
      </w:r>
      <w:r w:rsidR="00B144A4" w:rsidRPr="00437DF5">
        <w:rPr>
          <w:rFonts w:ascii="Palatino Linotype" w:eastAsia="Palatino Linotype" w:hAnsi="Palatino Linotype" w:cs="Palatino Linotype"/>
          <w:color w:val="000000" w:themeColor="text1"/>
          <w:sz w:val="24"/>
          <w:szCs w:val="24"/>
        </w:rPr>
        <w:t>de la</w:t>
      </w:r>
      <w:r w:rsidRPr="00437DF5">
        <w:rPr>
          <w:rFonts w:ascii="Palatino Linotype" w:eastAsia="Palatino Linotype" w:hAnsi="Palatino Linotype" w:cs="Palatino Linotype"/>
          <w:color w:val="000000" w:themeColor="text1"/>
          <w:sz w:val="24"/>
          <w:szCs w:val="24"/>
        </w:rPr>
        <w:t xml:space="preserve"> </w:t>
      </w:r>
      <w:r w:rsidRPr="00437DF5">
        <w:rPr>
          <w:rFonts w:ascii="Palatino Linotype" w:eastAsia="Palatino Linotype" w:hAnsi="Palatino Linotype" w:cs="Palatino Linotype"/>
          <w:b/>
          <w:color w:val="000000" w:themeColor="text1"/>
          <w:sz w:val="24"/>
          <w:szCs w:val="24"/>
        </w:rPr>
        <w:t xml:space="preserve">RECURRENTE </w:t>
      </w:r>
      <w:r w:rsidRPr="00437DF5">
        <w:rPr>
          <w:rFonts w:ascii="Palatino Linotype" w:eastAsia="Palatino Linotype" w:hAnsi="Palatino Linotype" w:cs="Palatino Linotype"/>
          <w:color w:val="000000" w:themeColor="text1"/>
          <w:sz w:val="24"/>
          <w:szCs w:val="24"/>
        </w:rPr>
        <w:t xml:space="preserve">forma parte de la información de las obligaciones de transparencia común de conformidad con el artículo 92 de la Ley de Transparencia y Acceso a la Información Pública del Estado de México y Municipios. </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92.</w:t>
      </w:r>
      <w:r w:rsidRPr="00437DF5">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F33E9" w:rsidRPr="00437DF5" w:rsidRDefault="006F33E9" w:rsidP="00437DF5">
      <w:pP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F33E9" w:rsidRPr="00437DF5" w:rsidRDefault="006F33E9" w:rsidP="00437DF5">
      <w:pPr>
        <w:ind w:right="49"/>
        <w:jc w:val="both"/>
        <w:rPr>
          <w:rFonts w:ascii="Palatino Linotype" w:eastAsia="Palatino Linotype" w:hAnsi="Palatino Linotype" w:cs="Palatino Linotype"/>
          <w:b/>
          <w:i/>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437DF5">
        <w:rPr>
          <w:rFonts w:ascii="Palatino Linotype" w:eastAsia="Palatino Linotype" w:hAnsi="Palatino Linotype" w:cs="Palatino Linotype"/>
          <w:i/>
          <w:color w:val="000000" w:themeColor="text1"/>
          <w:sz w:val="24"/>
          <w:szCs w:val="24"/>
        </w:rPr>
        <w:t xml:space="preserve">en el ámbito de sus atribuciones, de promover, respetar, proteger y </w:t>
      </w:r>
      <w:r w:rsidRPr="00437DF5">
        <w:rPr>
          <w:rFonts w:ascii="Palatino Linotype" w:eastAsia="Palatino Linotype" w:hAnsi="Palatino Linotype" w:cs="Palatino Linotype"/>
          <w:b/>
          <w:i/>
          <w:color w:val="000000" w:themeColor="text1"/>
          <w:sz w:val="24"/>
          <w:szCs w:val="24"/>
        </w:rPr>
        <w:t>garantizar</w:t>
      </w:r>
      <w:r w:rsidRPr="00437DF5">
        <w:rPr>
          <w:rFonts w:ascii="Palatino Linotype" w:eastAsia="Palatino Linotype" w:hAnsi="Palatino Linotype" w:cs="Palatino Linotype"/>
          <w:i/>
          <w:color w:val="000000" w:themeColor="text1"/>
          <w:sz w:val="24"/>
          <w:szCs w:val="24"/>
        </w:rPr>
        <w:t xml:space="preserve"> los derechos humanos. </w:t>
      </w:r>
      <w:r w:rsidRPr="00437DF5">
        <w:rPr>
          <w:rFonts w:ascii="Palatino Linotype" w:eastAsia="Palatino Linotype" w:hAnsi="Palatino Linotype" w:cs="Palatino Linotype"/>
          <w:b/>
          <w:i/>
          <w:color w:val="000000" w:themeColor="text1"/>
          <w:sz w:val="24"/>
          <w:szCs w:val="24"/>
        </w:rPr>
        <w:t>En cuanto al derecho de acceso a la información, la Ley de Transparencia y Acceso a la Información Pública del Estado de México y Municipios prevé establece que e</w:t>
      </w:r>
      <w:r w:rsidRPr="00437DF5">
        <w:rPr>
          <w:rFonts w:ascii="Palatino Linotype" w:eastAsia="Palatino Linotype" w:hAnsi="Palatino Linotype" w:cs="Palatino Linotype"/>
          <w:i/>
          <w:color w:val="000000" w:themeColor="text1"/>
          <w:sz w:val="24"/>
          <w:szCs w:val="24"/>
        </w:rPr>
        <w:t xml:space="preserve">l procedimiento de acceso a la información es la garantía primaria del derecho en </w:t>
      </w:r>
      <w:r w:rsidRPr="00437DF5">
        <w:rPr>
          <w:rFonts w:ascii="Palatino Linotype" w:eastAsia="Palatino Linotype" w:hAnsi="Palatino Linotype" w:cs="Palatino Linotype"/>
          <w:i/>
          <w:color w:val="000000" w:themeColor="text1"/>
          <w:sz w:val="24"/>
          <w:szCs w:val="24"/>
        </w:rPr>
        <w:lastRenderedPageBreak/>
        <w:t>cuestión y se rige por los principios de simplicidad, rapidez y gratuidad del procedimiento, auxilio y orientación a los particulares</w:t>
      </w:r>
      <w:r w:rsidRPr="00437DF5">
        <w:rPr>
          <w:rFonts w:ascii="Palatino Linotype" w:hAnsi="Palatino Linotype"/>
          <w:i/>
          <w:color w:val="000000" w:themeColor="text1"/>
          <w:sz w:val="24"/>
          <w:szCs w:val="24"/>
          <w:vertAlign w:val="superscript"/>
        </w:rPr>
        <w:footnoteReference w:id="5"/>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asimismo establece</w:t>
      </w:r>
      <w:r w:rsidRPr="00437DF5">
        <w:rPr>
          <w:rFonts w:ascii="Palatino Linotype" w:eastAsia="Palatino Linotype" w:hAnsi="Palatino Linotype" w:cs="Palatino Linotype"/>
          <w:i/>
          <w:color w:val="000000" w:themeColor="text1"/>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“NÓMINA </w:t>
      </w:r>
      <w:r w:rsidRPr="00437DF5">
        <w:rPr>
          <w:rFonts w:ascii="Palatino Linotype" w:eastAsia="Palatino Linotype" w:hAnsi="Palatino Linotype" w:cs="Palatino Linotype"/>
          <w:i/>
          <w:color w:val="000000" w:themeColor="text1"/>
          <w:sz w:val="24"/>
          <w:szCs w:val="24"/>
        </w:rPr>
        <w:t>Listado general de los trabajadores de una institución, en</w:t>
      </w:r>
      <w:r w:rsidRPr="00437DF5">
        <w:rPr>
          <w:rFonts w:ascii="Palatino Linotype" w:eastAsia="Palatino Linotype" w:hAnsi="Palatino Linotype" w:cs="Palatino Linotype"/>
          <w:b/>
          <w:i/>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el cual se asientan las percepciones brutas, deducciones y</w:t>
      </w:r>
      <w:r w:rsidRPr="00437DF5">
        <w:rPr>
          <w:rFonts w:ascii="Palatino Linotype" w:eastAsia="Palatino Linotype" w:hAnsi="Palatino Linotype" w:cs="Palatino Linotype"/>
          <w:b/>
          <w:i/>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alcance neto de las mismas; la nómina es utilizada para</w:t>
      </w:r>
      <w:r w:rsidRPr="00437DF5">
        <w:rPr>
          <w:rFonts w:ascii="Palatino Linotype" w:eastAsia="Palatino Linotype" w:hAnsi="Palatino Linotype" w:cs="Palatino Linotype"/>
          <w:b/>
          <w:i/>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efectuar los pagos periódicos (semanales, quincenales o</w:t>
      </w:r>
      <w:r w:rsidRPr="00437DF5">
        <w:rPr>
          <w:rFonts w:ascii="Palatino Linotype" w:eastAsia="Palatino Linotype" w:hAnsi="Palatino Linotype" w:cs="Palatino Linotype"/>
          <w:b/>
          <w:i/>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mensuales) a los trabajadores por concepto de sueldos y</w:t>
      </w:r>
      <w:r w:rsidRPr="00437DF5">
        <w:rPr>
          <w:rFonts w:ascii="Palatino Linotype" w:eastAsia="Palatino Linotype" w:hAnsi="Palatino Linotype" w:cs="Palatino Linotype"/>
          <w:b/>
          <w:i/>
          <w:color w:val="000000" w:themeColor="text1"/>
          <w:sz w:val="24"/>
          <w:szCs w:val="24"/>
        </w:rPr>
        <w:t xml:space="preserve"> </w:t>
      </w:r>
      <w:r w:rsidRPr="00437DF5">
        <w:rPr>
          <w:rFonts w:ascii="Palatino Linotype" w:eastAsia="Palatino Linotype" w:hAnsi="Palatino Linotype" w:cs="Palatino Linotype"/>
          <w:i/>
          <w:color w:val="000000" w:themeColor="text1"/>
          <w:sz w:val="24"/>
          <w:szCs w:val="24"/>
        </w:rPr>
        <w:t>salarios.”(Sic)</w:t>
      </w: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En base a lo anterior, conviene a traer lo establecido por el artículo 804, fracción II, de la Ley Federal de Trabajo, el cual a la letra establece: </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r w:rsidRPr="00437DF5">
        <w:rPr>
          <w:rFonts w:ascii="Palatino Linotype" w:eastAsia="Palatino Linotype" w:hAnsi="Palatino Linotype" w:cs="Palatino Linotype"/>
          <w:b/>
          <w:i/>
          <w:color w:val="000000" w:themeColor="text1"/>
          <w:sz w:val="24"/>
          <w:szCs w:val="24"/>
        </w:rPr>
        <w:t>Artículo 804.-</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II.</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Listas de raya o nómina de personal</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Los documentos señalados en la fracción I deberán conservarse mientras dure la relación laboral y hasta un año después; </w:t>
      </w:r>
      <w:r w:rsidRPr="00437DF5">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437DF5">
        <w:rPr>
          <w:rFonts w:ascii="Palatino Linotype" w:eastAsia="Palatino Linotype" w:hAnsi="Palatino Linotype" w:cs="Palatino Linotype"/>
          <w:i/>
          <w:color w:val="000000" w:themeColor="text1"/>
          <w:sz w:val="24"/>
          <w:szCs w:val="24"/>
        </w:rPr>
        <w:t>; y los mencionados en la fracción V, conforme lo señalen las Leyes que los rijan.” (Sic)</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En ese contexto, tratándose de servidores públicos de los Municipios la Ley del Trabajo de los Servidores Públicos del Estado y Municipios, en su artículo 220-K, establece lo siguiente:</w:t>
      </w:r>
    </w:p>
    <w:p w:rsidR="006F33E9" w:rsidRPr="00437DF5" w:rsidRDefault="006F33E9" w:rsidP="00437DF5">
      <w:pPr>
        <w:tabs>
          <w:tab w:val="left" w:pos="9072"/>
        </w:tabs>
        <w:spacing w:before="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220 K.-</w:t>
      </w:r>
      <w:r w:rsidRPr="00437DF5">
        <w:rPr>
          <w:rFonts w:ascii="Palatino Linotype" w:eastAsia="Palatino Linotype" w:hAnsi="Palatino Linotype" w:cs="Palatino Linotype"/>
          <w:i/>
          <w:color w:val="000000" w:themeColor="text1"/>
          <w:sz w:val="24"/>
          <w:szCs w:val="24"/>
        </w:rPr>
        <w:t xml:space="preserve"> La </w:t>
      </w:r>
      <w:r w:rsidRPr="00437DF5">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se precisan</w:t>
      </w: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tabs>
          <w:tab w:val="left" w:pos="9072"/>
        </w:tabs>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tabs>
          <w:tab w:val="left" w:pos="9072"/>
        </w:tabs>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 xml:space="preserve">II. </w:t>
      </w:r>
      <w:r w:rsidRPr="00437DF5">
        <w:rPr>
          <w:rFonts w:ascii="Palatino Linotype" w:eastAsia="Palatino Linotype" w:hAnsi="Palatino Linotype" w:cs="Palatino Linotype"/>
          <w:b/>
          <w:i/>
          <w:color w:val="000000" w:themeColor="text1"/>
          <w:sz w:val="24"/>
          <w:szCs w:val="24"/>
        </w:rPr>
        <w:t>Recibos de pagos de salarios o</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las constancias documentales del pago de salario</w:t>
      </w:r>
      <w:r w:rsidRPr="00437DF5">
        <w:rPr>
          <w:rFonts w:ascii="Palatino Linotype" w:eastAsia="Palatino Linotype" w:hAnsi="Palatino Linotype" w:cs="Palatino Linotype"/>
          <w:i/>
          <w:color w:val="000000" w:themeColor="text1"/>
          <w:sz w:val="24"/>
          <w:szCs w:val="24"/>
        </w:rPr>
        <w:t xml:space="preserve"> </w:t>
      </w:r>
      <w:r w:rsidRPr="00437DF5">
        <w:rPr>
          <w:rFonts w:ascii="Palatino Linotype" w:eastAsia="Palatino Linotype" w:hAnsi="Palatino Linotype" w:cs="Palatino Linotype"/>
          <w:b/>
          <w:i/>
          <w:color w:val="000000" w:themeColor="text1"/>
          <w:sz w:val="24"/>
          <w:szCs w:val="24"/>
        </w:rPr>
        <w:t xml:space="preserve">cuando </w:t>
      </w:r>
      <w:r w:rsidRPr="00437DF5">
        <w:rPr>
          <w:rFonts w:ascii="Palatino Linotype" w:eastAsia="Palatino Linotype" w:hAnsi="Palatino Linotype" w:cs="Palatino Linotype"/>
          <w:b/>
          <w:i/>
          <w:color w:val="000000" w:themeColor="text1"/>
          <w:sz w:val="24"/>
          <w:szCs w:val="24"/>
          <w:u w:val="single"/>
        </w:rPr>
        <w:t>sea por depósito o mediante información electrónica</w:t>
      </w:r>
      <w:r w:rsidRPr="00437DF5">
        <w:rPr>
          <w:rFonts w:ascii="Palatino Linotype" w:eastAsia="Palatino Linotype" w:hAnsi="Palatino Linotype" w:cs="Palatino Linotype"/>
          <w:b/>
          <w:i/>
          <w:color w:val="000000" w:themeColor="text1"/>
          <w:sz w:val="24"/>
          <w:szCs w:val="24"/>
        </w:rPr>
        <w:t>;</w:t>
      </w:r>
    </w:p>
    <w:p w:rsidR="006F33E9" w:rsidRPr="00437DF5" w:rsidRDefault="006F33E9" w:rsidP="00437DF5">
      <w:pPr>
        <w:tabs>
          <w:tab w:val="left" w:pos="9072"/>
        </w:tabs>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tabs>
          <w:tab w:val="left" w:pos="9072"/>
        </w:tabs>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F33E9" w:rsidRPr="00437DF5" w:rsidRDefault="006F33E9" w:rsidP="00437DF5">
      <w:pPr>
        <w:tabs>
          <w:tab w:val="left" w:pos="9072"/>
        </w:tabs>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6F33E9" w:rsidRPr="00437DF5" w:rsidRDefault="006F33E9" w:rsidP="00437DF5">
      <w:pPr>
        <w:tabs>
          <w:tab w:val="left" w:pos="9072"/>
        </w:tabs>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Una vez precisado lo que antecede, es necesario analizar la Ley de Fiscalización Superior del Estado de México, toda vez que señala que los municipios que conforman el Estado de México, entre ellos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w:t>
      </w:r>
      <w:r w:rsidRPr="00437DF5">
        <w:rPr>
          <w:rFonts w:ascii="Palatino Linotype" w:hAnsi="Palatino Linotype"/>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es considerado como ente fiscalizable, como así lo señala el artículo 4 fracción II de la Ley de Fiscalización Superior del Estado de México, el cual señala:</w:t>
      </w:r>
    </w:p>
    <w:p w:rsidR="006F33E9" w:rsidRPr="00437DF5" w:rsidRDefault="006F33E9" w:rsidP="00437DF5">
      <w:pPr>
        <w:spacing w:before="240"/>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Artículo 4.- Son sujetos de fiscalización:</w:t>
      </w:r>
    </w:p>
    <w:p w:rsidR="006F33E9" w:rsidRPr="00437DF5" w:rsidRDefault="006F33E9" w:rsidP="00437DF5">
      <w:pPr>
        <w:numPr>
          <w:ilvl w:val="1"/>
          <w:numId w:val="35"/>
        </w:numPr>
        <w:pBdr>
          <w:top w:val="nil"/>
          <w:left w:val="nil"/>
          <w:bottom w:val="nil"/>
          <w:right w:val="nil"/>
          <w:between w:val="nil"/>
        </w:pBdr>
        <w:spacing w:before="240" w:after="0" w:line="24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 xml:space="preserve">Los Poderes Públicos del Estado;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II. Los municipios del Estado de México;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III. Los organismos autónomos;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IV. Los organismos auxiliares;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437DF5">
        <w:rPr>
          <w:rFonts w:ascii="Palatino Linotype" w:hAnsi="Palatino Linotype"/>
          <w:color w:val="000000" w:themeColor="text1"/>
          <w:sz w:val="24"/>
          <w:szCs w:val="24"/>
        </w:rPr>
        <w:t xml:space="preserve"> </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6F33E9" w:rsidRPr="00437DF5" w:rsidRDefault="006F33E9" w:rsidP="00437DF5">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lang w:val="es-ES_tradnl"/>
        </w:rPr>
        <w:t>La</w:t>
      </w:r>
      <w:r w:rsidRPr="00437DF5">
        <w:rPr>
          <w:rFonts w:ascii="Palatino Linotype" w:eastAsia="Palatino Linotype" w:hAnsi="Palatino Linotype" w:cs="Palatino Linotype"/>
          <w:color w:val="000000" w:themeColor="text1"/>
          <w:sz w:val="24"/>
          <w:szCs w:val="24"/>
        </w:rPr>
        <w:t xml:space="preserve"> integración del Informe Trimestral se entregará de manera física al Órgano Superior de Fiscalización del Estado de México, y estará compuesto de la siguiente manera:</w:t>
      </w:r>
    </w:p>
    <w:p w:rsidR="006F33E9" w:rsidRPr="00437DF5" w:rsidRDefault="006F33E9" w:rsidP="00437DF5">
      <w:pPr>
        <w:numPr>
          <w:ilvl w:val="1"/>
          <w:numId w:val="35"/>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Información impresa; e</w:t>
      </w:r>
    </w:p>
    <w:p w:rsidR="006F33E9" w:rsidRPr="00437DF5" w:rsidRDefault="006F33E9" w:rsidP="00437DF5">
      <w:pPr>
        <w:numPr>
          <w:ilvl w:val="1"/>
          <w:numId w:val="35"/>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Información en medio de almacenamiento electrónico.</w:t>
      </w:r>
    </w:p>
    <w:p w:rsidR="006F33E9" w:rsidRPr="00437DF5" w:rsidRDefault="006F33E9" w:rsidP="00437DF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i/>
          <w:color w:val="000000" w:themeColor="text1"/>
          <w:sz w:val="24"/>
          <w:szCs w:val="24"/>
        </w:rPr>
      </w:pPr>
    </w:p>
    <w:p w:rsidR="006F33E9" w:rsidRPr="006A2A81" w:rsidRDefault="006F33E9" w:rsidP="006A2A81">
      <w:pPr>
        <w:pStyle w:val="Prrafodelista"/>
        <w:numPr>
          <w:ilvl w:val="0"/>
          <w:numId w:val="9"/>
        </w:numPr>
        <w:spacing w:line="360" w:lineRule="auto"/>
        <w:ind w:left="0" w:right="49" w:firstLine="0"/>
        <w:jc w:val="both"/>
        <w:rPr>
          <w:rFonts w:ascii="Palatino Linotype" w:eastAsia="Palatino Linotype" w:hAnsi="Palatino Linotype" w:cs="Palatino Linotype"/>
          <w:color w:val="000000" w:themeColor="text1"/>
        </w:rPr>
      </w:pPr>
      <w:r w:rsidRPr="006A2A81">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6F33E9" w:rsidRPr="00437DF5" w:rsidRDefault="006F33E9" w:rsidP="00437DF5">
      <w:pPr>
        <w:numPr>
          <w:ilvl w:val="1"/>
          <w:numId w:val="35"/>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Módulo 1: Información contable y financiera;</w:t>
      </w:r>
    </w:p>
    <w:p w:rsidR="006F33E9" w:rsidRPr="00437DF5" w:rsidRDefault="006F33E9" w:rsidP="00437DF5">
      <w:pPr>
        <w:numPr>
          <w:ilvl w:val="1"/>
          <w:numId w:val="35"/>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Módulo 2: Información presupuestaria;</w:t>
      </w:r>
    </w:p>
    <w:p w:rsidR="006F33E9" w:rsidRPr="00437DF5" w:rsidRDefault="006F33E9" w:rsidP="00437DF5">
      <w:pPr>
        <w:numPr>
          <w:ilvl w:val="1"/>
          <w:numId w:val="35"/>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Módulo 3: Información programática; y</w:t>
      </w:r>
    </w:p>
    <w:p w:rsidR="006F33E9" w:rsidRPr="00437DF5" w:rsidRDefault="006F33E9" w:rsidP="00437DF5">
      <w:pPr>
        <w:numPr>
          <w:ilvl w:val="1"/>
          <w:numId w:val="35"/>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Módulo 4: Información administrativa.</w:t>
      </w:r>
    </w:p>
    <w:p w:rsidR="006F33E9" w:rsidRPr="00437DF5" w:rsidRDefault="006F33E9" w:rsidP="00437DF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Siendo de especial interés, para el presente asunto, el contenido del Módulo 4, sobre ‘Información Administrativa’; que de acuerdo con las </w:t>
      </w:r>
      <w:r w:rsidRPr="00437DF5">
        <w:rPr>
          <w:rFonts w:ascii="Palatino Linotype" w:eastAsia="Palatino Linotype" w:hAnsi="Palatino Linotype" w:cs="Palatino Linotype"/>
          <w:b/>
          <w:color w:val="000000" w:themeColor="text1"/>
          <w:sz w:val="24"/>
          <w:szCs w:val="24"/>
        </w:rPr>
        <w:t>“Políticas para la Integración del Informe Trimestral de los Sujetos de Fiscalización Municipales”</w:t>
      </w:r>
      <w:r w:rsidRPr="00437DF5">
        <w:rPr>
          <w:rFonts w:ascii="Palatino Linotype" w:eastAsia="Palatino Linotype" w:hAnsi="Palatino Linotype" w:cs="Palatino Linotype"/>
          <w:color w:val="000000" w:themeColor="text1"/>
          <w:sz w:val="24"/>
          <w:szCs w:val="24"/>
        </w:rPr>
        <w:t>, se compondrá de los siguientes documentos:</w:t>
      </w:r>
    </w:p>
    <w:p w:rsidR="006F33E9" w:rsidRPr="00437DF5" w:rsidRDefault="006F33E9" w:rsidP="00437DF5">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437DF5">
        <w:rPr>
          <w:rFonts w:ascii="Palatino Linotype" w:hAnsi="Palatino Linotype"/>
          <w:color w:val="000000" w:themeColor="text1"/>
          <w:sz w:val="24"/>
          <w:szCs w:val="24"/>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830610903" r:id="rId12"/>
        </w:object>
      </w:r>
    </w:p>
    <w:p w:rsidR="006F33E9" w:rsidRPr="00437DF5" w:rsidRDefault="006F33E9" w:rsidP="00437DF5">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En lo que corresponde al Submódulo de </w:t>
      </w:r>
      <w:r w:rsidRPr="00437DF5">
        <w:rPr>
          <w:rFonts w:ascii="Palatino Linotype" w:eastAsia="Palatino Linotype" w:hAnsi="Palatino Linotype" w:cs="Palatino Linotype"/>
          <w:b/>
          <w:color w:val="000000" w:themeColor="text1"/>
          <w:sz w:val="24"/>
          <w:szCs w:val="24"/>
        </w:rPr>
        <w:t>‘Nómina y Comprobantes Fiscales’,</w:t>
      </w:r>
      <w:r w:rsidRPr="00437DF5">
        <w:rPr>
          <w:rFonts w:ascii="Palatino Linotype" w:eastAsia="Palatino Linotype" w:hAnsi="Palatino Linotype" w:cs="Palatino Linotype"/>
          <w:color w:val="000000" w:themeColor="text1"/>
          <w:sz w:val="24"/>
          <w:szCs w:val="24"/>
        </w:rPr>
        <w:t xml:space="preserve"> se advierte que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deberá integrar, en formato </w:t>
      </w:r>
      <w:r w:rsidRPr="00437DF5">
        <w:rPr>
          <w:rFonts w:ascii="Palatino Linotype" w:eastAsia="Palatino Linotype" w:hAnsi="Palatino Linotype" w:cs="Palatino Linotype"/>
          <w:i/>
          <w:color w:val="000000" w:themeColor="text1"/>
          <w:sz w:val="24"/>
          <w:szCs w:val="24"/>
        </w:rPr>
        <w:t>.pdf</w:t>
      </w:r>
      <w:r w:rsidRPr="00437DF5">
        <w:rPr>
          <w:rFonts w:ascii="Palatino Linotype" w:eastAsia="Palatino Linotype" w:hAnsi="Palatino Linotype" w:cs="Palatino Linotype"/>
          <w:color w:val="000000" w:themeColor="text1"/>
          <w:sz w:val="24"/>
          <w:szCs w:val="24"/>
        </w:rPr>
        <w:t xml:space="preserve">, y de forma quincenal, el documento titulado </w:t>
      </w:r>
      <w:r w:rsidRPr="00437DF5">
        <w:rPr>
          <w:rFonts w:ascii="Palatino Linotype" w:eastAsia="Palatino Linotype" w:hAnsi="Palatino Linotype" w:cs="Palatino Linotype"/>
          <w:b/>
          <w:color w:val="000000" w:themeColor="text1"/>
          <w:sz w:val="24"/>
          <w:szCs w:val="24"/>
        </w:rPr>
        <w:t>Conciliación de Nómina Mensual</w:t>
      </w:r>
      <w:r w:rsidRPr="00437DF5">
        <w:rPr>
          <w:rFonts w:ascii="Palatino Linotype" w:eastAsia="Palatino Linotype" w:hAnsi="Palatino Linotype" w:cs="Palatino Linotype"/>
          <w:color w:val="000000" w:themeColor="text1"/>
          <w:sz w:val="24"/>
          <w:szCs w:val="24"/>
        </w:rPr>
        <w:t>; tal como lo establece el mapa de integración del Submódulo en comento:</w:t>
      </w:r>
    </w:p>
    <w:p w:rsidR="006F33E9" w:rsidRPr="00437DF5" w:rsidRDefault="006F33E9" w:rsidP="00437DF5">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437DF5">
        <w:rPr>
          <w:rFonts w:ascii="Palatino Linotype" w:hAnsi="Palatino Linotype"/>
          <w:color w:val="000000" w:themeColor="text1"/>
          <w:sz w:val="24"/>
          <w:szCs w:val="24"/>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830610904" r:id="rId14"/>
        </w:object>
      </w:r>
      <w:r w:rsidRPr="00437DF5">
        <w:rPr>
          <w:rFonts w:ascii="Palatino Linotype" w:hAnsi="Palatino Linotype"/>
          <w:noProof/>
          <w:color w:val="000000" w:themeColor="text1"/>
          <w:sz w:val="24"/>
          <w:szCs w:val="24"/>
        </w:rPr>
        <mc:AlternateContent>
          <mc:Choice Requires="wps">
            <w:drawing>
              <wp:anchor distT="0" distB="0" distL="114300" distR="114300" simplePos="0" relativeHeight="251661312" behindDoc="0" locked="0" layoutInCell="1" hidden="0" allowOverlap="1" wp14:anchorId="407ED25D" wp14:editId="5C5910B3">
                <wp:simplePos x="0" y="0"/>
                <wp:positionH relativeFrom="column">
                  <wp:posOffset>723900</wp:posOffset>
                </wp:positionH>
                <wp:positionV relativeFrom="paragraph">
                  <wp:posOffset>495300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6F33E9" w:rsidRDefault="006F33E9" w:rsidP="006F33E9">
                            <w:pPr>
                              <w:textDirection w:val="btLr"/>
                            </w:pPr>
                          </w:p>
                        </w:txbxContent>
                      </wps:txbx>
                      <wps:bodyPr spcFirstLastPara="1" wrap="square" lIns="91425" tIns="91425" rIns="91425" bIns="91425" anchor="ctr" anchorCtr="0">
                        <a:noAutofit/>
                      </wps:bodyPr>
                    </wps:wsp>
                  </a:graphicData>
                </a:graphic>
              </wp:anchor>
            </w:drawing>
          </mc:Choice>
          <mc:Fallback>
            <w:pict>
              <v:rect w14:anchorId="407ED25D" id="Rectángulo 4" o:spid="_x0000_s1026" style="position:absolute;left:0;text-align:left;margin-left:57pt;margin-top:39pt;width:350.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6F33E9" w:rsidRDefault="006F33E9" w:rsidP="006F33E9">
                      <w:pPr>
                        <w:textDirection w:val="btLr"/>
                      </w:pPr>
                    </w:p>
                  </w:txbxContent>
                </v:textbox>
              </v:rect>
            </w:pict>
          </mc:Fallback>
        </mc:AlternateContent>
      </w: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Al respecto, conviene referir que la Conciliación de Nómina Mensual es un documento en el que se detalla, entre otros, </w:t>
      </w:r>
      <w:r w:rsidRPr="00437DF5">
        <w:rPr>
          <w:rFonts w:ascii="Palatino Linotype" w:eastAsia="Palatino Linotype" w:hAnsi="Palatino Linotype" w:cs="Palatino Linotype"/>
          <w:b/>
          <w:color w:val="000000" w:themeColor="text1"/>
          <w:sz w:val="24"/>
          <w:szCs w:val="24"/>
        </w:rPr>
        <w:t>el nombre, puesto funcional, área de adscripción, categoría, así como todas las percepciones brutas y netas  y deducciones que recibe cada servidor público que labora en la entidad</w:t>
      </w:r>
      <w:r w:rsidRPr="00437DF5">
        <w:rPr>
          <w:rFonts w:ascii="Palatino Linotype" w:hAnsi="Palatino Linotype"/>
          <w:b/>
          <w:color w:val="000000" w:themeColor="text1"/>
          <w:sz w:val="24"/>
          <w:szCs w:val="24"/>
          <w:vertAlign w:val="superscript"/>
        </w:rPr>
        <w:footnoteReference w:id="6"/>
      </w:r>
      <w:r w:rsidRPr="00437DF5">
        <w:rPr>
          <w:rFonts w:ascii="Palatino Linotype" w:eastAsia="Palatino Linotype" w:hAnsi="Palatino Linotype" w:cs="Palatino Linotype"/>
          <w:color w:val="000000" w:themeColor="text1"/>
          <w:sz w:val="24"/>
          <w:szCs w:val="24"/>
        </w:rPr>
        <w:t xml:space="preserve">. </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6F33E9" w:rsidRPr="00437DF5" w:rsidRDefault="006F33E9" w:rsidP="00437DF5">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pBdr>
          <w:top w:val="nil"/>
          <w:left w:val="nil"/>
          <w:bottom w:val="nil"/>
          <w:right w:val="nil"/>
          <w:between w:val="nil"/>
        </w:pBdr>
        <w:tabs>
          <w:tab w:val="left" w:pos="426"/>
        </w:tabs>
        <w:spacing w:line="360" w:lineRule="auto"/>
        <w:ind w:right="49"/>
        <w:jc w:val="center"/>
        <w:rPr>
          <w:rFonts w:ascii="Palatino Linotype" w:hAnsi="Palatino Linotype"/>
          <w:color w:val="000000" w:themeColor="text1"/>
          <w:sz w:val="24"/>
          <w:szCs w:val="24"/>
        </w:rPr>
      </w:pPr>
      <w:r w:rsidRPr="00437DF5">
        <w:rPr>
          <w:rFonts w:ascii="Palatino Linotype" w:hAnsi="Palatino Linotype"/>
          <w:color w:val="000000" w:themeColor="text1"/>
          <w:sz w:val="24"/>
          <w:szCs w:val="24"/>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830610905" r:id="rId16"/>
        </w:object>
      </w:r>
      <w:r w:rsidRPr="00437DF5">
        <w:rPr>
          <w:rFonts w:ascii="Palatino Linotype" w:hAnsi="Palatino Linotype"/>
          <w:noProof/>
          <w:color w:val="000000" w:themeColor="text1"/>
          <w:sz w:val="24"/>
          <w:szCs w:val="24"/>
        </w:rPr>
        <mc:AlternateContent>
          <mc:Choice Requires="wps">
            <w:drawing>
              <wp:anchor distT="0" distB="0" distL="114300" distR="114300" simplePos="0" relativeHeight="251662336" behindDoc="0" locked="0" layoutInCell="1" hidden="0" allowOverlap="1" wp14:anchorId="5FE297D7" wp14:editId="12E7F3C4">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6F33E9" w:rsidRDefault="006F33E9" w:rsidP="006F33E9">
                            <w:pPr>
                              <w:textDirection w:val="btLr"/>
                            </w:pPr>
                          </w:p>
                        </w:txbxContent>
                      </wps:txbx>
                      <wps:bodyPr spcFirstLastPara="1" wrap="square" lIns="91425" tIns="91425" rIns="91425" bIns="91425" anchor="ctr" anchorCtr="0">
                        <a:noAutofit/>
                      </wps:bodyPr>
                    </wps:wsp>
                  </a:graphicData>
                </a:graphic>
              </wp:anchor>
            </w:drawing>
          </mc:Choice>
          <mc:Fallback>
            <w:pict>
              <v:rect w14:anchorId="5FE297D7" id="Rectángulo 5" o:spid="_x0000_s1027" style="position:absolute;left:0;text-align:left;margin-left:280pt;margin-top:38pt;width:39.35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6F33E9" w:rsidRDefault="006F33E9" w:rsidP="006F33E9">
                      <w:pPr>
                        <w:textDirection w:val="btLr"/>
                      </w:pPr>
                    </w:p>
                  </w:txbxContent>
                </v:textbox>
              </v:rect>
            </w:pict>
          </mc:Fallback>
        </mc:AlternateContent>
      </w:r>
      <w:r w:rsidRPr="00437DF5">
        <w:rPr>
          <w:rFonts w:ascii="Palatino Linotype" w:hAnsi="Palatino Linotype"/>
          <w:noProof/>
          <w:color w:val="000000" w:themeColor="text1"/>
          <w:sz w:val="24"/>
          <w:szCs w:val="24"/>
        </w:rPr>
        <mc:AlternateContent>
          <mc:Choice Requires="wps">
            <w:drawing>
              <wp:anchor distT="0" distB="0" distL="114300" distR="114300" simplePos="0" relativeHeight="251663360" behindDoc="0" locked="0" layoutInCell="1" hidden="0" allowOverlap="1" wp14:anchorId="677F65D1" wp14:editId="1D71E4EF">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6F33E9" w:rsidRDefault="006F33E9" w:rsidP="006F33E9">
                            <w:pPr>
                              <w:textDirection w:val="btLr"/>
                            </w:pPr>
                          </w:p>
                        </w:txbxContent>
                      </wps:txbx>
                      <wps:bodyPr spcFirstLastPara="1" wrap="square" lIns="91425" tIns="91425" rIns="91425" bIns="91425" anchor="ctr" anchorCtr="0">
                        <a:noAutofit/>
                      </wps:bodyPr>
                    </wps:wsp>
                  </a:graphicData>
                </a:graphic>
              </wp:anchor>
            </w:drawing>
          </mc:Choice>
          <mc:Fallback>
            <w:pict>
              <v:rect w14:anchorId="677F65D1" id="Rectángulo 6" o:spid="_x0000_s1028" style="position:absolute;left:0;text-align:left;margin-left:205pt;margin-top:36pt;width:29.9pt;height:1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6F33E9" w:rsidRDefault="006F33E9" w:rsidP="006F33E9">
                      <w:pPr>
                        <w:textDirection w:val="btLr"/>
                      </w:pPr>
                    </w:p>
                  </w:txbxContent>
                </v:textbox>
              </v:rect>
            </w:pict>
          </mc:Fallback>
        </mc:AlternateContent>
      </w:r>
    </w:p>
    <w:p w:rsidR="006F33E9" w:rsidRPr="00437DF5" w:rsidRDefault="006F33E9" w:rsidP="00437DF5">
      <w:pPr>
        <w:pBdr>
          <w:top w:val="nil"/>
          <w:left w:val="nil"/>
          <w:bottom w:val="nil"/>
          <w:right w:val="nil"/>
          <w:between w:val="nil"/>
        </w:pBdr>
        <w:tabs>
          <w:tab w:val="left" w:pos="426"/>
        </w:tabs>
        <w:spacing w:line="360" w:lineRule="auto"/>
        <w:ind w:right="49"/>
        <w:jc w:val="center"/>
        <w:rPr>
          <w:rFonts w:ascii="Palatino Linotype" w:hAnsi="Palatino Linotype"/>
          <w:color w:val="000000" w:themeColor="text1"/>
          <w:sz w:val="24"/>
          <w:szCs w:val="24"/>
        </w:rPr>
      </w:pPr>
      <w:r w:rsidRPr="00437DF5">
        <w:rPr>
          <w:rFonts w:ascii="Palatino Linotype" w:hAnsi="Palatino Linotype"/>
          <w:color w:val="000000" w:themeColor="text1"/>
          <w:sz w:val="24"/>
          <w:szCs w:val="24"/>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830610906" r:id="rId18"/>
        </w:object>
      </w:r>
    </w:p>
    <w:p w:rsidR="006F33E9" w:rsidRPr="00437DF5" w:rsidRDefault="006F33E9" w:rsidP="00437DF5">
      <w:pPr>
        <w:pBdr>
          <w:top w:val="nil"/>
          <w:left w:val="nil"/>
          <w:bottom w:val="nil"/>
          <w:right w:val="nil"/>
          <w:between w:val="nil"/>
        </w:pBdr>
        <w:tabs>
          <w:tab w:val="left" w:pos="426"/>
        </w:tabs>
        <w:spacing w:line="360" w:lineRule="auto"/>
        <w:ind w:right="49"/>
        <w:jc w:val="center"/>
        <w:rPr>
          <w:rFonts w:ascii="Palatino Linotype" w:hAnsi="Palatino Linotype"/>
          <w:color w:val="000000" w:themeColor="text1"/>
          <w:sz w:val="24"/>
          <w:szCs w:val="24"/>
        </w:rPr>
      </w:pPr>
      <w:r w:rsidRPr="00437DF5">
        <w:rPr>
          <w:rFonts w:ascii="Palatino Linotype" w:hAnsi="Palatino Linotype"/>
          <w:color w:val="000000" w:themeColor="text1"/>
          <w:sz w:val="24"/>
          <w:szCs w:val="24"/>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830610907" r:id="rId20"/>
        </w:object>
      </w:r>
    </w:p>
    <w:p w:rsidR="006F33E9" w:rsidRDefault="006F33E9" w:rsidP="00437DF5">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6A2A81" w:rsidRPr="00437DF5" w:rsidRDefault="006A2A81" w:rsidP="00437DF5">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Ahora bien, se debe de señalar que de la información solicitada por el </w:t>
      </w:r>
      <w:r w:rsidRPr="00437DF5">
        <w:rPr>
          <w:rFonts w:ascii="Palatino Linotype" w:eastAsia="Palatino Linotype" w:hAnsi="Palatino Linotype" w:cs="Palatino Linotype"/>
          <w:b/>
          <w:color w:val="000000" w:themeColor="text1"/>
          <w:sz w:val="24"/>
          <w:szCs w:val="24"/>
        </w:rPr>
        <w:t xml:space="preserve">RECURRENTE </w:t>
      </w:r>
      <w:r w:rsidRPr="00437DF5">
        <w:rPr>
          <w:rFonts w:ascii="Palatino Linotype" w:eastAsia="Palatino Linotype" w:hAnsi="Palatino Linotype" w:cs="Palatino Linotype"/>
          <w:color w:val="000000" w:themeColor="text1"/>
          <w:sz w:val="24"/>
          <w:szCs w:val="24"/>
        </w:rPr>
        <w:t xml:space="preserve">existen datos que son susceptibles de clasificarse como confidenciales, siendo de manera enunciativa más no limitativa los siguientes. </w:t>
      </w:r>
    </w:p>
    <w:p w:rsidR="006F33E9"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A2A81" w:rsidRPr="00437DF5" w:rsidRDefault="006A2A81"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color w:val="000000" w:themeColor="text1"/>
          <w:sz w:val="24"/>
          <w:szCs w:val="24"/>
        </w:rPr>
        <w:lastRenderedPageBreak/>
        <w:t>Registro Federal de Contribuyentes</w:t>
      </w:r>
      <w:r w:rsidRPr="00437DF5">
        <w:rPr>
          <w:rFonts w:ascii="Palatino Linotype" w:eastAsia="Palatino Linotype" w:hAnsi="Palatino Linotype" w:cs="Palatino Linotype"/>
          <w:color w:val="000000" w:themeColor="text1"/>
          <w:sz w:val="24"/>
          <w:szCs w:val="24"/>
        </w:rPr>
        <w:t xml:space="preserve"> (RFC)</w:t>
      </w: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lang w:val="es-ES_tradnl"/>
        </w:rPr>
        <w:t>De</w:t>
      </w:r>
      <w:r w:rsidRPr="00437DF5">
        <w:rPr>
          <w:rFonts w:ascii="Palatino Linotype" w:eastAsia="Palatino Linotype" w:hAnsi="Palatino Linotype" w:cs="Palatino Linotype"/>
          <w:color w:val="000000" w:themeColor="text1"/>
          <w:sz w:val="24"/>
          <w:szCs w:val="24"/>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Ahora bien, la clave del Registro Federal de Contribuyentes es el medio de </w:t>
      </w:r>
      <w:r w:rsidRPr="00437DF5">
        <w:rPr>
          <w:rFonts w:ascii="Palatino Linotype" w:eastAsia="Palatino Linotype" w:hAnsi="Palatino Linotype" w:cs="Palatino Linotype"/>
          <w:color w:val="000000" w:themeColor="text1"/>
          <w:sz w:val="24"/>
          <w:szCs w:val="24"/>
          <w:lang w:val="es-ES_tradnl"/>
        </w:rPr>
        <w:t>control</w:t>
      </w:r>
      <w:r w:rsidRPr="00437DF5">
        <w:rPr>
          <w:rFonts w:ascii="Palatino Linotype" w:eastAsia="Palatino Linotype" w:hAnsi="Palatino Linotype" w:cs="Palatino Linotype"/>
          <w:color w:val="000000" w:themeColor="text1"/>
          <w:sz w:val="24"/>
          <w:szCs w:val="24"/>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6F33E9" w:rsidRPr="00437DF5" w:rsidRDefault="006F33E9"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w:t>
      </w:r>
      <w:r w:rsidRPr="00437DF5">
        <w:rPr>
          <w:rFonts w:ascii="Palatino Linotype" w:eastAsia="Palatino Linotype" w:hAnsi="Palatino Linotype" w:cs="Palatino Linotype"/>
          <w:color w:val="000000" w:themeColor="text1"/>
          <w:sz w:val="24"/>
          <w:szCs w:val="24"/>
        </w:rPr>
        <w:lastRenderedPageBreak/>
        <w:t xml:space="preserve">únicamente para las personas involucradas, en el pago de estos, en el presente caso, del pago del Impuesto Sobre el Producto del Trabajo. </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Lo anterior, resulta congruente con el Criterio 19/17 emitido por el Instituto </w:t>
      </w:r>
      <w:r w:rsidRPr="00437DF5">
        <w:rPr>
          <w:rFonts w:ascii="Palatino Linotype" w:eastAsia="Palatino Linotype" w:hAnsi="Palatino Linotype" w:cs="Palatino Linotype"/>
          <w:color w:val="000000" w:themeColor="text1"/>
          <w:sz w:val="24"/>
          <w:szCs w:val="24"/>
          <w:lang w:val="es-ES_tradnl"/>
        </w:rPr>
        <w:t>Nacional</w:t>
      </w:r>
      <w:r w:rsidRPr="00437DF5">
        <w:rPr>
          <w:rFonts w:ascii="Palatino Linotype" w:eastAsia="Palatino Linotype" w:hAnsi="Palatino Linotype" w:cs="Palatino Linotype"/>
          <w:color w:val="000000" w:themeColor="text1"/>
          <w:sz w:val="24"/>
          <w:szCs w:val="24"/>
        </w:rPr>
        <w:t xml:space="preserve"> de Transparencia, Acceso a la Información y Protección de Datos Personales, vigente a la fecha de la solicitud,  en el cual se señala lo siguiente:</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r w:rsidRPr="00437DF5">
        <w:rPr>
          <w:rFonts w:ascii="Palatino Linotype" w:eastAsia="Palatino Linotype" w:hAnsi="Palatino Linotype" w:cs="Palatino Linotype"/>
          <w:b/>
          <w:i/>
          <w:color w:val="000000" w:themeColor="text1"/>
          <w:sz w:val="24"/>
          <w:szCs w:val="24"/>
        </w:rPr>
        <w:t>Registro Federal de Contribuyentes (RFC) de personas físicas</w:t>
      </w:r>
      <w:r w:rsidRPr="00437DF5">
        <w:rPr>
          <w:rFonts w:ascii="Palatino Linotype" w:eastAsia="Palatino Linotype" w:hAnsi="Palatino Linotype" w:cs="Palatino Linotype"/>
          <w:i/>
          <w:color w:val="000000" w:themeColor="text1"/>
          <w:sz w:val="24"/>
          <w:szCs w:val="24"/>
        </w:rPr>
        <w:t>. El RFC es una clave de carácter fiscal, única e irrepetible, que permite identificar al titular, su edad y fecha de nacimiento, por lo que es un dato personal de carácter confidencial.”</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spacing w:line="360" w:lineRule="auto"/>
        <w:ind w:right="49"/>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Clave única de Registro de Población –CURP-.</w:t>
      </w: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artículo 36 de la Constitución Política de los Estados Unidos Mexicanos, dispone la obligación de los ciudadanos de inscribirse en el Registro </w:t>
      </w:r>
      <w:r w:rsidRPr="00437DF5">
        <w:rPr>
          <w:rFonts w:ascii="Palatino Linotype" w:eastAsia="Palatino Linotype" w:hAnsi="Palatino Linotype" w:cs="Palatino Linotype"/>
          <w:color w:val="000000" w:themeColor="text1"/>
          <w:sz w:val="24"/>
          <w:szCs w:val="24"/>
          <w:lang w:val="es-ES_tradnl"/>
        </w:rPr>
        <w:t>Nacional</w:t>
      </w:r>
      <w:r w:rsidRPr="00437DF5">
        <w:rPr>
          <w:rFonts w:ascii="Palatino Linotype" w:eastAsia="Palatino Linotype" w:hAnsi="Palatino Linotype" w:cs="Palatino Linotype"/>
          <w:color w:val="000000" w:themeColor="text1"/>
          <w:sz w:val="24"/>
          <w:szCs w:val="24"/>
        </w:rPr>
        <w:t xml:space="preserve"> de Ciudadanos. </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El artículo 85 de la Ley General de Población, prevé que corresponde a la Secretaría de Gobernación el registro y acreditación de la identidad de todas las personas residentes en el país y de los nacionales que residan en el extranjero.</w:t>
      </w: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Acorde con lo anterior, el artículo 22 del Reglamento Interior de la Secretaría de Gobernación, establece en su fracción III, que la Dirección </w:t>
      </w:r>
      <w:r w:rsidRPr="00437DF5">
        <w:rPr>
          <w:rFonts w:ascii="Palatino Linotype" w:eastAsia="Palatino Linotype" w:hAnsi="Palatino Linotype" w:cs="Palatino Linotype"/>
          <w:color w:val="000000" w:themeColor="text1"/>
          <w:sz w:val="24"/>
          <w:szCs w:val="24"/>
          <w:lang w:val="es-ES_tradnl"/>
        </w:rPr>
        <w:t>General</w:t>
      </w:r>
      <w:r w:rsidRPr="00437DF5">
        <w:rPr>
          <w:rFonts w:ascii="Palatino Linotype" w:eastAsia="Palatino Linotype" w:hAnsi="Palatino Linotype" w:cs="Palatino Linotype"/>
          <w:color w:val="000000" w:themeColor="text1"/>
          <w:sz w:val="24"/>
          <w:szCs w:val="24"/>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rsidR="006F33E9" w:rsidRPr="00437DF5" w:rsidRDefault="006F33E9" w:rsidP="00437DF5">
      <w:pPr>
        <w:spacing w:line="360" w:lineRule="auto"/>
        <w:ind w:right="49"/>
        <w:jc w:val="both"/>
        <w:rPr>
          <w:rFonts w:ascii="Palatino Linotype" w:eastAsia="Palatino Linotype" w:hAnsi="Palatino Linotype" w:cs="Palatino Linotype"/>
          <w:b/>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lang w:val="es-ES_tradnl"/>
        </w:rPr>
        <w:t>De</w:t>
      </w:r>
      <w:r w:rsidRPr="00437DF5">
        <w:rPr>
          <w:rFonts w:ascii="Palatino Linotype" w:eastAsia="Palatino Linotype" w:hAnsi="Palatino Linotype" w:cs="Palatino Linotype"/>
          <w:color w:val="000000" w:themeColor="text1"/>
          <w:sz w:val="24"/>
          <w:szCs w:val="24"/>
        </w:rPr>
        <w:t xml:space="preserve"> conformidad con lo precisado por la propia Secretaría de Gobernación en la dirección </w:t>
      </w:r>
      <w:hyperlink r:id="rId21">
        <w:r w:rsidRPr="00437DF5">
          <w:rPr>
            <w:rFonts w:ascii="Palatino Linotype" w:eastAsia="Palatino Linotype" w:hAnsi="Palatino Linotype" w:cs="Palatino Linotype"/>
            <w:color w:val="000000" w:themeColor="text1"/>
            <w:sz w:val="24"/>
            <w:szCs w:val="24"/>
            <w:u w:val="single"/>
          </w:rPr>
          <w:t>https://consultas.curp.gob.mx/CurpSP/html/informacionecurpPS.html</w:t>
        </w:r>
      </w:hyperlink>
      <w:r w:rsidRPr="00437DF5">
        <w:rPr>
          <w:rFonts w:ascii="Palatino Linotype" w:eastAsia="Palatino Linotype" w:hAnsi="Palatino Linotype" w:cs="Palatino Linotype"/>
          <w:color w:val="000000" w:themeColor="text1"/>
          <w:sz w:val="24"/>
          <w:szCs w:val="24"/>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37DF5">
        <w:rPr>
          <w:rFonts w:ascii="Palatino Linotype" w:eastAsia="Palatino Linotype" w:hAnsi="Palatino Linotype" w:cs="Palatino Linotype"/>
          <w:b/>
          <w:color w:val="000000" w:themeColor="text1"/>
          <w:sz w:val="24"/>
          <w:szCs w:val="24"/>
        </w:rPr>
        <w:t xml:space="preserve">se generan a partir de los datos contenidos en el documento probatorio de la identidad del interesado </w:t>
      </w:r>
      <w:r w:rsidRPr="00437DF5">
        <w:rPr>
          <w:rFonts w:ascii="Palatino Linotype" w:eastAsia="Palatino Linotype" w:hAnsi="Palatino Linotype" w:cs="Palatino Linotype"/>
          <w:color w:val="000000" w:themeColor="text1"/>
          <w:sz w:val="24"/>
          <w:szCs w:val="24"/>
        </w:rPr>
        <w:t>(acta de nacimiento, carta de naturalización o documento migratorio) de la siguiente forma:</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 • El primero y segundo apellidos, así como al nombre de pila.</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 • La fecha de nacimiento.</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 • El sexo.</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 • La entidad federativa de nacimiento.</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Los dos últimos elementos de la CURP evitan la duplicidad de la Clave y garantizan su correcta integración.</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Como se desprende de lo anterior, la CURP es un dato personal confidencial, ya que por sí sola brinda información personal de su titular y lo hace identificado e identificable, motivo por el cual se aprueba su </w:t>
      </w:r>
      <w:r w:rsidRPr="00437DF5">
        <w:rPr>
          <w:rFonts w:ascii="Palatino Linotype" w:eastAsia="Palatino Linotype" w:hAnsi="Palatino Linotype" w:cs="Palatino Linotype"/>
          <w:color w:val="000000" w:themeColor="text1"/>
          <w:sz w:val="24"/>
          <w:szCs w:val="24"/>
          <w:lang w:val="es-ES_tradnl"/>
        </w:rPr>
        <w:t>eliminación</w:t>
      </w:r>
      <w:r w:rsidRPr="00437DF5">
        <w:rPr>
          <w:rFonts w:ascii="Palatino Linotype" w:eastAsia="Palatino Linotype" w:hAnsi="Palatino Linotype" w:cs="Palatino Linotype"/>
          <w:color w:val="000000" w:themeColor="text1"/>
          <w:sz w:val="24"/>
          <w:szCs w:val="24"/>
        </w:rPr>
        <w:t xml:space="preserve"> de las versiones públicas, por lo que se trata de un trámite administrativo requerido por la autoridad federal para hacer identificables a las personas.</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Resulta aplicable en la especie, como argumento orientador, el Criterio 3/10, </w:t>
      </w:r>
      <w:r w:rsidRPr="00437DF5">
        <w:rPr>
          <w:rFonts w:ascii="Palatino Linotype" w:eastAsia="Palatino Linotype" w:hAnsi="Palatino Linotype" w:cs="Palatino Linotype"/>
          <w:color w:val="000000" w:themeColor="text1"/>
          <w:sz w:val="24"/>
          <w:szCs w:val="24"/>
          <w:lang w:val="es-ES_tradnl"/>
        </w:rPr>
        <w:t>emitido</w:t>
      </w:r>
      <w:r w:rsidRPr="00437DF5">
        <w:rPr>
          <w:rFonts w:ascii="Palatino Linotype" w:eastAsia="Palatino Linotype" w:hAnsi="Palatino Linotype" w:cs="Palatino Linotype"/>
          <w:color w:val="000000" w:themeColor="text1"/>
          <w:sz w:val="24"/>
          <w:szCs w:val="24"/>
        </w:rPr>
        <w:t xml:space="preserve"> por el INAI, </w:t>
      </w:r>
      <w:r w:rsidR="00B144A4" w:rsidRPr="00437DF5">
        <w:rPr>
          <w:rFonts w:ascii="Palatino Linotype" w:eastAsia="Palatino Linotype" w:hAnsi="Palatino Linotype" w:cs="Palatino Linotype"/>
          <w:color w:val="000000" w:themeColor="text1"/>
          <w:sz w:val="24"/>
          <w:szCs w:val="24"/>
        </w:rPr>
        <w:t>vigente a</w:t>
      </w:r>
      <w:r w:rsidRPr="00437DF5">
        <w:rPr>
          <w:rFonts w:ascii="Palatino Linotype" w:eastAsia="Palatino Linotype" w:hAnsi="Palatino Linotype" w:cs="Palatino Linotype"/>
          <w:color w:val="000000" w:themeColor="text1"/>
          <w:sz w:val="24"/>
          <w:szCs w:val="24"/>
        </w:rPr>
        <w:t xml:space="preserve"> la fecha de la solicitud. </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Clave Única de Registro de Población (CURP) es un dato personal confidencial. </w:t>
      </w:r>
      <w:r w:rsidRPr="00437DF5">
        <w:rPr>
          <w:rFonts w:ascii="Palatino Linotype" w:eastAsia="Palatino Linotype" w:hAnsi="Palatino Linotype" w:cs="Palatino Linotype"/>
          <w:i/>
          <w:color w:val="000000" w:themeColor="text1"/>
          <w:sz w:val="24"/>
          <w:szCs w:val="24"/>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 acuerdo con lo anterior, se la clave CURP, es un dato personal confidencial, en términos del artículo 143, fracción I, de la Ley de </w:t>
      </w:r>
      <w:r w:rsidRPr="00437DF5">
        <w:rPr>
          <w:rFonts w:ascii="Palatino Linotype" w:eastAsia="Palatino Linotype" w:hAnsi="Palatino Linotype" w:cs="Palatino Linotype"/>
          <w:color w:val="000000" w:themeColor="text1"/>
          <w:sz w:val="24"/>
          <w:szCs w:val="24"/>
          <w:lang w:val="es-ES_tradnl"/>
        </w:rPr>
        <w:t>Transparencia</w:t>
      </w:r>
      <w:r w:rsidRPr="00437DF5">
        <w:rPr>
          <w:rFonts w:ascii="Palatino Linotype" w:eastAsia="Palatino Linotype" w:hAnsi="Palatino Linotype" w:cs="Palatino Linotype"/>
          <w:color w:val="000000" w:themeColor="text1"/>
          <w:sz w:val="24"/>
          <w:szCs w:val="24"/>
        </w:rPr>
        <w:t xml:space="preserve"> y Acceso a la Información Pública del Estado de México y Municipios.</w:t>
      </w:r>
    </w:p>
    <w:p w:rsidR="006F33E9" w:rsidRPr="00437DF5" w:rsidRDefault="006F33E9" w:rsidP="00437DF5">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Por cuanto hace a la </w:t>
      </w:r>
      <w:r w:rsidRPr="00437DF5">
        <w:rPr>
          <w:rFonts w:ascii="Palatino Linotype" w:eastAsia="Palatino Linotype" w:hAnsi="Palatino Linotype" w:cs="Palatino Linotype"/>
          <w:b/>
          <w:color w:val="000000" w:themeColor="text1"/>
          <w:sz w:val="24"/>
          <w:szCs w:val="24"/>
        </w:rPr>
        <w:t>Clave de cualquier tipo de seguridad social (ISSEMyM, u otros</w:t>
      </w:r>
      <w:r w:rsidRPr="00437DF5">
        <w:rPr>
          <w:rFonts w:ascii="Palatino Linotype" w:eastAsia="Palatino Linotype" w:hAnsi="Palatino Linotype" w:cs="Palatino Linotype"/>
          <w:color w:val="000000" w:themeColor="text1"/>
          <w:sz w:val="24"/>
          <w:szCs w:val="24"/>
        </w:rPr>
        <w:t xml:space="preserve">), está integrado por una secuencia de números con los que se identifica a los trabajadores que cubren las cuotas respectivas, </w:t>
      </w:r>
      <w:r w:rsidRPr="00437DF5">
        <w:rPr>
          <w:rFonts w:ascii="Palatino Linotype" w:eastAsia="Palatino Linotype" w:hAnsi="Palatino Linotype" w:cs="Palatino Linotype"/>
          <w:color w:val="000000" w:themeColor="text1"/>
          <w:sz w:val="24"/>
          <w:szCs w:val="24"/>
          <w:lang w:val="es-ES_tradnl"/>
        </w:rPr>
        <w:t>asimismo</w:t>
      </w:r>
      <w:r w:rsidRPr="00437DF5">
        <w:rPr>
          <w:rFonts w:ascii="Palatino Linotype" w:eastAsia="Palatino Linotype" w:hAnsi="Palatino Linotype" w:cs="Palatino Linotype"/>
          <w:color w:val="000000" w:themeColor="text1"/>
          <w:sz w:val="24"/>
          <w:szCs w:val="24"/>
        </w:rPr>
        <w:t xml:space="preserve">, lo identifica con la fuente de trabajo; por lo que al </w:t>
      </w:r>
      <w:r w:rsidRPr="00437DF5">
        <w:rPr>
          <w:rFonts w:ascii="Palatino Linotype" w:eastAsia="Palatino Linotype" w:hAnsi="Palatino Linotype" w:cs="Palatino Linotype"/>
          <w:color w:val="000000" w:themeColor="text1"/>
          <w:sz w:val="24"/>
          <w:szCs w:val="24"/>
        </w:rPr>
        <w:lastRenderedPageBreak/>
        <w:t>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artículo 9° del mismo ordenamiento, dispone que el ISSEMYM expedirá </w:t>
      </w:r>
      <w:r w:rsidRPr="00437DF5">
        <w:rPr>
          <w:rFonts w:ascii="Palatino Linotype" w:eastAsia="Palatino Linotype" w:hAnsi="Palatino Linotype" w:cs="Palatino Linotype"/>
          <w:color w:val="000000" w:themeColor="text1"/>
          <w:sz w:val="24"/>
          <w:szCs w:val="24"/>
          <w:lang w:val="es-ES_tradnl"/>
        </w:rPr>
        <w:t>documentos</w:t>
      </w:r>
      <w:r w:rsidRPr="00437DF5">
        <w:rPr>
          <w:rFonts w:ascii="Palatino Linotype" w:eastAsia="Palatino Linotype" w:hAnsi="Palatino Linotype" w:cs="Palatino Linotype"/>
          <w:color w:val="000000" w:themeColor="text1"/>
          <w:sz w:val="24"/>
          <w:szCs w:val="24"/>
        </w:rPr>
        <w:t xml:space="preserve">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9"/>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lang w:val="es-ES_tradnl"/>
        </w:rPr>
        <w:t>Como</w:t>
      </w:r>
      <w:r w:rsidRPr="00437DF5">
        <w:rPr>
          <w:rFonts w:ascii="Palatino Linotype" w:eastAsia="Palatino Linotype" w:hAnsi="Palatino Linotype" w:cs="Palatino Linotype"/>
          <w:color w:val="000000" w:themeColor="text1"/>
          <w:sz w:val="24"/>
          <w:szCs w:val="24"/>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6"/>
        </w:numP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lang w:val="es-ES_tradnl"/>
        </w:rPr>
        <w:t>Respecto</w:t>
      </w:r>
      <w:r w:rsidRPr="00437DF5">
        <w:rPr>
          <w:rFonts w:ascii="Palatino Linotype" w:eastAsia="Palatino Linotype" w:hAnsi="Palatino Linotype" w:cs="Palatino Linotype"/>
          <w:color w:val="000000" w:themeColor="text1"/>
          <w:sz w:val="24"/>
          <w:szCs w:val="24"/>
        </w:rPr>
        <w:t xml:space="preserve">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Por su parte, el artículo 84 de la Ley del Trabajo de los Servidores Públicos del Estado y Municipios, señala:</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w:t>
      </w:r>
      <w:r w:rsidRPr="00437DF5">
        <w:rPr>
          <w:rFonts w:ascii="Palatino Linotype" w:eastAsia="Palatino Linotype" w:hAnsi="Palatino Linotype" w:cs="Palatino Linotype"/>
          <w:b/>
          <w:i/>
          <w:color w:val="000000" w:themeColor="text1"/>
          <w:sz w:val="24"/>
          <w:szCs w:val="24"/>
        </w:rPr>
        <w:t>ARTICULO 84. Sólo podrán hacerse retenciones, descuentos o deducciones al sueldo de los servidores públicos por concepto de:</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I. Gravámenes fiscales relacionados con el sueldo;</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i/>
          <w:color w:val="000000" w:themeColor="text1"/>
          <w:sz w:val="24"/>
          <w:szCs w:val="24"/>
        </w:rPr>
        <w:t>II. Deudas contraídas con las instituciones públicas o dependencias</w:t>
      </w:r>
      <w:r w:rsidRPr="00437DF5">
        <w:rPr>
          <w:rFonts w:ascii="Palatino Linotype" w:eastAsia="Palatino Linotype" w:hAnsi="Palatino Linotype" w:cs="Palatino Linotype"/>
          <w:i/>
          <w:color w:val="000000" w:themeColor="text1"/>
          <w:sz w:val="24"/>
          <w:szCs w:val="24"/>
        </w:rPr>
        <w:t xml:space="preserve"> por concepto de anticipos de sueldo, pagos hechos con exceso, errores o pérdidas debidamente comprobados;</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i/>
          <w:color w:val="000000" w:themeColor="text1"/>
          <w:sz w:val="24"/>
          <w:szCs w:val="24"/>
        </w:rPr>
        <w:t>III. Cuotas sindicales</w:t>
      </w: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IV. Cuotas de aportación a fondos para la constitución de cooperativas y de cajas de ahorro, siempre que el servidor público hubiese manifestado previamente, de manera expresa, su conformidad;</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V. Descuentos ordenados por el Instituto de Seguridad Social del Estado de México y Municipios, con motivo de cuotas y obligaciones contraídas con éste por los servidores públicos;</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i/>
          <w:color w:val="000000" w:themeColor="text1"/>
          <w:sz w:val="24"/>
          <w:szCs w:val="24"/>
        </w:rPr>
        <w:t>VI. Obligaciones a cargo del servidor público con las que haya consentido</w:t>
      </w:r>
      <w:r w:rsidRPr="00437DF5">
        <w:rPr>
          <w:rFonts w:ascii="Palatino Linotype" w:eastAsia="Palatino Linotype" w:hAnsi="Palatino Linotype" w:cs="Palatino Linotype"/>
          <w:i/>
          <w:color w:val="000000" w:themeColor="text1"/>
          <w:sz w:val="24"/>
          <w:szCs w:val="24"/>
        </w:rPr>
        <w:t>, derivadas de la adquisición o del uso de habitaciones consideradas como de interés social;</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VII. Faltas de puntualidad o de asistencia injustificadas;</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i/>
          <w:color w:val="000000" w:themeColor="text1"/>
          <w:sz w:val="24"/>
          <w:szCs w:val="24"/>
        </w:rPr>
        <w:t>VIII. Pensiones alimenticias ordenadas por la autoridad judicial;</w:t>
      </w:r>
      <w:r w:rsidRPr="00437DF5">
        <w:rPr>
          <w:rFonts w:ascii="Palatino Linotype" w:eastAsia="Palatino Linotype" w:hAnsi="Palatino Linotype" w:cs="Palatino Linotype"/>
          <w:i/>
          <w:color w:val="000000" w:themeColor="text1"/>
          <w:sz w:val="24"/>
          <w:szCs w:val="24"/>
        </w:rPr>
        <w:t xml:space="preserve"> o</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i/>
          <w:color w:val="000000" w:themeColor="text1"/>
          <w:sz w:val="24"/>
          <w:szCs w:val="24"/>
        </w:rPr>
        <w:t>IX. Cualquier otro convenido con instituciones de servicios y aceptado por el servidor público.</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i/>
          <w:color w:val="000000" w:themeColor="text1"/>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(Énfasis añadido)</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Derivado de lo anterior, la ley establece claramente cuáles son esos descuentos o gravámenes que directamente se relacionan con las obligaciones adquiridas como servidores públicos y aquéllos que </w:t>
      </w:r>
      <w:r w:rsidRPr="00437DF5">
        <w:rPr>
          <w:rFonts w:ascii="Palatino Linotype" w:eastAsia="Palatino Linotype" w:hAnsi="Palatino Linotype" w:cs="Palatino Linotype"/>
          <w:b/>
          <w:color w:val="000000" w:themeColor="text1"/>
          <w:sz w:val="24"/>
          <w:szCs w:val="24"/>
          <w:u w:val="single"/>
        </w:rPr>
        <w:t>únicamente inciden en su vida privada</w:t>
      </w:r>
      <w:r w:rsidRPr="00437DF5">
        <w:rPr>
          <w:rFonts w:ascii="Palatino Linotype" w:eastAsia="Palatino Linotype" w:hAnsi="Palatino Linotype" w:cs="Palatino Linotype"/>
          <w:color w:val="000000" w:themeColor="text1"/>
          <w:sz w:val="24"/>
          <w:szCs w:val="24"/>
        </w:rPr>
        <w:t xml:space="preserve">. De este modo, descuentos por </w:t>
      </w:r>
      <w:r w:rsidRPr="00437DF5">
        <w:rPr>
          <w:rFonts w:ascii="Palatino Linotype" w:eastAsia="Palatino Linotype" w:hAnsi="Palatino Linotype" w:cs="Palatino Linotype"/>
          <w:color w:val="000000" w:themeColor="text1"/>
          <w:sz w:val="24"/>
          <w:szCs w:val="24"/>
          <w:lang w:val="es-ES_tradnl"/>
        </w:rPr>
        <w:t>pensiones</w:t>
      </w:r>
      <w:r w:rsidRPr="00437DF5">
        <w:rPr>
          <w:rFonts w:ascii="Palatino Linotype" w:eastAsia="Palatino Linotype" w:hAnsi="Palatino Linotype" w:cs="Palatino Linotype"/>
          <w:color w:val="000000" w:themeColor="text1"/>
          <w:sz w:val="24"/>
          <w:szCs w:val="24"/>
        </w:rPr>
        <w:t xml:space="preserve"> alimenticias o créditos adquiridos con instituciones privadas o públicas pero que fueron contraídas en forma individual, son información que debe clasificarse como confidencial.</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 Con base en lo expuesto, se insiste que los datos mencionados, que como se ha dicho, deben ser clasificados como confidenciales por tratarse de información privada, toda vez que los datos personales son irrenunciables, </w:t>
      </w:r>
      <w:r w:rsidRPr="00437DF5">
        <w:rPr>
          <w:rFonts w:ascii="Palatino Linotype" w:eastAsia="Palatino Linotype" w:hAnsi="Palatino Linotype" w:cs="Palatino Linotype"/>
          <w:color w:val="000000" w:themeColor="text1"/>
          <w:sz w:val="24"/>
          <w:szCs w:val="24"/>
          <w:lang w:val="es-ES_tradnl"/>
        </w:rPr>
        <w:t>intransferibles</w:t>
      </w:r>
      <w:r w:rsidRPr="00437DF5">
        <w:rPr>
          <w:rFonts w:ascii="Palatino Linotype" w:eastAsia="Palatino Linotype" w:hAnsi="Palatino Linotype" w:cs="Palatino Linotype"/>
          <w:color w:val="000000" w:themeColor="text1"/>
          <w:sz w:val="24"/>
          <w:szCs w:val="24"/>
        </w:rPr>
        <w:t xml:space="preserve"> e indelegables, por lo tanto los sujetos obligados no deben hacer entrega de éstos a persona ajena a su titular, sobre todo cuando traiga implícita que se ponga en riesgo la vida o integridad de una persona.</w:t>
      </w:r>
    </w:p>
    <w:p w:rsidR="006F33E9" w:rsidRPr="00437DF5" w:rsidRDefault="006F33E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Sirven de sustento a lo anterior, las tesis jurisprudenciales P. LX/2000 y 2a. XLIII/</w:t>
      </w:r>
      <w:r w:rsidRPr="00437DF5">
        <w:rPr>
          <w:rFonts w:ascii="Palatino Linotype" w:eastAsia="Palatino Linotype" w:hAnsi="Palatino Linotype" w:cs="Palatino Linotype"/>
          <w:color w:val="000000" w:themeColor="text1"/>
          <w:sz w:val="24"/>
          <w:szCs w:val="24"/>
          <w:lang w:val="es-ES_tradnl"/>
        </w:rPr>
        <w:t>2008</w:t>
      </w:r>
      <w:r w:rsidRPr="00437DF5">
        <w:rPr>
          <w:rFonts w:ascii="Palatino Linotype" w:eastAsia="Palatino Linotype" w:hAnsi="Palatino Linotype" w:cs="Palatino Linotype"/>
          <w:color w:val="000000" w:themeColor="text1"/>
          <w:sz w:val="24"/>
          <w:szCs w:val="24"/>
        </w:rPr>
        <w:t xml:space="preserve"> emitidas por el Peno y la Segunda Sala de la Suprema Corte de Justicia de la Nación, respectivamente, que son del tenor literal siguiente:</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“DERECHO A LA INFORMACIÓN. SU EJERCICIO SE ENCUENTRA LIMITADO TANTO POR LOS INTERESES NACIONALES Y DE LA SOCIEDAD, COMO POR LOS DERECHOS DE TERCEROS. </w:t>
      </w:r>
      <w:r w:rsidRPr="00437DF5">
        <w:rPr>
          <w:rFonts w:ascii="Palatino Linotype" w:eastAsia="Palatino Linotype" w:hAnsi="Palatino Linotype" w:cs="Palatino Linotype"/>
          <w:i/>
          <w:color w:val="000000" w:themeColor="text1"/>
          <w:sz w:val="24"/>
          <w:szCs w:val="24"/>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37DF5">
        <w:rPr>
          <w:rFonts w:ascii="Palatino Linotype" w:eastAsia="Palatino Linotype" w:hAnsi="Palatino Linotype" w:cs="Palatino Linotype"/>
          <w:b/>
          <w:i/>
          <w:color w:val="000000" w:themeColor="text1"/>
          <w:sz w:val="24"/>
          <w:szCs w:val="24"/>
        </w:rPr>
        <w:t>restringen el acceso a la información en esta materia, en razón de que su conocimiento público puede generar daños a los intereses nacionales y, por el otro, sancionan la inobservancia de esa reserva</w:t>
      </w:r>
      <w:r w:rsidRPr="00437DF5">
        <w:rPr>
          <w:rFonts w:ascii="Palatino Linotype" w:eastAsia="Palatino Linotype" w:hAnsi="Palatino Linotype" w:cs="Palatino Linotype"/>
          <w:i/>
          <w:color w:val="000000" w:themeColor="text1"/>
          <w:sz w:val="24"/>
          <w:szCs w:val="24"/>
        </w:rPr>
        <w:t xml:space="preserve">; por lo que hace al interés social, se cuenta con normas que tienden a proteger la averiguación de los delitos, la salud y la moral públicas, </w:t>
      </w:r>
      <w:r w:rsidRPr="00437DF5">
        <w:rPr>
          <w:rFonts w:ascii="Palatino Linotype" w:eastAsia="Palatino Linotype" w:hAnsi="Palatino Linotype" w:cs="Palatino Linotype"/>
          <w:b/>
          <w:i/>
          <w:color w:val="000000" w:themeColor="text1"/>
          <w:sz w:val="24"/>
          <w:szCs w:val="24"/>
        </w:rPr>
        <w:t>mientras que por lo que respecta a la protección de la persona existen normas que protegen el derecho a la vida o a la privacidad de los gobernados</w:t>
      </w:r>
      <w:r w:rsidRPr="00437DF5">
        <w:rPr>
          <w:rFonts w:ascii="Palatino Linotype" w:eastAsia="Palatino Linotype" w:hAnsi="Palatino Linotype" w:cs="Palatino Linotype"/>
          <w:i/>
          <w:color w:val="000000" w:themeColor="text1"/>
          <w:sz w:val="24"/>
          <w:szCs w:val="24"/>
        </w:rPr>
        <w:t>.”</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lastRenderedPageBreak/>
        <w:t xml:space="preserve">“TRANSPARENCIA Y ACCESO A LA INFORMACIÓN PÚBLICA GUBERNAMENTAL. EL ARTÍCULO 14, FRACCIÓN I, DE LA LEY FEDERAL RELATIVA, NO VIOLA LA GARANTÍA DE ACCESO A LA INFORMACIÓN. </w:t>
      </w:r>
      <w:r w:rsidRPr="00437DF5">
        <w:rPr>
          <w:rFonts w:ascii="Palatino Linotype" w:eastAsia="Palatino Linotype" w:hAnsi="Palatino Linotype" w:cs="Palatino Linotype"/>
          <w:i/>
          <w:color w:val="000000" w:themeColor="text1"/>
          <w:sz w:val="24"/>
          <w:szCs w:val="24"/>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37DF5">
        <w:rPr>
          <w:rFonts w:ascii="Palatino Linotype" w:eastAsia="Palatino Linotype" w:hAnsi="Palatino Linotype" w:cs="Palatino Linotype"/>
          <w:b/>
          <w:i/>
          <w:color w:val="000000" w:themeColor="text1"/>
          <w:sz w:val="24"/>
          <w:szCs w:val="24"/>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37DF5">
        <w:rPr>
          <w:rFonts w:ascii="Palatino Linotype" w:eastAsia="Palatino Linotype" w:hAnsi="Palatino Linotype" w:cs="Palatino Linotype"/>
          <w:i/>
          <w:color w:val="000000" w:themeColor="text1"/>
          <w:sz w:val="24"/>
          <w:szCs w:val="24"/>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6F33E9" w:rsidRPr="00437DF5" w:rsidRDefault="006F33E9" w:rsidP="00437DF5">
      <w:pPr>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También, el número de cuenta bancario, en el Criterio 10/17 emitido por el </w:t>
      </w:r>
      <w:r w:rsidRPr="00437DF5">
        <w:rPr>
          <w:rFonts w:ascii="Palatino Linotype" w:eastAsia="Palatino Linotype" w:hAnsi="Palatino Linotype" w:cs="Palatino Linotype"/>
          <w:color w:val="000000" w:themeColor="text1"/>
          <w:sz w:val="24"/>
          <w:szCs w:val="24"/>
          <w:lang w:val="es-ES_tradnl"/>
        </w:rPr>
        <w:t>Pleno</w:t>
      </w:r>
      <w:r w:rsidRPr="00437DF5">
        <w:rPr>
          <w:rFonts w:ascii="Palatino Linotype" w:eastAsia="Palatino Linotype" w:hAnsi="Palatino Linotype" w:cs="Palatino Linotype"/>
          <w:color w:val="000000" w:themeColor="text1"/>
          <w:sz w:val="24"/>
          <w:szCs w:val="24"/>
        </w:rPr>
        <w:t xml:space="preserve"> del Instituto Nacional de Transparencia, Acceso a la Informa</w:t>
      </w:r>
      <w:r w:rsidRPr="00437DF5">
        <w:rPr>
          <w:rFonts w:ascii="Palatino Linotype" w:eastAsia="Palatino Linotype" w:hAnsi="Palatino Linotype" w:cs="Palatino Linotype"/>
          <w:color w:val="000000" w:themeColor="text1"/>
          <w:sz w:val="24"/>
          <w:szCs w:val="24"/>
          <w:lang w:val="es-ES_tradnl"/>
        </w:rPr>
        <w:t>c</w:t>
      </w:r>
      <w:r w:rsidRPr="00437DF5">
        <w:rPr>
          <w:rFonts w:ascii="Palatino Linotype" w:eastAsia="Palatino Linotype" w:hAnsi="Palatino Linotype" w:cs="Palatino Linotype"/>
          <w:color w:val="000000" w:themeColor="text1"/>
          <w:sz w:val="24"/>
          <w:szCs w:val="24"/>
        </w:rPr>
        <w:t>ión y Protección de Datos Personales  se establece lo siguiente:</w:t>
      </w:r>
    </w:p>
    <w:p w:rsidR="006F33E9" w:rsidRPr="00437DF5" w:rsidRDefault="006F33E9" w:rsidP="00437DF5">
      <w:pPr>
        <w:shd w:val="clear" w:color="auto" w:fill="FFFFFF"/>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w:t>
      </w:r>
      <w:r w:rsidRPr="00437DF5">
        <w:rPr>
          <w:rFonts w:ascii="Palatino Linotype" w:eastAsia="Palatino Linotype" w:hAnsi="Palatino Linotype" w:cs="Palatino Linotype"/>
          <w:b/>
          <w:i/>
          <w:color w:val="000000" w:themeColor="text1"/>
          <w:sz w:val="24"/>
          <w:szCs w:val="24"/>
        </w:rPr>
        <w:t>Cuentas bancarias y/o CLABE interbancaria de personas físicas y morales privadas.</w:t>
      </w:r>
      <w:r w:rsidRPr="00437DF5">
        <w:rPr>
          <w:rFonts w:ascii="Palatino Linotype" w:eastAsia="Palatino Linotype" w:hAnsi="Palatino Linotype" w:cs="Palatino Linotype"/>
          <w:i/>
          <w:color w:val="000000" w:themeColor="text1"/>
          <w:sz w:val="24"/>
          <w:szCs w:val="24"/>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437DF5">
        <w:rPr>
          <w:rFonts w:ascii="Palatino Linotype" w:eastAsia="Palatino Linotype" w:hAnsi="Palatino Linotype" w:cs="Palatino Linotype"/>
          <w:i/>
          <w:color w:val="000000" w:themeColor="text1"/>
          <w:sz w:val="24"/>
          <w:szCs w:val="24"/>
        </w:rPr>
        <w:lastRenderedPageBreak/>
        <w:t>fundamento en los artículos 116 de la Ley General de Transparencia y Acceso a la Información Pública y 113 de la Ley Federal de Transparencia y Acceso a la Información Pública</w:t>
      </w:r>
      <w:r w:rsidRPr="00437DF5">
        <w:rPr>
          <w:rFonts w:ascii="Palatino Linotype" w:eastAsia="Palatino Linotype" w:hAnsi="Palatino Linotype" w:cs="Palatino Linotype"/>
          <w:color w:val="000000" w:themeColor="text1"/>
          <w:sz w:val="24"/>
          <w:szCs w:val="24"/>
        </w:rPr>
        <w:t>.”</w:t>
      </w:r>
    </w:p>
    <w:p w:rsidR="006F33E9" w:rsidRPr="00437DF5" w:rsidRDefault="006F33E9" w:rsidP="00437DF5">
      <w:pPr>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6F33E9" w:rsidRPr="00437DF5" w:rsidRDefault="006F33E9" w:rsidP="00437DF5">
      <w:pPr>
        <w:spacing w:line="360" w:lineRule="auto"/>
        <w:ind w:right="49"/>
        <w:jc w:val="both"/>
        <w:rPr>
          <w:rFonts w:ascii="Palatino Linotype" w:eastAsia="Palatino Linotype" w:hAnsi="Palatino Linotype" w:cs="Palatino Linotype"/>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437DF5">
        <w:rPr>
          <w:rFonts w:ascii="Palatino Linotype" w:eastAsia="Palatino Linotype" w:hAnsi="Palatino Linotype" w:cs="Palatino Linotype"/>
          <w:color w:val="000000" w:themeColor="text1"/>
          <w:sz w:val="24"/>
          <w:szCs w:val="24"/>
          <w:lang w:val="es-ES_tradnl"/>
        </w:rPr>
        <w:t>aplicable</w:t>
      </w:r>
      <w:r w:rsidRPr="00437DF5">
        <w:rPr>
          <w:rFonts w:ascii="Palatino Linotype" w:eastAsia="Palatino Linotype" w:hAnsi="Palatino Linotype" w:cs="Palatino Linotype"/>
          <w:color w:val="000000" w:themeColor="text1"/>
          <w:sz w:val="24"/>
          <w:szCs w:val="24"/>
        </w:rPr>
        <w:t xml:space="preserve"> como orientador el criterio número 15/10 emitido por el entonces Instituto Federal de Transparencia y Acceso a la Información (INAI, cuyo texto y sentido literal es el siguiente:</w:t>
      </w:r>
    </w:p>
    <w:p w:rsidR="006F33E9" w:rsidRPr="00437DF5" w:rsidRDefault="006F33E9" w:rsidP="00437DF5">
      <w:pPr>
        <w:shd w:val="clear" w:color="auto" w:fill="FFFFFF"/>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“El número de ficha de identificación única de los trabajadores es información de carácter confidencial.</w:t>
      </w:r>
      <w:r w:rsidRPr="00437DF5">
        <w:rPr>
          <w:rFonts w:ascii="Palatino Linotype" w:eastAsia="Palatino Linotype" w:hAnsi="Palatino Linotype" w:cs="Palatino Linotype"/>
          <w:i/>
          <w:color w:val="000000" w:themeColor="text1"/>
          <w:sz w:val="24"/>
          <w:szCs w:val="24"/>
        </w:rPr>
        <w:t> </w:t>
      </w:r>
      <w:r w:rsidRPr="00437DF5">
        <w:rPr>
          <w:rFonts w:ascii="Palatino Linotype" w:eastAsia="Palatino Linotype" w:hAnsi="Palatino Linotype" w:cs="Palatino Linotype"/>
          <w:i/>
          <w:color w:val="000000" w:themeColor="text1"/>
          <w:sz w:val="24"/>
          <w:szCs w:val="24"/>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37DF5">
        <w:rPr>
          <w:rFonts w:ascii="Palatino Linotype" w:eastAsia="Palatino Linotype" w:hAnsi="Palatino Linotype" w:cs="Palatino Linotype"/>
          <w:i/>
          <w:color w:val="000000" w:themeColor="text1"/>
          <w:sz w:val="24"/>
          <w:szCs w:val="24"/>
        </w:rPr>
        <w:t>, </w:t>
      </w:r>
      <w:r w:rsidRPr="00437DF5">
        <w:rPr>
          <w:rFonts w:ascii="Palatino Linotype" w:eastAsia="Palatino Linotype" w:hAnsi="Palatino Linotype" w:cs="Palatino Linotype"/>
          <w:i/>
          <w:color w:val="000000" w:themeColor="text1"/>
          <w:sz w:val="24"/>
          <w:szCs w:val="24"/>
          <w:u w:val="single"/>
        </w:rPr>
        <w:t>dicha información es susceptible de clasificarse con el carácter de confidencial</w:t>
      </w:r>
      <w:r w:rsidRPr="00437DF5">
        <w:rPr>
          <w:rFonts w:ascii="Palatino Linotype" w:eastAsia="Palatino Linotype" w:hAnsi="Palatino Linotype" w:cs="Palatino Linotype"/>
          <w:i/>
          <w:color w:val="000000" w:themeColor="text1"/>
          <w:sz w:val="24"/>
          <w:szCs w:val="24"/>
        </w:rPr>
        <w:t xml:space="preserve">, en términos de lo establecido en el artículo 18, fracción II de la Ley Federal de </w:t>
      </w:r>
      <w:r w:rsidRPr="00437DF5">
        <w:rPr>
          <w:rFonts w:ascii="Palatino Linotype" w:eastAsia="Palatino Linotype" w:hAnsi="Palatino Linotype" w:cs="Palatino Linotype"/>
          <w:i/>
          <w:color w:val="000000" w:themeColor="text1"/>
          <w:sz w:val="24"/>
          <w:szCs w:val="24"/>
        </w:rPr>
        <w:lastRenderedPageBreak/>
        <w:t>Transparencia y Acceso a la Información Pública Gubernamental, en virtud de que a través de la misma es posible conocer información personal de su titular.”</w:t>
      </w:r>
    </w:p>
    <w:p w:rsidR="006F33E9" w:rsidRPr="00437DF5" w:rsidRDefault="006F33E9" w:rsidP="00437DF5">
      <w:pPr>
        <w:shd w:val="clear" w:color="auto" w:fill="FFFFFF"/>
        <w:ind w:right="49"/>
        <w:jc w:val="both"/>
        <w:rPr>
          <w:rFonts w:ascii="Palatino Linotype" w:eastAsia="Palatino Linotype" w:hAnsi="Palatino Linotype" w:cs="Palatino Linotype"/>
          <w:i/>
          <w:color w:val="000000" w:themeColor="text1"/>
          <w:sz w:val="24"/>
          <w:szCs w:val="24"/>
        </w:rPr>
      </w:pPr>
    </w:p>
    <w:p w:rsidR="006F33E9" w:rsidRPr="00437DF5" w:rsidRDefault="006F33E9"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 lo anterior, se debe de mencionar que el </w:t>
      </w:r>
      <w:r w:rsidRPr="00437DF5">
        <w:rPr>
          <w:rFonts w:ascii="Palatino Linotype" w:eastAsia="Palatino Linotype" w:hAnsi="Palatino Linotype" w:cs="Palatino Linotype"/>
          <w:b/>
          <w:color w:val="000000" w:themeColor="text1"/>
          <w:sz w:val="24"/>
          <w:szCs w:val="24"/>
        </w:rPr>
        <w:t xml:space="preserve">SUJETO OBLIGADO </w:t>
      </w:r>
      <w:r w:rsidRPr="00437DF5">
        <w:rPr>
          <w:rFonts w:ascii="Palatino Linotype" w:eastAsia="Palatino Linotype" w:hAnsi="Palatino Linotype" w:cs="Palatino Linotype"/>
          <w:color w:val="000000" w:themeColor="text1"/>
          <w:sz w:val="24"/>
          <w:szCs w:val="24"/>
        </w:rPr>
        <w:t xml:space="preserve">deberá </w:t>
      </w:r>
      <w:r w:rsidRPr="00437DF5">
        <w:rPr>
          <w:rFonts w:ascii="Palatino Linotype" w:eastAsia="Palatino Linotype" w:hAnsi="Palatino Linotype" w:cs="Palatino Linotype"/>
          <w:color w:val="000000" w:themeColor="text1"/>
          <w:sz w:val="24"/>
          <w:szCs w:val="24"/>
          <w:lang w:val="es-ES_tradnl"/>
        </w:rPr>
        <w:t>de</w:t>
      </w:r>
      <w:r w:rsidRPr="00437DF5">
        <w:rPr>
          <w:rFonts w:ascii="Palatino Linotype" w:eastAsia="Palatino Linotype" w:hAnsi="Palatino Linotype" w:cs="Palatino Linotype"/>
          <w:color w:val="000000" w:themeColor="text1"/>
          <w:sz w:val="24"/>
          <w:szCs w:val="24"/>
        </w:rPr>
        <w:t xml:space="preserve"> realizar un análisis respecto al número de empleado, ya que este solo deberá de ser clasificado como confidencial si tiene relación con datos personales de los servidores públicos.</w:t>
      </w:r>
    </w:p>
    <w:p w:rsidR="0025292C" w:rsidRPr="00437DF5" w:rsidRDefault="0025292C"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25292C"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Lo anterior, </w:t>
      </w:r>
      <w:r w:rsidR="007D0A60" w:rsidRPr="00437DF5">
        <w:rPr>
          <w:rFonts w:ascii="Palatino Linotype" w:eastAsia="Palatino Linotype" w:hAnsi="Palatino Linotype" w:cs="Palatino Linotype"/>
          <w:bCs/>
          <w:color w:val="000000" w:themeColor="text1"/>
          <w:sz w:val="24"/>
          <w:szCs w:val="24"/>
        </w:rPr>
        <w:t xml:space="preserve">en atención al </w:t>
      </w:r>
      <w:r w:rsidR="007D0A60" w:rsidRPr="00437DF5">
        <w:rPr>
          <w:rFonts w:ascii="Palatino Linotype" w:eastAsia="Palatino Linotype" w:hAnsi="Palatino Linotype" w:cs="Palatino Linotype"/>
          <w:color w:val="000000" w:themeColor="text1"/>
          <w:sz w:val="24"/>
          <w:szCs w:val="24"/>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7D0A60" w:rsidRPr="00437DF5" w:rsidRDefault="007D0A60"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color w:val="000000" w:themeColor="text1"/>
          <w:sz w:val="24"/>
          <w:szCs w:val="24"/>
        </w:rPr>
        <w:t>Además, debemos tomar en cuenta los artículos 4 y 12, de la Ley de Transparencia y Acceso a la Información Pública del Estado de México y Municipios, los cuales establecen lo siguiente:</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4.</w:t>
      </w:r>
      <w:r w:rsidRPr="00437DF5">
        <w:rPr>
          <w:rFonts w:ascii="Palatino Linotype" w:eastAsia="Palatino Linotype" w:hAnsi="Palatino Linotype" w:cs="Palatino Linotype"/>
          <w:i/>
          <w:color w:val="000000" w:themeColor="text1"/>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12.</w:t>
      </w:r>
      <w:r w:rsidRPr="00437DF5">
        <w:rPr>
          <w:rFonts w:ascii="Palatino Linotype" w:eastAsia="Palatino Linotype" w:hAnsi="Palatino Linotype" w:cs="Palatino Linotype"/>
          <w:i/>
          <w:color w:val="000000" w:themeColor="text1"/>
          <w:sz w:val="24"/>
          <w:szCs w:val="24"/>
        </w:rPr>
        <w:t xml:space="preserve"> Quienes generen, recopilen, administren, manejen, procesen, archiven o conserven información pública serán responsables de la misma en los términos de las disposiciones jurídicas aplicables. </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D0A60" w:rsidRPr="00437DF5" w:rsidRDefault="007D0A60" w:rsidP="00437DF5">
      <w:pPr>
        <w:spacing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7D0A60" w:rsidRPr="00437DF5" w:rsidRDefault="007D0A60" w:rsidP="00437DF5">
      <w:pPr>
        <w:spacing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ACCESO A LA INFORMACIÓN. IMPLICACIÓN DEL PRINCIPIO DE MÁXIMA PUBLICIDAD EN EL DERECHO FUNDAMENTAL RELATIVO.</w:t>
      </w:r>
      <w:r w:rsidRPr="00437DF5">
        <w:rPr>
          <w:rFonts w:ascii="Palatino Linotype" w:eastAsia="Palatino Linotype" w:hAnsi="Palatino Linotype" w:cs="Palatino Linotype"/>
          <w:i/>
          <w:color w:val="000000" w:themeColor="text1"/>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w:t>
      </w:r>
      <w:r w:rsidRPr="00437DF5">
        <w:rPr>
          <w:rFonts w:ascii="Palatino Linotype" w:eastAsia="Palatino Linotype" w:hAnsi="Palatino Linotype" w:cs="Palatino Linotype"/>
          <w:i/>
          <w:color w:val="000000" w:themeColor="text1"/>
          <w:sz w:val="24"/>
          <w:szCs w:val="24"/>
        </w:rPr>
        <w:lastRenderedPageBreak/>
        <w:t xml:space="preserve">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Como se ha señalado, los Sujetos Obligados deberán proporcionar toda la información que se encuentre en su posesión bajo los estándares más altos de transparencia y máxima publicidad. </w:t>
      </w:r>
    </w:p>
    <w:p w:rsidR="007D0A60" w:rsidRPr="00437DF5" w:rsidRDefault="007D0A60" w:rsidP="00437DF5">
      <w:pPr>
        <w:spacing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Es pertinente enfatizar lo que respecto al derecho de acceso a la información pública, refiere el artículo 6° de la Constitución Política de los Estados Unidos Mexicanos, que en su parte conducente señala:</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6o.</w:t>
      </w:r>
      <w:r w:rsidRPr="00437DF5">
        <w:rPr>
          <w:rFonts w:ascii="Palatino Linotype" w:eastAsia="Palatino Linotype" w:hAnsi="Palatino Linotype" w:cs="Palatino Linotype"/>
          <w:i/>
          <w:color w:val="000000" w:themeColor="text1"/>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Toda persona tiene derecho al libre acceso a información plural y oportuna, así como a buscar, recibir y difundir información e ideas de toda índole por cualquier medio de expresión.</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Para efectos de lo dispuesto en el presente artículo se observará lo siguiente:</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numPr>
          <w:ilvl w:val="4"/>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Para el ejercicio del derecho de acceso a la información, la Federación, los Estados y el Distrito Federal, en el ámbito de sus respectivas competencias, se regirán por los siguientes principios y bases: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La información que se refiere a la vida privada y los datos personales será protegida en los términos y con las excepciones que fijen las leyes.</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Toda persona, sin necesidad de acreditar interés alguno o justificar su utilización, tendrá acceso gratuito a la información pública, a sus datos personales o a la rectificación de éstos.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Se establecerán mecanismos de acceso a la información y procedimientos de revisión expeditos que se sustanciarán ante los organismos autónomos especializados e imparciales que establece esta Constitución.</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Las leyes determinarán la manera en que los sujetos obligados deberán hacer pública la información relativa a los recursos públicos que entreguen a personas físicas o morales.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La inobservancia a las disposiciones en materia de acceso a la información pública será sancionada en los términos que dispongan las leyes.</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w:t>
      </w:r>
      <w:r w:rsidRPr="00437DF5">
        <w:rPr>
          <w:rFonts w:ascii="Palatino Linotype" w:eastAsia="Palatino Linotype" w:hAnsi="Palatino Linotype" w:cs="Palatino Linotype"/>
          <w:i/>
          <w:color w:val="000000" w:themeColor="text1"/>
          <w:sz w:val="24"/>
          <w:szCs w:val="24"/>
        </w:rPr>
        <w:lastRenderedPageBreak/>
        <w:t>cumplimiento del derecho de acceso a la información pública y a la protección de datos personales en posesión de los sujetos obligados en los términos que establezca la ley.</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La ley establecerá aquella información que se considere reservada o confidencial.”</w:t>
      </w:r>
    </w:p>
    <w:p w:rsidR="007D0A60" w:rsidRPr="00437DF5" w:rsidRDefault="007D0A60" w:rsidP="00437DF5">
      <w:pPr>
        <w:spacing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Por su parte, la Constitución Política del Estado Libre y Soberano de México, en su artículo 5°, dispone en su parte conducente, lo siguiente:</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themeColor="text1"/>
          <w:sz w:val="24"/>
          <w:szCs w:val="24"/>
        </w:rPr>
      </w:pPr>
      <w:r w:rsidRPr="00437DF5">
        <w:rPr>
          <w:rFonts w:ascii="Palatino Linotype" w:eastAsia="Palatino Linotype" w:hAnsi="Palatino Linotype" w:cs="Palatino Linotype"/>
          <w:b/>
          <w:i/>
          <w:color w:val="000000" w:themeColor="text1"/>
          <w:sz w:val="24"/>
          <w:szCs w:val="24"/>
        </w:rPr>
        <w:t xml:space="preserve">“Artículo 5. … </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El derecho a la información será garantizado por el Estado</w:t>
      </w:r>
      <w:r w:rsidRPr="00437DF5">
        <w:rPr>
          <w:rFonts w:ascii="Palatino Linotype" w:eastAsia="Palatino Linotype" w:hAnsi="Palatino Linotype" w:cs="Palatino Linotype"/>
          <w:i/>
          <w:color w:val="000000" w:themeColor="text1"/>
          <w:sz w:val="24"/>
          <w:szCs w:val="24"/>
        </w:rPr>
        <w:t xml:space="preserve">. La ley establecerá las previsiones que permitan asegurar la protección, el respeto y la difusión de este derecho. </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Este derecho se regirá por los principios y bases siguientes: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Toda la información en posesión de cualquier autoridad</w:t>
      </w:r>
      <w:r w:rsidRPr="00437DF5">
        <w:rPr>
          <w:rFonts w:ascii="Palatino Linotype" w:eastAsia="Palatino Linotype" w:hAnsi="Palatino Linotype" w:cs="Palatino Linotype"/>
          <w:i/>
          <w:color w:val="000000" w:themeColor="text1"/>
          <w:sz w:val="24"/>
          <w:szCs w:val="24"/>
        </w:rPr>
        <w:t xml:space="preserve">, entidad, órgano y organismos de los Poderes Ejecutivo, Legislativo y Judicial, órganos autónomos, partidos políticos, fideicomisos y fondos públicos estatales y municipales, </w:t>
      </w:r>
      <w:r w:rsidRPr="00437DF5">
        <w:rPr>
          <w:rFonts w:ascii="Palatino Linotype" w:eastAsia="Palatino Linotype" w:hAnsi="Palatino Linotype" w:cs="Palatino Linotype"/>
          <w:b/>
          <w:i/>
          <w:color w:val="000000" w:themeColor="text1"/>
          <w:sz w:val="24"/>
          <w:szCs w:val="24"/>
        </w:rPr>
        <w:t>así como del gobierno y de la administración pública municipal y sus organismos descentralizados</w:t>
      </w:r>
      <w:r w:rsidRPr="00437DF5">
        <w:rPr>
          <w:rFonts w:ascii="Palatino Linotype" w:eastAsia="Palatino Linotype" w:hAnsi="Palatino Linotype" w:cs="Palatino Linotype"/>
          <w:i/>
          <w:color w:val="000000" w:themeColor="text1"/>
          <w:sz w:val="24"/>
          <w:szCs w:val="24"/>
        </w:rPr>
        <w:t xml:space="preserve">, asimismo de cualquier persona física, jurídica </w:t>
      </w:r>
      <w:r w:rsidRPr="00437DF5">
        <w:rPr>
          <w:rFonts w:ascii="Palatino Linotype" w:eastAsia="Palatino Linotype" w:hAnsi="Palatino Linotype" w:cs="Palatino Linotype"/>
          <w:i/>
          <w:color w:val="000000" w:themeColor="text1"/>
          <w:sz w:val="24"/>
          <w:szCs w:val="24"/>
        </w:rPr>
        <w:lastRenderedPageBreak/>
        <w:t xml:space="preserve">colectiva o sindicato que reciba y ejerza recursos públicos o realice actos de autoridad en el ámbito estatal y municipal, </w:t>
      </w:r>
      <w:r w:rsidRPr="00437DF5">
        <w:rPr>
          <w:rFonts w:ascii="Palatino Linotype" w:eastAsia="Palatino Linotype" w:hAnsi="Palatino Linotype" w:cs="Palatino Linotype"/>
          <w:b/>
          <w:i/>
          <w:color w:val="000000" w:themeColor="text1"/>
          <w:sz w:val="24"/>
          <w:szCs w:val="24"/>
        </w:rPr>
        <w:t>es pública</w:t>
      </w:r>
      <w:r w:rsidRPr="00437DF5">
        <w:rPr>
          <w:rFonts w:ascii="Palatino Linotype" w:eastAsia="Palatino Linotype" w:hAnsi="Palatino Linotype" w:cs="Palatino Linotype"/>
          <w:i/>
          <w:color w:val="000000" w:themeColor="text1"/>
          <w:sz w:val="24"/>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La información referente a la intimidad de la vida privada y la imagen de las personas será protegida a través de un marco jurídico rígido de tratamiento y manejo de datos personales, con las excepciones que establezca la ley reglamentaria.</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Toda persona, sin necesidad de acreditar interés alguno o justificar su utilización, tendrá acceso gratuito a la información pública, a sus datos personales o a la rectificación de éstos.</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Se establecerán mecanismos de acceso a la información y procedimientos de revisión expeditos que se sustanciarán ante el organismo autónomo especializado e imparcial que establece esta Constitución.</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Los sujetos obligados deberán preservar sus documentos en archivos administrativos actualizados y publicarán, a través de los medios electrónicos disponibles, la información completa y actualizada sobre el ejercicio de los recursos públicos</w:t>
      </w:r>
      <w:r w:rsidRPr="00437DF5">
        <w:rPr>
          <w:rFonts w:ascii="Palatino Linotype" w:eastAsia="Palatino Linotype" w:hAnsi="Palatino Linotype" w:cs="Palatino Linotype"/>
          <w:i/>
          <w:color w:val="000000" w:themeColor="text1"/>
          <w:sz w:val="24"/>
          <w:szCs w:val="24"/>
        </w:rPr>
        <w:t xml:space="preserve"> y los indicadores que permitan rendir cuenta del cumplimiento de sus objetivos y los resultados obtenidos.</w:t>
      </w:r>
    </w:p>
    <w:p w:rsidR="007D0A60" w:rsidRPr="00437DF5" w:rsidRDefault="007D0A60" w:rsidP="00437DF5">
      <w:pPr>
        <w:numPr>
          <w:ilvl w:val="3"/>
          <w:numId w:val="3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lastRenderedPageBreak/>
        <w:t>La ley reglamentaria, determinará la manera en que los sujetos obligados deberán hacer pública la información relativa a los recursos públicos que entreguen a personas físicas o jurídicas colectivas.”</w:t>
      </w:r>
    </w:p>
    <w:p w:rsidR="0025292C" w:rsidRPr="00437DF5" w:rsidRDefault="0025292C"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Adicional, tenemos que la Ley de Transparencia y Acceso a la Información Pública del Estado de México y Municipios, prevé en su artículo 23 fracción I, lo siguiente:</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b/>
          <w:i/>
          <w:color w:val="000000" w:themeColor="text1"/>
          <w:sz w:val="24"/>
          <w:szCs w:val="24"/>
        </w:rPr>
        <w:t>“Artículo 23.</w:t>
      </w:r>
      <w:r w:rsidRPr="00437DF5">
        <w:rPr>
          <w:rFonts w:ascii="Palatino Linotype" w:eastAsia="Palatino Linotype" w:hAnsi="Palatino Linotype" w:cs="Palatino Linotype"/>
          <w:i/>
          <w:color w:val="000000" w:themeColor="text1"/>
          <w:sz w:val="24"/>
          <w:szCs w:val="24"/>
        </w:rPr>
        <w:t xml:space="preserve"> Son sujetos obligados a transparentar y permitir el acceso a su información y proteger los datos personales que obren en su poder:</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 xml:space="preserve">I. El Poder Ejecutivo del Estado de México, las dependencias, organismos auxiliares, órganos, entidades, fideicomisos y fondos públicos, así como la Fiscalía General de Justicia del Estado de México; </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w:t>
      </w: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D0A60" w:rsidRPr="00437DF5" w:rsidRDefault="007D0A60" w:rsidP="00437DF5">
      <w:pPr>
        <w:spacing w:line="360" w:lineRule="auto"/>
        <w:ind w:right="49"/>
        <w:jc w:val="both"/>
        <w:rPr>
          <w:rFonts w:ascii="Palatino Linotype" w:eastAsia="Palatino Linotype" w:hAnsi="Palatino Linotype" w:cs="Palatino Linotype"/>
          <w:i/>
          <w:color w:val="000000" w:themeColor="text1"/>
          <w:sz w:val="24"/>
          <w:szCs w:val="24"/>
        </w:rPr>
      </w:pPr>
    </w:p>
    <w:p w:rsidR="007D0A60" w:rsidRPr="00437DF5" w:rsidRDefault="007D0A60" w:rsidP="00437DF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i/>
          <w:color w:val="000000" w:themeColor="text1"/>
          <w:sz w:val="24"/>
          <w:szCs w:val="24"/>
        </w:rPr>
        <w:t>Los servidores públicos deberán transparentar sus acciones así como garantizar y respetar el derecho de acceso a la información pública.”</w:t>
      </w:r>
    </w:p>
    <w:p w:rsidR="007D0A60" w:rsidRPr="00437DF5" w:rsidRDefault="007D0A60" w:rsidP="00437DF5">
      <w:pPr>
        <w:spacing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w:t>
      </w:r>
      <w:r w:rsidRPr="00437DF5">
        <w:rPr>
          <w:rFonts w:ascii="Palatino Linotype" w:eastAsia="Palatino Linotype" w:hAnsi="Palatino Linotype" w:cs="Palatino Linotype"/>
          <w:color w:val="000000" w:themeColor="text1"/>
          <w:sz w:val="24"/>
          <w:szCs w:val="24"/>
        </w:rPr>
        <w:lastRenderedPageBreak/>
        <w:t xml:space="preserve">Ciudad de México, o Municipales, con el fin de que los particulares conozcan toda aquella información que es considerada como pública. </w:t>
      </w:r>
    </w:p>
    <w:p w:rsidR="007D0A60" w:rsidRPr="00437DF5" w:rsidRDefault="007D0A60"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Por lo </w:t>
      </w:r>
      <w:r w:rsidR="0025292C" w:rsidRPr="00437DF5">
        <w:rPr>
          <w:rFonts w:ascii="Palatino Linotype" w:eastAsia="Palatino Linotype" w:hAnsi="Palatino Linotype" w:cs="Palatino Linotype"/>
          <w:color w:val="000000" w:themeColor="text1"/>
          <w:sz w:val="24"/>
          <w:szCs w:val="24"/>
        </w:rPr>
        <w:t xml:space="preserve">anterior, es de referir que el </w:t>
      </w:r>
      <w:r w:rsidR="0025292C" w:rsidRPr="00437DF5">
        <w:rPr>
          <w:rFonts w:ascii="Palatino Linotype" w:eastAsia="Palatino Linotype" w:hAnsi="Palatino Linotype" w:cs="Palatino Linotype"/>
          <w:b/>
          <w:color w:val="000000" w:themeColor="text1"/>
          <w:sz w:val="24"/>
          <w:szCs w:val="24"/>
        </w:rPr>
        <w:t>Organismo Público Descentralizado para la Prestación de Los Servicios de Agua Potable Alcantarillado y Saneamiento de Tenancingo</w:t>
      </w:r>
      <w:r w:rsidRPr="00437DF5">
        <w:rPr>
          <w:rFonts w:ascii="Palatino Linotype" w:eastAsia="Palatino Linotype" w:hAnsi="Palatino Linotype" w:cs="Palatino Linotype"/>
          <w:color w:val="000000" w:themeColor="text1"/>
          <w:sz w:val="24"/>
          <w:szCs w:val="24"/>
        </w:rPr>
        <w:t>, al ser un Sujeto Obligado comprendido por la Legislación Local en materia de Transparencia, se encuentra obligado a hacer pública toda aquella información</w:t>
      </w:r>
      <w:r w:rsidR="009101DE" w:rsidRPr="00437DF5">
        <w:rPr>
          <w:rFonts w:ascii="Palatino Linotype" w:eastAsia="Palatino Linotype" w:hAnsi="Palatino Linotype" w:cs="Palatino Linotype"/>
          <w:color w:val="000000" w:themeColor="text1"/>
          <w:sz w:val="24"/>
          <w:szCs w:val="24"/>
        </w:rPr>
        <w:t xml:space="preserve"> que genere, administre o posea, siendo que este en atención al deber de documentar ya citado, debe contar con los permisos y/o concesiones solicitados.</w:t>
      </w:r>
    </w:p>
    <w:p w:rsidR="009101DE" w:rsidRPr="00437DF5" w:rsidRDefault="009101DE"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rPr>
      </w:pPr>
    </w:p>
    <w:p w:rsidR="007D0A60"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437DF5">
        <w:rPr>
          <w:rFonts w:ascii="Palatino Linotype" w:eastAsia="Palatino Linotype" w:hAnsi="Palatino Linotype" w:cs="Palatino Linotype"/>
          <w:color w:val="000000" w:themeColor="text1"/>
          <w:sz w:val="24"/>
          <w:szCs w:val="24"/>
        </w:rPr>
        <w:t>Ahora bien, es posible que dentro de la información que se ordena entregar, existan</w:t>
      </w:r>
      <w:r w:rsidR="00121569" w:rsidRPr="00437DF5">
        <w:rPr>
          <w:rFonts w:ascii="Palatino Linotype" w:eastAsia="Palatino Linotype" w:hAnsi="Palatino Linotype" w:cs="Palatino Linotype"/>
          <w:color w:val="000000" w:themeColor="text1"/>
          <w:sz w:val="24"/>
          <w:szCs w:val="24"/>
        </w:rPr>
        <w:t xml:space="preserve"> datos susceptibles de ser clasificados, también cierto es que, como en caso que nos ocupa, la información se debe remitir en versión pública con el acuerdo de clasificación en donde se sustente la clasificación de la información considerada como pública a efecto de que</w:t>
      </w:r>
      <w:r w:rsidRPr="00437DF5">
        <w:rPr>
          <w:rFonts w:ascii="Palatino Linotype" w:eastAsia="Palatino Linotype" w:hAnsi="Palatino Linotype" w:cs="Palatino Linotype"/>
          <w:color w:val="000000" w:themeColor="text1"/>
          <w:sz w:val="24"/>
          <w:szCs w:val="24"/>
        </w:rPr>
        <w:t xml:space="preserve"> se de atención a lo solicitado</w:t>
      </w:r>
    </w:p>
    <w:p w:rsidR="007D0A60" w:rsidRPr="00437DF5" w:rsidRDefault="007D0A60"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i/>
          <w:color w:val="000000" w:themeColor="text1"/>
          <w:sz w:val="24"/>
          <w:szCs w:val="24"/>
        </w:rPr>
      </w:pPr>
    </w:p>
    <w:p w:rsidR="00121569" w:rsidRPr="00437DF5" w:rsidRDefault="007D0A60" w:rsidP="00437DF5">
      <w:pPr>
        <w:numPr>
          <w:ilvl w:val="0"/>
          <w:numId w:val="37"/>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themeColor="text1"/>
          <w:sz w:val="24"/>
          <w:szCs w:val="24"/>
          <w:lang w:eastAsia="es-ES"/>
        </w:rPr>
      </w:pPr>
      <w:r w:rsidRPr="00437DF5">
        <w:rPr>
          <w:rFonts w:ascii="Palatino Linotype" w:hAnsi="Palatino Linotype" w:cs="Arial"/>
          <w:color w:val="000000" w:themeColor="text1"/>
          <w:sz w:val="24"/>
          <w:szCs w:val="24"/>
          <w:lang w:val="es-ES_tradnl" w:eastAsia="es-ES"/>
        </w:rPr>
        <w:t>Es por lo</w:t>
      </w:r>
      <w:r w:rsidR="00121569" w:rsidRPr="00437DF5">
        <w:rPr>
          <w:rFonts w:ascii="Palatino Linotype" w:hAnsi="Palatino Linotype" w:cs="Arial"/>
          <w:color w:val="000000" w:themeColor="text1"/>
          <w:sz w:val="24"/>
          <w:szCs w:val="24"/>
          <w:lang w:val="es-ES_tradnl" w:eastAsia="es-ES"/>
        </w:rPr>
        <w:t xml:space="preserve"> anterior, se colige que con la información proporcionada en respuesta no se tiene por colmada en su totalidad la solicitud de </w:t>
      </w:r>
      <w:r w:rsidR="00B144A4" w:rsidRPr="00437DF5">
        <w:rPr>
          <w:rFonts w:ascii="Palatino Linotype" w:hAnsi="Palatino Linotype" w:cs="Arial"/>
          <w:color w:val="000000" w:themeColor="text1"/>
          <w:sz w:val="24"/>
          <w:szCs w:val="24"/>
          <w:lang w:val="es-ES_tradnl" w:eastAsia="es-ES"/>
        </w:rPr>
        <w:t>información</w:t>
      </w:r>
      <w:r w:rsidR="00B144A4" w:rsidRPr="00437DF5">
        <w:rPr>
          <w:rFonts w:ascii="Palatino Linotype" w:hAnsi="Palatino Linotype" w:cs="Arial"/>
          <w:b/>
          <w:bCs/>
          <w:color w:val="000000" w:themeColor="text1"/>
          <w:sz w:val="24"/>
          <w:szCs w:val="24"/>
          <w:lang w:eastAsia="es-ES"/>
        </w:rPr>
        <w:t xml:space="preserve"> 00081</w:t>
      </w:r>
      <w:r w:rsidR="0025292C" w:rsidRPr="00437DF5">
        <w:rPr>
          <w:rFonts w:ascii="Palatino Linotype" w:hAnsi="Palatino Linotype" w:cs="Arial"/>
          <w:b/>
          <w:bCs/>
          <w:color w:val="000000" w:themeColor="text1"/>
          <w:sz w:val="24"/>
          <w:szCs w:val="24"/>
          <w:lang w:eastAsia="es-ES"/>
        </w:rPr>
        <w:t xml:space="preserve">/OASTENANCI/IP/2025 </w:t>
      </w:r>
      <w:r w:rsidR="00121569" w:rsidRPr="00437DF5">
        <w:rPr>
          <w:rFonts w:ascii="Palatino Linotype" w:hAnsi="Palatino Linotype" w:cs="Arial"/>
          <w:bCs/>
          <w:color w:val="000000" w:themeColor="text1"/>
          <w:sz w:val="24"/>
          <w:szCs w:val="24"/>
          <w:lang w:eastAsia="es-ES"/>
        </w:rPr>
        <w:t xml:space="preserve">por lo que resulta dable </w:t>
      </w:r>
      <w:r w:rsidR="00121569" w:rsidRPr="00437DF5">
        <w:rPr>
          <w:rFonts w:ascii="Palatino Linotype" w:hAnsi="Palatino Linotype" w:cs="Arial"/>
          <w:b/>
          <w:bCs/>
          <w:color w:val="000000" w:themeColor="text1"/>
          <w:sz w:val="24"/>
          <w:szCs w:val="24"/>
          <w:lang w:eastAsia="es-ES"/>
        </w:rPr>
        <w:t xml:space="preserve">REVOCAR </w:t>
      </w:r>
      <w:r w:rsidR="00121569" w:rsidRPr="00437DF5">
        <w:rPr>
          <w:rFonts w:ascii="Palatino Linotype" w:hAnsi="Palatino Linotype" w:cs="Arial"/>
          <w:bCs/>
          <w:color w:val="000000" w:themeColor="text1"/>
          <w:sz w:val="24"/>
          <w:szCs w:val="24"/>
          <w:lang w:eastAsia="es-ES"/>
        </w:rPr>
        <w:t>la respuesta propor</w:t>
      </w:r>
      <w:r w:rsidR="0025292C" w:rsidRPr="00437DF5">
        <w:rPr>
          <w:rFonts w:ascii="Palatino Linotype" w:hAnsi="Palatino Linotype" w:cs="Arial"/>
          <w:bCs/>
          <w:color w:val="000000" w:themeColor="text1"/>
          <w:sz w:val="24"/>
          <w:szCs w:val="24"/>
          <w:lang w:eastAsia="es-ES"/>
        </w:rPr>
        <w:t xml:space="preserve">cionada y ordenar la entrega del documento en donde conste el personal adscrito a la Dirección de Administración y finanzas al veintiocho de octubre de dos mil veinticinco. </w:t>
      </w:r>
    </w:p>
    <w:p w:rsidR="006F33E9" w:rsidRPr="00437DF5" w:rsidRDefault="006F33E9" w:rsidP="00437DF5">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themeColor="text1"/>
          <w:sz w:val="24"/>
          <w:szCs w:val="24"/>
          <w:lang w:eastAsia="es-ES"/>
        </w:rPr>
      </w:pPr>
    </w:p>
    <w:p w:rsidR="00121569" w:rsidRPr="00437DF5" w:rsidRDefault="00121569" w:rsidP="00437DF5">
      <w:pPr>
        <w:keepNext/>
        <w:keepLines/>
        <w:spacing w:line="360" w:lineRule="auto"/>
        <w:ind w:right="49"/>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lastRenderedPageBreak/>
        <w:t>QUINTO. De la versión pública.</w:t>
      </w:r>
    </w:p>
    <w:p w:rsidR="00121569" w:rsidRPr="00437DF5" w:rsidRDefault="00121569" w:rsidP="00437DF5">
      <w:pPr>
        <w:keepNext/>
        <w:keepLines/>
        <w:numPr>
          <w:ilvl w:val="0"/>
          <w:numId w:val="28"/>
        </w:numPr>
        <w:tabs>
          <w:tab w:val="left" w:pos="284"/>
        </w:tabs>
        <w:spacing w:line="360" w:lineRule="auto"/>
        <w:ind w:left="0" w:right="49" w:firstLine="0"/>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 xml:space="preserve">Nociones generales. </w:t>
      </w:r>
    </w:p>
    <w:p w:rsidR="00121569" w:rsidRPr="00437DF5" w:rsidRDefault="00121569" w:rsidP="00437DF5">
      <w:pPr>
        <w:numPr>
          <w:ilvl w:val="0"/>
          <w:numId w:val="37"/>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Debe destacarse, que debido a la información solicitada por el </w:t>
      </w:r>
      <w:r w:rsidRPr="00437DF5">
        <w:rPr>
          <w:rFonts w:ascii="Palatino Linotype" w:eastAsia="Palatino Linotype" w:hAnsi="Palatino Linotype" w:cs="Palatino Linotype"/>
          <w:b/>
          <w:color w:val="000000" w:themeColor="text1"/>
          <w:sz w:val="24"/>
          <w:szCs w:val="24"/>
        </w:rPr>
        <w:t xml:space="preserve">RECURRENTE, pueden obrar </w:t>
      </w:r>
      <w:r w:rsidRPr="00437DF5">
        <w:rPr>
          <w:rFonts w:ascii="Palatino Linotype" w:eastAsia="Palatino Linotype" w:hAnsi="Palatino Linotype" w:cs="Palatino Linotype"/>
          <w:color w:val="000000" w:themeColor="text1"/>
          <w:sz w:val="24"/>
          <w:szCs w:val="24"/>
        </w:rPr>
        <w:t>datos personales susceptibles de protegerse, así como información susceptible de clasificarse como confidenciales</w:t>
      </w:r>
      <w:r w:rsidR="00B144A4" w:rsidRPr="00437DF5">
        <w:rPr>
          <w:rFonts w:ascii="Palatino Linotype" w:eastAsia="Palatino Linotype" w:hAnsi="Palatino Linotype" w:cs="Palatino Linotype"/>
          <w:color w:val="000000" w:themeColor="text1"/>
          <w:sz w:val="24"/>
          <w:szCs w:val="24"/>
        </w:rPr>
        <w:t>, por</w:t>
      </w:r>
      <w:r w:rsidRPr="00437DF5">
        <w:rPr>
          <w:rFonts w:ascii="Palatino Linotype" w:eastAsia="Palatino Linotype" w:hAnsi="Palatino Linotype" w:cs="Palatino Linotype"/>
          <w:color w:val="000000" w:themeColor="text1"/>
          <w:sz w:val="24"/>
          <w:szCs w:val="24"/>
        </w:rPr>
        <w:t xml:space="preserve"> lo que el </w:t>
      </w:r>
      <w:r w:rsidRPr="00437DF5">
        <w:rPr>
          <w:rFonts w:ascii="Palatino Linotype" w:eastAsia="Palatino Linotype" w:hAnsi="Palatino Linotype" w:cs="Palatino Linotype"/>
          <w:b/>
          <w:color w:val="000000" w:themeColor="text1"/>
          <w:sz w:val="24"/>
          <w:szCs w:val="24"/>
        </w:rPr>
        <w:t xml:space="preserve">SUJETO OBLIGADO </w:t>
      </w:r>
      <w:r w:rsidRPr="00437DF5">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rsidR="00121569" w:rsidRPr="00437DF5" w:rsidRDefault="00121569" w:rsidP="00437DF5">
      <w:pPr>
        <w:tabs>
          <w:tab w:val="left" w:pos="0"/>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37"/>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No pasa desapercibido para este Órgano Garante que los sujetos obligados</w:t>
      </w:r>
      <w:r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437DF5" w:rsidRPr="00437DF5" w:rsidTr="00430B56">
        <w:tc>
          <w:tcPr>
            <w:tcW w:w="2805" w:type="dxa"/>
          </w:tcPr>
          <w:p w:rsidR="00121569" w:rsidRPr="00437DF5" w:rsidRDefault="00121569" w:rsidP="00437DF5">
            <w:pPr>
              <w:tabs>
                <w:tab w:val="left" w:pos="284"/>
              </w:tabs>
              <w:spacing w:line="360" w:lineRule="auto"/>
              <w:ind w:right="49"/>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a) Requisitos previos.</w:t>
            </w:r>
          </w:p>
        </w:tc>
        <w:tc>
          <w:tcPr>
            <w:tcW w:w="6810"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Al hacerlo tienen que precisar de qué información se trata, señalando el supuesto de clasificación (confidencialidad o reserva).</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437DF5">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437DF5">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437DF5" w:rsidRPr="00437DF5" w:rsidTr="00430B56">
        <w:tc>
          <w:tcPr>
            <w:tcW w:w="2805" w:type="dxa"/>
          </w:tcPr>
          <w:p w:rsidR="00121569" w:rsidRPr="00437DF5" w:rsidRDefault="00121569" w:rsidP="00437DF5">
            <w:pPr>
              <w:tabs>
                <w:tab w:val="left" w:pos="284"/>
              </w:tabs>
              <w:spacing w:line="360" w:lineRule="auto"/>
              <w:ind w:right="49"/>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b) Supuestos de clasificación.</w:t>
            </w:r>
          </w:p>
        </w:tc>
        <w:tc>
          <w:tcPr>
            <w:tcW w:w="6810"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w:t>
            </w:r>
            <w:r w:rsidRPr="00437DF5">
              <w:rPr>
                <w:rFonts w:ascii="Palatino Linotype" w:eastAsia="Palatino Linotype" w:hAnsi="Palatino Linotype" w:cs="Palatino Linotype"/>
                <w:color w:val="000000" w:themeColor="text1"/>
                <w:sz w:val="24"/>
                <w:szCs w:val="24"/>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37DF5" w:rsidRPr="00437DF5" w:rsidTr="00430B56">
        <w:tc>
          <w:tcPr>
            <w:tcW w:w="2805" w:type="dxa"/>
          </w:tcPr>
          <w:p w:rsidR="00121569" w:rsidRPr="00437DF5" w:rsidRDefault="00121569" w:rsidP="00437DF5">
            <w:pPr>
              <w:tabs>
                <w:tab w:val="left" w:pos="284"/>
              </w:tabs>
              <w:spacing w:line="360" w:lineRule="auto"/>
              <w:ind w:right="49"/>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810"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Es necesario que </w:t>
            </w:r>
            <w:r w:rsidRPr="00437DF5">
              <w:rPr>
                <w:rFonts w:ascii="Palatino Linotype" w:eastAsia="Palatino Linotype" w:hAnsi="Palatino Linotype" w:cs="Palatino Linotype"/>
                <w:b/>
                <w:color w:val="000000" w:themeColor="text1"/>
                <w:sz w:val="24"/>
                <w:szCs w:val="24"/>
                <w:u w:val="single"/>
              </w:rPr>
              <w:t>el acto reúna con los requisitos elementales</w:t>
            </w:r>
            <w:r w:rsidRPr="00437DF5">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w:t>
            </w:r>
            <w:r w:rsidRPr="00437DF5">
              <w:rPr>
                <w:rFonts w:ascii="Palatino Linotype" w:eastAsia="Palatino Linotype" w:hAnsi="Palatino Linotype" w:cs="Palatino Linotype"/>
                <w:color w:val="000000" w:themeColor="text1"/>
                <w:sz w:val="24"/>
                <w:szCs w:val="24"/>
              </w:rPr>
              <w:lastRenderedPageBreak/>
              <w:t>en la agenda de los asuntos a tratar en las sesiones, se insiste, a partir de las decisiones adoptadas previamente por los titulares de áreas y que son sujetas a control, en primera instancia, por el Comité de Transparencia.</w:t>
            </w:r>
          </w:p>
        </w:tc>
      </w:tr>
      <w:tr w:rsidR="00437DF5" w:rsidRPr="00437DF5" w:rsidTr="00430B56">
        <w:tc>
          <w:tcPr>
            <w:tcW w:w="2805" w:type="dxa"/>
          </w:tcPr>
          <w:p w:rsidR="00121569" w:rsidRPr="00437DF5" w:rsidRDefault="00121569" w:rsidP="00437DF5">
            <w:pPr>
              <w:tabs>
                <w:tab w:val="left" w:pos="284"/>
              </w:tabs>
              <w:spacing w:line="360" w:lineRule="auto"/>
              <w:ind w:right="49"/>
              <w:rPr>
                <w:rFonts w:ascii="Palatino Linotype" w:eastAsia="Palatino Linotype" w:hAnsi="Palatino Linotype" w:cs="Palatino Linotype"/>
                <w:color w:val="000000" w:themeColor="text1"/>
                <w:sz w:val="24"/>
                <w:szCs w:val="24"/>
              </w:rPr>
            </w:pP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 Requisitos de fondo del acuerdo de clasificación. </w:t>
            </w:r>
          </w:p>
        </w:tc>
        <w:tc>
          <w:tcPr>
            <w:tcW w:w="6810"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37DF5">
              <w:rPr>
                <w:rFonts w:ascii="Palatino Linotype" w:eastAsia="Palatino Linotype" w:hAnsi="Palatino Linotype" w:cs="Palatino Linotype"/>
                <w:b/>
                <w:color w:val="000000" w:themeColor="text1"/>
                <w:sz w:val="24"/>
                <w:szCs w:val="24"/>
              </w:rPr>
              <w:t>Sujetos Obligados</w:t>
            </w:r>
            <w:r w:rsidRPr="00437DF5">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De lo anterior, se desprende que para una correcta </w:t>
            </w:r>
            <w:r w:rsidRPr="00437DF5">
              <w:rPr>
                <w:rFonts w:ascii="Palatino Linotype" w:eastAsia="Palatino Linotype" w:hAnsi="Palatino Linotype" w:cs="Palatino Linotype"/>
                <w:b/>
                <w:color w:val="000000" w:themeColor="text1"/>
                <w:sz w:val="24"/>
                <w:szCs w:val="24"/>
              </w:rPr>
              <w:t>clasificación total o parcial</w:t>
            </w:r>
            <w:r w:rsidRPr="00437DF5">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Así, en un acto de autoridad se cumple con la debida fundamentación cuando se cita el precepto legal aplicable al </w:t>
            </w:r>
            <w:r w:rsidRPr="00437DF5">
              <w:rPr>
                <w:rFonts w:ascii="Palatino Linotype" w:eastAsia="Palatino Linotype" w:hAnsi="Palatino Linotype" w:cs="Palatino Linotype"/>
                <w:color w:val="000000" w:themeColor="text1"/>
                <w:sz w:val="24"/>
                <w:szCs w:val="24"/>
              </w:rPr>
              <w:lastRenderedPageBreak/>
              <w:t>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Ahora bien, </w:t>
            </w:r>
            <w:r w:rsidRPr="00437DF5">
              <w:rPr>
                <w:rFonts w:ascii="Palatino Linotype" w:eastAsia="Palatino Linotype" w:hAnsi="Palatino Linotype" w:cs="Palatino Linotype"/>
                <w:b/>
                <w:color w:val="000000" w:themeColor="text1"/>
                <w:sz w:val="24"/>
                <w:szCs w:val="24"/>
                <w:u w:val="single"/>
              </w:rPr>
              <w:t>para cada caso además de fundar y motivar</w:t>
            </w:r>
            <w:r w:rsidRPr="00437DF5">
              <w:rPr>
                <w:rFonts w:ascii="Palatino Linotype" w:eastAsia="Palatino Linotype" w:hAnsi="Palatino Linotype" w:cs="Palatino Linotype"/>
                <w:color w:val="000000" w:themeColor="text1"/>
                <w:sz w:val="24"/>
                <w:szCs w:val="24"/>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21569" w:rsidRPr="00437DF5" w:rsidTr="00430B56">
        <w:tc>
          <w:tcPr>
            <w:tcW w:w="2805"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e) Condiciones especiales de la clasificación de la </w:t>
            </w:r>
            <w:r w:rsidRPr="00437DF5">
              <w:rPr>
                <w:rFonts w:ascii="Palatino Linotype" w:eastAsia="Palatino Linotype" w:hAnsi="Palatino Linotype" w:cs="Palatino Linotype"/>
                <w:color w:val="000000" w:themeColor="text1"/>
                <w:sz w:val="24"/>
                <w:szCs w:val="24"/>
              </w:rPr>
              <w:lastRenderedPageBreak/>
              <w:t xml:space="preserve">información como confidencial. </w:t>
            </w:r>
          </w:p>
        </w:tc>
        <w:tc>
          <w:tcPr>
            <w:tcW w:w="6810" w:type="dxa"/>
          </w:tcPr>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lastRenderedPageBreak/>
              <w:t xml:space="preserve">Los artículos 148 y 120 de la Ley Estatal y de la Ley General vigente a la fecha de la solicitud, respectivamente, establecen que aun tratándose de datos personales, se podrán </w:t>
            </w:r>
            <w:r w:rsidRPr="00437DF5">
              <w:rPr>
                <w:rFonts w:ascii="Palatino Linotype" w:eastAsia="Palatino Linotype" w:hAnsi="Palatino Linotype" w:cs="Palatino Linotype"/>
                <w:color w:val="000000" w:themeColor="text1"/>
                <w:sz w:val="24"/>
                <w:szCs w:val="24"/>
              </w:rPr>
              <w:lastRenderedPageBreak/>
              <w:t xml:space="preserve">proporcionar, incluso sin solicitar el consentimiento de su titular. </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21569" w:rsidRPr="00437DF5" w:rsidRDefault="00121569" w:rsidP="00437DF5">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37"/>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Si el servidor público incumple con estas formalidades y entrega la información sin proteger los datos personales incumple con lo que estipula las disposiciones legales establecidas.</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numPr>
          <w:ilvl w:val="0"/>
          <w:numId w:val="37"/>
        </w:numPr>
        <w:pBdr>
          <w:top w:val="nil"/>
          <w:left w:val="nil"/>
          <w:bottom w:val="nil"/>
          <w:right w:val="nil"/>
          <w:between w:val="nil"/>
        </w:pBdr>
        <w:spacing w:after="0" w:line="360" w:lineRule="auto"/>
        <w:ind w:left="0" w:right="49" w:firstLine="0"/>
        <w:jc w:val="both"/>
        <w:rPr>
          <w:rFonts w:ascii="Palatino Linotype" w:hAnsi="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Por lo anteriormente expuesto, este Órgano Garante considera parcialmente fundadas las razones o motivos de inconformidad que plantea el</w:t>
      </w:r>
      <w:r w:rsidRPr="00437DF5">
        <w:rPr>
          <w:rFonts w:ascii="Palatino Linotype" w:eastAsia="Palatino Linotype" w:hAnsi="Palatino Linotype" w:cs="Palatino Linotype"/>
          <w:b/>
          <w:color w:val="000000" w:themeColor="text1"/>
          <w:sz w:val="24"/>
          <w:szCs w:val="24"/>
        </w:rPr>
        <w:t xml:space="preserve"> RECURRENTE</w:t>
      </w:r>
      <w:r w:rsidRPr="00437DF5">
        <w:rPr>
          <w:rFonts w:ascii="Palatino Linotype" w:eastAsia="Palatino Linotype" w:hAnsi="Palatino Linotype" w:cs="Palatino Linotype"/>
          <w:color w:val="000000" w:themeColor="text1"/>
          <w:sz w:val="24"/>
          <w:szCs w:val="24"/>
        </w:rPr>
        <w:t xml:space="preserve">, determinando </w:t>
      </w:r>
      <w:r w:rsidRPr="00437DF5">
        <w:rPr>
          <w:rFonts w:ascii="Palatino Linotype" w:eastAsia="Palatino Linotype" w:hAnsi="Palatino Linotype" w:cs="Palatino Linotype"/>
          <w:b/>
          <w:smallCaps/>
          <w:color w:val="000000" w:themeColor="text1"/>
          <w:sz w:val="24"/>
          <w:szCs w:val="24"/>
        </w:rPr>
        <w:t xml:space="preserve">REVOCAR </w:t>
      </w:r>
      <w:r w:rsidRPr="00437DF5">
        <w:rPr>
          <w:rFonts w:ascii="Palatino Linotype" w:eastAsia="Palatino Linotype" w:hAnsi="Palatino Linotype" w:cs="Palatino Linotype"/>
          <w:color w:val="000000" w:themeColor="text1"/>
          <w:sz w:val="24"/>
          <w:szCs w:val="24"/>
        </w:rPr>
        <w:t xml:space="preserve">la respuesta del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por lo que con fundamento en lo prescrito en los artículos 5 párrafos vigésimo noveno, trigésimo y trigésimo primero </w:t>
      </w:r>
      <w:r w:rsidRPr="00437DF5">
        <w:rPr>
          <w:rFonts w:ascii="Palatino Linotype" w:eastAsia="Palatino Linotype" w:hAnsi="Palatino Linotype" w:cs="Palatino Linotype"/>
          <w:color w:val="000000" w:themeColor="text1"/>
          <w:sz w:val="24"/>
          <w:szCs w:val="24"/>
        </w:rPr>
        <w:lastRenderedPageBreak/>
        <w:t xml:space="preserve">fracciones IV y V de la Constitución Política del Estado Libre y Soberano de México; 2, fracción II; 29, 36 fracciones I y II; 176, 178, 181, 185 de la Ley de Transparencia y Acceso a la Información Pública del Estado de México y Municipios, este </w:t>
      </w:r>
      <w:r w:rsidRPr="00437DF5">
        <w:rPr>
          <w:rFonts w:ascii="Palatino Linotype" w:eastAsia="Palatino Linotype" w:hAnsi="Palatino Linotype" w:cs="Palatino Linotype"/>
          <w:b/>
          <w:color w:val="000000" w:themeColor="text1"/>
          <w:sz w:val="24"/>
          <w:szCs w:val="24"/>
        </w:rPr>
        <w:t>ÓRGANO GARANTE</w:t>
      </w:r>
      <w:r w:rsidRPr="00437DF5">
        <w:rPr>
          <w:rFonts w:ascii="Palatino Linotype" w:eastAsia="Palatino Linotype" w:hAnsi="Palatino Linotype" w:cs="Palatino Linotype"/>
          <w:color w:val="000000" w:themeColor="text1"/>
          <w:sz w:val="24"/>
          <w:szCs w:val="24"/>
        </w:rPr>
        <w:t xml:space="preserve"> emite los siguientes.</w:t>
      </w:r>
    </w:p>
    <w:p w:rsidR="00121569" w:rsidRPr="00437DF5" w:rsidRDefault="00121569" w:rsidP="00437DF5">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121569" w:rsidRPr="00437DF5" w:rsidRDefault="00121569" w:rsidP="00437DF5">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R E S O L U T I V O S</w:t>
      </w:r>
    </w:p>
    <w:p w:rsidR="00121569" w:rsidRPr="00437DF5" w:rsidRDefault="00121569" w:rsidP="00437DF5">
      <w:pPr>
        <w:spacing w:line="360" w:lineRule="auto"/>
        <w:ind w:right="49"/>
        <w:rPr>
          <w:rFonts w:ascii="Palatino Linotype" w:eastAsia="Palatino Linotype" w:hAnsi="Palatino Linotype" w:cs="Palatino Linotype"/>
          <w:color w:val="000000" w:themeColor="text1"/>
          <w:sz w:val="24"/>
          <w:szCs w:val="24"/>
        </w:rPr>
      </w:pPr>
    </w:p>
    <w:p w:rsidR="00121569" w:rsidRPr="00437DF5" w:rsidRDefault="00121569" w:rsidP="00437DF5">
      <w:pPr>
        <w:spacing w:line="360" w:lineRule="auto"/>
        <w:ind w:right="49"/>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b/>
          <w:color w:val="000000" w:themeColor="text1"/>
          <w:sz w:val="24"/>
          <w:szCs w:val="24"/>
        </w:rPr>
        <w:t>PRIMERO</w:t>
      </w:r>
      <w:r w:rsidRPr="00437DF5">
        <w:rPr>
          <w:rFonts w:ascii="Palatino Linotype" w:eastAsia="Palatino Linotype" w:hAnsi="Palatino Linotype" w:cs="Palatino Linotype"/>
          <w:color w:val="000000" w:themeColor="text1"/>
          <w:sz w:val="24"/>
          <w:szCs w:val="24"/>
        </w:rPr>
        <w:t xml:space="preserve">. Resultan e fundadas las razones o motivos de inconformidad hechos </w:t>
      </w:r>
      <w:r w:rsidR="006F33E9" w:rsidRPr="00437DF5">
        <w:rPr>
          <w:rFonts w:ascii="Palatino Linotype" w:eastAsia="Palatino Linotype" w:hAnsi="Palatino Linotype" w:cs="Palatino Linotype"/>
          <w:color w:val="000000" w:themeColor="text1"/>
          <w:sz w:val="24"/>
          <w:szCs w:val="24"/>
        </w:rPr>
        <w:t>valer en el Recurso de Revisión</w:t>
      </w:r>
      <w:r w:rsidR="00286F7C" w:rsidRPr="00437DF5">
        <w:rPr>
          <w:rFonts w:ascii="Palatino Linotype" w:eastAsia="Palatino Linotype" w:hAnsi="Palatino Linotype" w:cs="Palatino Linotype"/>
          <w:b/>
          <w:bCs/>
          <w:color w:val="000000" w:themeColor="text1"/>
          <w:sz w:val="24"/>
          <w:szCs w:val="24"/>
        </w:rPr>
        <w:t> </w:t>
      </w:r>
      <w:r w:rsidR="006F33E9" w:rsidRPr="00437DF5">
        <w:rPr>
          <w:rFonts w:ascii="Palatino Linotype" w:eastAsia="Palatino Linotype" w:hAnsi="Palatino Linotype" w:cs="Palatino Linotype"/>
          <w:b/>
          <w:bCs/>
          <w:color w:val="000000" w:themeColor="text1"/>
          <w:sz w:val="24"/>
          <w:szCs w:val="24"/>
        </w:rPr>
        <w:t>12673/INFOEM/IP/RR/2025</w:t>
      </w:r>
      <w:r w:rsidRPr="00437DF5">
        <w:rPr>
          <w:rFonts w:ascii="Palatino Linotype" w:eastAsia="Palatino Linotype" w:hAnsi="Palatino Linotype" w:cs="Palatino Linotype"/>
          <w:b/>
          <w:color w:val="000000" w:themeColor="text1"/>
          <w:sz w:val="24"/>
          <w:szCs w:val="24"/>
        </w:rPr>
        <w:t xml:space="preserve">, </w:t>
      </w:r>
      <w:r w:rsidRPr="00437DF5">
        <w:rPr>
          <w:rFonts w:ascii="Palatino Linotype" w:eastAsia="Palatino Linotype" w:hAnsi="Palatino Linotype" w:cs="Palatino Linotype"/>
          <w:color w:val="000000" w:themeColor="text1"/>
          <w:sz w:val="24"/>
          <w:szCs w:val="24"/>
        </w:rPr>
        <w:t xml:space="preserve">en términos del Considerando </w:t>
      </w:r>
      <w:r w:rsidRPr="00437DF5">
        <w:rPr>
          <w:rFonts w:ascii="Palatino Linotype" w:eastAsia="Palatino Linotype" w:hAnsi="Palatino Linotype" w:cs="Palatino Linotype"/>
          <w:b/>
          <w:color w:val="000000" w:themeColor="text1"/>
          <w:sz w:val="24"/>
          <w:szCs w:val="24"/>
        </w:rPr>
        <w:t xml:space="preserve">Cuarto y Quinto </w:t>
      </w:r>
      <w:r w:rsidRPr="00437DF5">
        <w:rPr>
          <w:rFonts w:ascii="Palatino Linotype" w:eastAsia="Palatino Linotype" w:hAnsi="Palatino Linotype" w:cs="Palatino Linotype"/>
          <w:color w:val="000000" w:themeColor="text1"/>
          <w:sz w:val="24"/>
          <w:szCs w:val="24"/>
        </w:rPr>
        <w:t xml:space="preserve">de la presente resolución. </w:t>
      </w: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121569" w:rsidP="00437DF5">
      <w:pPr>
        <w:spacing w:line="360" w:lineRule="auto"/>
        <w:ind w:right="49"/>
        <w:jc w:val="both"/>
        <w:rPr>
          <w:rFonts w:ascii="Palatino Linotype" w:eastAsia="Palatino Linotype" w:hAnsi="Palatino Linotype" w:cs="Palatino Linotype"/>
          <w:b/>
          <w:color w:val="000000" w:themeColor="text1"/>
          <w:sz w:val="24"/>
          <w:szCs w:val="24"/>
        </w:rPr>
      </w:pPr>
      <w:bookmarkStart w:id="10" w:name="_heading=h.1ksv4uv" w:colFirst="0" w:colLast="0"/>
      <w:bookmarkEnd w:id="10"/>
      <w:r w:rsidRPr="00437DF5">
        <w:rPr>
          <w:rFonts w:ascii="Palatino Linotype" w:eastAsia="Palatino Linotype" w:hAnsi="Palatino Linotype" w:cs="Palatino Linotype"/>
          <w:b/>
          <w:color w:val="000000" w:themeColor="text1"/>
          <w:sz w:val="24"/>
          <w:szCs w:val="24"/>
        </w:rPr>
        <w:t xml:space="preserve">SEGUNDO. </w:t>
      </w:r>
      <w:r w:rsidRPr="00437DF5">
        <w:rPr>
          <w:rFonts w:ascii="Palatino Linotype" w:eastAsia="Palatino Linotype" w:hAnsi="Palatino Linotype" w:cs="Palatino Linotype"/>
          <w:color w:val="000000" w:themeColor="text1"/>
          <w:sz w:val="24"/>
          <w:szCs w:val="24"/>
        </w:rPr>
        <w:t xml:space="preserve">Se </w:t>
      </w:r>
      <w:r w:rsidRPr="00437DF5">
        <w:rPr>
          <w:rFonts w:ascii="Palatino Linotype" w:eastAsia="Palatino Linotype" w:hAnsi="Palatino Linotype" w:cs="Palatino Linotype"/>
          <w:b/>
          <w:color w:val="000000" w:themeColor="text1"/>
          <w:sz w:val="24"/>
          <w:szCs w:val="24"/>
        </w:rPr>
        <w:t xml:space="preserve">REVOCA </w:t>
      </w:r>
      <w:r w:rsidR="006F33E9" w:rsidRPr="00437DF5">
        <w:rPr>
          <w:rFonts w:ascii="Palatino Linotype" w:eastAsia="Palatino Linotype" w:hAnsi="Palatino Linotype" w:cs="Palatino Linotype"/>
          <w:color w:val="000000" w:themeColor="text1"/>
          <w:sz w:val="24"/>
          <w:szCs w:val="24"/>
        </w:rPr>
        <w:t>la respuesta emitida por el</w:t>
      </w:r>
      <w:r w:rsidR="00286F7C" w:rsidRPr="00437DF5">
        <w:rPr>
          <w:rFonts w:ascii="Palatino Linotype" w:eastAsia="Palatino Linotype" w:hAnsi="Palatino Linotype" w:cs="Palatino Linotype"/>
          <w:color w:val="000000" w:themeColor="text1"/>
          <w:sz w:val="24"/>
          <w:szCs w:val="24"/>
        </w:rPr>
        <w:t xml:space="preserve"> </w:t>
      </w:r>
      <w:r w:rsidR="006F33E9" w:rsidRPr="00437DF5">
        <w:rPr>
          <w:rFonts w:ascii="Palatino Linotype" w:eastAsia="Palatino Linotype" w:hAnsi="Palatino Linotype" w:cs="Palatino Linotype"/>
          <w:b/>
          <w:color w:val="000000" w:themeColor="text1"/>
          <w:sz w:val="24"/>
          <w:szCs w:val="24"/>
        </w:rPr>
        <w:t xml:space="preserve">Organismo Público Descentralizado para la Prestación de Los Servicios de Agua Potable Alcantarillado y Saneamiento de Tenancingo </w:t>
      </w:r>
      <w:r w:rsidR="006F33E9" w:rsidRPr="00437DF5">
        <w:rPr>
          <w:rFonts w:ascii="Palatino Linotype" w:eastAsia="Palatino Linotype" w:hAnsi="Palatino Linotype" w:cs="Palatino Linotype"/>
          <w:color w:val="000000" w:themeColor="text1"/>
          <w:sz w:val="24"/>
          <w:szCs w:val="24"/>
        </w:rPr>
        <w:t xml:space="preserve">y </w:t>
      </w:r>
      <w:r w:rsidRPr="00437DF5">
        <w:rPr>
          <w:rFonts w:ascii="Palatino Linotype" w:eastAsia="Palatino Linotype" w:hAnsi="Palatino Linotype" w:cs="Palatino Linotype"/>
          <w:color w:val="000000" w:themeColor="text1"/>
          <w:sz w:val="24"/>
          <w:szCs w:val="24"/>
        </w:rPr>
        <w:t xml:space="preserve">se </w:t>
      </w:r>
      <w:r w:rsidRPr="00437DF5">
        <w:rPr>
          <w:rFonts w:ascii="Palatino Linotype" w:eastAsia="Palatino Linotype" w:hAnsi="Palatino Linotype" w:cs="Palatino Linotype"/>
          <w:b/>
          <w:color w:val="000000" w:themeColor="text1"/>
          <w:sz w:val="24"/>
          <w:szCs w:val="24"/>
        </w:rPr>
        <w:t>ORDENA</w:t>
      </w:r>
      <w:r w:rsidRPr="00437DF5">
        <w:rPr>
          <w:rFonts w:ascii="Palatino Linotype" w:eastAsia="Palatino Linotype" w:hAnsi="Palatino Linotype" w:cs="Palatino Linotype"/>
          <w:color w:val="000000" w:themeColor="text1"/>
          <w:sz w:val="24"/>
          <w:szCs w:val="24"/>
        </w:rPr>
        <w:t xml:space="preserve"> entregar vía Sistema de Acceso a la Información, en versión pública</w:t>
      </w:r>
      <w:r w:rsidR="00286F7C" w:rsidRPr="00437DF5">
        <w:rPr>
          <w:rFonts w:ascii="Palatino Linotype" w:eastAsia="Palatino Linotype" w:hAnsi="Palatino Linotype" w:cs="Palatino Linotype"/>
          <w:color w:val="000000" w:themeColor="text1"/>
          <w:sz w:val="24"/>
          <w:szCs w:val="24"/>
        </w:rPr>
        <w:t xml:space="preserve"> de ser procedente</w:t>
      </w:r>
      <w:r w:rsidRPr="00437DF5">
        <w:rPr>
          <w:rFonts w:ascii="Palatino Linotype" w:eastAsia="Palatino Linotype" w:hAnsi="Palatino Linotype" w:cs="Palatino Linotype"/>
          <w:color w:val="000000" w:themeColor="text1"/>
          <w:sz w:val="24"/>
          <w:szCs w:val="24"/>
        </w:rPr>
        <w:t xml:space="preserve">, </w:t>
      </w:r>
      <w:r w:rsidR="00286F7C" w:rsidRPr="00437DF5">
        <w:rPr>
          <w:rFonts w:ascii="Palatino Linotype" w:eastAsia="Palatino Linotype" w:hAnsi="Palatino Linotype" w:cs="Palatino Linotype"/>
          <w:color w:val="000000" w:themeColor="text1"/>
          <w:sz w:val="24"/>
          <w:szCs w:val="24"/>
        </w:rPr>
        <w:t xml:space="preserve">previa búsqueda exhaustiva y razonable, </w:t>
      </w:r>
      <w:r w:rsidRPr="00437DF5">
        <w:rPr>
          <w:rFonts w:ascii="Palatino Linotype" w:eastAsia="Palatino Linotype" w:hAnsi="Palatino Linotype" w:cs="Palatino Linotype"/>
          <w:color w:val="000000" w:themeColor="text1"/>
          <w:sz w:val="24"/>
          <w:szCs w:val="24"/>
        </w:rPr>
        <w:t xml:space="preserve">lo siguiente: </w:t>
      </w:r>
    </w:p>
    <w:p w:rsidR="006F33E9" w:rsidRPr="00437DF5" w:rsidRDefault="006F33E9" w:rsidP="00437DF5">
      <w:pPr>
        <w:pStyle w:val="Prrafodelista"/>
        <w:numPr>
          <w:ilvl w:val="0"/>
          <w:numId w:val="33"/>
        </w:numPr>
        <w:ind w:left="0" w:right="49" w:firstLine="0"/>
        <w:rPr>
          <w:rFonts w:ascii="Palatino Linotype" w:hAnsi="Palatino Linotype"/>
          <w:b/>
          <w:color w:val="000000" w:themeColor="text1"/>
        </w:rPr>
      </w:pPr>
      <w:bookmarkStart w:id="11" w:name="_heading=h.lnxbz9" w:colFirst="0" w:colLast="0"/>
      <w:bookmarkEnd w:id="11"/>
      <w:r w:rsidRPr="00437DF5">
        <w:rPr>
          <w:rFonts w:ascii="Palatino Linotype" w:hAnsi="Palatino Linotype"/>
          <w:b/>
          <w:color w:val="000000" w:themeColor="text1"/>
        </w:rPr>
        <w:t xml:space="preserve">Documento en donde conste el personal adscrito a la Dirección de Administración y Finanzas al veintiocho de octubre de dos mil veinticinco. </w:t>
      </w:r>
    </w:p>
    <w:p w:rsidR="00286F7C" w:rsidRPr="00437DF5" w:rsidRDefault="00286F7C" w:rsidP="00437DF5">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b/>
          <w:color w:val="000000" w:themeColor="text1"/>
        </w:rPr>
      </w:pPr>
    </w:p>
    <w:p w:rsidR="00286F7C" w:rsidRPr="00437DF5" w:rsidRDefault="00121569" w:rsidP="00437DF5">
      <w:pPr>
        <w:spacing w:line="360" w:lineRule="auto"/>
        <w:ind w:right="49"/>
        <w:jc w:val="both"/>
        <w:rPr>
          <w:rFonts w:ascii="Palatino Linotype" w:eastAsia="Palatino Linotype" w:hAnsi="Palatino Linotype" w:cs="Palatino Linotype"/>
          <w:b/>
          <w:color w:val="000000" w:themeColor="text1"/>
          <w:sz w:val="24"/>
          <w:szCs w:val="24"/>
        </w:rPr>
      </w:pPr>
      <w:r w:rsidRPr="00437DF5">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w:t>
      </w:r>
      <w:r w:rsidRPr="00437DF5">
        <w:rPr>
          <w:rFonts w:ascii="Palatino Linotype" w:eastAsia="Palatino Linotype" w:hAnsi="Palatino Linotype" w:cs="Palatino Linotype"/>
          <w:color w:val="000000" w:themeColor="text1"/>
          <w:sz w:val="24"/>
          <w:szCs w:val="24"/>
        </w:rPr>
        <w:lastRenderedPageBreak/>
        <w:t xml:space="preserve">respectivo objeto de las versiones públicas que se formulen y se pongan a disposición del </w:t>
      </w:r>
      <w:r w:rsidR="00286F7C" w:rsidRPr="00437DF5">
        <w:rPr>
          <w:rFonts w:ascii="Palatino Linotype" w:eastAsia="Palatino Linotype" w:hAnsi="Palatino Linotype" w:cs="Palatino Linotype"/>
          <w:b/>
          <w:color w:val="000000" w:themeColor="text1"/>
          <w:sz w:val="24"/>
          <w:szCs w:val="24"/>
        </w:rPr>
        <w:t>RECURRENTE.</w:t>
      </w:r>
    </w:p>
    <w:p w:rsidR="00286F7C" w:rsidRPr="00437DF5" w:rsidRDefault="00286F7C" w:rsidP="00437DF5">
      <w:pPr>
        <w:spacing w:line="360" w:lineRule="auto"/>
        <w:ind w:right="49"/>
        <w:jc w:val="both"/>
        <w:rPr>
          <w:rFonts w:ascii="Palatino Linotype" w:eastAsia="Palatino Linotype" w:hAnsi="Palatino Linotype" w:cs="Palatino Linotype"/>
          <w:b/>
          <w:color w:val="000000" w:themeColor="text1"/>
          <w:sz w:val="24"/>
          <w:szCs w:val="24"/>
        </w:rPr>
      </w:pPr>
    </w:p>
    <w:p w:rsidR="00121569" w:rsidRPr="00437DF5" w:rsidRDefault="00121569" w:rsidP="00437DF5">
      <w:pPr>
        <w:tabs>
          <w:tab w:val="left" w:pos="8080"/>
        </w:tabs>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color w:val="000000" w:themeColor="text1"/>
          <w:sz w:val="24"/>
          <w:szCs w:val="24"/>
        </w:rPr>
        <w:t xml:space="preserve">TERCERO. </w:t>
      </w:r>
      <w:r w:rsidRPr="00437DF5">
        <w:rPr>
          <w:rFonts w:ascii="Palatino Linotype" w:eastAsia="Palatino Linotype" w:hAnsi="Palatino Linotype" w:cs="Palatino Linotype"/>
          <w:color w:val="000000" w:themeColor="text1"/>
          <w:sz w:val="24"/>
          <w:szCs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37DF5">
        <w:rPr>
          <w:rFonts w:ascii="Palatino Linotype" w:eastAsia="Palatino Linotype" w:hAnsi="Palatino Linotype" w:cs="Palatino Linotype"/>
          <w:b/>
          <w:color w:val="000000" w:themeColor="text1"/>
          <w:sz w:val="24"/>
          <w:szCs w:val="24"/>
        </w:rPr>
        <w:t xml:space="preserve">dé cumplimiento a lo ordenado dentro del plazo de diez días hábiles, </w:t>
      </w:r>
      <w:r w:rsidRPr="00437DF5">
        <w:rPr>
          <w:rFonts w:ascii="Palatino Linotype" w:eastAsia="Palatino Linotype" w:hAnsi="Palatino Linotype" w:cs="Palatino Linotype"/>
          <w:color w:val="000000" w:themeColor="text1"/>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6A2A81" w:rsidRDefault="006A2A81" w:rsidP="00437DF5">
      <w:pPr>
        <w:spacing w:line="360" w:lineRule="auto"/>
        <w:ind w:right="49"/>
        <w:jc w:val="both"/>
        <w:rPr>
          <w:rFonts w:ascii="Palatino Linotype" w:eastAsia="Palatino Linotype" w:hAnsi="Palatino Linotype" w:cs="Palatino Linotype"/>
          <w:b/>
          <w:color w:val="000000" w:themeColor="text1"/>
          <w:sz w:val="24"/>
          <w:szCs w:val="24"/>
        </w:rPr>
      </w:pPr>
    </w:p>
    <w:p w:rsidR="00121569" w:rsidRPr="00437DF5"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color w:val="000000" w:themeColor="text1"/>
          <w:sz w:val="24"/>
          <w:szCs w:val="24"/>
        </w:rPr>
        <w:t xml:space="preserve">CUARTO. </w:t>
      </w:r>
      <w:r w:rsidRPr="00437DF5">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437DF5">
        <w:rPr>
          <w:rFonts w:ascii="Palatino Linotype" w:eastAsia="Palatino Linotype" w:hAnsi="Palatino Linotype" w:cs="Palatino Linotype"/>
          <w:b/>
          <w:color w:val="000000" w:themeColor="text1"/>
          <w:sz w:val="24"/>
          <w:szCs w:val="24"/>
        </w:rPr>
        <w:t>SUJETO OBLIGADO</w:t>
      </w:r>
      <w:r w:rsidRPr="00437DF5">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B144A4" w:rsidRDefault="00B144A4" w:rsidP="00B144A4">
      <w:pPr>
        <w:spacing w:after="0" w:line="360" w:lineRule="auto"/>
        <w:ind w:right="49"/>
        <w:jc w:val="both"/>
        <w:rPr>
          <w:rFonts w:ascii="Palatino Linotype" w:eastAsia="Palatino Linotype" w:hAnsi="Palatino Linotype" w:cs="Palatino Linotype"/>
          <w:b/>
          <w:color w:val="000000" w:themeColor="text1"/>
          <w:sz w:val="24"/>
          <w:szCs w:val="24"/>
        </w:rPr>
      </w:pPr>
      <w:bookmarkStart w:id="12" w:name="_heading=h.2jxsxqh" w:colFirst="0" w:colLast="0"/>
      <w:bookmarkEnd w:id="12"/>
    </w:p>
    <w:p w:rsidR="00121569" w:rsidRDefault="00121569" w:rsidP="00437DF5">
      <w:pPr>
        <w:spacing w:line="360" w:lineRule="auto"/>
        <w:ind w:right="49"/>
        <w:jc w:val="both"/>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
          <w:color w:val="000000" w:themeColor="text1"/>
          <w:sz w:val="24"/>
          <w:szCs w:val="24"/>
        </w:rPr>
        <w:t xml:space="preserve">QUINTO. </w:t>
      </w:r>
      <w:r w:rsidRPr="00437DF5">
        <w:rPr>
          <w:rFonts w:ascii="Palatino Linotype" w:eastAsia="Palatino Linotype" w:hAnsi="Palatino Linotype" w:cs="Palatino Linotype"/>
          <w:color w:val="000000" w:themeColor="text1"/>
          <w:sz w:val="24"/>
          <w:szCs w:val="24"/>
        </w:rPr>
        <w:t xml:space="preserve">Notifíquese a </w:t>
      </w:r>
      <w:r w:rsidRPr="00437DF5">
        <w:rPr>
          <w:rFonts w:ascii="Palatino Linotype" w:eastAsia="Palatino Linotype" w:hAnsi="Palatino Linotype" w:cs="Palatino Linotype"/>
          <w:b/>
          <w:color w:val="000000" w:themeColor="text1"/>
          <w:sz w:val="24"/>
          <w:szCs w:val="24"/>
        </w:rPr>
        <w:t>EL RECURRENTE</w:t>
      </w:r>
      <w:r w:rsidRPr="00437DF5">
        <w:rPr>
          <w:rFonts w:ascii="Palatino Linotype" w:eastAsia="Palatino Linotype" w:hAnsi="Palatino Linotype" w:cs="Palatino Linotype"/>
          <w:color w:val="000000" w:themeColor="text1"/>
          <w:sz w:val="24"/>
          <w:szCs w:val="24"/>
        </w:rPr>
        <w:t xml:space="preserve"> la p</w:t>
      </w:r>
      <w:r w:rsidR="006F33E9" w:rsidRPr="00437DF5">
        <w:rPr>
          <w:rFonts w:ascii="Palatino Linotype" w:eastAsia="Palatino Linotype" w:hAnsi="Palatino Linotype" w:cs="Palatino Linotype"/>
          <w:color w:val="000000" w:themeColor="text1"/>
          <w:sz w:val="24"/>
          <w:szCs w:val="24"/>
        </w:rPr>
        <w:t>resente resolución, vía SAIMEX.</w:t>
      </w:r>
    </w:p>
    <w:p w:rsidR="00B144A4" w:rsidRDefault="00B144A4" w:rsidP="00B144A4">
      <w:pPr>
        <w:spacing w:after="0" w:line="360" w:lineRule="auto"/>
        <w:ind w:right="49"/>
        <w:jc w:val="both"/>
        <w:rPr>
          <w:rFonts w:ascii="Palatino Linotype" w:eastAsia="Palatino Linotype" w:hAnsi="Palatino Linotype" w:cs="Palatino Linotype"/>
          <w:color w:val="000000" w:themeColor="text1"/>
          <w:sz w:val="24"/>
          <w:szCs w:val="24"/>
        </w:rPr>
      </w:pPr>
    </w:p>
    <w:p w:rsidR="00B144A4" w:rsidRPr="00300DF8" w:rsidRDefault="00B144A4" w:rsidP="00B144A4">
      <w:pPr>
        <w:tabs>
          <w:tab w:val="left" w:pos="8647"/>
        </w:tabs>
        <w:spacing w:after="0" w:line="360" w:lineRule="auto"/>
        <w:jc w:val="both"/>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b/>
          <w:color w:val="000000" w:themeColor="text1"/>
          <w:sz w:val="24"/>
          <w:szCs w:val="24"/>
        </w:rPr>
        <w:t xml:space="preserve">SEXTO. </w:t>
      </w:r>
      <w:r w:rsidRPr="00B144A4">
        <w:rPr>
          <w:rFonts w:ascii="Palatino Linotype" w:eastAsia="Palatino Linotype" w:hAnsi="Palatino Linotype" w:cs="Palatino Linotype"/>
          <w:b/>
          <w:color w:val="000000" w:themeColor="text1"/>
          <w:sz w:val="24"/>
          <w:szCs w:val="24"/>
        </w:rPr>
        <w:t>Hágase</w:t>
      </w:r>
      <w:r>
        <w:rPr>
          <w:rFonts w:ascii="Palatino Linotype" w:eastAsia="Palatino Linotype" w:hAnsi="Palatino Linotype" w:cs="Palatino Linotype"/>
          <w:color w:val="000000" w:themeColor="text1"/>
          <w:sz w:val="24"/>
          <w:szCs w:val="24"/>
        </w:rPr>
        <w:t xml:space="preserve"> </w:t>
      </w:r>
      <w:r w:rsidRPr="00300DF8">
        <w:rPr>
          <w:rFonts w:ascii="Palatino Linotype" w:eastAsia="Palatino Linotype" w:hAnsi="Palatino Linotype" w:cs="Palatino Linotype"/>
          <w:color w:val="000000" w:themeColor="text1"/>
          <w:sz w:val="24"/>
          <w:szCs w:val="24"/>
        </w:rPr>
        <w:t xml:space="preserve">de su conocimiento </w:t>
      </w:r>
      <w:r>
        <w:rPr>
          <w:rFonts w:ascii="Palatino Linotype" w:eastAsia="Palatino Linotype" w:hAnsi="Palatino Linotype" w:cs="Palatino Linotype"/>
          <w:b/>
          <w:color w:val="000000" w:themeColor="text1"/>
          <w:sz w:val="24"/>
          <w:szCs w:val="24"/>
        </w:rPr>
        <w:t xml:space="preserve">AL RECURRENTE,  </w:t>
      </w:r>
      <w:r w:rsidRPr="00300DF8">
        <w:rPr>
          <w:rFonts w:ascii="Palatino Linotype" w:eastAsia="Palatino Linotype" w:hAnsi="Palatino Linotype" w:cs="Palatino Linotype"/>
          <w:color w:val="000000" w:themeColor="text1"/>
          <w:sz w:val="24"/>
          <w:szCs w:val="24"/>
        </w:rPr>
        <w:t xml:space="preserve">que de conformidad con lo establecido en el artículo 196, de la Ley de Transparencia y Acceso a la Información Pública </w:t>
      </w:r>
      <w:r w:rsidRPr="00300DF8">
        <w:rPr>
          <w:rFonts w:ascii="Palatino Linotype" w:eastAsia="Palatino Linotype" w:hAnsi="Palatino Linotype" w:cs="Palatino Linotype"/>
          <w:color w:val="000000" w:themeColor="text1"/>
          <w:sz w:val="24"/>
          <w:szCs w:val="24"/>
        </w:rPr>
        <w:lastRenderedPageBreak/>
        <w:t>del Estado de México y Municipios, en caso de considerar que le causa algún perjuicio, podrá promover el Juicio de Amparo en los términos de las leyes aplicables.</w:t>
      </w:r>
    </w:p>
    <w:p w:rsidR="00B144A4" w:rsidRDefault="00B144A4" w:rsidP="00B144A4">
      <w:pPr>
        <w:spacing w:after="0" w:line="360" w:lineRule="auto"/>
        <w:ind w:right="49"/>
        <w:jc w:val="both"/>
        <w:rPr>
          <w:rFonts w:ascii="Palatino Linotype" w:eastAsia="Palatino Linotype" w:hAnsi="Palatino Linotype" w:cs="Palatino Linotype"/>
          <w:color w:val="000000" w:themeColor="text1"/>
          <w:sz w:val="24"/>
          <w:szCs w:val="24"/>
        </w:rPr>
      </w:pPr>
    </w:p>
    <w:p w:rsidR="00121569" w:rsidRPr="00437DF5" w:rsidRDefault="00B144A4" w:rsidP="00437DF5">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 xml:space="preserve">CUADRAGÉSIMA TERCERA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TRES (03)</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4339E6" w:rsidRDefault="004339E6"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p w:rsidR="006A2A81" w:rsidRPr="00437DF5" w:rsidRDefault="006A2A81" w:rsidP="00437DF5">
      <w:pPr>
        <w:keepNext/>
        <w:keepLines/>
        <w:spacing w:line="360" w:lineRule="auto"/>
        <w:ind w:right="49"/>
        <w:rPr>
          <w:rFonts w:ascii="Palatino Linotype" w:eastAsia="Palatino Linotype" w:hAnsi="Palatino Linotype" w:cs="Palatino Linotype"/>
          <w:b/>
          <w:color w:val="000000" w:themeColor="text1"/>
          <w:sz w:val="24"/>
          <w:szCs w:val="24"/>
        </w:rPr>
      </w:pPr>
    </w:p>
    <w:sectPr w:rsidR="006A2A81" w:rsidRPr="00437DF5" w:rsidSect="006A2A81">
      <w:headerReference w:type="even" r:id="rId22"/>
      <w:headerReference w:type="default" r:id="rId23"/>
      <w:footerReference w:type="default" r:id="rId24"/>
      <w:headerReference w:type="first" r:id="rId25"/>
      <w:footerReference w:type="first" r:id="rId26"/>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5BB" w:rsidRDefault="006A05BB">
      <w:pPr>
        <w:spacing w:after="0" w:line="240" w:lineRule="auto"/>
      </w:pPr>
      <w:r>
        <w:separator/>
      </w:r>
    </w:p>
  </w:endnote>
  <w:endnote w:type="continuationSeparator" w:id="0">
    <w:p w:rsidR="006A05BB" w:rsidRDefault="006A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4B3" w:rsidRDefault="00F124B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3009E">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3009E">
      <w:rPr>
        <w:rFonts w:ascii="Palatino Linotype" w:eastAsia="Palatino Linotype" w:hAnsi="Palatino Linotype" w:cs="Palatino Linotype"/>
        <w:noProof/>
        <w:color w:val="000000"/>
        <w:sz w:val="20"/>
        <w:szCs w:val="20"/>
      </w:rPr>
      <w:t>53</w:t>
    </w:r>
    <w:r>
      <w:rPr>
        <w:rFonts w:ascii="Palatino Linotype" w:eastAsia="Palatino Linotype" w:hAnsi="Palatino Linotype" w:cs="Palatino Linotype"/>
        <w:color w:val="000000"/>
        <w:sz w:val="20"/>
        <w:szCs w:val="20"/>
      </w:rPr>
      <w:fldChar w:fldCharType="end"/>
    </w:r>
  </w:p>
  <w:p w:rsidR="00F124B3" w:rsidRDefault="00F124B3">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4B3" w:rsidRPr="006A2A81" w:rsidRDefault="00F124B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6A2A81">
      <w:rPr>
        <w:rFonts w:ascii="Palatino Linotype" w:eastAsia="Palatino Linotype" w:hAnsi="Palatino Linotype" w:cs="Palatino Linotype"/>
        <w:color w:val="000000"/>
        <w:szCs w:val="20"/>
      </w:rPr>
      <w:t xml:space="preserve">Página </w:t>
    </w:r>
    <w:r w:rsidRPr="006A2A81">
      <w:rPr>
        <w:rFonts w:ascii="Palatino Linotype" w:eastAsia="Palatino Linotype" w:hAnsi="Palatino Linotype" w:cs="Palatino Linotype"/>
        <w:color w:val="000000"/>
        <w:szCs w:val="20"/>
      </w:rPr>
      <w:fldChar w:fldCharType="begin"/>
    </w:r>
    <w:r w:rsidRPr="006A2A81">
      <w:rPr>
        <w:rFonts w:ascii="Palatino Linotype" w:eastAsia="Palatino Linotype" w:hAnsi="Palatino Linotype" w:cs="Palatino Linotype"/>
        <w:color w:val="000000"/>
        <w:szCs w:val="20"/>
      </w:rPr>
      <w:instrText>PAGE</w:instrText>
    </w:r>
    <w:r w:rsidRPr="006A2A81">
      <w:rPr>
        <w:rFonts w:ascii="Palatino Linotype" w:eastAsia="Palatino Linotype" w:hAnsi="Palatino Linotype" w:cs="Palatino Linotype"/>
        <w:color w:val="000000"/>
        <w:szCs w:val="20"/>
      </w:rPr>
      <w:fldChar w:fldCharType="separate"/>
    </w:r>
    <w:r w:rsidR="0013009E">
      <w:rPr>
        <w:rFonts w:ascii="Palatino Linotype" w:eastAsia="Palatino Linotype" w:hAnsi="Palatino Linotype" w:cs="Palatino Linotype"/>
        <w:noProof/>
        <w:color w:val="000000"/>
        <w:szCs w:val="20"/>
      </w:rPr>
      <w:t>1</w:t>
    </w:r>
    <w:r w:rsidRPr="006A2A81">
      <w:rPr>
        <w:rFonts w:ascii="Palatino Linotype" w:eastAsia="Palatino Linotype" w:hAnsi="Palatino Linotype" w:cs="Palatino Linotype"/>
        <w:color w:val="000000"/>
        <w:szCs w:val="20"/>
      </w:rPr>
      <w:fldChar w:fldCharType="end"/>
    </w:r>
    <w:r w:rsidRPr="006A2A81">
      <w:rPr>
        <w:rFonts w:ascii="Palatino Linotype" w:eastAsia="Palatino Linotype" w:hAnsi="Palatino Linotype" w:cs="Palatino Linotype"/>
        <w:color w:val="000000"/>
        <w:szCs w:val="20"/>
      </w:rPr>
      <w:t xml:space="preserve"> de </w:t>
    </w:r>
    <w:r w:rsidRPr="006A2A81">
      <w:rPr>
        <w:rFonts w:ascii="Palatino Linotype" w:eastAsia="Palatino Linotype" w:hAnsi="Palatino Linotype" w:cs="Palatino Linotype"/>
        <w:color w:val="000000"/>
        <w:szCs w:val="20"/>
      </w:rPr>
      <w:fldChar w:fldCharType="begin"/>
    </w:r>
    <w:r w:rsidRPr="006A2A81">
      <w:rPr>
        <w:rFonts w:ascii="Palatino Linotype" w:eastAsia="Palatino Linotype" w:hAnsi="Palatino Linotype" w:cs="Palatino Linotype"/>
        <w:color w:val="000000"/>
        <w:szCs w:val="20"/>
      </w:rPr>
      <w:instrText>NUMPAGES</w:instrText>
    </w:r>
    <w:r w:rsidRPr="006A2A81">
      <w:rPr>
        <w:rFonts w:ascii="Palatino Linotype" w:eastAsia="Palatino Linotype" w:hAnsi="Palatino Linotype" w:cs="Palatino Linotype"/>
        <w:color w:val="000000"/>
        <w:szCs w:val="20"/>
      </w:rPr>
      <w:fldChar w:fldCharType="separate"/>
    </w:r>
    <w:r w:rsidR="0013009E">
      <w:rPr>
        <w:rFonts w:ascii="Palatino Linotype" w:eastAsia="Palatino Linotype" w:hAnsi="Palatino Linotype" w:cs="Palatino Linotype"/>
        <w:noProof/>
        <w:color w:val="000000"/>
        <w:szCs w:val="20"/>
      </w:rPr>
      <w:t>53</w:t>
    </w:r>
    <w:r w:rsidRPr="006A2A81">
      <w:rPr>
        <w:rFonts w:ascii="Palatino Linotype" w:eastAsia="Palatino Linotype" w:hAnsi="Palatino Linotype" w:cs="Palatino Linotype"/>
        <w:color w:val="000000"/>
        <w:szCs w:val="20"/>
      </w:rPr>
      <w:fldChar w:fldCharType="end"/>
    </w:r>
  </w:p>
  <w:p w:rsidR="00F124B3" w:rsidRDefault="00F124B3">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5BB" w:rsidRDefault="006A05BB">
      <w:pPr>
        <w:spacing w:after="0" w:line="240" w:lineRule="auto"/>
      </w:pPr>
      <w:r>
        <w:separator/>
      </w:r>
    </w:p>
  </w:footnote>
  <w:footnote w:type="continuationSeparator" w:id="0">
    <w:p w:rsidR="006A05BB" w:rsidRDefault="006A05BB">
      <w:pPr>
        <w:spacing w:after="0" w:line="240" w:lineRule="auto"/>
      </w:pPr>
      <w:r>
        <w:continuationSeparator/>
      </w:r>
    </w:p>
  </w:footnote>
  <w:footnote w:id="1">
    <w:p w:rsidR="00F124B3" w:rsidRDefault="00F124B3" w:rsidP="001215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124B3" w:rsidRDefault="00F124B3" w:rsidP="001215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124B3" w:rsidRDefault="00F124B3" w:rsidP="001215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F124B3" w:rsidRDefault="00F124B3" w:rsidP="001215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6F33E9" w:rsidRDefault="006F33E9" w:rsidP="006F33E9">
      <w:pPr>
        <w:pBdr>
          <w:top w:val="nil"/>
          <w:left w:val="nil"/>
          <w:bottom w:val="nil"/>
          <w:right w:val="nil"/>
          <w:between w:val="nil"/>
        </w:pBdr>
        <w:rPr>
          <w:color w:val="000000"/>
        </w:rPr>
      </w:pPr>
      <w:r>
        <w:rPr>
          <w:vertAlign w:val="superscript"/>
        </w:rPr>
        <w:footnoteRef/>
      </w:r>
      <w:r>
        <w:rPr>
          <w:color w:val="000000"/>
        </w:rPr>
        <w:t xml:space="preserve"> Artículo 150. Ley de Transparencia y Acceso a la Información Pública del Estado de México y Municipios.</w:t>
      </w:r>
    </w:p>
    <w:p w:rsidR="006F33E9" w:rsidRDefault="006F33E9" w:rsidP="006F33E9">
      <w:pPr>
        <w:pBdr>
          <w:top w:val="nil"/>
          <w:left w:val="nil"/>
          <w:bottom w:val="nil"/>
          <w:right w:val="nil"/>
          <w:between w:val="nil"/>
        </w:pBdr>
        <w:rPr>
          <w:color w:val="000000"/>
        </w:rPr>
      </w:pPr>
      <w:r>
        <w:rPr>
          <w:color w:val="000000"/>
        </w:rPr>
        <w:t>Artículo 151. Ibídem.</w:t>
      </w:r>
    </w:p>
  </w:footnote>
  <w:footnote w:id="6">
    <w:p w:rsidR="006F33E9" w:rsidRDefault="006F33E9" w:rsidP="006F33E9">
      <w:pPr>
        <w:pBdr>
          <w:top w:val="nil"/>
          <w:left w:val="nil"/>
          <w:bottom w:val="nil"/>
          <w:right w:val="nil"/>
          <w:between w:val="nil"/>
        </w:pBdr>
        <w:rPr>
          <w:color w:val="000000"/>
        </w:rPr>
      </w:pPr>
      <w:r>
        <w:rPr>
          <w:vertAlign w:val="superscript"/>
        </w:rPr>
        <w:footnoteRef/>
      </w:r>
      <w:r>
        <w:rPr>
          <w:color w:val="00000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4B3" w:rsidRDefault="006A05BB">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938" w:type="dxa"/>
      <w:tblInd w:w="1985" w:type="dxa"/>
      <w:tblLayout w:type="fixed"/>
      <w:tblLook w:val="0400" w:firstRow="0" w:lastRow="0" w:firstColumn="0" w:lastColumn="0" w:noHBand="0" w:noVBand="1"/>
    </w:tblPr>
    <w:tblGrid>
      <w:gridCol w:w="2693"/>
      <w:gridCol w:w="5245"/>
    </w:tblGrid>
    <w:tr w:rsidR="00F124B3" w:rsidTr="006A2A81">
      <w:trPr>
        <w:trHeight w:val="227"/>
      </w:trPr>
      <w:tc>
        <w:tcPr>
          <w:tcW w:w="2693" w:type="dxa"/>
          <w:vAlign w:val="center"/>
        </w:tcPr>
        <w:p w:rsidR="00F124B3" w:rsidRPr="00437DF5" w:rsidRDefault="00F124B3" w:rsidP="00437DF5">
          <w:pPr>
            <w:spacing w:after="0" w:line="240" w:lineRule="auto"/>
            <w:ind w:right="34"/>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Recurso de Revisión:</w:t>
          </w:r>
        </w:p>
      </w:tc>
      <w:tc>
        <w:tcPr>
          <w:tcW w:w="5245" w:type="dxa"/>
          <w:vAlign w:val="center"/>
        </w:tcPr>
        <w:p w:rsidR="00F124B3" w:rsidRPr="00437DF5" w:rsidRDefault="00F124B3" w:rsidP="006A2A81">
          <w:pPr>
            <w:pBdr>
              <w:top w:val="nil"/>
              <w:left w:val="nil"/>
              <w:bottom w:val="nil"/>
              <w:right w:val="nil"/>
              <w:between w:val="nil"/>
            </w:pBdr>
            <w:tabs>
              <w:tab w:val="right" w:pos="8838"/>
            </w:tabs>
            <w:spacing w:after="0" w:line="240" w:lineRule="auto"/>
            <w:ind w:right="-71"/>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Cs/>
              <w:color w:val="000000" w:themeColor="text1"/>
              <w:sz w:val="24"/>
              <w:szCs w:val="24"/>
            </w:rPr>
            <w:t>12673/INFOEM/IP/RR/2025</w:t>
          </w:r>
        </w:p>
      </w:tc>
    </w:tr>
    <w:tr w:rsidR="00F124B3" w:rsidTr="006A2A81">
      <w:trPr>
        <w:trHeight w:val="242"/>
      </w:trPr>
      <w:tc>
        <w:tcPr>
          <w:tcW w:w="2693" w:type="dxa"/>
          <w:vAlign w:val="center"/>
        </w:tcPr>
        <w:p w:rsidR="00F124B3" w:rsidRDefault="00F124B3" w:rsidP="00437DF5">
          <w:pPr>
            <w:spacing w:after="0" w:line="240" w:lineRule="auto"/>
            <w:ind w:right="34"/>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Sujeto Obligado:</w:t>
          </w:r>
        </w:p>
        <w:p w:rsidR="00437DF5" w:rsidRDefault="00437DF5" w:rsidP="00437DF5">
          <w:pPr>
            <w:spacing w:after="0" w:line="240" w:lineRule="auto"/>
            <w:ind w:right="34"/>
            <w:jc w:val="right"/>
            <w:rPr>
              <w:rFonts w:ascii="Palatino Linotype" w:eastAsia="Palatino Linotype" w:hAnsi="Palatino Linotype" w:cs="Palatino Linotype"/>
              <w:b/>
              <w:sz w:val="24"/>
              <w:szCs w:val="24"/>
            </w:rPr>
          </w:pPr>
        </w:p>
        <w:p w:rsidR="00437DF5" w:rsidRPr="00437DF5" w:rsidRDefault="00437DF5" w:rsidP="00437DF5">
          <w:pPr>
            <w:spacing w:after="0" w:line="240" w:lineRule="auto"/>
            <w:ind w:right="34"/>
            <w:jc w:val="right"/>
            <w:rPr>
              <w:rFonts w:ascii="Palatino Linotype" w:eastAsia="Palatino Linotype" w:hAnsi="Palatino Linotype" w:cs="Palatino Linotype"/>
              <w:b/>
              <w:sz w:val="24"/>
              <w:szCs w:val="24"/>
            </w:rPr>
          </w:pPr>
        </w:p>
      </w:tc>
      <w:tc>
        <w:tcPr>
          <w:tcW w:w="5245" w:type="dxa"/>
          <w:vAlign w:val="center"/>
        </w:tcPr>
        <w:p w:rsidR="00F124B3" w:rsidRPr="00437DF5" w:rsidRDefault="00F124B3" w:rsidP="006A2A81">
          <w:pPr>
            <w:pBdr>
              <w:top w:val="nil"/>
              <w:left w:val="nil"/>
              <w:bottom w:val="nil"/>
              <w:right w:val="nil"/>
              <w:between w:val="nil"/>
            </w:pBdr>
            <w:tabs>
              <w:tab w:val="right" w:pos="8838"/>
            </w:tabs>
            <w:spacing w:after="0" w:line="240" w:lineRule="auto"/>
            <w:ind w:right="-71"/>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bCs/>
              <w:color w:val="000000" w:themeColor="text1"/>
              <w:sz w:val="24"/>
              <w:szCs w:val="24"/>
            </w:rPr>
            <w:t>Organismo Público Descentralizado para la Prestación de Los Servicios de Agua Potable Alcantarillado y Saneamiento de Tenancingo</w:t>
          </w:r>
        </w:p>
      </w:tc>
    </w:tr>
    <w:tr w:rsidR="00F124B3" w:rsidTr="006A2A81">
      <w:trPr>
        <w:trHeight w:val="342"/>
      </w:trPr>
      <w:tc>
        <w:tcPr>
          <w:tcW w:w="2693" w:type="dxa"/>
          <w:vAlign w:val="center"/>
        </w:tcPr>
        <w:p w:rsidR="00F124B3" w:rsidRPr="00437DF5" w:rsidRDefault="00F124B3" w:rsidP="00437DF5">
          <w:pPr>
            <w:spacing w:after="0" w:line="240" w:lineRule="auto"/>
            <w:ind w:right="34"/>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Comisionada Ponente:</w:t>
          </w:r>
        </w:p>
      </w:tc>
      <w:tc>
        <w:tcPr>
          <w:tcW w:w="5245" w:type="dxa"/>
          <w:vAlign w:val="center"/>
        </w:tcPr>
        <w:p w:rsidR="00F124B3" w:rsidRPr="00437DF5" w:rsidRDefault="00F124B3" w:rsidP="006A2A81">
          <w:pPr>
            <w:pBdr>
              <w:top w:val="nil"/>
              <w:left w:val="nil"/>
              <w:bottom w:val="nil"/>
              <w:right w:val="nil"/>
              <w:between w:val="nil"/>
            </w:pBdr>
            <w:tabs>
              <w:tab w:val="right" w:pos="8838"/>
            </w:tabs>
            <w:spacing w:after="0" w:line="240" w:lineRule="auto"/>
            <w:ind w:right="-71"/>
            <w:rPr>
              <w:rFonts w:ascii="Palatino Linotype" w:eastAsia="Palatino Linotype" w:hAnsi="Palatino Linotype" w:cs="Palatino Linotype"/>
              <w:color w:val="000000" w:themeColor="text1"/>
              <w:sz w:val="24"/>
              <w:szCs w:val="24"/>
            </w:rPr>
          </w:pPr>
          <w:r w:rsidRPr="00437DF5">
            <w:rPr>
              <w:rFonts w:ascii="Palatino Linotype" w:eastAsia="Palatino Linotype" w:hAnsi="Palatino Linotype" w:cs="Palatino Linotype"/>
              <w:color w:val="000000" w:themeColor="text1"/>
              <w:sz w:val="24"/>
              <w:szCs w:val="24"/>
            </w:rPr>
            <w:t>María del Rosario Mejía Ayala</w:t>
          </w:r>
        </w:p>
      </w:tc>
    </w:tr>
  </w:tbl>
  <w:p w:rsidR="00F124B3" w:rsidRDefault="006A05BB">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97.3pt;margin-top:-131.1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938" w:type="dxa"/>
      <w:tblInd w:w="1985" w:type="dxa"/>
      <w:tblLayout w:type="fixed"/>
      <w:tblLook w:val="0400" w:firstRow="0" w:lastRow="0" w:firstColumn="0" w:lastColumn="0" w:noHBand="0" w:noVBand="1"/>
    </w:tblPr>
    <w:tblGrid>
      <w:gridCol w:w="2977"/>
      <w:gridCol w:w="4961"/>
    </w:tblGrid>
    <w:tr w:rsidR="00F124B3" w:rsidTr="006A2A81">
      <w:trPr>
        <w:trHeight w:val="426"/>
      </w:trPr>
      <w:tc>
        <w:tcPr>
          <w:tcW w:w="2977" w:type="dxa"/>
          <w:vAlign w:val="center"/>
        </w:tcPr>
        <w:p w:rsidR="00F124B3" w:rsidRPr="00437DF5" w:rsidRDefault="00F124B3" w:rsidP="00437DF5">
          <w:pPr>
            <w:spacing w:after="0" w:line="240" w:lineRule="auto"/>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Recurso de Revisión:</w:t>
          </w:r>
        </w:p>
      </w:tc>
      <w:tc>
        <w:tcPr>
          <w:tcW w:w="4961" w:type="dxa"/>
          <w:vAlign w:val="center"/>
        </w:tcPr>
        <w:p w:rsidR="00F124B3" w:rsidRPr="00437DF5" w:rsidRDefault="00F124B3" w:rsidP="006A2A8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437DF5">
            <w:rPr>
              <w:rFonts w:ascii="Palatino Linotype" w:eastAsia="Palatino Linotype" w:hAnsi="Palatino Linotype" w:cs="Palatino Linotype"/>
              <w:bCs/>
              <w:color w:val="000000"/>
              <w:sz w:val="24"/>
              <w:szCs w:val="24"/>
            </w:rPr>
            <w:t>12673/INFOEM/IP/RR/2025</w:t>
          </w:r>
        </w:p>
      </w:tc>
    </w:tr>
    <w:tr w:rsidR="00F124B3" w:rsidTr="006A2A81">
      <w:trPr>
        <w:trHeight w:val="242"/>
      </w:trPr>
      <w:tc>
        <w:tcPr>
          <w:tcW w:w="2977" w:type="dxa"/>
          <w:vAlign w:val="center"/>
        </w:tcPr>
        <w:p w:rsidR="00F124B3" w:rsidRPr="00437DF5" w:rsidRDefault="00F124B3" w:rsidP="00437DF5">
          <w:pPr>
            <w:spacing w:after="0" w:line="240" w:lineRule="auto"/>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Recurrente:</w:t>
          </w:r>
        </w:p>
      </w:tc>
      <w:tc>
        <w:tcPr>
          <w:tcW w:w="4961" w:type="dxa"/>
        </w:tcPr>
        <w:p w:rsidR="00F124B3" w:rsidRPr="00437DF5" w:rsidRDefault="0013009E" w:rsidP="006A2A81">
          <w:pPr>
            <w:pBdr>
              <w:top w:val="nil"/>
              <w:left w:val="nil"/>
              <w:bottom w:val="nil"/>
              <w:right w:val="nil"/>
              <w:between w:val="nil"/>
            </w:pBdr>
            <w:tabs>
              <w:tab w:val="right" w:pos="8838"/>
              <w:tab w:val="left" w:pos="521"/>
            </w:tabs>
            <w:spacing w:after="0" w:line="24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F124B3" w:rsidTr="006A2A81">
      <w:trPr>
        <w:trHeight w:val="342"/>
      </w:trPr>
      <w:tc>
        <w:tcPr>
          <w:tcW w:w="2977" w:type="dxa"/>
          <w:vAlign w:val="center"/>
        </w:tcPr>
        <w:p w:rsidR="00F124B3" w:rsidRDefault="00F124B3" w:rsidP="00437DF5">
          <w:pPr>
            <w:spacing w:after="0" w:line="240" w:lineRule="auto"/>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Sujeto Obligado:</w:t>
          </w:r>
        </w:p>
        <w:p w:rsidR="00437DF5" w:rsidRDefault="00437DF5" w:rsidP="00437DF5">
          <w:pPr>
            <w:spacing w:after="0" w:line="240" w:lineRule="auto"/>
            <w:jc w:val="right"/>
            <w:rPr>
              <w:rFonts w:ascii="Palatino Linotype" w:eastAsia="Palatino Linotype" w:hAnsi="Palatino Linotype" w:cs="Palatino Linotype"/>
              <w:b/>
              <w:sz w:val="24"/>
              <w:szCs w:val="24"/>
            </w:rPr>
          </w:pPr>
        </w:p>
        <w:p w:rsidR="00437DF5" w:rsidRDefault="00437DF5" w:rsidP="00437DF5">
          <w:pPr>
            <w:spacing w:after="0" w:line="240" w:lineRule="auto"/>
            <w:jc w:val="right"/>
            <w:rPr>
              <w:rFonts w:ascii="Palatino Linotype" w:eastAsia="Palatino Linotype" w:hAnsi="Palatino Linotype" w:cs="Palatino Linotype"/>
              <w:b/>
              <w:sz w:val="24"/>
              <w:szCs w:val="24"/>
            </w:rPr>
          </w:pPr>
        </w:p>
        <w:p w:rsidR="00437DF5" w:rsidRPr="00437DF5" w:rsidRDefault="00437DF5" w:rsidP="00437DF5">
          <w:pPr>
            <w:spacing w:after="0" w:line="240" w:lineRule="auto"/>
            <w:jc w:val="right"/>
            <w:rPr>
              <w:rFonts w:ascii="Palatino Linotype" w:eastAsia="Palatino Linotype" w:hAnsi="Palatino Linotype" w:cs="Palatino Linotype"/>
              <w:b/>
              <w:sz w:val="24"/>
              <w:szCs w:val="24"/>
            </w:rPr>
          </w:pPr>
        </w:p>
      </w:tc>
      <w:tc>
        <w:tcPr>
          <w:tcW w:w="4961" w:type="dxa"/>
          <w:vAlign w:val="center"/>
        </w:tcPr>
        <w:p w:rsidR="00F124B3" w:rsidRPr="00437DF5" w:rsidRDefault="00F124B3" w:rsidP="006A2A8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437DF5">
            <w:rPr>
              <w:rFonts w:ascii="Palatino Linotype" w:eastAsia="Palatino Linotype" w:hAnsi="Palatino Linotype" w:cs="Palatino Linotype"/>
              <w:bCs/>
              <w:color w:val="000000"/>
              <w:sz w:val="24"/>
              <w:szCs w:val="24"/>
            </w:rPr>
            <w:t>Organismo Público Descentralizado para la Prestación de Los Servicios de Agua Potable Alcantarillado y Saneamiento de Tenancingo</w:t>
          </w:r>
        </w:p>
      </w:tc>
    </w:tr>
    <w:tr w:rsidR="00F124B3" w:rsidTr="006A2A81">
      <w:trPr>
        <w:trHeight w:val="342"/>
      </w:trPr>
      <w:tc>
        <w:tcPr>
          <w:tcW w:w="2977" w:type="dxa"/>
          <w:vAlign w:val="center"/>
        </w:tcPr>
        <w:p w:rsidR="00F124B3" w:rsidRPr="00437DF5" w:rsidRDefault="00F124B3" w:rsidP="00437DF5">
          <w:pPr>
            <w:spacing w:after="0" w:line="240" w:lineRule="auto"/>
            <w:jc w:val="right"/>
            <w:rPr>
              <w:rFonts w:ascii="Palatino Linotype" w:eastAsia="Palatino Linotype" w:hAnsi="Palatino Linotype" w:cs="Palatino Linotype"/>
              <w:b/>
              <w:sz w:val="24"/>
              <w:szCs w:val="24"/>
            </w:rPr>
          </w:pPr>
          <w:r w:rsidRPr="00437DF5">
            <w:rPr>
              <w:rFonts w:ascii="Palatino Linotype" w:eastAsia="Palatino Linotype" w:hAnsi="Palatino Linotype" w:cs="Palatino Linotype"/>
              <w:b/>
              <w:sz w:val="24"/>
              <w:szCs w:val="24"/>
            </w:rPr>
            <w:t>Comisionada Ponente:</w:t>
          </w:r>
        </w:p>
      </w:tc>
      <w:tc>
        <w:tcPr>
          <w:tcW w:w="4961" w:type="dxa"/>
          <w:vAlign w:val="center"/>
        </w:tcPr>
        <w:p w:rsidR="00F124B3" w:rsidRPr="00437DF5" w:rsidRDefault="00F124B3" w:rsidP="006A2A8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437DF5">
            <w:rPr>
              <w:rFonts w:ascii="Palatino Linotype" w:eastAsia="Palatino Linotype" w:hAnsi="Palatino Linotype" w:cs="Palatino Linotype"/>
              <w:color w:val="000000"/>
              <w:sz w:val="24"/>
              <w:szCs w:val="24"/>
            </w:rPr>
            <w:t>María del Rosario Mejía Ayala</w:t>
          </w:r>
        </w:p>
      </w:tc>
    </w:tr>
  </w:tbl>
  <w:p w:rsidR="00F124B3" w:rsidRDefault="006A05BB">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6.2pt;margin-top:-166.8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F10"/>
    <w:multiLevelType w:val="hybridMultilevel"/>
    <w:tmpl w:val="8AE4E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202AB"/>
    <w:multiLevelType w:val="hybridMultilevel"/>
    <w:tmpl w:val="10EA4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E75286"/>
    <w:multiLevelType w:val="hybridMultilevel"/>
    <w:tmpl w:val="C208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E26E9"/>
    <w:multiLevelType w:val="multilevel"/>
    <w:tmpl w:val="8416D7D2"/>
    <w:lvl w:ilvl="0">
      <w:start w:val="62"/>
      <w:numFmt w:val="decimal"/>
      <w:lvlText w:val="%1."/>
      <w:lvlJc w:val="left"/>
      <w:pPr>
        <w:ind w:left="501" w:hanging="359"/>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4351B1"/>
    <w:multiLevelType w:val="multilevel"/>
    <w:tmpl w:val="72267668"/>
    <w:lvl w:ilvl="0">
      <w:start w:val="15"/>
      <w:numFmt w:val="upperRoman"/>
      <w:lvlText w:val="%1."/>
      <w:lvlJc w:val="left"/>
      <w:pPr>
        <w:ind w:left="1146"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15:restartNumberingAfterBreak="0">
    <w:nsid w:val="19E51161"/>
    <w:multiLevelType w:val="multilevel"/>
    <w:tmpl w:val="CBD0881E"/>
    <w:lvl w:ilvl="0">
      <w:start w:val="13"/>
      <w:numFmt w:val="upperRoman"/>
      <w:lvlText w:val="%1."/>
      <w:lvlJc w:val="left"/>
      <w:pPr>
        <w:ind w:left="1146"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D65455"/>
    <w:multiLevelType w:val="multilevel"/>
    <w:tmpl w:val="1C4E60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7255F63"/>
    <w:multiLevelType w:val="hybridMultilevel"/>
    <w:tmpl w:val="E2BE4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6614B5"/>
    <w:multiLevelType w:val="multilevel"/>
    <w:tmpl w:val="4D9CCE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620424"/>
    <w:multiLevelType w:val="multilevel"/>
    <w:tmpl w:val="D590A908"/>
    <w:lvl w:ilvl="0">
      <w:start w:val="29"/>
      <w:numFmt w:val="decimal"/>
      <w:lvlText w:val="%1."/>
      <w:lvlJc w:val="left"/>
      <w:pPr>
        <w:ind w:left="502" w:hanging="360"/>
      </w:pPr>
      <w:rPr>
        <w:b/>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2210A7"/>
    <w:multiLevelType w:val="hybridMultilevel"/>
    <w:tmpl w:val="18640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74745"/>
    <w:multiLevelType w:val="multilevel"/>
    <w:tmpl w:val="E5F69D50"/>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C12AA2"/>
    <w:multiLevelType w:val="multilevel"/>
    <w:tmpl w:val="90DA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056840"/>
    <w:multiLevelType w:val="hybridMultilevel"/>
    <w:tmpl w:val="43962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8" w15:restartNumberingAfterBreak="0">
    <w:nsid w:val="3E6E3C7D"/>
    <w:multiLevelType w:val="multilevel"/>
    <w:tmpl w:val="87DC888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9" w15:restartNumberingAfterBreak="0">
    <w:nsid w:val="3FC22F5D"/>
    <w:multiLevelType w:val="hybridMultilevel"/>
    <w:tmpl w:val="2E8AA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F23F1B"/>
    <w:multiLevelType w:val="multilevel"/>
    <w:tmpl w:val="68AAD4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48C31FFF"/>
    <w:multiLevelType w:val="hybridMultilevel"/>
    <w:tmpl w:val="6FE05FB0"/>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2" w15:restartNumberingAfterBreak="0">
    <w:nsid w:val="4AB95F23"/>
    <w:multiLevelType w:val="hybridMultilevel"/>
    <w:tmpl w:val="B5785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E90B61"/>
    <w:multiLevelType w:val="multilevel"/>
    <w:tmpl w:val="92F0AF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B96275"/>
    <w:multiLevelType w:val="hybridMultilevel"/>
    <w:tmpl w:val="FF9C9CFA"/>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7" w15:restartNumberingAfterBreak="0">
    <w:nsid w:val="5E372419"/>
    <w:multiLevelType w:val="multilevel"/>
    <w:tmpl w:val="FE12B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12076A"/>
    <w:multiLevelType w:val="hybridMultilevel"/>
    <w:tmpl w:val="1EB68EB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63766BA9"/>
    <w:multiLevelType w:val="multilevel"/>
    <w:tmpl w:val="1FE4D63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1E5904"/>
    <w:multiLevelType w:val="multilevel"/>
    <w:tmpl w:val="6AC0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745D1"/>
    <w:multiLevelType w:val="multilevel"/>
    <w:tmpl w:val="A732ABDE"/>
    <w:lvl w:ilvl="0">
      <w:start w:val="6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5045AE9"/>
    <w:multiLevelType w:val="multilevel"/>
    <w:tmpl w:val="B748E3F2"/>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4"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9B083C"/>
    <w:multiLevelType w:val="multilevel"/>
    <w:tmpl w:val="3C26EFEC"/>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20"/>
  </w:num>
  <w:num w:numId="2">
    <w:abstractNumId w:val="33"/>
  </w:num>
  <w:num w:numId="3">
    <w:abstractNumId w:val="15"/>
  </w:num>
  <w:num w:numId="4">
    <w:abstractNumId w:val="6"/>
  </w:num>
  <w:num w:numId="5">
    <w:abstractNumId w:val="10"/>
  </w:num>
  <w:num w:numId="6">
    <w:abstractNumId w:val="4"/>
  </w:num>
  <w:num w:numId="7">
    <w:abstractNumId w:val="35"/>
  </w:num>
  <w:num w:numId="8">
    <w:abstractNumId w:val="27"/>
  </w:num>
  <w:num w:numId="9">
    <w:abstractNumId w:val="29"/>
  </w:num>
  <w:num w:numId="10">
    <w:abstractNumId w:val="18"/>
  </w:num>
  <w:num w:numId="11">
    <w:abstractNumId w:val="7"/>
  </w:num>
  <w:num w:numId="12">
    <w:abstractNumId w:val="2"/>
  </w:num>
  <w:num w:numId="13">
    <w:abstractNumId w:val="0"/>
  </w:num>
  <w:num w:numId="14">
    <w:abstractNumId w:val="13"/>
  </w:num>
  <w:num w:numId="15">
    <w:abstractNumId w:val="17"/>
  </w:num>
  <w:num w:numId="16">
    <w:abstractNumId w:val="16"/>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31"/>
  </w:num>
  <w:num w:numId="21">
    <w:abstractNumId w:val="9"/>
  </w:num>
  <w:num w:numId="22">
    <w:abstractNumId w:val="1"/>
  </w:num>
  <w:num w:numId="23">
    <w:abstractNumId w:val="24"/>
  </w:num>
  <w:num w:numId="24">
    <w:abstractNumId w:val="21"/>
  </w:num>
  <w:num w:numId="25">
    <w:abstractNumId w:val="26"/>
  </w:num>
  <w:num w:numId="26">
    <w:abstractNumId w:val="23"/>
  </w:num>
  <w:num w:numId="27">
    <w:abstractNumId w:val="5"/>
  </w:num>
  <w:num w:numId="28">
    <w:abstractNumId w:val="11"/>
  </w:num>
  <w:num w:numId="29">
    <w:abstractNumId w:val="19"/>
  </w:num>
  <w:num w:numId="30">
    <w:abstractNumId w:val="22"/>
  </w:num>
  <w:num w:numId="31">
    <w:abstractNumId w:val="28"/>
  </w:num>
  <w:num w:numId="32">
    <w:abstractNumId w:val="30"/>
  </w:num>
  <w:num w:numId="33">
    <w:abstractNumId w:val="8"/>
  </w:num>
  <w:num w:numId="34">
    <w:abstractNumId w:val="34"/>
  </w:num>
  <w:num w:numId="35">
    <w:abstractNumId w:val="25"/>
  </w:num>
  <w:num w:numId="36">
    <w:abstractNumId w:val="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54"/>
    <w:rsid w:val="00034CCD"/>
    <w:rsid w:val="0004499A"/>
    <w:rsid w:val="0009455E"/>
    <w:rsid w:val="000D4DD7"/>
    <w:rsid w:val="0010016E"/>
    <w:rsid w:val="00121569"/>
    <w:rsid w:val="0013009E"/>
    <w:rsid w:val="001403ED"/>
    <w:rsid w:val="00170A5C"/>
    <w:rsid w:val="00243BAA"/>
    <w:rsid w:val="0025292C"/>
    <w:rsid w:val="00286F7C"/>
    <w:rsid w:val="002B4050"/>
    <w:rsid w:val="0030494E"/>
    <w:rsid w:val="00430B56"/>
    <w:rsid w:val="004339E6"/>
    <w:rsid w:val="00435854"/>
    <w:rsid w:val="00437DF5"/>
    <w:rsid w:val="00482833"/>
    <w:rsid w:val="005316B4"/>
    <w:rsid w:val="00546F18"/>
    <w:rsid w:val="005638AB"/>
    <w:rsid w:val="006052C6"/>
    <w:rsid w:val="00676FFB"/>
    <w:rsid w:val="006A05BB"/>
    <w:rsid w:val="006A2A81"/>
    <w:rsid w:val="006F33E9"/>
    <w:rsid w:val="007009F8"/>
    <w:rsid w:val="00714C83"/>
    <w:rsid w:val="00752EA3"/>
    <w:rsid w:val="0076206B"/>
    <w:rsid w:val="007D0A60"/>
    <w:rsid w:val="007F6062"/>
    <w:rsid w:val="008175EC"/>
    <w:rsid w:val="00837761"/>
    <w:rsid w:val="008B4740"/>
    <w:rsid w:val="008C6912"/>
    <w:rsid w:val="009101DE"/>
    <w:rsid w:val="00936552"/>
    <w:rsid w:val="00945D0E"/>
    <w:rsid w:val="00976855"/>
    <w:rsid w:val="00A34FFE"/>
    <w:rsid w:val="00AB0419"/>
    <w:rsid w:val="00B144A4"/>
    <w:rsid w:val="00B30E57"/>
    <w:rsid w:val="00B51538"/>
    <w:rsid w:val="00C4021B"/>
    <w:rsid w:val="00C85BB7"/>
    <w:rsid w:val="00C95C11"/>
    <w:rsid w:val="00CC566B"/>
    <w:rsid w:val="00D541CC"/>
    <w:rsid w:val="00D55134"/>
    <w:rsid w:val="00DF7608"/>
    <w:rsid w:val="00E54181"/>
    <w:rsid w:val="00E5738E"/>
    <w:rsid w:val="00F124B3"/>
    <w:rsid w:val="00F438E6"/>
    <w:rsid w:val="00F84BB1"/>
    <w:rsid w:val="00F97831"/>
    <w:rsid w:val="00FB6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50E35EE-9DDE-4EFB-BFF4-0E1ABCA4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C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aliases w:val="Hipervínculo1,Hipervínculo11,Hipervínculo12,Hipervínculo13,Hipervínculo14,Hipervínculo15"/>
    <w:basedOn w:val="Fuentedeprrafopredeter"/>
    <w:uiPriority w:val="99"/>
    <w:unhideWhenUsed/>
    <w:qFormat/>
    <w:rsid w:val="00D04217"/>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paragraph" w:styleId="Sinespaciado">
    <w:name w:val="No Spacing"/>
    <w:aliases w:val="Francesa,INAI"/>
    <w:link w:val="SinespaciadoCar"/>
    <w:uiPriority w:val="1"/>
    <w:qFormat/>
    <w:rsid w:val="00380F80"/>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INAI Car"/>
    <w:link w:val="Sinespaciado"/>
    <w:uiPriority w:val="1"/>
    <w:qFormat/>
    <w:locked/>
    <w:rsid w:val="00380F80"/>
    <w:rPr>
      <w:rFonts w:asciiTheme="minorHAnsi" w:eastAsiaTheme="minorHAnsi" w:hAnsiTheme="minorHAnsi" w:cstheme="minorBidi"/>
      <w:lang w:eastAsia="en-US"/>
    </w:r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styleId="Tablaconcuadrcula">
    <w:name w:val="Table Grid"/>
    <w:basedOn w:val="Tablanormal"/>
    <w:uiPriority w:val="39"/>
    <w:rsid w:val="00D541C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95479">
      <w:bodyDiv w:val="1"/>
      <w:marLeft w:val="0"/>
      <w:marRight w:val="0"/>
      <w:marTop w:val="0"/>
      <w:marBottom w:val="0"/>
      <w:divBdr>
        <w:top w:val="none" w:sz="0" w:space="0" w:color="auto"/>
        <w:left w:val="none" w:sz="0" w:space="0" w:color="auto"/>
        <w:bottom w:val="none" w:sz="0" w:space="0" w:color="auto"/>
        <w:right w:val="none" w:sz="0" w:space="0" w:color="auto"/>
      </w:divBdr>
    </w:div>
    <w:div w:id="934749670">
      <w:bodyDiv w:val="1"/>
      <w:marLeft w:val="0"/>
      <w:marRight w:val="0"/>
      <w:marTop w:val="0"/>
      <w:marBottom w:val="0"/>
      <w:divBdr>
        <w:top w:val="none" w:sz="0" w:space="0" w:color="auto"/>
        <w:left w:val="none" w:sz="0" w:space="0" w:color="auto"/>
        <w:bottom w:val="none" w:sz="0" w:space="0" w:color="auto"/>
        <w:right w:val="none" w:sz="0" w:space="0" w:color="auto"/>
      </w:divBdr>
    </w:div>
    <w:div w:id="957181306">
      <w:bodyDiv w:val="1"/>
      <w:marLeft w:val="0"/>
      <w:marRight w:val="0"/>
      <w:marTop w:val="0"/>
      <w:marBottom w:val="0"/>
      <w:divBdr>
        <w:top w:val="none" w:sz="0" w:space="0" w:color="auto"/>
        <w:left w:val="none" w:sz="0" w:space="0" w:color="auto"/>
        <w:bottom w:val="none" w:sz="0" w:space="0" w:color="auto"/>
        <w:right w:val="none" w:sz="0" w:space="0" w:color="auto"/>
      </w:divBdr>
    </w:div>
    <w:div w:id="1090659198">
      <w:bodyDiv w:val="1"/>
      <w:marLeft w:val="0"/>
      <w:marRight w:val="0"/>
      <w:marTop w:val="0"/>
      <w:marBottom w:val="0"/>
      <w:divBdr>
        <w:top w:val="none" w:sz="0" w:space="0" w:color="auto"/>
        <w:left w:val="none" w:sz="0" w:space="0" w:color="auto"/>
        <w:bottom w:val="none" w:sz="0" w:space="0" w:color="auto"/>
        <w:right w:val="none" w:sz="0" w:space="0" w:color="auto"/>
      </w:divBdr>
    </w:div>
    <w:div w:id="1179126177">
      <w:bodyDiv w:val="1"/>
      <w:marLeft w:val="0"/>
      <w:marRight w:val="0"/>
      <w:marTop w:val="0"/>
      <w:marBottom w:val="0"/>
      <w:divBdr>
        <w:top w:val="none" w:sz="0" w:space="0" w:color="auto"/>
        <w:left w:val="none" w:sz="0" w:space="0" w:color="auto"/>
        <w:bottom w:val="none" w:sz="0" w:space="0" w:color="auto"/>
        <w:right w:val="none" w:sz="0" w:space="0" w:color="auto"/>
      </w:divBdr>
    </w:div>
    <w:div w:id="1281574647">
      <w:bodyDiv w:val="1"/>
      <w:marLeft w:val="0"/>
      <w:marRight w:val="0"/>
      <w:marTop w:val="0"/>
      <w:marBottom w:val="0"/>
      <w:divBdr>
        <w:top w:val="none" w:sz="0" w:space="0" w:color="auto"/>
        <w:left w:val="none" w:sz="0" w:space="0" w:color="auto"/>
        <w:bottom w:val="none" w:sz="0" w:space="0" w:color="auto"/>
        <w:right w:val="none" w:sz="0" w:space="0" w:color="auto"/>
      </w:divBdr>
    </w:div>
    <w:div w:id="1449668274">
      <w:bodyDiv w:val="1"/>
      <w:marLeft w:val="0"/>
      <w:marRight w:val="0"/>
      <w:marTop w:val="0"/>
      <w:marBottom w:val="0"/>
      <w:divBdr>
        <w:top w:val="none" w:sz="0" w:space="0" w:color="auto"/>
        <w:left w:val="none" w:sz="0" w:space="0" w:color="auto"/>
        <w:bottom w:val="none" w:sz="0" w:space="0" w:color="auto"/>
        <w:right w:val="none" w:sz="0" w:space="0" w:color="auto"/>
      </w:divBdr>
    </w:div>
    <w:div w:id="1575820405">
      <w:bodyDiv w:val="1"/>
      <w:marLeft w:val="0"/>
      <w:marRight w:val="0"/>
      <w:marTop w:val="0"/>
      <w:marBottom w:val="0"/>
      <w:divBdr>
        <w:top w:val="none" w:sz="0" w:space="0" w:color="auto"/>
        <w:left w:val="none" w:sz="0" w:space="0" w:color="auto"/>
        <w:bottom w:val="none" w:sz="0" w:space="0" w:color="auto"/>
        <w:right w:val="none" w:sz="0" w:space="0" w:color="auto"/>
      </w:divBdr>
    </w:div>
    <w:div w:id="1632782537">
      <w:bodyDiv w:val="1"/>
      <w:marLeft w:val="0"/>
      <w:marRight w:val="0"/>
      <w:marTop w:val="0"/>
      <w:marBottom w:val="0"/>
      <w:divBdr>
        <w:top w:val="none" w:sz="0" w:space="0" w:color="auto"/>
        <w:left w:val="none" w:sz="0" w:space="0" w:color="auto"/>
        <w:bottom w:val="none" w:sz="0" w:space="0" w:color="auto"/>
        <w:right w:val="none" w:sz="0" w:space="0" w:color="auto"/>
      </w:divBdr>
    </w:div>
    <w:div w:id="1676766286">
      <w:bodyDiv w:val="1"/>
      <w:marLeft w:val="0"/>
      <w:marRight w:val="0"/>
      <w:marTop w:val="0"/>
      <w:marBottom w:val="0"/>
      <w:divBdr>
        <w:top w:val="none" w:sz="0" w:space="0" w:color="auto"/>
        <w:left w:val="none" w:sz="0" w:space="0" w:color="auto"/>
        <w:bottom w:val="none" w:sz="0" w:space="0" w:color="auto"/>
        <w:right w:val="none" w:sz="0" w:space="0" w:color="auto"/>
      </w:divBdr>
    </w:div>
    <w:div w:id="1837766842">
      <w:bodyDiv w:val="1"/>
      <w:marLeft w:val="0"/>
      <w:marRight w:val="0"/>
      <w:marTop w:val="0"/>
      <w:marBottom w:val="0"/>
      <w:divBdr>
        <w:top w:val="none" w:sz="0" w:space="0" w:color="auto"/>
        <w:left w:val="none" w:sz="0" w:space="0" w:color="auto"/>
        <w:bottom w:val="none" w:sz="0" w:space="0" w:color="auto"/>
        <w:right w:val="none" w:sz="0" w:space="0" w:color="auto"/>
      </w:divBdr>
    </w:div>
    <w:div w:id="1874806285">
      <w:bodyDiv w:val="1"/>
      <w:marLeft w:val="0"/>
      <w:marRight w:val="0"/>
      <w:marTop w:val="0"/>
      <w:marBottom w:val="0"/>
      <w:divBdr>
        <w:top w:val="none" w:sz="0" w:space="0" w:color="auto"/>
        <w:left w:val="none" w:sz="0" w:space="0" w:color="auto"/>
        <w:bottom w:val="none" w:sz="0" w:space="0" w:color="auto"/>
        <w:right w:val="none" w:sz="0" w:space="0" w:color="auto"/>
      </w:divBdr>
    </w:div>
    <w:div w:id="190822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05728.page" TargetMode="Externa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lAIzoOpyZa+p0V7jspR3xZpNA==">CgMxLjAyCWguM3JkY3JqbjIIaC5namRneHMyCWguMzBqMHpsbDIJaC4xZm9iOXRlMgloLjN6bnlzaDcyCWguMmV0OTJwMDIIaC50eWpjd3QyCWguMjZpbjFyZzIJaC4xdDNoNXNmMghoLmxueGJ6OTIJaC4zNW5rdW4yMgloLjNkeTZ2a204AHIhMWtNQjJlSUlxbFVvZkNCUEpfYlJWYi04czBQVF9IeWJK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11396</Words>
  <Characters>62679</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7</cp:revision>
  <cp:lastPrinted>2025-12-05T16:19:00Z</cp:lastPrinted>
  <dcterms:created xsi:type="dcterms:W3CDTF">2025-11-20T18:58:00Z</dcterms:created>
  <dcterms:modified xsi:type="dcterms:W3CDTF">2026-01-23T00:14:00Z</dcterms:modified>
</cp:coreProperties>
</file>